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bookmarkStart w:colFirst="0" w:colLast="0" w:name="_gjdgxs" w:id="0"/>
      <w:bookmarkEnd w:id="0"/>
      <w:r w:rsidDel="00000000" w:rsidR="00000000" w:rsidRPr="00000000">
        <w:rPr>
          <w:rFonts w:ascii="Arial" w:cs="Arial" w:eastAsia="Arial" w:hAnsi="Arial"/>
          <w:b w:val="1"/>
          <w:sz w:val="22"/>
          <w:szCs w:val="22"/>
          <w:rtl w:val="0"/>
        </w:rPr>
        <w:t xml:space="preserve">COMMITTEE ON STANDARDS IN PUBLIC LIFE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TWO HUNDRED AND FORTIETH  MEETING</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THURSDAY 15 DECEMBER 2016 AT 10:00</w:t>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ROOM G11, 1 HORSE GUARDS ROAD, LONDON SW1A 2HQ</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2"/>
          <w:szCs w:val="22"/>
          <w:rtl w:val="0"/>
        </w:rPr>
        <w:t xml:space="preserve"> AGENDA</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Visual w:val="0"/>
        <w:tblW w:w="10800.0" w:type="dxa"/>
        <w:jc w:val="left"/>
        <w:tblInd w:w="-82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5"/>
        <w:gridCol w:w="1905"/>
        <w:gridCol w:w="5100"/>
        <w:gridCol w:w="1740"/>
        <w:gridCol w:w="1350"/>
        <w:tblGridChange w:id="0">
          <w:tblGrid>
            <w:gridCol w:w="705"/>
            <w:gridCol w:w="1905"/>
            <w:gridCol w:w="5100"/>
            <w:gridCol w:w="1740"/>
            <w:gridCol w:w="1350"/>
          </w:tblGrid>
        </w:tblGridChange>
      </w:tblGrid>
      <w:t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No</w:t>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Agenda item</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Details</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Papers</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Indicative timing</w:t>
            </w:r>
            <w:r w:rsidDel="00000000" w:rsidR="00000000" w:rsidRPr="00000000">
              <w:rPr>
                <w:rtl w:val="0"/>
              </w:rPr>
            </w:r>
          </w:p>
        </w:tc>
      </w:tr>
      <w:tr>
        <w:trPr>
          <w:trHeight w:val="1160" w:hRule="atLeast"/>
        </w:trPr>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pPr>
              <w:spacing w:after="0" w:before="0" w:line="240" w:lineRule="auto"/>
              <w:contextualSpacing w:val="0"/>
              <w:rPr/>
            </w:pPr>
            <w:r w:rsidDel="00000000" w:rsidR="00000000" w:rsidRPr="00000000">
              <w:rPr>
                <w:rFonts w:ascii="Arial" w:cs="Arial" w:eastAsia="Arial" w:hAnsi="Arial"/>
                <w:b w:val="0"/>
                <w:color w:val="000000"/>
                <w:sz w:val="22"/>
                <w:szCs w:val="22"/>
                <w:rtl w:val="0"/>
              </w:rPr>
              <w:t xml:space="preserve">Registers</w:t>
            </w:r>
            <w:r w:rsidDel="00000000" w:rsidR="00000000" w:rsidRPr="00000000">
              <w:rPr>
                <w:rtl w:val="0"/>
              </w:rPr>
            </w:r>
          </w:p>
          <w:p w:rsidR="00000000" w:rsidDel="00000000" w:rsidP="00000000" w:rsidRDefault="00000000" w:rsidRPr="00000000">
            <w:pPr>
              <w:ind w:left="284"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asked to agree the register of interests, gifts and hospitality, and the meetings registers for publication on the Committee’s website.    </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10:00</w:t>
            </w:r>
          </w:p>
        </w:tc>
      </w:tr>
      <w:tr>
        <w:tc>
          <w:tcPr/>
          <w:p w:rsidR="00000000" w:rsidDel="00000000" w:rsidP="00000000" w:rsidRDefault="00000000" w:rsidRPr="00000000">
            <w:pPr>
              <w:spacing w:after="0" w:before="0" w:line="240" w:lineRule="auto"/>
              <w:contextualSpacing w:val="0"/>
              <w:jc w:val="right"/>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Minutes and </w:t>
            </w:r>
            <w:r w:rsidDel="00000000" w:rsidR="00000000" w:rsidRPr="00000000">
              <w:rPr>
                <w:rFonts w:ascii="Arial" w:cs="Arial" w:eastAsia="Arial" w:hAnsi="Arial"/>
                <w:sz w:val="22"/>
                <w:szCs w:val="22"/>
                <w:rtl w:val="0"/>
              </w:rPr>
              <w:t xml:space="preserve">M</w:t>
            </w:r>
            <w:r w:rsidDel="00000000" w:rsidR="00000000" w:rsidRPr="00000000">
              <w:rPr>
                <w:rFonts w:ascii="Arial" w:cs="Arial" w:eastAsia="Arial" w:hAnsi="Arial"/>
                <w:b w:val="0"/>
                <w:color w:val="000000"/>
                <w:sz w:val="22"/>
                <w:szCs w:val="22"/>
                <w:rtl w:val="0"/>
              </w:rPr>
              <w:t xml:space="preserve">atters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color w:val="000000"/>
                <w:sz w:val="22"/>
                <w:szCs w:val="22"/>
                <w:rtl w:val="0"/>
              </w:rPr>
              <w:t xml:space="preserve">rising</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asked to approve the minutes from November’s Committee meeting.  </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Matters arising:</w:t>
            </w:r>
          </w:p>
          <w:p w:rsidR="00000000" w:rsidDel="00000000" w:rsidP="00000000" w:rsidRDefault="00000000" w:rsidRPr="00000000">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Committee membership, welcome to Lord Stunell</w:t>
            </w:r>
          </w:p>
          <w:p w:rsidR="00000000" w:rsidDel="00000000" w:rsidP="00000000" w:rsidRDefault="00000000" w:rsidRPr="00000000">
            <w:pPr>
              <w:numPr>
                <w:ilvl w:val="0"/>
                <w:numId w:val="1"/>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Meeting with Chair of PACAC</w:t>
            </w:r>
          </w:p>
          <w:p w:rsidR="00000000" w:rsidDel="00000000" w:rsidP="00000000" w:rsidRDefault="00000000" w:rsidRPr="00000000">
            <w:pPr>
              <w:numPr>
                <w:ilvl w:val="0"/>
                <w:numId w:val="1"/>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Public Appointments Governance Code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88</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Oral update</w:t>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Oral update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10:05</w:t>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Referendum Seminar </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asked to note the paper reviewing the Referendum seminar held on 22 November.</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89</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10:15</w:t>
            </w:r>
          </w:p>
        </w:tc>
      </w:tr>
      <w:tr>
        <w:trPr>
          <w:trHeight w:val="840" w:hRule="atLeast"/>
        </w:trPr>
        <w:tc>
          <w:tcPr>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4</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Ethical Standards for Public Service Providers: Follow up</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invited to approve a follow up plan to the 2014 report on Ethical Standards for Public Service Providers</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90</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10:30</w:t>
            </w:r>
          </w:p>
        </w:tc>
      </w:tr>
      <w:tr>
        <w:tc>
          <w:tcPr>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5</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PACAC inquiry into the House of Lords</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invited to comment on the draft submission to PACAC on their inquiry into the House of Lords</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91</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10.45</w:t>
            </w:r>
          </w:p>
        </w:tc>
      </w:tr>
      <w:tr>
        <w:tc>
          <w:tcPr>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6</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Research Advisory Board</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invited to note the meeting of the Research Advisory Board held on Friday 9 December.</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92</w:t>
            </w:r>
          </w:p>
          <w:p w:rsidR="00000000" w:rsidDel="00000000" w:rsidP="00000000" w:rsidRDefault="00000000" w:rsidRPr="00000000">
            <w:pPr>
              <w:contextualSpacing w:val="0"/>
            </w:pPr>
            <w:r w:rsidDel="00000000" w:rsidR="00000000" w:rsidRPr="00000000">
              <w:rPr>
                <w:rFonts w:ascii="Arial" w:cs="Arial" w:eastAsia="Arial" w:hAnsi="Arial"/>
                <w:i w:val="1"/>
                <w:sz w:val="22"/>
                <w:szCs w:val="22"/>
                <w:rtl w:val="0"/>
              </w:rPr>
              <w:t xml:space="preserve">To follow</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11:00</w:t>
            </w:r>
          </w:p>
        </w:tc>
      </w:tr>
      <w:tr>
        <w:tc>
          <w:tcPr>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7</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House of Commons Committee on Standards </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invited to accept the invitation to an informal meeting with the Commons Committee on Standards and to comment on items for the agenda.</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93</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11.15</w:t>
            </w:r>
          </w:p>
        </w:tc>
      </w:tr>
      <w:tr>
        <w:tc>
          <w:tcPr>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8</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Planning Round</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asked to note the bid for the next 3 year planning round.</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94</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11:25</w:t>
            </w:r>
          </w:p>
        </w:tc>
      </w:tr>
      <w:tr>
        <w:tc>
          <w:tcPr>
            <w:shd w:fill="ffffff"/>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9</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Standards Check</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asked to note an update on recent standards issues, with particular reference to Dame Louise Casey’s Review into opportunity and integration, recommending an addition to the Principles of Public Life.</w:t>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95</w:t>
            </w:r>
            <w:r w:rsidDel="00000000" w:rsidR="00000000" w:rsidRPr="00000000">
              <w:rPr>
                <w:rtl w:val="0"/>
              </w:rPr>
            </w:r>
          </w:p>
        </w:tc>
        <w:tc>
          <w:tcPr>
            <w:shd w:fill="ffffff"/>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11:35</w:t>
            </w:r>
          </w:p>
        </w:tc>
      </w:tr>
      <w:tr>
        <w:trPr>
          <w:trHeight w:val="560" w:hRule="atLeast"/>
        </w:trPr>
        <w:tc>
          <w:tcPr/>
          <w:p w:rsidR="00000000" w:rsidDel="00000000" w:rsidP="00000000" w:rsidRDefault="00000000" w:rsidRPr="00000000">
            <w:pPr>
              <w:ind w:left="-30.000000000000213" w:firstLine="0"/>
              <w:contextualSpacing w:val="0"/>
              <w:jc w:val="left"/>
            </w:pPr>
            <w:r w:rsidDel="00000000" w:rsidR="00000000" w:rsidRPr="00000000">
              <w:rPr>
                <w:rFonts w:ascii="Arial" w:cs="Arial" w:eastAsia="Arial" w:hAnsi="Arial"/>
                <w:sz w:val="22"/>
                <w:szCs w:val="22"/>
                <w:rtl w:val="0"/>
              </w:rPr>
              <w:t xml:space="preserve">   10</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Forward Work Programme</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invited to note the future work programme and the grid of forthcoming events.</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96</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11:45</w:t>
            </w:r>
          </w:p>
        </w:tc>
      </w:tr>
      <w:tr>
        <w:tc>
          <w:tcPr/>
          <w:p w:rsidR="00000000" w:rsidDel="00000000" w:rsidP="00000000" w:rsidRDefault="00000000" w:rsidRPr="00000000">
            <w:pPr>
              <w:contextualSpacing w:val="0"/>
              <w:jc w:val="right"/>
            </w:pPr>
            <w:r w:rsidDel="00000000" w:rsidR="00000000" w:rsidRPr="00000000">
              <w:rPr>
                <w:rFonts w:ascii="Arial" w:cs="Arial" w:eastAsia="Arial" w:hAnsi="Arial"/>
                <w:sz w:val="22"/>
                <w:szCs w:val="22"/>
                <w:rtl w:val="0"/>
              </w:rPr>
              <w:t xml:space="preserve">11</w:t>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AOB</w:t>
            </w: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The Committee will be asked to note:</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Communications update</w:t>
            </w:r>
          </w:p>
          <w:p w:rsidR="00000000" w:rsidDel="00000000" w:rsidP="00000000" w:rsidRDefault="00000000" w:rsidRPr="00000000">
            <w:pPr>
              <w:numPr>
                <w:ilvl w:val="0"/>
                <w:numId w:val="2"/>
              </w:numPr>
              <w:ind w:left="720" w:hanging="360"/>
              <w:contextualSpacing w:val="1"/>
              <w:rPr>
                <w:rFonts w:ascii="Arial" w:cs="Arial" w:eastAsia="Arial" w:hAnsi="Arial"/>
                <w:sz w:val="22"/>
                <w:szCs w:val="22"/>
              </w:rPr>
            </w:pPr>
            <w:r w:rsidDel="00000000" w:rsidR="00000000" w:rsidRPr="00000000">
              <w:rPr>
                <w:rFonts w:ascii="Arial" w:cs="Arial" w:eastAsia="Arial" w:hAnsi="Arial"/>
                <w:sz w:val="22"/>
                <w:szCs w:val="22"/>
                <w:rtl w:val="0"/>
              </w:rPr>
              <w:t xml:space="preserve">Date of next meeting: 19 January 2017</w:t>
            </w:r>
          </w:p>
          <w:p w:rsidR="00000000" w:rsidDel="00000000" w:rsidP="00000000" w:rsidRDefault="00000000" w:rsidRPr="00000000">
            <w:pPr>
              <w:numPr>
                <w:ilvl w:val="0"/>
                <w:numId w:val="2"/>
              </w:numPr>
              <w:ind w:left="720" w:hanging="360"/>
              <w:contextualSpacing w:val="1"/>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Farewell to Paul Croney</w:t>
            </w:r>
          </w:p>
        </w:tc>
        <w:tc>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CSPL (16) 97</w:t>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Fonts w:ascii="Arial" w:cs="Arial" w:eastAsia="Arial" w:hAnsi="Arial"/>
                <w:sz w:val="22"/>
                <w:szCs w:val="22"/>
                <w:rtl w:val="0"/>
              </w:rPr>
              <w:t xml:space="preserve">11:50</w:t>
            </w:r>
          </w:p>
        </w:tc>
      </w:tr>
    </w:tbl>
    <w:p w:rsidR="00000000" w:rsidDel="00000000" w:rsidP="00000000" w:rsidRDefault="00000000" w:rsidRPr="00000000">
      <w:pPr>
        <w:contextualSpacing w:val="0"/>
      </w:pPr>
      <w:r w:rsidDel="00000000" w:rsidR="00000000" w:rsidRPr="00000000">
        <w:rPr>
          <w:rtl w:val="0"/>
        </w:rPr>
      </w:r>
    </w:p>
    <w:sectPr>
      <w:headerReference r:id="rId5" w:type="default"/>
      <w:headerReference r:id="rId6" w:type="first"/>
      <w:footerReference r:id="rId7" w:type="default"/>
      <w:footerReference r:id="rId8" w:type="first"/>
      <w:pgSz w:h="16838" w:w="11906"/>
      <w:pgMar w:bottom="566.9291338582677" w:top="566.9291338582677" w:left="1440.0000000000002" w:right="1440.000000000000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720" w:lineRule="auto"/>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before="720" w:lineRule="auto"/>
      <w:contextualSpacing w:val="0"/>
      <w:jc w:val="left"/>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pPr>
    <w:rPr>
      <w:rFonts w:ascii="Cambria" w:cs="Cambria" w:eastAsia="Cambria" w:hAnsi="Cambria"/>
      <w:b w:val="1"/>
      <w:color w:val="000000"/>
      <w:sz w:val="32"/>
      <w:szCs w:val="32"/>
    </w:rPr>
  </w:style>
  <w:style w:type="paragraph" w:styleId="Heading2">
    <w:name w:val="heading 2"/>
    <w:basedOn w:val="Normal"/>
    <w:next w:val="Normal"/>
    <w:pPr>
      <w:keepNext w:val="1"/>
      <w:keepLines w:val="1"/>
      <w:spacing w:after="60" w:before="240" w:line="240" w:lineRule="auto"/>
    </w:pPr>
    <w:rPr>
      <w:rFonts w:ascii="Cambria" w:cs="Cambria" w:eastAsia="Cambria" w:hAnsi="Cambria"/>
      <w:b w:val="1"/>
      <w:i w:val="1"/>
      <w:color w:val="000000"/>
      <w:sz w:val="28"/>
      <w:szCs w:val="28"/>
    </w:rPr>
  </w:style>
  <w:style w:type="paragraph" w:styleId="Heading3">
    <w:name w:val="heading 3"/>
    <w:basedOn w:val="Normal"/>
    <w:next w:val="Normal"/>
    <w:pPr>
      <w:keepNext w:val="1"/>
      <w:keepLines w:val="1"/>
      <w:spacing w:after="60" w:before="240" w:line="240" w:lineRule="auto"/>
    </w:pPr>
    <w:rPr>
      <w:rFonts w:ascii="Cambria" w:cs="Cambria" w:eastAsia="Cambria" w:hAnsi="Cambria"/>
      <w:b w:val="1"/>
      <w:color w:val="000000"/>
      <w:sz w:val="26"/>
      <w:szCs w:val="26"/>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60" w:before="240" w:line="240" w:lineRule="auto"/>
      <w:jc w:val="center"/>
    </w:pPr>
    <w:rPr>
      <w:rFonts w:ascii="Cambria" w:cs="Cambria" w:eastAsia="Cambria" w:hAnsi="Cambria"/>
      <w:b w:val="1"/>
      <w:color w:val="000000"/>
      <w:sz w:val="32"/>
      <w:szCs w:val="3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