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560"/>
        <w:gridCol w:w="2551"/>
        <w:gridCol w:w="301"/>
        <w:gridCol w:w="1258"/>
        <w:gridCol w:w="2831"/>
        <w:gridCol w:w="9"/>
      </w:tblGrid>
      <w:tr w:rsidR="00B50649" w:rsidTr="00626698">
        <w:trPr>
          <w:trHeight w:hRule="exact" w:val="2420"/>
        </w:trPr>
        <w:tc>
          <w:tcPr>
            <w:tcW w:w="6118" w:type="dxa"/>
            <w:gridSpan w:val="4"/>
            <w:tcBorders>
              <w:top w:val="single" w:sz="4" w:space="0" w:color="auto"/>
              <w:bottom w:val="single" w:sz="4" w:space="0" w:color="auto"/>
            </w:tcBorders>
            <w:shd w:val="clear" w:color="auto" w:fill="auto"/>
          </w:tcPr>
          <w:p w:rsidR="007F0ED9" w:rsidRPr="00102870" w:rsidRDefault="00495404" w:rsidP="00A90857">
            <w:pPr>
              <w:pStyle w:val="IATitle"/>
            </w:pPr>
            <w:r w:rsidRPr="00A90857">
              <w:rPr>
                <w:b/>
              </w:rPr>
              <w:t>Title</w:t>
            </w:r>
            <w:r w:rsidR="00B00194" w:rsidRPr="00A90857">
              <w:rPr>
                <w:b/>
              </w:rPr>
              <w:t>:</w:t>
            </w:r>
            <w:r w:rsidR="00B00194">
              <w:t xml:space="preserve">    </w:t>
            </w:r>
            <w:bookmarkStart w:id="0" w:name="IATitle"/>
            <w:r w:rsidR="004C1BBB" w:rsidRPr="00102870">
              <w:fldChar w:fldCharType="begin">
                <w:ffData>
                  <w:name w:val="IATitle"/>
                  <w:enabled/>
                  <w:calcOnExit w:val="0"/>
                  <w:textInput>
                    <w:maxLength w:val="800"/>
                  </w:textInput>
                </w:ffData>
              </w:fldChar>
            </w:r>
            <w:r w:rsidR="004C1BBB" w:rsidRPr="005F32E7">
              <w:instrText xml:space="preserve"> FORMTEXT </w:instrText>
            </w:r>
            <w:r w:rsidR="004C1BBB" w:rsidRPr="00102870">
              <w:fldChar w:fldCharType="separate"/>
            </w:r>
            <w:r w:rsidR="00F96B77">
              <w:rPr>
                <w:rFonts w:eastAsia="Arial Unicode MS"/>
              </w:rPr>
              <w:t>Extension of the Business Impact Target to Regulators</w:t>
            </w:r>
            <w:r w:rsidR="004C1BBB" w:rsidRPr="00102870">
              <w:fldChar w:fldCharType="end"/>
            </w:r>
            <w:bookmarkEnd w:id="0"/>
          </w:p>
          <w:p w:rsidR="00E14792" w:rsidRPr="00B00194" w:rsidRDefault="00D50283" w:rsidP="00B00194">
            <w:pPr>
              <w:pStyle w:val="IAHeadTitle"/>
              <w:ind w:left="113"/>
              <w:rPr>
                <w:rStyle w:val="IANoChar"/>
                <w:color w:val="auto"/>
                <w:sz w:val="20"/>
                <w:szCs w:val="20"/>
                <w:lang w:eastAsia="zh-CN"/>
              </w:rPr>
            </w:pPr>
            <w:r w:rsidRPr="007E190E">
              <w:rPr>
                <w:sz w:val="20"/>
                <w:szCs w:val="20"/>
              </w:rPr>
              <w:t>IA No:</w:t>
            </w:r>
            <w:r w:rsidR="00B00194">
              <w:rPr>
                <w:sz w:val="20"/>
                <w:szCs w:val="20"/>
              </w:rPr>
              <w:t xml:space="preserve"> </w:t>
            </w:r>
            <w:r w:rsidRPr="007E190E">
              <w:rPr>
                <w:sz w:val="20"/>
                <w:szCs w:val="20"/>
              </w:rPr>
              <w:t xml:space="preserve"> </w:t>
            </w:r>
            <w:bookmarkStart w:id="1" w:name="IANo"/>
            <w:r w:rsidR="00290335" w:rsidRPr="007E190E">
              <w:rPr>
                <w:rStyle w:val="IANoChar"/>
                <w:rFonts w:cs="Arial"/>
                <w:sz w:val="20"/>
                <w:szCs w:val="20"/>
              </w:rPr>
              <w:fldChar w:fldCharType="begin">
                <w:ffData>
                  <w:name w:val="IANo"/>
                  <w:enabled/>
                  <w:calcOnExit w:val="0"/>
                  <w:textInput>
                    <w:maxLength w:val="20"/>
                  </w:textInput>
                </w:ffData>
              </w:fldChar>
            </w:r>
            <w:r w:rsidR="00290335" w:rsidRPr="007E190E">
              <w:rPr>
                <w:rStyle w:val="IANoChar"/>
                <w:rFonts w:cs="Arial"/>
                <w:sz w:val="20"/>
                <w:szCs w:val="20"/>
              </w:rPr>
              <w:instrText xml:space="preserve"> FORMTEXT </w:instrText>
            </w:r>
            <w:r w:rsidR="00290335" w:rsidRPr="007E190E">
              <w:rPr>
                <w:rStyle w:val="IANoChar"/>
                <w:rFonts w:cs="Arial"/>
                <w:sz w:val="20"/>
                <w:szCs w:val="20"/>
              </w:rPr>
            </w:r>
            <w:r w:rsidR="00290335" w:rsidRPr="007E190E">
              <w:rPr>
                <w:rStyle w:val="IANoChar"/>
                <w:rFonts w:cs="Arial"/>
                <w:sz w:val="20"/>
                <w:szCs w:val="20"/>
              </w:rPr>
              <w:fldChar w:fldCharType="separate"/>
            </w:r>
            <w:r w:rsidR="00F96B77">
              <w:rPr>
                <w:rStyle w:val="IANoChar"/>
                <w:rFonts w:cs="Arial"/>
                <w:sz w:val="20"/>
                <w:szCs w:val="20"/>
              </w:rPr>
              <w:t>BIS012(F)-16-BRE</w:t>
            </w:r>
            <w:r w:rsidR="00290335" w:rsidRPr="007E190E">
              <w:rPr>
                <w:rStyle w:val="IANoChar"/>
                <w:rFonts w:cs="Arial"/>
                <w:sz w:val="20"/>
                <w:szCs w:val="20"/>
              </w:rPr>
              <w:fldChar w:fldCharType="end"/>
            </w:r>
            <w:bookmarkEnd w:id="1"/>
          </w:p>
          <w:p w:rsidR="008C3539" w:rsidRDefault="008C3539" w:rsidP="008C3539">
            <w:pPr>
              <w:pStyle w:val="IAHeadLabel"/>
              <w:ind w:left="113"/>
            </w:pPr>
            <w:r>
              <w:t xml:space="preserve">RPC Reference No: </w:t>
            </w:r>
            <w:r w:rsidR="00A40C1F">
              <w:rPr>
                <w:b w:val="0"/>
              </w:rPr>
              <w:t>RPC-3038(2)-BIS</w:t>
            </w:r>
            <w:r>
              <w:t xml:space="preserve">  </w:t>
            </w:r>
            <w:r w:rsidR="00C60191">
              <w:fldChar w:fldCharType="begin">
                <w:ffData>
                  <w:name w:val="IARPCReference"/>
                  <w:enabled/>
                  <w:calcOnExit w:val="0"/>
                  <w:textInput/>
                </w:ffData>
              </w:fldChar>
            </w:r>
            <w:bookmarkStart w:id="2" w:name="IARPCReference"/>
            <w:r w:rsidR="00C60191">
              <w:instrText xml:space="preserve"> FORMTEXT </w:instrText>
            </w:r>
            <w:r w:rsidR="00C60191">
              <w:fldChar w:fldCharType="separate"/>
            </w:r>
            <w:r w:rsidR="00C60191">
              <w:rPr>
                <w:noProof/>
              </w:rPr>
              <w:t> </w:t>
            </w:r>
            <w:r w:rsidR="00C60191">
              <w:rPr>
                <w:noProof/>
              </w:rPr>
              <w:t> </w:t>
            </w:r>
            <w:r w:rsidR="00C60191">
              <w:rPr>
                <w:noProof/>
              </w:rPr>
              <w:t> </w:t>
            </w:r>
            <w:r w:rsidR="00C60191">
              <w:rPr>
                <w:noProof/>
              </w:rPr>
              <w:t> </w:t>
            </w:r>
            <w:r w:rsidR="00C60191">
              <w:rPr>
                <w:noProof/>
              </w:rPr>
              <w:t> </w:t>
            </w:r>
            <w:r w:rsidR="00C60191">
              <w:fldChar w:fldCharType="end"/>
            </w:r>
            <w:bookmarkEnd w:id="2"/>
          </w:p>
          <w:p w:rsidR="001D5EC9" w:rsidRPr="005F32E7" w:rsidRDefault="00495404" w:rsidP="00A90857">
            <w:pPr>
              <w:pStyle w:val="IALeadDept"/>
            </w:pPr>
            <w:r w:rsidRPr="00A90857">
              <w:rPr>
                <w:b/>
              </w:rPr>
              <w:t>Lead department or agency:</w:t>
            </w:r>
            <w:r w:rsidR="00B00194">
              <w:t xml:space="preserve">         </w:t>
            </w:r>
            <w:bookmarkStart w:id="3" w:name="IALeadDept"/>
            <w:r w:rsidR="00290335" w:rsidRPr="005F32E7">
              <w:fldChar w:fldCharType="begin">
                <w:ffData>
                  <w:name w:val="IALeadDept"/>
                  <w:enabled/>
                  <w:calcOnExit w:val="0"/>
                  <w:textInput>
                    <w:maxLength w:val="100"/>
                  </w:textInput>
                </w:ffData>
              </w:fldChar>
            </w:r>
            <w:r w:rsidR="00290335" w:rsidRPr="005F32E7">
              <w:instrText xml:space="preserve"> FORMTEXT </w:instrText>
            </w:r>
            <w:r w:rsidR="00290335" w:rsidRPr="005F32E7">
              <w:fldChar w:fldCharType="separate"/>
            </w:r>
            <w:r w:rsidR="00A40C1F">
              <w:t xml:space="preserve">Department for Business </w:t>
            </w:r>
            <w:r w:rsidR="00F96B77">
              <w:t>I</w:t>
            </w:r>
            <w:r w:rsidR="00A40C1F">
              <w:t xml:space="preserve">nnovation and </w:t>
            </w:r>
            <w:r w:rsidR="00F96B77">
              <w:t>S</w:t>
            </w:r>
            <w:r w:rsidR="00A40C1F">
              <w:t>kills</w:t>
            </w:r>
            <w:r w:rsidR="00F96B77">
              <w:t xml:space="preserve"> / Cabinet Office</w:t>
            </w:r>
            <w:r w:rsidR="00290335" w:rsidRPr="005F32E7">
              <w:t> </w:t>
            </w:r>
            <w:r w:rsidR="00B00194">
              <w:t xml:space="preserve">   </w:t>
            </w:r>
            <w:r w:rsidR="00290335" w:rsidRPr="005F32E7">
              <w:t> </w:t>
            </w:r>
            <w:r w:rsidR="00290335" w:rsidRPr="005F32E7">
              <w:t> </w:t>
            </w:r>
            <w:r w:rsidR="00290335" w:rsidRPr="005F32E7">
              <w:t> </w:t>
            </w:r>
            <w:r w:rsidR="00290335" w:rsidRPr="005F32E7">
              <w:fldChar w:fldCharType="end"/>
            </w:r>
            <w:bookmarkStart w:id="4" w:name="_GoBack"/>
            <w:bookmarkEnd w:id="3"/>
            <w:bookmarkEnd w:id="4"/>
          </w:p>
          <w:p w:rsidR="00B93466" w:rsidRDefault="00495404" w:rsidP="00B00194">
            <w:pPr>
              <w:pStyle w:val="IATableLabel"/>
              <w:spacing w:after="0"/>
            </w:pPr>
            <w:r w:rsidRPr="003E0510">
              <w:t>Other dep</w:t>
            </w:r>
            <w:r w:rsidRPr="00E217A2">
              <w:t>a</w:t>
            </w:r>
            <w:r w:rsidRPr="003E0510">
              <w:t>rtments or agencies:</w:t>
            </w:r>
            <w:r w:rsidR="00B00194">
              <w:t xml:space="preserve">  </w:t>
            </w:r>
            <w:r w:rsidR="00DF2F4B">
              <w:t xml:space="preserve"> </w:t>
            </w:r>
            <w:bookmarkStart w:id="5" w:name="IAOtherDepts"/>
            <w:r w:rsidR="000239A7">
              <w:fldChar w:fldCharType="begin">
                <w:ffData>
                  <w:name w:val="IAOtherDepts"/>
                  <w:enabled/>
                  <w:calcOnExit w:val="0"/>
                  <w:textInput>
                    <w:maxLength w:val="200"/>
                  </w:textInput>
                </w:ffData>
              </w:fldChar>
            </w:r>
            <w:r w:rsidR="000239A7">
              <w:instrText xml:space="preserve"> FORMTEXT </w:instrText>
            </w:r>
            <w:r w:rsidR="000239A7">
              <w:fldChar w:fldCharType="separate"/>
            </w:r>
            <w:r w:rsidR="000239A7">
              <w:rPr>
                <w:noProof/>
              </w:rPr>
              <w:t> </w:t>
            </w:r>
            <w:r w:rsidR="000239A7">
              <w:rPr>
                <w:noProof/>
              </w:rPr>
              <w:t> </w:t>
            </w:r>
            <w:r w:rsidR="000239A7">
              <w:rPr>
                <w:noProof/>
              </w:rPr>
              <w:t> </w:t>
            </w:r>
            <w:r w:rsidR="000239A7">
              <w:rPr>
                <w:noProof/>
              </w:rPr>
              <w:t> </w:t>
            </w:r>
            <w:r w:rsidR="000239A7">
              <w:rPr>
                <w:noProof/>
              </w:rPr>
              <w:t> </w:t>
            </w:r>
            <w:r w:rsidR="000239A7">
              <w:fldChar w:fldCharType="end"/>
            </w:r>
            <w:bookmarkEnd w:id="5"/>
          </w:p>
        </w:tc>
        <w:tc>
          <w:tcPr>
            <w:tcW w:w="4098"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rsidTr="007E190E">
              <w:trPr>
                <w:trHeight w:hRule="exact" w:val="539"/>
              </w:trPr>
              <w:tc>
                <w:tcPr>
                  <w:tcW w:w="4088" w:type="dxa"/>
                  <w:shd w:val="clear" w:color="auto" w:fill="333333"/>
                  <w:vAlign w:val="center"/>
                </w:tcPr>
                <w:p w:rsidR="00B50649" w:rsidRPr="00383295" w:rsidRDefault="00B50649" w:rsidP="00E90731">
                  <w:pPr>
                    <w:pStyle w:val="Title"/>
                  </w:pPr>
                  <w:r w:rsidRPr="00383295">
                    <w:t>Impact Assessment (IA)</w:t>
                  </w:r>
                </w:p>
              </w:tc>
            </w:tr>
            <w:tr w:rsidR="00B50649" w:rsidRPr="00966271" w:rsidTr="007E190E">
              <w:tc>
                <w:tcPr>
                  <w:tcW w:w="4088" w:type="dxa"/>
                  <w:shd w:val="clear" w:color="auto" w:fill="auto"/>
                </w:tcPr>
                <w:p w:rsidR="001F69E9" w:rsidRPr="00631B4C" w:rsidRDefault="00B50649" w:rsidP="00F96B77">
                  <w:pPr>
                    <w:pStyle w:val="IATableLabel"/>
                  </w:pPr>
                  <w:r w:rsidRPr="00631B4C">
                    <w:t>Date:</w:t>
                  </w:r>
                  <w:r w:rsidR="0071686F">
                    <w:t xml:space="preserve"> </w:t>
                  </w:r>
                  <w:r w:rsidR="00C46EA7">
                    <w:rPr>
                      <w:rStyle w:val="IADateChar"/>
                      <w:sz w:val="20"/>
                      <w:szCs w:val="20"/>
                    </w:rPr>
                    <w:fldChar w:fldCharType="begin">
                      <w:ffData>
                        <w:name w:val="IADate"/>
                        <w:enabled/>
                        <w:calcOnExit w:val="0"/>
                        <w:textInput>
                          <w:type w:val="date"/>
                          <w:default w:val="01/01/2016"/>
                          <w:format w:val="DD/MM/YYYY"/>
                        </w:textInput>
                      </w:ffData>
                    </w:fldChar>
                  </w:r>
                  <w:bookmarkStart w:id="6" w:name="IADate"/>
                  <w:r w:rsidR="00C46EA7">
                    <w:rPr>
                      <w:rStyle w:val="IADateChar"/>
                      <w:sz w:val="20"/>
                      <w:szCs w:val="20"/>
                    </w:rPr>
                    <w:instrText xml:space="preserve"> FORMTEXT </w:instrText>
                  </w:r>
                  <w:r w:rsidR="00C46EA7">
                    <w:rPr>
                      <w:rStyle w:val="IADateChar"/>
                      <w:sz w:val="20"/>
                      <w:szCs w:val="20"/>
                    </w:rPr>
                  </w:r>
                  <w:r w:rsidR="00C46EA7">
                    <w:rPr>
                      <w:rStyle w:val="IADateChar"/>
                      <w:sz w:val="20"/>
                      <w:szCs w:val="20"/>
                    </w:rPr>
                    <w:fldChar w:fldCharType="separate"/>
                  </w:r>
                  <w:r w:rsidR="00F96B77">
                    <w:rPr>
                      <w:rStyle w:val="IADateChar"/>
                      <w:sz w:val="20"/>
                      <w:szCs w:val="20"/>
                    </w:rPr>
                    <w:t>28</w:t>
                  </w:r>
                  <w:r w:rsidR="00C46EA7">
                    <w:rPr>
                      <w:rStyle w:val="IADateChar"/>
                      <w:noProof/>
                      <w:sz w:val="20"/>
                      <w:szCs w:val="20"/>
                    </w:rPr>
                    <w:t>/0</w:t>
                  </w:r>
                  <w:r w:rsidR="00F96B77">
                    <w:rPr>
                      <w:rStyle w:val="IADateChar"/>
                      <w:noProof/>
                      <w:sz w:val="20"/>
                      <w:szCs w:val="20"/>
                    </w:rPr>
                    <w:t>4</w:t>
                  </w:r>
                  <w:r w:rsidR="00C46EA7">
                    <w:rPr>
                      <w:rStyle w:val="IADateChar"/>
                      <w:noProof/>
                      <w:sz w:val="20"/>
                      <w:szCs w:val="20"/>
                    </w:rPr>
                    <w:t>/2016</w:t>
                  </w:r>
                  <w:r w:rsidR="00C46EA7">
                    <w:rPr>
                      <w:rStyle w:val="IADateChar"/>
                      <w:sz w:val="20"/>
                      <w:szCs w:val="20"/>
                    </w:rPr>
                    <w:fldChar w:fldCharType="end"/>
                  </w:r>
                  <w:bookmarkEnd w:id="6"/>
                </w:p>
              </w:tc>
            </w:tr>
            <w:tr w:rsidR="00B50649" w:rsidRPr="00966271" w:rsidTr="007E190E">
              <w:tc>
                <w:tcPr>
                  <w:tcW w:w="4088" w:type="dxa"/>
                  <w:shd w:val="clear" w:color="auto" w:fill="auto"/>
                </w:tcPr>
                <w:p w:rsidR="00B50649" w:rsidRPr="007F0ED9" w:rsidRDefault="00941D69" w:rsidP="00E90731">
                  <w:pPr>
                    <w:pStyle w:val="IATableLabel"/>
                  </w:pPr>
                  <w:bookmarkStart w:id="7" w:name="Stage"/>
                  <w:r w:rsidRPr="007F0ED9">
                    <w:t xml:space="preserve">Stage: </w:t>
                  </w:r>
                  <w:r w:rsidRPr="007E190E">
                    <w:rPr>
                      <w:rStyle w:val="IAStageChar"/>
                      <w:sz w:val="20"/>
                    </w:rPr>
                    <w:fldChar w:fldCharType="begin"/>
                  </w:r>
                  <w:r w:rsidRPr="007E190E">
                    <w:rPr>
                      <w:rStyle w:val="IAStageChar"/>
                      <w:sz w:val="20"/>
                    </w:rPr>
                    <w:instrText xml:space="preserve"> DOCPROPERTY  Stage </w:instrText>
                  </w:r>
                  <w:r w:rsidRPr="007E190E">
                    <w:rPr>
                      <w:rStyle w:val="IAStageChar"/>
                      <w:sz w:val="20"/>
                    </w:rPr>
                    <w:fldChar w:fldCharType="separate"/>
                  </w:r>
                  <w:r w:rsidR="00152064">
                    <w:rPr>
                      <w:rStyle w:val="IAStageChar"/>
                      <w:sz w:val="20"/>
                    </w:rPr>
                    <w:t>Final</w:t>
                  </w:r>
                  <w:r w:rsidRPr="007E190E">
                    <w:rPr>
                      <w:rStyle w:val="IAStageChar"/>
                      <w:sz w:val="20"/>
                    </w:rPr>
                    <w:fldChar w:fldCharType="end"/>
                  </w:r>
                  <w:bookmarkEnd w:id="7"/>
                </w:p>
              </w:tc>
            </w:tr>
            <w:tr w:rsidR="00B50649" w:rsidRPr="00966271" w:rsidTr="007E190E">
              <w:tc>
                <w:tcPr>
                  <w:tcW w:w="4088" w:type="dxa"/>
                  <w:shd w:val="clear" w:color="auto" w:fill="auto"/>
                </w:tcPr>
                <w:p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8"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F40FE8">
                    <w:rPr>
                      <w:rStyle w:val="IASOIChar"/>
                      <w:sz w:val="20"/>
                    </w:rPr>
                  </w:r>
                  <w:r w:rsidR="00F40FE8">
                    <w:rPr>
                      <w:rStyle w:val="IASOIChar"/>
                      <w:sz w:val="20"/>
                    </w:rPr>
                    <w:fldChar w:fldCharType="separate"/>
                  </w:r>
                  <w:r w:rsidR="00290335" w:rsidRPr="007E190E">
                    <w:rPr>
                      <w:rStyle w:val="IASOIChar"/>
                      <w:sz w:val="20"/>
                    </w:rPr>
                    <w:fldChar w:fldCharType="end"/>
                  </w:r>
                  <w:bookmarkEnd w:id="8"/>
                </w:p>
              </w:tc>
            </w:tr>
            <w:tr w:rsidR="00052F44" w:rsidRPr="007E190E" w:rsidTr="007E190E">
              <w:tc>
                <w:tcPr>
                  <w:tcW w:w="4088" w:type="dxa"/>
                  <w:shd w:val="clear" w:color="auto" w:fill="auto"/>
                </w:tcPr>
                <w:p w:rsidR="00052F44" w:rsidRPr="007E190E" w:rsidRDefault="00052F44" w:rsidP="00E90731">
                  <w:pPr>
                    <w:pStyle w:val="IATableLabel"/>
                    <w:rPr>
                      <w:b w:val="0"/>
                    </w:rPr>
                  </w:pPr>
                  <w:r w:rsidRPr="007F0ED9">
                    <w:t xml:space="preserve">Type of measure: </w:t>
                  </w:r>
                  <w:bookmarkStart w:id="9" w:name="IAMeasureType"/>
                  <w:r w:rsidR="00290335" w:rsidRPr="007E190E">
                    <w:rPr>
                      <w:rStyle w:val="IATOMChar"/>
                      <w:sz w:val="20"/>
                    </w:rPr>
                    <w:fldChar w:fldCharType="begin">
                      <w:ffData>
                        <w:name w:val="IAMeasureType"/>
                        <w:enabled/>
                        <w:calcOnExit w:val="0"/>
                        <w:ddList>
                          <w:result w:val="1"/>
                          <w:listEntry w:val="Primary legislation"/>
                          <w:listEntry w:val="Secondary legislation"/>
                          <w:listEntry w:val="Other"/>
                        </w:ddList>
                      </w:ffData>
                    </w:fldChar>
                  </w:r>
                  <w:r w:rsidR="00290335" w:rsidRPr="007E190E">
                    <w:rPr>
                      <w:rStyle w:val="IATOMChar"/>
                      <w:sz w:val="20"/>
                    </w:rPr>
                    <w:instrText xml:space="preserve"> FORMDROPDOWN </w:instrText>
                  </w:r>
                  <w:r w:rsidR="00F40FE8">
                    <w:rPr>
                      <w:rStyle w:val="IATOMChar"/>
                      <w:sz w:val="20"/>
                    </w:rPr>
                  </w:r>
                  <w:r w:rsidR="00F40FE8">
                    <w:rPr>
                      <w:rStyle w:val="IATOMChar"/>
                      <w:sz w:val="20"/>
                    </w:rPr>
                    <w:fldChar w:fldCharType="separate"/>
                  </w:r>
                  <w:r w:rsidR="00290335" w:rsidRPr="007E190E">
                    <w:rPr>
                      <w:rStyle w:val="IATOMChar"/>
                      <w:sz w:val="20"/>
                    </w:rPr>
                    <w:fldChar w:fldCharType="end"/>
                  </w:r>
                  <w:bookmarkEnd w:id="9"/>
                </w:p>
              </w:tc>
            </w:tr>
            <w:tr w:rsidR="00B50649" w:rsidRPr="007E190E" w:rsidTr="007E190E">
              <w:trPr>
                <w:trHeight w:val="1115"/>
              </w:trPr>
              <w:tc>
                <w:tcPr>
                  <w:tcW w:w="4088" w:type="dxa"/>
                  <w:shd w:val="clear" w:color="auto" w:fill="auto"/>
                </w:tcPr>
                <w:p w:rsidR="00023080" w:rsidRPr="000F004E" w:rsidRDefault="00773719" w:rsidP="00695B67">
                  <w:pPr>
                    <w:ind w:left="113" w:right="113"/>
                  </w:pPr>
                  <w:r w:rsidRPr="007E190E">
                    <w:rPr>
                      <w:rStyle w:val="IATableLabelCharChar"/>
                      <w:sz w:val="20"/>
                      <w:szCs w:val="20"/>
                    </w:rPr>
                    <w:t>Contact for enquiries:</w:t>
                  </w:r>
                  <w:r w:rsidRPr="00D337D1">
                    <w:t xml:space="preserve"> </w:t>
                  </w:r>
                  <w:bookmarkStart w:id="10" w:name="IAEnquiryContacts"/>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r w:rsidR="00F96B77">
                    <w:rPr>
                      <w:rStyle w:val="IACOEChar"/>
                      <w:b w:val="0"/>
                      <w:sz w:val="20"/>
                    </w:rPr>
                    <w:t>David Campbell</w:t>
                  </w:r>
                  <w:r w:rsidR="00695B67">
                    <w:rPr>
                      <w:rStyle w:val="IACOEChar"/>
                      <w:b w:val="0"/>
                      <w:sz w:val="20"/>
                    </w:rPr>
                    <w:t xml:space="preserve"> 020 7215 0950</w:t>
                  </w:r>
                  <w:r w:rsidRPr="007E190E">
                    <w:rPr>
                      <w:rStyle w:val="IACOEChar"/>
                      <w:b w:val="0"/>
                      <w:sz w:val="20"/>
                    </w:rPr>
                    <w:fldChar w:fldCharType="end"/>
                  </w:r>
                  <w:bookmarkEnd w:id="10"/>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r w:rsidR="000C1D45" w:rsidRPr="007E190E" w:rsidTr="007E190E">
              <w:trPr>
                <w:trHeight w:val="1115"/>
              </w:trPr>
              <w:tc>
                <w:tcPr>
                  <w:tcW w:w="4088" w:type="dxa"/>
                  <w:shd w:val="clear" w:color="auto" w:fill="auto"/>
                </w:tcPr>
                <w:p w:rsidR="000C1D45" w:rsidRPr="007E190E" w:rsidRDefault="000C1D45" w:rsidP="00A32793">
                  <w:pPr>
                    <w:pStyle w:val="IATableLines"/>
                    <w:rPr>
                      <w:b/>
                      <w:color w:val="000000"/>
                      <w:sz w:val="20"/>
                    </w:rPr>
                  </w:pPr>
                </w:p>
              </w:tc>
            </w:tr>
          </w:tbl>
          <w:p w:rsidR="00B50649" w:rsidRPr="007E190E" w:rsidRDefault="00B50649">
            <w:pPr>
              <w:rPr>
                <w:rFonts w:eastAsia="SimSun"/>
              </w:rPr>
            </w:pPr>
          </w:p>
        </w:tc>
      </w:tr>
      <w:tr w:rsidR="000C1D45" w:rsidRPr="007E190E" w:rsidTr="00626698">
        <w:trPr>
          <w:trHeight w:hRule="exact" w:val="410"/>
        </w:trPr>
        <w:tc>
          <w:tcPr>
            <w:tcW w:w="6118" w:type="dxa"/>
            <w:gridSpan w:val="4"/>
            <w:tcBorders>
              <w:top w:val="single" w:sz="4" w:space="0" w:color="auto"/>
              <w:left w:val="nil"/>
              <w:bottom w:val="single" w:sz="4" w:space="0" w:color="auto"/>
              <w:right w:val="single" w:sz="4" w:space="0" w:color="auto"/>
            </w:tcBorders>
            <w:shd w:val="clear" w:color="auto" w:fill="auto"/>
          </w:tcPr>
          <w:p w:rsidR="000C1D45" w:rsidRPr="007E190E" w:rsidRDefault="000C1D45" w:rsidP="007E190E">
            <w:pPr>
              <w:pStyle w:val="Heading1"/>
              <w:spacing w:before="60"/>
              <w:rPr>
                <w:rFonts w:eastAsia="SimSun"/>
                <w:sz w:val="28"/>
                <w:szCs w:val="28"/>
              </w:rPr>
            </w:pPr>
            <w:r w:rsidRPr="007E190E">
              <w:rPr>
                <w:rFonts w:eastAsia="SimSun"/>
                <w:sz w:val="28"/>
                <w:szCs w:val="28"/>
              </w:rPr>
              <w:t xml:space="preserve">Summary: Intervention and Options </w:t>
            </w:r>
          </w:p>
          <w:p w:rsidR="000C1D45" w:rsidRPr="007E190E" w:rsidRDefault="000C1D45" w:rsidP="007E190E">
            <w:pPr>
              <w:pStyle w:val="IAHeadLabel0"/>
              <w:spacing w:before="50"/>
              <w:ind w:left="113"/>
              <w:rPr>
                <w:sz w:val="28"/>
                <w:szCs w:val="28"/>
              </w:rPr>
            </w:pPr>
          </w:p>
        </w:tc>
        <w:tc>
          <w:tcPr>
            <w:tcW w:w="40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C1D45" w:rsidRPr="007E190E" w:rsidRDefault="000C1D45" w:rsidP="00307737">
            <w:pPr>
              <w:pStyle w:val="Title"/>
              <w:rPr>
                <w:rFonts w:eastAsia="SimSun"/>
                <w:b/>
                <w:color w:val="auto"/>
                <w:sz w:val="24"/>
                <w:szCs w:val="24"/>
              </w:rPr>
            </w:pPr>
            <w:r w:rsidRPr="007E190E">
              <w:rPr>
                <w:rFonts w:eastAsia="SimSun"/>
                <w:b/>
                <w:color w:val="auto"/>
                <w:sz w:val="24"/>
                <w:szCs w:val="24"/>
              </w:rPr>
              <w:t>RPC</w:t>
            </w:r>
            <w:r w:rsidR="00EC6B93" w:rsidRPr="007E190E">
              <w:rPr>
                <w:rFonts w:eastAsia="SimSun"/>
                <w:b/>
                <w:color w:val="auto"/>
                <w:sz w:val="24"/>
                <w:szCs w:val="24"/>
              </w:rPr>
              <w:t xml:space="preserve"> Opinion</w:t>
            </w:r>
            <w:r w:rsidRPr="007E190E">
              <w:rPr>
                <w:rFonts w:eastAsia="SimSun"/>
                <w:b/>
                <w:color w:val="auto"/>
                <w:sz w:val="24"/>
                <w:szCs w:val="24"/>
              </w:rPr>
              <w:t xml:space="preserve">: </w:t>
            </w:r>
            <w:r w:rsidR="00307737">
              <w:rPr>
                <w:rStyle w:val="IARPCChar"/>
              </w:rPr>
              <w:fldChar w:fldCharType="begin">
                <w:ffData>
                  <w:name w:val="IARPC"/>
                  <w:enabled/>
                  <w:calcOnExit w:val="0"/>
                  <w:ddList>
                    <w:result w:val="4"/>
                    <w:listEntry w:val="RPC Opinion Status"/>
                    <w:listEntry w:val="Awaiting Scrutiny"/>
                    <w:listEntry w:val="RED"/>
                    <w:listEntry w:val="AMBER"/>
                    <w:listEntry w:val="GREEN"/>
                    <w:listEntry w:val="EANDCB Validated"/>
                    <w:listEntry w:val="Not Applicable"/>
                  </w:ddList>
                </w:ffData>
              </w:fldChar>
            </w:r>
            <w:bookmarkStart w:id="11" w:name="IARPC"/>
            <w:r w:rsidR="00307737">
              <w:rPr>
                <w:rStyle w:val="IARPCChar"/>
              </w:rPr>
              <w:instrText xml:space="preserve"> FORMDROPDOWN </w:instrText>
            </w:r>
            <w:r w:rsidR="00F40FE8">
              <w:rPr>
                <w:rStyle w:val="IARPCChar"/>
              </w:rPr>
            </w:r>
            <w:r w:rsidR="00F40FE8">
              <w:rPr>
                <w:rStyle w:val="IARPCChar"/>
              </w:rPr>
              <w:fldChar w:fldCharType="separate"/>
            </w:r>
            <w:r w:rsidR="00307737">
              <w:rPr>
                <w:rStyle w:val="IARPCChar"/>
              </w:rPr>
              <w:fldChar w:fldCharType="end"/>
            </w:r>
            <w:bookmarkEnd w:id="11"/>
          </w:p>
        </w:tc>
      </w:tr>
      <w:tr w:rsidR="00372A69" w:rsidRPr="007E190E" w:rsidTr="00626698">
        <w:trPr>
          <w:trHeight w:hRule="exact" w:val="90"/>
        </w:trPr>
        <w:tc>
          <w:tcPr>
            <w:tcW w:w="10216" w:type="dxa"/>
            <w:gridSpan w:val="7"/>
            <w:tcBorders>
              <w:top w:val="single" w:sz="4" w:space="0" w:color="auto"/>
              <w:left w:val="nil"/>
              <w:bottom w:val="nil"/>
              <w:right w:val="single" w:sz="4" w:space="0" w:color="auto"/>
            </w:tcBorders>
            <w:shd w:val="clear" w:color="auto" w:fill="auto"/>
          </w:tcPr>
          <w:p w:rsidR="00372A69" w:rsidRPr="007E190E" w:rsidRDefault="00372A69" w:rsidP="00372A69">
            <w:pPr>
              <w:rPr>
                <w:rFonts w:eastAsia="SimSun"/>
              </w:rPr>
            </w:pPr>
          </w:p>
        </w:tc>
      </w:tr>
      <w:tr w:rsidR="00372A69" w:rsidRPr="000E02BE" w:rsidTr="00626698">
        <w:tblPrEx>
          <w:tblBorders>
            <w:insideV w:val="none" w:sz="0" w:space="0" w:color="auto"/>
          </w:tblBorders>
          <w:shd w:val="clear" w:color="auto" w:fill="E0E0E0"/>
        </w:tblPrEx>
        <w:trPr>
          <w:gridAfter w:val="1"/>
          <w:wAfter w:w="9" w:type="dxa"/>
          <w:trHeight w:hRule="exact" w:val="312"/>
        </w:trPr>
        <w:tc>
          <w:tcPr>
            <w:tcW w:w="10207" w:type="dxa"/>
            <w:gridSpan w:val="6"/>
            <w:tcBorders>
              <w:top w:val="single" w:sz="4" w:space="0" w:color="auto"/>
              <w:bottom w:val="nil"/>
              <w:right w:val="single" w:sz="4" w:space="0" w:color="auto"/>
            </w:tcBorders>
            <w:shd w:val="clear" w:color="auto" w:fill="E0E0E0"/>
          </w:tcPr>
          <w:p w:rsidR="00372A69" w:rsidRPr="000E02BE" w:rsidRDefault="00372A69" w:rsidP="006A0557">
            <w:pPr>
              <w:pStyle w:val="IATableLabel"/>
              <w:ind w:left="0"/>
              <w:jc w:val="center"/>
            </w:pPr>
            <w:bookmarkStart w:id="12" w:name="CostText"/>
            <w:r>
              <w:t>Cost of Preferred (or more likely) Optio</w:t>
            </w:r>
            <w:r w:rsidR="00F06858">
              <w:t>n</w:t>
            </w:r>
            <w:bookmarkEnd w:id="12"/>
          </w:p>
        </w:tc>
      </w:tr>
      <w:tr w:rsidR="00372A69" w:rsidRPr="000E02BE" w:rsidTr="00626698">
        <w:tblPrEx>
          <w:tblBorders>
            <w:insideV w:val="none" w:sz="0" w:space="0" w:color="auto"/>
          </w:tblBorders>
          <w:shd w:val="clear" w:color="auto" w:fill="E0E0E0"/>
        </w:tblPrEx>
        <w:trPr>
          <w:gridAfter w:val="1"/>
          <w:wAfter w:w="9" w:type="dxa"/>
          <w:trHeight w:hRule="exact" w:val="571"/>
        </w:trPr>
        <w:tc>
          <w:tcPr>
            <w:tcW w:w="1706"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Total Net Present Value</w:t>
            </w:r>
          </w:p>
        </w:tc>
        <w:tc>
          <w:tcPr>
            <w:tcW w:w="1560" w:type="dxa"/>
            <w:tcBorders>
              <w:top w:val="single" w:sz="4" w:space="0" w:color="auto"/>
              <w:bottom w:val="nil"/>
              <w:right w:val="single" w:sz="4" w:space="0" w:color="auto"/>
            </w:tcBorders>
            <w:shd w:val="clear" w:color="auto" w:fill="E0E0E0"/>
            <w:vAlign w:val="center"/>
          </w:tcPr>
          <w:p w:rsidR="00372A69" w:rsidRPr="000E02BE" w:rsidRDefault="00372A69" w:rsidP="006A0557">
            <w:pPr>
              <w:pStyle w:val="IATableLabel"/>
              <w:spacing w:before="0" w:after="0"/>
            </w:pPr>
            <w:r>
              <w:t>Business Net Present Value</w:t>
            </w:r>
          </w:p>
        </w:tc>
        <w:tc>
          <w:tcPr>
            <w:tcW w:w="2551" w:type="dxa"/>
            <w:tcBorders>
              <w:top w:val="single" w:sz="4" w:space="0" w:color="auto"/>
              <w:bottom w:val="nil"/>
              <w:right w:val="single" w:sz="4" w:space="0" w:color="auto"/>
            </w:tcBorders>
            <w:shd w:val="clear" w:color="auto" w:fill="E0E0E0"/>
            <w:vAlign w:val="center"/>
          </w:tcPr>
          <w:p w:rsidR="00372A69" w:rsidRPr="000E02BE" w:rsidRDefault="00372A69" w:rsidP="006C6483">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07737">
              <w:rPr>
                <w:b w:val="0"/>
                <w:sz w:val="16"/>
                <w:szCs w:val="16"/>
              </w:rPr>
              <w:t>EAN</w:t>
            </w:r>
            <w:r w:rsidR="00E81F35" w:rsidRPr="00307737">
              <w:rPr>
                <w:b w:val="0"/>
                <w:sz w:val="16"/>
                <w:szCs w:val="16"/>
              </w:rPr>
              <w:t>D</w:t>
            </w:r>
            <w:r w:rsidR="00332B05" w:rsidRPr="00307737">
              <w:rPr>
                <w:b w:val="0"/>
                <w:sz w:val="16"/>
                <w:szCs w:val="16"/>
              </w:rPr>
              <w:t xml:space="preserve">CB </w:t>
            </w:r>
            <w:r w:rsidR="006C6483" w:rsidRPr="00307737">
              <w:rPr>
                <w:b w:val="0"/>
                <w:sz w:val="16"/>
                <w:szCs w:val="16"/>
              </w:rPr>
              <w:t>i</w:t>
            </w:r>
            <w:r w:rsidR="006656EC" w:rsidRPr="00307737">
              <w:rPr>
                <w:b w:val="0"/>
                <w:sz w:val="16"/>
                <w:szCs w:val="16"/>
              </w:rPr>
              <w:t>n 20</w:t>
            </w:r>
            <w:r w:rsidR="00E81F35" w:rsidRPr="00307737">
              <w:rPr>
                <w:b w:val="0"/>
                <w:sz w:val="16"/>
                <w:szCs w:val="16"/>
              </w:rPr>
              <w:t>14</w:t>
            </w:r>
            <w:r w:rsidR="006656EC" w:rsidRPr="00307737">
              <w:rPr>
                <w:b w:val="0"/>
                <w:sz w:val="16"/>
                <w:szCs w:val="16"/>
              </w:rPr>
              <w:t xml:space="preserve"> prices</w:t>
            </w:r>
            <w:r w:rsidR="006656EC" w:rsidRPr="006656EC">
              <w:rPr>
                <w:b w:val="0"/>
                <w:sz w:val="16"/>
                <w:szCs w:val="16"/>
              </w:rPr>
              <w:t>)</w:t>
            </w:r>
          </w:p>
        </w:tc>
        <w:tc>
          <w:tcPr>
            <w:tcW w:w="1559" w:type="dxa"/>
            <w:gridSpan w:val="2"/>
            <w:tcBorders>
              <w:top w:val="single" w:sz="4" w:space="0" w:color="auto"/>
              <w:left w:val="single" w:sz="4" w:space="0" w:color="auto"/>
              <w:bottom w:val="nil"/>
              <w:right w:val="single" w:sz="4" w:space="0" w:color="auto"/>
            </w:tcBorders>
            <w:shd w:val="clear" w:color="auto" w:fill="E0E0E0"/>
            <w:vAlign w:val="center"/>
          </w:tcPr>
          <w:p w:rsidR="00A0444F" w:rsidRDefault="00372A69" w:rsidP="00E81F35">
            <w:pPr>
              <w:pStyle w:val="IATableLabel"/>
              <w:spacing w:before="0" w:after="0"/>
            </w:pPr>
            <w:r>
              <w:t>On</w:t>
            </w:r>
            <w:r w:rsidR="00290335">
              <w:t>e</w:t>
            </w:r>
            <w:r>
              <w:t xml:space="preserve">-In, </w:t>
            </w:r>
          </w:p>
          <w:p w:rsidR="00372A69" w:rsidRPr="000E02BE" w:rsidRDefault="003228BF" w:rsidP="00E81F35">
            <w:pPr>
              <w:pStyle w:val="IATableLabel"/>
              <w:spacing w:before="0" w:after="0"/>
            </w:pPr>
            <w:r>
              <w:t>T</w:t>
            </w:r>
            <w:r w:rsidR="00E81F35">
              <w:t>hree</w:t>
            </w:r>
            <w:r w:rsidR="00372A69">
              <w:t>-Out</w:t>
            </w:r>
          </w:p>
        </w:tc>
        <w:tc>
          <w:tcPr>
            <w:tcW w:w="2831" w:type="dxa"/>
            <w:tcBorders>
              <w:top w:val="single" w:sz="4" w:space="0" w:color="auto"/>
              <w:left w:val="single" w:sz="4" w:space="0" w:color="auto"/>
              <w:bottom w:val="nil"/>
              <w:right w:val="single" w:sz="4" w:space="0" w:color="auto"/>
            </w:tcBorders>
            <w:shd w:val="clear" w:color="auto" w:fill="E0E0E0"/>
            <w:vAlign w:val="center"/>
          </w:tcPr>
          <w:p w:rsidR="00372A69" w:rsidRDefault="00227EBE" w:rsidP="00000766">
            <w:pPr>
              <w:pStyle w:val="IATableLabel"/>
              <w:spacing w:before="0" w:after="0"/>
            </w:pPr>
            <w:r>
              <w:t>Business Impact Target</w:t>
            </w:r>
            <w:r w:rsidR="009A1142">
              <w:t xml:space="preserve">       S</w:t>
            </w:r>
            <w:r>
              <w:t>tatus</w:t>
            </w:r>
          </w:p>
          <w:p w:rsidR="00463490" w:rsidRPr="000E02BE" w:rsidRDefault="00463490" w:rsidP="00000766">
            <w:pPr>
              <w:pStyle w:val="IATableLabel"/>
              <w:spacing w:before="0" w:after="0"/>
            </w:pPr>
          </w:p>
        </w:tc>
      </w:tr>
      <w:bookmarkStart w:id="13" w:name="IATNPV"/>
      <w:tr w:rsidR="00372A69" w:rsidRPr="0061761A" w:rsidTr="00626698">
        <w:tblPrEx>
          <w:tblBorders>
            <w:insideV w:val="none" w:sz="0" w:space="0" w:color="auto"/>
          </w:tblBorders>
          <w:shd w:val="clear" w:color="auto" w:fill="E0E0E0"/>
        </w:tblPrEx>
        <w:trPr>
          <w:gridAfter w:val="1"/>
          <w:wAfter w:w="9" w:type="dxa"/>
          <w:trHeight w:hRule="exact" w:val="340"/>
        </w:trPr>
        <w:tc>
          <w:tcPr>
            <w:tcW w:w="1706" w:type="dxa"/>
            <w:tcBorders>
              <w:top w:val="nil"/>
              <w:bottom w:val="single" w:sz="4" w:space="0" w:color="auto"/>
              <w:right w:val="single" w:sz="4" w:space="0" w:color="auto"/>
            </w:tcBorders>
            <w:shd w:val="clear" w:color="auto" w:fill="E0E0E0"/>
            <w:vAlign w:val="center"/>
          </w:tcPr>
          <w:p w:rsidR="00372A69" w:rsidRPr="000E02BE" w:rsidRDefault="005A0B86" w:rsidP="008369A3">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Pr>
                <w:noProof/>
              </w:rPr>
              <w:t>£</w:t>
            </w:r>
            <w:r w:rsidR="00F96B77">
              <w:rPr>
                <w:noProof/>
              </w:rPr>
              <w:t>-10.67</w:t>
            </w:r>
            <w:r>
              <w:rPr>
                <w:noProof/>
              </w:rPr>
              <w:t>m</w:t>
            </w:r>
            <w:r>
              <w:fldChar w:fldCharType="end"/>
            </w:r>
            <w:bookmarkEnd w:id="13"/>
          </w:p>
        </w:tc>
        <w:bookmarkStart w:id="14" w:name="IABNPV"/>
        <w:tc>
          <w:tcPr>
            <w:tcW w:w="1560" w:type="dxa"/>
            <w:tcBorders>
              <w:top w:val="nil"/>
              <w:bottom w:val="single" w:sz="4" w:space="0" w:color="auto"/>
              <w:right w:val="single" w:sz="4" w:space="0" w:color="auto"/>
            </w:tcBorders>
            <w:shd w:val="clear" w:color="auto" w:fill="E0E0E0"/>
            <w:vAlign w:val="center"/>
          </w:tcPr>
          <w:p w:rsidR="00372A69" w:rsidRPr="000E02BE" w:rsidRDefault="005A0B86" w:rsidP="008369A3">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Pr>
                <w:noProof/>
              </w:rPr>
              <w:t>£</w:t>
            </w:r>
            <w:r w:rsidR="00F96B77">
              <w:rPr>
                <w:noProof/>
              </w:rPr>
              <w:t>-5.38</w:t>
            </w:r>
            <w:r>
              <w:rPr>
                <w:noProof/>
              </w:rPr>
              <w:t>m</w:t>
            </w:r>
            <w:r>
              <w:fldChar w:fldCharType="end"/>
            </w:r>
            <w:bookmarkEnd w:id="14"/>
          </w:p>
        </w:tc>
        <w:bookmarkStart w:id="15" w:name="IANCTBPY"/>
        <w:tc>
          <w:tcPr>
            <w:tcW w:w="2551" w:type="dxa"/>
            <w:tcBorders>
              <w:top w:val="nil"/>
              <w:bottom w:val="single" w:sz="4" w:space="0" w:color="auto"/>
              <w:right w:val="single" w:sz="4" w:space="0" w:color="auto"/>
            </w:tcBorders>
            <w:shd w:val="clear" w:color="auto" w:fill="E0E0E0"/>
            <w:vAlign w:val="center"/>
          </w:tcPr>
          <w:p w:rsidR="00372A69" w:rsidRPr="000E02BE" w:rsidRDefault="005A0B86" w:rsidP="008369A3">
            <w:pPr>
              <w:pStyle w:val="IAIONCTBPY"/>
            </w:pPr>
            <w:r>
              <w:fldChar w:fldCharType="begin">
                <w:ffData>
                  <w:name w:val="IANCTBPY"/>
                  <w:enabled/>
                  <w:calcOnExit w:val="0"/>
                  <w:textInput>
                    <w:default w:val="£m"/>
                    <w:maxLength w:val="9"/>
                  </w:textInput>
                </w:ffData>
              </w:fldChar>
            </w:r>
            <w:r>
              <w:instrText xml:space="preserve"> FORMTEXT </w:instrText>
            </w:r>
            <w:r>
              <w:fldChar w:fldCharType="separate"/>
            </w:r>
            <w:r>
              <w:rPr>
                <w:noProof/>
              </w:rPr>
              <w:t>£</w:t>
            </w:r>
            <w:r w:rsidR="00F96B77">
              <w:rPr>
                <w:noProof/>
              </w:rPr>
              <w:t>0.6</w:t>
            </w:r>
            <w:r>
              <w:rPr>
                <w:noProof/>
              </w:rPr>
              <w:t>m</w:t>
            </w:r>
            <w:r>
              <w:fldChar w:fldCharType="end"/>
            </w:r>
            <w:bookmarkEnd w:id="15"/>
          </w:p>
        </w:tc>
        <w:tc>
          <w:tcPr>
            <w:tcW w:w="1559" w:type="dxa"/>
            <w:gridSpan w:val="2"/>
            <w:tcBorders>
              <w:top w:val="nil"/>
              <w:left w:val="single" w:sz="4" w:space="0" w:color="auto"/>
              <w:bottom w:val="single" w:sz="4" w:space="0" w:color="auto"/>
              <w:right w:val="single" w:sz="4" w:space="0" w:color="auto"/>
            </w:tcBorders>
            <w:shd w:val="clear" w:color="auto" w:fill="E0E0E0"/>
            <w:vAlign w:val="center"/>
          </w:tcPr>
          <w:p w:rsidR="00372A69" w:rsidRPr="000E02BE" w:rsidRDefault="00A0444F" w:rsidP="008369A3">
            <w:pPr>
              <w:pStyle w:val="IAIOInScopeInOut"/>
            </w:pPr>
            <w:r>
              <w:fldChar w:fldCharType="begin">
                <w:ffData>
                  <w:name w:val="IAInScopeInOut"/>
                  <w:enabled/>
                  <w:calcOnExit w:val="0"/>
                  <w:ddList>
                    <w:result w:val="1"/>
                    <w:listEntry w:val="Not in scope"/>
                    <w:listEntry w:val="In scope"/>
                  </w:ddList>
                </w:ffData>
              </w:fldChar>
            </w:r>
            <w:bookmarkStart w:id="16" w:name="IAInScopeInOut"/>
            <w:r>
              <w:instrText xml:space="preserve"> FORMDROPDOWN </w:instrText>
            </w:r>
            <w:r w:rsidR="00F40FE8">
              <w:fldChar w:fldCharType="separate"/>
            </w:r>
            <w:r>
              <w:fldChar w:fldCharType="end"/>
            </w:r>
            <w:bookmarkEnd w:id="16"/>
          </w:p>
        </w:tc>
        <w:tc>
          <w:tcPr>
            <w:tcW w:w="2831" w:type="dxa"/>
            <w:tcBorders>
              <w:top w:val="nil"/>
              <w:left w:val="single" w:sz="4" w:space="0" w:color="auto"/>
              <w:bottom w:val="single" w:sz="4" w:space="0" w:color="auto"/>
              <w:right w:val="single" w:sz="4" w:space="0" w:color="auto"/>
            </w:tcBorders>
            <w:shd w:val="clear" w:color="auto" w:fill="E0E0E0"/>
            <w:vAlign w:val="center"/>
          </w:tcPr>
          <w:p w:rsidR="00372A69" w:rsidRPr="000E02BE" w:rsidRDefault="00D07E33" w:rsidP="008369A3">
            <w:pPr>
              <w:pStyle w:val="IAIOPrefMQ"/>
            </w:pPr>
            <w:r>
              <w:fldChar w:fldCharType="begin">
                <w:ffData>
                  <w:name w:val="IAPrefMQ"/>
                  <w:enabled/>
                  <w:calcOnExit w:val="0"/>
                  <w:ddList>
                    <w:listEntry w:val="Qualifying provision"/>
                    <w:listEntry w:val="Non qualifying provision"/>
                    <w:listEntry w:val="Not a regulatory provision"/>
                  </w:ddList>
                </w:ffData>
              </w:fldChar>
            </w:r>
            <w:bookmarkStart w:id="17" w:name="IAPrefMQ"/>
            <w:r>
              <w:instrText xml:space="preserve"> FORMDROPDOWN </w:instrText>
            </w:r>
            <w:r w:rsidR="00F40FE8">
              <w:fldChar w:fldCharType="separate"/>
            </w:r>
            <w:r>
              <w:fldChar w:fldCharType="end"/>
            </w:r>
            <w:bookmarkEnd w:id="17"/>
          </w:p>
        </w:tc>
      </w:tr>
      <w:tr w:rsidR="007208D9" w:rsidRPr="00826F71" w:rsidTr="00626698">
        <w:tblPrEx>
          <w:tblBorders>
            <w:insideV w:val="none" w:sz="0" w:space="0" w:color="auto"/>
          </w:tblBorders>
        </w:tblPrEx>
        <w:trPr>
          <w:gridAfter w:val="1"/>
          <w:wAfter w:w="9" w:type="dxa"/>
          <w:trHeight w:hRule="exact" w:val="2262"/>
        </w:trPr>
        <w:tc>
          <w:tcPr>
            <w:tcW w:w="10207" w:type="dxa"/>
            <w:gridSpan w:val="6"/>
            <w:tcBorders>
              <w:top w:val="single" w:sz="4" w:space="0" w:color="auto"/>
              <w:left w:val="single" w:sz="4" w:space="0" w:color="auto"/>
              <w:bottom w:val="single" w:sz="4" w:space="0" w:color="auto"/>
              <w:right w:val="single" w:sz="4" w:space="0" w:color="auto"/>
            </w:tcBorders>
          </w:tcPr>
          <w:p w:rsidR="007208D9" w:rsidRPr="00EA0B74" w:rsidRDefault="00686F5E" w:rsidP="008369A3">
            <w:pPr>
              <w:pStyle w:val="IAIOQ1"/>
            </w:pPr>
            <w:bookmarkStart w:id="18" w:name="Summary1"/>
            <w:r>
              <w:t>What is the problem under consideration? Why is government intervention necessary?</w:t>
            </w:r>
            <w:bookmarkEnd w:id="18"/>
          </w:p>
          <w:bookmarkStart w:id="19" w:name="IAIOA1"/>
          <w:p w:rsidR="00E75380" w:rsidRPr="00C120C0" w:rsidRDefault="008369A3" w:rsidP="006333A7">
            <w:pPr>
              <w:pStyle w:val="IATableLines"/>
            </w:pPr>
            <w:r>
              <w:fldChar w:fldCharType="begin">
                <w:ffData>
                  <w:name w:val="IAIOA1"/>
                  <w:enabled/>
                  <w:calcOnExit w:val="0"/>
                  <w:textInput>
                    <w:default w:val="Maximum of 7 lines"/>
                    <w:maxLength w:val="800"/>
                  </w:textInput>
                </w:ffData>
              </w:fldChar>
            </w:r>
            <w:r>
              <w:instrText xml:space="preserve"> FORMTEXT </w:instrText>
            </w:r>
            <w:r>
              <w:fldChar w:fldCharType="separate"/>
            </w:r>
            <w:r w:rsidR="00F96B77" w:rsidRPr="00F96B77">
              <w:t xml:space="preserve">The Business Impact Target (BIT) is a target for Government in respect of the economic impact of regulation on business.  It requires Government departments and organisations exercising a function conferred on a Minister by an act of parliament to assess and report on the costs to business of changes in regulatory activity. The target currently applies to legislation and the actions of UK Ministers including the actions of non-statutory regulators acting for or on behalf of Ministers. Businesses tell Government that the actions of regulators are as important as the content of legislation in determining their experience of regulation. Government is expanding the scope of the BIT to include the activities of statutory regulators.          </w:t>
            </w:r>
            <w:r w:rsidR="00F96B77">
              <w:t> </w:t>
            </w:r>
            <w:r w:rsidR="00F96B77">
              <w:t> </w:t>
            </w:r>
            <w:r w:rsidR="00F96B77">
              <w:t> </w:t>
            </w:r>
            <w:r w:rsidR="00F96B77">
              <w:t> </w:t>
            </w:r>
            <w:r w:rsidR="00F96B77">
              <w:t> </w:t>
            </w:r>
            <w:r>
              <w:fldChar w:fldCharType="end"/>
            </w:r>
            <w:bookmarkEnd w:id="19"/>
          </w:p>
        </w:tc>
      </w:tr>
    </w:tbl>
    <w:p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826F71">
        <w:trPr>
          <w:trHeight w:hRule="exact" w:val="2182"/>
        </w:trPr>
        <w:tc>
          <w:tcPr>
            <w:tcW w:w="10214" w:type="dxa"/>
          </w:tcPr>
          <w:p w:rsidR="007208D9" w:rsidRPr="00EA0B74" w:rsidRDefault="00686F5E" w:rsidP="008369A3">
            <w:pPr>
              <w:pStyle w:val="IAIOQ2"/>
            </w:pPr>
            <w:bookmarkStart w:id="20" w:name="Summary2"/>
            <w:r>
              <w:t>What are the policy objectives and the intended effects?</w:t>
            </w:r>
            <w:bookmarkEnd w:id="20"/>
          </w:p>
          <w:bookmarkStart w:id="21" w:name="IAIOA2"/>
          <w:p w:rsidR="00E75380" w:rsidRPr="00C120C0" w:rsidRDefault="008369A3" w:rsidP="00F96B77">
            <w:pPr>
              <w:pStyle w:val="IATableLines"/>
            </w:pPr>
            <w:r>
              <w:fldChar w:fldCharType="begin">
                <w:ffData>
                  <w:name w:val="IAIOA2"/>
                  <w:enabled/>
                  <w:calcOnExit w:val="0"/>
                  <w:textInput>
                    <w:default w:val="Maximum of 7 lines"/>
                    <w:maxLength w:val="800"/>
                  </w:textInput>
                </w:ffData>
              </w:fldChar>
            </w:r>
            <w:r>
              <w:instrText xml:space="preserve"> FORMTEXT </w:instrText>
            </w:r>
            <w:r>
              <w:fldChar w:fldCharType="separate"/>
            </w:r>
            <w:r w:rsidR="00F96B77" w:rsidRPr="00F96B77">
              <w:t xml:space="preserve">The BIT aims to manage and control regulatory burdens  on business which, in turn, frees up business resources to be used in more productive ways. Expanding the coverage of the target to include the actions of statutory regulators will allow for a wider range of Government regulatory activity that imposes burdens on business to be captured under the target and reported on. Regulators will have to undertake more routine measurement of the economic impacts of changes to their policies and practices.         </w:t>
            </w:r>
            <w:r w:rsidR="00F96B77">
              <w:t> </w:t>
            </w:r>
            <w:r w:rsidR="00F96B77">
              <w:t> </w:t>
            </w:r>
            <w:r w:rsidR="00F96B77">
              <w:t> </w:t>
            </w:r>
            <w:r w:rsidR="00F96B77">
              <w:t> </w:t>
            </w:r>
            <w:r w:rsidR="00F96B77">
              <w:t> </w:t>
            </w:r>
            <w:r>
              <w:fldChar w:fldCharType="end"/>
            </w:r>
            <w:bookmarkEnd w:id="21"/>
          </w:p>
        </w:tc>
      </w:tr>
    </w:tbl>
    <w:p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trPr>
          <w:trHeight w:hRule="exact" w:val="3179"/>
        </w:trPr>
        <w:tc>
          <w:tcPr>
            <w:tcW w:w="9648" w:type="dxa"/>
          </w:tcPr>
          <w:p w:rsidR="00686F5E" w:rsidRPr="00826F71" w:rsidRDefault="00686F5E" w:rsidP="008369A3">
            <w:pPr>
              <w:pStyle w:val="IAIOQ3"/>
            </w:pPr>
            <w:bookmarkStart w:id="22" w:name="IAIOQ3"/>
            <w:bookmarkStart w:id="23" w:name="Summary3"/>
            <w:r>
              <w:t>What policy options have been considered</w:t>
            </w:r>
            <w:r w:rsidR="005D6EA8">
              <w:t>, including any alternatives to regulation</w:t>
            </w:r>
            <w:r>
              <w:t>? Please justify preferred option (further details in Evidence Base)</w:t>
            </w:r>
            <w:bookmarkEnd w:id="22"/>
          </w:p>
          <w:bookmarkStart w:id="24" w:name="IAIOA3"/>
          <w:p w:rsidR="00F96B77" w:rsidRDefault="008369A3" w:rsidP="00F96B77">
            <w:pPr>
              <w:pStyle w:val="IATableLines"/>
            </w:pPr>
            <w:r>
              <w:fldChar w:fldCharType="begin">
                <w:ffData>
                  <w:name w:val="IAIOA3"/>
                  <w:enabled/>
                  <w:calcOnExit w:val="0"/>
                  <w:textInput>
                    <w:default w:val="Maximum of 10 lines"/>
                    <w:maxLength w:val="1100"/>
                  </w:textInput>
                </w:ffData>
              </w:fldChar>
            </w:r>
            <w:r>
              <w:instrText xml:space="preserve"> FORMTEXT </w:instrText>
            </w:r>
            <w:r>
              <w:fldChar w:fldCharType="separate"/>
            </w:r>
            <w:r w:rsidR="00F96B77">
              <w:t xml:space="preserve">Option1 - Do nothing. Rely on the existing business impact target and Accountability for Regulator Impact (ARI) policy to ensure that regulatory burdens on business are identified and reduced. </w:t>
            </w:r>
          </w:p>
          <w:p w:rsidR="00F96B77" w:rsidRDefault="00F96B77" w:rsidP="00F96B77">
            <w:pPr>
              <w:pStyle w:val="IATableLines"/>
            </w:pPr>
          </w:p>
          <w:p w:rsidR="00F96B77" w:rsidRDefault="00F96B77" w:rsidP="00F96B77">
            <w:pPr>
              <w:pStyle w:val="IATableLines"/>
            </w:pPr>
            <w:r>
              <w:t xml:space="preserve">Option 2 - Alter the existing ARI policy and monitor and report on the actions of regulators on an administrative basis. </w:t>
            </w:r>
          </w:p>
          <w:p w:rsidR="00F96B77" w:rsidRDefault="00F96B77" w:rsidP="00F96B77">
            <w:pPr>
              <w:pStyle w:val="IATableLines"/>
            </w:pPr>
          </w:p>
          <w:p w:rsidR="00D50283" w:rsidRPr="00C120C0" w:rsidRDefault="00F96B77" w:rsidP="00F96B77">
            <w:pPr>
              <w:pStyle w:val="IATableLines"/>
            </w:pPr>
            <w:r>
              <w:t xml:space="preserve"> Option 3 - Legislate to extend the business impact target to ensure that statutory regulators measure and   report on the impacts of their actions on business. (Option taken forward)</w:t>
            </w:r>
            <w:r>
              <w:t> </w:t>
            </w:r>
            <w:r>
              <w:t> </w:t>
            </w:r>
            <w:r>
              <w:t> </w:t>
            </w:r>
            <w:r>
              <w:t> </w:t>
            </w:r>
            <w:r>
              <w:t> </w:t>
            </w:r>
            <w:r w:rsidR="008369A3">
              <w:fldChar w:fldCharType="end"/>
            </w:r>
            <w:bookmarkEnd w:id="24"/>
          </w:p>
        </w:tc>
      </w:tr>
    </w:tbl>
    <w:p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720FFE" w:rsidTr="007E190E">
        <w:tc>
          <w:tcPr>
            <w:tcW w:w="5000" w:type="pct"/>
            <w:shd w:val="clear" w:color="auto" w:fill="auto"/>
          </w:tcPr>
          <w:p w:rsidR="00720FFE" w:rsidRPr="007E190E" w:rsidRDefault="00720FFE" w:rsidP="00332B05">
            <w:pPr>
              <w:pStyle w:val="IATableLabel"/>
              <w:rPr>
                <w:b w:val="0"/>
                <w:sz w:val="22"/>
                <w:szCs w:val="22"/>
              </w:rPr>
            </w:pPr>
            <w:r w:rsidRPr="00D02C89">
              <w:t xml:space="preserve">Will the policy be reviewed?  </w:t>
            </w:r>
            <w:r w:rsidRPr="007E190E">
              <w:rPr>
                <w:b w:val="0"/>
                <w:sz w:val="22"/>
                <w:szCs w:val="22"/>
              </w:rPr>
              <w:t xml:space="preserve">It </w:t>
            </w:r>
            <w:bookmarkStart w:id="25" w:name="IAPolicyReview"/>
            <w:r w:rsidR="00BB249D" w:rsidRPr="007E190E">
              <w:rPr>
                <w:rStyle w:val="IAIOPolicyReviewChar"/>
              </w:rPr>
              <w:fldChar w:fldCharType="begin">
                <w:ffData>
                  <w:name w:val="IAPolicyReview"/>
                  <w:enabled/>
                  <w:calcOnExit w:val="0"/>
                  <w:ddList>
                    <w:result w:val="1"/>
                    <w:listEntry w:val="will/will not"/>
                    <w:listEntry w:val="will"/>
                    <w:listEntry w:val="will not"/>
                  </w:ddList>
                </w:ffData>
              </w:fldChar>
            </w:r>
            <w:r w:rsidR="00BB249D" w:rsidRPr="007E190E">
              <w:rPr>
                <w:rStyle w:val="IAIOPolicyReviewChar"/>
              </w:rPr>
              <w:instrText xml:space="preserve"> FORMDROPDOWN </w:instrText>
            </w:r>
            <w:r w:rsidR="00F40FE8">
              <w:rPr>
                <w:rStyle w:val="IAIOPolicyReviewChar"/>
              </w:rPr>
            </w:r>
            <w:r w:rsidR="00F40FE8">
              <w:rPr>
                <w:rStyle w:val="IAIOPolicyReviewChar"/>
              </w:rPr>
              <w:fldChar w:fldCharType="separate"/>
            </w:r>
            <w:r w:rsidR="00BB249D" w:rsidRPr="007E190E">
              <w:rPr>
                <w:rStyle w:val="IAIOPolicyReviewChar"/>
              </w:rPr>
              <w:fldChar w:fldCharType="end"/>
            </w:r>
            <w:bookmarkEnd w:id="25"/>
            <w:r w:rsidRPr="007E190E">
              <w:rPr>
                <w:b w:val="0"/>
                <w:sz w:val="22"/>
                <w:szCs w:val="22"/>
              </w:rPr>
              <w:t xml:space="preserve"> </w:t>
            </w:r>
            <w:proofErr w:type="gramStart"/>
            <w:r w:rsidRPr="007E190E">
              <w:rPr>
                <w:b w:val="0"/>
                <w:sz w:val="22"/>
                <w:szCs w:val="22"/>
              </w:rPr>
              <w:t>be</w:t>
            </w:r>
            <w:proofErr w:type="gramEnd"/>
            <w:r w:rsidRPr="007E190E">
              <w:rPr>
                <w:b w:val="0"/>
                <w:sz w:val="22"/>
                <w:szCs w:val="22"/>
              </w:rPr>
              <w:t xml:space="preserve"> reviewed.</w:t>
            </w:r>
            <w:r w:rsidRPr="007E190E">
              <w:rPr>
                <w:sz w:val="22"/>
                <w:szCs w:val="22"/>
              </w:rPr>
              <w:t xml:space="preserve"> </w:t>
            </w:r>
            <w:r w:rsidRPr="00D02C89">
              <w:t xml:space="preserve"> If applicable, set review date:  </w:t>
            </w:r>
            <w:bookmarkStart w:id="26" w:name="IAReviewMonth"/>
            <w:r w:rsidR="00BB249D" w:rsidRPr="007E190E">
              <w:rPr>
                <w:rStyle w:val="IAIOReviewMonthChar"/>
              </w:rPr>
              <w:fldChar w:fldCharType="begin">
                <w:ffData>
                  <w:name w:val="IAReviewMonth"/>
                  <w:enabled/>
                  <w:calcOnExit w:val="0"/>
                  <w:ddList>
                    <w:result w:val="10"/>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7E190E">
              <w:rPr>
                <w:rStyle w:val="IAIOReviewMonthChar"/>
              </w:rPr>
              <w:instrText xml:space="preserve"> FORMDROPDOWN </w:instrText>
            </w:r>
            <w:r w:rsidR="00F40FE8">
              <w:rPr>
                <w:rStyle w:val="IAIOReviewMonthChar"/>
              </w:rPr>
            </w:r>
            <w:r w:rsidR="00F40FE8">
              <w:rPr>
                <w:rStyle w:val="IAIOReviewMonthChar"/>
              </w:rPr>
              <w:fldChar w:fldCharType="separate"/>
            </w:r>
            <w:r w:rsidR="00BB249D" w:rsidRPr="007E190E">
              <w:rPr>
                <w:rStyle w:val="IAIOReviewMonthChar"/>
              </w:rPr>
              <w:fldChar w:fldCharType="end"/>
            </w:r>
            <w:bookmarkEnd w:id="26"/>
            <w:r w:rsidRPr="007E190E">
              <w:rPr>
                <w:b w:val="0"/>
                <w:sz w:val="22"/>
                <w:szCs w:val="22"/>
              </w:rPr>
              <w:t>/</w:t>
            </w:r>
            <w:bookmarkStart w:id="27" w:name="IAReviewYear"/>
            <w:r w:rsidR="00BB249D" w:rsidRPr="007E190E">
              <w:rPr>
                <w:rStyle w:val="IAIOReviewYearChar"/>
              </w:rPr>
              <w:fldChar w:fldCharType="begin">
                <w:ffData>
                  <w:name w:val="IAReviewYear"/>
                  <w:enabled/>
                  <w:calcOnExit w:val="0"/>
                  <w:ddList>
                    <w:result w:val="12"/>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7E190E">
              <w:rPr>
                <w:rStyle w:val="IAIOReviewYearChar"/>
              </w:rPr>
              <w:instrText xml:space="preserve"> FORMDROPDOWN </w:instrText>
            </w:r>
            <w:r w:rsidR="00F40FE8">
              <w:rPr>
                <w:rStyle w:val="IAIOReviewYearChar"/>
              </w:rPr>
            </w:r>
            <w:r w:rsidR="00F40FE8">
              <w:rPr>
                <w:rStyle w:val="IAIOReviewYearChar"/>
              </w:rPr>
              <w:fldChar w:fldCharType="separate"/>
            </w:r>
            <w:r w:rsidR="00BB249D" w:rsidRPr="007E190E">
              <w:rPr>
                <w:rStyle w:val="IAIOReviewYearChar"/>
              </w:rPr>
              <w:fldChar w:fldCharType="end"/>
            </w:r>
            <w:bookmarkEnd w:id="27"/>
          </w:p>
        </w:tc>
      </w:tr>
    </w:tbl>
    <w:p w:rsidR="007E190E" w:rsidRPr="007E190E" w:rsidRDefault="007E190E" w:rsidP="007E190E">
      <w:pPr>
        <w:rPr>
          <w:vanish/>
        </w:rPr>
      </w:pPr>
      <w:bookmarkStart w:id="28" w:name="Summary4"/>
      <w:bookmarkEnd w:id="23"/>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6269"/>
        <w:gridCol w:w="983"/>
        <w:gridCol w:w="983"/>
        <w:gridCol w:w="348"/>
        <w:gridCol w:w="635"/>
        <w:gridCol w:w="983"/>
      </w:tblGrid>
      <w:tr w:rsidR="006656EC" w:rsidRPr="00D50283">
        <w:trPr>
          <w:trHeight w:hRule="exact" w:val="340"/>
        </w:trPr>
        <w:tc>
          <w:tcPr>
            <w:tcW w:w="7252" w:type="dxa"/>
            <w:gridSpan w:val="2"/>
            <w:shd w:val="clear" w:color="auto" w:fill="E0E0E0"/>
            <w:vAlign w:val="center"/>
          </w:tcPr>
          <w:p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9" w:name="IACheckEU"/>
        <w:tc>
          <w:tcPr>
            <w:tcW w:w="2949" w:type="dxa"/>
            <w:gridSpan w:val="4"/>
            <w:tcBorders>
              <w:bottom w:val="single" w:sz="4" w:space="0" w:color="auto"/>
            </w:tcBorders>
            <w:shd w:val="clear" w:color="auto" w:fill="E0E0E0"/>
            <w:vAlign w:val="center"/>
          </w:tcPr>
          <w:p w:rsidR="006656EC" w:rsidRPr="00D50283" w:rsidRDefault="00BB249D" w:rsidP="00F91F5A">
            <w:pPr>
              <w:pStyle w:val="IAIOCheckEU"/>
            </w:pPr>
            <w:r>
              <w:fldChar w:fldCharType="begin">
                <w:ffData>
                  <w:name w:val="IACheckEU"/>
                  <w:enabled/>
                  <w:calcOnExit w:val="0"/>
                  <w:ddList>
                    <w:result w:val="3"/>
                    <w:listEntry w:val="Yes / No / N/A"/>
                    <w:listEntry w:val="Yes"/>
                    <w:listEntry w:val="No"/>
                    <w:listEntry w:val="N/A"/>
                  </w:ddList>
                </w:ffData>
              </w:fldChar>
            </w:r>
            <w:r>
              <w:instrText xml:space="preserve"> FORMDROPDOWN </w:instrText>
            </w:r>
            <w:r w:rsidR="00F40FE8">
              <w:fldChar w:fldCharType="separate"/>
            </w:r>
            <w:r>
              <w:fldChar w:fldCharType="end"/>
            </w:r>
            <w:bookmarkEnd w:id="29"/>
          </w:p>
        </w:tc>
      </w:tr>
      <w:tr w:rsidR="00422963" w:rsidRPr="00D50283" w:rsidTr="000A5C5D">
        <w:trPr>
          <w:trHeight w:val="460"/>
        </w:trPr>
        <w:tc>
          <w:tcPr>
            <w:tcW w:w="6269" w:type="dxa"/>
            <w:shd w:val="clear" w:color="auto" w:fill="E0E0E0"/>
            <w:vAlign w:val="center"/>
          </w:tcPr>
          <w:p w:rsidR="00422963" w:rsidRPr="00720FFE" w:rsidRDefault="00422963" w:rsidP="00422963">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983" w:type="dxa"/>
            <w:shd w:val="clear" w:color="auto" w:fill="E0E0E0"/>
            <w:vAlign w:val="center"/>
          </w:tcPr>
          <w:p w:rsidR="00422963" w:rsidRPr="00720FFE" w:rsidRDefault="00422963" w:rsidP="00422963">
            <w:pPr>
              <w:pStyle w:val="IATableLines"/>
              <w:rPr>
                <w:b/>
                <w:color w:val="000000"/>
                <w:sz w:val="20"/>
              </w:rPr>
            </w:pPr>
            <w:r w:rsidRPr="00720FFE">
              <w:rPr>
                <w:b/>
                <w:color w:val="000000"/>
                <w:sz w:val="20"/>
              </w:rPr>
              <w:t>Micro</w:t>
            </w:r>
            <w:bookmarkStart w:id="30" w:name="IACheckMicro"/>
            <w:r w:rsidRPr="00817638">
              <w:rPr>
                <w:rStyle w:val="IAIOCheckMicroChar"/>
                <w:b w:val="0"/>
                <w:sz w:val="20"/>
              </w:rPr>
              <w:fldChar w:fldCharType="begin">
                <w:ffData>
                  <w:name w:val="IACheckMicro"/>
                  <w:enabled/>
                  <w:calcOnExit w:val="0"/>
                  <w:ddList>
                    <w:result w:val="1"/>
                    <w:listEntry w:val="Yes/No"/>
                    <w:listEntry w:val="Yes"/>
                    <w:listEntry w:val="No"/>
                  </w:ddList>
                </w:ffData>
              </w:fldChar>
            </w:r>
            <w:r w:rsidRPr="00817638">
              <w:rPr>
                <w:rStyle w:val="IAIOCheckMicroChar"/>
                <w:b w:val="0"/>
                <w:sz w:val="20"/>
              </w:rPr>
              <w:instrText xml:space="preserve"> FORMDROPDOWN </w:instrText>
            </w:r>
            <w:r w:rsidR="00F40FE8">
              <w:rPr>
                <w:rStyle w:val="IAIOCheckMicroChar"/>
                <w:b w:val="0"/>
                <w:sz w:val="20"/>
              </w:rPr>
            </w:r>
            <w:r w:rsidR="00F40FE8">
              <w:rPr>
                <w:rStyle w:val="IAIOCheckMicroChar"/>
                <w:b w:val="0"/>
                <w:sz w:val="20"/>
              </w:rPr>
              <w:fldChar w:fldCharType="separate"/>
            </w:r>
            <w:r w:rsidRPr="00817638">
              <w:rPr>
                <w:rStyle w:val="IAIOCheckMicroChar"/>
                <w:b w:val="0"/>
                <w:sz w:val="20"/>
              </w:rPr>
              <w:fldChar w:fldCharType="end"/>
            </w:r>
            <w:bookmarkEnd w:id="30"/>
          </w:p>
        </w:tc>
        <w:tc>
          <w:tcPr>
            <w:tcW w:w="983" w:type="dxa"/>
            <w:shd w:val="clear" w:color="auto" w:fill="E0E0E0"/>
            <w:vAlign w:val="center"/>
          </w:tcPr>
          <w:p w:rsidR="00422963" w:rsidRPr="00720FFE" w:rsidRDefault="00422963" w:rsidP="00422963">
            <w:pPr>
              <w:pStyle w:val="IATableLines"/>
              <w:rPr>
                <w:b/>
                <w:color w:val="000000"/>
                <w:sz w:val="20"/>
              </w:rPr>
            </w:pPr>
            <w:r w:rsidRPr="00720FFE">
              <w:rPr>
                <w:b/>
                <w:color w:val="000000"/>
                <w:sz w:val="20"/>
              </w:rPr>
              <w:t>Small</w:t>
            </w:r>
            <w:bookmarkStart w:id="31" w:name="IACheckSmall"/>
            <w:r w:rsidRPr="00817638">
              <w:rPr>
                <w:rStyle w:val="IAIOCheckSmallChar"/>
                <w:b w:val="0"/>
                <w:sz w:val="20"/>
              </w:rPr>
              <w:fldChar w:fldCharType="begin">
                <w:ffData>
                  <w:name w:val="IACheckSmall"/>
                  <w:enabled/>
                  <w:calcOnExit w:val="0"/>
                  <w:ddList>
                    <w:result w:val="1"/>
                    <w:listEntry w:val="Yes/No"/>
                    <w:listEntry w:val="Yes"/>
                    <w:listEntry w:val="No"/>
                  </w:ddList>
                </w:ffData>
              </w:fldChar>
            </w:r>
            <w:r w:rsidRPr="00817638">
              <w:rPr>
                <w:rStyle w:val="IAIOCheckSmallChar"/>
                <w:b w:val="0"/>
                <w:sz w:val="20"/>
              </w:rPr>
              <w:instrText xml:space="preserve"> FORMDROPDOWN </w:instrText>
            </w:r>
            <w:r w:rsidR="00F40FE8">
              <w:rPr>
                <w:rStyle w:val="IAIOCheckSmallChar"/>
                <w:b w:val="0"/>
                <w:sz w:val="20"/>
              </w:rPr>
            </w:r>
            <w:r w:rsidR="00F40FE8">
              <w:rPr>
                <w:rStyle w:val="IAIOCheckSmallChar"/>
                <w:b w:val="0"/>
                <w:sz w:val="20"/>
              </w:rPr>
              <w:fldChar w:fldCharType="separate"/>
            </w:r>
            <w:r w:rsidRPr="00817638">
              <w:rPr>
                <w:rStyle w:val="IAIOCheckSmallChar"/>
                <w:b w:val="0"/>
                <w:sz w:val="20"/>
              </w:rPr>
              <w:fldChar w:fldCharType="end"/>
            </w:r>
            <w:bookmarkEnd w:id="31"/>
          </w:p>
        </w:tc>
        <w:tc>
          <w:tcPr>
            <w:tcW w:w="983" w:type="dxa"/>
            <w:gridSpan w:val="2"/>
            <w:shd w:val="clear" w:color="auto" w:fill="E0E0E0"/>
            <w:vAlign w:val="center"/>
          </w:tcPr>
          <w:p w:rsidR="00422963" w:rsidRPr="00720FFE" w:rsidRDefault="00422963" w:rsidP="00422963">
            <w:pPr>
              <w:pStyle w:val="IATableLines"/>
              <w:rPr>
                <w:b/>
                <w:color w:val="000000"/>
                <w:sz w:val="20"/>
              </w:rPr>
            </w:pPr>
            <w:r w:rsidRPr="00720FFE">
              <w:rPr>
                <w:b/>
                <w:color w:val="000000"/>
                <w:sz w:val="20"/>
              </w:rPr>
              <w:t>Medium</w:t>
            </w:r>
            <w:bookmarkStart w:id="32" w:name="IACheckMedium"/>
            <w:r w:rsidRPr="00817638">
              <w:rPr>
                <w:rStyle w:val="IAIOCheckMediumChar"/>
                <w:b w:val="0"/>
                <w:sz w:val="20"/>
              </w:rPr>
              <w:fldChar w:fldCharType="begin">
                <w:ffData>
                  <w:name w:val="IACheckMedium"/>
                  <w:enabled/>
                  <w:calcOnExit w:val="0"/>
                  <w:ddList>
                    <w:result w:val="1"/>
                    <w:listEntry w:val="Yes/No"/>
                    <w:listEntry w:val="Yes"/>
                    <w:listEntry w:val="No"/>
                  </w:ddList>
                </w:ffData>
              </w:fldChar>
            </w:r>
            <w:r w:rsidRPr="00817638">
              <w:rPr>
                <w:rStyle w:val="IAIOCheckMediumChar"/>
                <w:b w:val="0"/>
                <w:sz w:val="20"/>
              </w:rPr>
              <w:instrText xml:space="preserve"> FORMDROPDOWN </w:instrText>
            </w:r>
            <w:r w:rsidR="00F40FE8">
              <w:rPr>
                <w:rStyle w:val="IAIOCheckMediumChar"/>
                <w:b w:val="0"/>
                <w:sz w:val="20"/>
              </w:rPr>
            </w:r>
            <w:r w:rsidR="00F40FE8">
              <w:rPr>
                <w:rStyle w:val="IAIOCheckMediumChar"/>
                <w:b w:val="0"/>
                <w:sz w:val="20"/>
              </w:rPr>
              <w:fldChar w:fldCharType="separate"/>
            </w:r>
            <w:r w:rsidRPr="00817638">
              <w:rPr>
                <w:rStyle w:val="IAIOCheckMediumChar"/>
                <w:b w:val="0"/>
                <w:sz w:val="20"/>
              </w:rPr>
              <w:fldChar w:fldCharType="end"/>
            </w:r>
            <w:bookmarkEnd w:id="32"/>
          </w:p>
        </w:tc>
        <w:tc>
          <w:tcPr>
            <w:tcW w:w="983" w:type="dxa"/>
            <w:shd w:val="clear" w:color="auto" w:fill="E0E0E0"/>
            <w:vAlign w:val="center"/>
          </w:tcPr>
          <w:p w:rsidR="00422963" w:rsidRPr="00720FFE" w:rsidRDefault="00422963" w:rsidP="00422963">
            <w:pPr>
              <w:pStyle w:val="IATableLines"/>
              <w:rPr>
                <w:b/>
                <w:color w:val="000000"/>
                <w:sz w:val="20"/>
              </w:rPr>
            </w:pPr>
            <w:r w:rsidRPr="00720FFE">
              <w:rPr>
                <w:b/>
                <w:color w:val="000000"/>
                <w:sz w:val="20"/>
              </w:rPr>
              <w:t>Large</w:t>
            </w:r>
            <w:bookmarkStart w:id="33" w:name="IACheckLarge"/>
            <w:r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Pr="00817638">
              <w:rPr>
                <w:rStyle w:val="IAIOCheckLargeChar"/>
                <w:b w:val="0"/>
                <w:sz w:val="20"/>
              </w:rPr>
              <w:instrText xml:space="preserve"> FORMDROPDOWN </w:instrText>
            </w:r>
            <w:r w:rsidR="00F40FE8">
              <w:rPr>
                <w:rStyle w:val="IAIOCheckLargeChar"/>
                <w:b w:val="0"/>
                <w:sz w:val="20"/>
              </w:rPr>
            </w:r>
            <w:r w:rsidR="00F40FE8">
              <w:rPr>
                <w:rStyle w:val="IAIOCheckLargeChar"/>
                <w:b w:val="0"/>
                <w:sz w:val="20"/>
              </w:rPr>
              <w:fldChar w:fldCharType="separate"/>
            </w:r>
            <w:r w:rsidRPr="00817638">
              <w:rPr>
                <w:rStyle w:val="IAIOCheckLargeChar"/>
                <w:b w:val="0"/>
                <w:sz w:val="20"/>
              </w:rPr>
              <w:fldChar w:fldCharType="end"/>
            </w:r>
            <w:bookmarkEnd w:id="33"/>
          </w:p>
        </w:tc>
      </w:tr>
      <w:tr w:rsidR="00422963">
        <w:tblPrEx>
          <w:shd w:val="clear" w:color="auto" w:fill="auto"/>
        </w:tblPrEx>
        <w:trPr>
          <w:trHeight w:hRule="exact" w:val="567"/>
        </w:trPr>
        <w:tc>
          <w:tcPr>
            <w:tcW w:w="725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22963" w:rsidRDefault="00422963" w:rsidP="00422963">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rsidR="00422963" w:rsidRDefault="00422963" w:rsidP="00422963">
            <w:pPr>
              <w:pStyle w:val="IATableLabel"/>
            </w:pPr>
            <w:r>
              <w:t xml:space="preserve">Traded:   </w:t>
            </w:r>
            <w:r>
              <w:br/>
            </w:r>
            <w:bookmarkStart w:id="34"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34"/>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rsidR="00422963" w:rsidRDefault="00422963" w:rsidP="00422963">
            <w:pPr>
              <w:pStyle w:val="IATableLabel"/>
            </w:pPr>
            <w:r>
              <w:t xml:space="preserve">Non-traded:   </w:t>
            </w:r>
            <w:r>
              <w:br/>
            </w:r>
            <w:bookmarkStart w:id="35" w:name="IACO2NonTraded"/>
            <w:r>
              <w:rPr>
                <w:rStyle w:val="IAIOCO2TradedChar"/>
                <w:sz w:val="20"/>
              </w:rPr>
              <w:fldChar w:fldCharType="begin">
                <w:ffData>
                  <w:name w:val="IACO2NonTraded"/>
                  <w:enabled/>
                  <w:calcOnExit w:val="0"/>
                  <w:textInput>
                    <w:maxLength w:val="8"/>
                  </w:textInput>
                </w:ffData>
              </w:fldChar>
            </w:r>
            <w:r>
              <w:rPr>
                <w:rStyle w:val="IAIOCO2TradedChar"/>
                <w:sz w:val="20"/>
              </w:rPr>
              <w:instrText xml:space="preserve"> FORMTEXT </w:instrText>
            </w:r>
            <w:r>
              <w:rPr>
                <w:rStyle w:val="IAIOCO2TradedChar"/>
                <w:sz w:val="20"/>
              </w:rPr>
            </w:r>
            <w:r>
              <w:rPr>
                <w:rStyle w:val="IAIOCO2TradedChar"/>
                <w:sz w:val="20"/>
              </w:rPr>
              <w:fldChar w:fldCharType="separate"/>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sz w:val="20"/>
              </w:rPr>
              <w:fldChar w:fldCharType="end"/>
            </w:r>
            <w:bookmarkEnd w:id="35"/>
          </w:p>
        </w:tc>
      </w:tr>
    </w:tbl>
    <w:p w:rsidR="0049066B" w:rsidRPr="00452B35" w:rsidRDefault="0049066B">
      <w:pPr>
        <w:pStyle w:val="IASign-off"/>
        <w:rPr>
          <w:sz w:val="20"/>
        </w:rPr>
      </w:pPr>
      <w:bookmarkStart w:id="36" w:name="SignOfftext"/>
      <w:bookmarkEnd w:id="28"/>
      <w:r w:rsidRPr="00452B35">
        <w:rPr>
          <w:rFonts w:cs="Arial"/>
          <w:iCs/>
          <w:color w:val="000000"/>
          <w:sz w:val="20"/>
        </w:rPr>
        <w:t>I have read the Impact Assessment and I am satisfied that (a) it represents a fair and reasonable view of the expected costs, benefits and impact of the policy, and (b) that the benefits justify the costs.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49066B" w:rsidRPr="008C17FA">
        <w:trPr>
          <w:cantSplit/>
          <w:trHeight w:hRule="exact" w:val="767"/>
        </w:trPr>
        <w:tc>
          <w:tcPr>
            <w:tcW w:w="2350" w:type="pct"/>
            <w:vAlign w:val="bottom"/>
          </w:tcPr>
          <w:p w:rsidR="0049066B" w:rsidRPr="005B3CFD" w:rsidRDefault="0049066B" w:rsidP="00077D19">
            <w:pPr>
              <w:pStyle w:val="IASignature"/>
              <w:tabs>
                <w:tab w:val="clear" w:pos="6804"/>
                <w:tab w:val="clear" w:pos="10206"/>
                <w:tab w:val="left" w:leader="dot" w:pos="7380"/>
              </w:tabs>
              <w:ind w:right="284"/>
              <w:rPr>
                <w:b/>
                <w:i/>
              </w:rPr>
            </w:pPr>
            <w:r w:rsidRPr="005B3CFD">
              <w:rPr>
                <w:b/>
                <w:i/>
              </w:rPr>
              <w:t xml:space="preserve">Signed by the responsible </w:t>
            </w:r>
            <w:bookmarkStart w:id="37" w:name="IASignedBy"/>
            <w:r w:rsidRPr="005B3CFD">
              <w:rPr>
                <w:b/>
                <w:i/>
              </w:rPr>
              <w:fldChar w:fldCharType="begin">
                <w:ffData>
                  <w:name w:val="IASignedBy"/>
                  <w:enabled/>
                  <w:calcOnExit w:val="0"/>
                  <w:ddList>
                    <w:result w:val="3"/>
                    <w:listEntry w:val="SELECT SIGNATORY"/>
                    <w:listEntry w:val="Chair"/>
                    <w:listEntry w:val="Chief Executive"/>
                    <w:listEntry w:val="Minister"/>
                  </w:ddList>
                </w:ffData>
              </w:fldChar>
            </w:r>
            <w:r w:rsidRPr="005B3CFD">
              <w:rPr>
                <w:b/>
                <w:i/>
              </w:rPr>
              <w:instrText xml:space="preserve"> FORMDROPDOWN </w:instrText>
            </w:r>
            <w:r w:rsidR="00F40FE8">
              <w:rPr>
                <w:b/>
                <w:i/>
              </w:rPr>
            </w:r>
            <w:r w:rsidR="00F40FE8">
              <w:rPr>
                <w:b/>
                <w:i/>
              </w:rPr>
              <w:fldChar w:fldCharType="separate"/>
            </w:r>
            <w:r w:rsidRPr="005B3CFD">
              <w:rPr>
                <w:b/>
                <w:i/>
              </w:rPr>
              <w:fldChar w:fldCharType="end"/>
            </w:r>
            <w:bookmarkEnd w:id="37"/>
            <w:r w:rsidRPr="005B3CFD">
              <w:rPr>
                <w:b/>
                <w:i/>
              </w:rPr>
              <w:t>:</w:t>
            </w:r>
          </w:p>
        </w:tc>
        <w:tc>
          <w:tcPr>
            <w:tcW w:w="1318" w:type="pct"/>
            <w:tcBorders>
              <w:bottom w:val="dashSmallGap" w:sz="4" w:space="0" w:color="auto"/>
            </w:tcBorders>
            <w:vAlign w:val="bottom"/>
          </w:tcPr>
          <w:p w:rsidR="0049066B" w:rsidRPr="008C17FA" w:rsidRDefault="00736255" w:rsidP="00736255">
            <w:pPr>
              <w:pStyle w:val="IAIOtextSign"/>
              <w:ind w:left="113" w:right="113"/>
              <w:jc w:val="left"/>
              <w:rPr>
                <w:rFonts w:eastAsia="SimSun"/>
                <w:spacing w:val="-5"/>
                <w:sz w:val="22"/>
                <w:szCs w:val="20"/>
                <w:lang w:eastAsia="zh-CN"/>
              </w:rPr>
            </w:pPr>
            <w:r>
              <w:rPr>
                <w:rFonts w:eastAsia="SimSun"/>
                <w:spacing w:val="-5"/>
                <w:sz w:val="22"/>
                <w:szCs w:val="20"/>
                <w:lang w:eastAsia="zh-CN"/>
              </w:rPr>
              <w:t>Margot</w:t>
            </w:r>
            <w:r w:rsidR="00152064">
              <w:rPr>
                <w:rFonts w:eastAsia="SimSun"/>
                <w:spacing w:val="-5"/>
                <w:sz w:val="22"/>
                <w:szCs w:val="20"/>
                <w:lang w:eastAsia="zh-CN"/>
              </w:rPr>
              <w:t xml:space="preserve"> J</w:t>
            </w:r>
            <w:r>
              <w:rPr>
                <w:rFonts w:eastAsia="SimSun"/>
                <w:spacing w:val="-5"/>
                <w:sz w:val="22"/>
                <w:szCs w:val="20"/>
                <w:lang w:eastAsia="zh-CN"/>
              </w:rPr>
              <w:t>ames</w:t>
            </w:r>
          </w:p>
        </w:tc>
        <w:tc>
          <w:tcPr>
            <w:tcW w:w="345" w:type="pct"/>
            <w:vAlign w:val="bottom"/>
          </w:tcPr>
          <w:p w:rsidR="0049066B" w:rsidRPr="005B3CFD" w:rsidRDefault="0049066B" w:rsidP="00077D19">
            <w:pPr>
              <w:pStyle w:val="IASignature"/>
              <w:tabs>
                <w:tab w:val="clear" w:pos="6804"/>
                <w:tab w:val="clear" w:pos="10206"/>
                <w:tab w:val="left" w:leader="dot" w:pos="7380"/>
              </w:tabs>
              <w:ind w:right="284"/>
              <w:rPr>
                <w:b/>
                <w:i/>
              </w:rPr>
            </w:pPr>
            <w:r w:rsidRPr="005B3CFD">
              <w:rPr>
                <w:b/>
                <w:i/>
              </w:rPr>
              <w:t> Date:</w:t>
            </w:r>
          </w:p>
        </w:tc>
        <w:bookmarkStart w:id="38" w:name="SigDate"/>
        <w:tc>
          <w:tcPr>
            <w:tcW w:w="988" w:type="pct"/>
            <w:tcBorders>
              <w:bottom w:val="dashSmallGap" w:sz="4" w:space="0" w:color="auto"/>
            </w:tcBorders>
            <w:vAlign w:val="bottom"/>
          </w:tcPr>
          <w:p w:rsidR="0049066B" w:rsidRPr="008C17FA" w:rsidRDefault="0049066B" w:rsidP="00736255">
            <w:pPr>
              <w:pStyle w:val="IAIOSigDate"/>
              <w:ind w:left="113" w:right="113"/>
              <w:jc w:val="left"/>
              <w:rPr>
                <w:rFonts w:eastAsia="SimSun"/>
                <w:spacing w:val="-5"/>
                <w:szCs w:val="20"/>
                <w:lang w:eastAsia="zh-CN"/>
              </w:rPr>
            </w:pPr>
            <w:r w:rsidRPr="008C17FA">
              <w:rPr>
                <w:rFonts w:eastAsia="SimSun"/>
                <w:spacing w:val="-5"/>
                <w:szCs w:val="20"/>
                <w:lang w:eastAsia="zh-CN"/>
              </w:rPr>
              <w:fldChar w:fldCharType="begin">
                <w:ffData>
                  <w:name w:val="SigDate"/>
                  <w:enabled/>
                  <w:calcOnExit w:val="0"/>
                  <w:textInput/>
                </w:ffData>
              </w:fldChar>
            </w:r>
            <w:r w:rsidRPr="008C17FA">
              <w:rPr>
                <w:rFonts w:eastAsia="SimSun"/>
                <w:spacing w:val="-5"/>
                <w:szCs w:val="20"/>
                <w:lang w:eastAsia="zh-CN"/>
              </w:rPr>
              <w:instrText xml:space="preserve"> FORMTEXT </w:instrText>
            </w:r>
            <w:r w:rsidRPr="008C17FA">
              <w:rPr>
                <w:rFonts w:eastAsia="SimSun"/>
                <w:spacing w:val="-5"/>
                <w:szCs w:val="20"/>
                <w:lang w:eastAsia="zh-CN"/>
              </w:rPr>
            </w:r>
            <w:r w:rsidRPr="008C17FA">
              <w:rPr>
                <w:rFonts w:eastAsia="SimSun"/>
                <w:spacing w:val="-5"/>
                <w:szCs w:val="20"/>
                <w:lang w:eastAsia="zh-CN"/>
              </w:rPr>
              <w:fldChar w:fldCharType="separate"/>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Pr>
                <w:rFonts w:eastAsia="SimSun"/>
                <w:noProof/>
                <w:spacing w:val="-5"/>
                <w:szCs w:val="20"/>
                <w:lang w:eastAsia="zh-CN"/>
              </w:rPr>
              <w:t> </w:t>
            </w:r>
            <w:r w:rsidRPr="008C17FA">
              <w:rPr>
                <w:rFonts w:eastAsia="SimSun"/>
                <w:spacing w:val="-5"/>
                <w:szCs w:val="20"/>
                <w:lang w:eastAsia="zh-CN"/>
              </w:rPr>
              <w:fldChar w:fldCharType="end"/>
            </w:r>
            <w:bookmarkEnd w:id="38"/>
            <w:r w:rsidR="00736255">
              <w:rPr>
                <w:rFonts w:eastAsia="SimSun"/>
                <w:spacing w:val="-5"/>
                <w:szCs w:val="20"/>
                <w:lang w:eastAsia="zh-CN"/>
              </w:rPr>
              <w:t>25.</w:t>
            </w:r>
            <w:r w:rsidR="00152064">
              <w:rPr>
                <w:rFonts w:eastAsia="SimSun"/>
                <w:spacing w:val="-5"/>
                <w:szCs w:val="20"/>
                <w:lang w:eastAsia="zh-CN"/>
              </w:rPr>
              <w:t>11</w:t>
            </w:r>
            <w:r w:rsidR="00736255">
              <w:rPr>
                <w:rFonts w:eastAsia="SimSun"/>
                <w:spacing w:val="-5"/>
                <w:szCs w:val="20"/>
                <w:lang w:eastAsia="zh-CN"/>
              </w:rPr>
              <w:t>.</w:t>
            </w:r>
            <w:r w:rsidR="00152064">
              <w:rPr>
                <w:rFonts w:eastAsia="SimSun"/>
                <w:spacing w:val="-5"/>
                <w:szCs w:val="20"/>
                <w:lang w:eastAsia="zh-CN"/>
              </w:rPr>
              <w:t>2016</w:t>
            </w:r>
          </w:p>
        </w:tc>
      </w:tr>
      <w:bookmarkEnd w:id="36"/>
    </w:tbl>
    <w:p w:rsidR="00F1328C" w:rsidRDefault="00F1328C" w:rsidP="005A3880">
      <w:pPr>
        <w:pStyle w:val="Heading1"/>
        <w:spacing w:before="0"/>
        <w:sectPr w:rsidR="00F1328C" w:rsidSect="005A3880">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7" w:h="16840" w:code="9"/>
          <w:pgMar w:top="680" w:right="851" w:bottom="680" w:left="851" w:header="284" w:footer="284" w:gutter="0"/>
          <w:cols w:space="708"/>
          <w:docGrid w:linePitch="360"/>
        </w:sectPr>
      </w:pPr>
    </w:p>
    <w:p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152064">
        <w:rPr>
          <w:rFonts w:ascii="Arial" w:hAnsi="Arial"/>
          <w:b w:val="0"/>
          <w:bCs w:val="0"/>
          <w:noProof/>
        </w:rPr>
        <w:t>1</w:t>
      </w:r>
      <w:r>
        <w:rPr>
          <w:rFonts w:ascii="Arial" w:hAnsi="Arial"/>
          <w:b w:val="0"/>
          <w:bCs w:val="0"/>
        </w:rPr>
        <w:fldChar w:fldCharType="end"/>
      </w:r>
    </w:p>
    <w:p w:rsidR="001844B6" w:rsidRDefault="001844B6" w:rsidP="005A3880">
      <w:pPr>
        <w:pStyle w:val="IAHeadLabel"/>
        <w:spacing w:before="50"/>
      </w:pPr>
      <w:r w:rsidRPr="00892576">
        <w:t xml:space="preserve">Description: </w:t>
      </w:r>
      <w:r w:rsidRPr="006B70AF">
        <w:t xml:space="preserve"> </w:t>
      </w:r>
      <w:bookmarkStart w:id="39" w:name="Text70"/>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rPr>
        <w:fldChar w:fldCharType="end"/>
      </w:r>
      <w:bookmarkEnd w:id="39"/>
    </w:p>
    <w:p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1844B6" w:rsidRPr="007E190E" w:rsidTr="007E190E">
        <w:trPr>
          <w:trHeight w:hRule="exact" w:val="312"/>
        </w:trPr>
        <w:tc>
          <w:tcPr>
            <w:tcW w:w="1265" w:type="dxa"/>
            <w:vMerge w:val="restart"/>
            <w:shd w:val="clear" w:color="auto" w:fill="auto"/>
          </w:tcPr>
          <w:p w:rsidR="001844B6" w:rsidRPr="00826F71" w:rsidRDefault="001844B6" w:rsidP="00695B67">
            <w:pPr>
              <w:pStyle w:val="POPBY"/>
            </w:pPr>
            <w:r w:rsidRPr="00826F71">
              <w:t>Price Base Year</w:t>
            </w:r>
            <w:r>
              <w:t xml:space="preserve">  </w:t>
            </w:r>
            <w:r w:rsidRPr="007E190E">
              <w:rPr>
                <w:b w:val="0"/>
              </w:rPr>
              <w:fldChar w:fldCharType="begin">
                <w:ffData>
                  <w:name w:val="Text55"/>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695B67">
              <w:rPr>
                <w:b w:val="0"/>
                <w:noProof/>
              </w:rPr>
              <w:t>2016</w:t>
            </w:r>
            <w:r w:rsidRPr="007E190E">
              <w:rPr>
                <w:b w:val="0"/>
              </w:rPr>
              <w:fldChar w:fldCharType="end"/>
            </w:r>
          </w:p>
        </w:tc>
        <w:tc>
          <w:tcPr>
            <w:tcW w:w="1260" w:type="dxa"/>
            <w:vMerge w:val="restart"/>
            <w:shd w:val="clear" w:color="auto" w:fill="auto"/>
          </w:tcPr>
          <w:p w:rsidR="001844B6" w:rsidRPr="00826F71" w:rsidRDefault="001844B6" w:rsidP="00695B67">
            <w:pPr>
              <w:pStyle w:val="POPVBY"/>
            </w:pPr>
            <w:r w:rsidRPr="00826F71">
              <w:t>PV Base Year</w:t>
            </w:r>
            <w:r>
              <w:t xml:space="preserve">  </w:t>
            </w:r>
            <w:r w:rsidRPr="007E190E">
              <w:rPr>
                <w:b w:val="0"/>
              </w:rPr>
              <w:fldChar w:fldCharType="begin">
                <w:ffData>
                  <w:name w:val="Text56"/>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695B67">
              <w:rPr>
                <w:b w:val="0"/>
                <w:noProof/>
              </w:rPr>
              <w:t>2015</w:t>
            </w:r>
            <w:r w:rsidRPr="007E190E">
              <w:rPr>
                <w:b w:val="0"/>
              </w:rPr>
              <w:fldChar w:fldCharType="end"/>
            </w:r>
          </w:p>
        </w:tc>
        <w:tc>
          <w:tcPr>
            <w:tcW w:w="1440" w:type="dxa"/>
            <w:vMerge w:val="restart"/>
            <w:tcBorders>
              <w:right w:val="single" w:sz="12" w:space="0" w:color="auto"/>
            </w:tcBorders>
            <w:shd w:val="clear" w:color="auto" w:fill="auto"/>
          </w:tcPr>
          <w:p w:rsidR="001844B6" w:rsidRPr="00826F71" w:rsidRDefault="001844B6" w:rsidP="00695B67">
            <w:pPr>
              <w:pStyle w:val="POTPY"/>
            </w:pPr>
            <w:r w:rsidRPr="00826F71">
              <w:t>Time Period Years</w:t>
            </w:r>
            <w:r>
              <w:t xml:space="preserve">  </w:t>
            </w:r>
            <w:r w:rsidRPr="007E190E">
              <w:rPr>
                <w:b w:val="0"/>
              </w:rPr>
              <w:fldChar w:fldCharType="begin">
                <w:ffData>
                  <w:name w:val="Text57"/>
                  <w:enabled/>
                  <w:calcOnExit w:val="0"/>
                  <w:textInput>
                    <w:maxLength w:val="4"/>
                  </w:textInput>
                </w:ffData>
              </w:fldChar>
            </w:r>
            <w:r w:rsidRPr="007E190E">
              <w:rPr>
                <w:b w:val="0"/>
              </w:rPr>
              <w:instrText xml:space="preserve"> FORMTEXT </w:instrText>
            </w:r>
            <w:r w:rsidRPr="007E190E">
              <w:rPr>
                <w:b w:val="0"/>
              </w:rPr>
            </w:r>
            <w:r w:rsidRPr="007E190E">
              <w:rPr>
                <w:b w:val="0"/>
              </w:rPr>
              <w:fldChar w:fldCharType="separate"/>
            </w:r>
            <w:r w:rsidR="00695B67">
              <w:rPr>
                <w:b w:val="0"/>
                <w:noProof/>
              </w:rPr>
              <w:t>10</w:t>
            </w:r>
            <w:r w:rsidRPr="007E190E">
              <w:rPr>
                <w:b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rsidTr="007E190E">
        <w:trPr>
          <w:trHeight w:hRule="exact" w:val="340"/>
        </w:trPr>
        <w:tc>
          <w:tcPr>
            <w:tcW w:w="1265" w:type="dxa"/>
            <w:vMerge/>
            <w:shd w:val="clear" w:color="auto" w:fill="auto"/>
          </w:tcPr>
          <w:p w:rsidR="001844B6" w:rsidRPr="007E190E" w:rsidRDefault="001844B6" w:rsidP="007E190E">
            <w:pPr>
              <w:pStyle w:val="IATableNotes"/>
              <w:ind w:left="0"/>
              <w:rPr>
                <w:b/>
                <w:sz w:val="20"/>
              </w:rPr>
            </w:pPr>
          </w:p>
        </w:tc>
        <w:tc>
          <w:tcPr>
            <w:tcW w:w="1260" w:type="dxa"/>
            <w:vMerge/>
            <w:shd w:val="clear" w:color="auto" w:fill="auto"/>
          </w:tcPr>
          <w:p w:rsidR="001844B6" w:rsidRPr="007E190E" w:rsidRDefault="001844B6" w:rsidP="007E190E">
            <w:pPr>
              <w:pStyle w:val="IATableNotes"/>
              <w:ind w:left="0"/>
              <w:rPr>
                <w:b/>
                <w:sz w:val="20"/>
              </w:rPr>
            </w:pPr>
          </w:p>
        </w:tc>
        <w:tc>
          <w:tcPr>
            <w:tcW w:w="1440" w:type="dxa"/>
            <w:vMerge/>
            <w:tcBorders>
              <w:right w:val="single" w:sz="12" w:space="0" w:color="auto"/>
            </w:tcBorders>
            <w:shd w:val="clear" w:color="auto" w:fill="auto"/>
          </w:tcPr>
          <w:p w:rsidR="001844B6" w:rsidRPr="007E190E" w:rsidRDefault="001844B6" w:rsidP="007E190E">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1844B6" w:rsidRPr="007E190E" w:rsidRDefault="001844B6" w:rsidP="00695B67">
            <w:pPr>
              <w:pStyle w:val="IATableLabel"/>
              <w:rPr>
                <w:bCs/>
              </w:rPr>
            </w:pPr>
            <w:r w:rsidRPr="00304C1D">
              <w:t>Low:</w:t>
            </w:r>
            <w:r w:rsidRPr="00826F71">
              <w:t xml:space="preserve"> </w:t>
            </w:r>
            <w:r w:rsidRPr="007E190E">
              <w:rPr>
                <w:rStyle w:val="PONBLowCharChar"/>
              </w:rPr>
              <w:fldChar w:fldCharType="begin">
                <w:ffData>
                  <w:name w:val="Text58"/>
                  <w:enabled/>
                  <w:calcOnExit w:val="0"/>
                  <w:textInput>
                    <w:default w:val="Optional"/>
                    <w:maxLength w:val="8"/>
                  </w:textInput>
                </w:ffData>
              </w:fldChar>
            </w:r>
            <w:r w:rsidRPr="007E190E">
              <w:rPr>
                <w:rStyle w:val="PONBLowCharChar"/>
              </w:rPr>
              <w:instrText xml:space="preserve"> FORMTEXT </w:instrText>
            </w:r>
            <w:r w:rsidRPr="007E190E">
              <w:rPr>
                <w:rStyle w:val="PONBLowCharChar"/>
              </w:rPr>
            </w:r>
            <w:r w:rsidRPr="007E190E">
              <w:rPr>
                <w:rStyle w:val="PONBLowCharChar"/>
              </w:rPr>
              <w:fldChar w:fldCharType="separate"/>
            </w:r>
            <w:r w:rsidR="00695B67">
              <w:rPr>
                <w:rStyle w:val="PONBLowCharChar"/>
              </w:rPr>
              <w:t>-15.61</w:t>
            </w:r>
            <w:r w:rsidRPr="007E190E">
              <w:rPr>
                <w:rStyle w:val="PONBLowCharChar"/>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1844B6" w:rsidRPr="007E190E" w:rsidRDefault="001844B6" w:rsidP="00695B67">
            <w:pPr>
              <w:pStyle w:val="IATableLabel"/>
              <w:rPr>
                <w:rFonts w:cs="Arial"/>
                <w:bCs/>
                <w:szCs w:val="18"/>
              </w:rPr>
            </w:pPr>
            <w:r w:rsidRPr="00304C1D">
              <w:t>High:</w:t>
            </w:r>
            <w:r w:rsidRPr="00826F71">
              <w:t xml:space="preserve"> </w:t>
            </w:r>
            <w:r w:rsidRPr="007E190E">
              <w:rPr>
                <w:rStyle w:val="PONBHighChar"/>
              </w:rPr>
              <w:fldChar w:fldCharType="begin">
                <w:ffData>
                  <w:name w:val="Text59"/>
                  <w:enabled/>
                  <w:calcOnExit w:val="0"/>
                  <w:textInput>
                    <w:default w:val="Optional"/>
                    <w:maxLength w:val="8"/>
                  </w:textInput>
                </w:ffData>
              </w:fldChar>
            </w:r>
            <w:r w:rsidRPr="007E190E">
              <w:rPr>
                <w:rStyle w:val="PONBHighChar"/>
              </w:rPr>
              <w:instrText xml:space="preserve"> FORMTEXT </w:instrText>
            </w:r>
            <w:r w:rsidRPr="007E190E">
              <w:rPr>
                <w:rStyle w:val="PONBHighChar"/>
              </w:rPr>
            </w:r>
            <w:r w:rsidRPr="007E190E">
              <w:rPr>
                <w:rStyle w:val="PONBHighChar"/>
              </w:rPr>
              <w:fldChar w:fldCharType="separate"/>
            </w:r>
            <w:r w:rsidR="00695B67">
              <w:rPr>
                <w:rStyle w:val="PONBHighChar"/>
              </w:rPr>
              <w:t>-8.63</w:t>
            </w:r>
            <w:r w:rsidRPr="007E190E">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1844B6" w:rsidRPr="007E190E" w:rsidRDefault="001844B6" w:rsidP="00695B67">
            <w:pPr>
              <w:pStyle w:val="IATableLabel"/>
              <w:rPr>
                <w:szCs w:val="18"/>
              </w:rPr>
            </w:pPr>
            <w:r w:rsidRPr="00304C1D">
              <w:t xml:space="preserve">Best </w:t>
            </w:r>
            <w:r>
              <w:t>E</w:t>
            </w:r>
            <w:r w:rsidRPr="00304C1D">
              <w:t>stimate:</w:t>
            </w:r>
            <w:r w:rsidRPr="00826F71">
              <w:t xml:space="preserve"> </w:t>
            </w:r>
            <w:r w:rsidRPr="007E190E">
              <w:rPr>
                <w:rStyle w:val="PONBBestEstChar"/>
              </w:rPr>
              <w:fldChar w:fldCharType="begin">
                <w:ffData>
                  <w:name w:val="Text60"/>
                  <w:enabled/>
                  <w:calcOnExit w:val="0"/>
                  <w:textInput>
                    <w:maxLength w:val="8"/>
                  </w:textInput>
                </w:ffData>
              </w:fldChar>
            </w:r>
            <w:r w:rsidRPr="007E190E">
              <w:rPr>
                <w:rStyle w:val="PONBBestEstChar"/>
              </w:rPr>
              <w:instrText xml:space="preserve"> FORMTEXT </w:instrText>
            </w:r>
            <w:r w:rsidRPr="007E190E">
              <w:rPr>
                <w:rStyle w:val="PONBBestEstChar"/>
              </w:rPr>
            </w:r>
            <w:r w:rsidRPr="007E190E">
              <w:rPr>
                <w:rStyle w:val="PONBBestEstChar"/>
              </w:rPr>
              <w:fldChar w:fldCharType="separate"/>
            </w:r>
            <w:r w:rsidR="00695B67">
              <w:rPr>
                <w:rStyle w:val="PONBBestEstChar"/>
                <w:noProof/>
              </w:rPr>
              <w:t>-10.67</w:t>
            </w:r>
            <w:r w:rsidRPr="007E190E">
              <w:rPr>
                <w:rStyle w:val="PONBBestEstChar"/>
              </w:rPr>
              <w:fldChar w:fldCharType="end"/>
            </w:r>
          </w:p>
        </w:tc>
      </w:tr>
    </w:tbl>
    <w:p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1844B6" w:rsidRPr="007E190E" w:rsidTr="007E190E">
        <w:trPr>
          <w:trHeight w:hRule="exact" w:val="567"/>
        </w:trPr>
        <w:tc>
          <w:tcPr>
            <w:tcW w:w="1995" w:type="dxa"/>
            <w:shd w:val="clear" w:color="auto" w:fill="FFFFFF"/>
          </w:tcPr>
          <w:p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bottom w:val="single" w:sz="6" w:space="0" w:color="auto"/>
            </w:tcBorders>
            <w:shd w:val="clear" w:color="auto" w:fill="auto"/>
          </w:tcPr>
          <w:p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rsidTr="007E190E">
        <w:trPr>
          <w:trHeight w:hRule="exact" w:val="348"/>
        </w:trPr>
        <w:tc>
          <w:tcPr>
            <w:tcW w:w="1995" w:type="dxa"/>
            <w:tcBorders>
              <w:top w:val="single" w:sz="6" w:space="0" w:color="auto"/>
              <w:bottom w:val="single" w:sz="6" w:space="0" w:color="auto"/>
            </w:tcBorders>
            <w:shd w:val="clear" w:color="auto" w:fill="auto"/>
            <w:vAlign w:val="center"/>
          </w:tcPr>
          <w:p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rsidR="001844B6" w:rsidRPr="007E190E" w:rsidRDefault="001844B6" w:rsidP="00695B67">
            <w:pPr>
              <w:pStyle w:val="POTTCostsLow"/>
              <w:rPr>
                <w:sz w:val="20"/>
              </w:rPr>
            </w:pPr>
            <w:r w:rsidRPr="007E190E">
              <w:rPr>
                <w:sz w:val="20"/>
              </w:rPr>
              <w:fldChar w:fldCharType="begin">
                <w:ffData>
                  <w:name w:val="Text45"/>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sz w:val="20"/>
              </w:rPr>
              <w:t>0.5</w:t>
            </w:r>
            <w:r w:rsidRPr="007E190E">
              <w:rPr>
                <w:sz w:val="20"/>
              </w:rPr>
              <w:fldChar w:fldCharType="end"/>
            </w:r>
          </w:p>
        </w:tc>
        <w:tc>
          <w:tcPr>
            <w:tcW w:w="790" w:type="dxa"/>
            <w:vMerge w:val="restart"/>
            <w:tcBorders>
              <w:top w:val="single" w:sz="6" w:space="0" w:color="auto"/>
            </w:tcBorders>
            <w:shd w:val="clear" w:color="auto" w:fill="auto"/>
            <w:vAlign w:val="center"/>
          </w:tcPr>
          <w:p w:rsidR="001844B6" w:rsidRPr="007E190E" w:rsidRDefault="001844B6" w:rsidP="005A3880">
            <w:pPr>
              <w:pStyle w:val="POTTCostsYear"/>
              <w:rPr>
                <w:sz w:val="20"/>
                <w:szCs w:val="20"/>
              </w:rPr>
            </w:pPr>
            <w:r w:rsidRPr="007E190E">
              <w:rPr>
                <w:sz w:val="20"/>
                <w:szCs w:val="20"/>
              </w:rPr>
              <w:fldChar w:fldCharType="begin">
                <w:ffData>
                  <w:name w:val="Text48"/>
                  <w:enabled/>
                  <w:calcOnExit w:val="0"/>
                  <w:textInput>
                    <w:maxLength w:val="3"/>
                  </w:textInput>
                </w:ffData>
              </w:fldChar>
            </w:r>
            <w:r w:rsidRPr="007E190E">
              <w:rPr>
                <w:sz w:val="20"/>
                <w:szCs w:val="20"/>
              </w:rPr>
              <w:instrText xml:space="preserve"> FORMTEXT </w:instrText>
            </w:r>
            <w:r w:rsidRPr="007E190E">
              <w:rPr>
                <w:sz w:val="20"/>
                <w:szCs w:val="20"/>
              </w:rPr>
            </w:r>
            <w:r w:rsidRPr="007E190E">
              <w:rPr>
                <w:sz w:val="20"/>
                <w:szCs w:val="20"/>
              </w:rPr>
              <w:fldChar w:fldCharType="separate"/>
            </w:r>
            <w:r w:rsidRPr="007E190E">
              <w:rPr>
                <w:noProof/>
                <w:sz w:val="20"/>
                <w:szCs w:val="20"/>
              </w:rPr>
              <w:t> </w:t>
            </w:r>
            <w:r w:rsidRPr="007E190E">
              <w:rPr>
                <w:noProof/>
                <w:sz w:val="20"/>
                <w:szCs w:val="20"/>
              </w:rPr>
              <w:t> </w:t>
            </w:r>
            <w:r w:rsidRPr="007E190E">
              <w:rPr>
                <w:noProof/>
                <w:sz w:val="20"/>
                <w:szCs w:val="20"/>
              </w:rPr>
              <w:t> </w:t>
            </w:r>
            <w:r w:rsidRPr="007E190E">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7E190E" w:rsidRDefault="001844B6" w:rsidP="00695B67">
            <w:pPr>
              <w:pStyle w:val="POAACostsLow"/>
              <w:rPr>
                <w:sz w:val="20"/>
              </w:rPr>
            </w:pPr>
            <w:r w:rsidRPr="007E190E">
              <w:rPr>
                <w:sz w:val="20"/>
              </w:rPr>
              <w:fldChar w:fldCharType="begin">
                <w:ffData>
                  <w:name w:val="Text49"/>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sz w:val="20"/>
              </w:rPr>
              <w:t>0.9</w:t>
            </w:r>
            <w:r w:rsidRPr="007E190E">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7E190E" w:rsidRDefault="001844B6" w:rsidP="00695B67">
            <w:pPr>
              <w:pStyle w:val="POTCCostsLow"/>
              <w:rPr>
                <w:sz w:val="20"/>
              </w:rPr>
            </w:pPr>
            <w:r w:rsidRPr="007E190E">
              <w:rPr>
                <w:sz w:val="20"/>
              </w:rPr>
              <w:fldChar w:fldCharType="begin">
                <w:ffData>
                  <w:name w:val="Text52"/>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sz w:val="20"/>
              </w:rPr>
              <w:t>8.6</w:t>
            </w:r>
            <w:r w:rsidRPr="007E190E">
              <w:rPr>
                <w:sz w:val="20"/>
              </w:rPr>
              <w:fldChar w:fldCharType="end"/>
            </w:r>
          </w:p>
        </w:tc>
      </w:tr>
      <w:tr w:rsidR="001844B6" w:rsidRPr="007E190E" w:rsidTr="007E190E">
        <w:trPr>
          <w:trHeight w:hRule="exact" w:val="348"/>
        </w:trPr>
        <w:tc>
          <w:tcPr>
            <w:tcW w:w="1995" w:type="dxa"/>
            <w:tcBorders>
              <w:top w:val="single" w:sz="6" w:space="0" w:color="auto"/>
              <w:bottom w:val="single" w:sz="12" w:space="0" w:color="auto"/>
            </w:tcBorders>
            <w:shd w:val="clear" w:color="auto" w:fill="auto"/>
            <w:vAlign w:val="center"/>
          </w:tcPr>
          <w:p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rsidR="001844B6" w:rsidRPr="007E190E" w:rsidRDefault="001844B6" w:rsidP="00695B67">
            <w:pPr>
              <w:pStyle w:val="POTTCostsHigh"/>
              <w:rPr>
                <w:sz w:val="20"/>
              </w:rPr>
            </w:pPr>
            <w:r w:rsidRPr="007E190E">
              <w:rPr>
                <w:sz w:val="20"/>
              </w:rPr>
              <w:fldChar w:fldCharType="begin">
                <w:ffData>
                  <w:name w:val="Text46"/>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sz w:val="20"/>
              </w:rPr>
              <w:t>0.6</w:t>
            </w:r>
            <w:r w:rsidRPr="007E190E">
              <w:rPr>
                <w:sz w:val="20"/>
              </w:rPr>
              <w:fldChar w:fldCharType="end"/>
            </w:r>
          </w:p>
        </w:tc>
        <w:tc>
          <w:tcPr>
            <w:tcW w:w="790" w:type="dxa"/>
            <w:vMerge/>
            <w:shd w:val="clear" w:color="auto" w:fill="FFFFFF"/>
            <w:vAlign w:val="center"/>
          </w:tcPr>
          <w:p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7E190E" w:rsidRDefault="001844B6" w:rsidP="00695B67">
            <w:pPr>
              <w:pStyle w:val="POAACostsHigh"/>
              <w:rPr>
                <w:sz w:val="20"/>
              </w:rPr>
            </w:pPr>
            <w:r w:rsidRPr="007E190E">
              <w:rPr>
                <w:sz w:val="20"/>
              </w:rPr>
              <w:fldChar w:fldCharType="begin">
                <w:ffData>
                  <w:name w:val="Text50"/>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sz w:val="20"/>
              </w:rPr>
              <w:t>1.7</w:t>
            </w:r>
            <w:r w:rsidRPr="007E190E">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7E190E" w:rsidRDefault="001844B6" w:rsidP="00695B67">
            <w:pPr>
              <w:pStyle w:val="POTCCostsHigh"/>
              <w:rPr>
                <w:sz w:val="20"/>
              </w:rPr>
            </w:pPr>
            <w:r w:rsidRPr="007E190E">
              <w:rPr>
                <w:sz w:val="20"/>
              </w:rPr>
              <w:fldChar w:fldCharType="begin">
                <w:ffData>
                  <w:name w:val="Text53"/>
                  <w:enabled/>
                  <w:calcOnExit w:val="0"/>
                  <w:textInput>
                    <w:default w:val="Optional"/>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sz w:val="20"/>
              </w:rPr>
              <w:t>15.6</w:t>
            </w:r>
            <w:r w:rsidRPr="007E190E">
              <w:rPr>
                <w:sz w:val="20"/>
              </w:rPr>
              <w:fldChar w:fldCharType="end"/>
            </w:r>
          </w:p>
        </w:tc>
      </w:tr>
      <w:tr w:rsidR="001844B6" w:rsidRPr="007E190E"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F63895" w:rsidRDefault="001844B6" w:rsidP="005A3880">
            <w:pPr>
              <w:pStyle w:val="IATableLabel"/>
            </w:pPr>
            <w:r w:rsidRPr="00F63895">
              <w:t>Best Estimate</w:t>
            </w:r>
          </w:p>
          <w:p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695B67">
            <w:pPr>
              <w:pStyle w:val="POTT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noProof/>
                <w:sz w:val="20"/>
              </w:rPr>
              <w:t>0.5</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695B67">
            <w:pPr>
              <w:pStyle w:val="POAACostsBest"/>
              <w:rPr>
                <w:sz w:val="20"/>
              </w:rPr>
            </w:pPr>
            <w:r w:rsidRPr="007E190E">
              <w:rPr>
                <w:sz w:val="20"/>
              </w:rPr>
              <w:fldChar w:fldCharType="begin">
                <w:ffData>
                  <w:name w:val="Text51"/>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noProof/>
                <w:sz w:val="20"/>
              </w:rPr>
              <w:t>1.2</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7E190E" w:rsidRDefault="001844B6" w:rsidP="00695B67">
            <w:pPr>
              <w:pStyle w:val="POTCCostsBest"/>
              <w:rPr>
                <w:sz w:val="20"/>
              </w:rPr>
            </w:pPr>
            <w:r w:rsidRPr="007E190E">
              <w:rPr>
                <w:sz w:val="20"/>
              </w:rPr>
              <w:fldChar w:fldCharType="begin">
                <w:ffData>
                  <w:name w:val="Text54"/>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00695B67">
              <w:rPr>
                <w:noProof/>
                <w:sz w:val="20"/>
              </w:rPr>
              <w:t>10.7</w:t>
            </w:r>
            <w:r w:rsidRPr="007E190E">
              <w:rPr>
                <w:sz w:val="20"/>
              </w:rPr>
              <w:fldChar w:fldCharType="end"/>
            </w:r>
          </w:p>
        </w:tc>
      </w:tr>
      <w:tr w:rsidR="001844B6" w:rsidRPr="00826F71" w:rsidTr="007E190E">
        <w:trPr>
          <w:trHeight w:hRule="exact" w:val="1701"/>
        </w:trPr>
        <w:tc>
          <w:tcPr>
            <w:tcW w:w="10235" w:type="dxa"/>
            <w:gridSpan w:val="6"/>
            <w:tcBorders>
              <w:bottom w:val="single" w:sz="6" w:space="0" w:color="auto"/>
            </w:tcBorders>
            <w:shd w:val="clear" w:color="auto" w:fill="auto"/>
          </w:tcPr>
          <w:p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rsidR="001844B6" w:rsidRPr="00826F71" w:rsidRDefault="001844B6" w:rsidP="006333A7">
            <w:pPr>
              <w:pStyle w:val="IAPOA1"/>
            </w:pPr>
            <w:r w:rsidRPr="00D337D1">
              <w:fldChar w:fldCharType="begin">
                <w:ffData>
                  <w:name w:val="Text62"/>
                  <w:enabled/>
                  <w:calcOnExit w:val="0"/>
                  <w:textInput>
                    <w:default w:val="Maximum of 5 lines"/>
                    <w:maxLength w:val="500"/>
                  </w:textInput>
                </w:ffData>
              </w:fldChar>
            </w:r>
            <w:r w:rsidRPr="00D337D1">
              <w:instrText xml:space="preserve"> FORMTEXT </w:instrText>
            </w:r>
            <w:r w:rsidRPr="00D337D1">
              <w:fldChar w:fldCharType="separate"/>
            </w:r>
            <w:r w:rsidR="00695B67" w:rsidRPr="00695B67">
              <w:t>The key monetised costs relate to regulators submitting assessments of the economic impact on business of their qualifying regulatory provisions and publishing a summary of their non-qualifying regulatory provisions. There will also be some familiarisation costs to regulators as they train staff to produce the required documents. The cost to regulators in the first year is estimated to be £1.985M. It is assumed that 50.4% of costs will be recovered from business</w:t>
            </w:r>
            <w:r w:rsidR="006333A7">
              <w:t>.</w:t>
            </w:r>
            <w:r w:rsidR="00695B67">
              <w:t> </w:t>
            </w:r>
            <w:r w:rsidR="00695B67">
              <w:t> </w:t>
            </w:r>
            <w:r w:rsidR="00695B67">
              <w:t> </w:t>
            </w:r>
            <w:r w:rsidR="00695B67">
              <w:t> </w:t>
            </w:r>
            <w:r w:rsidR="00695B67">
              <w:t> </w:t>
            </w:r>
            <w:r w:rsidRPr="00D337D1">
              <w:fldChar w:fldCharType="end"/>
            </w:r>
          </w:p>
        </w:tc>
      </w:tr>
      <w:tr w:rsidR="001844B6" w:rsidRPr="00826F71" w:rsidTr="007E190E">
        <w:trPr>
          <w:trHeight w:hRule="exact" w:val="1701"/>
        </w:trPr>
        <w:tc>
          <w:tcPr>
            <w:tcW w:w="10235" w:type="dxa"/>
            <w:gridSpan w:val="6"/>
            <w:tcBorders>
              <w:top w:val="single" w:sz="6" w:space="0" w:color="auto"/>
              <w:bottom w:val="single" w:sz="12" w:space="0" w:color="auto"/>
            </w:tcBorders>
            <w:shd w:val="clear" w:color="auto" w:fill="auto"/>
          </w:tcPr>
          <w:p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rsidR="001844B6" w:rsidRPr="007E190E" w:rsidRDefault="001844B6" w:rsidP="00695B67">
            <w:pPr>
              <w:pStyle w:val="IAPOA2"/>
              <w:rPr>
                <w:szCs w:val="22"/>
              </w:rPr>
            </w:pPr>
            <w:r w:rsidRPr="007E190E">
              <w:rPr>
                <w:szCs w:val="22"/>
              </w:rPr>
              <w:fldChar w:fldCharType="begin">
                <w:ffData>
                  <w:name w:val="Text62"/>
                  <w:enabled/>
                  <w:calcOnExit w:val="0"/>
                  <w:textInput>
                    <w:default w:val="Maximum of 5 lines"/>
                    <w:maxLength w:val="500"/>
                  </w:textInput>
                </w:ffData>
              </w:fldChar>
            </w:r>
            <w:r w:rsidRPr="007E190E">
              <w:rPr>
                <w:szCs w:val="22"/>
              </w:rPr>
              <w:instrText xml:space="preserve"> FORMTEXT </w:instrText>
            </w:r>
            <w:r w:rsidRPr="007E190E">
              <w:rPr>
                <w:szCs w:val="22"/>
              </w:rPr>
            </w:r>
            <w:r w:rsidRPr="007E190E">
              <w:rPr>
                <w:szCs w:val="22"/>
              </w:rPr>
              <w:fldChar w:fldCharType="separate"/>
            </w:r>
            <w:r w:rsidR="00695B67">
              <w:rPr>
                <w:szCs w:val="22"/>
              </w:rPr>
              <w:t>None identified</w:t>
            </w:r>
            <w:r w:rsidRPr="007E190E">
              <w:rPr>
                <w:szCs w:val="22"/>
              </w:rPr>
              <w:fldChar w:fldCharType="end"/>
            </w:r>
          </w:p>
        </w:tc>
      </w:tr>
      <w:tr w:rsidR="001844B6" w:rsidRPr="007E190E" w:rsidTr="007E190E">
        <w:trPr>
          <w:trHeight w:hRule="exact" w:val="567"/>
        </w:trPr>
        <w:tc>
          <w:tcPr>
            <w:tcW w:w="1995" w:type="dxa"/>
            <w:shd w:val="clear" w:color="auto" w:fill="FFFFFF"/>
          </w:tcPr>
          <w:p w:rsidR="001844B6" w:rsidRPr="007E190E" w:rsidRDefault="001844B6" w:rsidP="005A3880">
            <w:pPr>
              <w:pStyle w:val="IATableLabel"/>
              <w:rPr>
                <w:sz w:val="24"/>
                <w:szCs w:val="24"/>
              </w:rPr>
            </w:pPr>
            <w:r w:rsidRPr="007E190E">
              <w:rPr>
                <w:sz w:val="24"/>
                <w:szCs w:val="24"/>
              </w:rPr>
              <w:t>BENEFITS (£m)</w:t>
            </w:r>
          </w:p>
        </w:tc>
        <w:tc>
          <w:tcPr>
            <w:tcW w:w="2739" w:type="dxa"/>
            <w:gridSpan w:val="2"/>
            <w:tcBorders>
              <w:top w:val="single" w:sz="12" w:space="0" w:color="auto"/>
              <w:bottom w:val="single" w:sz="6" w:space="0" w:color="auto"/>
            </w:tcBorders>
            <w:shd w:val="clear" w:color="auto" w:fill="auto"/>
          </w:tcPr>
          <w:p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rsidR="001844B6" w:rsidRPr="00826F71" w:rsidRDefault="001844B6" w:rsidP="007E190E">
            <w:pPr>
              <w:pStyle w:val="IATableLabel"/>
              <w:jc w:val="right"/>
            </w:pPr>
            <w:r>
              <w:br/>
            </w:r>
          </w:p>
        </w:tc>
        <w:tc>
          <w:tcPr>
            <w:tcW w:w="2865" w:type="dxa"/>
            <w:tcBorders>
              <w:bottom w:val="single" w:sz="6" w:space="0" w:color="auto"/>
              <w:right w:val="single" w:sz="12" w:space="0" w:color="auto"/>
            </w:tcBorders>
            <w:shd w:val="clear" w:color="auto" w:fill="auto"/>
          </w:tcPr>
          <w:p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rsidTr="007E190E">
        <w:trPr>
          <w:trHeight w:hRule="exact" w:val="348"/>
        </w:trPr>
        <w:tc>
          <w:tcPr>
            <w:tcW w:w="1995" w:type="dxa"/>
            <w:tcBorders>
              <w:top w:val="single" w:sz="6" w:space="0" w:color="auto"/>
              <w:bottom w:val="single" w:sz="6" w:space="0" w:color="auto"/>
            </w:tcBorders>
            <w:shd w:val="clear" w:color="auto" w:fill="auto"/>
            <w:vAlign w:val="center"/>
          </w:tcPr>
          <w:p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rsidR="001844B6" w:rsidRPr="007E190E" w:rsidRDefault="001844B6" w:rsidP="00695B67">
            <w:pPr>
              <w:pStyle w:val="POTTBenLow"/>
              <w:rPr>
                <w:sz w:val="20"/>
              </w:rPr>
            </w:pPr>
          </w:p>
        </w:tc>
        <w:tc>
          <w:tcPr>
            <w:tcW w:w="790" w:type="dxa"/>
            <w:vMerge w:val="restart"/>
            <w:tcBorders>
              <w:top w:val="single" w:sz="6" w:space="0" w:color="auto"/>
            </w:tcBorders>
            <w:shd w:val="clear" w:color="auto" w:fill="auto"/>
            <w:vAlign w:val="center"/>
          </w:tcPr>
          <w:p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7E190E" w:rsidRDefault="001844B6" w:rsidP="005A3880">
            <w:pPr>
              <w:pStyle w:val="POAABenLow"/>
              <w:rPr>
                <w:sz w:val="20"/>
              </w:rPr>
            </w:pP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7E190E" w:rsidRDefault="001844B6" w:rsidP="005A3880">
            <w:pPr>
              <w:pStyle w:val="POTBBenLow"/>
              <w:rPr>
                <w:sz w:val="20"/>
              </w:rPr>
            </w:pPr>
          </w:p>
        </w:tc>
      </w:tr>
      <w:tr w:rsidR="001844B6" w:rsidRPr="007E190E" w:rsidTr="007E190E">
        <w:trPr>
          <w:trHeight w:hRule="exact" w:val="348"/>
        </w:trPr>
        <w:tc>
          <w:tcPr>
            <w:tcW w:w="1995" w:type="dxa"/>
            <w:tcBorders>
              <w:top w:val="single" w:sz="6" w:space="0" w:color="auto"/>
              <w:bottom w:val="single" w:sz="12" w:space="0" w:color="auto"/>
            </w:tcBorders>
            <w:shd w:val="clear" w:color="auto" w:fill="auto"/>
            <w:vAlign w:val="center"/>
          </w:tcPr>
          <w:p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rsidR="001844B6" w:rsidRPr="007E190E" w:rsidRDefault="001844B6" w:rsidP="005A3880">
            <w:pPr>
              <w:pStyle w:val="POTTBenHigh"/>
              <w:rPr>
                <w:sz w:val="20"/>
              </w:rPr>
            </w:pPr>
          </w:p>
        </w:tc>
        <w:tc>
          <w:tcPr>
            <w:tcW w:w="790" w:type="dxa"/>
            <w:vMerge/>
            <w:shd w:val="clear" w:color="auto" w:fill="FFFFFF"/>
            <w:vAlign w:val="center"/>
          </w:tcPr>
          <w:p w:rsidR="001844B6" w:rsidRPr="007E190E" w:rsidRDefault="001844B6" w:rsidP="007E190E">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7E190E" w:rsidRDefault="001844B6" w:rsidP="005A3880">
            <w:pPr>
              <w:pStyle w:val="POAABenHigh"/>
              <w:rPr>
                <w:sz w:val="20"/>
              </w:rPr>
            </w:pP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7E190E" w:rsidRDefault="001844B6" w:rsidP="005A3880">
            <w:pPr>
              <w:pStyle w:val="POTBBenHigh"/>
              <w:rPr>
                <w:sz w:val="20"/>
              </w:rPr>
            </w:pPr>
          </w:p>
        </w:tc>
      </w:tr>
      <w:tr w:rsidR="001844B6" w:rsidRPr="007E190E" w:rsidTr="007E190E">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826F71" w:rsidRDefault="001844B6" w:rsidP="005A3880">
            <w:pPr>
              <w:pStyle w:val="IATableLabel"/>
            </w:pPr>
            <w:r w:rsidRPr="00826F71">
              <w:t xml:space="preserve">Best </w:t>
            </w:r>
            <w:r>
              <w:t>E</w:t>
            </w:r>
            <w:r w:rsidRPr="00826F71">
              <w:t>stimate</w:t>
            </w:r>
          </w:p>
          <w:p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5A3880">
            <w:pPr>
              <w:pStyle w:val="POTT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790" w:type="dxa"/>
            <w:vMerge/>
            <w:tcBorders>
              <w:left w:val="single" w:sz="12" w:space="0" w:color="auto"/>
              <w:right w:val="single" w:sz="12" w:space="0" w:color="auto"/>
            </w:tcBorders>
            <w:shd w:val="clear" w:color="auto" w:fill="FFFFFF"/>
            <w:vAlign w:val="center"/>
          </w:tcPr>
          <w:p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7E190E" w:rsidRDefault="001844B6" w:rsidP="005A3880">
            <w:pPr>
              <w:pStyle w:val="POAA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7E190E" w:rsidRDefault="001844B6" w:rsidP="005A3880">
            <w:pPr>
              <w:pStyle w:val="POTBBenBest"/>
              <w:rPr>
                <w:sz w:val="20"/>
              </w:rPr>
            </w:pPr>
            <w:r w:rsidRPr="007E190E">
              <w:rPr>
                <w:sz w:val="20"/>
              </w:rPr>
              <w:fldChar w:fldCharType="begin">
                <w:ffData>
                  <w:name w:val=""/>
                  <w:enabled/>
                  <w:calcOnExit w:val="0"/>
                  <w:textInput>
                    <w:maxLength w:val="14"/>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noProof/>
                <w:sz w:val="20"/>
              </w:rPr>
              <w:t> </w:t>
            </w:r>
            <w:r w:rsidRPr="007E190E">
              <w:rPr>
                <w:noProof/>
                <w:sz w:val="20"/>
              </w:rPr>
              <w:t> </w:t>
            </w:r>
            <w:r w:rsidRPr="007E190E">
              <w:rPr>
                <w:sz w:val="20"/>
              </w:rPr>
              <w:fldChar w:fldCharType="end"/>
            </w:r>
          </w:p>
        </w:tc>
      </w:tr>
      <w:tr w:rsidR="001844B6" w:rsidRPr="00826F71" w:rsidTr="007E190E">
        <w:trPr>
          <w:trHeight w:hRule="exact" w:val="1701"/>
        </w:trPr>
        <w:tc>
          <w:tcPr>
            <w:tcW w:w="10235" w:type="dxa"/>
            <w:gridSpan w:val="6"/>
            <w:shd w:val="clear" w:color="auto" w:fill="auto"/>
          </w:tcPr>
          <w:p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rsidR="001844B6" w:rsidRPr="00826F71" w:rsidRDefault="001844B6" w:rsidP="00695B67">
            <w:pPr>
              <w:pStyle w:val="IAPOA3"/>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sidR="00695B67">
              <w:t>None identified</w:t>
            </w:r>
            <w:r w:rsidRPr="00D337D1">
              <w:fldChar w:fldCharType="end"/>
            </w:r>
          </w:p>
        </w:tc>
      </w:tr>
      <w:tr w:rsidR="001844B6" w:rsidRPr="00826F71" w:rsidTr="007E190E">
        <w:trPr>
          <w:trHeight w:hRule="exact" w:val="1701"/>
        </w:trPr>
        <w:tc>
          <w:tcPr>
            <w:tcW w:w="10235" w:type="dxa"/>
            <w:gridSpan w:val="6"/>
            <w:shd w:val="clear" w:color="auto" w:fill="auto"/>
          </w:tcPr>
          <w:p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rsidR="001844B6" w:rsidRPr="00826F71" w:rsidRDefault="001844B6" w:rsidP="006333A7">
            <w:pPr>
              <w:pStyle w:val="IAPOA4"/>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sidR="00695B67" w:rsidRPr="00695B67">
              <w:t xml:space="preserve">Bringing the activities of regulators into the BIT will ensure that the impact imposed on business by regulators is routinely measured and reported on. This will increase the transparency of the system and provide business with greater assurance that any costs and benefits imposed on them are  assessed. Business will also benefit from the savings generated through delivery of the BIT – which are expected to be large - but these impacts would be scored in </w:t>
            </w:r>
            <w:r w:rsidR="006333A7">
              <w:t>separate assessments.</w:t>
            </w:r>
            <w:r w:rsidR="00695B67">
              <w:t> </w:t>
            </w:r>
            <w:r w:rsidR="00695B67">
              <w:t> </w:t>
            </w:r>
            <w:r w:rsidR="00695B67">
              <w:t> </w:t>
            </w:r>
            <w:r w:rsidR="00695B67">
              <w:t> </w:t>
            </w:r>
            <w:r w:rsidR="00695B67">
              <w:t> </w:t>
            </w:r>
            <w:r w:rsidRPr="00D337D1">
              <w:fldChar w:fldCharType="end"/>
            </w:r>
          </w:p>
        </w:tc>
      </w:tr>
      <w:tr w:rsidR="001844B6" w:rsidRPr="00826F71" w:rsidTr="007E190E">
        <w:trPr>
          <w:trHeight w:hRule="exact" w:val="346"/>
        </w:trPr>
        <w:tc>
          <w:tcPr>
            <w:tcW w:w="9375" w:type="dxa"/>
            <w:gridSpan w:val="5"/>
            <w:tcBorders>
              <w:top w:val="single" w:sz="6" w:space="0" w:color="auto"/>
              <w:bottom w:val="nil"/>
            </w:tcBorders>
            <w:shd w:val="clear" w:color="auto" w:fill="auto"/>
          </w:tcPr>
          <w:p w:rsidR="001844B6" w:rsidRDefault="001844B6" w:rsidP="007E190E">
            <w:pPr>
              <w:pStyle w:val="IATableLabel"/>
              <w:tabs>
                <w:tab w:val="left" w:pos="7655"/>
              </w:tabs>
            </w:pPr>
            <w:r w:rsidRPr="00F1653E">
              <w:rPr>
                <w:rStyle w:val="IAPOQ5Char"/>
              </w:rPr>
              <w:t>Key assumptions/sensitivities/risks</w:t>
            </w:r>
            <w:r>
              <w:tab/>
              <w:t>Discount rate (%)</w:t>
            </w:r>
          </w:p>
          <w:p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rsidR="001844B6" w:rsidRPr="007E6CF8" w:rsidRDefault="001844B6" w:rsidP="00695B67">
            <w:pPr>
              <w:pStyle w:val="IAPODisRate"/>
            </w:pPr>
            <w:r w:rsidRPr="00D337D1">
              <w:fldChar w:fldCharType="begin">
                <w:ffData>
                  <w:name w:val=""/>
                  <w:enabled/>
                  <w:calcOnExit w:val="0"/>
                  <w:textInput>
                    <w:maxLength w:val="5"/>
                  </w:textInput>
                </w:ffData>
              </w:fldChar>
            </w:r>
            <w:r w:rsidRPr="00D337D1">
              <w:instrText xml:space="preserve"> FORMTEXT </w:instrText>
            </w:r>
            <w:r w:rsidRPr="00D337D1">
              <w:fldChar w:fldCharType="separate"/>
            </w:r>
            <w:r w:rsidR="00695B67">
              <w:rPr>
                <w:noProof/>
              </w:rPr>
              <w:t>3.5</w:t>
            </w:r>
            <w:r w:rsidRPr="00D337D1">
              <w:fldChar w:fldCharType="end"/>
            </w:r>
          </w:p>
        </w:tc>
      </w:tr>
      <w:tr w:rsidR="001844B6" w:rsidRPr="007E190E" w:rsidTr="007E190E">
        <w:trPr>
          <w:trHeight w:hRule="exact" w:val="1375"/>
        </w:trPr>
        <w:tc>
          <w:tcPr>
            <w:tcW w:w="10235" w:type="dxa"/>
            <w:gridSpan w:val="6"/>
            <w:tcBorders>
              <w:top w:val="nil"/>
              <w:bottom w:val="single" w:sz="12" w:space="0" w:color="auto"/>
            </w:tcBorders>
            <w:shd w:val="clear" w:color="auto" w:fill="auto"/>
          </w:tcPr>
          <w:p w:rsidR="001844B6" w:rsidRPr="00544292" w:rsidRDefault="001844B6" w:rsidP="00695B67">
            <w:pPr>
              <w:pStyle w:val="IAPOA5"/>
            </w:pPr>
            <w:r>
              <w:fldChar w:fldCharType="begin">
                <w:ffData>
                  <w:name w:val=""/>
                  <w:enabled/>
                  <w:calcOnExit w:val="0"/>
                  <w:textInput>
                    <w:default w:val="Maximum of 5 lines"/>
                    <w:maxLength w:val="500"/>
                  </w:textInput>
                </w:ffData>
              </w:fldChar>
            </w:r>
            <w:r>
              <w:instrText xml:space="preserve"> FORMTEXT </w:instrText>
            </w:r>
            <w:r>
              <w:fldChar w:fldCharType="separate"/>
            </w:r>
            <w:r w:rsidR="00695B67" w:rsidRPr="00695B67">
              <w:t>The estimates of the costs are sensitive to the number of qualifying regulatory provisions (QRP) assessments regulators will submit annually, the number of resubmissions required to have the estimate of economic impact validated, the time taken per submission, the salary of those completing the assessments, the time taken to produce non-qualifying regulatory provisions (NQRP) summaries, and the amount of training staff in regulators undertake.</w:t>
            </w:r>
            <w:r w:rsidR="00695B67">
              <w:t> </w:t>
            </w:r>
            <w:r w:rsidR="00695B67">
              <w:t> </w:t>
            </w:r>
            <w:r w:rsidR="00695B67">
              <w:t> </w:t>
            </w:r>
            <w:r w:rsidR="00695B67">
              <w:t> </w:t>
            </w:r>
            <w:r w:rsidR="00695B67">
              <w:t> </w:t>
            </w:r>
            <w:r>
              <w:fldChar w:fldCharType="end"/>
            </w:r>
          </w:p>
        </w:tc>
      </w:tr>
    </w:tbl>
    <w:p w:rsidR="001844B6" w:rsidRDefault="001844B6" w:rsidP="005A3880">
      <w:pPr>
        <w:pStyle w:val="IASpacer"/>
      </w:pPr>
    </w:p>
    <w:p w:rsidR="001844B6" w:rsidRDefault="00F63895" w:rsidP="005A3880">
      <w:pPr>
        <w:pStyle w:val="IAHeadLabel"/>
        <w:spacing w:before="50"/>
      </w:pPr>
      <w:r>
        <w:t xml:space="preserve">BUSINESS </w:t>
      </w:r>
      <w:r w:rsidR="001844B6">
        <w:t xml:space="preserve">ASSESSMENT (Option </w:t>
      </w:r>
      <w:fldSimple w:instr=" SEQ BA ">
        <w:r w:rsidR="00152064">
          <w:rPr>
            <w:noProof/>
          </w:rPr>
          <w:t>1</w:t>
        </w:r>
      </w:fldSimple>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8"/>
        <w:gridCol w:w="1843"/>
        <w:gridCol w:w="1701"/>
        <w:gridCol w:w="4823"/>
      </w:tblGrid>
      <w:tr w:rsidR="00FD4195" w:rsidRPr="000E02BE" w:rsidTr="00FD4195">
        <w:trPr>
          <w:trHeight w:hRule="exact" w:val="384"/>
        </w:trPr>
        <w:tc>
          <w:tcPr>
            <w:tcW w:w="5392" w:type="dxa"/>
            <w:gridSpan w:val="3"/>
            <w:tcBorders>
              <w:top w:val="single" w:sz="4" w:space="0" w:color="auto"/>
              <w:bottom w:val="nil"/>
              <w:right w:val="single" w:sz="4" w:space="0" w:color="auto"/>
            </w:tcBorders>
          </w:tcPr>
          <w:p w:rsidR="00FD4195" w:rsidRPr="000E02BE" w:rsidRDefault="00FD4195" w:rsidP="005A3880">
            <w:pPr>
              <w:pStyle w:val="IATableLabel"/>
            </w:pPr>
            <w:r w:rsidRPr="000E02BE">
              <w:t xml:space="preserve">Direct impact on </w:t>
            </w:r>
            <w:r>
              <w:t>business (Equivalent Annual) £m</w:t>
            </w:r>
            <w:r w:rsidRPr="000E02BE">
              <w:t xml:space="preserve">: </w:t>
            </w:r>
          </w:p>
        </w:tc>
        <w:tc>
          <w:tcPr>
            <w:tcW w:w="4823" w:type="dxa"/>
            <w:vMerge w:val="restart"/>
            <w:tcBorders>
              <w:top w:val="single" w:sz="4" w:space="0" w:color="auto"/>
              <w:left w:val="single" w:sz="4" w:space="0" w:color="auto"/>
              <w:right w:val="single" w:sz="4" w:space="0" w:color="auto"/>
            </w:tcBorders>
          </w:tcPr>
          <w:p w:rsidR="00FD4195" w:rsidRPr="000E02BE" w:rsidRDefault="00FD4195" w:rsidP="00C96388">
            <w:pPr>
              <w:pStyle w:val="IATableLabel"/>
            </w:pPr>
            <w:r>
              <w:t>Score for Business Impact Target (qualifying provisions only)</w:t>
            </w:r>
            <w:r w:rsidR="00C96388">
              <w:t xml:space="preserve"> £m:</w:t>
            </w:r>
          </w:p>
        </w:tc>
      </w:tr>
      <w:tr w:rsidR="00FD4195" w:rsidRPr="00E75380" w:rsidTr="001B1210">
        <w:trPr>
          <w:trHeight w:hRule="exact" w:val="340"/>
        </w:trPr>
        <w:tc>
          <w:tcPr>
            <w:tcW w:w="1848" w:type="dxa"/>
            <w:vMerge w:val="restart"/>
            <w:tcBorders>
              <w:top w:val="nil"/>
              <w:right w:val="single" w:sz="4" w:space="0" w:color="auto"/>
            </w:tcBorders>
            <w:shd w:val="clear" w:color="auto" w:fill="FFFFFF"/>
          </w:tcPr>
          <w:p w:rsidR="00FD4195" w:rsidRPr="00F63895" w:rsidRDefault="00FD4195" w:rsidP="00695B67">
            <w:pPr>
              <w:pStyle w:val="IATableLabel"/>
            </w:pPr>
            <w:r w:rsidRPr="00F63895">
              <w:t xml:space="preserve">Costs: </w:t>
            </w:r>
            <w:bookmarkStart w:id="40" w:name="Text67"/>
            <w:r w:rsidRPr="00F63895">
              <w:rPr>
                <w:rStyle w:val="IAPODICostChar"/>
                <w:sz w:val="20"/>
                <w:szCs w:val="20"/>
              </w:rPr>
              <w:fldChar w:fldCharType="begin">
                <w:ffData>
                  <w:name w:val="Text67"/>
                  <w:enabled/>
                  <w:calcOnExit w:val="0"/>
                  <w:textInput>
                    <w:maxLength w:val="9"/>
                  </w:textInput>
                </w:ffData>
              </w:fldChar>
            </w:r>
            <w:r w:rsidRPr="00F63895">
              <w:rPr>
                <w:rStyle w:val="IAPODICostChar"/>
                <w:sz w:val="20"/>
                <w:szCs w:val="20"/>
              </w:rPr>
              <w:instrText xml:space="preserve"> FORMTEXT </w:instrText>
            </w:r>
            <w:r w:rsidRPr="00F63895">
              <w:rPr>
                <w:rStyle w:val="IAPODICostChar"/>
                <w:sz w:val="20"/>
                <w:szCs w:val="20"/>
              </w:rPr>
            </w:r>
            <w:r w:rsidRPr="00F63895">
              <w:rPr>
                <w:rStyle w:val="IAPODICostChar"/>
                <w:sz w:val="20"/>
                <w:szCs w:val="20"/>
              </w:rPr>
              <w:fldChar w:fldCharType="separate"/>
            </w:r>
            <w:r w:rsidR="00695B67">
              <w:rPr>
                <w:rStyle w:val="IAPODICostChar"/>
                <w:noProof/>
                <w:sz w:val="20"/>
                <w:szCs w:val="20"/>
              </w:rPr>
              <w:t>0.6</w:t>
            </w:r>
            <w:r w:rsidRPr="00F63895">
              <w:rPr>
                <w:rStyle w:val="IAPODICostChar"/>
                <w:sz w:val="20"/>
                <w:szCs w:val="20"/>
              </w:rPr>
              <w:fldChar w:fldCharType="end"/>
            </w:r>
            <w:bookmarkEnd w:id="40"/>
          </w:p>
        </w:tc>
        <w:tc>
          <w:tcPr>
            <w:tcW w:w="1843" w:type="dxa"/>
            <w:vMerge w:val="restart"/>
            <w:tcBorders>
              <w:top w:val="nil"/>
              <w:right w:val="single" w:sz="4" w:space="0" w:color="auto"/>
            </w:tcBorders>
            <w:shd w:val="clear" w:color="auto" w:fill="FFFFFF"/>
          </w:tcPr>
          <w:p w:rsidR="00FD4195" w:rsidRPr="00F63895" w:rsidRDefault="00FD4195" w:rsidP="00695B67">
            <w:pPr>
              <w:pStyle w:val="IATableLabel"/>
            </w:pPr>
            <w:r w:rsidRPr="00F63895">
              <w:t xml:space="preserve">Benefits: </w:t>
            </w:r>
            <w:bookmarkStart w:id="41" w:name="Text68"/>
            <w:r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Pr="00F63895">
              <w:rPr>
                <w:rStyle w:val="IAPODIBenChar"/>
                <w:sz w:val="20"/>
                <w:szCs w:val="20"/>
              </w:rPr>
            </w:r>
            <w:r w:rsidRPr="00F63895">
              <w:rPr>
                <w:rStyle w:val="IAPODIBenChar"/>
                <w:sz w:val="20"/>
                <w:szCs w:val="20"/>
              </w:rPr>
              <w:fldChar w:fldCharType="separate"/>
            </w:r>
            <w:r w:rsidR="00695B67">
              <w:rPr>
                <w:rStyle w:val="IAPODIBenChar"/>
                <w:noProof/>
                <w:sz w:val="20"/>
                <w:szCs w:val="20"/>
              </w:rPr>
              <w:t>0.0</w:t>
            </w:r>
            <w:r w:rsidRPr="00F63895">
              <w:rPr>
                <w:rStyle w:val="IAPODIBenChar"/>
                <w:sz w:val="20"/>
                <w:szCs w:val="20"/>
              </w:rPr>
              <w:fldChar w:fldCharType="end"/>
            </w:r>
            <w:bookmarkEnd w:id="41"/>
          </w:p>
        </w:tc>
        <w:tc>
          <w:tcPr>
            <w:tcW w:w="1701" w:type="dxa"/>
            <w:vMerge w:val="restart"/>
            <w:tcBorders>
              <w:top w:val="nil"/>
              <w:right w:val="single" w:sz="4" w:space="0" w:color="auto"/>
            </w:tcBorders>
            <w:shd w:val="clear" w:color="auto" w:fill="FFFFFF"/>
          </w:tcPr>
          <w:p w:rsidR="00FD4195" w:rsidRPr="00F63895" w:rsidRDefault="00FD4195" w:rsidP="00695B67">
            <w:pPr>
              <w:pStyle w:val="IATableLabel"/>
            </w:pPr>
            <w:r w:rsidRPr="00F63895">
              <w:t xml:space="preserve">Net: </w:t>
            </w:r>
            <w:bookmarkStart w:id="42" w:name="Text69"/>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00695B67">
              <w:rPr>
                <w:rStyle w:val="IAPODINetChar"/>
                <w:noProof/>
                <w:sz w:val="20"/>
                <w:szCs w:val="20"/>
              </w:rPr>
              <w:t>-0.6</w:t>
            </w:r>
            <w:r w:rsidRPr="00F63895">
              <w:rPr>
                <w:rStyle w:val="IAPODINetChar"/>
                <w:sz w:val="20"/>
                <w:szCs w:val="20"/>
              </w:rPr>
              <w:fldChar w:fldCharType="end"/>
            </w:r>
            <w:bookmarkEnd w:id="42"/>
          </w:p>
        </w:tc>
        <w:tc>
          <w:tcPr>
            <w:tcW w:w="4823" w:type="dxa"/>
            <w:vMerge/>
            <w:tcBorders>
              <w:left w:val="single" w:sz="4" w:space="0" w:color="auto"/>
              <w:bottom w:val="single" w:sz="4" w:space="0" w:color="auto"/>
              <w:right w:val="single" w:sz="4" w:space="0" w:color="auto"/>
            </w:tcBorders>
            <w:shd w:val="clear" w:color="auto" w:fill="FFFFFF"/>
          </w:tcPr>
          <w:p w:rsidR="00FD4195" w:rsidRPr="00F63895" w:rsidRDefault="00FD4195" w:rsidP="005A3880">
            <w:pPr>
              <w:pStyle w:val="IAPODIMQ"/>
            </w:pPr>
          </w:p>
        </w:tc>
      </w:tr>
      <w:tr w:rsidR="00FD4195" w:rsidRPr="00E75380" w:rsidTr="001B1210">
        <w:trPr>
          <w:trHeight w:hRule="exact" w:val="340"/>
        </w:trPr>
        <w:tc>
          <w:tcPr>
            <w:tcW w:w="1848" w:type="dxa"/>
            <w:vMerge/>
            <w:tcBorders>
              <w:bottom w:val="single" w:sz="4" w:space="0" w:color="auto"/>
              <w:right w:val="single" w:sz="4" w:space="0" w:color="auto"/>
            </w:tcBorders>
            <w:shd w:val="clear" w:color="auto" w:fill="FFFFFF"/>
          </w:tcPr>
          <w:p w:rsidR="00FD4195" w:rsidRPr="00F63895" w:rsidRDefault="00FD4195" w:rsidP="005A3880">
            <w:pPr>
              <w:pStyle w:val="IATableLabel"/>
            </w:pPr>
          </w:p>
        </w:tc>
        <w:tc>
          <w:tcPr>
            <w:tcW w:w="1843" w:type="dxa"/>
            <w:vMerge/>
            <w:tcBorders>
              <w:bottom w:val="single" w:sz="4" w:space="0" w:color="auto"/>
              <w:right w:val="single" w:sz="4" w:space="0" w:color="auto"/>
            </w:tcBorders>
            <w:shd w:val="clear" w:color="auto" w:fill="FFFFFF"/>
          </w:tcPr>
          <w:p w:rsidR="00FD4195" w:rsidRPr="00F63895" w:rsidRDefault="00FD4195" w:rsidP="005A3880">
            <w:pPr>
              <w:pStyle w:val="IATableLabel"/>
            </w:pPr>
          </w:p>
        </w:tc>
        <w:tc>
          <w:tcPr>
            <w:tcW w:w="1701" w:type="dxa"/>
            <w:vMerge/>
            <w:tcBorders>
              <w:bottom w:val="single" w:sz="4" w:space="0" w:color="auto"/>
              <w:right w:val="single" w:sz="4" w:space="0" w:color="auto"/>
            </w:tcBorders>
            <w:shd w:val="clear" w:color="auto" w:fill="FFFFFF"/>
          </w:tcPr>
          <w:p w:rsidR="00FD4195" w:rsidRPr="00F63895" w:rsidRDefault="00FD4195" w:rsidP="005A3880">
            <w:pPr>
              <w:pStyle w:val="IATableLabel"/>
            </w:pPr>
          </w:p>
        </w:tc>
        <w:tc>
          <w:tcPr>
            <w:tcW w:w="4823" w:type="dxa"/>
            <w:tcBorders>
              <w:top w:val="nil"/>
              <w:left w:val="single" w:sz="4" w:space="0" w:color="auto"/>
              <w:bottom w:val="single" w:sz="4" w:space="0" w:color="auto"/>
              <w:right w:val="single" w:sz="4" w:space="0" w:color="auto"/>
            </w:tcBorders>
            <w:shd w:val="clear" w:color="auto" w:fill="FFFFFF"/>
          </w:tcPr>
          <w:p w:rsidR="00FD4195" w:rsidRPr="00F63895" w:rsidRDefault="00D41FA2" w:rsidP="005A3880">
            <w:pPr>
              <w:pStyle w:val="IAPODIMQ"/>
            </w:pPr>
            <w:r>
              <w:fldChar w:fldCharType="begin">
                <w:ffData>
                  <w:name w:val="Text71"/>
                  <w:enabled/>
                  <w:calcOnExit w:val="0"/>
                  <w:textInput/>
                </w:ffData>
              </w:fldChar>
            </w:r>
            <w:bookmarkStart w:id="4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6333A7">
              <w:t>3.0</w:t>
            </w:r>
          </w:p>
        </w:tc>
      </w:tr>
    </w:tbl>
    <w:p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rsidR="00F70A77" w:rsidRDefault="00F70A77">
      <w:pPr>
        <w:pStyle w:val="Heading1"/>
        <w:spacing w:before="0"/>
      </w:pPr>
      <w:bookmarkStart w:id="44" w:name="EvidenceHead"/>
      <w:r>
        <w:lastRenderedPageBreak/>
        <w:t xml:space="preserve">Evidence Base </w:t>
      </w:r>
      <w:bookmarkStart w:id="45" w:name="EvidenceBase"/>
      <w:bookmarkEnd w:id="45"/>
      <w:r>
        <w:t>(for summary sheets)</w:t>
      </w:r>
    </w:p>
    <w:p w:rsidR="006333A7" w:rsidRDefault="006333A7" w:rsidP="006333A7">
      <w:pPr>
        <w:rPr>
          <w:rFonts w:cs="Arial"/>
          <w:b/>
          <w:sz w:val="22"/>
          <w:szCs w:val="22"/>
          <w:u w:val="single"/>
        </w:rPr>
      </w:pPr>
    </w:p>
    <w:p w:rsidR="006333A7" w:rsidRDefault="006333A7" w:rsidP="006333A7">
      <w:pPr>
        <w:rPr>
          <w:rFonts w:cs="Arial"/>
          <w:b/>
          <w:sz w:val="22"/>
          <w:szCs w:val="22"/>
          <w:u w:val="single"/>
        </w:rPr>
      </w:pPr>
      <w:r>
        <w:rPr>
          <w:rFonts w:cs="Arial"/>
          <w:b/>
          <w:sz w:val="22"/>
          <w:szCs w:val="22"/>
          <w:u w:val="single"/>
        </w:rPr>
        <w:t>The Business Impact Target</w:t>
      </w:r>
    </w:p>
    <w:p w:rsidR="006333A7" w:rsidRPr="00A17429" w:rsidRDefault="006333A7" w:rsidP="006333A7">
      <w:pPr>
        <w:rPr>
          <w:rFonts w:cs="Arial"/>
          <w:b/>
          <w:sz w:val="22"/>
          <w:szCs w:val="22"/>
          <w:u w:val="single"/>
        </w:rPr>
      </w:pPr>
    </w:p>
    <w:p w:rsidR="006333A7" w:rsidRDefault="006333A7" w:rsidP="006333A7">
      <w:pPr>
        <w:numPr>
          <w:ilvl w:val="0"/>
          <w:numId w:val="22"/>
        </w:numPr>
        <w:spacing w:after="240"/>
        <w:ind w:left="357" w:hanging="357"/>
        <w:rPr>
          <w:rFonts w:cs="Arial"/>
          <w:sz w:val="22"/>
          <w:szCs w:val="22"/>
        </w:rPr>
      </w:pPr>
      <w:r>
        <w:rPr>
          <w:rFonts w:cs="Arial"/>
          <w:sz w:val="22"/>
          <w:szCs w:val="22"/>
        </w:rPr>
        <w:t>The Small Business, Enterprise and Employment (SBEE) Act 2015 places a legal duty on the Government to set a Business Impact Target (BIT) relating to the economic impact on business and civil society organisations of Qualifying Regulatory Provisions (QRPs) that come into force or cease to be in force over the Parliament. In March 2016, the Government set the BIT as £10bn of saving to business</w:t>
      </w:r>
      <w:r>
        <w:rPr>
          <w:rStyle w:val="FootnoteReference"/>
          <w:rFonts w:cs="Arial"/>
          <w:szCs w:val="22"/>
        </w:rPr>
        <w:footnoteReference w:id="1"/>
      </w:r>
      <w:r>
        <w:rPr>
          <w:rFonts w:cs="Arial"/>
          <w:sz w:val="22"/>
          <w:szCs w:val="22"/>
        </w:rPr>
        <w:t xml:space="preserve"> with an interim target of £5bn.</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The SBEE Act requires the Government of the day to publish reports setting out progress made against the BIT. The first annual report is to be published in June 2016. Each report must list all of the QRPs that have come into force or cease to be in force over the relevant reporting period and an estimate of the economic impact of each QRP on business. </w:t>
      </w:r>
    </w:p>
    <w:p w:rsidR="006333A7" w:rsidRDefault="006333A7" w:rsidP="006333A7">
      <w:pPr>
        <w:numPr>
          <w:ilvl w:val="0"/>
          <w:numId w:val="22"/>
        </w:numPr>
        <w:spacing w:after="240"/>
        <w:ind w:left="357" w:hanging="357"/>
        <w:rPr>
          <w:rFonts w:cs="Arial"/>
          <w:sz w:val="22"/>
          <w:szCs w:val="22"/>
        </w:rPr>
      </w:pPr>
      <w:r>
        <w:rPr>
          <w:rFonts w:cs="Arial"/>
          <w:sz w:val="22"/>
          <w:szCs w:val="22"/>
        </w:rPr>
        <w:t>The metric chosen by Government for estimating the impact on business is the Equivalent Annual Net Direct Cost to Business (EANDCB). The EANDCB is a way of presenting the expected annual cost to business of the regulatory change. The contribution of the measure to the BIT is then calculated as the total economic impact on business over the first five years of the measure, or the full economic impact for measures with duration greater than one year but less than five years.</w:t>
      </w:r>
      <w:r>
        <w:rPr>
          <w:rStyle w:val="FootnoteReference"/>
          <w:rFonts w:cs="Arial"/>
          <w:szCs w:val="22"/>
        </w:rPr>
        <w:footnoteReference w:id="2"/>
      </w:r>
      <w:r>
        <w:rPr>
          <w:rFonts w:cs="Arial"/>
          <w:sz w:val="22"/>
          <w:szCs w:val="22"/>
        </w:rPr>
        <w:t xml:space="preserve"> To meet the BIT, the impact of all the QRPs over their first five years when summed should deliver a saving to business of £10bn.</w:t>
      </w:r>
    </w:p>
    <w:p w:rsidR="006333A7" w:rsidRDefault="006333A7" w:rsidP="006333A7">
      <w:pPr>
        <w:numPr>
          <w:ilvl w:val="0"/>
          <w:numId w:val="22"/>
        </w:numPr>
        <w:spacing w:after="240"/>
        <w:ind w:left="357" w:hanging="357"/>
        <w:rPr>
          <w:rFonts w:cs="Arial"/>
          <w:sz w:val="22"/>
          <w:szCs w:val="22"/>
        </w:rPr>
      </w:pPr>
      <w:r>
        <w:rPr>
          <w:rFonts w:cs="Arial"/>
          <w:sz w:val="22"/>
          <w:szCs w:val="22"/>
        </w:rPr>
        <w:t>The Act requires that the estimates of the EANDCBs for QRPs are verified by an independent verification body appointed by the Government. The Regulatory Policy Committee (RPC) will perform this role and assessments of the economic impact of QRPs cannot be included in the annual BIT report unless they have been verified by the RPC.</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The Act provides a broad definition of ‘regulatory provisions’. It is for Government to determine which of these regulatory provisions are to be considered qualifying regulatory provisions (QRPs) and therefore contribute to the BIT, and which </w:t>
      </w:r>
      <w:proofErr w:type="gramStart"/>
      <w:r>
        <w:rPr>
          <w:rFonts w:cs="Arial"/>
          <w:sz w:val="22"/>
          <w:szCs w:val="22"/>
        </w:rPr>
        <w:t>are non-qualifying regulatory provisions (NQRPs)</w:t>
      </w:r>
      <w:proofErr w:type="gramEnd"/>
      <w:r>
        <w:rPr>
          <w:rFonts w:cs="Arial"/>
          <w:sz w:val="22"/>
          <w:szCs w:val="22"/>
        </w:rPr>
        <w:t>. The Written Ministerial Statement announcing the BIT provides more detail of the types of regulatory provisions to be deemed non-qualifying (e.g. implementing EU or international obligations except in cases of gold-plating).</w:t>
      </w:r>
      <w:r>
        <w:rPr>
          <w:rStyle w:val="FootnoteReference"/>
          <w:rFonts w:cs="Arial"/>
          <w:szCs w:val="22"/>
        </w:rPr>
        <w:footnoteReference w:id="3"/>
      </w:r>
    </w:p>
    <w:p w:rsidR="006333A7" w:rsidRDefault="006333A7" w:rsidP="006333A7">
      <w:pPr>
        <w:numPr>
          <w:ilvl w:val="0"/>
          <w:numId w:val="22"/>
        </w:numPr>
        <w:spacing w:after="240"/>
        <w:ind w:left="357" w:hanging="357"/>
        <w:rPr>
          <w:rFonts w:cs="Arial"/>
          <w:sz w:val="22"/>
          <w:szCs w:val="22"/>
        </w:rPr>
      </w:pPr>
      <w:r>
        <w:rPr>
          <w:rFonts w:cs="Arial"/>
          <w:sz w:val="22"/>
          <w:szCs w:val="22"/>
        </w:rPr>
        <w:t>For legislative NQRPs, the Act requires that their status as NQRPs is confirmed by the RPC and listed within the BIT annual report. For greater transparency of the BIT, Government has decided that for NQRPs requiring policy clearance through the Reducing Regulation sub-Committee (RRC) with a significant economic impact on business, an EANDCB validated by the RPC will be required.</w:t>
      </w:r>
      <w:r>
        <w:rPr>
          <w:rStyle w:val="FootnoteReference"/>
          <w:rFonts w:cs="Arial"/>
          <w:szCs w:val="22"/>
        </w:rPr>
        <w:footnoteReference w:id="4"/>
      </w:r>
    </w:p>
    <w:p w:rsidR="006333A7" w:rsidRPr="00477DE0" w:rsidRDefault="006333A7" w:rsidP="006333A7">
      <w:pPr>
        <w:spacing w:after="240"/>
        <w:rPr>
          <w:rFonts w:cs="Arial"/>
          <w:b/>
          <w:sz w:val="22"/>
          <w:szCs w:val="22"/>
        </w:rPr>
      </w:pPr>
      <w:r w:rsidRPr="00477DE0">
        <w:rPr>
          <w:rFonts w:cs="Arial"/>
          <w:b/>
          <w:sz w:val="22"/>
          <w:szCs w:val="22"/>
        </w:rPr>
        <w:t xml:space="preserve">Bringing </w:t>
      </w:r>
      <w:r>
        <w:rPr>
          <w:rFonts w:cs="Arial"/>
          <w:b/>
          <w:sz w:val="22"/>
          <w:szCs w:val="22"/>
        </w:rPr>
        <w:t xml:space="preserve">statutory </w:t>
      </w:r>
      <w:r w:rsidRPr="00477DE0">
        <w:rPr>
          <w:rFonts w:cs="Arial"/>
          <w:b/>
          <w:sz w:val="22"/>
          <w:szCs w:val="22"/>
        </w:rPr>
        <w:t>regulators in scope of the Business Impact Target</w:t>
      </w:r>
    </w:p>
    <w:p w:rsidR="006333A7" w:rsidRDefault="006333A7" w:rsidP="006333A7">
      <w:pPr>
        <w:numPr>
          <w:ilvl w:val="0"/>
          <w:numId w:val="22"/>
        </w:numPr>
        <w:spacing w:after="240"/>
        <w:ind w:left="357" w:hanging="357"/>
        <w:rPr>
          <w:rFonts w:cs="Arial"/>
          <w:sz w:val="22"/>
          <w:szCs w:val="22"/>
        </w:rPr>
      </w:pPr>
      <w:r w:rsidRPr="0015107F">
        <w:rPr>
          <w:rFonts w:cs="Arial"/>
          <w:sz w:val="22"/>
          <w:szCs w:val="22"/>
        </w:rPr>
        <w:t xml:space="preserve">The </w:t>
      </w:r>
      <w:r>
        <w:rPr>
          <w:rFonts w:cs="Arial"/>
          <w:sz w:val="22"/>
          <w:szCs w:val="22"/>
        </w:rPr>
        <w:t>BIT as defined by the SBEE Act 2015 applies to legislation and regulatory activity undertaken by UK Ministers, including the activities of non-statutory regulators for, or on behalf of, UK Ministers. However, business consistently tells Government that the actions of regulators are at least as important as the content of legislation in determining their experience of regulation.</w:t>
      </w:r>
      <w:r>
        <w:rPr>
          <w:rStyle w:val="FootnoteReference"/>
          <w:rFonts w:cs="Arial"/>
          <w:szCs w:val="22"/>
        </w:rPr>
        <w:footnoteReference w:id="5"/>
      </w:r>
      <w:r>
        <w:rPr>
          <w:rFonts w:cs="Arial"/>
          <w:sz w:val="22"/>
          <w:szCs w:val="22"/>
        </w:rPr>
        <w:t xml:space="preserve"> Government is responding to this through the Enterprise Act 2016 which contains provisions to extend the BIT to include the regulatory activities of statutory regulators.</w:t>
      </w:r>
      <w:r>
        <w:rPr>
          <w:rStyle w:val="FootnoteReference"/>
          <w:rFonts w:cs="Arial"/>
          <w:szCs w:val="22"/>
        </w:rPr>
        <w:footnoteReference w:id="6"/>
      </w:r>
      <w:r>
        <w:rPr>
          <w:rFonts w:cs="Arial"/>
          <w:sz w:val="22"/>
          <w:szCs w:val="22"/>
        </w:rPr>
        <w:t xml:space="preserve"> This extension will allow for a wider range of regulatory activity that imposes costs on business to be captured under the target. Government has recently completed a consultation regarding the statutory regulators that it proposes to bring within scope of the BIT. </w:t>
      </w:r>
    </w:p>
    <w:p w:rsidR="006333A7" w:rsidRDefault="006333A7" w:rsidP="006333A7">
      <w:pPr>
        <w:numPr>
          <w:ilvl w:val="0"/>
          <w:numId w:val="22"/>
        </w:numPr>
        <w:spacing w:after="240"/>
        <w:ind w:left="357" w:hanging="357"/>
        <w:rPr>
          <w:rFonts w:cs="Arial"/>
          <w:sz w:val="22"/>
          <w:szCs w:val="22"/>
        </w:rPr>
      </w:pPr>
      <w:r>
        <w:rPr>
          <w:rFonts w:cs="Arial"/>
          <w:sz w:val="22"/>
          <w:szCs w:val="22"/>
        </w:rPr>
        <w:t>Following the Secretary of State’s determination of the types of regulatory provisions that will not qualify for the target, a number of regulatory activities of regulators are excluded. Principally these areas include casework that relates to specific investigation and enforcement activity; education, communications and promotions campaigns; policy development; and changes to organisational structure.</w:t>
      </w:r>
      <w:r>
        <w:rPr>
          <w:rStyle w:val="FootnoteReference"/>
          <w:rFonts w:cs="Arial"/>
          <w:szCs w:val="22"/>
        </w:rPr>
        <w:footnoteReference w:id="7"/>
      </w:r>
      <w:r>
        <w:rPr>
          <w:rFonts w:cs="Arial"/>
          <w:sz w:val="22"/>
          <w:szCs w:val="22"/>
        </w:rPr>
        <w:t xml:space="preserve"> </w:t>
      </w:r>
    </w:p>
    <w:p w:rsidR="006333A7" w:rsidRDefault="006333A7" w:rsidP="006333A7">
      <w:pPr>
        <w:numPr>
          <w:ilvl w:val="0"/>
          <w:numId w:val="22"/>
        </w:numPr>
        <w:spacing w:after="240"/>
        <w:ind w:left="357" w:hanging="357"/>
        <w:rPr>
          <w:rFonts w:cs="Arial"/>
          <w:sz w:val="22"/>
          <w:szCs w:val="22"/>
        </w:rPr>
      </w:pPr>
      <w:r>
        <w:rPr>
          <w:rFonts w:cs="Arial"/>
          <w:sz w:val="22"/>
          <w:szCs w:val="22"/>
        </w:rPr>
        <w:t>Regulators will be required to produce a set of documents for each BIT Annual Reporting Period.</w:t>
      </w:r>
      <w:r>
        <w:rPr>
          <w:rStyle w:val="FootnoteReference"/>
          <w:rFonts w:cs="Arial"/>
          <w:szCs w:val="22"/>
        </w:rPr>
        <w:footnoteReference w:id="8"/>
      </w:r>
      <w:r>
        <w:rPr>
          <w:rFonts w:cs="Arial"/>
          <w:sz w:val="22"/>
          <w:szCs w:val="22"/>
        </w:rPr>
        <w:t xml:space="preserve"> These are to be published no later than two weeks after the end of the BIT Annual Reporting Period to provide time for the information to be included in the Government’s BIT annual report.</w:t>
      </w:r>
      <w:r>
        <w:rPr>
          <w:rStyle w:val="FootnoteReference"/>
          <w:rFonts w:cs="Arial"/>
          <w:szCs w:val="22"/>
        </w:rPr>
        <w:footnoteReference w:id="9"/>
      </w:r>
      <w:r>
        <w:rPr>
          <w:rFonts w:cs="Arial"/>
          <w:sz w:val="22"/>
          <w:szCs w:val="22"/>
        </w:rPr>
        <w:t xml:space="preserve"> The required documents are:</w:t>
      </w:r>
    </w:p>
    <w:p w:rsidR="006333A7" w:rsidRDefault="006333A7" w:rsidP="006333A7">
      <w:pPr>
        <w:numPr>
          <w:ilvl w:val="0"/>
          <w:numId w:val="23"/>
        </w:numPr>
        <w:spacing w:after="240"/>
        <w:rPr>
          <w:rFonts w:cs="Arial"/>
          <w:sz w:val="22"/>
          <w:szCs w:val="22"/>
        </w:rPr>
      </w:pPr>
      <w:r>
        <w:rPr>
          <w:rFonts w:cs="Arial"/>
          <w:sz w:val="22"/>
          <w:szCs w:val="22"/>
        </w:rPr>
        <w:t>A list of all QRPs that have come into force, ceased to be in force, or changed during the BIT Annual Reporting Period;</w:t>
      </w:r>
    </w:p>
    <w:p w:rsidR="006333A7" w:rsidRDefault="006333A7" w:rsidP="006333A7">
      <w:pPr>
        <w:numPr>
          <w:ilvl w:val="0"/>
          <w:numId w:val="23"/>
        </w:numPr>
        <w:spacing w:after="240"/>
        <w:rPr>
          <w:rFonts w:cs="Arial"/>
          <w:sz w:val="22"/>
          <w:szCs w:val="22"/>
        </w:rPr>
      </w:pPr>
      <w:r>
        <w:rPr>
          <w:rFonts w:cs="Arial"/>
          <w:sz w:val="22"/>
          <w:szCs w:val="22"/>
        </w:rPr>
        <w:t>An estimate of the EANDCB for each QRP that has been validated by the RPC; and</w:t>
      </w:r>
    </w:p>
    <w:p w:rsidR="006333A7" w:rsidRDefault="006333A7" w:rsidP="006333A7">
      <w:pPr>
        <w:numPr>
          <w:ilvl w:val="0"/>
          <w:numId w:val="23"/>
        </w:numPr>
        <w:spacing w:after="240"/>
        <w:rPr>
          <w:rFonts w:cs="Arial"/>
          <w:sz w:val="22"/>
          <w:szCs w:val="22"/>
        </w:rPr>
      </w:pPr>
      <w:r>
        <w:rPr>
          <w:rFonts w:cs="Arial"/>
          <w:sz w:val="22"/>
          <w:szCs w:val="22"/>
        </w:rPr>
        <w:t>A summary of all NQRPs that have come into force, ceased to be in force, or changed during the BIT Annual Reporting Period.</w:t>
      </w:r>
    </w:p>
    <w:p w:rsidR="006333A7" w:rsidRDefault="006333A7" w:rsidP="006333A7">
      <w:pPr>
        <w:numPr>
          <w:ilvl w:val="0"/>
          <w:numId w:val="22"/>
        </w:numPr>
        <w:spacing w:after="240"/>
        <w:ind w:left="357" w:hanging="357"/>
        <w:rPr>
          <w:rFonts w:cs="Arial"/>
          <w:sz w:val="22"/>
          <w:szCs w:val="22"/>
        </w:rPr>
      </w:pPr>
      <w:r>
        <w:rPr>
          <w:rFonts w:cs="Arial"/>
          <w:sz w:val="22"/>
          <w:szCs w:val="22"/>
        </w:rPr>
        <w:t>Non-statutory regulators (who are already within scope of the target, without any further legislative listing) will be required to publish these documents for the first time in June 2016 to coincide with the Government’s first BIT annual report. Listed statutory regulators, however, will not be required to produce these documents for the first time until they are listed in regulations under the SBEE Act. This is likely to be within the second BIT annual reporting period. As the BIT is a target for the Parliament, statutory regulators would need to report on all QRPs and NQRPs that came into force or ceased to be in force between 8</w:t>
      </w:r>
      <w:r w:rsidRPr="00EB3695">
        <w:rPr>
          <w:rFonts w:cs="Arial"/>
          <w:sz w:val="22"/>
          <w:szCs w:val="22"/>
          <w:vertAlign w:val="superscript"/>
        </w:rPr>
        <w:t>th</w:t>
      </w:r>
      <w:r>
        <w:rPr>
          <w:rFonts w:cs="Arial"/>
          <w:sz w:val="22"/>
          <w:szCs w:val="22"/>
        </w:rPr>
        <w:t xml:space="preserve"> May 2015 and 26</w:t>
      </w:r>
      <w:r w:rsidRPr="00EB3695">
        <w:rPr>
          <w:rFonts w:cs="Arial"/>
          <w:sz w:val="22"/>
          <w:szCs w:val="22"/>
          <w:vertAlign w:val="superscript"/>
        </w:rPr>
        <w:t>th</w:t>
      </w:r>
      <w:r>
        <w:rPr>
          <w:rFonts w:cs="Arial"/>
          <w:sz w:val="22"/>
          <w:szCs w:val="22"/>
        </w:rPr>
        <w:t xml:space="preserve"> May 2017 (i.e. the first two BIT Annual Reporting Periods).</w:t>
      </w:r>
    </w:p>
    <w:p w:rsidR="006333A7" w:rsidRDefault="006333A7" w:rsidP="006333A7">
      <w:pPr>
        <w:numPr>
          <w:ilvl w:val="0"/>
          <w:numId w:val="22"/>
        </w:numPr>
        <w:spacing w:after="240"/>
        <w:ind w:left="357" w:hanging="357"/>
        <w:rPr>
          <w:rFonts w:cs="Arial"/>
          <w:sz w:val="22"/>
          <w:szCs w:val="22"/>
        </w:rPr>
      </w:pPr>
      <w:r>
        <w:rPr>
          <w:rFonts w:cs="Arial"/>
          <w:sz w:val="22"/>
          <w:szCs w:val="22"/>
        </w:rPr>
        <w:t>Regulators will not be required to calculate EANDCBs for NQRPs. However, each QRP will require an EANDCB to be calculated and verified by the RPC. To do this, regulators will need to submit an economic assessment of the business impact of each QRP. This assessment will follow a proportionate approach and not be as detailed as the impact assessments Government departments submit to RPC for legislative changes. Regulators will only be required to describe the final policy change, identify the impacts on business and calculate a Business NPV, EANDCB and BIT Score based on the direct business impacts. They will not need to appraise different policy options, calculate a societal NPV, present high/low cost estimates or present a Small and Micro Business Assessment (</w:t>
      </w:r>
      <w:proofErr w:type="spellStart"/>
      <w:r>
        <w:rPr>
          <w:rFonts w:cs="Arial"/>
          <w:sz w:val="22"/>
          <w:szCs w:val="22"/>
        </w:rPr>
        <w:t>SaMBA</w:t>
      </w:r>
      <w:proofErr w:type="spellEnd"/>
      <w:r>
        <w:rPr>
          <w:rFonts w:cs="Arial"/>
          <w:sz w:val="22"/>
          <w:szCs w:val="22"/>
        </w:rPr>
        <w:t xml:space="preserve">). </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Regulatory independence is fundamentally important to ensuring business and investor confidence in the market, particularly in the economic-regulated sectors. The Government is aware that there are concerns that the extension of the BIT to statutory regulators will undermine that independence. </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The Government has therefore been careful to design the BIT in a way that ensures independence is not impeded in any way. Regulators will continue to have the same decision-making autonomy as they do now. The BIT will simply require them to assess the impact on business of their decisions and to have that assessment verified by the RPC. </w:t>
      </w:r>
    </w:p>
    <w:p w:rsidR="006333A7" w:rsidRDefault="006333A7" w:rsidP="006333A7">
      <w:pPr>
        <w:numPr>
          <w:ilvl w:val="0"/>
          <w:numId w:val="22"/>
        </w:numPr>
        <w:spacing w:after="240"/>
        <w:ind w:left="357" w:hanging="357"/>
        <w:rPr>
          <w:rFonts w:cs="Arial"/>
          <w:sz w:val="22"/>
          <w:szCs w:val="22"/>
        </w:rPr>
      </w:pPr>
      <w:r>
        <w:rPr>
          <w:rFonts w:cs="Arial"/>
          <w:sz w:val="22"/>
          <w:szCs w:val="22"/>
        </w:rPr>
        <w:t>Since regulators are only required to publish their estimate of the economic impact of each QRP within two weeks after the end of each BIT Annual Reporting Period, there is significant discretion as to when regulators submit their assessments to the RPC.  As a result, it will be possible for regulators to combine several QRPs relating to a similar theme (e.g. guidance changes) that can be appraised using similar data and/or methodology into a single submission to the RPC. This should generate efficiencies in the completion of BIT assessments and reduce the time taken to produce the assessments.</w:t>
      </w:r>
    </w:p>
    <w:p w:rsidR="006333A7" w:rsidRPr="00465167" w:rsidRDefault="006333A7" w:rsidP="006333A7">
      <w:pPr>
        <w:spacing w:after="240"/>
        <w:ind w:left="357"/>
        <w:rPr>
          <w:rFonts w:cs="Arial"/>
          <w:sz w:val="22"/>
          <w:szCs w:val="22"/>
          <w:u w:val="single"/>
        </w:rPr>
      </w:pPr>
      <w:r w:rsidRPr="00465167">
        <w:rPr>
          <w:rFonts w:cs="Arial"/>
          <w:sz w:val="22"/>
          <w:szCs w:val="22"/>
          <w:u w:val="single"/>
        </w:rPr>
        <w:t>Costs and benefits to regulators</w:t>
      </w:r>
      <w:r>
        <w:rPr>
          <w:rFonts w:cs="Arial"/>
          <w:sz w:val="22"/>
          <w:szCs w:val="22"/>
          <w:u w:val="single"/>
        </w:rPr>
        <w:t xml:space="preserve"> and business</w:t>
      </w:r>
    </w:p>
    <w:p w:rsidR="006333A7" w:rsidRDefault="006333A7" w:rsidP="006333A7">
      <w:pPr>
        <w:numPr>
          <w:ilvl w:val="0"/>
          <w:numId w:val="22"/>
        </w:numPr>
        <w:spacing w:after="240"/>
        <w:ind w:left="357" w:hanging="357"/>
        <w:rPr>
          <w:rFonts w:cs="Arial"/>
          <w:sz w:val="22"/>
          <w:szCs w:val="22"/>
        </w:rPr>
      </w:pPr>
      <w:r>
        <w:rPr>
          <w:rFonts w:cs="Arial"/>
          <w:sz w:val="22"/>
          <w:szCs w:val="22"/>
        </w:rPr>
        <w:t>The requirement to produce RPC-validated assessments of QRPs and NQRP summaries will impose resource costs on both statutory and non-statutory regulators. There will also be some familiarisation costs to regulators from understanding the new requirements and providing training to members of staff. Where regulators are industry-funded through fees and charges, some or all of these additional costs will be passed through to business. The costs of the policy will therefore be shared between regulators and business.</w:t>
      </w:r>
    </w:p>
    <w:p w:rsidR="006333A7" w:rsidRDefault="006333A7" w:rsidP="006333A7">
      <w:pPr>
        <w:numPr>
          <w:ilvl w:val="0"/>
          <w:numId w:val="22"/>
        </w:numPr>
        <w:spacing w:after="240"/>
        <w:ind w:left="357" w:hanging="357"/>
        <w:rPr>
          <w:rFonts w:cs="Arial"/>
          <w:sz w:val="22"/>
          <w:szCs w:val="22"/>
        </w:rPr>
      </w:pPr>
      <w:r>
        <w:rPr>
          <w:rFonts w:cs="Arial"/>
          <w:sz w:val="22"/>
          <w:szCs w:val="22"/>
        </w:rPr>
        <w:t>To estimate the cost to regulators from producing the required documents, we need to estimate the number of BIT assessments that will be produced annually for QRPs</w:t>
      </w:r>
      <w:r w:rsidRPr="00CE01C4">
        <w:rPr>
          <w:rFonts w:cs="Arial"/>
          <w:sz w:val="22"/>
          <w:szCs w:val="22"/>
        </w:rPr>
        <w:t>. As part of the consultation</w:t>
      </w:r>
      <w:r w:rsidRPr="00D704E0">
        <w:rPr>
          <w:rFonts w:cs="Arial"/>
          <w:sz w:val="22"/>
          <w:szCs w:val="22"/>
        </w:rPr>
        <w:t xml:space="preserve"> on the regulators that the Government proposes to bring within scope of the BIT</w:t>
      </w:r>
      <w:r w:rsidRPr="00CE01C4">
        <w:rPr>
          <w:rFonts w:cs="Arial"/>
          <w:sz w:val="22"/>
          <w:szCs w:val="22"/>
        </w:rPr>
        <w:t>, a questionnaire</w:t>
      </w:r>
      <w:r>
        <w:rPr>
          <w:rFonts w:cs="Arial"/>
          <w:sz w:val="22"/>
          <w:szCs w:val="22"/>
        </w:rPr>
        <w:t xml:space="preserve"> (see annex)</w:t>
      </w:r>
      <w:r w:rsidRPr="00CE01C4">
        <w:rPr>
          <w:rFonts w:cs="Arial"/>
          <w:sz w:val="22"/>
          <w:szCs w:val="22"/>
        </w:rPr>
        <w:t xml:space="preserve"> was issued to enable regulators to provide estimates</w:t>
      </w:r>
      <w:r>
        <w:rPr>
          <w:rFonts w:cs="Arial"/>
          <w:sz w:val="22"/>
          <w:szCs w:val="22"/>
        </w:rPr>
        <w:t xml:space="preserve"> of the number of assessments they expect to produce each year, the number of days taken to produce each assessment, and the wage rate of the officials expected to produce the assessments.</w:t>
      </w:r>
      <w:r w:rsidR="00E939A3">
        <w:rPr>
          <w:rStyle w:val="FootnoteReference"/>
          <w:rFonts w:cs="Arial"/>
          <w:szCs w:val="22"/>
        </w:rPr>
        <w:footnoteReference w:id="10"/>
      </w:r>
      <w:r>
        <w:rPr>
          <w:rFonts w:cs="Arial"/>
          <w:sz w:val="22"/>
          <w:szCs w:val="22"/>
        </w:rPr>
        <w:t xml:space="preserve"> Given the uncertainty over the likely number of future assessments, the questionnaire focused respondents on the number of assessments they expect to have to undertake for QRPs in the first Annual Reporting Period (May 8</w:t>
      </w:r>
      <w:r w:rsidRPr="00394B98">
        <w:rPr>
          <w:rFonts w:cs="Arial"/>
          <w:sz w:val="22"/>
          <w:szCs w:val="22"/>
          <w:vertAlign w:val="superscript"/>
        </w:rPr>
        <w:t>th</w:t>
      </w:r>
      <w:r>
        <w:rPr>
          <w:rFonts w:cs="Arial"/>
          <w:sz w:val="22"/>
          <w:szCs w:val="22"/>
        </w:rPr>
        <w:t xml:space="preserve"> 2015 to May 26</w:t>
      </w:r>
      <w:r w:rsidRPr="00870427">
        <w:rPr>
          <w:rFonts w:cs="Arial"/>
          <w:sz w:val="22"/>
          <w:szCs w:val="22"/>
          <w:vertAlign w:val="superscript"/>
        </w:rPr>
        <w:t>th</w:t>
      </w:r>
      <w:r>
        <w:rPr>
          <w:rFonts w:cs="Arial"/>
          <w:sz w:val="22"/>
          <w:szCs w:val="22"/>
        </w:rPr>
        <w:t xml:space="preserve"> May 2016) where regulators are more likely to be able to give accurate responses.</w:t>
      </w:r>
    </w:p>
    <w:p w:rsidR="006333A7" w:rsidRDefault="006333A7" w:rsidP="006333A7">
      <w:pPr>
        <w:numPr>
          <w:ilvl w:val="0"/>
          <w:numId w:val="22"/>
        </w:numPr>
        <w:spacing w:after="240"/>
        <w:ind w:left="357" w:hanging="357"/>
        <w:rPr>
          <w:rFonts w:cs="Arial"/>
          <w:sz w:val="22"/>
          <w:szCs w:val="22"/>
        </w:rPr>
      </w:pPr>
      <w:r>
        <w:rPr>
          <w:rFonts w:cs="Arial"/>
          <w:sz w:val="22"/>
          <w:szCs w:val="22"/>
        </w:rPr>
        <w:t>We received full or partial responses to these questions from 33 regulators out of 69 statutory and non-statutory regulators.</w:t>
      </w:r>
      <w:r>
        <w:rPr>
          <w:rStyle w:val="FootnoteReference"/>
          <w:rFonts w:cs="Arial"/>
          <w:szCs w:val="22"/>
        </w:rPr>
        <w:footnoteReference w:id="11"/>
      </w:r>
      <w:r>
        <w:rPr>
          <w:rFonts w:cs="Arial"/>
          <w:sz w:val="22"/>
          <w:szCs w:val="22"/>
        </w:rPr>
        <w:t xml:space="preserve"> Some regulators presented a range for their responses. Where this was done, midpoints were used for the best estimate while the high and low values were used to inform the sensitivity analysis (see below). Table 1 shows that the average number of BIT assessments produced in the first year ranged from 3.4 in the small regulators (employing fewer than 100 FTEs on enforcement activity</w:t>
      </w:r>
      <w:r>
        <w:rPr>
          <w:rStyle w:val="FootnoteReference"/>
          <w:rFonts w:cs="Arial"/>
          <w:szCs w:val="22"/>
        </w:rPr>
        <w:footnoteReference w:id="12"/>
      </w:r>
      <w:r>
        <w:rPr>
          <w:rFonts w:cs="Arial"/>
          <w:sz w:val="22"/>
          <w:szCs w:val="22"/>
        </w:rPr>
        <w:t>) to 20.5 in the large regulators (employing more than 1,000 FTEs). From this information, the weighted average is calculated as 6.5 assessments per regulator.</w:t>
      </w:r>
      <w:r>
        <w:rPr>
          <w:rStyle w:val="FootnoteReference"/>
          <w:rFonts w:cs="Arial"/>
          <w:szCs w:val="22"/>
        </w:rPr>
        <w:footnoteReference w:id="13"/>
      </w:r>
    </w:p>
    <w:p w:rsidR="006333A7" w:rsidRPr="00EB34B6" w:rsidRDefault="006333A7" w:rsidP="006333A7">
      <w:pPr>
        <w:spacing w:after="240"/>
        <w:ind w:left="357"/>
        <w:rPr>
          <w:rFonts w:cs="Arial"/>
          <w:b/>
          <w:sz w:val="22"/>
          <w:szCs w:val="22"/>
        </w:rPr>
      </w:pPr>
      <w:r w:rsidRPr="00EB34B6">
        <w:rPr>
          <w:rFonts w:cs="Arial"/>
          <w:b/>
          <w:sz w:val="22"/>
          <w:szCs w:val="22"/>
        </w:rPr>
        <w:t>Table 1</w:t>
      </w:r>
      <w:r>
        <w:rPr>
          <w:rFonts w:cs="Arial"/>
          <w:b/>
          <w:sz w:val="22"/>
          <w:szCs w:val="22"/>
        </w:rPr>
        <w:t xml:space="preserve"> – Best estimates of number of assessments, time taken, wages and training</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994"/>
        <w:gridCol w:w="2010"/>
        <w:gridCol w:w="1995"/>
        <w:gridCol w:w="2021"/>
      </w:tblGrid>
      <w:tr w:rsidR="006333A7" w:rsidRPr="00947344" w:rsidTr="00077D19">
        <w:tc>
          <w:tcPr>
            <w:tcW w:w="2044" w:type="dxa"/>
            <w:shd w:val="clear" w:color="auto" w:fill="auto"/>
          </w:tcPr>
          <w:p w:rsidR="006333A7" w:rsidRPr="00947344" w:rsidRDefault="006333A7" w:rsidP="00077D19">
            <w:pPr>
              <w:spacing w:after="240"/>
              <w:rPr>
                <w:rFonts w:cs="Arial"/>
                <w:sz w:val="22"/>
                <w:szCs w:val="22"/>
              </w:rPr>
            </w:pPr>
          </w:p>
        </w:tc>
        <w:tc>
          <w:tcPr>
            <w:tcW w:w="1994" w:type="dxa"/>
            <w:shd w:val="clear" w:color="auto" w:fill="auto"/>
          </w:tcPr>
          <w:p w:rsidR="006333A7" w:rsidRPr="00EB34B6" w:rsidRDefault="006333A7" w:rsidP="00077D19">
            <w:pPr>
              <w:spacing w:after="240"/>
              <w:rPr>
                <w:rFonts w:cs="Arial"/>
                <w:b/>
                <w:sz w:val="22"/>
                <w:szCs w:val="22"/>
              </w:rPr>
            </w:pPr>
            <w:r w:rsidRPr="00EB34B6">
              <w:rPr>
                <w:rFonts w:cs="Arial"/>
                <w:b/>
                <w:sz w:val="22"/>
                <w:szCs w:val="22"/>
              </w:rPr>
              <w:t>Small (&lt;100 FTE)</w:t>
            </w:r>
          </w:p>
        </w:tc>
        <w:tc>
          <w:tcPr>
            <w:tcW w:w="2010" w:type="dxa"/>
            <w:shd w:val="clear" w:color="auto" w:fill="auto"/>
          </w:tcPr>
          <w:p w:rsidR="006333A7" w:rsidRPr="00EB34B6" w:rsidRDefault="006333A7" w:rsidP="00077D19">
            <w:pPr>
              <w:spacing w:after="240"/>
              <w:rPr>
                <w:rFonts w:cs="Arial"/>
                <w:b/>
                <w:sz w:val="22"/>
                <w:szCs w:val="22"/>
              </w:rPr>
            </w:pPr>
            <w:r w:rsidRPr="00EB34B6">
              <w:rPr>
                <w:rFonts w:cs="Arial"/>
                <w:b/>
                <w:sz w:val="22"/>
                <w:szCs w:val="22"/>
              </w:rPr>
              <w:t>Medium (100-999 FTE)</w:t>
            </w:r>
          </w:p>
        </w:tc>
        <w:tc>
          <w:tcPr>
            <w:tcW w:w="1995" w:type="dxa"/>
            <w:shd w:val="clear" w:color="auto" w:fill="auto"/>
          </w:tcPr>
          <w:p w:rsidR="006333A7" w:rsidRPr="00EB34B6" w:rsidRDefault="006333A7" w:rsidP="00077D19">
            <w:pPr>
              <w:spacing w:after="240"/>
              <w:rPr>
                <w:rFonts w:cs="Arial"/>
                <w:b/>
                <w:sz w:val="22"/>
                <w:szCs w:val="22"/>
              </w:rPr>
            </w:pPr>
            <w:r w:rsidRPr="00EB34B6">
              <w:rPr>
                <w:rFonts w:cs="Arial"/>
                <w:b/>
                <w:sz w:val="22"/>
                <w:szCs w:val="22"/>
              </w:rPr>
              <w:t>Large (&gt;=1000 FTE)</w:t>
            </w:r>
          </w:p>
        </w:tc>
        <w:tc>
          <w:tcPr>
            <w:tcW w:w="2021" w:type="dxa"/>
            <w:shd w:val="clear" w:color="auto" w:fill="auto"/>
          </w:tcPr>
          <w:p w:rsidR="006333A7" w:rsidRPr="00EB34B6" w:rsidRDefault="006333A7" w:rsidP="00077D19">
            <w:pPr>
              <w:spacing w:after="240"/>
              <w:rPr>
                <w:rFonts w:cs="Arial"/>
                <w:b/>
                <w:sz w:val="22"/>
                <w:szCs w:val="22"/>
              </w:rPr>
            </w:pPr>
            <w:r w:rsidRPr="00EB34B6">
              <w:rPr>
                <w:rFonts w:cs="Arial"/>
                <w:b/>
                <w:sz w:val="22"/>
                <w:szCs w:val="22"/>
              </w:rPr>
              <w:t>Weighted Average</w:t>
            </w:r>
          </w:p>
        </w:tc>
      </w:tr>
      <w:tr w:rsidR="006333A7" w:rsidRPr="00947344" w:rsidTr="00077D19">
        <w:tc>
          <w:tcPr>
            <w:tcW w:w="2044" w:type="dxa"/>
            <w:shd w:val="clear" w:color="auto" w:fill="auto"/>
          </w:tcPr>
          <w:p w:rsidR="006333A7" w:rsidRPr="00947344" w:rsidRDefault="006333A7" w:rsidP="00077D19">
            <w:pPr>
              <w:spacing w:after="240"/>
              <w:rPr>
                <w:rFonts w:cs="Arial"/>
                <w:sz w:val="22"/>
                <w:szCs w:val="22"/>
              </w:rPr>
            </w:pPr>
            <w:r w:rsidRPr="00947344">
              <w:rPr>
                <w:rFonts w:cs="Arial"/>
                <w:sz w:val="22"/>
                <w:szCs w:val="22"/>
              </w:rPr>
              <w:t>Number of assessments in year 1</w:t>
            </w:r>
          </w:p>
        </w:tc>
        <w:tc>
          <w:tcPr>
            <w:tcW w:w="1994" w:type="dxa"/>
            <w:shd w:val="clear" w:color="auto" w:fill="auto"/>
          </w:tcPr>
          <w:p w:rsidR="006333A7" w:rsidRPr="00947344" w:rsidRDefault="006333A7" w:rsidP="00077D19">
            <w:pPr>
              <w:spacing w:after="240"/>
              <w:rPr>
                <w:rFonts w:cs="Arial"/>
                <w:sz w:val="22"/>
                <w:szCs w:val="22"/>
              </w:rPr>
            </w:pPr>
            <w:r>
              <w:rPr>
                <w:rFonts w:cs="Arial"/>
                <w:sz w:val="22"/>
                <w:szCs w:val="22"/>
              </w:rPr>
              <w:t>3.4</w:t>
            </w:r>
          </w:p>
        </w:tc>
        <w:tc>
          <w:tcPr>
            <w:tcW w:w="2010" w:type="dxa"/>
            <w:shd w:val="clear" w:color="auto" w:fill="auto"/>
          </w:tcPr>
          <w:p w:rsidR="006333A7" w:rsidRPr="00947344" w:rsidRDefault="006333A7" w:rsidP="00077D19">
            <w:pPr>
              <w:spacing w:after="240"/>
              <w:rPr>
                <w:rFonts w:cs="Arial"/>
                <w:sz w:val="22"/>
                <w:szCs w:val="22"/>
              </w:rPr>
            </w:pPr>
            <w:r>
              <w:rPr>
                <w:rFonts w:cs="Arial"/>
                <w:sz w:val="22"/>
                <w:szCs w:val="22"/>
              </w:rPr>
              <w:t>6.2</w:t>
            </w:r>
          </w:p>
        </w:tc>
        <w:tc>
          <w:tcPr>
            <w:tcW w:w="1995" w:type="dxa"/>
            <w:shd w:val="clear" w:color="auto" w:fill="auto"/>
          </w:tcPr>
          <w:p w:rsidR="006333A7" w:rsidRPr="00947344" w:rsidRDefault="006333A7" w:rsidP="00077D19">
            <w:pPr>
              <w:spacing w:after="240"/>
              <w:rPr>
                <w:rFonts w:cs="Arial"/>
                <w:sz w:val="22"/>
                <w:szCs w:val="22"/>
              </w:rPr>
            </w:pPr>
            <w:r>
              <w:rPr>
                <w:rFonts w:cs="Arial"/>
                <w:sz w:val="22"/>
                <w:szCs w:val="22"/>
              </w:rPr>
              <w:t>20.5</w:t>
            </w:r>
          </w:p>
        </w:tc>
        <w:tc>
          <w:tcPr>
            <w:tcW w:w="2021" w:type="dxa"/>
            <w:shd w:val="clear" w:color="auto" w:fill="auto"/>
          </w:tcPr>
          <w:p w:rsidR="006333A7" w:rsidRPr="00947344" w:rsidRDefault="006333A7" w:rsidP="00077D19">
            <w:pPr>
              <w:spacing w:after="240"/>
              <w:rPr>
                <w:rFonts w:cs="Arial"/>
                <w:sz w:val="22"/>
                <w:szCs w:val="22"/>
              </w:rPr>
            </w:pPr>
            <w:r>
              <w:rPr>
                <w:rFonts w:cs="Arial"/>
                <w:sz w:val="22"/>
                <w:szCs w:val="22"/>
              </w:rPr>
              <w:t>6.5</w:t>
            </w:r>
          </w:p>
        </w:tc>
      </w:tr>
      <w:tr w:rsidR="006333A7" w:rsidRPr="00947344" w:rsidTr="00077D19">
        <w:tc>
          <w:tcPr>
            <w:tcW w:w="2044" w:type="dxa"/>
            <w:shd w:val="clear" w:color="auto" w:fill="auto"/>
          </w:tcPr>
          <w:p w:rsidR="006333A7" w:rsidRPr="00947344" w:rsidRDefault="006333A7" w:rsidP="00077D19">
            <w:pPr>
              <w:spacing w:after="240"/>
              <w:rPr>
                <w:rFonts w:cs="Arial"/>
                <w:sz w:val="22"/>
                <w:szCs w:val="22"/>
              </w:rPr>
            </w:pPr>
            <w:r w:rsidRPr="00947344">
              <w:rPr>
                <w:rFonts w:cs="Arial"/>
                <w:sz w:val="22"/>
                <w:szCs w:val="22"/>
              </w:rPr>
              <w:t>Time taken (days)</w:t>
            </w:r>
          </w:p>
        </w:tc>
        <w:tc>
          <w:tcPr>
            <w:tcW w:w="1994" w:type="dxa"/>
            <w:shd w:val="clear" w:color="auto" w:fill="auto"/>
          </w:tcPr>
          <w:p w:rsidR="006333A7" w:rsidRPr="00947344" w:rsidRDefault="006333A7" w:rsidP="00077D19">
            <w:pPr>
              <w:spacing w:after="240"/>
              <w:rPr>
                <w:rFonts w:cs="Arial"/>
                <w:sz w:val="22"/>
                <w:szCs w:val="22"/>
              </w:rPr>
            </w:pPr>
            <w:r>
              <w:rPr>
                <w:rFonts w:cs="Arial"/>
                <w:sz w:val="22"/>
                <w:szCs w:val="22"/>
              </w:rPr>
              <w:t>2.9</w:t>
            </w:r>
          </w:p>
        </w:tc>
        <w:tc>
          <w:tcPr>
            <w:tcW w:w="2010" w:type="dxa"/>
            <w:shd w:val="clear" w:color="auto" w:fill="auto"/>
          </w:tcPr>
          <w:p w:rsidR="006333A7" w:rsidRPr="00947344" w:rsidRDefault="006333A7" w:rsidP="00077D19">
            <w:pPr>
              <w:spacing w:after="240"/>
              <w:rPr>
                <w:rFonts w:cs="Arial"/>
                <w:sz w:val="22"/>
                <w:szCs w:val="22"/>
              </w:rPr>
            </w:pPr>
            <w:r>
              <w:rPr>
                <w:rFonts w:cs="Arial"/>
                <w:sz w:val="22"/>
                <w:szCs w:val="22"/>
              </w:rPr>
              <w:t>6.7</w:t>
            </w:r>
          </w:p>
        </w:tc>
        <w:tc>
          <w:tcPr>
            <w:tcW w:w="1995" w:type="dxa"/>
            <w:shd w:val="clear" w:color="auto" w:fill="auto"/>
          </w:tcPr>
          <w:p w:rsidR="006333A7" w:rsidRPr="00947344" w:rsidRDefault="006333A7" w:rsidP="00077D19">
            <w:pPr>
              <w:spacing w:after="240"/>
              <w:rPr>
                <w:rFonts w:cs="Arial"/>
                <w:sz w:val="22"/>
                <w:szCs w:val="22"/>
              </w:rPr>
            </w:pPr>
            <w:r>
              <w:rPr>
                <w:rFonts w:cs="Arial"/>
                <w:sz w:val="22"/>
                <w:szCs w:val="22"/>
              </w:rPr>
              <w:t>6.8</w:t>
            </w:r>
          </w:p>
        </w:tc>
        <w:tc>
          <w:tcPr>
            <w:tcW w:w="2021" w:type="dxa"/>
            <w:shd w:val="clear" w:color="auto" w:fill="auto"/>
          </w:tcPr>
          <w:p w:rsidR="006333A7" w:rsidRPr="00947344" w:rsidRDefault="006333A7" w:rsidP="00077D19">
            <w:pPr>
              <w:spacing w:after="240"/>
              <w:rPr>
                <w:rFonts w:cs="Arial"/>
                <w:sz w:val="22"/>
                <w:szCs w:val="22"/>
              </w:rPr>
            </w:pPr>
            <w:r>
              <w:rPr>
                <w:rFonts w:cs="Arial"/>
                <w:sz w:val="22"/>
                <w:szCs w:val="22"/>
              </w:rPr>
              <w:t>4.9</w:t>
            </w:r>
          </w:p>
        </w:tc>
      </w:tr>
      <w:tr w:rsidR="006333A7" w:rsidRPr="00947344" w:rsidTr="00077D19">
        <w:tc>
          <w:tcPr>
            <w:tcW w:w="2044" w:type="dxa"/>
            <w:shd w:val="clear" w:color="auto" w:fill="auto"/>
          </w:tcPr>
          <w:p w:rsidR="006333A7" w:rsidRPr="00947344" w:rsidRDefault="006333A7" w:rsidP="00077D19">
            <w:pPr>
              <w:spacing w:after="240"/>
              <w:rPr>
                <w:rFonts w:cs="Arial"/>
                <w:sz w:val="22"/>
                <w:szCs w:val="22"/>
              </w:rPr>
            </w:pPr>
            <w:r w:rsidRPr="00947344">
              <w:rPr>
                <w:rFonts w:cs="Arial"/>
                <w:sz w:val="22"/>
                <w:szCs w:val="22"/>
              </w:rPr>
              <w:t>Hourly wage (£)</w:t>
            </w:r>
          </w:p>
        </w:tc>
        <w:tc>
          <w:tcPr>
            <w:tcW w:w="1994" w:type="dxa"/>
            <w:shd w:val="clear" w:color="auto" w:fill="auto"/>
          </w:tcPr>
          <w:p w:rsidR="006333A7" w:rsidRPr="00947344" w:rsidRDefault="006333A7" w:rsidP="00077D19">
            <w:pPr>
              <w:spacing w:after="240"/>
              <w:rPr>
                <w:rFonts w:cs="Arial"/>
                <w:sz w:val="22"/>
                <w:szCs w:val="22"/>
              </w:rPr>
            </w:pPr>
            <w:r>
              <w:rPr>
                <w:rFonts w:cs="Arial"/>
                <w:sz w:val="22"/>
                <w:szCs w:val="22"/>
              </w:rPr>
              <w:t>33.33</w:t>
            </w:r>
          </w:p>
        </w:tc>
        <w:tc>
          <w:tcPr>
            <w:tcW w:w="2010" w:type="dxa"/>
            <w:shd w:val="clear" w:color="auto" w:fill="auto"/>
          </w:tcPr>
          <w:p w:rsidR="006333A7" w:rsidRPr="00947344" w:rsidRDefault="006333A7" w:rsidP="00077D19">
            <w:pPr>
              <w:spacing w:after="240"/>
              <w:rPr>
                <w:rFonts w:cs="Arial"/>
                <w:sz w:val="22"/>
                <w:szCs w:val="22"/>
              </w:rPr>
            </w:pPr>
            <w:r>
              <w:rPr>
                <w:rFonts w:cs="Arial"/>
                <w:sz w:val="22"/>
                <w:szCs w:val="22"/>
              </w:rPr>
              <w:t>42.17</w:t>
            </w:r>
          </w:p>
        </w:tc>
        <w:tc>
          <w:tcPr>
            <w:tcW w:w="1995" w:type="dxa"/>
            <w:shd w:val="clear" w:color="auto" w:fill="auto"/>
          </w:tcPr>
          <w:p w:rsidR="006333A7" w:rsidRPr="00947344" w:rsidRDefault="006333A7" w:rsidP="00077D19">
            <w:pPr>
              <w:spacing w:after="240"/>
              <w:rPr>
                <w:rFonts w:cs="Arial"/>
                <w:sz w:val="22"/>
                <w:szCs w:val="22"/>
              </w:rPr>
            </w:pPr>
            <w:r>
              <w:rPr>
                <w:rFonts w:cs="Arial"/>
                <w:sz w:val="22"/>
                <w:szCs w:val="22"/>
              </w:rPr>
              <w:t>35.00</w:t>
            </w:r>
          </w:p>
        </w:tc>
        <w:tc>
          <w:tcPr>
            <w:tcW w:w="2021" w:type="dxa"/>
            <w:shd w:val="clear" w:color="auto" w:fill="auto"/>
          </w:tcPr>
          <w:p w:rsidR="006333A7" w:rsidRPr="00947344" w:rsidRDefault="006333A7" w:rsidP="00077D19">
            <w:pPr>
              <w:spacing w:after="240"/>
              <w:rPr>
                <w:rFonts w:cs="Arial"/>
                <w:sz w:val="22"/>
                <w:szCs w:val="22"/>
              </w:rPr>
            </w:pPr>
            <w:r>
              <w:rPr>
                <w:rFonts w:cs="Arial"/>
                <w:sz w:val="22"/>
                <w:szCs w:val="22"/>
              </w:rPr>
              <w:t>37.11</w:t>
            </w:r>
          </w:p>
        </w:tc>
      </w:tr>
      <w:tr w:rsidR="006333A7" w:rsidRPr="00947344" w:rsidTr="00077D19">
        <w:tc>
          <w:tcPr>
            <w:tcW w:w="2044" w:type="dxa"/>
            <w:shd w:val="clear" w:color="auto" w:fill="auto"/>
          </w:tcPr>
          <w:p w:rsidR="006333A7" w:rsidRPr="00947344" w:rsidRDefault="006333A7" w:rsidP="00077D19">
            <w:pPr>
              <w:spacing w:after="240"/>
              <w:rPr>
                <w:rFonts w:cs="Arial"/>
                <w:sz w:val="22"/>
                <w:szCs w:val="22"/>
              </w:rPr>
            </w:pPr>
            <w:r>
              <w:rPr>
                <w:rFonts w:cs="Arial"/>
                <w:sz w:val="22"/>
                <w:szCs w:val="22"/>
              </w:rPr>
              <w:t>Training days</w:t>
            </w:r>
          </w:p>
        </w:tc>
        <w:tc>
          <w:tcPr>
            <w:tcW w:w="1994" w:type="dxa"/>
            <w:shd w:val="clear" w:color="auto" w:fill="auto"/>
          </w:tcPr>
          <w:p w:rsidR="006333A7" w:rsidRDefault="006333A7" w:rsidP="00077D19">
            <w:pPr>
              <w:spacing w:after="240"/>
              <w:rPr>
                <w:rFonts w:cs="Arial"/>
                <w:sz w:val="22"/>
                <w:szCs w:val="22"/>
              </w:rPr>
            </w:pPr>
            <w:r>
              <w:rPr>
                <w:rFonts w:cs="Arial"/>
                <w:sz w:val="22"/>
                <w:szCs w:val="22"/>
              </w:rPr>
              <w:t>8.0</w:t>
            </w:r>
          </w:p>
        </w:tc>
        <w:tc>
          <w:tcPr>
            <w:tcW w:w="2010" w:type="dxa"/>
            <w:shd w:val="clear" w:color="auto" w:fill="auto"/>
          </w:tcPr>
          <w:p w:rsidR="006333A7" w:rsidRDefault="006333A7" w:rsidP="00077D19">
            <w:pPr>
              <w:spacing w:after="240"/>
              <w:rPr>
                <w:rFonts w:cs="Arial"/>
                <w:sz w:val="22"/>
                <w:szCs w:val="22"/>
              </w:rPr>
            </w:pPr>
            <w:r>
              <w:rPr>
                <w:rFonts w:cs="Arial"/>
                <w:sz w:val="22"/>
                <w:szCs w:val="22"/>
              </w:rPr>
              <w:t>26.3</w:t>
            </w:r>
          </w:p>
        </w:tc>
        <w:tc>
          <w:tcPr>
            <w:tcW w:w="1995" w:type="dxa"/>
            <w:shd w:val="clear" w:color="auto" w:fill="auto"/>
          </w:tcPr>
          <w:p w:rsidR="006333A7" w:rsidRDefault="006333A7" w:rsidP="00077D19">
            <w:pPr>
              <w:spacing w:after="240"/>
              <w:rPr>
                <w:rFonts w:cs="Arial"/>
                <w:sz w:val="22"/>
                <w:szCs w:val="22"/>
              </w:rPr>
            </w:pPr>
            <w:r>
              <w:rPr>
                <w:rFonts w:cs="Arial"/>
                <w:sz w:val="22"/>
                <w:szCs w:val="22"/>
              </w:rPr>
              <w:t>68.0</w:t>
            </w:r>
          </w:p>
        </w:tc>
        <w:tc>
          <w:tcPr>
            <w:tcW w:w="2021" w:type="dxa"/>
            <w:shd w:val="clear" w:color="auto" w:fill="auto"/>
          </w:tcPr>
          <w:p w:rsidR="006333A7" w:rsidRDefault="006333A7" w:rsidP="00077D19">
            <w:pPr>
              <w:spacing w:after="240"/>
              <w:rPr>
                <w:rFonts w:cs="Arial"/>
                <w:sz w:val="22"/>
                <w:szCs w:val="22"/>
              </w:rPr>
            </w:pPr>
            <w:r>
              <w:rPr>
                <w:rFonts w:cs="Arial"/>
                <w:sz w:val="22"/>
                <w:szCs w:val="22"/>
              </w:rPr>
              <w:t>22.4</w:t>
            </w:r>
          </w:p>
        </w:tc>
      </w:tr>
    </w:tbl>
    <w:p w:rsidR="006333A7" w:rsidRDefault="006333A7" w:rsidP="006333A7">
      <w:pPr>
        <w:spacing w:after="240"/>
        <w:ind w:left="357"/>
        <w:rPr>
          <w:rFonts w:cs="Arial"/>
          <w:sz w:val="22"/>
          <w:szCs w:val="22"/>
        </w:rPr>
      </w:pPr>
      <w:r>
        <w:rPr>
          <w:rFonts w:cs="Arial"/>
          <w:sz w:val="22"/>
          <w:szCs w:val="22"/>
        </w:rPr>
        <w:t xml:space="preserve">   </w:t>
      </w:r>
    </w:p>
    <w:p w:rsidR="006333A7" w:rsidRDefault="006333A7" w:rsidP="006333A7">
      <w:pPr>
        <w:numPr>
          <w:ilvl w:val="0"/>
          <w:numId w:val="22"/>
        </w:numPr>
        <w:spacing w:after="240"/>
        <w:ind w:left="357" w:hanging="357"/>
        <w:rPr>
          <w:rFonts w:cs="Arial"/>
          <w:sz w:val="22"/>
          <w:szCs w:val="22"/>
        </w:rPr>
      </w:pPr>
      <w:r>
        <w:rPr>
          <w:rFonts w:cs="Arial"/>
          <w:sz w:val="22"/>
          <w:szCs w:val="22"/>
        </w:rPr>
        <w:t>As part of the questionnaire, we also asked regulators if they expected the number of assessments to increase or decrease in future years. 15 of the 25 responses to this question indicated “no change” with the remainder reporting “don’t know” (3 responses), “</w:t>
      </w:r>
      <w:proofErr w:type="gramStart"/>
      <w:r>
        <w:rPr>
          <w:rFonts w:cs="Arial"/>
          <w:sz w:val="22"/>
          <w:szCs w:val="22"/>
        </w:rPr>
        <w:t>an</w:t>
      </w:r>
      <w:proofErr w:type="gramEnd"/>
      <w:r>
        <w:rPr>
          <w:rFonts w:cs="Arial"/>
          <w:sz w:val="22"/>
          <w:szCs w:val="22"/>
        </w:rPr>
        <w:t xml:space="preserve"> increase” (6 responses) or “a decrease” (1 response).</w:t>
      </w:r>
      <w:r>
        <w:rPr>
          <w:rStyle w:val="FootnoteReference"/>
          <w:rFonts w:cs="Arial"/>
          <w:szCs w:val="22"/>
        </w:rPr>
        <w:footnoteReference w:id="14"/>
      </w:r>
      <w:r>
        <w:rPr>
          <w:rFonts w:cs="Arial"/>
          <w:sz w:val="22"/>
          <w:szCs w:val="22"/>
        </w:rPr>
        <w:t xml:space="preserve"> Given these responses, it would appear reasonable to assume that the 6.5 assessments calculated for the first year is a suitable estimate for the number of assessments in all years, although we allow for some growth in the High cost estimates.</w:t>
      </w:r>
    </w:p>
    <w:p w:rsidR="006333A7" w:rsidRDefault="006333A7" w:rsidP="006333A7">
      <w:pPr>
        <w:numPr>
          <w:ilvl w:val="0"/>
          <w:numId w:val="22"/>
        </w:numPr>
        <w:spacing w:after="240"/>
        <w:ind w:left="357" w:hanging="357"/>
        <w:rPr>
          <w:rFonts w:cs="Arial"/>
          <w:sz w:val="22"/>
          <w:szCs w:val="22"/>
        </w:rPr>
      </w:pPr>
      <w:r>
        <w:rPr>
          <w:rFonts w:cs="Arial"/>
          <w:sz w:val="22"/>
          <w:szCs w:val="22"/>
        </w:rPr>
        <w:t>Table 1 also provides data on the average number of days regulators expect to spend on each assessment (4.9 days) and the hourly wage of the officials writing the assessments (£37.11).</w:t>
      </w:r>
    </w:p>
    <w:p w:rsidR="006333A7" w:rsidRDefault="006333A7" w:rsidP="006333A7">
      <w:pPr>
        <w:numPr>
          <w:ilvl w:val="0"/>
          <w:numId w:val="22"/>
        </w:numPr>
        <w:spacing w:after="240"/>
        <w:ind w:left="357" w:hanging="357"/>
        <w:rPr>
          <w:rFonts w:cs="Arial"/>
          <w:sz w:val="22"/>
          <w:szCs w:val="22"/>
        </w:rPr>
      </w:pPr>
      <w:r>
        <w:rPr>
          <w:rFonts w:cs="Arial"/>
          <w:sz w:val="22"/>
          <w:szCs w:val="22"/>
        </w:rPr>
        <w:t>Using the data presented in Table 1 and some additional assumptions, it is possible to estimate the resource cost to regulators of producing QRP assessments in the first year. With 69 regulators producing on average 6.5 assessments, there would be a total of 449 QRP assessments</w:t>
      </w:r>
      <w:r>
        <w:rPr>
          <w:rStyle w:val="FootnoteReference"/>
          <w:rFonts w:cs="Arial"/>
          <w:szCs w:val="22"/>
        </w:rPr>
        <w:footnoteReference w:id="15"/>
      </w:r>
      <w:r>
        <w:rPr>
          <w:rFonts w:cs="Arial"/>
          <w:sz w:val="22"/>
          <w:szCs w:val="22"/>
        </w:rPr>
        <w:t xml:space="preserve"> to be submitted to the RPC in the first year. It is likely that some estimates of the impact on business will not be validated by the RPC when they are first submitted and a form of resubmission will be required.</w:t>
      </w:r>
      <w:r>
        <w:rPr>
          <w:rStyle w:val="FootnoteReference"/>
          <w:rFonts w:cs="Arial"/>
          <w:szCs w:val="22"/>
        </w:rPr>
        <w:footnoteReference w:id="16"/>
      </w:r>
      <w:r>
        <w:rPr>
          <w:rFonts w:cs="Arial"/>
          <w:sz w:val="22"/>
          <w:szCs w:val="22"/>
        </w:rPr>
        <w:t xml:space="preserve"> This is more likely to occur in the initial years as regulators develop their capability in producing assessments. As a conservative assumption, we assume that each measure is submitted 1.5 times to obtain RPC validation. This reflects the early experience of RPC scrutiny of Departments’ full impact assessments where 56% of first time submissions were rated as fit for purpose.</w:t>
      </w:r>
      <w:r>
        <w:rPr>
          <w:rStyle w:val="FootnoteReference"/>
          <w:rFonts w:cs="Arial"/>
          <w:szCs w:val="22"/>
        </w:rPr>
        <w:footnoteReference w:id="17"/>
      </w:r>
      <w:r>
        <w:rPr>
          <w:rFonts w:cs="Arial"/>
          <w:sz w:val="22"/>
          <w:szCs w:val="22"/>
        </w:rPr>
        <w:t xml:space="preserve"> Using this assumption, we estimate the total number of submissions (including resubmissions) in a year would be 674.</w:t>
      </w:r>
    </w:p>
    <w:p w:rsidR="006333A7" w:rsidRDefault="006333A7" w:rsidP="006333A7">
      <w:pPr>
        <w:numPr>
          <w:ilvl w:val="0"/>
          <w:numId w:val="22"/>
        </w:numPr>
        <w:spacing w:after="240"/>
        <w:ind w:left="357" w:hanging="357"/>
        <w:rPr>
          <w:rFonts w:cs="Arial"/>
          <w:sz w:val="22"/>
          <w:szCs w:val="22"/>
        </w:rPr>
      </w:pPr>
      <w:r>
        <w:rPr>
          <w:rFonts w:cs="Arial"/>
          <w:sz w:val="22"/>
          <w:szCs w:val="22"/>
        </w:rPr>
        <w:t>Each submission is assumed to take 4.9 days to complete. It is likely that a resubmission would take less time to complete, but in the absence of any specific data on this, we assume that both the initial submission and any subsequent resubmission each take 4.9 days of staff time. The daily wage of the staff undertaking the assessments (assuming 7.5 hours per day and including 20.2% uplift for non-wage costs) is estimated at £334.55.</w:t>
      </w:r>
    </w:p>
    <w:p w:rsidR="006333A7" w:rsidRDefault="006333A7" w:rsidP="006333A7">
      <w:pPr>
        <w:numPr>
          <w:ilvl w:val="0"/>
          <w:numId w:val="22"/>
        </w:numPr>
        <w:spacing w:after="240"/>
        <w:ind w:left="357" w:hanging="357"/>
        <w:rPr>
          <w:rFonts w:cs="Arial"/>
          <w:sz w:val="22"/>
          <w:szCs w:val="22"/>
        </w:rPr>
      </w:pPr>
      <w:r>
        <w:rPr>
          <w:rFonts w:cs="Arial"/>
          <w:sz w:val="22"/>
          <w:szCs w:val="22"/>
        </w:rPr>
        <w:t>The total cost of producing the 674 assessments is £1.105M. Added to this is the cost of producing an additional 53 assessments from one regulator who responded that they would produce a large number of assessments in year 1 as a one-off.</w:t>
      </w:r>
      <w:r>
        <w:rPr>
          <w:rStyle w:val="FootnoteReference"/>
          <w:rFonts w:cs="Arial"/>
          <w:szCs w:val="22"/>
        </w:rPr>
        <w:footnoteReference w:id="18"/>
      </w:r>
      <w:r>
        <w:rPr>
          <w:rFonts w:cs="Arial"/>
          <w:sz w:val="22"/>
          <w:szCs w:val="22"/>
        </w:rPr>
        <w:t xml:space="preserve"> This increases the total cost in year 1 to £1.237M.</w:t>
      </w:r>
    </w:p>
    <w:p w:rsidR="006333A7" w:rsidRPr="00554EA9" w:rsidRDefault="006333A7" w:rsidP="006333A7">
      <w:pPr>
        <w:spacing w:after="240"/>
        <w:ind w:left="357"/>
        <w:rPr>
          <w:rFonts w:cs="Arial"/>
          <w:b/>
          <w:sz w:val="22"/>
          <w:szCs w:val="22"/>
        </w:rPr>
      </w:pPr>
      <w:r w:rsidRPr="00554EA9">
        <w:rPr>
          <w:rFonts w:cs="Arial"/>
          <w:b/>
          <w:sz w:val="22"/>
          <w:szCs w:val="22"/>
        </w:rPr>
        <w:t>Table 2: Estimates of cost in the first year</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490"/>
        <w:gridCol w:w="2530"/>
        <w:gridCol w:w="2491"/>
      </w:tblGrid>
      <w:tr w:rsidR="006333A7" w:rsidRPr="00947344" w:rsidTr="00077D19">
        <w:tc>
          <w:tcPr>
            <w:tcW w:w="2553" w:type="dxa"/>
            <w:shd w:val="clear" w:color="auto" w:fill="auto"/>
          </w:tcPr>
          <w:p w:rsidR="006333A7" w:rsidRPr="00947344" w:rsidRDefault="006333A7" w:rsidP="00077D19">
            <w:pPr>
              <w:spacing w:after="240"/>
              <w:rPr>
                <w:rFonts w:cs="Arial"/>
                <w:sz w:val="22"/>
                <w:szCs w:val="22"/>
              </w:rPr>
            </w:pPr>
          </w:p>
        </w:tc>
        <w:tc>
          <w:tcPr>
            <w:tcW w:w="2490" w:type="dxa"/>
            <w:shd w:val="clear" w:color="auto" w:fill="auto"/>
          </w:tcPr>
          <w:p w:rsidR="006333A7" w:rsidRPr="00830F59" w:rsidRDefault="006333A7" w:rsidP="00077D19">
            <w:pPr>
              <w:spacing w:after="240"/>
              <w:rPr>
                <w:rFonts w:cs="Arial"/>
                <w:b/>
                <w:sz w:val="22"/>
                <w:szCs w:val="22"/>
              </w:rPr>
            </w:pPr>
            <w:r w:rsidRPr="00830F59">
              <w:rPr>
                <w:rFonts w:cs="Arial"/>
                <w:b/>
                <w:sz w:val="22"/>
                <w:szCs w:val="22"/>
              </w:rPr>
              <w:t>Low estimate</w:t>
            </w:r>
          </w:p>
        </w:tc>
        <w:tc>
          <w:tcPr>
            <w:tcW w:w="2530" w:type="dxa"/>
            <w:shd w:val="clear" w:color="auto" w:fill="D9D9D9"/>
          </w:tcPr>
          <w:p w:rsidR="006333A7" w:rsidRPr="00830F59" w:rsidRDefault="006333A7" w:rsidP="00077D19">
            <w:pPr>
              <w:spacing w:after="240"/>
              <w:rPr>
                <w:rFonts w:cs="Arial"/>
                <w:b/>
                <w:sz w:val="22"/>
                <w:szCs w:val="22"/>
              </w:rPr>
            </w:pPr>
            <w:r w:rsidRPr="00830F59">
              <w:rPr>
                <w:rFonts w:cs="Arial"/>
                <w:b/>
                <w:sz w:val="22"/>
                <w:szCs w:val="22"/>
              </w:rPr>
              <w:t>Best estimate</w:t>
            </w:r>
          </w:p>
        </w:tc>
        <w:tc>
          <w:tcPr>
            <w:tcW w:w="2491" w:type="dxa"/>
            <w:shd w:val="clear" w:color="auto" w:fill="auto"/>
          </w:tcPr>
          <w:p w:rsidR="006333A7" w:rsidRPr="00830F59" w:rsidRDefault="006333A7" w:rsidP="00077D19">
            <w:pPr>
              <w:spacing w:after="240"/>
              <w:rPr>
                <w:rFonts w:cs="Arial"/>
                <w:b/>
                <w:sz w:val="22"/>
                <w:szCs w:val="22"/>
              </w:rPr>
            </w:pPr>
            <w:r w:rsidRPr="00830F59">
              <w:rPr>
                <w:rFonts w:cs="Arial"/>
                <w:b/>
                <w:sz w:val="22"/>
                <w:szCs w:val="22"/>
              </w:rPr>
              <w:t>High estimate</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No. regulators</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69</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69</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69</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Assessments per regulator p.a.</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6.4</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6.5</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8.4</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No. of assessments p.a.</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442</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449</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580</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No. of submissions per measure Year 1</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1.2</w:t>
            </w:r>
          </w:p>
        </w:tc>
        <w:tc>
          <w:tcPr>
            <w:tcW w:w="2530" w:type="dxa"/>
            <w:shd w:val="clear" w:color="auto" w:fill="D9D9D9"/>
          </w:tcPr>
          <w:p w:rsidR="006333A7" w:rsidRPr="00947344" w:rsidRDefault="006333A7" w:rsidP="00077D19">
            <w:pPr>
              <w:spacing w:after="240"/>
              <w:rPr>
                <w:rFonts w:cs="Arial"/>
                <w:sz w:val="22"/>
                <w:szCs w:val="22"/>
              </w:rPr>
            </w:pPr>
            <w:r w:rsidRPr="00947344">
              <w:rPr>
                <w:rFonts w:cs="Arial"/>
                <w:sz w:val="22"/>
                <w:szCs w:val="22"/>
              </w:rPr>
              <w:t>1.5</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1.5</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Pr>
                <w:rFonts w:cs="Arial"/>
                <w:sz w:val="22"/>
                <w:szCs w:val="22"/>
              </w:rPr>
              <w:t>No. of submissions</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530</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674</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870</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No. of days per submission</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4.8</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4.9</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5.0</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Hourly wage</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36.01</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37.11</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38.24</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Daily wage</w:t>
            </w:r>
            <w:r w:rsidRPr="00947344">
              <w:rPr>
                <w:rStyle w:val="FootnoteReference"/>
                <w:rFonts w:cs="Arial"/>
                <w:szCs w:val="22"/>
              </w:rPr>
              <w:footnoteReference w:id="19"/>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324.63</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334.55</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344.73</w:t>
            </w:r>
          </w:p>
        </w:tc>
      </w:tr>
      <w:tr w:rsidR="006333A7" w:rsidRPr="00947344" w:rsidTr="00077D19">
        <w:tc>
          <w:tcPr>
            <w:tcW w:w="2553" w:type="dxa"/>
            <w:shd w:val="clear" w:color="auto" w:fill="auto"/>
          </w:tcPr>
          <w:p w:rsidR="006333A7" w:rsidRPr="00947344" w:rsidRDefault="006333A7" w:rsidP="00077D19">
            <w:pPr>
              <w:spacing w:after="240"/>
              <w:rPr>
                <w:rFonts w:cs="Arial"/>
                <w:b/>
                <w:sz w:val="22"/>
                <w:szCs w:val="22"/>
              </w:rPr>
            </w:pPr>
            <w:r w:rsidRPr="00947344">
              <w:rPr>
                <w:rFonts w:cs="Arial"/>
                <w:b/>
                <w:sz w:val="22"/>
                <w:szCs w:val="22"/>
              </w:rPr>
              <w:t>Total cost of assessments</w:t>
            </w:r>
            <w:r w:rsidRPr="00947344">
              <w:rPr>
                <w:rStyle w:val="FootnoteReference"/>
                <w:rFonts w:cs="Arial"/>
                <w:b/>
                <w:szCs w:val="22"/>
              </w:rPr>
              <w:footnoteReference w:id="20"/>
            </w:r>
          </w:p>
        </w:tc>
        <w:tc>
          <w:tcPr>
            <w:tcW w:w="2490" w:type="dxa"/>
            <w:shd w:val="clear" w:color="auto" w:fill="auto"/>
          </w:tcPr>
          <w:p w:rsidR="006333A7" w:rsidRPr="00947344" w:rsidRDefault="006333A7" w:rsidP="00077D19">
            <w:pPr>
              <w:spacing w:after="240"/>
              <w:rPr>
                <w:rFonts w:cs="Arial"/>
                <w:b/>
                <w:sz w:val="22"/>
                <w:szCs w:val="22"/>
              </w:rPr>
            </w:pPr>
            <w:r>
              <w:rPr>
                <w:rFonts w:cs="Arial"/>
                <w:b/>
                <w:sz w:val="22"/>
                <w:szCs w:val="22"/>
              </w:rPr>
              <w:t>0.926M</w:t>
            </w:r>
          </w:p>
        </w:tc>
        <w:tc>
          <w:tcPr>
            <w:tcW w:w="2530" w:type="dxa"/>
            <w:shd w:val="clear" w:color="auto" w:fill="D9D9D9"/>
          </w:tcPr>
          <w:p w:rsidR="006333A7" w:rsidRPr="00947344" w:rsidRDefault="006333A7" w:rsidP="00077D19">
            <w:pPr>
              <w:spacing w:after="240"/>
              <w:rPr>
                <w:rFonts w:cs="Arial"/>
                <w:b/>
                <w:sz w:val="22"/>
                <w:szCs w:val="22"/>
              </w:rPr>
            </w:pPr>
            <w:r>
              <w:rPr>
                <w:rFonts w:cs="Arial"/>
                <w:b/>
                <w:sz w:val="22"/>
                <w:szCs w:val="22"/>
              </w:rPr>
              <w:t>1.237</w:t>
            </w:r>
            <w:r w:rsidRPr="00947344">
              <w:rPr>
                <w:rFonts w:cs="Arial"/>
                <w:b/>
                <w:sz w:val="22"/>
                <w:szCs w:val="22"/>
              </w:rPr>
              <w:t>M</w:t>
            </w:r>
          </w:p>
        </w:tc>
        <w:tc>
          <w:tcPr>
            <w:tcW w:w="2491" w:type="dxa"/>
            <w:shd w:val="clear" w:color="auto" w:fill="auto"/>
          </w:tcPr>
          <w:p w:rsidR="006333A7" w:rsidRPr="00947344" w:rsidRDefault="006333A7" w:rsidP="00077D19">
            <w:pPr>
              <w:spacing w:after="240"/>
              <w:rPr>
                <w:rFonts w:cs="Arial"/>
                <w:b/>
                <w:sz w:val="22"/>
                <w:szCs w:val="22"/>
              </w:rPr>
            </w:pPr>
            <w:r>
              <w:rPr>
                <w:rFonts w:cs="Arial"/>
                <w:b/>
                <w:sz w:val="22"/>
                <w:szCs w:val="22"/>
              </w:rPr>
              <w:t>1.633M</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Days per NQRP summary</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5</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10</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15</w:t>
            </w:r>
          </w:p>
        </w:tc>
      </w:tr>
      <w:tr w:rsidR="006333A7" w:rsidRPr="00947344" w:rsidTr="00077D19">
        <w:tc>
          <w:tcPr>
            <w:tcW w:w="2553" w:type="dxa"/>
            <w:shd w:val="clear" w:color="auto" w:fill="auto"/>
          </w:tcPr>
          <w:p w:rsidR="006333A7" w:rsidRPr="00947344" w:rsidRDefault="006333A7" w:rsidP="00077D19">
            <w:pPr>
              <w:spacing w:after="240"/>
              <w:rPr>
                <w:rFonts w:cs="Arial"/>
                <w:b/>
                <w:sz w:val="22"/>
                <w:szCs w:val="22"/>
              </w:rPr>
            </w:pPr>
            <w:r w:rsidRPr="00947344">
              <w:rPr>
                <w:rFonts w:cs="Arial"/>
                <w:b/>
                <w:sz w:val="22"/>
                <w:szCs w:val="22"/>
              </w:rPr>
              <w:t>NQRP cost</w:t>
            </w:r>
          </w:p>
        </w:tc>
        <w:tc>
          <w:tcPr>
            <w:tcW w:w="2490" w:type="dxa"/>
            <w:shd w:val="clear" w:color="auto" w:fill="auto"/>
          </w:tcPr>
          <w:p w:rsidR="006333A7" w:rsidRPr="00947344" w:rsidRDefault="006333A7" w:rsidP="00077D19">
            <w:pPr>
              <w:spacing w:after="240"/>
              <w:rPr>
                <w:rFonts w:cs="Arial"/>
                <w:b/>
                <w:sz w:val="22"/>
                <w:szCs w:val="22"/>
              </w:rPr>
            </w:pPr>
            <w:r>
              <w:rPr>
                <w:rFonts w:cs="Arial"/>
                <w:b/>
                <w:sz w:val="22"/>
                <w:szCs w:val="22"/>
              </w:rPr>
              <w:t>0.112M</w:t>
            </w:r>
          </w:p>
        </w:tc>
        <w:tc>
          <w:tcPr>
            <w:tcW w:w="2530" w:type="dxa"/>
            <w:shd w:val="clear" w:color="auto" w:fill="D9D9D9"/>
          </w:tcPr>
          <w:p w:rsidR="006333A7" w:rsidRPr="00947344" w:rsidRDefault="006333A7" w:rsidP="00077D19">
            <w:pPr>
              <w:spacing w:after="240"/>
              <w:rPr>
                <w:rFonts w:cs="Arial"/>
                <w:b/>
                <w:sz w:val="22"/>
                <w:szCs w:val="22"/>
              </w:rPr>
            </w:pPr>
            <w:r>
              <w:rPr>
                <w:rFonts w:cs="Arial"/>
                <w:b/>
                <w:sz w:val="22"/>
                <w:szCs w:val="22"/>
              </w:rPr>
              <w:t>0.231M</w:t>
            </w:r>
          </w:p>
        </w:tc>
        <w:tc>
          <w:tcPr>
            <w:tcW w:w="2491" w:type="dxa"/>
            <w:shd w:val="clear" w:color="auto" w:fill="auto"/>
          </w:tcPr>
          <w:p w:rsidR="006333A7" w:rsidRPr="00947344" w:rsidRDefault="006333A7" w:rsidP="00077D19">
            <w:pPr>
              <w:spacing w:after="240"/>
              <w:rPr>
                <w:rFonts w:cs="Arial"/>
                <w:b/>
                <w:sz w:val="22"/>
                <w:szCs w:val="22"/>
              </w:rPr>
            </w:pPr>
            <w:r>
              <w:rPr>
                <w:rFonts w:cs="Arial"/>
                <w:b/>
                <w:sz w:val="22"/>
                <w:szCs w:val="22"/>
              </w:rPr>
              <w:t>0.357M</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Staff days training</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20.5</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22.4</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23.3</w:t>
            </w:r>
          </w:p>
        </w:tc>
      </w:tr>
      <w:tr w:rsidR="006333A7" w:rsidRPr="00947344" w:rsidTr="00077D19">
        <w:tc>
          <w:tcPr>
            <w:tcW w:w="2553" w:type="dxa"/>
            <w:shd w:val="clear" w:color="auto" w:fill="auto"/>
          </w:tcPr>
          <w:p w:rsidR="006333A7" w:rsidRPr="00947344" w:rsidRDefault="006333A7" w:rsidP="00077D19">
            <w:pPr>
              <w:spacing w:after="240"/>
              <w:rPr>
                <w:rFonts w:cs="Arial"/>
                <w:b/>
                <w:sz w:val="22"/>
                <w:szCs w:val="22"/>
              </w:rPr>
            </w:pPr>
            <w:r w:rsidRPr="00947344">
              <w:rPr>
                <w:rFonts w:cs="Arial"/>
                <w:b/>
                <w:sz w:val="22"/>
                <w:szCs w:val="22"/>
              </w:rPr>
              <w:t>Total training cost</w:t>
            </w:r>
          </w:p>
        </w:tc>
        <w:tc>
          <w:tcPr>
            <w:tcW w:w="2490" w:type="dxa"/>
            <w:shd w:val="clear" w:color="auto" w:fill="auto"/>
          </w:tcPr>
          <w:p w:rsidR="006333A7" w:rsidRPr="00947344" w:rsidRDefault="006333A7" w:rsidP="00077D19">
            <w:pPr>
              <w:spacing w:after="240"/>
              <w:rPr>
                <w:rFonts w:cs="Arial"/>
                <w:b/>
                <w:sz w:val="22"/>
                <w:szCs w:val="22"/>
              </w:rPr>
            </w:pPr>
            <w:r>
              <w:rPr>
                <w:rFonts w:cs="Arial"/>
                <w:b/>
                <w:sz w:val="22"/>
                <w:szCs w:val="22"/>
              </w:rPr>
              <w:t>0.459M</w:t>
            </w:r>
          </w:p>
        </w:tc>
        <w:tc>
          <w:tcPr>
            <w:tcW w:w="2530" w:type="dxa"/>
            <w:shd w:val="clear" w:color="auto" w:fill="D9D9D9"/>
          </w:tcPr>
          <w:p w:rsidR="006333A7" w:rsidRPr="00947344" w:rsidRDefault="006333A7" w:rsidP="00077D19">
            <w:pPr>
              <w:spacing w:after="240"/>
              <w:rPr>
                <w:rFonts w:cs="Arial"/>
                <w:b/>
                <w:sz w:val="22"/>
                <w:szCs w:val="22"/>
              </w:rPr>
            </w:pPr>
            <w:r>
              <w:rPr>
                <w:rFonts w:cs="Arial"/>
                <w:b/>
                <w:sz w:val="22"/>
                <w:szCs w:val="22"/>
              </w:rPr>
              <w:t>0.517</w:t>
            </w:r>
            <w:r w:rsidRPr="00947344">
              <w:rPr>
                <w:rFonts w:cs="Arial"/>
                <w:b/>
                <w:sz w:val="22"/>
                <w:szCs w:val="22"/>
              </w:rPr>
              <w:t>M</w:t>
            </w:r>
          </w:p>
        </w:tc>
        <w:tc>
          <w:tcPr>
            <w:tcW w:w="2491" w:type="dxa"/>
            <w:shd w:val="clear" w:color="auto" w:fill="auto"/>
          </w:tcPr>
          <w:p w:rsidR="006333A7" w:rsidRPr="00947344" w:rsidRDefault="006333A7" w:rsidP="00077D19">
            <w:pPr>
              <w:spacing w:after="240"/>
              <w:rPr>
                <w:rFonts w:cs="Arial"/>
                <w:b/>
                <w:sz w:val="22"/>
                <w:szCs w:val="22"/>
              </w:rPr>
            </w:pPr>
            <w:r>
              <w:rPr>
                <w:rFonts w:cs="Arial"/>
                <w:b/>
                <w:sz w:val="22"/>
                <w:szCs w:val="22"/>
              </w:rPr>
              <w:t>0.554M</w:t>
            </w:r>
          </w:p>
        </w:tc>
      </w:tr>
      <w:tr w:rsidR="006333A7" w:rsidRPr="00947344" w:rsidTr="00077D19">
        <w:tc>
          <w:tcPr>
            <w:tcW w:w="2553" w:type="dxa"/>
            <w:shd w:val="clear" w:color="auto" w:fill="auto"/>
          </w:tcPr>
          <w:p w:rsidR="006333A7" w:rsidRPr="00947344" w:rsidRDefault="006333A7" w:rsidP="00077D19">
            <w:pPr>
              <w:spacing w:after="240"/>
              <w:rPr>
                <w:rFonts w:cs="Arial"/>
                <w:b/>
                <w:sz w:val="22"/>
                <w:szCs w:val="22"/>
              </w:rPr>
            </w:pPr>
            <w:r w:rsidRPr="00947344">
              <w:rPr>
                <w:rFonts w:cs="Arial"/>
                <w:b/>
                <w:sz w:val="22"/>
                <w:szCs w:val="22"/>
              </w:rPr>
              <w:t>Total cost</w:t>
            </w:r>
          </w:p>
        </w:tc>
        <w:tc>
          <w:tcPr>
            <w:tcW w:w="2490" w:type="dxa"/>
            <w:shd w:val="clear" w:color="auto" w:fill="auto"/>
          </w:tcPr>
          <w:p w:rsidR="006333A7" w:rsidRPr="00947344" w:rsidRDefault="006333A7" w:rsidP="00077D19">
            <w:pPr>
              <w:spacing w:after="240"/>
              <w:rPr>
                <w:rFonts w:cs="Arial"/>
                <w:b/>
                <w:sz w:val="22"/>
                <w:szCs w:val="22"/>
              </w:rPr>
            </w:pPr>
            <w:r>
              <w:rPr>
                <w:rFonts w:cs="Arial"/>
                <w:b/>
                <w:sz w:val="22"/>
                <w:szCs w:val="22"/>
              </w:rPr>
              <w:t>1.497M</w:t>
            </w:r>
          </w:p>
        </w:tc>
        <w:tc>
          <w:tcPr>
            <w:tcW w:w="2530" w:type="dxa"/>
            <w:shd w:val="clear" w:color="auto" w:fill="D9D9D9"/>
          </w:tcPr>
          <w:p w:rsidR="006333A7" w:rsidRPr="00947344" w:rsidRDefault="006333A7" w:rsidP="00077D19">
            <w:pPr>
              <w:spacing w:after="240"/>
              <w:rPr>
                <w:rFonts w:cs="Arial"/>
                <w:b/>
                <w:sz w:val="22"/>
                <w:szCs w:val="22"/>
              </w:rPr>
            </w:pPr>
            <w:r>
              <w:rPr>
                <w:rFonts w:cs="Arial"/>
                <w:b/>
                <w:sz w:val="22"/>
                <w:szCs w:val="22"/>
              </w:rPr>
              <w:t>1.985</w:t>
            </w:r>
            <w:r w:rsidRPr="00947344">
              <w:rPr>
                <w:rFonts w:cs="Arial"/>
                <w:b/>
                <w:sz w:val="22"/>
                <w:szCs w:val="22"/>
              </w:rPr>
              <w:t>M</w:t>
            </w:r>
          </w:p>
        </w:tc>
        <w:tc>
          <w:tcPr>
            <w:tcW w:w="2491" w:type="dxa"/>
            <w:shd w:val="clear" w:color="auto" w:fill="auto"/>
          </w:tcPr>
          <w:p w:rsidR="006333A7" w:rsidRPr="006808EE" w:rsidRDefault="006333A7" w:rsidP="00077D19">
            <w:pPr>
              <w:spacing w:after="240"/>
              <w:rPr>
                <w:rFonts w:cs="Arial"/>
                <w:b/>
                <w:sz w:val="22"/>
                <w:szCs w:val="22"/>
              </w:rPr>
            </w:pPr>
            <w:r>
              <w:rPr>
                <w:rFonts w:cs="Arial"/>
                <w:b/>
                <w:sz w:val="22"/>
                <w:szCs w:val="22"/>
              </w:rPr>
              <w:t>2.544</w:t>
            </w:r>
            <w:r w:rsidRPr="006808EE">
              <w:rPr>
                <w:rFonts w:cs="Arial"/>
                <w:b/>
                <w:sz w:val="22"/>
                <w:szCs w:val="22"/>
              </w:rPr>
              <w:t>M</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Cost recovery</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50.4%</w:t>
            </w:r>
          </w:p>
        </w:tc>
        <w:tc>
          <w:tcPr>
            <w:tcW w:w="2530" w:type="dxa"/>
            <w:shd w:val="clear" w:color="auto" w:fill="D9D9D9"/>
          </w:tcPr>
          <w:p w:rsidR="006333A7" w:rsidRPr="00947344" w:rsidRDefault="006333A7" w:rsidP="00077D19">
            <w:pPr>
              <w:spacing w:after="240"/>
              <w:rPr>
                <w:rFonts w:cs="Arial"/>
                <w:sz w:val="22"/>
                <w:szCs w:val="22"/>
              </w:rPr>
            </w:pPr>
            <w:r w:rsidRPr="00947344">
              <w:rPr>
                <w:rFonts w:cs="Arial"/>
                <w:sz w:val="22"/>
                <w:szCs w:val="22"/>
              </w:rPr>
              <w:t>50.4%</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70%</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Cost to business</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0.754M</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1.000</w:t>
            </w:r>
            <w:r w:rsidRPr="00947344">
              <w:rPr>
                <w:rFonts w:cs="Arial"/>
                <w:sz w:val="22"/>
                <w:szCs w:val="22"/>
              </w:rPr>
              <w:t>M</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1.781M</w:t>
            </w:r>
          </w:p>
        </w:tc>
      </w:tr>
      <w:tr w:rsidR="006333A7" w:rsidRPr="00947344" w:rsidTr="00077D19">
        <w:tc>
          <w:tcPr>
            <w:tcW w:w="2553" w:type="dxa"/>
            <w:shd w:val="clear" w:color="auto" w:fill="auto"/>
          </w:tcPr>
          <w:p w:rsidR="006333A7" w:rsidRPr="00947344" w:rsidRDefault="006333A7" w:rsidP="00077D19">
            <w:pPr>
              <w:spacing w:after="240"/>
              <w:rPr>
                <w:rFonts w:cs="Arial"/>
                <w:sz w:val="22"/>
                <w:szCs w:val="22"/>
              </w:rPr>
            </w:pPr>
            <w:r w:rsidRPr="00947344">
              <w:rPr>
                <w:rFonts w:cs="Arial"/>
                <w:sz w:val="22"/>
                <w:szCs w:val="22"/>
              </w:rPr>
              <w:t>Cost to regulators</w:t>
            </w:r>
          </w:p>
        </w:tc>
        <w:tc>
          <w:tcPr>
            <w:tcW w:w="2490" w:type="dxa"/>
            <w:shd w:val="clear" w:color="auto" w:fill="auto"/>
          </w:tcPr>
          <w:p w:rsidR="006333A7" w:rsidRPr="00947344" w:rsidRDefault="006333A7" w:rsidP="00077D19">
            <w:pPr>
              <w:spacing w:after="240"/>
              <w:rPr>
                <w:rFonts w:cs="Arial"/>
                <w:sz w:val="22"/>
                <w:szCs w:val="22"/>
              </w:rPr>
            </w:pPr>
            <w:r>
              <w:rPr>
                <w:rFonts w:cs="Arial"/>
                <w:sz w:val="22"/>
                <w:szCs w:val="22"/>
              </w:rPr>
              <w:t>0.743M</w:t>
            </w:r>
          </w:p>
        </w:tc>
        <w:tc>
          <w:tcPr>
            <w:tcW w:w="2530" w:type="dxa"/>
            <w:shd w:val="clear" w:color="auto" w:fill="D9D9D9"/>
          </w:tcPr>
          <w:p w:rsidR="006333A7" w:rsidRPr="00947344" w:rsidRDefault="006333A7" w:rsidP="00077D19">
            <w:pPr>
              <w:spacing w:after="240"/>
              <w:rPr>
                <w:rFonts w:cs="Arial"/>
                <w:sz w:val="22"/>
                <w:szCs w:val="22"/>
              </w:rPr>
            </w:pPr>
            <w:r>
              <w:rPr>
                <w:rFonts w:cs="Arial"/>
                <w:sz w:val="22"/>
                <w:szCs w:val="22"/>
              </w:rPr>
              <w:t>0.985</w:t>
            </w:r>
            <w:r w:rsidRPr="00947344">
              <w:rPr>
                <w:rFonts w:cs="Arial"/>
                <w:sz w:val="22"/>
                <w:szCs w:val="22"/>
              </w:rPr>
              <w:t>M</w:t>
            </w:r>
          </w:p>
        </w:tc>
        <w:tc>
          <w:tcPr>
            <w:tcW w:w="2491" w:type="dxa"/>
            <w:shd w:val="clear" w:color="auto" w:fill="auto"/>
          </w:tcPr>
          <w:p w:rsidR="006333A7" w:rsidRPr="00947344" w:rsidRDefault="006333A7" w:rsidP="00077D19">
            <w:pPr>
              <w:spacing w:after="240"/>
              <w:rPr>
                <w:rFonts w:cs="Arial"/>
                <w:sz w:val="22"/>
                <w:szCs w:val="22"/>
              </w:rPr>
            </w:pPr>
            <w:r>
              <w:rPr>
                <w:rFonts w:cs="Arial"/>
                <w:sz w:val="22"/>
                <w:szCs w:val="22"/>
              </w:rPr>
              <w:t>0.763M</w:t>
            </w:r>
          </w:p>
        </w:tc>
      </w:tr>
    </w:tbl>
    <w:p w:rsidR="006333A7" w:rsidRDefault="006333A7" w:rsidP="006333A7">
      <w:pPr>
        <w:spacing w:after="240"/>
        <w:ind w:left="357"/>
        <w:rPr>
          <w:rFonts w:cs="Arial"/>
          <w:sz w:val="22"/>
          <w:szCs w:val="22"/>
        </w:rPr>
      </w:pPr>
    </w:p>
    <w:p w:rsidR="006333A7" w:rsidRDefault="006333A7" w:rsidP="006333A7">
      <w:pPr>
        <w:numPr>
          <w:ilvl w:val="0"/>
          <w:numId w:val="22"/>
        </w:numPr>
        <w:spacing w:after="240"/>
        <w:ind w:left="357" w:hanging="357"/>
        <w:rPr>
          <w:rFonts w:cs="Arial"/>
          <w:sz w:val="22"/>
          <w:szCs w:val="22"/>
        </w:rPr>
      </w:pPr>
      <w:r>
        <w:rPr>
          <w:rFonts w:cs="Arial"/>
          <w:sz w:val="22"/>
          <w:szCs w:val="22"/>
        </w:rPr>
        <w:t>Regulators will also be required to produce a summary of their NQRPs. Although quantified assessments of the economic impact on business of NQRPs are not required, regulators will still need to record and publish these summaries. The RPC will provide assurance to regulators on draft summaries that are submitted in advance of publication. The questionnaire did not cover the time taken to produce NQRP summaries but following informal conversations with a few regulators we assume that, on average, regulators will spend 10 days per year producing these documents.</w:t>
      </w:r>
      <w:r>
        <w:rPr>
          <w:rStyle w:val="FootnoteReference"/>
          <w:rFonts w:cs="Arial"/>
          <w:szCs w:val="22"/>
        </w:rPr>
        <w:footnoteReference w:id="21"/>
      </w:r>
      <w:r>
        <w:rPr>
          <w:rFonts w:cs="Arial"/>
          <w:sz w:val="22"/>
          <w:szCs w:val="22"/>
        </w:rPr>
        <w:t xml:space="preserve"> Applying the same daily wage rate, this gives an estimated cost to regulators of £0.231M. </w:t>
      </w:r>
    </w:p>
    <w:p w:rsidR="006333A7" w:rsidRDefault="006333A7" w:rsidP="006333A7">
      <w:pPr>
        <w:numPr>
          <w:ilvl w:val="0"/>
          <w:numId w:val="22"/>
        </w:numPr>
        <w:spacing w:after="240"/>
        <w:ind w:left="357" w:hanging="357"/>
        <w:rPr>
          <w:rFonts w:cs="Arial"/>
          <w:sz w:val="22"/>
          <w:szCs w:val="22"/>
        </w:rPr>
      </w:pPr>
      <w:r>
        <w:rPr>
          <w:rFonts w:cs="Arial"/>
          <w:sz w:val="22"/>
          <w:szCs w:val="22"/>
        </w:rPr>
        <w:t>Finally regulators will incur familiarisation costs associated with understanding the new reporting requirements and training members of staff to complete QRP assessments and NQRP summaries. As part of the consultation questionnaire, regulators were asked to estimate the number of staff days that would be spent on training. The average was found to range from 8.0 days for small regulators to 68.0 days for large regulators with an overall weighted average across of 22.4 days. Assuming a daily wage rate of £334.55 gives the total estimated one-off familiarisation cost of £0.517M.</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The total cost to regulators in year 1 associated with QRP assessments, NQRP summaries and familiarisation is estimated to be </w:t>
      </w:r>
      <w:r>
        <w:rPr>
          <w:rFonts w:cs="Arial"/>
          <w:b/>
          <w:sz w:val="22"/>
          <w:szCs w:val="22"/>
        </w:rPr>
        <w:t>£1.985</w:t>
      </w:r>
      <w:r w:rsidRPr="00987B52">
        <w:rPr>
          <w:rFonts w:cs="Arial"/>
          <w:b/>
          <w:sz w:val="22"/>
          <w:szCs w:val="22"/>
        </w:rPr>
        <w:t>M</w:t>
      </w:r>
      <w:r>
        <w:rPr>
          <w:rFonts w:cs="Arial"/>
          <w:sz w:val="22"/>
          <w:szCs w:val="22"/>
        </w:rPr>
        <w:t>.</w:t>
      </w:r>
    </w:p>
    <w:p w:rsidR="006333A7" w:rsidRPr="00710AEF" w:rsidRDefault="006333A7" w:rsidP="006333A7">
      <w:pPr>
        <w:numPr>
          <w:ilvl w:val="0"/>
          <w:numId w:val="22"/>
        </w:numPr>
        <w:spacing w:after="240"/>
        <w:ind w:left="357" w:hanging="357"/>
        <w:rPr>
          <w:rFonts w:cs="Arial"/>
          <w:sz w:val="22"/>
          <w:szCs w:val="22"/>
        </w:rPr>
      </w:pPr>
      <w:r>
        <w:rPr>
          <w:rFonts w:cs="Arial"/>
          <w:sz w:val="22"/>
          <w:szCs w:val="22"/>
        </w:rPr>
        <w:t xml:space="preserve">It is expected that some of the costs to regulators will be passed through to business through cost recovery. The estimates used for cost recovery are taken from the consultation with regulators that was undertaken as part of the development of the Small Business Appeals Champion policy. During that consultation in 2013, 58 regulators were asked if they would recover the costs of appointing the Champions. Responses were received from 24 regulators with 13 reporting that they would cost recover in full and 11 indicating they would not recover the costs. For those regulators which did not respond to this question we used the responses from the 2012 Regulators’ Questionnaire on the extent to which their regulatory enforcement activity was fully, partially or not cost recovered. We assigned values of 100%, 50% and 0% to these responses respectively. Where no information for a regulator was available from these two sources, we assumed 50% would be recovered. Across the regulators we estimated that 50.4% of cost would have been recovered if regulators had to cover the costs of appointing the Champions. Although this relates to a different policy, it is the best estimate available of the extent to which regulators would cost </w:t>
      </w:r>
      <w:proofErr w:type="gramStart"/>
      <w:r>
        <w:rPr>
          <w:rFonts w:cs="Arial"/>
          <w:sz w:val="22"/>
          <w:szCs w:val="22"/>
        </w:rPr>
        <w:t>recover</w:t>
      </w:r>
      <w:proofErr w:type="gramEnd"/>
      <w:r>
        <w:rPr>
          <w:rFonts w:cs="Arial"/>
          <w:sz w:val="22"/>
          <w:szCs w:val="22"/>
        </w:rPr>
        <w:t xml:space="preserve"> from business.</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Applying the assumption of 50.4% cost recovery gives an estimate of the cost to business in the first year of </w:t>
      </w:r>
      <w:r>
        <w:rPr>
          <w:rFonts w:cs="Arial"/>
          <w:b/>
          <w:sz w:val="22"/>
          <w:szCs w:val="22"/>
        </w:rPr>
        <w:t>£1.000</w:t>
      </w:r>
      <w:r w:rsidRPr="00710AEF">
        <w:rPr>
          <w:rFonts w:cs="Arial"/>
          <w:b/>
          <w:sz w:val="22"/>
          <w:szCs w:val="22"/>
        </w:rPr>
        <w:t>M</w:t>
      </w:r>
      <w:r>
        <w:rPr>
          <w:rFonts w:cs="Arial"/>
          <w:sz w:val="22"/>
          <w:szCs w:val="22"/>
        </w:rPr>
        <w:t>. This is comprised of £0.623M of costs associated with QRP assessments, £0.116M of costs from NQRP summaries, and £0.261M of familiarisation costs.</w:t>
      </w:r>
    </w:p>
    <w:p w:rsidR="006333A7" w:rsidRDefault="006333A7" w:rsidP="006333A7">
      <w:pPr>
        <w:numPr>
          <w:ilvl w:val="0"/>
          <w:numId w:val="22"/>
        </w:numPr>
        <w:spacing w:after="240"/>
        <w:ind w:left="357" w:hanging="357"/>
        <w:rPr>
          <w:rFonts w:cs="Arial"/>
          <w:sz w:val="22"/>
          <w:szCs w:val="22"/>
        </w:rPr>
      </w:pPr>
      <w:r>
        <w:rPr>
          <w:rFonts w:cs="Arial"/>
          <w:sz w:val="22"/>
          <w:szCs w:val="22"/>
        </w:rPr>
        <w:t>In subsequent years, regulators would only incur the ongoing costs associated with QRP assessments and NQRP summaries. As described previously, 60% of the regulators that responded believed there would be no change in the number of assessments in future years. For the best estimate, we therefore continue to assume that the 449 QRP assessments described above (69 regulators producing 6.5 assessments) will be produced each year. However, we assume that, over time, fewer resubmissions are needed to validate the EANDCBs. It is assumed that each QRP requires 1.4 and 1.3 submissions in years 2 and 3 before reaching a steady state value of 1.2.</w:t>
      </w:r>
      <w:r>
        <w:rPr>
          <w:rStyle w:val="FootnoteReference"/>
          <w:rFonts w:cs="Arial"/>
          <w:szCs w:val="22"/>
        </w:rPr>
        <w:footnoteReference w:id="22"/>
      </w:r>
      <w:r>
        <w:rPr>
          <w:rFonts w:cs="Arial"/>
          <w:sz w:val="22"/>
          <w:szCs w:val="22"/>
        </w:rPr>
        <w:t xml:space="preserve"> As a result, the number of submissions is 629 in year 2, 584 in year 3 and 539 in the remaining years.</w:t>
      </w:r>
    </w:p>
    <w:p w:rsidR="006333A7" w:rsidRDefault="006333A7" w:rsidP="006333A7">
      <w:pPr>
        <w:numPr>
          <w:ilvl w:val="0"/>
          <w:numId w:val="22"/>
        </w:numPr>
        <w:spacing w:after="240"/>
        <w:ind w:left="357" w:hanging="357"/>
        <w:rPr>
          <w:rFonts w:cs="Arial"/>
          <w:sz w:val="22"/>
          <w:szCs w:val="22"/>
        </w:rPr>
      </w:pPr>
      <w:r>
        <w:rPr>
          <w:rFonts w:cs="Arial"/>
          <w:sz w:val="22"/>
          <w:szCs w:val="22"/>
        </w:rPr>
        <w:t>Table 4 presents the profile of costs to regulators and business over the assumed 10 year appraisal period.</w:t>
      </w:r>
    </w:p>
    <w:p w:rsidR="006333A7" w:rsidRDefault="006333A7" w:rsidP="006333A7">
      <w:pPr>
        <w:numPr>
          <w:ilvl w:val="0"/>
          <w:numId w:val="22"/>
        </w:numPr>
        <w:spacing w:after="240"/>
        <w:ind w:left="357" w:hanging="357"/>
        <w:rPr>
          <w:rFonts w:cs="Arial"/>
          <w:sz w:val="22"/>
          <w:szCs w:val="22"/>
        </w:rPr>
      </w:pPr>
      <w:r>
        <w:rPr>
          <w:rFonts w:cs="Arial"/>
          <w:sz w:val="22"/>
          <w:szCs w:val="22"/>
        </w:rPr>
        <w:t>Some regulators presented ranges for the number of BIT assessments they expected to produce, the time taken for each assessment, the wage rate and the amount of staff days spent on training. High and low estimates for each regulator’s responses were then constructed and then averaged to produce upper and lower bound estimates (table 3).</w:t>
      </w:r>
    </w:p>
    <w:p w:rsidR="006333A7" w:rsidRPr="00554EA9" w:rsidRDefault="006333A7" w:rsidP="006333A7">
      <w:pPr>
        <w:spacing w:after="240"/>
        <w:ind w:left="357"/>
        <w:rPr>
          <w:rFonts w:cs="Arial"/>
          <w:b/>
          <w:sz w:val="22"/>
          <w:szCs w:val="22"/>
        </w:rPr>
      </w:pPr>
      <w:r w:rsidRPr="00554EA9">
        <w:rPr>
          <w:rFonts w:cs="Arial"/>
          <w:b/>
          <w:sz w:val="22"/>
          <w:szCs w:val="22"/>
        </w:rPr>
        <w:t xml:space="preserve">Table 3 – High and Low estimates of assessments, time taken, wages and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5"/>
      </w:tblGrid>
      <w:tr w:rsidR="006333A7" w:rsidTr="00077D19">
        <w:tc>
          <w:tcPr>
            <w:tcW w:w="2084" w:type="dxa"/>
            <w:shd w:val="clear" w:color="auto" w:fill="auto"/>
          </w:tcPr>
          <w:p w:rsidR="006333A7" w:rsidRPr="003A51F8" w:rsidRDefault="006333A7" w:rsidP="00077D19">
            <w:pPr>
              <w:spacing w:after="240"/>
              <w:rPr>
                <w:rFonts w:cs="Arial"/>
                <w:b/>
                <w:sz w:val="22"/>
                <w:szCs w:val="22"/>
              </w:rPr>
            </w:pPr>
          </w:p>
        </w:tc>
        <w:tc>
          <w:tcPr>
            <w:tcW w:w="2084" w:type="dxa"/>
            <w:shd w:val="clear" w:color="auto" w:fill="auto"/>
          </w:tcPr>
          <w:p w:rsidR="006333A7" w:rsidRPr="003A51F8" w:rsidRDefault="006333A7" w:rsidP="00077D19">
            <w:pPr>
              <w:spacing w:after="240"/>
              <w:rPr>
                <w:rFonts w:cs="Arial"/>
                <w:b/>
                <w:sz w:val="22"/>
                <w:szCs w:val="22"/>
              </w:rPr>
            </w:pPr>
            <w:r w:rsidRPr="003A51F8">
              <w:rPr>
                <w:rFonts w:cs="Arial"/>
                <w:b/>
                <w:sz w:val="22"/>
                <w:szCs w:val="22"/>
              </w:rPr>
              <w:t>Small (&lt;100 FTE)</w:t>
            </w:r>
          </w:p>
        </w:tc>
        <w:tc>
          <w:tcPr>
            <w:tcW w:w="2084" w:type="dxa"/>
            <w:shd w:val="clear" w:color="auto" w:fill="auto"/>
          </w:tcPr>
          <w:p w:rsidR="006333A7" w:rsidRPr="003A51F8" w:rsidRDefault="006333A7" w:rsidP="00077D19">
            <w:pPr>
              <w:spacing w:after="240"/>
              <w:rPr>
                <w:rFonts w:cs="Arial"/>
                <w:b/>
                <w:sz w:val="22"/>
                <w:szCs w:val="22"/>
              </w:rPr>
            </w:pPr>
            <w:r w:rsidRPr="003A51F8">
              <w:rPr>
                <w:rFonts w:cs="Arial"/>
                <w:b/>
                <w:sz w:val="22"/>
                <w:szCs w:val="22"/>
              </w:rPr>
              <w:t>Medium (100-999 FTE)</w:t>
            </w:r>
          </w:p>
        </w:tc>
        <w:tc>
          <w:tcPr>
            <w:tcW w:w="2084" w:type="dxa"/>
            <w:shd w:val="clear" w:color="auto" w:fill="auto"/>
          </w:tcPr>
          <w:p w:rsidR="006333A7" w:rsidRPr="003A51F8" w:rsidRDefault="006333A7" w:rsidP="00077D19">
            <w:pPr>
              <w:spacing w:after="240"/>
              <w:rPr>
                <w:rFonts w:cs="Arial"/>
                <w:b/>
                <w:sz w:val="22"/>
                <w:szCs w:val="22"/>
              </w:rPr>
            </w:pPr>
            <w:r w:rsidRPr="003A51F8">
              <w:rPr>
                <w:rFonts w:cs="Arial"/>
                <w:b/>
                <w:sz w:val="22"/>
                <w:szCs w:val="22"/>
              </w:rPr>
              <w:t>Large (&gt;=1000 FTE)</w:t>
            </w:r>
          </w:p>
        </w:tc>
        <w:tc>
          <w:tcPr>
            <w:tcW w:w="2085" w:type="dxa"/>
            <w:shd w:val="clear" w:color="auto" w:fill="auto"/>
          </w:tcPr>
          <w:p w:rsidR="006333A7" w:rsidRPr="003A51F8" w:rsidRDefault="006333A7" w:rsidP="00077D19">
            <w:pPr>
              <w:spacing w:after="240"/>
              <w:rPr>
                <w:rFonts w:cs="Arial"/>
                <w:b/>
                <w:sz w:val="22"/>
                <w:szCs w:val="22"/>
              </w:rPr>
            </w:pPr>
            <w:r w:rsidRPr="003A51F8">
              <w:rPr>
                <w:rFonts w:cs="Arial"/>
                <w:b/>
                <w:sz w:val="22"/>
                <w:szCs w:val="22"/>
              </w:rPr>
              <w:t>Weighted Average</w:t>
            </w:r>
          </w:p>
        </w:tc>
      </w:tr>
      <w:tr w:rsidR="006333A7" w:rsidTr="00077D19">
        <w:tc>
          <w:tcPr>
            <w:tcW w:w="2084" w:type="dxa"/>
            <w:shd w:val="clear" w:color="auto" w:fill="auto"/>
          </w:tcPr>
          <w:p w:rsidR="006333A7" w:rsidRPr="003A51F8" w:rsidRDefault="006333A7" w:rsidP="00077D19">
            <w:pPr>
              <w:spacing w:after="240"/>
              <w:rPr>
                <w:rFonts w:cs="Arial"/>
                <w:sz w:val="22"/>
                <w:szCs w:val="22"/>
              </w:rPr>
            </w:pPr>
            <w:r w:rsidRPr="003A51F8">
              <w:rPr>
                <w:rFonts w:cs="Arial"/>
                <w:sz w:val="22"/>
                <w:szCs w:val="22"/>
              </w:rPr>
              <w:t>Number of assessments in year 1</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4.7</w:t>
            </w:r>
          </w:p>
          <w:p w:rsidR="006333A7" w:rsidRPr="003A51F8" w:rsidRDefault="006333A7" w:rsidP="00077D19">
            <w:pPr>
              <w:spacing w:after="240"/>
              <w:rPr>
                <w:rFonts w:cs="Arial"/>
                <w:sz w:val="22"/>
                <w:szCs w:val="22"/>
              </w:rPr>
            </w:pPr>
            <w:r>
              <w:rPr>
                <w:rFonts w:cs="Arial"/>
                <w:sz w:val="22"/>
                <w:szCs w:val="22"/>
              </w:rPr>
              <w:t>Low: 3</w:t>
            </w:r>
            <w:r w:rsidRPr="003A51F8">
              <w:rPr>
                <w:rFonts w:cs="Arial"/>
                <w:sz w:val="22"/>
                <w:szCs w:val="22"/>
              </w:rPr>
              <w:t>.</w:t>
            </w:r>
            <w:r>
              <w:rPr>
                <w:rFonts w:cs="Arial"/>
                <w:sz w:val="22"/>
                <w:szCs w:val="22"/>
              </w:rPr>
              <w:t>2</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8.0</w:t>
            </w:r>
          </w:p>
          <w:p w:rsidR="006333A7" w:rsidRPr="003A51F8" w:rsidRDefault="006333A7" w:rsidP="00077D19">
            <w:pPr>
              <w:spacing w:after="240"/>
              <w:rPr>
                <w:rFonts w:cs="Arial"/>
                <w:sz w:val="22"/>
                <w:szCs w:val="22"/>
              </w:rPr>
            </w:pPr>
            <w:r>
              <w:rPr>
                <w:rFonts w:cs="Arial"/>
                <w:sz w:val="22"/>
                <w:szCs w:val="22"/>
              </w:rPr>
              <w:t>Low: 5</w:t>
            </w:r>
            <w:r w:rsidRPr="003A51F8">
              <w:rPr>
                <w:rFonts w:cs="Arial"/>
                <w:sz w:val="22"/>
                <w:szCs w:val="22"/>
              </w:rPr>
              <w:t>.9</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25.0</w:t>
            </w:r>
          </w:p>
          <w:p w:rsidR="006333A7" w:rsidRPr="003A51F8" w:rsidRDefault="006333A7" w:rsidP="00077D19">
            <w:pPr>
              <w:spacing w:after="240"/>
              <w:rPr>
                <w:rFonts w:cs="Arial"/>
                <w:sz w:val="22"/>
                <w:szCs w:val="22"/>
              </w:rPr>
            </w:pPr>
            <w:r>
              <w:rPr>
                <w:rFonts w:cs="Arial"/>
                <w:sz w:val="22"/>
                <w:szCs w:val="22"/>
              </w:rPr>
              <w:t>Low: 21</w:t>
            </w:r>
            <w:r w:rsidRPr="003A51F8">
              <w:rPr>
                <w:rFonts w:cs="Arial"/>
                <w:sz w:val="22"/>
                <w:szCs w:val="22"/>
              </w:rPr>
              <w:t>.3</w:t>
            </w:r>
          </w:p>
        </w:tc>
        <w:tc>
          <w:tcPr>
            <w:tcW w:w="2085" w:type="dxa"/>
            <w:shd w:val="clear" w:color="auto" w:fill="auto"/>
          </w:tcPr>
          <w:p w:rsidR="006333A7" w:rsidRPr="003A51F8" w:rsidRDefault="006333A7" w:rsidP="00077D19">
            <w:pPr>
              <w:spacing w:after="240"/>
              <w:rPr>
                <w:rFonts w:cs="Arial"/>
                <w:b/>
                <w:sz w:val="22"/>
                <w:szCs w:val="22"/>
              </w:rPr>
            </w:pPr>
            <w:r>
              <w:rPr>
                <w:rFonts w:cs="Arial"/>
                <w:b/>
                <w:sz w:val="22"/>
                <w:szCs w:val="22"/>
              </w:rPr>
              <w:t>High: 8.4</w:t>
            </w:r>
          </w:p>
          <w:p w:rsidR="006333A7" w:rsidRPr="003A51F8" w:rsidRDefault="006333A7" w:rsidP="00077D19">
            <w:pPr>
              <w:spacing w:after="240"/>
              <w:rPr>
                <w:rFonts w:cs="Arial"/>
                <w:b/>
                <w:sz w:val="22"/>
                <w:szCs w:val="22"/>
              </w:rPr>
            </w:pPr>
            <w:r w:rsidRPr="003A51F8">
              <w:rPr>
                <w:rFonts w:cs="Arial"/>
                <w:b/>
                <w:sz w:val="22"/>
                <w:szCs w:val="22"/>
              </w:rPr>
              <w:t>Low: 6.</w:t>
            </w:r>
            <w:r>
              <w:rPr>
                <w:rFonts w:cs="Arial"/>
                <w:b/>
                <w:sz w:val="22"/>
                <w:szCs w:val="22"/>
              </w:rPr>
              <w:t>4</w:t>
            </w:r>
          </w:p>
        </w:tc>
      </w:tr>
      <w:tr w:rsidR="006333A7" w:rsidTr="00077D19">
        <w:tc>
          <w:tcPr>
            <w:tcW w:w="2084" w:type="dxa"/>
            <w:shd w:val="clear" w:color="auto" w:fill="auto"/>
          </w:tcPr>
          <w:p w:rsidR="006333A7" w:rsidRPr="003A51F8" w:rsidRDefault="006333A7" w:rsidP="00077D19">
            <w:pPr>
              <w:spacing w:after="240"/>
              <w:rPr>
                <w:rFonts w:cs="Arial"/>
                <w:sz w:val="22"/>
                <w:szCs w:val="22"/>
              </w:rPr>
            </w:pPr>
            <w:r w:rsidRPr="003A51F8">
              <w:rPr>
                <w:rFonts w:cs="Arial"/>
                <w:sz w:val="22"/>
                <w:szCs w:val="22"/>
              </w:rPr>
              <w:t>Time taken (days)</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2.9</w:t>
            </w:r>
          </w:p>
          <w:p w:rsidR="006333A7" w:rsidRPr="003A51F8" w:rsidRDefault="006333A7" w:rsidP="00077D19">
            <w:pPr>
              <w:spacing w:after="240"/>
              <w:rPr>
                <w:rFonts w:cs="Arial"/>
                <w:sz w:val="22"/>
                <w:szCs w:val="22"/>
              </w:rPr>
            </w:pPr>
            <w:r>
              <w:rPr>
                <w:rFonts w:cs="Arial"/>
                <w:sz w:val="22"/>
                <w:szCs w:val="22"/>
              </w:rPr>
              <w:t>Low: 2.9</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7.0</w:t>
            </w:r>
          </w:p>
          <w:p w:rsidR="006333A7" w:rsidRPr="003A51F8" w:rsidRDefault="006333A7" w:rsidP="00077D19">
            <w:pPr>
              <w:spacing w:after="240"/>
              <w:rPr>
                <w:rFonts w:cs="Arial"/>
                <w:sz w:val="22"/>
                <w:szCs w:val="22"/>
              </w:rPr>
            </w:pPr>
            <w:r>
              <w:rPr>
                <w:rFonts w:cs="Arial"/>
                <w:sz w:val="22"/>
                <w:szCs w:val="22"/>
              </w:rPr>
              <w:t>Low: 6.4</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6.8</w:t>
            </w:r>
          </w:p>
          <w:p w:rsidR="006333A7" w:rsidRPr="003A51F8" w:rsidRDefault="006333A7" w:rsidP="00077D19">
            <w:pPr>
              <w:spacing w:after="240"/>
              <w:rPr>
                <w:rFonts w:cs="Arial"/>
                <w:sz w:val="22"/>
                <w:szCs w:val="22"/>
              </w:rPr>
            </w:pPr>
            <w:r>
              <w:rPr>
                <w:rFonts w:cs="Arial"/>
                <w:sz w:val="22"/>
                <w:szCs w:val="22"/>
              </w:rPr>
              <w:t>Low: 6.8</w:t>
            </w:r>
          </w:p>
        </w:tc>
        <w:tc>
          <w:tcPr>
            <w:tcW w:w="2085" w:type="dxa"/>
            <w:shd w:val="clear" w:color="auto" w:fill="auto"/>
          </w:tcPr>
          <w:p w:rsidR="006333A7" w:rsidRPr="003A51F8" w:rsidRDefault="006333A7" w:rsidP="00077D19">
            <w:pPr>
              <w:spacing w:after="240"/>
              <w:rPr>
                <w:rFonts w:cs="Arial"/>
                <w:b/>
                <w:sz w:val="22"/>
                <w:szCs w:val="22"/>
              </w:rPr>
            </w:pPr>
            <w:r>
              <w:rPr>
                <w:rFonts w:cs="Arial"/>
                <w:b/>
                <w:sz w:val="22"/>
                <w:szCs w:val="22"/>
              </w:rPr>
              <w:t>High: 5.0</w:t>
            </w:r>
          </w:p>
          <w:p w:rsidR="006333A7" w:rsidRPr="003A51F8" w:rsidRDefault="006333A7" w:rsidP="00077D19">
            <w:pPr>
              <w:spacing w:after="240"/>
              <w:rPr>
                <w:rFonts w:cs="Arial"/>
                <w:b/>
                <w:sz w:val="22"/>
                <w:szCs w:val="22"/>
              </w:rPr>
            </w:pPr>
            <w:r>
              <w:rPr>
                <w:rFonts w:cs="Arial"/>
                <w:b/>
                <w:sz w:val="22"/>
                <w:szCs w:val="22"/>
              </w:rPr>
              <w:t>Low: 4.8</w:t>
            </w:r>
          </w:p>
        </w:tc>
      </w:tr>
      <w:tr w:rsidR="006333A7" w:rsidTr="00077D19">
        <w:tc>
          <w:tcPr>
            <w:tcW w:w="2084" w:type="dxa"/>
            <w:shd w:val="clear" w:color="auto" w:fill="auto"/>
          </w:tcPr>
          <w:p w:rsidR="006333A7" w:rsidRPr="003A51F8" w:rsidRDefault="006333A7" w:rsidP="00077D19">
            <w:pPr>
              <w:spacing w:after="240"/>
              <w:rPr>
                <w:rFonts w:cs="Arial"/>
                <w:sz w:val="22"/>
                <w:szCs w:val="22"/>
              </w:rPr>
            </w:pPr>
            <w:r w:rsidRPr="003A51F8">
              <w:rPr>
                <w:rFonts w:cs="Arial"/>
                <w:sz w:val="22"/>
                <w:szCs w:val="22"/>
              </w:rPr>
              <w:t>Hourly wage (£)</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34.17</w:t>
            </w:r>
          </w:p>
          <w:p w:rsidR="006333A7" w:rsidRPr="003A51F8" w:rsidRDefault="006333A7" w:rsidP="00077D19">
            <w:pPr>
              <w:spacing w:after="240"/>
              <w:rPr>
                <w:rFonts w:cs="Arial"/>
                <w:sz w:val="22"/>
                <w:szCs w:val="22"/>
              </w:rPr>
            </w:pPr>
            <w:r>
              <w:rPr>
                <w:rFonts w:cs="Arial"/>
                <w:sz w:val="22"/>
                <w:szCs w:val="22"/>
              </w:rPr>
              <w:t>Low: 32.50</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43.38</w:t>
            </w:r>
          </w:p>
          <w:p w:rsidR="006333A7" w:rsidRPr="003A51F8" w:rsidRDefault="006333A7" w:rsidP="00077D19">
            <w:pPr>
              <w:spacing w:after="240"/>
              <w:rPr>
                <w:rFonts w:cs="Arial"/>
                <w:sz w:val="22"/>
                <w:szCs w:val="22"/>
              </w:rPr>
            </w:pPr>
            <w:r>
              <w:rPr>
                <w:rFonts w:cs="Arial"/>
                <w:sz w:val="22"/>
                <w:szCs w:val="22"/>
              </w:rPr>
              <w:t>Low: 41.06</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37</w:t>
            </w:r>
            <w:r w:rsidRPr="003A51F8">
              <w:rPr>
                <w:rFonts w:cs="Arial"/>
                <w:sz w:val="22"/>
                <w:szCs w:val="22"/>
              </w:rPr>
              <w:t>.00</w:t>
            </w:r>
          </w:p>
          <w:p w:rsidR="006333A7" w:rsidRPr="003A51F8" w:rsidRDefault="006333A7" w:rsidP="00077D19">
            <w:pPr>
              <w:spacing w:after="240"/>
              <w:rPr>
                <w:rFonts w:cs="Arial"/>
                <w:sz w:val="22"/>
                <w:szCs w:val="22"/>
              </w:rPr>
            </w:pPr>
            <w:r>
              <w:rPr>
                <w:rFonts w:cs="Arial"/>
                <w:sz w:val="22"/>
                <w:szCs w:val="22"/>
              </w:rPr>
              <w:t>Low: 32.80</w:t>
            </w:r>
          </w:p>
        </w:tc>
        <w:tc>
          <w:tcPr>
            <w:tcW w:w="2085" w:type="dxa"/>
            <w:shd w:val="clear" w:color="auto" w:fill="auto"/>
          </w:tcPr>
          <w:p w:rsidR="006333A7" w:rsidRPr="003A51F8" w:rsidRDefault="006333A7" w:rsidP="00077D19">
            <w:pPr>
              <w:spacing w:after="240"/>
              <w:rPr>
                <w:rFonts w:cs="Arial"/>
                <w:b/>
                <w:sz w:val="22"/>
                <w:szCs w:val="22"/>
              </w:rPr>
            </w:pPr>
            <w:r>
              <w:rPr>
                <w:rFonts w:cs="Arial"/>
                <w:b/>
                <w:sz w:val="22"/>
                <w:szCs w:val="22"/>
              </w:rPr>
              <w:t>High: 38.24</w:t>
            </w:r>
          </w:p>
          <w:p w:rsidR="006333A7" w:rsidRPr="003A51F8" w:rsidRDefault="006333A7" w:rsidP="00077D19">
            <w:pPr>
              <w:spacing w:after="240"/>
              <w:rPr>
                <w:rFonts w:cs="Arial"/>
                <w:b/>
                <w:sz w:val="22"/>
                <w:szCs w:val="22"/>
              </w:rPr>
            </w:pPr>
            <w:r>
              <w:rPr>
                <w:rFonts w:cs="Arial"/>
                <w:b/>
                <w:sz w:val="22"/>
                <w:szCs w:val="22"/>
              </w:rPr>
              <w:t>Low: 36.01</w:t>
            </w:r>
          </w:p>
        </w:tc>
      </w:tr>
      <w:tr w:rsidR="006333A7" w:rsidTr="00077D19">
        <w:tc>
          <w:tcPr>
            <w:tcW w:w="2084" w:type="dxa"/>
            <w:shd w:val="clear" w:color="auto" w:fill="auto"/>
          </w:tcPr>
          <w:p w:rsidR="006333A7" w:rsidRPr="003A51F8" w:rsidRDefault="006333A7" w:rsidP="00077D19">
            <w:pPr>
              <w:spacing w:after="240"/>
              <w:rPr>
                <w:rFonts w:cs="Arial"/>
                <w:sz w:val="22"/>
                <w:szCs w:val="22"/>
              </w:rPr>
            </w:pPr>
            <w:r w:rsidRPr="003A51F8">
              <w:rPr>
                <w:rFonts w:cs="Arial"/>
                <w:sz w:val="22"/>
                <w:szCs w:val="22"/>
              </w:rPr>
              <w:t>Training days</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8</w:t>
            </w:r>
            <w:r w:rsidRPr="003A51F8">
              <w:rPr>
                <w:rFonts w:cs="Arial"/>
                <w:sz w:val="22"/>
                <w:szCs w:val="22"/>
              </w:rPr>
              <w:t>.0</w:t>
            </w:r>
          </w:p>
          <w:p w:rsidR="006333A7" w:rsidRPr="003A51F8" w:rsidRDefault="006333A7" w:rsidP="00077D19">
            <w:pPr>
              <w:spacing w:after="240"/>
              <w:rPr>
                <w:rFonts w:cs="Arial"/>
                <w:sz w:val="22"/>
                <w:szCs w:val="22"/>
              </w:rPr>
            </w:pPr>
            <w:r>
              <w:rPr>
                <w:rFonts w:cs="Arial"/>
                <w:sz w:val="22"/>
                <w:szCs w:val="22"/>
              </w:rPr>
              <w:t>Low: 8</w:t>
            </w:r>
            <w:r w:rsidRPr="003A51F8">
              <w:rPr>
                <w:rFonts w:cs="Arial"/>
                <w:sz w:val="22"/>
                <w:szCs w:val="22"/>
              </w:rPr>
              <w:t>.0</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27.2</w:t>
            </w:r>
          </w:p>
          <w:p w:rsidR="006333A7" w:rsidRPr="003A51F8" w:rsidRDefault="006333A7" w:rsidP="00077D19">
            <w:pPr>
              <w:spacing w:after="240"/>
              <w:rPr>
                <w:rFonts w:cs="Arial"/>
                <w:sz w:val="22"/>
                <w:szCs w:val="22"/>
              </w:rPr>
            </w:pPr>
            <w:r>
              <w:rPr>
                <w:rFonts w:cs="Arial"/>
                <w:sz w:val="22"/>
                <w:szCs w:val="22"/>
              </w:rPr>
              <w:t>Low: 23</w:t>
            </w:r>
            <w:r w:rsidRPr="003A51F8">
              <w:rPr>
                <w:rFonts w:cs="Arial"/>
                <w:sz w:val="22"/>
                <w:szCs w:val="22"/>
              </w:rPr>
              <w:t>.0</w:t>
            </w:r>
          </w:p>
        </w:tc>
        <w:tc>
          <w:tcPr>
            <w:tcW w:w="2084" w:type="dxa"/>
            <w:shd w:val="clear" w:color="auto" w:fill="auto"/>
          </w:tcPr>
          <w:p w:rsidR="006333A7" w:rsidRPr="003A51F8" w:rsidRDefault="006333A7" w:rsidP="00077D19">
            <w:pPr>
              <w:spacing w:after="240"/>
              <w:rPr>
                <w:rFonts w:cs="Arial"/>
                <w:sz w:val="22"/>
                <w:szCs w:val="22"/>
              </w:rPr>
            </w:pPr>
            <w:r>
              <w:rPr>
                <w:rFonts w:cs="Arial"/>
                <w:sz w:val="22"/>
                <w:szCs w:val="22"/>
              </w:rPr>
              <w:t>High: 73.0</w:t>
            </w:r>
          </w:p>
          <w:p w:rsidR="006333A7" w:rsidRPr="003A51F8" w:rsidRDefault="006333A7" w:rsidP="00077D19">
            <w:pPr>
              <w:spacing w:after="240"/>
              <w:rPr>
                <w:rFonts w:cs="Arial"/>
                <w:sz w:val="22"/>
                <w:szCs w:val="22"/>
              </w:rPr>
            </w:pPr>
            <w:r>
              <w:rPr>
                <w:rFonts w:cs="Arial"/>
                <w:sz w:val="22"/>
                <w:szCs w:val="22"/>
              </w:rPr>
              <w:t>Low: 63</w:t>
            </w:r>
            <w:r w:rsidRPr="003A51F8">
              <w:rPr>
                <w:rFonts w:cs="Arial"/>
                <w:sz w:val="22"/>
                <w:szCs w:val="22"/>
              </w:rPr>
              <w:t>.0</w:t>
            </w:r>
          </w:p>
        </w:tc>
        <w:tc>
          <w:tcPr>
            <w:tcW w:w="2085" w:type="dxa"/>
            <w:shd w:val="clear" w:color="auto" w:fill="auto"/>
          </w:tcPr>
          <w:p w:rsidR="006333A7" w:rsidRPr="003A51F8" w:rsidRDefault="006333A7" w:rsidP="00077D19">
            <w:pPr>
              <w:spacing w:after="240"/>
              <w:rPr>
                <w:rFonts w:cs="Arial"/>
                <w:b/>
                <w:sz w:val="22"/>
                <w:szCs w:val="22"/>
              </w:rPr>
            </w:pPr>
            <w:r>
              <w:rPr>
                <w:rFonts w:cs="Arial"/>
                <w:b/>
                <w:sz w:val="22"/>
                <w:szCs w:val="22"/>
              </w:rPr>
              <w:t>High: 23.3</w:t>
            </w:r>
          </w:p>
          <w:p w:rsidR="006333A7" w:rsidRPr="003A51F8" w:rsidRDefault="006333A7" w:rsidP="00077D19">
            <w:pPr>
              <w:spacing w:after="240"/>
              <w:rPr>
                <w:rFonts w:cs="Arial"/>
                <w:b/>
                <w:sz w:val="22"/>
                <w:szCs w:val="22"/>
              </w:rPr>
            </w:pPr>
            <w:r>
              <w:rPr>
                <w:rFonts w:cs="Arial"/>
                <w:b/>
                <w:sz w:val="22"/>
                <w:szCs w:val="22"/>
              </w:rPr>
              <w:t>Low: 20.5</w:t>
            </w:r>
          </w:p>
        </w:tc>
      </w:tr>
    </w:tbl>
    <w:p w:rsidR="006333A7" w:rsidRDefault="006333A7" w:rsidP="006333A7">
      <w:pPr>
        <w:spacing w:after="240"/>
        <w:rPr>
          <w:rFonts w:cs="Arial"/>
          <w:sz w:val="22"/>
          <w:szCs w:val="22"/>
        </w:rPr>
      </w:pPr>
      <w:r>
        <w:rPr>
          <w:rFonts w:cs="Arial"/>
          <w:sz w:val="22"/>
          <w:szCs w:val="22"/>
        </w:rPr>
        <w:t xml:space="preserve"> </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In the low estimate, it is also assumed in every year that each assessment requires 1.2 submissions to the RPC to obtain verification and that NQRP summaries require 5 days of staff time to complete. Applying these assumptions with those in table 3 gives an estimate of the total cost of </w:t>
      </w:r>
      <w:r>
        <w:rPr>
          <w:rFonts w:cs="Arial"/>
          <w:b/>
          <w:sz w:val="22"/>
          <w:szCs w:val="22"/>
        </w:rPr>
        <w:t>£1.497</w:t>
      </w:r>
      <w:r w:rsidRPr="00470AFD">
        <w:rPr>
          <w:rFonts w:cs="Arial"/>
          <w:b/>
          <w:sz w:val="22"/>
          <w:szCs w:val="22"/>
        </w:rPr>
        <w:t>M</w:t>
      </w:r>
      <w:r>
        <w:rPr>
          <w:rFonts w:cs="Arial"/>
          <w:sz w:val="22"/>
          <w:szCs w:val="22"/>
        </w:rPr>
        <w:t xml:space="preserve"> with £0.754M (50.4%) of costs being recovered from business.</w:t>
      </w:r>
    </w:p>
    <w:p w:rsidR="006333A7" w:rsidRDefault="006333A7" w:rsidP="006333A7">
      <w:pPr>
        <w:numPr>
          <w:ilvl w:val="0"/>
          <w:numId w:val="22"/>
        </w:numPr>
        <w:spacing w:after="240"/>
        <w:ind w:left="357" w:hanging="357"/>
        <w:rPr>
          <w:rFonts w:cs="Arial"/>
          <w:sz w:val="22"/>
          <w:szCs w:val="22"/>
        </w:rPr>
      </w:pPr>
      <w:r>
        <w:rPr>
          <w:rFonts w:cs="Arial"/>
          <w:sz w:val="22"/>
          <w:szCs w:val="22"/>
        </w:rPr>
        <w:t xml:space="preserve">For the high estimate, the number of assessments in future years is assumed to be 10% higher than in year 1, reflecting the responses of six regulators reporting that assessments would increase after the first year. The same assumptions for resubmission are made as in the best estimate but the time taken to complete NQRP summaries is assumed to increase to 15 days. The total cost is then estimated to be </w:t>
      </w:r>
      <w:r>
        <w:rPr>
          <w:rFonts w:cs="Arial"/>
          <w:b/>
          <w:sz w:val="22"/>
          <w:szCs w:val="22"/>
        </w:rPr>
        <w:t>£2.544</w:t>
      </w:r>
      <w:r w:rsidRPr="00470AFD">
        <w:rPr>
          <w:rFonts w:cs="Arial"/>
          <w:b/>
          <w:sz w:val="22"/>
          <w:szCs w:val="22"/>
        </w:rPr>
        <w:t>M</w:t>
      </w:r>
      <w:r>
        <w:rPr>
          <w:rFonts w:cs="Arial"/>
          <w:sz w:val="22"/>
          <w:szCs w:val="22"/>
        </w:rPr>
        <w:t xml:space="preserve"> with £1.781M of costs recovered from business (assuming a higher rate of cost recovery of 70%). </w:t>
      </w:r>
    </w:p>
    <w:p w:rsidR="006333A7" w:rsidRDefault="006333A7" w:rsidP="006333A7">
      <w:pPr>
        <w:numPr>
          <w:ilvl w:val="0"/>
          <w:numId w:val="22"/>
        </w:numPr>
        <w:spacing w:after="240"/>
        <w:ind w:left="357" w:hanging="357"/>
        <w:rPr>
          <w:rFonts w:cs="Arial"/>
          <w:sz w:val="22"/>
          <w:szCs w:val="22"/>
        </w:rPr>
      </w:pPr>
      <w:r w:rsidRPr="002B1AAC">
        <w:rPr>
          <w:rFonts w:cs="Arial"/>
          <w:sz w:val="22"/>
          <w:szCs w:val="22"/>
        </w:rPr>
        <w:t>The estimate of the total cost of producing BIT assessments for QRPs is</w:t>
      </w:r>
      <w:r>
        <w:rPr>
          <w:rFonts w:cs="Arial"/>
          <w:sz w:val="22"/>
          <w:szCs w:val="22"/>
        </w:rPr>
        <w:t xml:space="preserve"> likely to be overestimated</w:t>
      </w:r>
      <w:r w:rsidRPr="002B1AAC">
        <w:rPr>
          <w:rFonts w:cs="Arial"/>
          <w:sz w:val="22"/>
          <w:szCs w:val="22"/>
        </w:rPr>
        <w:t xml:space="preserve">. </w:t>
      </w:r>
      <w:r>
        <w:rPr>
          <w:rFonts w:cs="Arial"/>
          <w:sz w:val="22"/>
          <w:szCs w:val="22"/>
        </w:rPr>
        <w:t>A number of r</w:t>
      </w:r>
      <w:r w:rsidRPr="002B1AAC">
        <w:rPr>
          <w:rFonts w:cs="Arial"/>
          <w:sz w:val="22"/>
          <w:szCs w:val="22"/>
        </w:rPr>
        <w:t xml:space="preserve">egulators already undertake some cost-benefit analysis relating to changes to their regulatory activities. This may take the form of Business Engagement Assessments that were encouraged under the voluntary Accountability for Regulator Impact (ARI) policy or impact assessments that are similar in content to those produced by departments for legislative changes. Not all of the costs estimated here should therefore be considered as additional. However, it </w:t>
      </w:r>
      <w:r>
        <w:rPr>
          <w:rFonts w:cs="Arial"/>
          <w:sz w:val="22"/>
          <w:szCs w:val="22"/>
        </w:rPr>
        <w:t xml:space="preserve">has not been possible </w:t>
      </w:r>
      <w:r w:rsidRPr="002B1AAC">
        <w:rPr>
          <w:rFonts w:cs="Arial"/>
          <w:sz w:val="22"/>
          <w:szCs w:val="22"/>
        </w:rPr>
        <w:t xml:space="preserve">to establish the true baseline relating to the costs associated with producing assessments of economic impact on business. </w:t>
      </w:r>
    </w:p>
    <w:p w:rsidR="006333A7" w:rsidRPr="002B1AAC" w:rsidRDefault="006333A7" w:rsidP="006333A7">
      <w:pPr>
        <w:numPr>
          <w:ilvl w:val="0"/>
          <w:numId w:val="22"/>
        </w:numPr>
        <w:spacing w:after="240"/>
        <w:ind w:left="357" w:hanging="357"/>
        <w:rPr>
          <w:rFonts w:cs="Arial"/>
          <w:sz w:val="22"/>
          <w:szCs w:val="22"/>
        </w:rPr>
      </w:pPr>
      <w:r>
        <w:rPr>
          <w:rFonts w:cs="Arial"/>
          <w:sz w:val="22"/>
          <w:szCs w:val="22"/>
        </w:rPr>
        <w:t>Regulators will also be able to group QRPs relating to a common theme into one BIT assessment. For the assumption of 6.5 assessments per regulator, we assume this includes regulators’ best estimates of the amount of grouping that will be possible based on their current information of how the QRP process will operate. Over time, and with more experience of producing QRP assessments, greater efficiencies may be realised through the grouping of similar measures into one assessment.</w:t>
      </w:r>
      <w:r>
        <w:rPr>
          <w:rStyle w:val="FootnoteReference"/>
          <w:rFonts w:cs="Arial"/>
          <w:szCs w:val="22"/>
        </w:rPr>
        <w:footnoteReference w:id="23"/>
      </w:r>
      <w:r>
        <w:rPr>
          <w:rFonts w:cs="Arial"/>
          <w:sz w:val="22"/>
          <w:szCs w:val="22"/>
        </w:rPr>
        <w:t xml:space="preserve"> The 6.5 may therefore overstate the average annual number of assessments in the long run, but would seem a reasonable assumption based on regulators current understanding and experience of the new process. </w:t>
      </w:r>
    </w:p>
    <w:p w:rsidR="006333A7" w:rsidRPr="002B1AAC" w:rsidRDefault="006333A7" w:rsidP="006333A7">
      <w:pPr>
        <w:pStyle w:val="ListParagraph"/>
        <w:spacing w:after="240"/>
        <w:ind w:left="360"/>
        <w:rPr>
          <w:rFonts w:ascii="Arial" w:hAnsi="Arial" w:cs="Arial"/>
          <w:sz w:val="22"/>
          <w:szCs w:val="22"/>
          <w:u w:val="single"/>
        </w:rPr>
      </w:pPr>
      <w:r w:rsidRPr="002B1AAC">
        <w:rPr>
          <w:rFonts w:ascii="Arial" w:hAnsi="Arial" w:cs="Arial"/>
          <w:sz w:val="22"/>
          <w:szCs w:val="22"/>
          <w:u w:val="single"/>
        </w:rPr>
        <w:t>Costs to the independent verification body (RPC)</w:t>
      </w:r>
    </w:p>
    <w:p w:rsidR="006333A7" w:rsidRPr="002B1AAC" w:rsidRDefault="006333A7" w:rsidP="006333A7">
      <w:pPr>
        <w:numPr>
          <w:ilvl w:val="0"/>
          <w:numId w:val="22"/>
        </w:numPr>
        <w:spacing w:after="240"/>
        <w:ind w:left="357" w:hanging="357"/>
        <w:rPr>
          <w:rFonts w:cs="Arial"/>
          <w:sz w:val="22"/>
          <w:szCs w:val="22"/>
        </w:rPr>
      </w:pPr>
      <w:r>
        <w:rPr>
          <w:rFonts w:cs="Arial"/>
          <w:sz w:val="22"/>
          <w:szCs w:val="22"/>
        </w:rPr>
        <w:t xml:space="preserve">The requirement on regulators to submit assessments of the economic impact on business of their QRPs and summaries of their NQRPs will impose a resource cost on the RPC. Under the best estimate, up to 449 assessments could require RPC validation each year which would represent a significant increase in caseload compared to the previous Parliament where RPC scrutinised 1,223 policy proposals over the whole Parliament. This would be mitigated by other changes being made to streamline the process, for example, departments no longer needing to submit fast track assessments to </w:t>
      </w:r>
      <w:r w:rsidRPr="00CE01C4">
        <w:rPr>
          <w:rFonts w:cs="Arial"/>
          <w:sz w:val="22"/>
          <w:szCs w:val="22"/>
        </w:rPr>
        <w:t>the RPC</w:t>
      </w:r>
      <w:r w:rsidRPr="00CE01C4">
        <w:rPr>
          <w:rStyle w:val="FootnoteReference"/>
          <w:rFonts w:cs="Arial"/>
          <w:szCs w:val="22"/>
        </w:rPr>
        <w:footnoteReference w:id="24"/>
      </w:r>
      <w:r w:rsidRPr="00CE01C4">
        <w:rPr>
          <w:rFonts w:cs="Arial"/>
          <w:sz w:val="22"/>
          <w:szCs w:val="22"/>
        </w:rPr>
        <w:t xml:space="preserve">, but there is expected to be a net increase in resourcing requirements for the RPC. These resource costs, however, </w:t>
      </w:r>
      <w:r w:rsidRPr="00D704E0">
        <w:rPr>
          <w:rFonts w:cs="Arial"/>
          <w:sz w:val="22"/>
          <w:szCs w:val="22"/>
        </w:rPr>
        <w:t xml:space="preserve">accrue to the public sector and will be managed within existing budgets. They would </w:t>
      </w:r>
      <w:r w:rsidRPr="00CE01C4">
        <w:rPr>
          <w:rFonts w:cs="Arial"/>
          <w:sz w:val="22"/>
          <w:szCs w:val="22"/>
        </w:rPr>
        <w:t xml:space="preserve">not score in the </w:t>
      </w:r>
      <w:r>
        <w:rPr>
          <w:rFonts w:cs="Arial"/>
          <w:sz w:val="22"/>
          <w:szCs w:val="22"/>
        </w:rPr>
        <w:t xml:space="preserve">NPV, </w:t>
      </w:r>
      <w:r w:rsidRPr="00D704E0">
        <w:rPr>
          <w:rFonts w:cs="Arial"/>
          <w:sz w:val="22"/>
          <w:szCs w:val="22"/>
        </w:rPr>
        <w:t xml:space="preserve">Business </w:t>
      </w:r>
      <w:r w:rsidRPr="00CE01C4">
        <w:rPr>
          <w:rFonts w:cs="Arial"/>
          <w:sz w:val="22"/>
          <w:szCs w:val="22"/>
        </w:rPr>
        <w:t>NPV or EANDCB.</w:t>
      </w:r>
    </w:p>
    <w:p w:rsidR="006333A7" w:rsidRPr="003D48B6" w:rsidRDefault="006333A7" w:rsidP="006333A7">
      <w:pPr>
        <w:rPr>
          <w:rFonts w:cs="Arial"/>
          <w:sz w:val="22"/>
          <w:szCs w:val="22"/>
        </w:rPr>
      </w:pPr>
    </w:p>
    <w:p w:rsidR="006333A7" w:rsidRPr="00450B43" w:rsidRDefault="006333A7" w:rsidP="006333A7">
      <w:pPr>
        <w:spacing w:before="100" w:after="100"/>
        <w:ind w:left="360"/>
        <w:rPr>
          <w:rFonts w:cs="Arial"/>
          <w:sz w:val="22"/>
          <w:szCs w:val="22"/>
          <w:u w:val="single"/>
        </w:rPr>
      </w:pPr>
      <w:r w:rsidRPr="00450B43">
        <w:rPr>
          <w:rFonts w:cs="Arial"/>
          <w:sz w:val="22"/>
          <w:szCs w:val="22"/>
          <w:u w:val="single"/>
        </w:rPr>
        <w:t>Benefits to business</w:t>
      </w:r>
    </w:p>
    <w:p w:rsidR="006333A7" w:rsidRPr="009E3230" w:rsidRDefault="006333A7" w:rsidP="006333A7">
      <w:pPr>
        <w:numPr>
          <w:ilvl w:val="0"/>
          <w:numId w:val="22"/>
        </w:numPr>
        <w:spacing w:before="100" w:after="240"/>
        <w:ind w:left="357" w:hanging="357"/>
        <w:rPr>
          <w:rFonts w:cs="Arial"/>
          <w:sz w:val="22"/>
          <w:szCs w:val="22"/>
        </w:rPr>
      </w:pPr>
      <w:r w:rsidRPr="009E3230">
        <w:rPr>
          <w:rFonts w:cs="Arial"/>
          <w:sz w:val="22"/>
          <w:szCs w:val="22"/>
        </w:rPr>
        <w:t>Businesses will be expected to benefit from the extension of the BIT to</w:t>
      </w:r>
      <w:r>
        <w:rPr>
          <w:rFonts w:cs="Arial"/>
          <w:sz w:val="22"/>
          <w:szCs w:val="22"/>
        </w:rPr>
        <w:t xml:space="preserve"> include the actions of statutory</w:t>
      </w:r>
      <w:r w:rsidRPr="009E3230">
        <w:rPr>
          <w:rFonts w:cs="Arial"/>
          <w:sz w:val="22"/>
          <w:szCs w:val="22"/>
        </w:rPr>
        <w:t xml:space="preserve"> regulators. Bringing the activities of regulators into scope of the BIT will ensure that the impact imposed on business by regulators is routinely measured and reported on. This will increase the transparency of the system and provide business with greater assurance that any costs and benefits imposed on them are thoroughly assessed. </w:t>
      </w:r>
      <w:r>
        <w:rPr>
          <w:rFonts w:cs="Arial"/>
          <w:sz w:val="22"/>
          <w:szCs w:val="22"/>
        </w:rPr>
        <w:t>It is not possible, however, to monetise the indirect benefits to business from greater transparency.</w:t>
      </w:r>
    </w:p>
    <w:p w:rsidR="006333A7" w:rsidRPr="00324A0C" w:rsidRDefault="006333A7" w:rsidP="006333A7">
      <w:pPr>
        <w:numPr>
          <w:ilvl w:val="0"/>
          <w:numId w:val="22"/>
        </w:numPr>
        <w:spacing w:before="100" w:after="240"/>
        <w:ind w:left="357" w:hanging="357"/>
        <w:rPr>
          <w:rFonts w:cs="Arial"/>
          <w:sz w:val="22"/>
          <w:szCs w:val="22"/>
        </w:rPr>
      </w:pPr>
      <w:r>
        <w:rPr>
          <w:rFonts w:cs="Arial"/>
          <w:sz w:val="22"/>
          <w:szCs w:val="22"/>
        </w:rPr>
        <w:t>The objective of the Business Impact Target is to continue to drive down the costs to business from complying with regulation. Widening the BIT to include the activity of regulators will help to deliver a wider range of deregulatory savings to business over the Parliament. Business will be expected to benefit from the savings generated, but to avoid double-counting, we assume these benefits will be assessed in the impact assessments that accompany each change within the scope of the BIT and do not attempt to include them here.</w:t>
      </w:r>
    </w:p>
    <w:p w:rsidR="006333A7" w:rsidRDefault="006333A7" w:rsidP="006333A7">
      <w:pPr>
        <w:spacing w:before="100" w:after="100"/>
        <w:ind w:left="360"/>
        <w:rPr>
          <w:rFonts w:cs="Arial"/>
          <w:sz w:val="22"/>
          <w:szCs w:val="22"/>
        </w:rPr>
      </w:pPr>
    </w:p>
    <w:p w:rsidR="006333A7" w:rsidRPr="00553DC4" w:rsidRDefault="006333A7" w:rsidP="006333A7">
      <w:pPr>
        <w:spacing w:before="100" w:after="100"/>
        <w:ind w:left="360"/>
        <w:rPr>
          <w:rFonts w:cs="Arial"/>
          <w:b/>
          <w:sz w:val="22"/>
          <w:szCs w:val="22"/>
        </w:rPr>
      </w:pPr>
      <w:r>
        <w:rPr>
          <w:rFonts w:cs="Arial"/>
          <w:b/>
          <w:sz w:val="22"/>
          <w:szCs w:val="22"/>
        </w:rPr>
        <w:t>Equivalent Annual Net Direct Cost to Business (EANDCB)</w:t>
      </w:r>
    </w:p>
    <w:p w:rsidR="006333A7" w:rsidRPr="00FD276D" w:rsidRDefault="006333A7" w:rsidP="006333A7">
      <w:pPr>
        <w:numPr>
          <w:ilvl w:val="0"/>
          <w:numId w:val="22"/>
        </w:numPr>
        <w:spacing w:before="100" w:after="240"/>
        <w:ind w:left="357" w:hanging="357"/>
        <w:rPr>
          <w:sz w:val="22"/>
          <w:szCs w:val="22"/>
        </w:rPr>
      </w:pPr>
      <w:r w:rsidRPr="00FD276D">
        <w:rPr>
          <w:rFonts w:cs="Arial"/>
          <w:sz w:val="22"/>
          <w:szCs w:val="22"/>
        </w:rPr>
        <w:t xml:space="preserve">This measure will impose a cost on regulators from undertaking economic assessments of the </w:t>
      </w:r>
      <w:r>
        <w:rPr>
          <w:rFonts w:cs="Arial"/>
          <w:sz w:val="22"/>
          <w:szCs w:val="22"/>
        </w:rPr>
        <w:t xml:space="preserve">impact of QRPs and producing summaries of NQRPs. </w:t>
      </w:r>
      <w:r w:rsidRPr="00FD276D">
        <w:rPr>
          <w:rFonts w:cs="Arial"/>
          <w:sz w:val="22"/>
          <w:szCs w:val="22"/>
        </w:rPr>
        <w:t>In previous cases relating to imposing costs on regulators, RPC have judged that where the regulator is funded by industry, all of these costs should be considered as a direct cost on business. In addition to any cost recovery through increased fees, any remaining cost to the regulators form an opportunity cost to business. For example, if the regulator made efficiency savings to cover these costs, such savings would normally have been expected to be passed</w:t>
      </w:r>
      <w:r>
        <w:rPr>
          <w:rFonts w:cs="Arial"/>
          <w:sz w:val="22"/>
          <w:szCs w:val="22"/>
        </w:rPr>
        <w:t xml:space="preserve"> to business through lower fees, meaning that a saving has been foregone.</w:t>
      </w:r>
    </w:p>
    <w:p w:rsidR="006333A7" w:rsidRPr="00FD276D" w:rsidRDefault="006333A7" w:rsidP="006333A7">
      <w:pPr>
        <w:numPr>
          <w:ilvl w:val="0"/>
          <w:numId w:val="22"/>
        </w:numPr>
        <w:spacing w:before="100" w:after="240"/>
        <w:ind w:left="357" w:hanging="357"/>
        <w:rPr>
          <w:sz w:val="22"/>
          <w:szCs w:val="22"/>
        </w:rPr>
      </w:pPr>
      <w:r>
        <w:rPr>
          <w:sz w:val="22"/>
          <w:szCs w:val="22"/>
        </w:rPr>
        <w:t>Across the 69</w:t>
      </w:r>
      <w:r w:rsidRPr="00FD276D">
        <w:rPr>
          <w:sz w:val="22"/>
          <w:szCs w:val="22"/>
        </w:rPr>
        <w:t xml:space="preserve"> regulators potentially in scope of this measure, we do not hav</w:t>
      </w:r>
      <w:r>
        <w:rPr>
          <w:sz w:val="22"/>
          <w:szCs w:val="22"/>
        </w:rPr>
        <w:t xml:space="preserve">e a clear picture </w:t>
      </w:r>
      <w:r w:rsidRPr="00FD276D">
        <w:rPr>
          <w:sz w:val="22"/>
          <w:szCs w:val="22"/>
        </w:rPr>
        <w:t xml:space="preserve">of their funding arrangements and ability to cost recover from business as not all are fully or partially funded by industry. The best information we have is from previous analysis of Small Business Appeals Champions where 50.4% of the total costs could potentially have been recovered. We therefore use this estimate to proxy the </w:t>
      </w:r>
      <w:r>
        <w:rPr>
          <w:sz w:val="22"/>
          <w:szCs w:val="22"/>
        </w:rPr>
        <w:t xml:space="preserve">extent to which regulators are funded by industry and thus the </w:t>
      </w:r>
      <w:r w:rsidRPr="00FD276D">
        <w:rPr>
          <w:sz w:val="22"/>
          <w:szCs w:val="22"/>
        </w:rPr>
        <w:t>dir</w:t>
      </w:r>
      <w:r>
        <w:rPr>
          <w:sz w:val="22"/>
          <w:szCs w:val="22"/>
        </w:rPr>
        <w:t>ect costs to business for inclusion in the EANCB</w:t>
      </w:r>
      <w:r w:rsidRPr="00FD276D">
        <w:rPr>
          <w:sz w:val="22"/>
          <w:szCs w:val="22"/>
        </w:rPr>
        <w:t>. This 50.4% is applied to both the annual ongoing costs and the one-off familiarisation costs.</w:t>
      </w:r>
    </w:p>
    <w:p w:rsidR="006333A7" w:rsidRPr="00BC701B" w:rsidRDefault="006333A7" w:rsidP="006333A7">
      <w:pPr>
        <w:numPr>
          <w:ilvl w:val="0"/>
          <w:numId w:val="22"/>
        </w:numPr>
        <w:spacing w:before="100" w:after="240"/>
        <w:ind w:left="357" w:hanging="357"/>
        <w:rPr>
          <w:sz w:val="22"/>
          <w:szCs w:val="22"/>
        </w:rPr>
      </w:pPr>
      <w:r w:rsidRPr="00E70930">
        <w:rPr>
          <w:rFonts w:cs="Arial"/>
          <w:color w:val="000000"/>
          <w:sz w:val="22"/>
          <w:szCs w:val="22"/>
          <w:lang w:eastAsia="en-GB"/>
        </w:rPr>
        <w:t>The remaining costs to the regulato</w:t>
      </w:r>
      <w:r>
        <w:rPr>
          <w:rFonts w:cs="Arial"/>
          <w:color w:val="000000"/>
          <w:sz w:val="22"/>
          <w:szCs w:val="22"/>
          <w:lang w:eastAsia="en-GB"/>
        </w:rPr>
        <w:t>rs would not be included in the EANDCB</w:t>
      </w:r>
      <w:r w:rsidRPr="00E70930">
        <w:rPr>
          <w:rFonts w:cs="Arial"/>
          <w:color w:val="000000"/>
          <w:sz w:val="22"/>
          <w:szCs w:val="22"/>
          <w:lang w:eastAsia="en-GB"/>
        </w:rPr>
        <w:t xml:space="preserve"> but are included in the overall NPV of the proposal. Any costs from businesses familiarising themselves with the change are voluntary and assumed to be offset by the benefits, leaving no net impact.</w:t>
      </w:r>
    </w:p>
    <w:p w:rsidR="006333A7" w:rsidRDefault="003A433E" w:rsidP="006333A7">
      <w:pPr>
        <w:numPr>
          <w:ilvl w:val="0"/>
          <w:numId w:val="22"/>
        </w:numPr>
        <w:spacing w:before="100" w:after="240"/>
        <w:ind w:left="357" w:hanging="357"/>
        <w:rPr>
          <w:sz w:val="22"/>
          <w:szCs w:val="22"/>
        </w:rPr>
      </w:pPr>
      <w:r>
        <w:rPr>
          <w:sz w:val="22"/>
          <w:szCs w:val="22"/>
        </w:rPr>
        <w:t xml:space="preserve"> Table 4</w:t>
      </w:r>
      <w:r w:rsidR="006333A7" w:rsidRPr="00E70930">
        <w:rPr>
          <w:sz w:val="22"/>
          <w:szCs w:val="22"/>
        </w:rPr>
        <w:t xml:space="preserve"> </w:t>
      </w:r>
      <w:r w:rsidR="006333A7">
        <w:rPr>
          <w:sz w:val="22"/>
          <w:szCs w:val="22"/>
        </w:rPr>
        <w:t>sets out the costs that are used to calculate the NPV, Business NPV and EANDCB of the proposal. It is assumed that the transition costs fall only in year 1 and the ongoing costs last for 10 years.</w:t>
      </w:r>
    </w:p>
    <w:p w:rsidR="006333A7" w:rsidRDefault="006333A7" w:rsidP="006333A7">
      <w:pPr>
        <w:pStyle w:val="ListParagraph"/>
        <w:rPr>
          <w:sz w:val="22"/>
          <w:szCs w:val="22"/>
        </w:rPr>
      </w:pPr>
    </w:p>
    <w:p w:rsidR="006333A7" w:rsidRPr="00554EA9" w:rsidRDefault="006333A7" w:rsidP="006333A7">
      <w:pPr>
        <w:spacing w:before="100" w:after="100"/>
        <w:ind w:left="360"/>
        <w:rPr>
          <w:b/>
          <w:sz w:val="22"/>
          <w:szCs w:val="22"/>
        </w:rPr>
      </w:pPr>
      <w:r w:rsidRPr="00554EA9">
        <w:rPr>
          <w:b/>
          <w:sz w:val="22"/>
          <w:szCs w:val="22"/>
        </w:rPr>
        <w:t>Table 4 – Summary of costs to business and regulators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5"/>
      </w:tblGrid>
      <w:tr w:rsidR="006333A7" w:rsidRPr="00947344" w:rsidTr="00077D19">
        <w:tc>
          <w:tcPr>
            <w:tcW w:w="2084" w:type="dxa"/>
            <w:shd w:val="clear" w:color="auto" w:fill="auto"/>
          </w:tcPr>
          <w:p w:rsidR="006333A7" w:rsidRPr="00947344" w:rsidRDefault="006333A7" w:rsidP="00077D19">
            <w:pPr>
              <w:spacing w:before="100" w:after="100"/>
              <w:rPr>
                <w:sz w:val="22"/>
                <w:szCs w:val="22"/>
              </w:rPr>
            </w:pPr>
          </w:p>
        </w:tc>
        <w:tc>
          <w:tcPr>
            <w:tcW w:w="2084" w:type="dxa"/>
            <w:shd w:val="clear" w:color="auto" w:fill="auto"/>
          </w:tcPr>
          <w:p w:rsidR="006333A7" w:rsidRPr="00DA4662" w:rsidRDefault="006333A7" w:rsidP="00077D19">
            <w:pPr>
              <w:spacing w:before="100" w:after="100"/>
              <w:rPr>
                <w:b/>
                <w:sz w:val="22"/>
                <w:szCs w:val="22"/>
              </w:rPr>
            </w:pPr>
            <w:r w:rsidRPr="00DA4662">
              <w:rPr>
                <w:b/>
                <w:sz w:val="22"/>
                <w:szCs w:val="22"/>
              </w:rPr>
              <w:t>Year 1</w:t>
            </w:r>
            <w:r>
              <w:rPr>
                <w:b/>
                <w:sz w:val="22"/>
                <w:szCs w:val="22"/>
              </w:rPr>
              <w:t>*</w:t>
            </w:r>
          </w:p>
        </w:tc>
        <w:tc>
          <w:tcPr>
            <w:tcW w:w="2084" w:type="dxa"/>
            <w:shd w:val="clear" w:color="auto" w:fill="auto"/>
          </w:tcPr>
          <w:p w:rsidR="006333A7" w:rsidRPr="00DA4662" w:rsidRDefault="006333A7" w:rsidP="00077D19">
            <w:pPr>
              <w:spacing w:before="100" w:after="100"/>
              <w:rPr>
                <w:b/>
                <w:sz w:val="22"/>
                <w:szCs w:val="22"/>
              </w:rPr>
            </w:pPr>
            <w:r w:rsidRPr="00DA4662">
              <w:rPr>
                <w:b/>
                <w:sz w:val="22"/>
                <w:szCs w:val="22"/>
              </w:rPr>
              <w:t>Year 2</w:t>
            </w:r>
          </w:p>
        </w:tc>
        <w:tc>
          <w:tcPr>
            <w:tcW w:w="2084" w:type="dxa"/>
            <w:shd w:val="clear" w:color="auto" w:fill="auto"/>
          </w:tcPr>
          <w:p w:rsidR="006333A7" w:rsidRPr="00DA4662" w:rsidRDefault="006333A7" w:rsidP="00077D19">
            <w:pPr>
              <w:spacing w:before="100" w:after="100"/>
              <w:rPr>
                <w:b/>
                <w:sz w:val="22"/>
                <w:szCs w:val="22"/>
              </w:rPr>
            </w:pPr>
            <w:r w:rsidRPr="00DA4662">
              <w:rPr>
                <w:b/>
                <w:sz w:val="22"/>
                <w:szCs w:val="22"/>
              </w:rPr>
              <w:t>Year 3</w:t>
            </w:r>
          </w:p>
        </w:tc>
        <w:tc>
          <w:tcPr>
            <w:tcW w:w="2085" w:type="dxa"/>
            <w:shd w:val="clear" w:color="auto" w:fill="auto"/>
          </w:tcPr>
          <w:p w:rsidR="006333A7" w:rsidRPr="00DA4662" w:rsidRDefault="006333A7" w:rsidP="00077D19">
            <w:pPr>
              <w:spacing w:before="100" w:after="100"/>
              <w:rPr>
                <w:b/>
                <w:sz w:val="22"/>
                <w:szCs w:val="22"/>
              </w:rPr>
            </w:pPr>
            <w:r w:rsidRPr="00DA4662">
              <w:rPr>
                <w:b/>
                <w:sz w:val="22"/>
                <w:szCs w:val="22"/>
              </w:rPr>
              <w:t>Year 4 +</w:t>
            </w:r>
          </w:p>
        </w:tc>
      </w:tr>
      <w:tr w:rsidR="006333A7" w:rsidRPr="00947344" w:rsidTr="00077D19">
        <w:tc>
          <w:tcPr>
            <w:tcW w:w="2084" w:type="dxa"/>
            <w:tcBorders>
              <w:bottom w:val="single" w:sz="4" w:space="0" w:color="auto"/>
            </w:tcBorders>
            <w:shd w:val="clear" w:color="auto" w:fill="auto"/>
          </w:tcPr>
          <w:p w:rsidR="006333A7" w:rsidRPr="00947344" w:rsidRDefault="006333A7" w:rsidP="00077D19">
            <w:pPr>
              <w:spacing w:before="100" w:after="100"/>
              <w:rPr>
                <w:b/>
                <w:i/>
                <w:sz w:val="22"/>
                <w:szCs w:val="22"/>
              </w:rPr>
            </w:pPr>
            <w:r w:rsidRPr="00947344">
              <w:rPr>
                <w:b/>
                <w:i/>
                <w:sz w:val="22"/>
                <w:szCs w:val="22"/>
              </w:rPr>
              <w:t>Low estimate</w:t>
            </w: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5" w:type="dxa"/>
            <w:tcBorders>
              <w:bottom w:val="single" w:sz="4" w:space="0" w:color="auto"/>
            </w:tcBorders>
            <w:shd w:val="clear" w:color="auto" w:fill="auto"/>
          </w:tcPr>
          <w:p w:rsidR="006333A7" w:rsidRPr="00947344" w:rsidRDefault="006333A7" w:rsidP="00077D19">
            <w:pPr>
              <w:spacing w:before="100" w:after="100"/>
              <w:rPr>
                <w:sz w:val="22"/>
                <w:szCs w:val="22"/>
              </w:rPr>
            </w:pPr>
          </w:p>
        </w:tc>
      </w:tr>
      <w:tr w:rsidR="006333A7" w:rsidRPr="00947344" w:rsidTr="00077D19">
        <w:tc>
          <w:tcPr>
            <w:tcW w:w="2084" w:type="dxa"/>
            <w:shd w:val="clear" w:color="auto" w:fill="D9D9D9"/>
          </w:tcPr>
          <w:p w:rsidR="006333A7" w:rsidRPr="00947344" w:rsidRDefault="006333A7" w:rsidP="00077D19">
            <w:pPr>
              <w:spacing w:before="100" w:after="100"/>
              <w:rPr>
                <w:sz w:val="22"/>
                <w:szCs w:val="22"/>
              </w:rPr>
            </w:pPr>
            <w:r w:rsidRPr="00947344">
              <w:rPr>
                <w:sz w:val="22"/>
                <w:szCs w:val="22"/>
              </w:rPr>
              <w:t>Business</w:t>
            </w:r>
          </w:p>
        </w:tc>
        <w:tc>
          <w:tcPr>
            <w:tcW w:w="2084" w:type="dxa"/>
            <w:shd w:val="clear" w:color="auto" w:fill="D9D9D9"/>
          </w:tcPr>
          <w:p w:rsidR="006333A7" w:rsidRPr="00947344" w:rsidRDefault="006333A7" w:rsidP="00077D19">
            <w:pPr>
              <w:spacing w:before="100" w:after="100"/>
              <w:rPr>
                <w:sz w:val="22"/>
                <w:szCs w:val="22"/>
              </w:rPr>
            </w:pPr>
            <w:r>
              <w:rPr>
                <w:sz w:val="22"/>
                <w:szCs w:val="22"/>
              </w:rPr>
              <w:t>0.754</w:t>
            </w:r>
          </w:p>
        </w:tc>
        <w:tc>
          <w:tcPr>
            <w:tcW w:w="2084" w:type="dxa"/>
            <w:shd w:val="clear" w:color="auto" w:fill="D9D9D9"/>
          </w:tcPr>
          <w:p w:rsidR="006333A7" w:rsidRPr="00947344" w:rsidRDefault="006333A7" w:rsidP="00077D19">
            <w:pPr>
              <w:spacing w:before="100" w:after="100"/>
              <w:rPr>
                <w:sz w:val="22"/>
                <w:szCs w:val="22"/>
              </w:rPr>
            </w:pPr>
            <w:r>
              <w:rPr>
                <w:sz w:val="22"/>
                <w:szCs w:val="22"/>
              </w:rPr>
              <w:t>0.473</w:t>
            </w:r>
          </w:p>
        </w:tc>
        <w:tc>
          <w:tcPr>
            <w:tcW w:w="2084" w:type="dxa"/>
            <w:shd w:val="clear" w:color="auto" w:fill="D9D9D9"/>
          </w:tcPr>
          <w:p w:rsidR="006333A7" w:rsidRPr="00947344" w:rsidRDefault="006333A7" w:rsidP="00077D19">
            <w:pPr>
              <w:spacing w:before="100" w:after="100"/>
              <w:rPr>
                <w:sz w:val="22"/>
                <w:szCs w:val="22"/>
              </w:rPr>
            </w:pPr>
            <w:r>
              <w:rPr>
                <w:sz w:val="22"/>
                <w:szCs w:val="22"/>
              </w:rPr>
              <w:t>0.473</w:t>
            </w:r>
          </w:p>
        </w:tc>
        <w:tc>
          <w:tcPr>
            <w:tcW w:w="2085" w:type="dxa"/>
            <w:shd w:val="clear" w:color="auto" w:fill="D9D9D9"/>
          </w:tcPr>
          <w:p w:rsidR="006333A7" w:rsidRPr="00947344" w:rsidRDefault="006333A7" w:rsidP="00077D19">
            <w:pPr>
              <w:spacing w:before="100" w:after="100"/>
              <w:rPr>
                <w:sz w:val="22"/>
                <w:szCs w:val="22"/>
              </w:rPr>
            </w:pPr>
            <w:r>
              <w:rPr>
                <w:sz w:val="22"/>
                <w:szCs w:val="22"/>
              </w:rPr>
              <w:t>0.473</w:t>
            </w:r>
          </w:p>
        </w:tc>
      </w:tr>
      <w:tr w:rsidR="006333A7" w:rsidRPr="00947344" w:rsidTr="00077D19">
        <w:tc>
          <w:tcPr>
            <w:tcW w:w="2084" w:type="dxa"/>
            <w:shd w:val="clear" w:color="auto" w:fill="auto"/>
          </w:tcPr>
          <w:p w:rsidR="006333A7" w:rsidRPr="00947344" w:rsidRDefault="006333A7" w:rsidP="00077D19">
            <w:pPr>
              <w:spacing w:before="100" w:after="100"/>
              <w:rPr>
                <w:sz w:val="22"/>
                <w:szCs w:val="22"/>
              </w:rPr>
            </w:pPr>
            <w:r w:rsidRPr="00947344">
              <w:rPr>
                <w:sz w:val="22"/>
                <w:szCs w:val="22"/>
              </w:rPr>
              <w:t>Regulators</w:t>
            </w:r>
          </w:p>
        </w:tc>
        <w:tc>
          <w:tcPr>
            <w:tcW w:w="2084" w:type="dxa"/>
            <w:shd w:val="clear" w:color="auto" w:fill="auto"/>
          </w:tcPr>
          <w:p w:rsidR="006333A7" w:rsidRPr="00947344" w:rsidRDefault="006333A7" w:rsidP="00077D19">
            <w:pPr>
              <w:spacing w:before="100" w:after="100"/>
              <w:rPr>
                <w:sz w:val="22"/>
                <w:szCs w:val="22"/>
              </w:rPr>
            </w:pPr>
            <w:r>
              <w:rPr>
                <w:sz w:val="22"/>
                <w:szCs w:val="22"/>
              </w:rPr>
              <w:t>0.743</w:t>
            </w:r>
          </w:p>
        </w:tc>
        <w:tc>
          <w:tcPr>
            <w:tcW w:w="2084" w:type="dxa"/>
            <w:shd w:val="clear" w:color="auto" w:fill="auto"/>
          </w:tcPr>
          <w:p w:rsidR="006333A7" w:rsidRPr="00947344" w:rsidRDefault="006333A7" w:rsidP="00077D19">
            <w:pPr>
              <w:spacing w:before="100" w:after="100"/>
              <w:rPr>
                <w:sz w:val="22"/>
                <w:szCs w:val="22"/>
              </w:rPr>
            </w:pPr>
            <w:r>
              <w:rPr>
                <w:sz w:val="22"/>
                <w:szCs w:val="22"/>
              </w:rPr>
              <w:t>0.465</w:t>
            </w:r>
          </w:p>
        </w:tc>
        <w:tc>
          <w:tcPr>
            <w:tcW w:w="2084" w:type="dxa"/>
            <w:shd w:val="clear" w:color="auto" w:fill="auto"/>
          </w:tcPr>
          <w:p w:rsidR="006333A7" w:rsidRPr="00947344" w:rsidRDefault="006333A7" w:rsidP="00077D19">
            <w:pPr>
              <w:spacing w:before="100" w:after="100"/>
              <w:rPr>
                <w:sz w:val="22"/>
                <w:szCs w:val="22"/>
              </w:rPr>
            </w:pPr>
            <w:r>
              <w:rPr>
                <w:sz w:val="22"/>
                <w:szCs w:val="22"/>
              </w:rPr>
              <w:t>0.465</w:t>
            </w:r>
          </w:p>
        </w:tc>
        <w:tc>
          <w:tcPr>
            <w:tcW w:w="2085" w:type="dxa"/>
            <w:shd w:val="clear" w:color="auto" w:fill="auto"/>
          </w:tcPr>
          <w:p w:rsidR="006333A7" w:rsidRPr="00947344" w:rsidRDefault="006333A7" w:rsidP="00077D19">
            <w:pPr>
              <w:spacing w:before="100" w:after="100"/>
              <w:rPr>
                <w:sz w:val="22"/>
                <w:szCs w:val="22"/>
              </w:rPr>
            </w:pPr>
            <w:r>
              <w:rPr>
                <w:sz w:val="22"/>
                <w:szCs w:val="22"/>
              </w:rPr>
              <w:t>0.465</w:t>
            </w:r>
          </w:p>
        </w:tc>
      </w:tr>
      <w:tr w:rsidR="006333A7" w:rsidRPr="00947344" w:rsidTr="00077D19">
        <w:tc>
          <w:tcPr>
            <w:tcW w:w="2084" w:type="dxa"/>
            <w:tcBorders>
              <w:bottom w:val="single" w:sz="4" w:space="0" w:color="auto"/>
            </w:tcBorders>
            <w:shd w:val="clear" w:color="auto" w:fill="auto"/>
          </w:tcPr>
          <w:p w:rsidR="006333A7" w:rsidRPr="00947344" w:rsidRDefault="006333A7" w:rsidP="00077D19">
            <w:pPr>
              <w:spacing w:before="100" w:after="100"/>
              <w:rPr>
                <w:b/>
                <w:i/>
                <w:sz w:val="22"/>
                <w:szCs w:val="22"/>
              </w:rPr>
            </w:pPr>
            <w:r w:rsidRPr="00947344">
              <w:rPr>
                <w:b/>
                <w:i/>
                <w:sz w:val="22"/>
                <w:szCs w:val="22"/>
              </w:rPr>
              <w:t>Best estimate</w:t>
            </w: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5" w:type="dxa"/>
            <w:tcBorders>
              <w:bottom w:val="single" w:sz="4" w:space="0" w:color="auto"/>
            </w:tcBorders>
            <w:shd w:val="clear" w:color="auto" w:fill="auto"/>
          </w:tcPr>
          <w:p w:rsidR="006333A7" w:rsidRPr="00947344" w:rsidRDefault="006333A7" w:rsidP="00077D19">
            <w:pPr>
              <w:spacing w:before="100" w:after="100"/>
              <w:rPr>
                <w:sz w:val="22"/>
                <w:szCs w:val="22"/>
              </w:rPr>
            </w:pPr>
          </w:p>
        </w:tc>
      </w:tr>
      <w:tr w:rsidR="006333A7" w:rsidRPr="00947344" w:rsidTr="00077D19">
        <w:tc>
          <w:tcPr>
            <w:tcW w:w="2084" w:type="dxa"/>
            <w:shd w:val="clear" w:color="auto" w:fill="D9D9D9"/>
          </w:tcPr>
          <w:p w:rsidR="006333A7" w:rsidRPr="00947344" w:rsidRDefault="006333A7" w:rsidP="00077D19">
            <w:pPr>
              <w:spacing w:before="100" w:after="100"/>
              <w:rPr>
                <w:sz w:val="22"/>
                <w:szCs w:val="22"/>
              </w:rPr>
            </w:pPr>
            <w:r w:rsidRPr="00947344">
              <w:rPr>
                <w:sz w:val="22"/>
                <w:szCs w:val="22"/>
              </w:rPr>
              <w:t>Business</w:t>
            </w:r>
          </w:p>
        </w:tc>
        <w:tc>
          <w:tcPr>
            <w:tcW w:w="2084" w:type="dxa"/>
            <w:shd w:val="clear" w:color="auto" w:fill="D9D9D9"/>
          </w:tcPr>
          <w:p w:rsidR="006333A7" w:rsidRPr="00947344" w:rsidRDefault="006333A7" w:rsidP="00077D19">
            <w:pPr>
              <w:spacing w:before="100" w:after="100"/>
              <w:rPr>
                <w:sz w:val="22"/>
                <w:szCs w:val="22"/>
              </w:rPr>
            </w:pPr>
            <w:r>
              <w:rPr>
                <w:sz w:val="22"/>
                <w:szCs w:val="22"/>
              </w:rPr>
              <w:t>1.000</w:t>
            </w:r>
          </w:p>
        </w:tc>
        <w:tc>
          <w:tcPr>
            <w:tcW w:w="2084" w:type="dxa"/>
            <w:shd w:val="clear" w:color="auto" w:fill="D9D9D9"/>
          </w:tcPr>
          <w:p w:rsidR="006333A7" w:rsidRPr="00947344" w:rsidRDefault="006333A7" w:rsidP="00077D19">
            <w:pPr>
              <w:spacing w:before="100" w:after="100"/>
              <w:rPr>
                <w:sz w:val="22"/>
                <w:szCs w:val="22"/>
              </w:rPr>
            </w:pPr>
            <w:r>
              <w:rPr>
                <w:sz w:val="22"/>
                <w:szCs w:val="22"/>
              </w:rPr>
              <w:t>0.636</w:t>
            </w:r>
          </w:p>
        </w:tc>
        <w:tc>
          <w:tcPr>
            <w:tcW w:w="2084" w:type="dxa"/>
            <w:shd w:val="clear" w:color="auto" w:fill="D9D9D9"/>
          </w:tcPr>
          <w:p w:rsidR="006333A7" w:rsidRPr="00947344" w:rsidRDefault="006333A7" w:rsidP="00077D19">
            <w:pPr>
              <w:spacing w:before="100" w:after="100"/>
              <w:rPr>
                <w:sz w:val="22"/>
                <w:szCs w:val="22"/>
              </w:rPr>
            </w:pPr>
            <w:r>
              <w:rPr>
                <w:sz w:val="22"/>
                <w:szCs w:val="22"/>
              </w:rPr>
              <w:t>0.599</w:t>
            </w:r>
          </w:p>
        </w:tc>
        <w:tc>
          <w:tcPr>
            <w:tcW w:w="2085" w:type="dxa"/>
            <w:shd w:val="clear" w:color="auto" w:fill="D9D9D9"/>
          </w:tcPr>
          <w:p w:rsidR="006333A7" w:rsidRPr="00947344" w:rsidRDefault="006333A7" w:rsidP="00077D19">
            <w:pPr>
              <w:spacing w:before="100" w:after="100"/>
              <w:rPr>
                <w:sz w:val="22"/>
                <w:szCs w:val="22"/>
              </w:rPr>
            </w:pPr>
            <w:r>
              <w:rPr>
                <w:sz w:val="22"/>
                <w:szCs w:val="22"/>
              </w:rPr>
              <w:t>0.562</w:t>
            </w:r>
          </w:p>
        </w:tc>
      </w:tr>
      <w:tr w:rsidR="006333A7" w:rsidRPr="00947344" w:rsidTr="00077D19">
        <w:tc>
          <w:tcPr>
            <w:tcW w:w="2084" w:type="dxa"/>
            <w:shd w:val="clear" w:color="auto" w:fill="auto"/>
          </w:tcPr>
          <w:p w:rsidR="006333A7" w:rsidRPr="00947344" w:rsidRDefault="006333A7" w:rsidP="00077D19">
            <w:pPr>
              <w:spacing w:before="100" w:after="100"/>
              <w:rPr>
                <w:sz w:val="22"/>
                <w:szCs w:val="22"/>
              </w:rPr>
            </w:pPr>
            <w:r w:rsidRPr="00947344">
              <w:rPr>
                <w:sz w:val="22"/>
                <w:szCs w:val="22"/>
              </w:rPr>
              <w:t>Regulators</w:t>
            </w:r>
          </w:p>
        </w:tc>
        <w:tc>
          <w:tcPr>
            <w:tcW w:w="2084" w:type="dxa"/>
            <w:shd w:val="clear" w:color="auto" w:fill="auto"/>
          </w:tcPr>
          <w:p w:rsidR="006333A7" w:rsidRPr="00947344" w:rsidRDefault="006333A7" w:rsidP="00077D19">
            <w:pPr>
              <w:spacing w:before="100" w:after="100"/>
              <w:rPr>
                <w:sz w:val="22"/>
                <w:szCs w:val="22"/>
              </w:rPr>
            </w:pPr>
            <w:r>
              <w:rPr>
                <w:sz w:val="22"/>
                <w:szCs w:val="22"/>
              </w:rPr>
              <w:t>0.985</w:t>
            </w:r>
          </w:p>
        </w:tc>
        <w:tc>
          <w:tcPr>
            <w:tcW w:w="2084" w:type="dxa"/>
            <w:shd w:val="clear" w:color="auto" w:fill="auto"/>
          </w:tcPr>
          <w:p w:rsidR="006333A7" w:rsidRPr="00947344" w:rsidRDefault="006333A7" w:rsidP="00077D19">
            <w:pPr>
              <w:spacing w:before="100" w:after="100"/>
              <w:rPr>
                <w:sz w:val="22"/>
                <w:szCs w:val="22"/>
              </w:rPr>
            </w:pPr>
            <w:r>
              <w:rPr>
                <w:sz w:val="22"/>
                <w:szCs w:val="22"/>
              </w:rPr>
              <w:t>0.626</w:t>
            </w:r>
          </w:p>
        </w:tc>
        <w:tc>
          <w:tcPr>
            <w:tcW w:w="2084" w:type="dxa"/>
            <w:shd w:val="clear" w:color="auto" w:fill="auto"/>
          </w:tcPr>
          <w:p w:rsidR="006333A7" w:rsidRPr="00947344" w:rsidRDefault="006333A7" w:rsidP="00077D19">
            <w:pPr>
              <w:spacing w:before="100" w:after="100"/>
              <w:rPr>
                <w:sz w:val="22"/>
                <w:szCs w:val="22"/>
              </w:rPr>
            </w:pPr>
            <w:r>
              <w:rPr>
                <w:sz w:val="22"/>
                <w:szCs w:val="22"/>
              </w:rPr>
              <w:t>0.589</w:t>
            </w:r>
          </w:p>
        </w:tc>
        <w:tc>
          <w:tcPr>
            <w:tcW w:w="2085" w:type="dxa"/>
            <w:shd w:val="clear" w:color="auto" w:fill="auto"/>
          </w:tcPr>
          <w:p w:rsidR="006333A7" w:rsidRPr="00947344" w:rsidRDefault="006333A7" w:rsidP="00077D19">
            <w:pPr>
              <w:spacing w:before="100" w:after="100"/>
              <w:rPr>
                <w:sz w:val="22"/>
                <w:szCs w:val="22"/>
              </w:rPr>
            </w:pPr>
            <w:r>
              <w:rPr>
                <w:sz w:val="22"/>
                <w:szCs w:val="22"/>
              </w:rPr>
              <w:t>0.553</w:t>
            </w:r>
          </w:p>
        </w:tc>
      </w:tr>
      <w:tr w:rsidR="006333A7" w:rsidRPr="00947344" w:rsidTr="00077D19">
        <w:tc>
          <w:tcPr>
            <w:tcW w:w="2084" w:type="dxa"/>
            <w:tcBorders>
              <w:bottom w:val="single" w:sz="4" w:space="0" w:color="auto"/>
            </w:tcBorders>
            <w:shd w:val="clear" w:color="auto" w:fill="auto"/>
          </w:tcPr>
          <w:p w:rsidR="006333A7" w:rsidRPr="00947344" w:rsidRDefault="006333A7" w:rsidP="00077D19">
            <w:pPr>
              <w:spacing w:before="100" w:after="100"/>
              <w:rPr>
                <w:b/>
                <w:i/>
                <w:sz w:val="22"/>
                <w:szCs w:val="22"/>
              </w:rPr>
            </w:pPr>
            <w:r w:rsidRPr="00947344">
              <w:rPr>
                <w:b/>
                <w:i/>
                <w:sz w:val="22"/>
                <w:szCs w:val="22"/>
              </w:rPr>
              <w:t>High estimate</w:t>
            </w: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4" w:type="dxa"/>
            <w:tcBorders>
              <w:bottom w:val="single" w:sz="4" w:space="0" w:color="auto"/>
            </w:tcBorders>
            <w:shd w:val="clear" w:color="auto" w:fill="auto"/>
          </w:tcPr>
          <w:p w:rsidR="006333A7" w:rsidRPr="00947344" w:rsidRDefault="006333A7" w:rsidP="00077D19">
            <w:pPr>
              <w:spacing w:before="100" w:after="100"/>
              <w:rPr>
                <w:sz w:val="22"/>
                <w:szCs w:val="22"/>
              </w:rPr>
            </w:pPr>
          </w:p>
        </w:tc>
        <w:tc>
          <w:tcPr>
            <w:tcW w:w="2085" w:type="dxa"/>
            <w:tcBorders>
              <w:bottom w:val="single" w:sz="4" w:space="0" w:color="auto"/>
            </w:tcBorders>
            <w:shd w:val="clear" w:color="auto" w:fill="auto"/>
          </w:tcPr>
          <w:p w:rsidR="006333A7" w:rsidRPr="00947344" w:rsidRDefault="006333A7" w:rsidP="00077D19">
            <w:pPr>
              <w:spacing w:before="100" w:after="100"/>
              <w:rPr>
                <w:sz w:val="22"/>
                <w:szCs w:val="22"/>
              </w:rPr>
            </w:pPr>
          </w:p>
        </w:tc>
      </w:tr>
      <w:tr w:rsidR="006333A7" w:rsidRPr="00947344" w:rsidTr="00077D19">
        <w:tc>
          <w:tcPr>
            <w:tcW w:w="2084" w:type="dxa"/>
            <w:shd w:val="clear" w:color="auto" w:fill="D9D9D9"/>
          </w:tcPr>
          <w:p w:rsidR="006333A7" w:rsidRPr="00947344" w:rsidRDefault="006333A7" w:rsidP="00077D19">
            <w:pPr>
              <w:spacing w:before="100" w:after="100"/>
              <w:rPr>
                <w:sz w:val="22"/>
                <w:szCs w:val="22"/>
              </w:rPr>
            </w:pPr>
            <w:r w:rsidRPr="00947344">
              <w:rPr>
                <w:sz w:val="22"/>
                <w:szCs w:val="22"/>
              </w:rPr>
              <w:t>Business</w:t>
            </w:r>
          </w:p>
        </w:tc>
        <w:tc>
          <w:tcPr>
            <w:tcW w:w="2084" w:type="dxa"/>
            <w:shd w:val="clear" w:color="auto" w:fill="D9D9D9"/>
          </w:tcPr>
          <w:p w:rsidR="006333A7" w:rsidRPr="00947344" w:rsidRDefault="006333A7" w:rsidP="00077D19">
            <w:pPr>
              <w:spacing w:before="100" w:after="100"/>
              <w:rPr>
                <w:sz w:val="22"/>
                <w:szCs w:val="22"/>
              </w:rPr>
            </w:pPr>
            <w:r>
              <w:rPr>
                <w:sz w:val="22"/>
                <w:szCs w:val="22"/>
              </w:rPr>
              <w:t>1.781</w:t>
            </w:r>
          </w:p>
        </w:tc>
        <w:tc>
          <w:tcPr>
            <w:tcW w:w="2084" w:type="dxa"/>
            <w:shd w:val="clear" w:color="auto" w:fill="D9D9D9"/>
          </w:tcPr>
          <w:p w:rsidR="006333A7" w:rsidRPr="00947344" w:rsidRDefault="006333A7" w:rsidP="00077D19">
            <w:pPr>
              <w:spacing w:before="100" w:after="100"/>
              <w:rPr>
                <w:sz w:val="22"/>
                <w:szCs w:val="22"/>
              </w:rPr>
            </w:pPr>
            <w:r>
              <w:rPr>
                <w:sz w:val="22"/>
                <w:szCs w:val="22"/>
              </w:rPr>
              <w:t>1.327</w:t>
            </w:r>
          </w:p>
        </w:tc>
        <w:tc>
          <w:tcPr>
            <w:tcW w:w="2084" w:type="dxa"/>
            <w:shd w:val="clear" w:color="auto" w:fill="D9D9D9"/>
          </w:tcPr>
          <w:p w:rsidR="006333A7" w:rsidRPr="00947344" w:rsidRDefault="006333A7" w:rsidP="00077D19">
            <w:pPr>
              <w:spacing w:before="100" w:after="100"/>
              <w:rPr>
                <w:sz w:val="22"/>
                <w:szCs w:val="22"/>
              </w:rPr>
            </w:pPr>
            <w:r>
              <w:rPr>
                <w:sz w:val="22"/>
                <w:szCs w:val="22"/>
              </w:rPr>
              <w:t>1.250</w:t>
            </w:r>
          </w:p>
        </w:tc>
        <w:tc>
          <w:tcPr>
            <w:tcW w:w="2085" w:type="dxa"/>
            <w:shd w:val="clear" w:color="auto" w:fill="D9D9D9"/>
          </w:tcPr>
          <w:p w:rsidR="006333A7" w:rsidRPr="00947344" w:rsidRDefault="006333A7" w:rsidP="00077D19">
            <w:pPr>
              <w:spacing w:before="100" w:after="100"/>
              <w:rPr>
                <w:sz w:val="22"/>
                <w:szCs w:val="22"/>
              </w:rPr>
            </w:pPr>
            <w:r>
              <w:rPr>
                <w:sz w:val="22"/>
                <w:szCs w:val="22"/>
              </w:rPr>
              <w:t>1.173</w:t>
            </w:r>
          </w:p>
        </w:tc>
      </w:tr>
      <w:tr w:rsidR="006333A7" w:rsidRPr="00947344" w:rsidTr="00077D19">
        <w:tc>
          <w:tcPr>
            <w:tcW w:w="2084" w:type="dxa"/>
            <w:shd w:val="clear" w:color="auto" w:fill="auto"/>
          </w:tcPr>
          <w:p w:rsidR="006333A7" w:rsidRPr="00947344" w:rsidRDefault="006333A7" w:rsidP="00077D19">
            <w:pPr>
              <w:spacing w:before="100" w:after="100"/>
              <w:rPr>
                <w:sz w:val="22"/>
                <w:szCs w:val="22"/>
              </w:rPr>
            </w:pPr>
            <w:r w:rsidRPr="00947344">
              <w:rPr>
                <w:sz w:val="22"/>
                <w:szCs w:val="22"/>
              </w:rPr>
              <w:t>Regulators</w:t>
            </w:r>
          </w:p>
        </w:tc>
        <w:tc>
          <w:tcPr>
            <w:tcW w:w="2084" w:type="dxa"/>
            <w:shd w:val="clear" w:color="auto" w:fill="auto"/>
          </w:tcPr>
          <w:p w:rsidR="006333A7" w:rsidRPr="00947344" w:rsidRDefault="006333A7" w:rsidP="00077D19">
            <w:pPr>
              <w:spacing w:before="100" w:after="100"/>
              <w:rPr>
                <w:sz w:val="22"/>
                <w:szCs w:val="22"/>
              </w:rPr>
            </w:pPr>
            <w:r>
              <w:rPr>
                <w:sz w:val="22"/>
                <w:szCs w:val="22"/>
              </w:rPr>
              <w:t>0.763</w:t>
            </w:r>
          </w:p>
        </w:tc>
        <w:tc>
          <w:tcPr>
            <w:tcW w:w="2084" w:type="dxa"/>
            <w:shd w:val="clear" w:color="auto" w:fill="auto"/>
          </w:tcPr>
          <w:p w:rsidR="006333A7" w:rsidRPr="00947344" w:rsidRDefault="006333A7" w:rsidP="00077D19">
            <w:pPr>
              <w:spacing w:before="100" w:after="100"/>
              <w:rPr>
                <w:sz w:val="22"/>
                <w:szCs w:val="22"/>
              </w:rPr>
            </w:pPr>
            <w:r>
              <w:rPr>
                <w:sz w:val="22"/>
                <w:szCs w:val="22"/>
              </w:rPr>
              <w:t>0.569</w:t>
            </w:r>
          </w:p>
        </w:tc>
        <w:tc>
          <w:tcPr>
            <w:tcW w:w="2084" w:type="dxa"/>
            <w:shd w:val="clear" w:color="auto" w:fill="auto"/>
          </w:tcPr>
          <w:p w:rsidR="006333A7" w:rsidRPr="00947344" w:rsidRDefault="006333A7" w:rsidP="00077D19">
            <w:pPr>
              <w:spacing w:before="100" w:after="100"/>
              <w:rPr>
                <w:sz w:val="22"/>
                <w:szCs w:val="22"/>
              </w:rPr>
            </w:pPr>
            <w:r>
              <w:rPr>
                <w:sz w:val="22"/>
                <w:szCs w:val="22"/>
              </w:rPr>
              <w:t>0.536</w:t>
            </w:r>
          </w:p>
        </w:tc>
        <w:tc>
          <w:tcPr>
            <w:tcW w:w="2085" w:type="dxa"/>
            <w:shd w:val="clear" w:color="auto" w:fill="auto"/>
          </w:tcPr>
          <w:p w:rsidR="006333A7" w:rsidRPr="00947344" w:rsidRDefault="006333A7" w:rsidP="00077D19">
            <w:pPr>
              <w:spacing w:before="100" w:after="100"/>
              <w:rPr>
                <w:sz w:val="22"/>
                <w:szCs w:val="22"/>
              </w:rPr>
            </w:pPr>
            <w:r>
              <w:rPr>
                <w:sz w:val="22"/>
                <w:szCs w:val="22"/>
              </w:rPr>
              <w:t>0.503</w:t>
            </w:r>
          </w:p>
        </w:tc>
      </w:tr>
    </w:tbl>
    <w:p w:rsidR="006333A7" w:rsidRDefault="006333A7" w:rsidP="006333A7">
      <w:pPr>
        <w:spacing w:before="100" w:after="100"/>
        <w:rPr>
          <w:sz w:val="22"/>
          <w:szCs w:val="22"/>
        </w:rPr>
      </w:pPr>
      <w:r>
        <w:rPr>
          <w:sz w:val="22"/>
          <w:szCs w:val="22"/>
        </w:rPr>
        <w:t xml:space="preserve">Note: Shaded cells indicate direct business impacts to be included in Business NPV and EANDCB calculations. * </w:t>
      </w:r>
      <w:proofErr w:type="gramStart"/>
      <w:r>
        <w:rPr>
          <w:sz w:val="22"/>
          <w:szCs w:val="22"/>
        </w:rPr>
        <w:t>familiarisation</w:t>
      </w:r>
      <w:proofErr w:type="gramEnd"/>
      <w:r>
        <w:rPr>
          <w:sz w:val="22"/>
          <w:szCs w:val="22"/>
        </w:rPr>
        <w:t xml:space="preserve"> costs to business and regulators are included in Year 1.</w:t>
      </w:r>
    </w:p>
    <w:p w:rsidR="006333A7" w:rsidRPr="00E70930" w:rsidRDefault="006333A7" w:rsidP="006333A7">
      <w:pPr>
        <w:spacing w:before="100" w:after="100"/>
        <w:rPr>
          <w:sz w:val="22"/>
          <w:szCs w:val="22"/>
        </w:rPr>
      </w:pPr>
    </w:p>
    <w:p w:rsidR="006333A7" w:rsidRDefault="006333A7" w:rsidP="006333A7">
      <w:pPr>
        <w:numPr>
          <w:ilvl w:val="0"/>
          <w:numId w:val="22"/>
        </w:numPr>
        <w:spacing w:after="240"/>
        <w:ind w:left="357" w:hanging="357"/>
        <w:rPr>
          <w:sz w:val="22"/>
          <w:szCs w:val="22"/>
        </w:rPr>
      </w:pPr>
      <w:r>
        <w:rPr>
          <w:sz w:val="22"/>
          <w:szCs w:val="22"/>
        </w:rPr>
        <w:t>The provisions in the SBEE Act 2015 (as amended by the Enterprise Act 2016) will require both statutory and non-statutory regulators to report all of their QRPs and NQRPs from the start of the current Parliament. Non-statutory regulators will have to report against the BIT for the first time in June 2016 while statutory regulators will not have to produce their required documents until June 2017. However, all regulators (and particularly non-statutory regulators) have been incurring some costs of the new arrangements since 2015. For the purposes of this assessment therefore, we have taken the most appropriate start date for the appraisal and calculating the EANDCB to be 2015.</w:t>
      </w:r>
      <w:r>
        <w:rPr>
          <w:rStyle w:val="FootnoteReference"/>
          <w:szCs w:val="22"/>
        </w:rPr>
        <w:footnoteReference w:id="25"/>
      </w:r>
      <w:r>
        <w:rPr>
          <w:sz w:val="22"/>
          <w:szCs w:val="22"/>
        </w:rPr>
        <w:t xml:space="preserve"> </w:t>
      </w:r>
    </w:p>
    <w:p w:rsidR="006333A7" w:rsidRPr="00D4341E" w:rsidRDefault="006333A7" w:rsidP="006333A7">
      <w:pPr>
        <w:numPr>
          <w:ilvl w:val="0"/>
          <w:numId w:val="22"/>
        </w:numPr>
        <w:spacing w:after="240"/>
        <w:ind w:left="357" w:hanging="357"/>
        <w:rPr>
          <w:sz w:val="22"/>
          <w:szCs w:val="22"/>
        </w:rPr>
      </w:pPr>
      <w:r>
        <w:rPr>
          <w:sz w:val="22"/>
          <w:szCs w:val="22"/>
        </w:rPr>
        <w:t>The NPV and the Business NPV (both measured in 2016 prices and a present value base of 2015) are estimated to be -£10.67M and -£5.38M under the best estimate.</w:t>
      </w:r>
    </w:p>
    <w:p w:rsidR="006333A7" w:rsidRPr="00011922" w:rsidRDefault="006333A7" w:rsidP="006333A7">
      <w:pPr>
        <w:numPr>
          <w:ilvl w:val="0"/>
          <w:numId w:val="22"/>
        </w:numPr>
        <w:spacing w:after="240"/>
        <w:ind w:left="357" w:hanging="357"/>
        <w:rPr>
          <w:sz w:val="22"/>
          <w:szCs w:val="22"/>
        </w:rPr>
      </w:pPr>
      <w:r w:rsidRPr="00E70930">
        <w:rPr>
          <w:rFonts w:cs="Arial"/>
          <w:color w:val="000000"/>
          <w:sz w:val="22"/>
          <w:szCs w:val="22"/>
          <w:lang w:eastAsia="en-GB"/>
        </w:rPr>
        <w:t>The EAN</w:t>
      </w:r>
      <w:r>
        <w:rPr>
          <w:rFonts w:cs="Arial"/>
          <w:color w:val="000000"/>
          <w:sz w:val="22"/>
          <w:szCs w:val="22"/>
          <w:lang w:eastAsia="en-GB"/>
        </w:rPr>
        <w:t>D</w:t>
      </w:r>
      <w:r w:rsidRPr="00E70930">
        <w:rPr>
          <w:rFonts w:cs="Arial"/>
          <w:color w:val="000000"/>
          <w:sz w:val="22"/>
          <w:szCs w:val="22"/>
          <w:lang w:eastAsia="en-GB"/>
        </w:rPr>
        <w:t xml:space="preserve">CB (measured in 2014 prices and discounted to </w:t>
      </w:r>
      <w:r>
        <w:rPr>
          <w:rFonts w:cs="Arial"/>
          <w:color w:val="000000"/>
          <w:sz w:val="22"/>
          <w:szCs w:val="22"/>
          <w:lang w:eastAsia="en-GB"/>
        </w:rPr>
        <w:t xml:space="preserve">a </w:t>
      </w:r>
      <w:r w:rsidRPr="00E70930">
        <w:rPr>
          <w:rFonts w:cs="Arial"/>
          <w:color w:val="000000"/>
          <w:sz w:val="22"/>
          <w:szCs w:val="22"/>
          <w:lang w:eastAsia="en-GB"/>
        </w:rPr>
        <w:t>2015</w:t>
      </w:r>
      <w:r>
        <w:rPr>
          <w:rFonts w:cs="Arial"/>
          <w:color w:val="000000"/>
          <w:sz w:val="22"/>
          <w:szCs w:val="22"/>
          <w:lang w:eastAsia="en-GB"/>
        </w:rPr>
        <w:t xml:space="preserve"> base</w:t>
      </w:r>
      <w:r w:rsidRPr="00E70930">
        <w:rPr>
          <w:rFonts w:cs="Arial"/>
          <w:color w:val="000000"/>
          <w:sz w:val="22"/>
          <w:szCs w:val="22"/>
          <w:lang w:eastAsia="en-GB"/>
        </w:rPr>
        <w:t xml:space="preserve">) </w:t>
      </w:r>
      <w:r>
        <w:rPr>
          <w:rFonts w:cs="Arial"/>
          <w:color w:val="000000"/>
          <w:sz w:val="22"/>
          <w:szCs w:val="22"/>
          <w:lang w:eastAsia="en-GB"/>
        </w:rPr>
        <w:t xml:space="preserve">and rounded to the nearest £100K is estimated to be </w:t>
      </w:r>
      <w:r>
        <w:rPr>
          <w:rFonts w:cs="Arial"/>
          <w:b/>
          <w:color w:val="000000"/>
          <w:sz w:val="22"/>
          <w:szCs w:val="22"/>
          <w:lang w:eastAsia="en-GB"/>
        </w:rPr>
        <w:t>£0.6</w:t>
      </w:r>
      <w:r w:rsidRPr="00011922">
        <w:rPr>
          <w:rFonts w:cs="Arial"/>
          <w:b/>
          <w:color w:val="000000"/>
          <w:sz w:val="22"/>
          <w:szCs w:val="22"/>
          <w:lang w:eastAsia="en-GB"/>
        </w:rPr>
        <w:t>M</w:t>
      </w:r>
      <w:r w:rsidRPr="00E70930">
        <w:rPr>
          <w:rFonts w:cs="Arial"/>
          <w:b/>
          <w:color w:val="000000"/>
          <w:sz w:val="22"/>
          <w:szCs w:val="22"/>
          <w:lang w:eastAsia="en-GB"/>
        </w:rPr>
        <w:t>.</w:t>
      </w:r>
      <w:r>
        <w:rPr>
          <w:rStyle w:val="FootnoteReference"/>
          <w:rFonts w:cs="Arial"/>
          <w:b/>
          <w:color w:val="000000"/>
          <w:szCs w:val="22"/>
          <w:lang w:eastAsia="en-GB"/>
        </w:rPr>
        <w:footnoteReference w:id="26"/>
      </w:r>
      <w:r w:rsidRPr="00E70930">
        <w:rPr>
          <w:rFonts w:cs="Arial"/>
          <w:b/>
          <w:color w:val="000000"/>
          <w:sz w:val="22"/>
          <w:szCs w:val="22"/>
          <w:lang w:eastAsia="en-GB"/>
        </w:rPr>
        <w:t xml:space="preserve"> </w:t>
      </w:r>
      <w:r>
        <w:rPr>
          <w:rFonts w:cs="Arial"/>
          <w:color w:val="000000"/>
          <w:sz w:val="22"/>
          <w:szCs w:val="22"/>
          <w:lang w:eastAsia="en-GB"/>
        </w:rPr>
        <w:t xml:space="preserve">The contribution to the BIT is then calculated as </w:t>
      </w:r>
      <w:r w:rsidRPr="00C75691">
        <w:rPr>
          <w:rFonts w:cs="Arial"/>
          <w:b/>
          <w:color w:val="000000"/>
          <w:sz w:val="22"/>
          <w:szCs w:val="22"/>
          <w:lang w:eastAsia="en-GB"/>
        </w:rPr>
        <w:t>£3.0M</w:t>
      </w:r>
      <w:r>
        <w:rPr>
          <w:rFonts w:cs="Arial"/>
          <w:color w:val="000000"/>
          <w:sz w:val="22"/>
          <w:szCs w:val="22"/>
          <w:lang w:eastAsia="en-GB"/>
        </w:rPr>
        <w:t xml:space="preserve"> </w:t>
      </w:r>
      <w:r w:rsidRPr="00406189">
        <w:rPr>
          <w:rFonts w:cs="Arial"/>
          <w:b/>
          <w:color w:val="000000"/>
          <w:sz w:val="22"/>
          <w:szCs w:val="22"/>
          <w:lang w:eastAsia="en-GB"/>
        </w:rPr>
        <w:t>(Net Burden, IN)</w:t>
      </w:r>
      <w:r>
        <w:rPr>
          <w:rFonts w:cs="Arial"/>
          <w:color w:val="000000"/>
          <w:sz w:val="22"/>
          <w:szCs w:val="22"/>
          <w:lang w:eastAsia="en-GB"/>
        </w:rPr>
        <w:t>.</w:t>
      </w:r>
    </w:p>
    <w:p w:rsidR="006333A7" w:rsidRPr="00AF2312" w:rsidRDefault="006333A7" w:rsidP="006333A7">
      <w:pPr>
        <w:rPr>
          <w:rFonts w:cs="Arial"/>
          <w:sz w:val="22"/>
          <w:szCs w:val="22"/>
        </w:rPr>
      </w:pPr>
    </w:p>
    <w:p w:rsidR="006333A7" w:rsidRPr="00AF2312" w:rsidRDefault="006333A7" w:rsidP="006333A7">
      <w:pPr>
        <w:pStyle w:val="EBBodyPara"/>
        <w:keepNext/>
        <w:rPr>
          <w:b/>
        </w:rPr>
      </w:pPr>
      <w:r>
        <w:br w:type="page"/>
      </w:r>
      <w:r w:rsidRPr="00AF2312">
        <w:rPr>
          <w:b/>
        </w:rPr>
        <w:t>Annex – Consultation Questionnaire</w:t>
      </w:r>
    </w:p>
    <w:p w:rsidR="006333A7" w:rsidRPr="00AF2312" w:rsidRDefault="006333A7" w:rsidP="006333A7">
      <w:pPr>
        <w:pStyle w:val="EBBodyPara"/>
        <w:keepNext/>
      </w:pPr>
    </w:p>
    <w:p w:rsidR="006333A7" w:rsidRPr="00AF2312" w:rsidRDefault="006333A7" w:rsidP="006333A7">
      <w:pPr>
        <w:pStyle w:val="EBBodyPara"/>
        <w:keepNext/>
        <w:rPr>
          <w:b/>
        </w:rPr>
      </w:pPr>
      <w:r w:rsidRPr="00AF2312">
        <w:rPr>
          <w:b/>
        </w:rPr>
        <w:t>Question 1</w:t>
      </w:r>
    </w:p>
    <w:p w:rsidR="006333A7" w:rsidRPr="00C3676C" w:rsidRDefault="006333A7" w:rsidP="006333A7">
      <w:pPr>
        <w:pStyle w:val="EBBodyPara"/>
        <w:keepNext/>
        <w:rPr>
          <w:rStyle w:val="response-question-title-text2"/>
          <w:bCs w:val="0"/>
          <w:color w:val="auto"/>
          <w:lang w:val="en"/>
        </w:rPr>
      </w:pPr>
      <w:r w:rsidRPr="00C3676C">
        <w:rPr>
          <w:rStyle w:val="response-question-title-text2"/>
          <w:bCs w:val="0"/>
          <w:color w:val="auto"/>
          <w:lang w:val="en"/>
        </w:rPr>
        <w:t xml:space="preserve">The Government will shortly publish its determination of the regulatory activities to which the business impact target will apply. Given this determination, how many BIT assessments do you estimate that your </w:t>
      </w:r>
      <w:proofErr w:type="spellStart"/>
      <w:r w:rsidRPr="00C3676C">
        <w:rPr>
          <w:rStyle w:val="response-question-title-text2"/>
          <w:bCs w:val="0"/>
          <w:color w:val="auto"/>
          <w:lang w:val="en"/>
        </w:rPr>
        <w:t>organisation</w:t>
      </w:r>
      <w:proofErr w:type="spellEnd"/>
      <w:r w:rsidRPr="00C3676C">
        <w:rPr>
          <w:rStyle w:val="response-question-title-text2"/>
          <w:bCs w:val="0"/>
          <w:color w:val="auto"/>
          <w:lang w:val="en"/>
        </w:rPr>
        <w:t xml:space="preserve"> would be required to produce for the year May 2015- May 2016 as a result of the extension of the target to regulators?</w:t>
      </w:r>
    </w:p>
    <w:p w:rsidR="006333A7" w:rsidRPr="00C3676C" w:rsidRDefault="006333A7" w:rsidP="006333A7">
      <w:pPr>
        <w:pStyle w:val="EBBodyPara"/>
        <w:keepNext/>
        <w:rPr>
          <w:rStyle w:val="response-question-title-text2"/>
          <w:b/>
          <w:bCs w:val="0"/>
          <w:color w:val="auto"/>
          <w:lang w:val="en"/>
        </w:rPr>
      </w:pPr>
    </w:p>
    <w:p w:rsidR="006333A7" w:rsidRPr="00C3676C" w:rsidRDefault="006333A7" w:rsidP="006333A7">
      <w:pPr>
        <w:pStyle w:val="EBBodyPara"/>
        <w:keepNext/>
        <w:rPr>
          <w:rStyle w:val="response-question-title-text2"/>
          <w:b/>
          <w:bCs w:val="0"/>
          <w:color w:val="auto"/>
          <w:lang w:val="en"/>
        </w:rPr>
      </w:pPr>
      <w:r w:rsidRPr="00C3676C">
        <w:rPr>
          <w:rStyle w:val="response-question-title-text2"/>
          <w:b/>
          <w:bCs w:val="0"/>
          <w:color w:val="auto"/>
          <w:lang w:val="en"/>
        </w:rPr>
        <w:t>Question 2</w:t>
      </w:r>
    </w:p>
    <w:p w:rsidR="006333A7" w:rsidRPr="00C3676C" w:rsidRDefault="006333A7" w:rsidP="006333A7">
      <w:pPr>
        <w:pStyle w:val="EBBodyPara"/>
        <w:keepNext/>
        <w:rPr>
          <w:rStyle w:val="response-question-title-text2"/>
          <w:bCs w:val="0"/>
          <w:color w:val="auto"/>
          <w:lang w:val="en"/>
        </w:rPr>
      </w:pPr>
      <w:r w:rsidRPr="00C3676C">
        <w:rPr>
          <w:rStyle w:val="response-question-title-text2"/>
          <w:bCs w:val="0"/>
          <w:color w:val="auto"/>
          <w:lang w:val="en"/>
        </w:rPr>
        <w:t>Do you expect any substantial change in this figure for subsequent years?</w:t>
      </w:r>
    </w:p>
    <w:p w:rsidR="006333A7" w:rsidRPr="00C3676C" w:rsidRDefault="006333A7" w:rsidP="006333A7">
      <w:pPr>
        <w:pStyle w:val="EBBodyPara"/>
        <w:keepNext/>
        <w:rPr>
          <w:rStyle w:val="response-question-title-text2"/>
          <w:b/>
          <w:bCs w:val="0"/>
          <w:color w:val="auto"/>
          <w:lang w:val="en"/>
        </w:rPr>
      </w:pPr>
    </w:p>
    <w:p w:rsidR="006333A7" w:rsidRPr="00C3676C" w:rsidRDefault="006333A7" w:rsidP="006333A7">
      <w:pPr>
        <w:pStyle w:val="EBBodyPara"/>
        <w:keepNext/>
        <w:rPr>
          <w:rStyle w:val="response-question-title-text2"/>
          <w:b/>
          <w:bCs w:val="0"/>
          <w:color w:val="auto"/>
          <w:lang w:val="en"/>
        </w:rPr>
      </w:pPr>
      <w:r w:rsidRPr="00C3676C">
        <w:rPr>
          <w:rStyle w:val="response-question-title-text2"/>
          <w:b/>
          <w:bCs w:val="0"/>
          <w:color w:val="auto"/>
          <w:lang w:val="en"/>
        </w:rPr>
        <w:t>Question 3</w:t>
      </w:r>
    </w:p>
    <w:p w:rsidR="006333A7" w:rsidRPr="00C3676C" w:rsidRDefault="006333A7" w:rsidP="006333A7">
      <w:pPr>
        <w:pStyle w:val="EBBodyPara"/>
        <w:keepNext/>
        <w:rPr>
          <w:rStyle w:val="response-question-title-text2"/>
          <w:bCs w:val="0"/>
          <w:color w:val="auto"/>
          <w:lang w:val="en"/>
        </w:rPr>
      </w:pPr>
      <w:r w:rsidRPr="00C3676C">
        <w:rPr>
          <w:rStyle w:val="response-question-title-text2"/>
          <w:bCs w:val="0"/>
          <w:color w:val="auto"/>
          <w:lang w:val="en"/>
        </w:rPr>
        <w:t>On average, what level of official would produce these assessments?</w:t>
      </w:r>
    </w:p>
    <w:p w:rsidR="006333A7" w:rsidRPr="00C3676C" w:rsidRDefault="006333A7" w:rsidP="006333A7">
      <w:pPr>
        <w:pStyle w:val="EBBodyPara"/>
        <w:keepNext/>
        <w:rPr>
          <w:rStyle w:val="response-question-title-text2"/>
          <w:b/>
          <w:bCs w:val="0"/>
          <w:color w:val="auto"/>
          <w:lang w:val="en"/>
        </w:rPr>
      </w:pPr>
    </w:p>
    <w:p w:rsidR="006333A7" w:rsidRPr="00C3676C" w:rsidRDefault="006333A7" w:rsidP="006333A7">
      <w:pPr>
        <w:pStyle w:val="EBBodyPara"/>
        <w:keepNext/>
        <w:rPr>
          <w:rStyle w:val="response-question-title-text2"/>
          <w:b/>
          <w:bCs w:val="0"/>
          <w:color w:val="auto"/>
          <w:lang w:val="en"/>
        </w:rPr>
      </w:pPr>
      <w:r w:rsidRPr="00C3676C">
        <w:rPr>
          <w:rStyle w:val="response-question-title-text2"/>
          <w:b/>
          <w:bCs w:val="0"/>
          <w:color w:val="auto"/>
          <w:lang w:val="en"/>
        </w:rPr>
        <w:t>Question 4</w:t>
      </w:r>
    </w:p>
    <w:p w:rsidR="006333A7" w:rsidRPr="00C3676C" w:rsidRDefault="006333A7" w:rsidP="006333A7">
      <w:pPr>
        <w:pStyle w:val="EBBodyPara"/>
        <w:keepNext/>
        <w:rPr>
          <w:rStyle w:val="response-question-title-text2"/>
          <w:bCs w:val="0"/>
          <w:color w:val="auto"/>
          <w:lang w:val="en"/>
        </w:rPr>
      </w:pPr>
      <w:r w:rsidRPr="00C3676C">
        <w:rPr>
          <w:rStyle w:val="response-question-title-text2"/>
          <w:bCs w:val="0"/>
          <w:color w:val="auto"/>
          <w:lang w:val="en"/>
        </w:rPr>
        <w:t>On average, what would be their hourly wage?</w:t>
      </w:r>
    </w:p>
    <w:p w:rsidR="006333A7" w:rsidRPr="00C3676C" w:rsidRDefault="006333A7" w:rsidP="006333A7">
      <w:pPr>
        <w:pStyle w:val="EBBodyPara"/>
        <w:keepNext/>
        <w:rPr>
          <w:rStyle w:val="response-question-title-text2"/>
          <w:b/>
          <w:bCs w:val="0"/>
          <w:color w:val="auto"/>
          <w:lang w:val="en"/>
        </w:rPr>
      </w:pPr>
    </w:p>
    <w:p w:rsidR="006333A7" w:rsidRPr="00C3676C" w:rsidRDefault="006333A7" w:rsidP="006333A7">
      <w:pPr>
        <w:pStyle w:val="EBBodyPara"/>
        <w:keepNext/>
        <w:rPr>
          <w:rStyle w:val="response-question-title-text2"/>
          <w:b/>
          <w:bCs w:val="0"/>
          <w:color w:val="auto"/>
          <w:lang w:val="en"/>
        </w:rPr>
      </w:pPr>
      <w:r w:rsidRPr="00C3676C">
        <w:rPr>
          <w:rStyle w:val="response-question-title-text2"/>
          <w:b/>
          <w:bCs w:val="0"/>
          <w:color w:val="auto"/>
          <w:lang w:val="en"/>
        </w:rPr>
        <w:t>Question 5</w:t>
      </w:r>
    </w:p>
    <w:p w:rsidR="006333A7" w:rsidRPr="00C3676C" w:rsidRDefault="006333A7" w:rsidP="006333A7">
      <w:pPr>
        <w:pStyle w:val="EBBodyPara"/>
        <w:keepNext/>
        <w:rPr>
          <w:rStyle w:val="response-question-title-text2"/>
          <w:bCs w:val="0"/>
          <w:color w:val="auto"/>
          <w:lang w:val="en"/>
        </w:rPr>
      </w:pPr>
      <w:r w:rsidRPr="00C3676C">
        <w:rPr>
          <w:rStyle w:val="response-question-title-text2"/>
          <w:bCs w:val="0"/>
          <w:color w:val="auto"/>
          <w:lang w:val="en"/>
        </w:rPr>
        <w:t>Given the Government’s intent that BIT assessments should be proportionate to the impact of the regulatory change proposed, how many staff days do you estimate it would take officials to produce each BIT assessment?</w:t>
      </w:r>
    </w:p>
    <w:p w:rsidR="006333A7" w:rsidRPr="00C3676C" w:rsidRDefault="006333A7" w:rsidP="006333A7">
      <w:pPr>
        <w:pStyle w:val="EBBodyPara"/>
        <w:keepNext/>
        <w:rPr>
          <w:rStyle w:val="response-question-title-text2"/>
          <w:b/>
          <w:bCs w:val="0"/>
          <w:color w:val="auto"/>
          <w:lang w:val="en"/>
        </w:rPr>
      </w:pPr>
    </w:p>
    <w:p w:rsidR="006333A7" w:rsidRPr="00C3676C" w:rsidRDefault="006333A7" w:rsidP="006333A7">
      <w:pPr>
        <w:pStyle w:val="EBBodyPara"/>
        <w:keepNext/>
        <w:rPr>
          <w:rStyle w:val="response-question-title-text2"/>
          <w:b/>
          <w:bCs w:val="0"/>
          <w:color w:val="auto"/>
          <w:lang w:val="en"/>
        </w:rPr>
      </w:pPr>
      <w:r w:rsidRPr="00C3676C">
        <w:rPr>
          <w:rStyle w:val="response-question-title-text2"/>
          <w:b/>
          <w:bCs w:val="0"/>
          <w:color w:val="auto"/>
          <w:lang w:val="en"/>
        </w:rPr>
        <w:t>Question 6</w:t>
      </w:r>
    </w:p>
    <w:p w:rsidR="006333A7" w:rsidRPr="00C3676C" w:rsidRDefault="006333A7" w:rsidP="006333A7">
      <w:pPr>
        <w:pStyle w:val="EBBodyPara"/>
        <w:keepNext/>
        <w:rPr>
          <w:rStyle w:val="response-question-title-text2"/>
          <w:bCs w:val="0"/>
          <w:color w:val="auto"/>
          <w:lang w:val="en"/>
        </w:rPr>
      </w:pPr>
      <w:r w:rsidRPr="00C3676C">
        <w:rPr>
          <w:rStyle w:val="response-question-title-text2"/>
          <w:bCs w:val="0"/>
          <w:color w:val="auto"/>
          <w:lang w:val="en"/>
        </w:rPr>
        <w:t xml:space="preserve">How many officials in your </w:t>
      </w:r>
      <w:proofErr w:type="spellStart"/>
      <w:r w:rsidRPr="00C3676C">
        <w:rPr>
          <w:rStyle w:val="response-question-title-text2"/>
          <w:bCs w:val="0"/>
          <w:color w:val="auto"/>
          <w:lang w:val="en"/>
        </w:rPr>
        <w:t>organisation</w:t>
      </w:r>
      <w:proofErr w:type="spellEnd"/>
      <w:r w:rsidRPr="00C3676C">
        <w:rPr>
          <w:rStyle w:val="response-question-title-text2"/>
          <w:bCs w:val="0"/>
          <w:color w:val="auto"/>
          <w:lang w:val="en"/>
        </w:rPr>
        <w:t xml:space="preserve"> would you expect to require some form of training to produce BIT assessments?</w:t>
      </w:r>
    </w:p>
    <w:p w:rsidR="006333A7" w:rsidRPr="00C3676C" w:rsidRDefault="006333A7" w:rsidP="006333A7">
      <w:pPr>
        <w:pStyle w:val="EBBodyPara"/>
        <w:keepNext/>
        <w:rPr>
          <w:rStyle w:val="response-question-title-text2"/>
          <w:b/>
          <w:bCs w:val="0"/>
          <w:color w:val="auto"/>
          <w:lang w:val="en"/>
        </w:rPr>
      </w:pPr>
    </w:p>
    <w:p w:rsidR="006333A7" w:rsidRPr="00C3676C" w:rsidRDefault="006333A7" w:rsidP="006333A7">
      <w:pPr>
        <w:pStyle w:val="EBBodyPara"/>
        <w:keepNext/>
        <w:rPr>
          <w:rStyle w:val="response-question-title-text2"/>
          <w:b/>
          <w:bCs w:val="0"/>
          <w:color w:val="auto"/>
          <w:lang w:val="en"/>
        </w:rPr>
      </w:pPr>
      <w:r w:rsidRPr="00C3676C">
        <w:rPr>
          <w:rStyle w:val="response-question-title-text2"/>
          <w:b/>
          <w:bCs w:val="0"/>
          <w:color w:val="auto"/>
          <w:lang w:val="en"/>
        </w:rPr>
        <w:t>Question 7</w:t>
      </w:r>
    </w:p>
    <w:p w:rsidR="006333A7" w:rsidRPr="00C3676C" w:rsidRDefault="006333A7" w:rsidP="006333A7">
      <w:pPr>
        <w:pStyle w:val="EBBodyPara"/>
        <w:keepNext/>
        <w:rPr>
          <w:color w:val="auto"/>
        </w:rPr>
      </w:pPr>
      <w:r w:rsidRPr="00C3676C">
        <w:rPr>
          <w:rStyle w:val="response-question-title-text2"/>
          <w:bCs w:val="0"/>
          <w:color w:val="auto"/>
          <w:lang w:val="en"/>
        </w:rPr>
        <w:t>How many days training would be required for each official?</w:t>
      </w:r>
    </w:p>
    <w:p w:rsidR="006333A7" w:rsidRDefault="006333A7" w:rsidP="006333A7">
      <w:pPr>
        <w:pStyle w:val="Heading2"/>
      </w:pPr>
    </w:p>
    <w:bookmarkEnd w:id="44"/>
    <w:p w:rsidR="006333A7" w:rsidRPr="006333A7" w:rsidRDefault="006333A7" w:rsidP="006333A7"/>
    <w:sectPr w:rsidR="006333A7" w:rsidRPr="006333A7" w:rsidSect="00807DB6">
      <w:headerReference w:type="even" r:id="rId15"/>
      <w:footerReference w:type="default" r:id="rId16"/>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64" w:rsidRDefault="00152064">
      <w:r>
        <w:separator/>
      </w:r>
    </w:p>
  </w:endnote>
  <w:endnote w:type="continuationSeparator" w:id="0">
    <w:p w:rsidR="00152064" w:rsidRDefault="001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E8" w:rsidRDefault="00F40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50" w:rsidRPr="00EB43FD" w:rsidRDefault="00F84E50"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F40FE8">
      <w:rPr>
        <w:rStyle w:val="PageNumber"/>
        <w:rFonts w:eastAsia="SimSun"/>
        <w:b w:val="0"/>
        <w:noProof/>
        <w:szCs w:val="18"/>
      </w:rPr>
      <w:t>1</w:t>
    </w:r>
    <w:r w:rsidRPr="00EB43FD">
      <w:rPr>
        <w:rStyle w:val="PageNumber"/>
        <w:rFonts w:eastAsia="SimSun"/>
        <w:b w:val="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E8" w:rsidRDefault="00F40F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50" w:rsidRPr="00EB43FD" w:rsidRDefault="00F84E5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F40FE8">
      <w:rPr>
        <w:rStyle w:val="PageNumber"/>
        <w:b w:val="0"/>
        <w:noProof/>
        <w:szCs w:val="18"/>
      </w:rPr>
      <w:t>12</w:t>
    </w:r>
    <w:r w:rsidRPr="00EB43FD">
      <w:rPr>
        <w:rStyle w:val="PageNumber"/>
        <w:b w:val="0"/>
        <w:szCs w:val="18"/>
      </w:rPr>
      <w:fldChar w:fldCharType="end"/>
    </w:r>
  </w:p>
  <w:p w:rsidR="00F84E50" w:rsidRDefault="00F84E50"/>
  <w:p w:rsidR="00F84E50" w:rsidRDefault="00F84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64" w:rsidRDefault="00152064">
      <w:r>
        <w:separator/>
      </w:r>
    </w:p>
  </w:footnote>
  <w:footnote w:type="continuationSeparator" w:id="0">
    <w:p w:rsidR="00152064" w:rsidRDefault="00152064">
      <w:r>
        <w:continuationSeparator/>
      </w:r>
    </w:p>
  </w:footnote>
  <w:footnote w:id="1">
    <w:p w:rsidR="006333A7" w:rsidRDefault="006333A7" w:rsidP="006333A7">
      <w:pPr>
        <w:pStyle w:val="FootnoteText"/>
      </w:pPr>
      <w:r>
        <w:rPr>
          <w:rStyle w:val="FootnoteReference"/>
        </w:rPr>
        <w:footnoteRef/>
      </w:r>
      <w:r>
        <w:t xml:space="preserve"> ‘Business’ is used here to include both businesses and civil society organisations.</w:t>
      </w:r>
    </w:p>
  </w:footnote>
  <w:footnote w:id="2">
    <w:p w:rsidR="006333A7" w:rsidRDefault="006333A7" w:rsidP="006333A7">
      <w:pPr>
        <w:pStyle w:val="FootnoteText"/>
      </w:pPr>
      <w:r>
        <w:rPr>
          <w:rStyle w:val="FootnoteReference"/>
        </w:rPr>
        <w:footnoteRef/>
      </w:r>
      <w:r>
        <w:t xml:space="preserve"> For an ongoing measure, typically appraised over 10 years, the BIT score would be 5*EANDCB. A measure that is only in force for 3 years would have a BIT score of 3*EANDCB (i.e. the full impact of the measure). Note that temporary measures (with duration less than one year) are not regulatory provisions as defined by the SBEE Act. </w:t>
      </w:r>
    </w:p>
  </w:footnote>
  <w:footnote w:id="3">
    <w:p w:rsidR="006333A7" w:rsidRDefault="006333A7" w:rsidP="006333A7">
      <w:pPr>
        <w:pStyle w:val="FootnoteText"/>
      </w:pPr>
      <w:r>
        <w:rPr>
          <w:rStyle w:val="FootnoteReference"/>
        </w:rPr>
        <w:footnoteRef/>
      </w:r>
      <w:r>
        <w:t xml:space="preserve"> </w:t>
      </w:r>
      <w:hyperlink r:id="rId1" w:history="1">
        <w:r w:rsidRPr="009A1D1B">
          <w:rPr>
            <w:rStyle w:val="Hyperlink"/>
          </w:rPr>
          <w:t>http://www.parliament.uk/business/publications/written-questions-answers-statements/written-statement/Commons/2016-03-03/HCWS574/</w:t>
        </w:r>
      </w:hyperlink>
    </w:p>
    <w:p w:rsidR="006333A7" w:rsidRDefault="006333A7" w:rsidP="006333A7">
      <w:pPr>
        <w:pStyle w:val="FootnoteText"/>
      </w:pPr>
    </w:p>
  </w:footnote>
  <w:footnote w:id="4">
    <w:p w:rsidR="006333A7" w:rsidRDefault="006333A7" w:rsidP="006333A7">
      <w:pPr>
        <w:pStyle w:val="FootnoteText"/>
      </w:pPr>
      <w:r>
        <w:rPr>
          <w:rStyle w:val="FootnoteReference"/>
        </w:rPr>
        <w:footnoteRef/>
      </w:r>
      <w:r>
        <w:t xml:space="preserve"> Significant business impact is interpreted as measures that do not qualify for the fast track.</w:t>
      </w:r>
    </w:p>
  </w:footnote>
  <w:footnote w:id="5">
    <w:p w:rsidR="006333A7" w:rsidRDefault="006333A7" w:rsidP="006333A7">
      <w:pPr>
        <w:pStyle w:val="FootnoteText"/>
      </w:pPr>
      <w:r>
        <w:rPr>
          <w:rStyle w:val="FootnoteReference"/>
        </w:rPr>
        <w:footnoteRef/>
      </w:r>
      <w:r>
        <w:t xml:space="preserve"> The consultation stage impact assessments sets out the evidence base for intervention:</w:t>
      </w:r>
    </w:p>
    <w:p w:rsidR="006333A7" w:rsidRDefault="00F40FE8" w:rsidP="006333A7">
      <w:pPr>
        <w:pStyle w:val="FootnoteText"/>
      </w:pPr>
      <w:hyperlink r:id="rId2" w:history="1">
        <w:r w:rsidR="006333A7" w:rsidRPr="004C75DF">
          <w:rPr>
            <w:rStyle w:val="Hyperlink"/>
          </w:rPr>
          <w:t>https://www.gov.uk/government/uploads/system/uploads/attachment_data/file/497021/bis-16-95-bit-ia.pdf</w:t>
        </w:r>
      </w:hyperlink>
    </w:p>
    <w:p w:rsidR="006333A7" w:rsidRDefault="006333A7" w:rsidP="006333A7">
      <w:pPr>
        <w:pStyle w:val="FootnoteText"/>
      </w:pPr>
    </w:p>
  </w:footnote>
  <w:footnote w:id="6">
    <w:p w:rsidR="006333A7" w:rsidRDefault="006333A7" w:rsidP="006333A7">
      <w:pPr>
        <w:pStyle w:val="FootnoteText"/>
      </w:pPr>
      <w:r>
        <w:rPr>
          <w:rStyle w:val="FootnoteReference"/>
        </w:rPr>
        <w:footnoteRef/>
      </w:r>
      <w:r>
        <w:t xml:space="preserve"> By ‘statutory’ regulator we mean a body that is a legally separate entity to UK Ministers that carries out statutory functions that regulate business and/or the voluntary and community sector. In the vast majority of cases these will be bodies that are established under statute. However, given the wide array of regulatory bodies, this category also includes a small number of bodies that have been established </w:t>
      </w:r>
      <w:proofErr w:type="gramStart"/>
      <w:r>
        <w:t>either as</w:t>
      </w:r>
      <w:proofErr w:type="gramEnd"/>
      <w:r>
        <w:t xml:space="preserve"> a company or by Royal Charter rather than by statute.</w:t>
      </w:r>
    </w:p>
  </w:footnote>
  <w:footnote w:id="7">
    <w:p w:rsidR="006333A7" w:rsidRDefault="006333A7" w:rsidP="006333A7">
      <w:pPr>
        <w:pStyle w:val="FootnoteText"/>
      </w:pPr>
      <w:r>
        <w:rPr>
          <w:rStyle w:val="FootnoteReference"/>
        </w:rPr>
        <w:footnoteRef/>
      </w:r>
      <w:r>
        <w:t xml:space="preserve"> The Written Ministerial Statement of 3</w:t>
      </w:r>
      <w:r w:rsidRPr="00E80A98">
        <w:rPr>
          <w:vertAlign w:val="superscript"/>
        </w:rPr>
        <w:t>rd</w:t>
      </w:r>
      <w:r>
        <w:t xml:space="preserve"> March provides more detail.</w:t>
      </w:r>
    </w:p>
  </w:footnote>
  <w:footnote w:id="8">
    <w:p w:rsidR="006333A7" w:rsidRDefault="006333A7" w:rsidP="006333A7">
      <w:pPr>
        <w:pStyle w:val="FootnoteText"/>
      </w:pPr>
      <w:r>
        <w:rPr>
          <w:rStyle w:val="FootnoteReference"/>
        </w:rPr>
        <w:footnoteRef/>
      </w:r>
      <w:r>
        <w:t xml:space="preserve"> The Annual Reporting Periods are 8</w:t>
      </w:r>
      <w:r w:rsidRPr="005228BA">
        <w:rPr>
          <w:vertAlign w:val="superscript"/>
        </w:rPr>
        <w:t>th</w:t>
      </w:r>
      <w:r>
        <w:t xml:space="preserve"> May 2015 to 26th May 2016, 27</w:t>
      </w:r>
      <w:r w:rsidRPr="005228BA">
        <w:rPr>
          <w:vertAlign w:val="superscript"/>
        </w:rPr>
        <w:t>th</w:t>
      </w:r>
      <w:r>
        <w:t xml:space="preserve"> May 2016 to 26</w:t>
      </w:r>
      <w:r w:rsidRPr="005228BA">
        <w:rPr>
          <w:vertAlign w:val="superscript"/>
        </w:rPr>
        <w:t>th</w:t>
      </w:r>
      <w:r>
        <w:t xml:space="preserve"> May 2017, 27</w:t>
      </w:r>
      <w:r w:rsidRPr="005228BA">
        <w:rPr>
          <w:vertAlign w:val="superscript"/>
        </w:rPr>
        <w:t>th</w:t>
      </w:r>
      <w:r>
        <w:t xml:space="preserve"> May 2017 to 26</w:t>
      </w:r>
      <w:r w:rsidRPr="005228BA">
        <w:rPr>
          <w:vertAlign w:val="superscript"/>
        </w:rPr>
        <w:t>th</w:t>
      </w:r>
      <w:r>
        <w:t xml:space="preserve"> May 2018, 2017</w:t>
      </w:r>
      <w:r w:rsidRPr="005228BA">
        <w:rPr>
          <w:vertAlign w:val="superscript"/>
        </w:rPr>
        <w:t>th</w:t>
      </w:r>
      <w:r>
        <w:t xml:space="preserve"> May 2018 to 26</w:t>
      </w:r>
      <w:r w:rsidRPr="005228BA">
        <w:rPr>
          <w:vertAlign w:val="superscript"/>
        </w:rPr>
        <w:t>th</w:t>
      </w:r>
      <w:r>
        <w:t xml:space="preserve"> May 2019, 27</w:t>
      </w:r>
      <w:r w:rsidRPr="005228BA">
        <w:rPr>
          <w:vertAlign w:val="superscript"/>
        </w:rPr>
        <w:t>th</w:t>
      </w:r>
      <w:r>
        <w:t xml:space="preserve"> May to 7</w:t>
      </w:r>
      <w:r w:rsidRPr="005F720A">
        <w:rPr>
          <w:vertAlign w:val="superscript"/>
        </w:rPr>
        <w:t>th</w:t>
      </w:r>
      <w:r>
        <w:t xml:space="preserve"> May 2020.</w:t>
      </w:r>
    </w:p>
  </w:footnote>
  <w:footnote w:id="9">
    <w:p w:rsidR="006333A7" w:rsidRDefault="006333A7" w:rsidP="006333A7">
      <w:pPr>
        <w:pStyle w:val="FootnoteText"/>
      </w:pPr>
      <w:r>
        <w:rPr>
          <w:rStyle w:val="FootnoteReference"/>
        </w:rPr>
        <w:footnoteRef/>
      </w:r>
      <w:r>
        <w:t xml:space="preserve"> The annual report must be published within one month of the end of the relevant BIT Annual Reporting Period.</w:t>
      </w:r>
    </w:p>
  </w:footnote>
  <w:footnote w:id="10">
    <w:p w:rsidR="00E939A3" w:rsidRDefault="00E939A3">
      <w:pPr>
        <w:pStyle w:val="FootnoteText"/>
      </w:pPr>
      <w:r>
        <w:rPr>
          <w:rStyle w:val="FootnoteReference"/>
        </w:rPr>
        <w:footnoteRef/>
      </w:r>
      <w:r>
        <w:t xml:space="preserve"> This differs to the approach taken in the consultation stage impact assessment where an estimate of the number of QRP assessments per regulator was made on the basis of the legislative changes made by Departments as part of One-In, Two-Out.</w:t>
      </w:r>
    </w:p>
  </w:footnote>
  <w:footnote w:id="11">
    <w:p w:rsidR="006333A7" w:rsidRDefault="006333A7" w:rsidP="006333A7">
      <w:pPr>
        <w:pStyle w:val="FootnoteText"/>
      </w:pPr>
      <w:r>
        <w:rPr>
          <w:rStyle w:val="FootnoteReference"/>
        </w:rPr>
        <w:footnoteRef/>
      </w:r>
      <w:r>
        <w:t xml:space="preserve"> There were 15 non-statutory regulators and 54 statutory regulators included (Land Registry and Chief Land Registrar have been merged into one statutory regulator for this analysis). Only 4 non-statutory regulators responded to the survey, so we do not provide separate estimates for the two groups of regulators.</w:t>
      </w:r>
    </w:p>
  </w:footnote>
  <w:footnote w:id="12">
    <w:p w:rsidR="006333A7" w:rsidRDefault="006333A7" w:rsidP="006333A7">
      <w:pPr>
        <w:pStyle w:val="FootnoteText"/>
      </w:pPr>
      <w:r>
        <w:rPr>
          <w:rStyle w:val="FootnoteReference"/>
        </w:rPr>
        <w:footnoteRef/>
      </w:r>
      <w:r>
        <w:t xml:space="preserve"> Data on FTEs employed in enforcement activity is taken from the 2012, 2013 or 2014 Regulators’ Questionnaire (using the most recent data available).</w:t>
      </w:r>
    </w:p>
  </w:footnote>
  <w:footnote w:id="13">
    <w:p w:rsidR="006333A7" w:rsidRDefault="006333A7" w:rsidP="006333A7">
      <w:pPr>
        <w:pStyle w:val="FootnoteText"/>
      </w:pPr>
      <w:r>
        <w:rPr>
          <w:rStyle w:val="FootnoteReference"/>
        </w:rPr>
        <w:footnoteRef/>
      </w:r>
      <w:r>
        <w:t xml:space="preserve"> Across the 69 regulators, 33 (47.8%) are small, 28 (40.6%) are medium and 8 (11.6%) are large.</w:t>
      </w:r>
    </w:p>
  </w:footnote>
  <w:footnote w:id="14">
    <w:p w:rsidR="006333A7" w:rsidRDefault="006333A7" w:rsidP="006333A7">
      <w:pPr>
        <w:pStyle w:val="FootnoteText"/>
      </w:pPr>
      <w:r>
        <w:rPr>
          <w:rStyle w:val="FootnoteReference"/>
        </w:rPr>
        <w:footnoteRef/>
      </w:r>
      <w:r>
        <w:t xml:space="preserve"> Those that expected an increase or decrease did not record the expected number of future assessments.</w:t>
      </w:r>
    </w:p>
  </w:footnote>
  <w:footnote w:id="15">
    <w:p w:rsidR="006333A7" w:rsidRDefault="006333A7" w:rsidP="006333A7">
      <w:pPr>
        <w:pStyle w:val="FootnoteText"/>
      </w:pPr>
      <w:r>
        <w:rPr>
          <w:rStyle w:val="FootnoteReference"/>
        </w:rPr>
        <w:footnoteRef/>
      </w:r>
      <w:r>
        <w:t xml:space="preserve"> </w:t>
      </w:r>
      <w:proofErr w:type="gramStart"/>
      <w:r>
        <w:t>Rounded to the nearest whole assessment.</w:t>
      </w:r>
      <w:proofErr w:type="gramEnd"/>
    </w:p>
  </w:footnote>
  <w:footnote w:id="16">
    <w:p w:rsidR="006333A7" w:rsidRDefault="006333A7" w:rsidP="006333A7">
      <w:pPr>
        <w:pStyle w:val="FootnoteText"/>
      </w:pPr>
      <w:r>
        <w:rPr>
          <w:rStyle w:val="FootnoteReference"/>
        </w:rPr>
        <w:footnoteRef/>
      </w:r>
      <w:r>
        <w:t xml:space="preserve"> RPC can either issue a Red (not fit for purpose) opinion or an Initial Review Notice for which the regulator would have 10 days to respond addressing the points </w:t>
      </w:r>
      <w:proofErr w:type="gramStart"/>
      <w:r>
        <w:t>raised</w:t>
      </w:r>
      <w:proofErr w:type="gramEnd"/>
      <w:r>
        <w:t>.</w:t>
      </w:r>
    </w:p>
  </w:footnote>
  <w:footnote w:id="17">
    <w:p w:rsidR="006333A7" w:rsidRDefault="006333A7" w:rsidP="006333A7">
      <w:pPr>
        <w:pStyle w:val="FootnoteText"/>
      </w:pPr>
      <w:r>
        <w:rPr>
          <w:rStyle w:val="FootnoteReference"/>
        </w:rPr>
        <w:footnoteRef/>
      </w:r>
      <w:r>
        <w:t xml:space="preserve"> ‘Regulatory Policy Committee scrutiny during the 2010 to 2015 parliament’ </w:t>
      </w:r>
    </w:p>
  </w:footnote>
  <w:footnote w:id="18">
    <w:p w:rsidR="006333A7" w:rsidRDefault="006333A7" w:rsidP="006333A7">
      <w:pPr>
        <w:pStyle w:val="FootnoteText"/>
      </w:pPr>
      <w:r>
        <w:rPr>
          <w:rStyle w:val="FootnoteReference"/>
        </w:rPr>
        <w:footnoteRef/>
      </w:r>
      <w:r>
        <w:t xml:space="preserve"> The response from this regulator was not included in the average number of assessments presented in table 1. </w:t>
      </w:r>
    </w:p>
  </w:footnote>
  <w:footnote w:id="19">
    <w:p w:rsidR="006333A7" w:rsidRDefault="006333A7" w:rsidP="006333A7">
      <w:pPr>
        <w:pStyle w:val="FootnoteText"/>
      </w:pPr>
      <w:r>
        <w:rPr>
          <w:rStyle w:val="FootnoteReference"/>
        </w:rPr>
        <w:footnoteRef/>
      </w:r>
      <w:r>
        <w:t xml:space="preserve"> Assuming 7.5 hours per day and a 20.2% uplift for non wage costs (Eurostat, 2015).</w:t>
      </w:r>
    </w:p>
  </w:footnote>
  <w:footnote w:id="20">
    <w:p w:rsidR="006333A7" w:rsidRDefault="006333A7" w:rsidP="006333A7">
      <w:pPr>
        <w:pStyle w:val="FootnoteText"/>
      </w:pPr>
      <w:r>
        <w:rPr>
          <w:rStyle w:val="FootnoteReference"/>
        </w:rPr>
        <w:footnoteRef/>
      </w:r>
      <w:r>
        <w:t xml:space="preserve"> This includes the costs of an additional 53 assessments reported by one regulator as a one-off. </w:t>
      </w:r>
    </w:p>
  </w:footnote>
  <w:footnote w:id="21">
    <w:p w:rsidR="006333A7" w:rsidRDefault="006333A7" w:rsidP="006333A7">
      <w:pPr>
        <w:pStyle w:val="FootnoteText"/>
      </w:pPr>
      <w:r>
        <w:rPr>
          <w:rStyle w:val="FootnoteReference"/>
        </w:rPr>
        <w:footnoteRef/>
      </w:r>
      <w:r>
        <w:t xml:space="preserve"> One regulator reported NQRP summaries would be the work of two FTEs. This is a significant outlier compared to the five days we assume from other regulators, but to allow for this we assume the average time taken across 69 regulators to produce NQRP summaries is 10 days.</w:t>
      </w:r>
    </w:p>
  </w:footnote>
  <w:footnote w:id="22">
    <w:p w:rsidR="006333A7" w:rsidRDefault="006333A7" w:rsidP="006333A7">
      <w:pPr>
        <w:pStyle w:val="FootnoteText"/>
      </w:pPr>
      <w:r>
        <w:rPr>
          <w:rStyle w:val="FootnoteReference"/>
        </w:rPr>
        <w:footnoteRef/>
      </w:r>
      <w:r>
        <w:t xml:space="preserve"> Between 2010 and 2011 there was a substantial increase in Departments’ impact assessments being rated as fit for purpose from 56% to 76%</w:t>
      </w:r>
      <w:proofErr w:type="gramStart"/>
      <w:r>
        <w:t>.</w:t>
      </w:r>
      <w:proofErr w:type="gramEnd"/>
      <w:r>
        <w:t xml:space="preserve"> Since 2011 this percentage has remained relatively steady between 76% and 82%. ‘Regulatory Policy Committee scrutiny during the 2010 to 2015 parliament’</w:t>
      </w:r>
    </w:p>
  </w:footnote>
  <w:footnote w:id="23">
    <w:p w:rsidR="006333A7" w:rsidRDefault="006333A7" w:rsidP="006333A7">
      <w:pPr>
        <w:pStyle w:val="FootnoteText"/>
      </w:pPr>
      <w:r>
        <w:rPr>
          <w:rStyle w:val="FootnoteReference"/>
        </w:rPr>
        <w:footnoteRef/>
      </w:r>
      <w:r>
        <w:t xml:space="preserve"> One regulator reported the need to produce 10 to 20 QRP assessments but these may be grouped into themes.</w:t>
      </w:r>
    </w:p>
  </w:footnote>
  <w:footnote w:id="24">
    <w:p w:rsidR="006333A7" w:rsidRDefault="006333A7" w:rsidP="006333A7">
      <w:pPr>
        <w:pStyle w:val="FootnoteText"/>
      </w:pPr>
      <w:r>
        <w:rPr>
          <w:rStyle w:val="FootnoteReference"/>
        </w:rPr>
        <w:footnoteRef/>
      </w:r>
      <w:r>
        <w:t xml:space="preserve"> Deregulatory measures and regulatory measures with low cost to business (less than £1M of gross costs in every year) qualify for the fast track. Departments are now responsible for assessing which measures qualify for the fast track and no longer require RPC confirmation.</w:t>
      </w:r>
    </w:p>
  </w:footnote>
  <w:footnote w:id="25">
    <w:p w:rsidR="006333A7" w:rsidRDefault="006333A7" w:rsidP="006333A7">
      <w:pPr>
        <w:pStyle w:val="FootnoteText"/>
      </w:pPr>
      <w:r>
        <w:rPr>
          <w:rStyle w:val="FootnoteReference"/>
        </w:rPr>
        <w:footnoteRef/>
      </w:r>
      <w:r>
        <w:t xml:space="preserve"> This smooths out the costs over the ten year appraisal period. Few QRP summaries will be produced in year 1 so the costs in year 1 are overestimated. In year 2, the costs are underestimated as more assessments will be produced than assumed as statutory regulators will be brought into scope and have to produce assessments for QRPs since the start of the Parliament.</w:t>
      </w:r>
    </w:p>
  </w:footnote>
  <w:footnote w:id="26">
    <w:p w:rsidR="006333A7" w:rsidRDefault="006333A7" w:rsidP="006333A7">
      <w:pPr>
        <w:pStyle w:val="FootnoteText"/>
      </w:pPr>
      <w:r>
        <w:rPr>
          <w:rStyle w:val="FootnoteReference"/>
        </w:rPr>
        <w:footnoteRef/>
      </w:r>
      <w:r>
        <w:t xml:space="preserve"> The EANDCB is not sensitive to the profile of costs described in para 42. For example, only scoring familiarisation costs in 2015 and then two years of ongoing costs in 2016 (to allow for regulators having to produce QRP assessments and NQRP summaries from the start of the Parliament) still gives a rounded EANDCB of 0.6M. Alternatively, the year the costs begin (implementation date) could be set as 2016 but this is also found to give an EANDCB of 0.6M.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E8" w:rsidRDefault="00F40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50" w:rsidRDefault="00F84E50">
    <w:pPr>
      <w:pStyle w:val="Header"/>
    </w:pPr>
    <w:r>
      <w:fldChar w:fldCharType="begin"/>
    </w:r>
    <w:r>
      <w:instrText xml:space="preserve"> DOCPROPERTY  Classification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E8" w:rsidRDefault="00F40F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50" w:rsidRDefault="00F84E50"/>
  <w:p w:rsidR="00F84E50" w:rsidRDefault="00F84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37D52F88"/>
    <w:multiLevelType w:val="hybridMultilevel"/>
    <w:tmpl w:val="60B2E4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A462490"/>
    <w:multiLevelType w:val="hybridMultilevel"/>
    <w:tmpl w:val="3AEE48B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A1E3C8E">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3"/>
  </w:num>
  <w:num w:numId="15">
    <w:abstractNumId w:val="12"/>
  </w:num>
  <w:num w:numId="16">
    <w:abstractNumId w:val="11"/>
  </w:num>
  <w:num w:numId="17">
    <w:abstractNumId w:val="12"/>
  </w:num>
  <w:num w:numId="18">
    <w:abstractNumId w:val="17"/>
  </w:num>
  <w:num w:numId="19">
    <w:abstractNumId w:val="17"/>
  </w:num>
  <w:num w:numId="20">
    <w:abstractNumId w:val="17"/>
  </w:num>
  <w:num w:numId="21">
    <w:abstractNumId w:val="1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Fresh"/>
    <w:docVar w:name="SigAgile" w:val="ᦑ_x0000__x0008__x0000_቟_x0000_,_x0000_܊_x0000_ኋ_x0000__x0000__x0000_ᦕ_x0000__x0000__x0000__x0000__x0000_ᦗ_x0000_舰嬒आ蘪虈෷܁ꀂኂがኂɈā༱രआ虠ňͥȄԁ　놁ਆثЁ舁ȷЁ膠ア龁ᨰਆثЁ舁ȷἁఄ_x000c__x0000__x0001__x0000__x0001__x0000_脰む؍怉䢆攁ЃĂ_x0005_漄_x0017__x0000_ _x0000_ _x0000__x0018__x0000_/_x0000_O_x0000_⸲㘱㠮〴ㄮㄮ㄰㌮㐮㈮ㄮ䘀_xd891_㋡쒘펰총ᗭ蚄捥䀂ᮤ瓌궠쌵魃粘䳍듆⌎꼵壐㧈鰞阸䦚_xdec5_㋲鹴ꃏྂ〶҂ビ΂ꂻȃȁဂ_xda18_黑紦믨⅊쵘毌䨻രआ蘪虈෷āԅ　쪁଱र̆ѕጆ唂ㅓ〗ؕ唃਄ณ敖楲楓湧‬湉⹣ἱᴰ̆ѕጋ嘖牥卩杩⁮牔獵⁴敎睴牯ㅫ〺ظ唃଄ㄓ挨 〲㘰嘠牥卩杩Ɱ䤠据‮‭潆⁲畡桴牯穩摥甠敳漠汮ㅹぅك唃̄㰓敖楲楓湧䌠慬獳㌠倠扵楬⁣牐浩牡⁹敃瑲晩捩瑡潩⁮畁桴牯瑩⁹‭㕇Ḱഗ㘰ㄱ㠰〰〰〰᝚㌍〶ㄷ㈶㔳㔹娹脰㇊》؉唃؄ȓ单ᜱᔰ̆ѕጊ嘎牥卩杩Ɱ䤠据ㄮ〟؝唃଄ᘓ敖楲楓湧吠畲瑳丠瑥潷歲㨱㠰̆ѕጋ⠱⥣㈠〰‶敖楲楓湧‬湉⹣ⴠ䘠牯愠瑵潨楲敺⁤獵⁥湯祬䔱䌰̆ѕጃ嘼牥卩杩⁮汃獡⁳″畐汢捩倠楲慭祲䌠牥楴楦慣楴湯䄠瑵潨楲祴ⴠ䜠〵Ƃ〢؍⨉䢆čā_x0005_舃༁　ƂȊƂ_x0001_⒯ࠈ稩鸵ౠ㭋_xdc4e_뱼䔼묜⧾車ࡗ撣ᖅ귱㇈嶉ꨪ䊦辳맸띕랱덋迾ݾ䏯曛ᕢ콡ൠ_xd8a4_쏠ࡢ吽쩉呙⚅⯥ᮏꇵ슑䤳䏘橣䭒迒烨䵑觑筩烇돶ዜ_xdb74_嵻噋雓ᖿꅷ▢꿲鈜ᡧІ郯㫝ᦵ˿诠㟫ퟴ꼽痝㎑ᴙ䀜瓋ᤤ錡ᓙ곾刪过ӕ掍衇椼쮃䟾⮽佾闅ຮ풝䏑柀ࠔ鼿롳ਲ਼巏㐿隇ᔥ̂_x0001_ꌁ늁脰ク؏唃ጝāӿ々ă！ะ̆ᵕď！Єȃ؁洰ࠆثԁ܅ఁ愄弰嶡宠夰地唰ख浩条⽥楧て〡〟؇⬅̎ᨂᐄ᫓겆躍썫胏푪ᡈ第⸙┰⌖瑨灴⼺氯杯⹯敶楲楳湧挮浯瘯汳杯⹯楧て؝唃ฝᘄᐄ퍿ꝥ_xddc2_믬ヰ㥃˺㎯㌱രआ蘪虈෷āԅ̀Ƃ_x0001_⒓お扟_xd8cf_頚㴯_xdcea_⶙瞽ꗶ≹Ꞔ碠괒๢灅앤韧ⵦঘ彾횯⣌ꨁᨈ_xde47_粒鉼࡚⁩_xd90d_派㱮渍鄆ᡀ_xdbdf_ꩁ雠줠操㠕즁蒢଩漓󳤌ȥꓛᦋ퉄穁椅塊恏绊檂ȋ▪㤗_xdbb5_斄锪붊_xde86_腞茖ိ_xdecc_ꣽ⪂⡭ട쐋☚ᇴၯ閵Ղ_xdb32_鷎幑똨薞寓ꗯ䕽牀랎欎؎㏻䠵롱➝쒋彥蘍鱶穄闶㉝㌈咤ᢶ栿䩂㢅荔텟⳨곲협橣舰︄舰ΠĂȂ䈐㍃聩⥌骆ﰫ箹ᵝに؍⨉䢆čଁ_x0005_缰଱र̆ѕጆ唂ㅓ〝؛唃਄ᐓ祓慭瑮捥䌠牯潰慲楴湯ἱᴰ̆ѕጋ化浹湡整⁣牔獵⁴敎睴牯ㅫ〰خ唃̄✓祓慭瑮捥䌠慬獳㌠匠䅈㔲‶潃敤匠杩楮杮䌠ぁ᜞ㄍ〵ㄵ〱〰〰娰ഗ㜱㔰ㄱ㌲㤵㤵ず蒁଱र̆ѕጆ䜂ㅂ』؍唃ࠄ،潌摮湯༱ര̆ѕఇ䰆湯潤ㅮ〢ؠ唃਄ᤌ桔⁥瑓瑡潩敮祲传晦捩⁥瑌ㅤ》؉唃଄Ȍ呉∱‰̆ѕః吙敨匠慴楴湯牥⁹晏楦散䰠摴舰∁രआ蘪虈෷āԁ̀Ƃ_x000f_舰ਁ舂ā혀舶췵앧裘昰촨躊꤀혻㏀ᢊ煌徑딛픭蠌傤﷣䬺틘戫忘￟贰䏔ഁ萵⋍豒悗絷음뼑쥽ឋ哜颚椅櫥鑘홐믟ὅ僮鋉妡㫆⑬౐⹾駪횀ᡁ㝶↰팿앝沱誉7䐠깯匿ㇳᵜ뼚肋ꈏ効ꕿ⸡ǎྏ셶쥶禾詥ތ쐭窕採낖彮햓鵑走萃鏝靪鵾ᮔ殳屐Ꝯ糰븬笏斆_xd84b_℠첤봡Ὗ㘴㪁ꩿ㐽厗왦ᬐ皿׳嗡뜋ꊦ⯽ᅺɷăĀ芣渁舰樁र̆ᵕГ。　؎唃༝āӿ̄܂むؓ唃┝ఄਰࠆثԁ܅̃昰̆ᵕРたそٛ怋䢆蘁䗸܁̗䰰⌰ࠆثԁ܅Ă᜖瑨灴㩳⼯⹤祳捭⹢潣⽭灣びإ⬈Ćԅȇ。ᨙ栗瑴獰⼺搯献浹扣挮浯爯慰ἰ̆ᵕУ〘耖阔医称霳綯⬮쫌蚷爞てث唃Ἕ␄∰‰ẠᲠ᪆瑨灴⼺猯⹶祳捭⹢潣⽭癳挮汲地ࠆثԁ܅ā䬄䤰ἰࠆثԁ܅İᎆ瑨灴⼺猯⹶祳捭⹤潣ねئ⬈Ćԅ〇蘂栚瑴㩰⼯癳献浹扣挮浯猯⹶牣ぴؑ怉䢆蘁䋸āЄȃငᘰਆثЁ舁ȷᬁࠄذāĀ！രआ蘪虈෷āԋ̀Ƃ_x0001_$謫﯊ᗰꠝ콒쐣ꂳ熦⩘὞㧩▼䆵ૅ㌩阪訛뾽헫穔십_xdf28_靏﻾ᅳ娗ﲺ쫄몒첑m嫗㟱උ謓燘＞ᢻ쨠㖒喒ꗂ_xdb63_굺᫒䖄䊷ￌ꾚ㄠ깦걹덒涱ි艔ࢢꂄ裾䏿태촼枅幣蔾ḍ맞䢉죚⽄ᓡ齗៤祌೟﹢Ξ惶᯵킼해틒鈥ㄒ᳓絔➥ປ葅_xdf9c_ᗣ찏ᚯ撸놙Ɜ뾻쓥䆽질㸪ဢ셍㶡뤲㵕滓񙑮ル㳐첀때껳핿鸍茶舰夅舰䄄ΠĂȂ㴐흸盹恉憲Ự蛊〪؍⨉䢆čଁ_x0005_脰㇊》؉唃؄ȓ单ᜱᔰ̆ѕጊ嘎牥卩杩Ɱ䤠据ㄮ〟؝唃଄ᘓ敖楲楓湧吠畲瑳丠瑥潷歲㨱㠰̆ѕጋ⠱⥣㈠〰‶敖楲楓湧‬湉⹣ⴠ䘠牯愠瑵潨楲敺⁤獵⁥湯祬䔱䌰̆ѕጃ嘼牥卩杩⁮汃獡⁳″畐汢捩倠楲慭祲䌠牥楴楦慣楴湯䄠瑵潨楲祴ⴠ䜠〵᜞ㄍㄳㄲ〰〰〰娰ഗ㌲㈱㤰㌲㤵㤵ずㅿ》؉唃؄ȓ单ᴱᬰ̆ѕጊ匔浹湡整⁣潃灲牯瑡潩ㅮ〟؝唃଄ᘓ祓慭瑮捥吠畲瑳丠瑥潷歲〱⸰̆ѕጃ匧浹湡整⁣汃獡⁳″䡓㉁㘵䌠摯⁥楓湧湩⁧䅃舰∁രआ蘪虈෷āԁ̀Ƃ_x000f_舰ਁ舂ā需ẃᘀⲯ튱쐈棗冓Ṡ䟢_xdbb4_䵘戣둪媿儛ꏷ᠍桷_xd8bb_ꬶℯ_xda50_忧丧숋좗瀉ꦓ峚不ඤꂑ츔犑⹔ꏎ䓛勩㼛㱁䫊ꫤꬹ챓퀡쿌魿싦壌艪㘽᳏韅␇빻ⴱ渽뗜䊙䮟镡ᱟ紗诛懥碉棇꼛砑頚쒮䝕_xd953_㊳ꇖ䘎앀銗톊ꝓ宙㖅퍗鏪慢ਠデ⑷䴑荢몶桻ㆂ旮_xdfca_헹늍_xdc35_⮌橯屲葠鐌쁞剖䠀폌ꗸ_xde7d_휯꠸햄롆蘓ᯂ㡚鯝˛ăĀ芣茁舰缁⼰ࠆثԁ܅ā⌄ℰἰࠆثԁ܅İᎆ瑨灴⼺猯⸲祳捭⹢潣ねؒ唃ጝāӿ〈Ć！Ă　٬唃”攄挰愰ଆ虠ňŅᜇ〃げئ⬈Ćԅȇᘁ栚瑴㩰⼯睷⹷祳慭瑵⹨潣⽭灣びب⬈Ćԅȇ。᨜栚瑴㩰⼯睷⹷祳慭瑵⹨潣⽭灲ちذ唃Ἕ⤄✰┰⎠↠ᾆ瑨灴⼺猯⸱祳捭⹢潣⽭捰㍡札⸵牣ぬ؝唃┝ᘄᐰࠆثԁ܅ȃࠆثԁ܅̃ะ̆ᵕď！Єȃ؁⤰̆ᵕБ〢ꐠ〞ㄜ〚ؘ唃̄ᄓ祓慭瑮捥䭐ⵉⴱ㘵〷؝唃ฝᘄᐄ㮖㍹꾗荽⻯찫럊Ẇ晲ἰ̆ᵕУ〘耖缔旓슧र䏳塀꼂ㄳ〳؍⨉䢆čଁ_x0005_舃āጀ᪅椞㞩ꃷ꒽纯愝﹓貝౞疦砞⌗﷝᫬唃יּ镱旇Ꝛゎ䓒慚烛_xda6f_ԡ⻂멳鏑巾췉͞觠㾞Ṵ謸횩믏⼵堳銨텖䷈舻秦ᚄ⣼놰ꈝ_xd987_羦嚤㾥蒭⤮糞ꢼꎪн鎺ຢ≐ᜩ蝌㫤弑ꓖ褥֛⽫즴䰁笧갋ԙꀢᕠ_xda3f_﯉䱍ﮏ杲ﵷ鐧뫇ี䦈跾⣽䪯봒댍֗䓞ᔌ㛺̫쇜Őꇱ崑뷢䬧빔萫ཞ쎦մ쎗⊉ᾱ춽푃䳱㾩讵꾄ᓐㄡʂあʂȾā脰んㅿ》؉唃؄ȓ单ᴱᬰ̆ѕጊ匔浹湡整⁣潃灲牯瑡潩ㅮ〟؝唃଄ᘓ祓慭瑮捥吠畲瑳丠瑥潷歲〱⸰̆ѕጃ匧浹湡整⁣汃獡⁳″䡓㉁㘵䌠摯⁥楓湧湩⁧䅃ဂ䍂椳䲀蘩⮚맼嵻欝രआ虠ňͥȄԁꀀ肁ᐰਆثЁ舁ȷఁرаʠᤰआ蘪虈෷ँ㄃،⬊ĆĄ㞂Ă〄؜⬊ĆĄ㞂Ăㄋ『،⬊ĆĄ㞂Ă〕د⨉䢆čЉ∱ 澤섭Ὣ⸥㑞祵繴᪮嚡죲ᐋ龃ᄅ恫艓횓രआ蘪虈෷āԁЀƂ⤀꒭确긽ҥፏ魾䉫蒉㬼鄠덮텐摤稍쪆센磯Ὅ勴⼜樷➈辫ㆍ켯빌挈䗴䟼㥜ᔹ菹쇧럼୯吹䴣Ƒ퉘_xded5_냏눩✧豎핌ힽ낽蹁╋皮雴䋎ꊞ貚䆽껬櫑ߩ㔤鿌ള㿀俵埕麽覻䪙멶짗ꐑ혪輠Ⳳ젴툫骛ꄖ᎝ᓈẅ쭶긞獡閎⳹厼෮䔤_xdf6d_屝볧킪娗ￗㆻ戲_xdd7b_놮僧껑䪬ꠕ㮅洽爛쓺_xdd00_藶⚼솷볆ᓑ탆쨂約Ầሌ鬆뚭◞䢵耡蠳_x0004__x0000_䌀剅ᡔ_x0000_Ā_x0000_က_x0000_谀펔採䚭：㰴茋逊峎_x0000_Ā_x0000_Ѐ_x0000__x0000__x0008_Ѐ_x0000_Ā_x0000_က_x0000_舀졏鿺㭼啸撚ᑅ_x0000_Ā_x0000_᐀_x0000_ᤀ馅䊢袞涗㡝䷗ﭜ륁Ɇ_x0000_Ā_x0000_밀_x0000_ᰀ_x0000_氀_x0000_Ā_x0000__x0000__x0000__x0000__x0000__x0000__x0000_Ȁ_x0000_氀攀ⴀ攀㤀　㔀昀㔀愀　ⴀ昀㄀　㌀ⴀ㐀㈀愀㘀ⴀ㤀㜀㤀㔀ⴀ昀戀㄀搀㌀攀挀愀昀㔀㤀㜀_x0000_䴀椀挀爀漀猀漀昀琀 匀琀爀漀渀最 䌀爀礀瀀琀漀最爀愀瀀栀椀挀 倀爀漀瘀椀搀攀爀_x0000_̀_x0000_Ā_x0000_᐀_x0000_褀ൎ饚싥豖쳳ὄ㗼㷫ྐ_x0000_Ā_x0000_ _x0000_錀䏂球虠緟퉂숇뇹刏뇤妗싊⫯ꏪ᪂Է᧜_x0000_Ā_x0000_က_x0000_匀㳱䐅⟕啢ꘛ荤䭷_x0000_Ā_x0000_䐀_x0000_䔀䄀㘀㄀㠀　㤀㜀䔀㌀㤀㌀㐀　㤀䄀䘀䄀㌀㄀㘀䘀　䘀㠀㜀䔀㈀䌀㈀　㈀开_x0000_ _x0000_Ā_x0000_Ȁ_x0005_　҂ヾ΂ꃦȃȁဂ䍂椳䲀蘩⮚맼嵻欝രआ蘪虈෷āԋ　ㅿ》؉唃؄ȓ单ᴱᬰ̆ѕጊ匔浹湡整⁣潃灲牯瑡潩ㅮ〟؝唃଄ᘓ祓慭瑮捥吠畲瑳丠瑥潷歲〱⸰̆ѕጃ匧浹湡整⁣汃獡⁳″䡓㉁㘵䌠摯⁥楓湧湩⁧䅃Ḱഗ㔱㔰ㄱ〰〰〰᝚ㄍ〷ㄵ㈱㔳㔹娹脰ㆄ》؉唃؄ȓ䉇༱ര̆ѕఈ䰆湯潤ㅮ』؍唃܄،潌摮湯∱‰̆ѕఊ吙敨匠慴楴湯牥⁹晏楦散䰠摴଱र̆ѕఋ䤂ㅔ〢ؠ唃̄ᤌ桔⁥瑓瑡潩敮祲传晦捩⁥瑌つƂ〢؍⨉䢆čā_x0005_舃༁　ƂȊƂ_x0001_㛖柍_xd8c5_よ⡦諍㮩샖訳䰘酱᭟ⶵೕꒈ㫽_xd84b_⯒_xd862__xdff8_ヿ풍Ńᐍ㗡춄刢鞌睠䱽ᇇ᾿緯诉_xdc17_驔֘塪傔_xdfd6_䖻쥐ꆒ왙氺瀤僡縌肙䇖Ḙ盯뀷㼡巓뇅襬㞊 潄就᫲访ྀ릢罒↥츮輁瘏盁뻉敹貊ⴇ闄ꅺ陣溰赟鏪凕炝΍_xdd84_ẓ櫯纗钝댛偫湜ⱼ྾虻䭥⃘ꐡ⇌徽㐟脶缺㶪霴書჆뼛单௦ꚷﶢ稫眑̂_x0001_ꌁƂのƂな؉唃ጝȄ0ะ̆ᵕď！Єȃ耇ጰ̆ᵕХ「؊⬈Ćԅ̇〃٦唃”弄崰嬰ଆ虠ňŅᜇ〃がأ⬈Ćԅȇᘁ栗瑴獰⼺搯献浹扣挮浯振獰┰ࠆثԁ܅Ȃᤰ᜚瑨灴㩳⼯⹤祳捭⹢潣⽭灲ち؟唃⌝᠄ᘰᒀ㮖㍹꾗荽⻯찫럊Ẇ晲⬰̆ᵕП〤〢ꀠꀞ蘜栚瑴㩰⼯癳献浹扣挮浯猯⹶牣ぬٗ⬈ĆԅćЁかぉ؟⬈Ćԅ〇蘁栓瑴㩰⼯癳献浹摣挮浯☰ࠆثԁ܅Ȱ᪆瑨灴⼺猯⹶祳捭⹢潣⽭癳挮瑲ᄰआ虠ňłЁ̄Ђ【ؖ⬊ĆĄ㞂ĂЛ〈Ć_x0001_āヿ؍⨉䢆čଁ_x0005_舃ā␀⬀쪋ᴕᲨ䓤勶⏏도ꚠ塱帪밹딥앁⤊⨳ᮖ붊哕⣂俟ﺗ現ᜑ멚쓧鋊醺淌휀謷ግ_xd88b_ṱ믿‘鋊鈵쉕接竛튭萚띅챂髿₯昱禮劬놳퉭名ꊂ萈ﺠ膈ꫥ￰_xdc43_㳐藍啧揤㹞අ_xde1e_覹_xda48_䓈圔䰗_xdf79_戌黾받瓐埕틢◒ኒ팱吜ꕽ鬧䔎鲄༕꿌렖읤駦ꮱ뮧县뷄졁⫉∾䴐ꇁ㈽喹팽╮滙퀰耼䳌羮෕㚞_x0000__x0000__x0000__x0000__x0000__x0000__x0000_开"/>
    <w:docVar w:name="VerNumber" w:val="3.9.0"/>
  </w:docVars>
  <w:rsids>
    <w:rsidRoot w:val="00152064"/>
    <w:rsid w:val="00000766"/>
    <w:rsid w:val="000019B2"/>
    <w:rsid w:val="00001E72"/>
    <w:rsid w:val="00003A70"/>
    <w:rsid w:val="0000505F"/>
    <w:rsid w:val="000071A5"/>
    <w:rsid w:val="000079C0"/>
    <w:rsid w:val="00010950"/>
    <w:rsid w:val="00010EE1"/>
    <w:rsid w:val="00012458"/>
    <w:rsid w:val="000142F1"/>
    <w:rsid w:val="0001460F"/>
    <w:rsid w:val="000166B7"/>
    <w:rsid w:val="00021306"/>
    <w:rsid w:val="000222F1"/>
    <w:rsid w:val="00022BE0"/>
    <w:rsid w:val="00022F52"/>
    <w:rsid w:val="00023080"/>
    <w:rsid w:val="0002370C"/>
    <w:rsid w:val="000239A7"/>
    <w:rsid w:val="00023E62"/>
    <w:rsid w:val="000251D0"/>
    <w:rsid w:val="00026555"/>
    <w:rsid w:val="00026AC0"/>
    <w:rsid w:val="0003786D"/>
    <w:rsid w:val="0004016B"/>
    <w:rsid w:val="000407D8"/>
    <w:rsid w:val="00045828"/>
    <w:rsid w:val="00045BAD"/>
    <w:rsid w:val="00051403"/>
    <w:rsid w:val="00052F44"/>
    <w:rsid w:val="00056EE6"/>
    <w:rsid w:val="0006047F"/>
    <w:rsid w:val="0006053F"/>
    <w:rsid w:val="000671A2"/>
    <w:rsid w:val="00070EEB"/>
    <w:rsid w:val="00071299"/>
    <w:rsid w:val="00072272"/>
    <w:rsid w:val="0007524C"/>
    <w:rsid w:val="0007532E"/>
    <w:rsid w:val="000767AC"/>
    <w:rsid w:val="0007695E"/>
    <w:rsid w:val="00076A78"/>
    <w:rsid w:val="00076C08"/>
    <w:rsid w:val="00077D19"/>
    <w:rsid w:val="00082659"/>
    <w:rsid w:val="00082BAC"/>
    <w:rsid w:val="000860CC"/>
    <w:rsid w:val="00086128"/>
    <w:rsid w:val="0008731F"/>
    <w:rsid w:val="00093598"/>
    <w:rsid w:val="0009381F"/>
    <w:rsid w:val="00094680"/>
    <w:rsid w:val="000956FD"/>
    <w:rsid w:val="000A36EE"/>
    <w:rsid w:val="000A5C5D"/>
    <w:rsid w:val="000A6E4B"/>
    <w:rsid w:val="000A79FC"/>
    <w:rsid w:val="000B07A1"/>
    <w:rsid w:val="000B1176"/>
    <w:rsid w:val="000B3E49"/>
    <w:rsid w:val="000C031E"/>
    <w:rsid w:val="000C165A"/>
    <w:rsid w:val="000C1D45"/>
    <w:rsid w:val="000C30D8"/>
    <w:rsid w:val="000C4589"/>
    <w:rsid w:val="000C57D5"/>
    <w:rsid w:val="000C6A87"/>
    <w:rsid w:val="000D1CB0"/>
    <w:rsid w:val="000D55B5"/>
    <w:rsid w:val="000D58BD"/>
    <w:rsid w:val="000D5ED5"/>
    <w:rsid w:val="000D7F7C"/>
    <w:rsid w:val="000E3308"/>
    <w:rsid w:val="000E3FD7"/>
    <w:rsid w:val="000E452D"/>
    <w:rsid w:val="000F004E"/>
    <w:rsid w:val="000F0840"/>
    <w:rsid w:val="000F37BB"/>
    <w:rsid w:val="000F4481"/>
    <w:rsid w:val="000F57BB"/>
    <w:rsid w:val="00101961"/>
    <w:rsid w:val="00102870"/>
    <w:rsid w:val="00110396"/>
    <w:rsid w:val="001110DB"/>
    <w:rsid w:val="00115D70"/>
    <w:rsid w:val="00120113"/>
    <w:rsid w:val="001235DD"/>
    <w:rsid w:val="0012369A"/>
    <w:rsid w:val="001243CD"/>
    <w:rsid w:val="0012460B"/>
    <w:rsid w:val="00127373"/>
    <w:rsid w:val="00131CE4"/>
    <w:rsid w:val="00133A17"/>
    <w:rsid w:val="00133C58"/>
    <w:rsid w:val="001365F4"/>
    <w:rsid w:val="0014140D"/>
    <w:rsid w:val="00141B6F"/>
    <w:rsid w:val="0014336D"/>
    <w:rsid w:val="001477D1"/>
    <w:rsid w:val="00150DAE"/>
    <w:rsid w:val="00152064"/>
    <w:rsid w:val="0015254E"/>
    <w:rsid w:val="00152C60"/>
    <w:rsid w:val="001535F3"/>
    <w:rsid w:val="00156E0C"/>
    <w:rsid w:val="00160691"/>
    <w:rsid w:val="00165113"/>
    <w:rsid w:val="001709E2"/>
    <w:rsid w:val="00174C10"/>
    <w:rsid w:val="00175447"/>
    <w:rsid w:val="00182B85"/>
    <w:rsid w:val="00183038"/>
    <w:rsid w:val="00183882"/>
    <w:rsid w:val="001844B6"/>
    <w:rsid w:val="001851A3"/>
    <w:rsid w:val="001851B9"/>
    <w:rsid w:val="001855B1"/>
    <w:rsid w:val="0019021E"/>
    <w:rsid w:val="00190F9A"/>
    <w:rsid w:val="00194050"/>
    <w:rsid w:val="00194745"/>
    <w:rsid w:val="00194E96"/>
    <w:rsid w:val="001A07F1"/>
    <w:rsid w:val="001A3B0B"/>
    <w:rsid w:val="001A4332"/>
    <w:rsid w:val="001A4432"/>
    <w:rsid w:val="001A478E"/>
    <w:rsid w:val="001A509E"/>
    <w:rsid w:val="001A6FE6"/>
    <w:rsid w:val="001A7B61"/>
    <w:rsid w:val="001A7D6D"/>
    <w:rsid w:val="001B1210"/>
    <w:rsid w:val="001B305C"/>
    <w:rsid w:val="001B34EB"/>
    <w:rsid w:val="001C0644"/>
    <w:rsid w:val="001C0B58"/>
    <w:rsid w:val="001C3363"/>
    <w:rsid w:val="001C7C39"/>
    <w:rsid w:val="001D09CC"/>
    <w:rsid w:val="001D0AF4"/>
    <w:rsid w:val="001D12D6"/>
    <w:rsid w:val="001D2096"/>
    <w:rsid w:val="001D3A43"/>
    <w:rsid w:val="001D3C11"/>
    <w:rsid w:val="001D4AA8"/>
    <w:rsid w:val="001D4D42"/>
    <w:rsid w:val="001D5EC9"/>
    <w:rsid w:val="001D6B90"/>
    <w:rsid w:val="001E152A"/>
    <w:rsid w:val="001E1DA0"/>
    <w:rsid w:val="001F4352"/>
    <w:rsid w:val="001F5423"/>
    <w:rsid w:val="001F5DD9"/>
    <w:rsid w:val="001F69E9"/>
    <w:rsid w:val="001F6D51"/>
    <w:rsid w:val="001F71C9"/>
    <w:rsid w:val="0020104C"/>
    <w:rsid w:val="0020151D"/>
    <w:rsid w:val="00201B79"/>
    <w:rsid w:val="00202E56"/>
    <w:rsid w:val="002033D6"/>
    <w:rsid w:val="00203758"/>
    <w:rsid w:val="00204AB1"/>
    <w:rsid w:val="00205E05"/>
    <w:rsid w:val="0020708B"/>
    <w:rsid w:val="00207B21"/>
    <w:rsid w:val="00207D2A"/>
    <w:rsid w:val="00211257"/>
    <w:rsid w:val="002144F0"/>
    <w:rsid w:val="00216F02"/>
    <w:rsid w:val="0021731F"/>
    <w:rsid w:val="00217CA1"/>
    <w:rsid w:val="00220F29"/>
    <w:rsid w:val="00221FAD"/>
    <w:rsid w:val="0022490F"/>
    <w:rsid w:val="00225F9C"/>
    <w:rsid w:val="002274E5"/>
    <w:rsid w:val="0022767B"/>
    <w:rsid w:val="00227EBE"/>
    <w:rsid w:val="0023355B"/>
    <w:rsid w:val="002347A2"/>
    <w:rsid w:val="00241738"/>
    <w:rsid w:val="002425C2"/>
    <w:rsid w:val="00242C41"/>
    <w:rsid w:val="002437A8"/>
    <w:rsid w:val="00246360"/>
    <w:rsid w:val="00250259"/>
    <w:rsid w:val="00251ED1"/>
    <w:rsid w:val="002530A8"/>
    <w:rsid w:val="00253F4D"/>
    <w:rsid w:val="0026191F"/>
    <w:rsid w:val="00262437"/>
    <w:rsid w:val="00265153"/>
    <w:rsid w:val="002718D6"/>
    <w:rsid w:val="00272539"/>
    <w:rsid w:val="00272F62"/>
    <w:rsid w:val="00273A3C"/>
    <w:rsid w:val="00281E7E"/>
    <w:rsid w:val="00282EFA"/>
    <w:rsid w:val="002837FC"/>
    <w:rsid w:val="00284C30"/>
    <w:rsid w:val="00286282"/>
    <w:rsid w:val="0028755A"/>
    <w:rsid w:val="00287BA8"/>
    <w:rsid w:val="00287DF9"/>
    <w:rsid w:val="00290335"/>
    <w:rsid w:val="0029158C"/>
    <w:rsid w:val="002A06DA"/>
    <w:rsid w:val="002A456F"/>
    <w:rsid w:val="002A6E2B"/>
    <w:rsid w:val="002B2572"/>
    <w:rsid w:val="002B4D79"/>
    <w:rsid w:val="002B7335"/>
    <w:rsid w:val="002B77F5"/>
    <w:rsid w:val="002C1D0C"/>
    <w:rsid w:val="002C1EC2"/>
    <w:rsid w:val="002C331D"/>
    <w:rsid w:val="002D1AE9"/>
    <w:rsid w:val="002D2D7E"/>
    <w:rsid w:val="002D3103"/>
    <w:rsid w:val="002D4104"/>
    <w:rsid w:val="002D4177"/>
    <w:rsid w:val="002D548B"/>
    <w:rsid w:val="002D66B1"/>
    <w:rsid w:val="002D7ECF"/>
    <w:rsid w:val="002E1C94"/>
    <w:rsid w:val="002E46DE"/>
    <w:rsid w:val="002E5406"/>
    <w:rsid w:val="002E78D7"/>
    <w:rsid w:val="002F1CB1"/>
    <w:rsid w:val="002F3633"/>
    <w:rsid w:val="002F5B67"/>
    <w:rsid w:val="002F653C"/>
    <w:rsid w:val="002F7D4C"/>
    <w:rsid w:val="00300CED"/>
    <w:rsid w:val="00300D77"/>
    <w:rsid w:val="003030E1"/>
    <w:rsid w:val="00304677"/>
    <w:rsid w:val="00304C1D"/>
    <w:rsid w:val="003069E8"/>
    <w:rsid w:val="00307737"/>
    <w:rsid w:val="00307E85"/>
    <w:rsid w:val="00310269"/>
    <w:rsid w:val="00310E67"/>
    <w:rsid w:val="003111DB"/>
    <w:rsid w:val="00311373"/>
    <w:rsid w:val="00311CCB"/>
    <w:rsid w:val="00313937"/>
    <w:rsid w:val="00314466"/>
    <w:rsid w:val="003149E9"/>
    <w:rsid w:val="00316B83"/>
    <w:rsid w:val="00317DAD"/>
    <w:rsid w:val="003203C7"/>
    <w:rsid w:val="00320415"/>
    <w:rsid w:val="003228BF"/>
    <w:rsid w:val="00322E0B"/>
    <w:rsid w:val="00323107"/>
    <w:rsid w:val="00323C5A"/>
    <w:rsid w:val="00324485"/>
    <w:rsid w:val="00331DCE"/>
    <w:rsid w:val="00332055"/>
    <w:rsid w:val="00332280"/>
    <w:rsid w:val="003323DB"/>
    <w:rsid w:val="00332B05"/>
    <w:rsid w:val="003330C7"/>
    <w:rsid w:val="00335C9A"/>
    <w:rsid w:val="003409BF"/>
    <w:rsid w:val="00345525"/>
    <w:rsid w:val="00351302"/>
    <w:rsid w:val="00355E73"/>
    <w:rsid w:val="00356841"/>
    <w:rsid w:val="003640B6"/>
    <w:rsid w:val="00364715"/>
    <w:rsid w:val="00365687"/>
    <w:rsid w:val="003657AB"/>
    <w:rsid w:val="00370A03"/>
    <w:rsid w:val="00372A69"/>
    <w:rsid w:val="00376491"/>
    <w:rsid w:val="00380189"/>
    <w:rsid w:val="00380A15"/>
    <w:rsid w:val="00381107"/>
    <w:rsid w:val="00381308"/>
    <w:rsid w:val="003818E8"/>
    <w:rsid w:val="003848EF"/>
    <w:rsid w:val="00384905"/>
    <w:rsid w:val="00385BF8"/>
    <w:rsid w:val="00386560"/>
    <w:rsid w:val="00395DFD"/>
    <w:rsid w:val="00395F95"/>
    <w:rsid w:val="00396C1A"/>
    <w:rsid w:val="003972F5"/>
    <w:rsid w:val="003A12B1"/>
    <w:rsid w:val="003A151C"/>
    <w:rsid w:val="003A433E"/>
    <w:rsid w:val="003A53C5"/>
    <w:rsid w:val="003A5EEC"/>
    <w:rsid w:val="003A6079"/>
    <w:rsid w:val="003A68AB"/>
    <w:rsid w:val="003A7572"/>
    <w:rsid w:val="003B00FB"/>
    <w:rsid w:val="003B04F0"/>
    <w:rsid w:val="003B1336"/>
    <w:rsid w:val="003B20FC"/>
    <w:rsid w:val="003B30DD"/>
    <w:rsid w:val="003B3E18"/>
    <w:rsid w:val="003B72CF"/>
    <w:rsid w:val="003B78AB"/>
    <w:rsid w:val="003C2DEE"/>
    <w:rsid w:val="003C4286"/>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66BB"/>
    <w:rsid w:val="003E7A4D"/>
    <w:rsid w:val="003F1D29"/>
    <w:rsid w:val="003F1F49"/>
    <w:rsid w:val="003F2FA0"/>
    <w:rsid w:val="003F42A7"/>
    <w:rsid w:val="003F6045"/>
    <w:rsid w:val="003F71C5"/>
    <w:rsid w:val="004016DE"/>
    <w:rsid w:val="004025DC"/>
    <w:rsid w:val="00402E80"/>
    <w:rsid w:val="004041B8"/>
    <w:rsid w:val="00405ACA"/>
    <w:rsid w:val="00415552"/>
    <w:rsid w:val="00416050"/>
    <w:rsid w:val="00417259"/>
    <w:rsid w:val="004175D4"/>
    <w:rsid w:val="00422963"/>
    <w:rsid w:val="004240A9"/>
    <w:rsid w:val="0042494E"/>
    <w:rsid w:val="00426AB3"/>
    <w:rsid w:val="00432445"/>
    <w:rsid w:val="00433533"/>
    <w:rsid w:val="0043446F"/>
    <w:rsid w:val="0043683F"/>
    <w:rsid w:val="004406D1"/>
    <w:rsid w:val="00440A77"/>
    <w:rsid w:val="004422A6"/>
    <w:rsid w:val="004442E2"/>
    <w:rsid w:val="00445634"/>
    <w:rsid w:val="0045253C"/>
    <w:rsid w:val="00452B35"/>
    <w:rsid w:val="004547EA"/>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96D"/>
    <w:rsid w:val="00481DBF"/>
    <w:rsid w:val="00483E1A"/>
    <w:rsid w:val="00483FB7"/>
    <w:rsid w:val="00485114"/>
    <w:rsid w:val="004860C0"/>
    <w:rsid w:val="00487074"/>
    <w:rsid w:val="0049066B"/>
    <w:rsid w:val="0049072A"/>
    <w:rsid w:val="00490FF7"/>
    <w:rsid w:val="004930F6"/>
    <w:rsid w:val="00493B5E"/>
    <w:rsid w:val="0049416F"/>
    <w:rsid w:val="004948C9"/>
    <w:rsid w:val="00495404"/>
    <w:rsid w:val="00497931"/>
    <w:rsid w:val="004A14BC"/>
    <w:rsid w:val="004A3D93"/>
    <w:rsid w:val="004A3EFD"/>
    <w:rsid w:val="004A3F27"/>
    <w:rsid w:val="004A7E39"/>
    <w:rsid w:val="004B1880"/>
    <w:rsid w:val="004B3B7B"/>
    <w:rsid w:val="004B5251"/>
    <w:rsid w:val="004C1BBB"/>
    <w:rsid w:val="004C4C8F"/>
    <w:rsid w:val="004C5754"/>
    <w:rsid w:val="004D0574"/>
    <w:rsid w:val="004D0C7C"/>
    <w:rsid w:val="004D118B"/>
    <w:rsid w:val="004D6A72"/>
    <w:rsid w:val="004E1174"/>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463E"/>
    <w:rsid w:val="00525511"/>
    <w:rsid w:val="00526B28"/>
    <w:rsid w:val="00527387"/>
    <w:rsid w:val="00527A7D"/>
    <w:rsid w:val="00533D7B"/>
    <w:rsid w:val="005409C5"/>
    <w:rsid w:val="00540A7C"/>
    <w:rsid w:val="00544292"/>
    <w:rsid w:val="005456EC"/>
    <w:rsid w:val="00547154"/>
    <w:rsid w:val="00554795"/>
    <w:rsid w:val="00556DEA"/>
    <w:rsid w:val="00560465"/>
    <w:rsid w:val="00560972"/>
    <w:rsid w:val="00563F7B"/>
    <w:rsid w:val="005640A6"/>
    <w:rsid w:val="0056664A"/>
    <w:rsid w:val="00570F8E"/>
    <w:rsid w:val="005719FD"/>
    <w:rsid w:val="00571B06"/>
    <w:rsid w:val="00572118"/>
    <w:rsid w:val="00573359"/>
    <w:rsid w:val="00574A89"/>
    <w:rsid w:val="00575FFA"/>
    <w:rsid w:val="00576F30"/>
    <w:rsid w:val="00586CE4"/>
    <w:rsid w:val="00586D82"/>
    <w:rsid w:val="005875FD"/>
    <w:rsid w:val="005879B8"/>
    <w:rsid w:val="00591130"/>
    <w:rsid w:val="00593648"/>
    <w:rsid w:val="00594141"/>
    <w:rsid w:val="00594AC6"/>
    <w:rsid w:val="00594F99"/>
    <w:rsid w:val="00596F19"/>
    <w:rsid w:val="005970B5"/>
    <w:rsid w:val="005978D0"/>
    <w:rsid w:val="005A0026"/>
    <w:rsid w:val="005A0B86"/>
    <w:rsid w:val="005A2FC0"/>
    <w:rsid w:val="005A3880"/>
    <w:rsid w:val="005A66F6"/>
    <w:rsid w:val="005A7A14"/>
    <w:rsid w:val="005B341F"/>
    <w:rsid w:val="005B44D6"/>
    <w:rsid w:val="005B5651"/>
    <w:rsid w:val="005B613F"/>
    <w:rsid w:val="005C0E7F"/>
    <w:rsid w:val="005D27B8"/>
    <w:rsid w:val="005D2E03"/>
    <w:rsid w:val="005D4544"/>
    <w:rsid w:val="005D4F09"/>
    <w:rsid w:val="005D5178"/>
    <w:rsid w:val="005D6EA8"/>
    <w:rsid w:val="005D6F05"/>
    <w:rsid w:val="005E10E3"/>
    <w:rsid w:val="005E3FC7"/>
    <w:rsid w:val="005F32E7"/>
    <w:rsid w:val="005F54D7"/>
    <w:rsid w:val="005F698B"/>
    <w:rsid w:val="00600956"/>
    <w:rsid w:val="006011E1"/>
    <w:rsid w:val="00602401"/>
    <w:rsid w:val="00604158"/>
    <w:rsid w:val="0060666C"/>
    <w:rsid w:val="00606C5F"/>
    <w:rsid w:val="00614CE6"/>
    <w:rsid w:val="00615CA5"/>
    <w:rsid w:val="00615D43"/>
    <w:rsid w:val="00616BCC"/>
    <w:rsid w:val="0061761A"/>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33A7"/>
    <w:rsid w:val="00635BAE"/>
    <w:rsid w:val="00641D5A"/>
    <w:rsid w:val="00642777"/>
    <w:rsid w:val="00643B89"/>
    <w:rsid w:val="00645936"/>
    <w:rsid w:val="00646433"/>
    <w:rsid w:val="00646B92"/>
    <w:rsid w:val="00647402"/>
    <w:rsid w:val="00650282"/>
    <w:rsid w:val="00650A11"/>
    <w:rsid w:val="006511BB"/>
    <w:rsid w:val="006531EF"/>
    <w:rsid w:val="00656305"/>
    <w:rsid w:val="0066034A"/>
    <w:rsid w:val="006631B8"/>
    <w:rsid w:val="006656EC"/>
    <w:rsid w:val="006662EE"/>
    <w:rsid w:val="00667977"/>
    <w:rsid w:val="006725A4"/>
    <w:rsid w:val="00674043"/>
    <w:rsid w:val="0067720E"/>
    <w:rsid w:val="00677C65"/>
    <w:rsid w:val="0068051F"/>
    <w:rsid w:val="006812CF"/>
    <w:rsid w:val="006820E6"/>
    <w:rsid w:val="006824EE"/>
    <w:rsid w:val="00682BBC"/>
    <w:rsid w:val="00684490"/>
    <w:rsid w:val="006867B7"/>
    <w:rsid w:val="00686F5E"/>
    <w:rsid w:val="006914EF"/>
    <w:rsid w:val="00692DE8"/>
    <w:rsid w:val="0069403E"/>
    <w:rsid w:val="006945C8"/>
    <w:rsid w:val="00695B67"/>
    <w:rsid w:val="006A0557"/>
    <w:rsid w:val="006A0782"/>
    <w:rsid w:val="006A1B09"/>
    <w:rsid w:val="006A2A2C"/>
    <w:rsid w:val="006A2D92"/>
    <w:rsid w:val="006A56C1"/>
    <w:rsid w:val="006A5A2E"/>
    <w:rsid w:val="006B04D1"/>
    <w:rsid w:val="006B3C41"/>
    <w:rsid w:val="006B4257"/>
    <w:rsid w:val="006C0521"/>
    <w:rsid w:val="006C5CE3"/>
    <w:rsid w:val="006C6483"/>
    <w:rsid w:val="006C7426"/>
    <w:rsid w:val="006D1474"/>
    <w:rsid w:val="006D1F7D"/>
    <w:rsid w:val="006D29CD"/>
    <w:rsid w:val="006D2BE3"/>
    <w:rsid w:val="006D2BEB"/>
    <w:rsid w:val="006D2BF3"/>
    <w:rsid w:val="006D37CF"/>
    <w:rsid w:val="006E11EC"/>
    <w:rsid w:val="006E17B6"/>
    <w:rsid w:val="006E7242"/>
    <w:rsid w:val="006F0945"/>
    <w:rsid w:val="006F3BB8"/>
    <w:rsid w:val="0070149F"/>
    <w:rsid w:val="00703D2D"/>
    <w:rsid w:val="00706FE9"/>
    <w:rsid w:val="00710BF9"/>
    <w:rsid w:val="00712914"/>
    <w:rsid w:val="0071360C"/>
    <w:rsid w:val="0071367B"/>
    <w:rsid w:val="007139B6"/>
    <w:rsid w:val="0071468E"/>
    <w:rsid w:val="0071686F"/>
    <w:rsid w:val="00716A12"/>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6255"/>
    <w:rsid w:val="00736A54"/>
    <w:rsid w:val="00744ECC"/>
    <w:rsid w:val="0074677C"/>
    <w:rsid w:val="00746E21"/>
    <w:rsid w:val="0074740B"/>
    <w:rsid w:val="00747E73"/>
    <w:rsid w:val="0075393B"/>
    <w:rsid w:val="0075471A"/>
    <w:rsid w:val="0075771C"/>
    <w:rsid w:val="007608D7"/>
    <w:rsid w:val="00763D76"/>
    <w:rsid w:val="00764FAA"/>
    <w:rsid w:val="00767A04"/>
    <w:rsid w:val="00773719"/>
    <w:rsid w:val="00773B58"/>
    <w:rsid w:val="00774343"/>
    <w:rsid w:val="007754E1"/>
    <w:rsid w:val="00777487"/>
    <w:rsid w:val="007777A1"/>
    <w:rsid w:val="0078003D"/>
    <w:rsid w:val="0078273E"/>
    <w:rsid w:val="00782DCD"/>
    <w:rsid w:val="00782F88"/>
    <w:rsid w:val="0078471D"/>
    <w:rsid w:val="00784EC0"/>
    <w:rsid w:val="0078730F"/>
    <w:rsid w:val="0078760F"/>
    <w:rsid w:val="007913FD"/>
    <w:rsid w:val="0079221B"/>
    <w:rsid w:val="007925C2"/>
    <w:rsid w:val="00796A50"/>
    <w:rsid w:val="007A01E1"/>
    <w:rsid w:val="007A49C2"/>
    <w:rsid w:val="007A4BDD"/>
    <w:rsid w:val="007B05B3"/>
    <w:rsid w:val="007B14CE"/>
    <w:rsid w:val="007B33D7"/>
    <w:rsid w:val="007C08F8"/>
    <w:rsid w:val="007C1837"/>
    <w:rsid w:val="007C2377"/>
    <w:rsid w:val="007C293A"/>
    <w:rsid w:val="007D0CC0"/>
    <w:rsid w:val="007D537B"/>
    <w:rsid w:val="007D6F3F"/>
    <w:rsid w:val="007E1522"/>
    <w:rsid w:val="007E190E"/>
    <w:rsid w:val="007E1D58"/>
    <w:rsid w:val="007E6CF8"/>
    <w:rsid w:val="007E6ECC"/>
    <w:rsid w:val="007F0ABE"/>
    <w:rsid w:val="007F0ED9"/>
    <w:rsid w:val="007F25A7"/>
    <w:rsid w:val="007F2645"/>
    <w:rsid w:val="007F4668"/>
    <w:rsid w:val="007F571B"/>
    <w:rsid w:val="007F64C7"/>
    <w:rsid w:val="008031EC"/>
    <w:rsid w:val="008034D8"/>
    <w:rsid w:val="008054F0"/>
    <w:rsid w:val="00805BD3"/>
    <w:rsid w:val="00807DB6"/>
    <w:rsid w:val="00815425"/>
    <w:rsid w:val="008155E3"/>
    <w:rsid w:val="00817638"/>
    <w:rsid w:val="008228A5"/>
    <w:rsid w:val="00822B3C"/>
    <w:rsid w:val="00830ED9"/>
    <w:rsid w:val="00834367"/>
    <w:rsid w:val="008369A3"/>
    <w:rsid w:val="00837300"/>
    <w:rsid w:val="00837F65"/>
    <w:rsid w:val="008410B6"/>
    <w:rsid w:val="00845B33"/>
    <w:rsid w:val="008478CE"/>
    <w:rsid w:val="00847C2B"/>
    <w:rsid w:val="00847E7D"/>
    <w:rsid w:val="00847F14"/>
    <w:rsid w:val="00850CF7"/>
    <w:rsid w:val="00854B58"/>
    <w:rsid w:val="0085583B"/>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39E5"/>
    <w:rsid w:val="00883C78"/>
    <w:rsid w:val="0088761A"/>
    <w:rsid w:val="00890A9E"/>
    <w:rsid w:val="00892576"/>
    <w:rsid w:val="00894601"/>
    <w:rsid w:val="00894CD3"/>
    <w:rsid w:val="00895D49"/>
    <w:rsid w:val="0089699B"/>
    <w:rsid w:val="008A4654"/>
    <w:rsid w:val="008A6491"/>
    <w:rsid w:val="008A6708"/>
    <w:rsid w:val="008A7CF1"/>
    <w:rsid w:val="008B0674"/>
    <w:rsid w:val="008B0B60"/>
    <w:rsid w:val="008B0CFF"/>
    <w:rsid w:val="008B20C2"/>
    <w:rsid w:val="008B333C"/>
    <w:rsid w:val="008B3CD2"/>
    <w:rsid w:val="008B5C6E"/>
    <w:rsid w:val="008B75E1"/>
    <w:rsid w:val="008C011F"/>
    <w:rsid w:val="008C0805"/>
    <w:rsid w:val="008C096C"/>
    <w:rsid w:val="008C0B6E"/>
    <w:rsid w:val="008C1CAA"/>
    <w:rsid w:val="008C26F4"/>
    <w:rsid w:val="008C3539"/>
    <w:rsid w:val="008C4888"/>
    <w:rsid w:val="008C624A"/>
    <w:rsid w:val="008D1DB1"/>
    <w:rsid w:val="008D1DF0"/>
    <w:rsid w:val="008D3892"/>
    <w:rsid w:val="008D39AA"/>
    <w:rsid w:val="008D5118"/>
    <w:rsid w:val="008D55F9"/>
    <w:rsid w:val="008D6A9C"/>
    <w:rsid w:val="008E0D56"/>
    <w:rsid w:val="008E2B2F"/>
    <w:rsid w:val="008E348C"/>
    <w:rsid w:val="008E4DFF"/>
    <w:rsid w:val="008E549E"/>
    <w:rsid w:val="008E54D0"/>
    <w:rsid w:val="008E5E23"/>
    <w:rsid w:val="008E67C0"/>
    <w:rsid w:val="008E7F9F"/>
    <w:rsid w:val="008F09FE"/>
    <w:rsid w:val="008F1046"/>
    <w:rsid w:val="008F18B3"/>
    <w:rsid w:val="008F1E40"/>
    <w:rsid w:val="008F281A"/>
    <w:rsid w:val="008F2DC7"/>
    <w:rsid w:val="008F4AD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20962"/>
    <w:rsid w:val="00920A27"/>
    <w:rsid w:val="0092726F"/>
    <w:rsid w:val="009308F0"/>
    <w:rsid w:val="0093251D"/>
    <w:rsid w:val="00936C94"/>
    <w:rsid w:val="00937CD8"/>
    <w:rsid w:val="00937DFB"/>
    <w:rsid w:val="00941D69"/>
    <w:rsid w:val="00944597"/>
    <w:rsid w:val="00944936"/>
    <w:rsid w:val="00944AA7"/>
    <w:rsid w:val="00946AD7"/>
    <w:rsid w:val="00947C30"/>
    <w:rsid w:val="00947F91"/>
    <w:rsid w:val="0095045E"/>
    <w:rsid w:val="00952D7C"/>
    <w:rsid w:val="009540D9"/>
    <w:rsid w:val="009546F6"/>
    <w:rsid w:val="009569C9"/>
    <w:rsid w:val="00956BA1"/>
    <w:rsid w:val="00961356"/>
    <w:rsid w:val="00962C9F"/>
    <w:rsid w:val="00963DA9"/>
    <w:rsid w:val="0096455D"/>
    <w:rsid w:val="00964F55"/>
    <w:rsid w:val="00965CBF"/>
    <w:rsid w:val="00966271"/>
    <w:rsid w:val="0097372C"/>
    <w:rsid w:val="009769C6"/>
    <w:rsid w:val="00977F47"/>
    <w:rsid w:val="00980FD2"/>
    <w:rsid w:val="009837EF"/>
    <w:rsid w:val="00984BDC"/>
    <w:rsid w:val="009857E0"/>
    <w:rsid w:val="00987A1D"/>
    <w:rsid w:val="009918FB"/>
    <w:rsid w:val="00991CE2"/>
    <w:rsid w:val="009A0497"/>
    <w:rsid w:val="009A1142"/>
    <w:rsid w:val="009A1A9A"/>
    <w:rsid w:val="009A2D21"/>
    <w:rsid w:val="009B157C"/>
    <w:rsid w:val="009B2293"/>
    <w:rsid w:val="009B36BF"/>
    <w:rsid w:val="009B5872"/>
    <w:rsid w:val="009B5A80"/>
    <w:rsid w:val="009B671B"/>
    <w:rsid w:val="009B6ACF"/>
    <w:rsid w:val="009B6B48"/>
    <w:rsid w:val="009B7123"/>
    <w:rsid w:val="009C0CEB"/>
    <w:rsid w:val="009C3E19"/>
    <w:rsid w:val="009C74B5"/>
    <w:rsid w:val="009C7BD2"/>
    <w:rsid w:val="009D0E47"/>
    <w:rsid w:val="009D1F1C"/>
    <w:rsid w:val="009D2902"/>
    <w:rsid w:val="009D3AEC"/>
    <w:rsid w:val="009D7957"/>
    <w:rsid w:val="009D7CE6"/>
    <w:rsid w:val="009E008F"/>
    <w:rsid w:val="009E0870"/>
    <w:rsid w:val="009E262C"/>
    <w:rsid w:val="009E3B03"/>
    <w:rsid w:val="009E6430"/>
    <w:rsid w:val="009E720C"/>
    <w:rsid w:val="009E771F"/>
    <w:rsid w:val="009F48BD"/>
    <w:rsid w:val="009F56A0"/>
    <w:rsid w:val="009F6692"/>
    <w:rsid w:val="00A00F82"/>
    <w:rsid w:val="00A02AB8"/>
    <w:rsid w:val="00A0444F"/>
    <w:rsid w:val="00A05393"/>
    <w:rsid w:val="00A05924"/>
    <w:rsid w:val="00A12337"/>
    <w:rsid w:val="00A127AE"/>
    <w:rsid w:val="00A212FC"/>
    <w:rsid w:val="00A21C3A"/>
    <w:rsid w:val="00A22274"/>
    <w:rsid w:val="00A223AF"/>
    <w:rsid w:val="00A2267C"/>
    <w:rsid w:val="00A23419"/>
    <w:rsid w:val="00A32793"/>
    <w:rsid w:val="00A376D1"/>
    <w:rsid w:val="00A40C1F"/>
    <w:rsid w:val="00A412A4"/>
    <w:rsid w:val="00A44E29"/>
    <w:rsid w:val="00A45752"/>
    <w:rsid w:val="00A46BA8"/>
    <w:rsid w:val="00A54607"/>
    <w:rsid w:val="00A566F7"/>
    <w:rsid w:val="00A60788"/>
    <w:rsid w:val="00A624D4"/>
    <w:rsid w:val="00A63795"/>
    <w:rsid w:val="00A63817"/>
    <w:rsid w:val="00A64DFC"/>
    <w:rsid w:val="00A64E67"/>
    <w:rsid w:val="00A65708"/>
    <w:rsid w:val="00A74FE2"/>
    <w:rsid w:val="00A75DAF"/>
    <w:rsid w:val="00A80316"/>
    <w:rsid w:val="00A80DCD"/>
    <w:rsid w:val="00A8360B"/>
    <w:rsid w:val="00A857D9"/>
    <w:rsid w:val="00A90857"/>
    <w:rsid w:val="00A90A64"/>
    <w:rsid w:val="00A91448"/>
    <w:rsid w:val="00A92245"/>
    <w:rsid w:val="00A93A78"/>
    <w:rsid w:val="00A94548"/>
    <w:rsid w:val="00AA25A1"/>
    <w:rsid w:val="00AA2B6A"/>
    <w:rsid w:val="00AA4B70"/>
    <w:rsid w:val="00AA7756"/>
    <w:rsid w:val="00AB2960"/>
    <w:rsid w:val="00AB574B"/>
    <w:rsid w:val="00AB6DF3"/>
    <w:rsid w:val="00AB79EC"/>
    <w:rsid w:val="00AC06AD"/>
    <w:rsid w:val="00AC1849"/>
    <w:rsid w:val="00AC1DB2"/>
    <w:rsid w:val="00AC23DD"/>
    <w:rsid w:val="00AC4436"/>
    <w:rsid w:val="00AC6D7C"/>
    <w:rsid w:val="00AC758F"/>
    <w:rsid w:val="00AD01BB"/>
    <w:rsid w:val="00AD02B4"/>
    <w:rsid w:val="00AD4CDC"/>
    <w:rsid w:val="00AD5C7A"/>
    <w:rsid w:val="00AD640D"/>
    <w:rsid w:val="00AD6B21"/>
    <w:rsid w:val="00AD6D7F"/>
    <w:rsid w:val="00AE0DAF"/>
    <w:rsid w:val="00AE1E77"/>
    <w:rsid w:val="00AE311C"/>
    <w:rsid w:val="00AE32FC"/>
    <w:rsid w:val="00AE3926"/>
    <w:rsid w:val="00AE46AA"/>
    <w:rsid w:val="00AE6061"/>
    <w:rsid w:val="00AF0388"/>
    <w:rsid w:val="00AF05EF"/>
    <w:rsid w:val="00AF0863"/>
    <w:rsid w:val="00AF29BB"/>
    <w:rsid w:val="00AF2B88"/>
    <w:rsid w:val="00AF5F2E"/>
    <w:rsid w:val="00AF63A9"/>
    <w:rsid w:val="00AF739D"/>
    <w:rsid w:val="00B00194"/>
    <w:rsid w:val="00B006A9"/>
    <w:rsid w:val="00B01ECE"/>
    <w:rsid w:val="00B06148"/>
    <w:rsid w:val="00B068F2"/>
    <w:rsid w:val="00B12922"/>
    <w:rsid w:val="00B13310"/>
    <w:rsid w:val="00B154EA"/>
    <w:rsid w:val="00B16720"/>
    <w:rsid w:val="00B20969"/>
    <w:rsid w:val="00B2109F"/>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7B6"/>
    <w:rsid w:val="00B55E3F"/>
    <w:rsid w:val="00B60A1E"/>
    <w:rsid w:val="00B61595"/>
    <w:rsid w:val="00B657A0"/>
    <w:rsid w:val="00B65FA8"/>
    <w:rsid w:val="00B66384"/>
    <w:rsid w:val="00B664D8"/>
    <w:rsid w:val="00B7014D"/>
    <w:rsid w:val="00B7017B"/>
    <w:rsid w:val="00B722B5"/>
    <w:rsid w:val="00B73F2E"/>
    <w:rsid w:val="00B74113"/>
    <w:rsid w:val="00B827C5"/>
    <w:rsid w:val="00B83D1F"/>
    <w:rsid w:val="00B84190"/>
    <w:rsid w:val="00B9057D"/>
    <w:rsid w:val="00B91546"/>
    <w:rsid w:val="00B919DC"/>
    <w:rsid w:val="00B91D3B"/>
    <w:rsid w:val="00B93466"/>
    <w:rsid w:val="00B94293"/>
    <w:rsid w:val="00B94B1E"/>
    <w:rsid w:val="00B9718C"/>
    <w:rsid w:val="00BA1691"/>
    <w:rsid w:val="00BA326C"/>
    <w:rsid w:val="00BB1709"/>
    <w:rsid w:val="00BB249D"/>
    <w:rsid w:val="00BB76DF"/>
    <w:rsid w:val="00BC17BE"/>
    <w:rsid w:val="00BC2FCC"/>
    <w:rsid w:val="00BC468A"/>
    <w:rsid w:val="00BC7D24"/>
    <w:rsid w:val="00BD0413"/>
    <w:rsid w:val="00BD0C96"/>
    <w:rsid w:val="00BD2E17"/>
    <w:rsid w:val="00BD483E"/>
    <w:rsid w:val="00BD6E3E"/>
    <w:rsid w:val="00BD7B1A"/>
    <w:rsid w:val="00BE2ED0"/>
    <w:rsid w:val="00BE3370"/>
    <w:rsid w:val="00BE4286"/>
    <w:rsid w:val="00BE4622"/>
    <w:rsid w:val="00BE5FB9"/>
    <w:rsid w:val="00BE647C"/>
    <w:rsid w:val="00BE650A"/>
    <w:rsid w:val="00BE655B"/>
    <w:rsid w:val="00BE7CC4"/>
    <w:rsid w:val="00BF268F"/>
    <w:rsid w:val="00BF385C"/>
    <w:rsid w:val="00BF6B96"/>
    <w:rsid w:val="00C03042"/>
    <w:rsid w:val="00C0349A"/>
    <w:rsid w:val="00C04A7D"/>
    <w:rsid w:val="00C06A01"/>
    <w:rsid w:val="00C079DC"/>
    <w:rsid w:val="00C120C0"/>
    <w:rsid w:val="00C13270"/>
    <w:rsid w:val="00C13EF0"/>
    <w:rsid w:val="00C15A21"/>
    <w:rsid w:val="00C17AAA"/>
    <w:rsid w:val="00C202C8"/>
    <w:rsid w:val="00C22EBB"/>
    <w:rsid w:val="00C2545A"/>
    <w:rsid w:val="00C26BA5"/>
    <w:rsid w:val="00C30AB4"/>
    <w:rsid w:val="00C31CC0"/>
    <w:rsid w:val="00C3203A"/>
    <w:rsid w:val="00C33045"/>
    <w:rsid w:val="00C364F8"/>
    <w:rsid w:val="00C41A41"/>
    <w:rsid w:val="00C4306B"/>
    <w:rsid w:val="00C45162"/>
    <w:rsid w:val="00C46EA7"/>
    <w:rsid w:val="00C509D3"/>
    <w:rsid w:val="00C522A9"/>
    <w:rsid w:val="00C60191"/>
    <w:rsid w:val="00C60BBD"/>
    <w:rsid w:val="00C63CA5"/>
    <w:rsid w:val="00C67CDD"/>
    <w:rsid w:val="00C734E1"/>
    <w:rsid w:val="00C74661"/>
    <w:rsid w:val="00C75C12"/>
    <w:rsid w:val="00C850F4"/>
    <w:rsid w:val="00C8797D"/>
    <w:rsid w:val="00C902D7"/>
    <w:rsid w:val="00C94463"/>
    <w:rsid w:val="00C94CD6"/>
    <w:rsid w:val="00C96388"/>
    <w:rsid w:val="00C9661C"/>
    <w:rsid w:val="00C971CD"/>
    <w:rsid w:val="00CA10EB"/>
    <w:rsid w:val="00CA31D5"/>
    <w:rsid w:val="00CA5482"/>
    <w:rsid w:val="00CA5B78"/>
    <w:rsid w:val="00CA6695"/>
    <w:rsid w:val="00CA70B9"/>
    <w:rsid w:val="00CB511B"/>
    <w:rsid w:val="00CC3809"/>
    <w:rsid w:val="00CC7744"/>
    <w:rsid w:val="00CD058E"/>
    <w:rsid w:val="00CD2C94"/>
    <w:rsid w:val="00CD3F58"/>
    <w:rsid w:val="00CD44C8"/>
    <w:rsid w:val="00CD7C25"/>
    <w:rsid w:val="00CE30A6"/>
    <w:rsid w:val="00CE42A1"/>
    <w:rsid w:val="00CE6738"/>
    <w:rsid w:val="00CE7C01"/>
    <w:rsid w:val="00CF2024"/>
    <w:rsid w:val="00CF3FBF"/>
    <w:rsid w:val="00CF4AD8"/>
    <w:rsid w:val="00CF61B6"/>
    <w:rsid w:val="00CF671F"/>
    <w:rsid w:val="00D00503"/>
    <w:rsid w:val="00D00846"/>
    <w:rsid w:val="00D01950"/>
    <w:rsid w:val="00D04919"/>
    <w:rsid w:val="00D052B4"/>
    <w:rsid w:val="00D07E33"/>
    <w:rsid w:val="00D10076"/>
    <w:rsid w:val="00D12778"/>
    <w:rsid w:val="00D13B5A"/>
    <w:rsid w:val="00D1488F"/>
    <w:rsid w:val="00D16690"/>
    <w:rsid w:val="00D20645"/>
    <w:rsid w:val="00D20D4C"/>
    <w:rsid w:val="00D22AD5"/>
    <w:rsid w:val="00D23A87"/>
    <w:rsid w:val="00D2449C"/>
    <w:rsid w:val="00D24AAD"/>
    <w:rsid w:val="00D252D1"/>
    <w:rsid w:val="00D2758D"/>
    <w:rsid w:val="00D3177D"/>
    <w:rsid w:val="00D337D1"/>
    <w:rsid w:val="00D33EFF"/>
    <w:rsid w:val="00D357D2"/>
    <w:rsid w:val="00D35822"/>
    <w:rsid w:val="00D35E5E"/>
    <w:rsid w:val="00D406B9"/>
    <w:rsid w:val="00D41FA2"/>
    <w:rsid w:val="00D420DA"/>
    <w:rsid w:val="00D43E31"/>
    <w:rsid w:val="00D478C9"/>
    <w:rsid w:val="00D50283"/>
    <w:rsid w:val="00D5127D"/>
    <w:rsid w:val="00D675F9"/>
    <w:rsid w:val="00D6772B"/>
    <w:rsid w:val="00D71F7D"/>
    <w:rsid w:val="00D71F97"/>
    <w:rsid w:val="00D7239D"/>
    <w:rsid w:val="00D73421"/>
    <w:rsid w:val="00D7450E"/>
    <w:rsid w:val="00D74A41"/>
    <w:rsid w:val="00D76907"/>
    <w:rsid w:val="00D81644"/>
    <w:rsid w:val="00D85D6C"/>
    <w:rsid w:val="00D9441D"/>
    <w:rsid w:val="00D95AEB"/>
    <w:rsid w:val="00DA04ED"/>
    <w:rsid w:val="00DA166D"/>
    <w:rsid w:val="00DA35CD"/>
    <w:rsid w:val="00DA54B7"/>
    <w:rsid w:val="00DA664C"/>
    <w:rsid w:val="00DA791C"/>
    <w:rsid w:val="00DB17A2"/>
    <w:rsid w:val="00DB1D74"/>
    <w:rsid w:val="00DB25E4"/>
    <w:rsid w:val="00DB36C2"/>
    <w:rsid w:val="00DB45EC"/>
    <w:rsid w:val="00DB4917"/>
    <w:rsid w:val="00DB5F07"/>
    <w:rsid w:val="00DB6524"/>
    <w:rsid w:val="00DB6D0F"/>
    <w:rsid w:val="00DC14F0"/>
    <w:rsid w:val="00DC1945"/>
    <w:rsid w:val="00DC68C9"/>
    <w:rsid w:val="00DD1B1B"/>
    <w:rsid w:val="00DD32DC"/>
    <w:rsid w:val="00DD617D"/>
    <w:rsid w:val="00DE04E0"/>
    <w:rsid w:val="00DE06E0"/>
    <w:rsid w:val="00DE55FF"/>
    <w:rsid w:val="00DE5F6F"/>
    <w:rsid w:val="00DE7F03"/>
    <w:rsid w:val="00DF2F4B"/>
    <w:rsid w:val="00DF71A3"/>
    <w:rsid w:val="00E00448"/>
    <w:rsid w:val="00E00B23"/>
    <w:rsid w:val="00E0117D"/>
    <w:rsid w:val="00E0142D"/>
    <w:rsid w:val="00E0310F"/>
    <w:rsid w:val="00E03125"/>
    <w:rsid w:val="00E04D95"/>
    <w:rsid w:val="00E0769B"/>
    <w:rsid w:val="00E10B5C"/>
    <w:rsid w:val="00E11760"/>
    <w:rsid w:val="00E119E8"/>
    <w:rsid w:val="00E12973"/>
    <w:rsid w:val="00E141EC"/>
    <w:rsid w:val="00E14792"/>
    <w:rsid w:val="00E14DAE"/>
    <w:rsid w:val="00E155FA"/>
    <w:rsid w:val="00E16600"/>
    <w:rsid w:val="00E169CD"/>
    <w:rsid w:val="00E205A2"/>
    <w:rsid w:val="00E217A2"/>
    <w:rsid w:val="00E228DE"/>
    <w:rsid w:val="00E23208"/>
    <w:rsid w:val="00E24758"/>
    <w:rsid w:val="00E2763D"/>
    <w:rsid w:val="00E3374A"/>
    <w:rsid w:val="00E345DB"/>
    <w:rsid w:val="00E3545D"/>
    <w:rsid w:val="00E3574A"/>
    <w:rsid w:val="00E35A46"/>
    <w:rsid w:val="00E40533"/>
    <w:rsid w:val="00E405B8"/>
    <w:rsid w:val="00E435D8"/>
    <w:rsid w:val="00E4448D"/>
    <w:rsid w:val="00E46F96"/>
    <w:rsid w:val="00E475AC"/>
    <w:rsid w:val="00E50D28"/>
    <w:rsid w:val="00E51807"/>
    <w:rsid w:val="00E53642"/>
    <w:rsid w:val="00E53896"/>
    <w:rsid w:val="00E5597A"/>
    <w:rsid w:val="00E55ABB"/>
    <w:rsid w:val="00E5686D"/>
    <w:rsid w:val="00E6038C"/>
    <w:rsid w:val="00E60BCA"/>
    <w:rsid w:val="00E62FEA"/>
    <w:rsid w:val="00E64602"/>
    <w:rsid w:val="00E659E5"/>
    <w:rsid w:val="00E67B60"/>
    <w:rsid w:val="00E67D90"/>
    <w:rsid w:val="00E72931"/>
    <w:rsid w:val="00E74DC5"/>
    <w:rsid w:val="00E75380"/>
    <w:rsid w:val="00E7665D"/>
    <w:rsid w:val="00E766DF"/>
    <w:rsid w:val="00E8172C"/>
    <w:rsid w:val="00E81F35"/>
    <w:rsid w:val="00E82A56"/>
    <w:rsid w:val="00E82B1A"/>
    <w:rsid w:val="00E83D8A"/>
    <w:rsid w:val="00E90731"/>
    <w:rsid w:val="00E939A3"/>
    <w:rsid w:val="00E95A84"/>
    <w:rsid w:val="00E96CB5"/>
    <w:rsid w:val="00E9789E"/>
    <w:rsid w:val="00E97BF4"/>
    <w:rsid w:val="00EA0B74"/>
    <w:rsid w:val="00EA2A88"/>
    <w:rsid w:val="00EA78FF"/>
    <w:rsid w:val="00EB002B"/>
    <w:rsid w:val="00EB094A"/>
    <w:rsid w:val="00EB279B"/>
    <w:rsid w:val="00EB2CA5"/>
    <w:rsid w:val="00EB43FD"/>
    <w:rsid w:val="00EB44BE"/>
    <w:rsid w:val="00EB4682"/>
    <w:rsid w:val="00EB477D"/>
    <w:rsid w:val="00EB7FCF"/>
    <w:rsid w:val="00EC28E5"/>
    <w:rsid w:val="00EC6350"/>
    <w:rsid w:val="00EC6B93"/>
    <w:rsid w:val="00EC741D"/>
    <w:rsid w:val="00EE0868"/>
    <w:rsid w:val="00EE1372"/>
    <w:rsid w:val="00EE1BFF"/>
    <w:rsid w:val="00EE1F4E"/>
    <w:rsid w:val="00EF0B62"/>
    <w:rsid w:val="00EF1989"/>
    <w:rsid w:val="00EF3A40"/>
    <w:rsid w:val="00EF468B"/>
    <w:rsid w:val="00EF5429"/>
    <w:rsid w:val="00F02857"/>
    <w:rsid w:val="00F03424"/>
    <w:rsid w:val="00F04CDD"/>
    <w:rsid w:val="00F0606D"/>
    <w:rsid w:val="00F06858"/>
    <w:rsid w:val="00F071A7"/>
    <w:rsid w:val="00F0778D"/>
    <w:rsid w:val="00F077D3"/>
    <w:rsid w:val="00F07E0C"/>
    <w:rsid w:val="00F1328C"/>
    <w:rsid w:val="00F13939"/>
    <w:rsid w:val="00F13B21"/>
    <w:rsid w:val="00F14463"/>
    <w:rsid w:val="00F1653E"/>
    <w:rsid w:val="00F17FE9"/>
    <w:rsid w:val="00F2128C"/>
    <w:rsid w:val="00F23291"/>
    <w:rsid w:val="00F25284"/>
    <w:rsid w:val="00F26CA1"/>
    <w:rsid w:val="00F31416"/>
    <w:rsid w:val="00F33190"/>
    <w:rsid w:val="00F332A2"/>
    <w:rsid w:val="00F337B2"/>
    <w:rsid w:val="00F33D36"/>
    <w:rsid w:val="00F40FE8"/>
    <w:rsid w:val="00F45799"/>
    <w:rsid w:val="00F4755A"/>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3049"/>
    <w:rsid w:val="00F7378F"/>
    <w:rsid w:val="00F77609"/>
    <w:rsid w:val="00F80AE5"/>
    <w:rsid w:val="00F84E50"/>
    <w:rsid w:val="00F9065F"/>
    <w:rsid w:val="00F9142F"/>
    <w:rsid w:val="00F91F5A"/>
    <w:rsid w:val="00F92F01"/>
    <w:rsid w:val="00F941C2"/>
    <w:rsid w:val="00F95B2C"/>
    <w:rsid w:val="00F96B77"/>
    <w:rsid w:val="00F971E5"/>
    <w:rsid w:val="00FA0AA2"/>
    <w:rsid w:val="00FA509B"/>
    <w:rsid w:val="00FB0F81"/>
    <w:rsid w:val="00FB17F6"/>
    <w:rsid w:val="00FB3263"/>
    <w:rsid w:val="00FB5CFE"/>
    <w:rsid w:val="00FB6ED3"/>
    <w:rsid w:val="00FB79D5"/>
    <w:rsid w:val="00FC07D5"/>
    <w:rsid w:val="00FC0D50"/>
    <w:rsid w:val="00FC3832"/>
    <w:rsid w:val="00FC4754"/>
    <w:rsid w:val="00FC6BFA"/>
    <w:rsid w:val="00FD1F2A"/>
    <w:rsid w:val="00FD4195"/>
    <w:rsid w:val="00FD5FBF"/>
    <w:rsid w:val="00FE41CB"/>
    <w:rsid w:val="00FE574F"/>
    <w:rsid w:val="00FE610F"/>
    <w:rsid w:val="00FF029E"/>
    <w:rsid w:val="00FF0918"/>
    <w:rsid w:val="00FF0A78"/>
    <w:rsid w:val="00FF2332"/>
    <w:rsid w:val="00FF48F9"/>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link w:val="FootnoteText"/>
    <w:semiHidden/>
    <w:rsid w:val="006333A7"/>
    <w:rPr>
      <w:rFonts w:ascii="Arial" w:eastAsia="SimSun" w:hAnsi="Arial"/>
      <w:sz w:val="16"/>
      <w:lang w:eastAsia="zh-CN"/>
    </w:rPr>
  </w:style>
  <w:style w:type="character" w:customStyle="1" w:styleId="IALabel">
    <w:name w:val="IALabel"/>
    <w:rsid w:val="009F6692"/>
    <w:rPr>
      <w:color w:val="000000"/>
      <w:sz w:val="20"/>
    </w:rPr>
  </w:style>
  <w:style w:type="paragraph" w:styleId="ListParagraph">
    <w:name w:val="List Paragraph"/>
    <w:basedOn w:val="Normal"/>
    <w:uiPriority w:val="34"/>
    <w:qFormat/>
    <w:rsid w:val="006333A7"/>
    <w:pPr>
      <w:ind w:left="720"/>
    </w:pPr>
    <w:rPr>
      <w:rFonts w:ascii="Times New Roman" w:hAnsi="Times New Roman"/>
    </w:rPr>
  </w:style>
  <w:style w:type="character" w:customStyle="1" w:styleId="response-question-title-text2">
    <w:name w:val="response-question-title-text2"/>
    <w:rsid w:val="006333A7"/>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FootnoteTextChar">
    <w:name w:val="Footnote Text Char"/>
    <w:link w:val="FootnoteText"/>
    <w:semiHidden/>
    <w:rsid w:val="006333A7"/>
    <w:rPr>
      <w:rFonts w:ascii="Arial" w:eastAsia="SimSun" w:hAnsi="Arial"/>
      <w:sz w:val="16"/>
      <w:lang w:eastAsia="zh-CN"/>
    </w:rPr>
  </w:style>
  <w:style w:type="character" w:customStyle="1" w:styleId="IALabel">
    <w:name w:val="IALabel"/>
    <w:rsid w:val="009F6692"/>
    <w:rPr>
      <w:color w:val="000000"/>
      <w:sz w:val="20"/>
    </w:rPr>
  </w:style>
  <w:style w:type="paragraph" w:styleId="ListParagraph">
    <w:name w:val="List Paragraph"/>
    <w:basedOn w:val="Normal"/>
    <w:uiPriority w:val="34"/>
    <w:qFormat/>
    <w:rsid w:val="006333A7"/>
    <w:pPr>
      <w:ind w:left="720"/>
    </w:pPr>
    <w:rPr>
      <w:rFonts w:ascii="Times New Roman" w:hAnsi="Times New Roman"/>
    </w:rPr>
  </w:style>
  <w:style w:type="character" w:customStyle="1" w:styleId="response-question-title-text2">
    <w:name w:val="response-question-title-text2"/>
    <w:rsid w:val="006333A7"/>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97021/bis-16-95-bit-ia.pdf" TargetMode="External"/><Relationship Id="rId1" Type="http://schemas.openxmlformats.org/officeDocument/2006/relationships/hyperlink" Target="http://www.parliament.uk/business/publications/written-questions-answers-statements/written-statement/Commons/2016-03-03/HCWS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2B73-CC3B-482B-939F-0F0AD48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5230</Words>
  <Characters>28158</Characters>
  <Application>Microsoft Office Word</Application>
  <DocSecurity>4</DocSecurity>
  <Lines>804</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32991</CharactersWithSpaces>
  <SharedDoc>false</SharedDoc>
  <HLinks>
    <vt:vector size="12" baseType="variant">
      <vt:variant>
        <vt:i4>2621465</vt:i4>
      </vt:variant>
      <vt:variant>
        <vt:i4>3</vt:i4>
      </vt:variant>
      <vt:variant>
        <vt:i4>0</vt:i4>
      </vt:variant>
      <vt:variant>
        <vt:i4>5</vt:i4>
      </vt:variant>
      <vt:variant>
        <vt:lpwstr>https://www.gov.uk/government/uploads/system/uploads/attachment_data/file/497021/bis-16-95-bit-ia.pdf</vt:lpwstr>
      </vt:variant>
      <vt:variant>
        <vt:lpwstr/>
      </vt:variant>
      <vt:variant>
        <vt:i4>1376334</vt:i4>
      </vt:variant>
      <vt:variant>
        <vt:i4>0</vt:i4>
      </vt:variant>
      <vt:variant>
        <vt:i4>0</vt:i4>
      </vt:variant>
      <vt:variant>
        <vt:i4>5</vt:i4>
      </vt:variant>
      <vt:variant>
        <vt:lpwstr>http://www.parliament.uk/business/publications/written-questions-answers-statements/written-statement/Commons/2016-03-03/HCWS574/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2016-12-02T15:07:00Z</dcterms:created>
  <dcterms:modified xsi:type="dcterms:W3CDTF">2016-12-02T15:07:00Z</dcterms:modified>
</cp:coreProperties>
</file>