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9" w:type="pct"/>
        <w:tblCellMar>
          <w:left w:w="0" w:type="dxa"/>
          <w:right w:w="0" w:type="dxa"/>
        </w:tblCellMar>
        <w:tblLook w:val="0000" w:firstRow="0" w:lastRow="0" w:firstColumn="0" w:lastColumn="0" w:noHBand="0" w:noVBand="0"/>
      </w:tblPr>
      <w:tblGrid>
        <w:gridCol w:w="9223"/>
      </w:tblGrid>
      <w:tr w:rsidR="009E2361" w:rsidRPr="00A320B2" w14:paraId="2C9333EB" w14:textId="77777777" w:rsidTr="000709B1">
        <w:trPr>
          <w:trHeight w:hRule="exact" w:val="2907"/>
        </w:trPr>
        <w:tc>
          <w:tcPr>
            <w:tcW w:w="9261" w:type="dxa"/>
            <w:vAlign w:val="bottom"/>
          </w:tcPr>
          <w:p w14:paraId="5DF98724" w14:textId="77777777" w:rsidR="009E2361" w:rsidRPr="00A320B2" w:rsidRDefault="009E2361" w:rsidP="000709B1">
            <w:pPr>
              <w:tabs>
                <w:tab w:val="left" w:pos="1134"/>
              </w:tabs>
              <w:autoSpaceDE w:val="0"/>
              <w:autoSpaceDN w:val="0"/>
              <w:adjustRightInd w:val="0"/>
              <w:rPr>
                <w:rFonts w:eastAsia="Times"/>
                <w:szCs w:val="20"/>
              </w:rPr>
            </w:pPr>
            <w:bookmarkStart w:id="0" w:name="_GoBack"/>
            <w:bookmarkEnd w:id="0"/>
            <w:r w:rsidRPr="00A320B2">
              <w:rPr>
                <w:rFonts w:eastAsia="Times"/>
                <w:szCs w:val="20"/>
              </w:rPr>
              <w:t>Ofsted</w:t>
            </w:r>
          </w:p>
          <w:p w14:paraId="48C25083" w14:textId="77777777" w:rsidR="009E2361" w:rsidRPr="00A320B2" w:rsidRDefault="009E2361" w:rsidP="000709B1">
            <w:pPr>
              <w:tabs>
                <w:tab w:val="left" w:pos="1134"/>
              </w:tabs>
              <w:autoSpaceDE w:val="0"/>
              <w:autoSpaceDN w:val="0"/>
              <w:adjustRightInd w:val="0"/>
              <w:rPr>
                <w:rFonts w:eastAsia="Times"/>
                <w:szCs w:val="20"/>
              </w:rPr>
            </w:pPr>
            <w:r w:rsidRPr="00A320B2">
              <w:rPr>
                <w:rFonts w:eastAsia="Times"/>
                <w:szCs w:val="20"/>
              </w:rPr>
              <w:t>Aviation House</w:t>
            </w:r>
          </w:p>
          <w:p w14:paraId="619782A9" w14:textId="77777777" w:rsidR="009E2361" w:rsidRPr="00A320B2" w:rsidRDefault="009E2361" w:rsidP="000709B1">
            <w:pPr>
              <w:tabs>
                <w:tab w:val="left" w:pos="1134"/>
              </w:tabs>
              <w:autoSpaceDE w:val="0"/>
              <w:autoSpaceDN w:val="0"/>
              <w:adjustRightInd w:val="0"/>
              <w:rPr>
                <w:rFonts w:eastAsia="Times"/>
                <w:szCs w:val="20"/>
              </w:rPr>
            </w:pPr>
            <w:r w:rsidRPr="00A320B2">
              <w:rPr>
                <w:rFonts w:eastAsia="Times"/>
                <w:szCs w:val="20"/>
              </w:rPr>
              <w:t>125 Kingsway</w:t>
            </w:r>
          </w:p>
          <w:p w14:paraId="0C7C7BC4" w14:textId="77777777" w:rsidR="009E2361" w:rsidRPr="00A320B2" w:rsidRDefault="009E2361" w:rsidP="000709B1">
            <w:pPr>
              <w:tabs>
                <w:tab w:val="left" w:pos="1134"/>
              </w:tabs>
              <w:autoSpaceDE w:val="0"/>
              <w:autoSpaceDN w:val="0"/>
              <w:adjustRightInd w:val="0"/>
              <w:rPr>
                <w:rFonts w:eastAsia="Times"/>
                <w:szCs w:val="20"/>
              </w:rPr>
            </w:pPr>
            <w:r w:rsidRPr="00A320B2">
              <w:rPr>
                <w:rFonts w:eastAsia="Times"/>
                <w:szCs w:val="20"/>
              </w:rPr>
              <w:t>London WC2B 6SE</w:t>
            </w:r>
          </w:p>
          <w:p w14:paraId="1EA4D709" w14:textId="77D4064E" w:rsidR="009E2361" w:rsidRPr="00A320B2" w:rsidRDefault="00FD71CE" w:rsidP="000709B1">
            <w:pPr>
              <w:tabs>
                <w:tab w:val="left" w:pos="1134"/>
              </w:tabs>
              <w:autoSpaceDE w:val="0"/>
              <w:autoSpaceDN w:val="0"/>
              <w:adjustRightInd w:val="0"/>
              <w:rPr>
                <w:rFonts w:eastAsia="Times"/>
                <w:szCs w:val="20"/>
              </w:rPr>
            </w:pPr>
            <w:hyperlink r:id="rId7" w:history="1">
              <w:r w:rsidR="00DD0CBC" w:rsidRPr="00993ADC">
                <w:rPr>
                  <w:rStyle w:val="Hyperlink"/>
                  <w:rFonts w:eastAsia="Times"/>
                  <w:szCs w:val="20"/>
                </w:rPr>
                <w:t>www.gov.uk/ofsted</w:t>
              </w:r>
            </w:hyperlink>
            <w:r w:rsidR="00DD0CBC">
              <w:rPr>
                <w:rFonts w:eastAsia="Times"/>
                <w:szCs w:val="20"/>
                <w:u w:val="single"/>
              </w:rPr>
              <w:t xml:space="preserve"> </w:t>
            </w:r>
          </w:p>
          <w:p w14:paraId="34DA3D07" w14:textId="77777777" w:rsidR="009E2361" w:rsidRPr="00DD0CBC" w:rsidRDefault="00FD71CE" w:rsidP="000709B1">
            <w:pPr>
              <w:tabs>
                <w:tab w:val="left" w:pos="1134"/>
              </w:tabs>
              <w:autoSpaceDE w:val="0"/>
              <w:autoSpaceDN w:val="0"/>
              <w:adjustRightInd w:val="0"/>
              <w:rPr>
                <w:rFonts w:eastAsia="Times"/>
                <w:szCs w:val="20"/>
              </w:rPr>
            </w:pPr>
            <w:hyperlink r:id="rId8" w:history="1">
              <w:r w:rsidR="009E2361" w:rsidRPr="00DD0CBC">
                <w:rPr>
                  <w:rFonts w:eastAsia="Times"/>
                  <w:color w:val="0000FF"/>
                  <w:szCs w:val="20"/>
                </w:rPr>
                <w:t>pressenquiries@ofsted.gov.uk</w:t>
              </w:r>
            </w:hyperlink>
          </w:p>
          <w:p w14:paraId="3363F755" w14:textId="77777777" w:rsidR="009E2361" w:rsidRPr="00A320B2" w:rsidRDefault="009E2361" w:rsidP="000709B1">
            <w:pPr>
              <w:tabs>
                <w:tab w:val="left" w:pos="1134"/>
              </w:tabs>
              <w:rPr>
                <w:rFonts w:eastAsia="Times"/>
                <w:szCs w:val="20"/>
              </w:rPr>
            </w:pPr>
            <w:r w:rsidRPr="00A320B2">
              <w:rPr>
                <w:rFonts w:eastAsia="Times"/>
                <w:szCs w:val="20"/>
              </w:rPr>
              <w:t>T 03000 130415</w:t>
            </w:r>
          </w:p>
          <w:p w14:paraId="1D143DCA" w14:textId="77777777" w:rsidR="009E2361" w:rsidRPr="00A320B2" w:rsidRDefault="009E2361" w:rsidP="000709B1">
            <w:pPr>
              <w:tabs>
                <w:tab w:val="left" w:pos="1134"/>
              </w:tabs>
              <w:rPr>
                <w:rFonts w:eastAsia="Times"/>
                <w:szCs w:val="20"/>
              </w:rPr>
            </w:pPr>
          </w:p>
        </w:tc>
      </w:tr>
    </w:tbl>
    <w:p w14:paraId="54C73E42" w14:textId="00886AA7" w:rsidR="009E2361" w:rsidRDefault="009E2361" w:rsidP="009E2361">
      <w:pPr>
        <w:pStyle w:val="Heading1"/>
        <w:rPr>
          <w:rFonts w:eastAsia="Times"/>
        </w:rPr>
      </w:pPr>
      <w:r w:rsidRPr="00A320B2">
        <w:rPr>
          <w:rFonts w:eastAsia="Times"/>
        </w:rPr>
        <w:t xml:space="preserve">Education and Skills Annual Report </w:t>
      </w:r>
      <w:r w:rsidR="000B43FD">
        <w:rPr>
          <w:rFonts w:eastAsia="Times"/>
        </w:rPr>
        <w:br/>
        <w:t>r</w:t>
      </w:r>
      <w:r w:rsidRPr="00A320B2">
        <w:rPr>
          <w:rFonts w:eastAsia="Times"/>
        </w:rPr>
        <w:t xml:space="preserve">egional </w:t>
      </w:r>
      <w:r w:rsidR="000B43FD">
        <w:rPr>
          <w:rFonts w:eastAsia="Times"/>
        </w:rPr>
        <w:t>information pack</w:t>
      </w:r>
      <w:r w:rsidRPr="00A320B2">
        <w:rPr>
          <w:rFonts w:eastAsia="Times"/>
        </w:rPr>
        <w:t xml:space="preserve">: </w:t>
      </w:r>
      <w:r w:rsidR="00874D35" w:rsidRPr="00874D35">
        <w:rPr>
          <w:rFonts w:eastAsia="Times"/>
        </w:rPr>
        <w:t>East Midlands</w:t>
      </w:r>
    </w:p>
    <w:p w14:paraId="62E5BE98" w14:textId="77777777" w:rsidR="000114E9" w:rsidRPr="000D5507" w:rsidRDefault="000114E9" w:rsidP="000114E9">
      <w:pPr>
        <w:pStyle w:val="Unnumberedparagraph"/>
      </w:pPr>
      <w:r w:rsidRPr="000D5507">
        <w:t>Ofsted today launches its Annual Report for 201</w:t>
      </w:r>
      <w:r>
        <w:t>5/16,</w:t>
      </w:r>
      <w:r w:rsidRPr="000D5507">
        <w:t xml:space="preserve"> which gives a state of the nation picture of the performance of </w:t>
      </w:r>
      <w:r>
        <w:t xml:space="preserve">early years, </w:t>
      </w:r>
      <w:r w:rsidRPr="000D5507">
        <w:t>schools, colleges and further education and skills providers in England.</w:t>
      </w:r>
      <w:r>
        <w:t xml:space="preserve"> </w:t>
      </w:r>
    </w:p>
    <w:p w14:paraId="0CE104DD" w14:textId="77777777" w:rsidR="00AE3478" w:rsidRDefault="00AE3478" w:rsidP="00AE3478">
      <w:pPr>
        <w:pStyle w:val="Unnumberedparagraph"/>
      </w:pPr>
      <w:r>
        <w:t xml:space="preserve">This year’s Annual Report has found that: </w:t>
      </w:r>
    </w:p>
    <w:p w14:paraId="2F844277" w14:textId="77777777" w:rsidR="00AE3478" w:rsidRPr="00DF52F4" w:rsidRDefault="00AE3478" w:rsidP="00AE3478">
      <w:pPr>
        <w:pStyle w:val="Bulletskeyfindings"/>
        <w:spacing w:after="0"/>
        <w:rPr>
          <w:color w:val="auto"/>
        </w:rPr>
      </w:pPr>
      <w:r w:rsidRPr="00DF52F4">
        <w:rPr>
          <w:color w:val="auto"/>
        </w:rPr>
        <w:t xml:space="preserve">England’s education system is not yet world class but there have been significant improvements. </w:t>
      </w:r>
    </w:p>
    <w:p w14:paraId="7FF6A133" w14:textId="77777777" w:rsidR="00AE3478" w:rsidRPr="00DF52F4" w:rsidRDefault="00AE3478" w:rsidP="00AE3478">
      <w:pPr>
        <w:pStyle w:val="ListParagraph"/>
        <w:rPr>
          <w:rFonts w:cs="Tahoma"/>
          <w:color w:val="auto"/>
        </w:rPr>
      </w:pPr>
    </w:p>
    <w:p w14:paraId="339316CB" w14:textId="77777777" w:rsidR="00AE3478" w:rsidRPr="00DF52F4" w:rsidRDefault="00AE3478" w:rsidP="00AE3478">
      <w:pPr>
        <w:pStyle w:val="Bulletskeyfindings"/>
        <w:spacing w:after="0"/>
        <w:rPr>
          <w:color w:val="auto"/>
        </w:rPr>
      </w:pPr>
      <w:r w:rsidRPr="00DF52F4">
        <w:rPr>
          <w:color w:val="auto"/>
        </w:rPr>
        <w:t>For the sixth year in a row, the proportion of good and outstanding nurseries, pre-schools and childminders has risen and is now at 91%. The proportion of good and outstanding nurseries is now almost the same in the most deprived areas of the country as in the least deprived.</w:t>
      </w:r>
    </w:p>
    <w:p w14:paraId="2CDE2790" w14:textId="77777777" w:rsidR="00AE3478" w:rsidRPr="00DF52F4" w:rsidRDefault="00AE3478" w:rsidP="00AE3478">
      <w:pPr>
        <w:pStyle w:val="ListParagraph"/>
        <w:rPr>
          <w:rFonts w:cs="Tahoma"/>
          <w:color w:val="auto"/>
        </w:rPr>
      </w:pPr>
    </w:p>
    <w:p w14:paraId="61A09388" w14:textId="77777777" w:rsidR="00AE3478" w:rsidRPr="00DF52F4" w:rsidRDefault="00AE3478" w:rsidP="00AE3478">
      <w:pPr>
        <w:pStyle w:val="Bulletskeyfindings"/>
        <w:spacing w:after="0"/>
        <w:rPr>
          <w:color w:val="auto"/>
        </w:rPr>
      </w:pPr>
      <w:r w:rsidRPr="00DF52F4">
        <w:rPr>
          <w:color w:val="auto"/>
        </w:rPr>
        <w:t>The proportion of good and outstanding primary schools has risen from 69% to 90% in five years. The reading ability of pupils eligible for free school meals at age seven in 2015 was six percentage points closer to the level of their peers than five years ago.</w:t>
      </w:r>
    </w:p>
    <w:p w14:paraId="6848A88A" w14:textId="77777777" w:rsidR="00AE3478" w:rsidRPr="00DF52F4" w:rsidRDefault="00AE3478" w:rsidP="00AE3478">
      <w:pPr>
        <w:autoSpaceDE w:val="0"/>
        <w:autoSpaceDN w:val="0"/>
        <w:rPr>
          <w:rFonts w:cs="Tahoma"/>
          <w:color w:val="auto"/>
        </w:rPr>
      </w:pPr>
    </w:p>
    <w:p w14:paraId="467691B2" w14:textId="77777777" w:rsidR="00AE3478" w:rsidRPr="00DF52F4" w:rsidRDefault="00AE3478" w:rsidP="00AE3478">
      <w:pPr>
        <w:pStyle w:val="Bulletskeyfindings"/>
        <w:spacing w:after="0"/>
        <w:rPr>
          <w:color w:val="auto"/>
        </w:rPr>
      </w:pPr>
      <w:r w:rsidRPr="00DF52F4">
        <w:rPr>
          <w:color w:val="auto"/>
        </w:rPr>
        <w:t xml:space="preserve">Secondary schools have improved and 78% are now good or outstanding. However, secondary schools in the North and Midlands are still behind the rest of the country. The proportion of pupils who achieved highly by the end of primary school who then went on to achieve A/A* in their GCSEs in the North and Midlands was six percentage points lower than in the rest of the country. </w:t>
      </w:r>
    </w:p>
    <w:p w14:paraId="4DC03227" w14:textId="77777777" w:rsidR="00AE3478" w:rsidRPr="00DF52F4" w:rsidRDefault="00AE3478" w:rsidP="00AE3478">
      <w:pPr>
        <w:autoSpaceDE w:val="0"/>
        <w:autoSpaceDN w:val="0"/>
        <w:rPr>
          <w:rFonts w:cs="Tahoma"/>
          <w:color w:val="auto"/>
        </w:rPr>
      </w:pPr>
    </w:p>
    <w:p w14:paraId="6150EFDC" w14:textId="77777777" w:rsidR="00AE3478" w:rsidRPr="00DF52F4" w:rsidRDefault="00AE3478" w:rsidP="00AE3478">
      <w:pPr>
        <w:pStyle w:val="Bulletskeyfindings"/>
        <w:spacing w:after="0"/>
        <w:rPr>
          <w:color w:val="auto"/>
        </w:rPr>
      </w:pPr>
      <w:r w:rsidRPr="00DF52F4">
        <w:rPr>
          <w:color w:val="auto"/>
        </w:rPr>
        <w:t>The proportion of good or outstanding general further education colleges has declined from 77% in 2015 to 71% this year.</w:t>
      </w:r>
    </w:p>
    <w:p w14:paraId="790EC820" w14:textId="77777777" w:rsidR="00AE3478" w:rsidRPr="00DF52F4" w:rsidRDefault="00AE3478" w:rsidP="00AE3478">
      <w:pPr>
        <w:autoSpaceDE w:val="0"/>
        <w:autoSpaceDN w:val="0"/>
        <w:rPr>
          <w:rFonts w:cs="Tahoma"/>
          <w:color w:val="auto"/>
        </w:rPr>
      </w:pPr>
    </w:p>
    <w:p w14:paraId="47206178" w14:textId="77777777" w:rsidR="00AE3478" w:rsidRDefault="00AE3478" w:rsidP="00AE3478">
      <w:pPr>
        <w:pStyle w:val="Bulletskeyfindings"/>
        <w:spacing w:after="0"/>
      </w:pPr>
      <w:r w:rsidRPr="00DF52F4">
        <w:rPr>
          <w:color w:val="auto"/>
        </w:rPr>
        <w:t xml:space="preserve">There are some signs of improvement in the quality of apprenticeships. However, </w:t>
      </w:r>
      <w:r>
        <w:t>the supply of high-quality apprenticeships at level 3 is not yet meeting demand.</w:t>
      </w:r>
    </w:p>
    <w:p w14:paraId="697188CE" w14:textId="77777777" w:rsidR="002A183F" w:rsidRDefault="002A183F" w:rsidP="009E2361">
      <w:pPr>
        <w:pStyle w:val="Unnumberedparagraph"/>
      </w:pPr>
    </w:p>
    <w:p w14:paraId="66A686D2" w14:textId="3E0505A9" w:rsidR="00874D35" w:rsidRDefault="00874D35" w:rsidP="009E2361">
      <w:pPr>
        <w:pStyle w:val="Unnumberedparagraph"/>
      </w:pPr>
      <w:r w:rsidRPr="00874D35">
        <w:lastRenderedPageBreak/>
        <w:t>Ofsted Senior Operational Lead</w:t>
      </w:r>
      <w:r>
        <w:t>,</w:t>
      </w:r>
      <w:r w:rsidRPr="00874D35">
        <w:t xml:space="preserve"> Emma Ing</w:t>
      </w:r>
      <w:r>
        <w:t>,</w:t>
      </w:r>
      <w:r w:rsidRPr="00874D35">
        <w:t xml:space="preserve"> is available for interview to talk about the education performance in the region from 10</w:t>
      </w:r>
      <w:r w:rsidR="008D236C">
        <w:t xml:space="preserve"> </w:t>
      </w:r>
      <w:r w:rsidRPr="00874D35">
        <w:t>am. Please contact the press office on 03000 130415 or 03000 131134 to arrange an interview.</w:t>
      </w:r>
    </w:p>
    <w:p w14:paraId="3686BB33" w14:textId="6DA99DBF" w:rsidR="00363FBC" w:rsidRPr="000D5507" w:rsidRDefault="00B6139E" w:rsidP="00B6139E">
      <w:pPr>
        <w:pStyle w:val="Unnumberedparagraph"/>
      </w:pPr>
      <w:r>
        <w:t>T</w:t>
      </w:r>
      <w:r w:rsidRPr="000D5507">
        <w:t xml:space="preserve">he key findings and headline facts for education performance in the </w:t>
      </w:r>
      <w:r>
        <w:t xml:space="preserve">region </w:t>
      </w:r>
      <w:r w:rsidR="00363FBC">
        <w:t>are below</w:t>
      </w:r>
      <w:r>
        <w:t xml:space="preserve">, </w:t>
      </w:r>
      <w:r w:rsidRPr="000D5507">
        <w:t>along with:</w:t>
      </w:r>
    </w:p>
    <w:p w14:paraId="6F9A1319" w14:textId="1F6BD8D7" w:rsidR="00874D35" w:rsidRPr="000D5507" w:rsidRDefault="00B6139E" w:rsidP="00874D35">
      <w:pPr>
        <w:pStyle w:val="Numberedlist"/>
        <w:numPr>
          <w:ilvl w:val="0"/>
          <w:numId w:val="12"/>
        </w:numPr>
      </w:pPr>
      <w:r>
        <w:t xml:space="preserve">a </w:t>
      </w:r>
      <w:r w:rsidR="00874D35">
        <w:t>q</w:t>
      </w:r>
      <w:r w:rsidR="00874D35" w:rsidRPr="000D5507">
        <w:t xml:space="preserve">uote from </w:t>
      </w:r>
      <w:r w:rsidR="00874D35">
        <w:t xml:space="preserve">Chris Russell, </w:t>
      </w:r>
      <w:r w:rsidR="00874D35" w:rsidRPr="000D5507">
        <w:t>Regional Director</w:t>
      </w:r>
      <w:r w:rsidR="00874D35">
        <w:t>,</w:t>
      </w:r>
      <w:r w:rsidR="00874D35" w:rsidRPr="000D5507">
        <w:t xml:space="preserve"> </w:t>
      </w:r>
      <w:r w:rsidR="00874D35">
        <w:t>East Midlands</w:t>
      </w:r>
      <w:r w:rsidR="00874D35" w:rsidRPr="000D5507">
        <w:t xml:space="preserve"> </w:t>
      </w:r>
    </w:p>
    <w:p w14:paraId="781FC081" w14:textId="77777777" w:rsidR="00874D35" w:rsidRPr="00373F98" w:rsidRDefault="00874D35" w:rsidP="00874D35">
      <w:pPr>
        <w:pStyle w:val="Numberedlist"/>
        <w:numPr>
          <w:ilvl w:val="0"/>
          <w:numId w:val="12"/>
        </w:numPr>
        <w:rPr>
          <w:color w:val="auto"/>
        </w:rPr>
      </w:pPr>
      <w:r w:rsidRPr="00373F98">
        <w:rPr>
          <w:color w:val="auto"/>
        </w:rPr>
        <w:t>breakdown of primary and secondary school performance for the region</w:t>
      </w:r>
    </w:p>
    <w:p w14:paraId="75290C99" w14:textId="77777777" w:rsidR="00874D35" w:rsidRPr="00373F98" w:rsidRDefault="00874D35" w:rsidP="00874D35">
      <w:pPr>
        <w:pStyle w:val="Numberedlist"/>
        <w:numPr>
          <w:ilvl w:val="0"/>
          <w:numId w:val="12"/>
        </w:numPr>
        <w:rPr>
          <w:color w:val="auto"/>
        </w:rPr>
      </w:pPr>
      <w:r w:rsidRPr="00373F98">
        <w:rPr>
          <w:color w:val="auto"/>
        </w:rPr>
        <w:t>case studies of providers in the region that can be contacted</w:t>
      </w:r>
    </w:p>
    <w:p w14:paraId="08ECB35F" w14:textId="5BA1FFFC" w:rsidR="00F81293" w:rsidRPr="008E61F0" w:rsidRDefault="00B6139E" w:rsidP="00363FBC">
      <w:pPr>
        <w:pStyle w:val="Numberedlist"/>
        <w:numPr>
          <w:ilvl w:val="0"/>
          <w:numId w:val="12"/>
        </w:numPr>
        <w:spacing w:after="200" w:line="276" w:lineRule="auto"/>
        <w:rPr>
          <w:color w:val="auto"/>
        </w:rPr>
      </w:pPr>
      <w:proofErr w:type="gramStart"/>
      <w:r w:rsidRPr="008E61F0">
        <w:rPr>
          <w:color w:val="auto"/>
        </w:rPr>
        <w:t>a</w:t>
      </w:r>
      <w:proofErr w:type="gramEnd"/>
      <w:r w:rsidRPr="008E61F0">
        <w:rPr>
          <w:color w:val="auto"/>
        </w:rPr>
        <w:t xml:space="preserve"> </w:t>
      </w:r>
      <w:r w:rsidR="00874D35" w:rsidRPr="008E61F0">
        <w:rPr>
          <w:color w:val="auto"/>
        </w:rPr>
        <w:t>list of outstanding providers in the region.</w:t>
      </w:r>
    </w:p>
    <w:p w14:paraId="7470273B" w14:textId="5C269E0F" w:rsidR="00363FBC" w:rsidRDefault="00363FBC" w:rsidP="00363FBC">
      <w:pPr>
        <w:spacing w:after="200" w:line="276" w:lineRule="auto"/>
        <w:rPr>
          <w:rStyle w:val="Hyperlink"/>
        </w:rPr>
      </w:pPr>
      <w:r>
        <w:rPr>
          <w:color w:val="auto"/>
        </w:rPr>
        <w:t>T</w:t>
      </w:r>
      <w:r w:rsidRPr="00363FBC">
        <w:rPr>
          <w:color w:val="auto"/>
        </w:rPr>
        <w:t>he Education and Skills Annual Report 2015/16 and press notice</w:t>
      </w:r>
      <w:r>
        <w:rPr>
          <w:color w:val="auto"/>
        </w:rPr>
        <w:t xml:space="preserve"> and </w:t>
      </w:r>
      <w:r>
        <w:t xml:space="preserve">a link to a Emma Ing </w:t>
      </w:r>
      <w:r w:rsidRPr="000D5507">
        <w:t>talk</w:t>
      </w:r>
      <w:r w:rsidR="00BB2AFF">
        <w:t>ing</w:t>
      </w:r>
      <w:r w:rsidRPr="000D5507">
        <w:t xml:space="preserve"> about the key issues for the region</w:t>
      </w:r>
      <w:r>
        <w:t xml:space="preserve"> can be found </w:t>
      </w:r>
      <w:hyperlink r:id="rId9" w:history="1">
        <w:r w:rsidRPr="00DF52F4">
          <w:rPr>
            <w:rStyle w:val="Hyperlink"/>
          </w:rPr>
          <w:t>here</w:t>
        </w:r>
      </w:hyperlink>
      <w:r w:rsidR="002403F9">
        <w:rPr>
          <w:rStyle w:val="Hyperlink"/>
        </w:rPr>
        <w:t>.</w:t>
      </w:r>
    </w:p>
    <w:p w14:paraId="70E646E8" w14:textId="77777777" w:rsidR="008E61F0" w:rsidRDefault="008E61F0" w:rsidP="00363FBC">
      <w:pPr>
        <w:spacing w:after="200" w:line="276" w:lineRule="auto"/>
        <w:rPr>
          <w:b/>
          <w:color w:val="auto"/>
          <w:sz w:val="28"/>
          <w:szCs w:val="28"/>
          <w:lang w:eastAsia="en-GB"/>
        </w:rPr>
      </w:pPr>
    </w:p>
    <w:p w14:paraId="219FAD2E" w14:textId="7E6B06C7" w:rsidR="009E2361" w:rsidRPr="003D2375" w:rsidRDefault="009E2361" w:rsidP="009E2361">
      <w:pPr>
        <w:pStyle w:val="Heading2"/>
      </w:pPr>
      <w:r w:rsidRPr="003D2375">
        <w:t>Key findings and head</w:t>
      </w:r>
      <w:r w:rsidR="000B43FD">
        <w:t>line facts for the</w:t>
      </w:r>
      <w:r w:rsidR="00874D35">
        <w:t xml:space="preserve"> East Midlands </w:t>
      </w:r>
    </w:p>
    <w:p w14:paraId="39822AEF" w14:textId="1482CCE8" w:rsidR="00874D35" w:rsidRDefault="00874D35" w:rsidP="00874D35">
      <w:pPr>
        <w:rPr>
          <w:rFonts w:cs="Tahoma"/>
        </w:rPr>
      </w:pPr>
      <w:r>
        <w:rPr>
          <w:rFonts w:cs="Tahoma"/>
        </w:rPr>
        <w:t xml:space="preserve">Too many children and young people are still not doing well enough in the East Midlands region. Despite the many advantages that the region enjoys, a high proportion of children are not doing well at school and in further education. </w:t>
      </w:r>
    </w:p>
    <w:p w14:paraId="719304F4" w14:textId="77777777" w:rsidR="00874D35" w:rsidRDefault="00874D35" w:rsidP="00874D35">
      <w:pPr>
        <w:rPr>
          <w:rFonts w:cs="Tahoma"/>
        </w:rPr>
      </w:pPr>
    </w:p>
    <w:p w14:paraId="55794263" w14:textId="3CD52D4B" w:rsidR="00874D35" w:rsidRDefault="00CA2564" w:rsidP="00874D35">
      <w:pPr>
        <w:rPr>
          <w:rFonts w:cs="Tahoma"/>
        </w:rPr>
      </w:pPr>
      <w:r>
        <w:rPr>
          <w:rFonts w:cs="Tahoma"/>
        </w:rPr>
        <w:t>We have</w:t>
      </w:r>
      <w:r w:rsidR="00874D35">
        <w:rPr>
          <w:rFonts w:cs="Tahoma"/>
        </w:rPr>
        <w:t xml:space="preserve"> been working with providers to identify what works and what is less successful in driving improvements. One cheering fact is that schools in the region that were judged to require improvement are improving at a much faster rate than in the past. This year, we re</w:t>
      </w:r>
      <w:r w:rsidR="00A8379D">
        <w:rPr>
          <w:rFonts w:cs="Tahoma"/>
        </w:rPr>
        <w:t>-</w:t>
      </w:r>
      <w:r w:rsidR="00874D35">
        <w:rPr>
          <w:rFonts w:cs="Tahoma"/>
        </w:rPr>
        <w:t>inspected 169</w:t>
      </w:r>
      <w:r w:rsidR="00874D35" w:rsidRPr="00A36B1A">
        <w:rPr>
          <w:rFonts w:cs="Tahoma"/>
        </w:rPr>
        <w:t xml:space="preserve"> schools</w:t>
      </w:r>
      <w:r w:rsidR="00874D35">
        <w:rPr>
          <w:rFonts w:cs="Tahoma"/>
        </w:rPr>
        <w:t xml:space="preserve"> that we had previously judged to require improvement. Of these, 119 were found to </w:t>
      </w:r>
      <w:r w:rsidR="00874D35" w:rsidRPr="00A36B1A">
        <w:rPr>
          <w:rFonts w:cs="Tahoma"/>
        </w:rPr>
        <w:t xml:space="preserve">now </w:t>
      </w:r>
      <w:r w:rsidR="00874D35">
        <w:rPr>
          <w:rFonts w:cs="Tahoma"/>
        </w:rPr>
        <w:t xml:space="preserve">be </w:t>
      </w:r>
      <w:r w:rsidR="004D7EF7">
        <w:rPr>
          <w:rFonts w:cs="Tahoma"/>
        </w:rPr>
        <w:t>offering a good education</w:t>
      </w:r>
      <w:r w:rsidR="006D3C48">
        <w:rPr>
          <w:rFonts w:cs="Tahoma"/>
        </w:rPr>
        <w:t xml:space="preserve">, </w:t>
      </w:r>
      <w:r w:rsidR="00874D35">
        <w:rPr>
          <w:rFonts w:cs="Tahoma"/>
        </w:rPr>
        <w:t>13</w:t>
      </w:r>
      <w:r w:rsidR="00874D35" w:rsidRPr="00A36B1A">
        <w:rPr>
          <w:rFonts w:cs="Tahoma"/>
        </w:rPr>
        <w:t xml:space="preserve"> more than would have done if our </w:t>
      </w:r>
      <w:r w:rsidR="00874D35">
        <w:rPr>
          <w:rFonts w:cs="Tahoma"/>
        </w:rPr>
        <w:t>improvement</w:t>
      </w:r>
      <w:r w:rsidR="00874D35" w:rsidRPr="00A36B1A">
        <w:rPr>
          <w:rFonts w:cs="Tahoma"/>
        </w:rPr>
        <w:t xml:space="preserve"> rate had remained </w:t>
      </w:r>
      <w:r w:rsidR="00874D35">
        <w:rPr>
          <w:rFonts w:cs="Tahoma"/>
        </w:rPr>
        <w:t>consistent with that from 2013 to 2015</w:t>
      </w:r>
      <w:r w:rsidR="00874D35" w:rsidRPr="00A36B1A">
        <w:rPr>
          <w:rFonts w:cs="Tahoma"/>
        </w:rPr>
        <w:t>.</w:t>
      </w:r>
      <w:r w:rsidR="00874D35">
        <w:rPr>
          <w:rFonts w:cs="Tahoma"/>
          <w:sz w:val="20"/>
          <w:szCs w:val="20"/>
        </w:rPr>
        <w:t xml:space="preserve"> </w:t>
      </w:r>
      <w:r w:rsidR="00874D35">
        <w:rPr>
          <w:rFonts w:cs="Tahoma"/>
        </w:rPr>
        <w:t>In addition</w:t>
      </w:r>
      <w:r w:rsidR="004D7EF7">
        <w:rPr>
          <w:rFonts w:cs="Tahoma"/>
        </w:rPr>
        <w:t>,</w:t>
      </w:r>
      <w:r w:rsidR="00874D35">
        <w:rPr>
          <w:rFonts w:cs="Tahoma"/>
        </w:rPr>
        <w:t xml:space="preserve"> nine that</w:t>
      </w:r>
      <w:r w:rsidR="004D7EF7">
        <w:rPr>
          <w:rFonts w:cs="Tahoma"/>
        </w:rPr>
        <w:t xml:space="preserve"> had required improvement</w:t>
      </w:r>
      <w:r w:rsidR="00874D35">
        <w:rPr>
          <w:rFonts w:cs="Tahoma"/>
        </w:rPr>
        <w:t xml:space="preserve"> were judged to be outstanding</w:t>
      </w:r>
      <w:r w:rsidR="004D7EF7">
        <w:rPr>
          <w:rFonts w:cs="Tahoma"/>
        </w:rPr>
        <w:t xml:space="preserve"> –</w:t>
      </w:r>
      <w:r w:rsidR="00874D35">
        <w:rPr>
          <w:rFonts w:cs="Tahoma"/>
        </w:rPr>
        <w:t xml:space="preserve"> a fantastic achievement that directly benefits children and young people. </w:t>
      </w:r>
    </w:p>
    <w:p w14:paraId="60FC4EA1" w14:textId="77777777" w:rsidR="00874D35" w:rsidRDefault="00874D35" w:rsidP="00874D35">
      <w:pPr>
        <w:rPr>
          <w:rFonts w:cs="Tahoma"/>
        </w:rPr>
      </w:pPr>
    </w:p>
    <w:p w14:paraId="058F96A8" w14:textId="2260EF6A" w:rsidR="00874D35" w:rsidRPr="00D23531" w:rsidRDefault="00874D35" w:rsidP="00874D35">
      <w:pPr>
        <w:rPr>
          <w:rFonts w:cs="Tahoma"/>
        </w:rPr>
      </w:pPr>
      <w:r>
        <w:rPr>
          <w:rFonts w:cs="Tahoma"/>
        </w:rPr>
        <w:t>Over the year</w:t>
      </w:r>
      <w:r w:rsidR="00CA2564">
        <w:rPr>
          <w:rFonts w:cs="Tahoma"/>
        </w:rPr>
        <w:t>,</w:t>
      </w:r>
      <w:r>
        <w:rPr>
          <w:rFonts w:cs="Tahoma"/>
        </w:rPr>
        <w:t xml:space="preserve"> significant work has got underway in all remits to ensure that all children succeed</w:t>
      </w:r>
      <w:r w:rsidR="004D7EF7">
        <w:rPr>
          <w:rFonts w:cs="Tahoma"/>
        </w:rPr>
        <w:t>,</w:t>
      </w:r>
      <w:r>
        <w:rPr>
          <w:rFonts w:cs="Tahoma"/>
        </w:rPr>
        <w:t xml:space="preserve"> but it is still the case that those who are disadvantaged by poverty, </w:t>
      </w:r>
      <w:r w:rsidR="006D3C48">
        <w:rPr>
          <w:rFonts w:cs="Tahoma"/>
        </w:rPr>
        <w:t xml:space="preserve">those </w:t>
      </w:r>
      <w:r>
        <w:rPr>
          <w:rFonts w:cs="Tahoma"/>
        </w:rPr>
        <w:t>who are looked after by the state and those who are at an early stage of learning English as a foreign language do particularly poorly.</w:t>
      </w:r>
    </w:p>
    <w:p w14:paraId="54E0F73A" w14:textId="77777777" w:rsidR="00874D35" w:rsidRDefault="00874D35" w:rsidP="00874D35">
      <w:pPr>
        <w:rPr>
          <w:rFonts w:cs="Tahoma"/>
        </w:rPr>
      </w:pPr>
    </w:p>
    <w:p w14:paraId="7F52D6A4" w14:textId="58BE394A" w:rsidR="008A5D66" w:rsidRPr="008A5D66" w:rsidRDefault="00874D35" w:rsidP="00D06B71">
      <w:pPr>
        <w:pStyle w:val="Heading3"/>
      </w:pPr>
      <w:r w:rsidRPr="00D6760B">
        <w:t xml:space="preserve">Early </w:t>
      </w:r>
      <w:r w:rsidR="0082645F">
        <w:t>y</w:t>
      </w:r>
      <w:r w:rsidRPr="00D6760B">
        <w:t>ears</w:t>
      </w:r>
      <w:r>
        <w:t xml:space="preserve"> </w:t>
      </w:r>
    </w:p>
    <w:p w14:paraId="41C24A01" w14:textId="7BCD8A66" w:rsidR="00E833C5" w:rsidRPr="004079DC" w:rsidRDefault="00E833C5" w:rsidP="00E833C5">
      <w:pPr>
        <w:pStyle w:val="Bulletskeyfindings"/>
        <w:rPr>
          <w:b/>
          <w:bCs/>
        </w:rPr>
      </w:pPr>
      <w:r w:rsidRPr="00D06B71">
        <w:rPr>
          <w:b/>
        </w:rPr>
        <w:t>This year, an impressive 90% of registered early years providers are good or outstanding: only one percentage point below the national level.</w:t>
      </w:r>
      <w:r w:rsidRPr="00D6760B">
        <w:t xml:space="preserve"> </w:t>
      </w:r>
      <w:r>
        <w:t>Where provision is weaker</w:t>
      </w:r>
      <w:r w:rsidR="006D3C48">
        <w:t>,</w:t>
      </w:r>
      <w:r>
        <w:t xml:space="preserve"> it is in our urban centres, particularly Leicester and Nottingham.</w:t>
      </w:r>
    </w:p>
    <w:p w14:paraId="03050DC6" w14:textId="7F373D57" w:rsidR="00874D35" w:rsidRPr="004079DC" w:rsidRDefault="008A5D66" w:rsidP="00975380">
      <w:pPr>
        <w:pStyle w:val="Bulletskeyfindings"/>
        <w:rPr>
          <w:b/>
          <w:bCs/>
        </w:rPr>
      </w:pPr>
      <w:r>
        <w:t>T</w:t>
      </w:r>
      <w:r w:rsidR="00874D35">
        <w:t xml:space="preserve">he percentage of pupils </w:t>
      </w:r>
      <w:r w:rsidR="004D7EF7">
        <w:t>who</w:t>
      </w:r>
      <w:r w:rsidR="00874D35">
        <w:t xml:space="preserve"> achieved a </w:t>
      </w:r>
      <w:r>
        <w:t>‘</w:t>
      </w:r>
      <w:r w:rsidR="00874D35">
        <w:t>good level of development</w:t>
      </w:r>
      <w:r>
        <w:t>’ at age five</w:t>
      </w:r>
      <w:r w:rsidR="00874D35">
        <w:t xml:space="preserve"> has improved between 2013 and 2016 in a</w:t>
      </w:r>
      <w:r>
        <w:t>ll local authorities regionally. However,</w:t>
      </w:r>
      <w:r w:rsidR="00874D35">
        <w:t xml:space="preserve"> outcomes for children</w:t>
      </w:r>
      <w:r w:rsidR="004D7EF7">
        <w:t xml:space="preserve"> in the East Midlands</w:t>
      </w:r>
      <w:r w:rsidR="00874D35">
        <w:t xml:space="preserve"> </w:t>
      </w:r>
      <w:r w:rsidR="005E3A5C">
        <w:t xml:space="preserve">at </w:t>
      </w:r>
      <w:r>
        <w:t>age five</w:t>
      </w:r>
      <w:r w:rsidR="005E3A5C">
        <w:t xml:space="preserve"> </w:t>
      </w:r>
      <w:r w:rsidR="00874D35">
        <w:t xml:space="preserve">are </w:t>
      </w:r>
      <w:r w:rsidR="00E833C5">
        <w:t xml:space="preserve">still </w:t>
      </w:r>
      <w:r w:rsidR="00874D35">
        <w:t xml:space="preserve">a little below those </w:t>
      </w:r>
      <w:r w:rsidR="00874D35">
        <w:lastRenderedPageBreak/>
        <w:t>nationally. Across the region in 2016, 67</w:t>
      </w:r>
      <w:r w:rsidR="00874D35" w:rsidRPr="00D6760B">
        <w:t>.</w:t>
      </w:r>
      <w:r w:rsidR="00874D35">
        <w:t>6</w:t>
      </w:r>
      <w:r w:rsidR="00874D35" w:rsidRPr="00D6760B">
        <w:t>% of children achieved a ‘good level of development’</w:t>
      </w:r>
      <w:r w:rsidR="00CA2564">
        <w:t>:</w:t>
      </w:r>
      <w:r w:rsidR="00874D35" w:rsidRPr="00D6760B">
        <w:t xml:space="preserve"> 2.3</w:t>
      </w:r>
      <w:r w:rsidR="00CA2564">
        <w:t xml:space="preserve"> percentage points</w:t>
      </w:r>
      <w:r w:rsidR="00874D35" w:rsidRPr="00D6760B">
        <w:t xml:space="preserve"> below the national</w:t>
      </w:r>
      <w:r w:rsidR="00CA2564">
        <w:t xml:space="preserve"> level</w:t>
      </w:r>
      <w:r w:rsidR="00874D35" w:rsidRPr="00D6760B">
        <w:t>.</w:t>
      </w:r>
      <w:r w:rsidR="00874D35" w:rsidRPr="004079DC">
        <w:t xml:space="preserve"> </w:t>
      </w:r>
    </w:p>
    <w:p w14:paraId="73EE1DCC" w14:textId="2915D91B" w:rsidR="00874D35" w:rsidRPr="004079DC" w:rsidRDefault="008A5D66" w:rsidP="00975380">
      <w:pPr>
        <w:pStyle w:val="Bulletskeyfindings"/>
        <w:rPr>
          <w:b/>
          <w:bCs/>
        </w:rPr>
      </w:pPr>
      <w:r>
        <w:t xml:space="preserve">The </w:t>
      </w:r>
      <w:r w:rsidR="00874D35" w:rsidRPr="00D6760B">
        <w:t xml:space="preserve">gap between </w:t>
      </w:r>
      <w:r>
        <w:t xml:space="preserve">those </w:t>
      </w:r>
      <w:r w:rsidR="00CA2564">
        <w:t>pupils</w:t>
      </w:r>
      <w:r w:rsidR="00CA2564" w:rsidRPr="00D6760B">
        <w:t xml:space="preserve"> </w:t>
      </w:r>
      <w:r w:rsidR="00874D35" w:rsidRPr="00D6760B">
        <w:t>eligible for free school meals</w:t>
      </w:r>
      <w:r w:rsidR="00CA2564">
        <w:t xml:space="preserve"> </w:t>
      </w:r>
      <w:r>
        <w:t xml:space="preserve">reaching a </w:t>
      </w:r>
      <w:r w:rsidR="00E833C5">
        <w:t>‘</w:t>
      </w:r>
      <w:r>
        <w:t>good level of development</w:t>
      </w:r>
      <w:r w:rsidR="00E833C5">
        <w:t>’</w:t>
      </w:r>
      <w:r w:rsidRPr="00D6760B">
        <w:t xml:space="preserve"> </w:t>
      </w:r>
      <w:r w:rsidR="00CA2564">
        <w:t>and their peers</w:t>
      </w:r>
      <w:r>
        <w:t xml:space="preserve"> </w:t>
      </w:r>
      <w:r w:rsidR="00874D35" w:rsidRPr="00D6760B">
        <w:t>is similar to the national picture</w:t>
      </w:r>
      <w:r w:rsidR="00CA2564">
        <w:t>,</w:t>
      </w:r>
      <w:r w:rsidR="00874D35">
        <w:t xml:space="preserve"> at 18</w:t>
      </w:r>
      <w:r w:rsidR="00CA2564">
        <w:t xml:space="preserve"> percentage</w:t>
      </w:r>
      <w:r w:rsidR="00874D35">
        <w:t xml:space="preserve"> points. However</w:t>
      </w:r>
      <w:r w:rsidR="00874D35" w:rsidRPr="00D6760B">
        <w:t>, Leicester</w:t>
      </w:r>
      <w:r w:rsidR="00874D35">
        <w:t>shire</w:t>
      </w:r>
      <w:r w:rsidR="00874D35" w:rsidRPr="00D6760B">
        <w:t xml:space="preserve"> has the </w:t>
      </w:r>
      <w:r w:rsidR="00874D35">
        <w:t xml:space="preserve">second </w:t>
      </w:r>
      <w:r w:rsidR="00874D35" w:rsidRPr="00D6760B">
        <w:t>lowest proportion of children</w:t>
      </w:r>
      <w:r w:rsidR="00874D35">
        <w:t xml:space="preserve"> </w:t>
      </w:r>
      <w:r w:rsidR="00E833C5">
        <w:t xml:space="preserve">eligible for free school meals </w:t>
      </w:r>
      <w:r w:rsidR="00874D35" w:rsidRPr="00D6760B">
        <w:t>reaching this benchmark in England</w:t>
      </w:r>
      <w:r w:rsidR="003E1E1F">
        <w:t>.</w:t>
      </w:r>
    </w:p>
    <w:p w14:paraId="65305DBC" w14:textId="2623CDC9" w:rsidR="00874D35" w:rsidRPr="00D6760B" w:rsidRDefault="00D06B71" w:rsidP="00975380">
      <w:pPr>
        <w:pStyle w:val="Bulletskeyfindings"/>
        <w:rPr>
          <w:b/>
          <w:bCs/>
        </w:rPr>
      </w:pPr>
      <w:r w:rsidRPr="00D06B71">
        <w:rPr>
          <w:lang w:eastAsia="en-GB"/>
        </w:rPr>
        <w:t xml:space="preserve">More children eligible for free schools meals would </w:t>
      </w:r>
      <w:r>
        <w:rPr>
          <w:lang w:eastAsia="en-GB"/>
        </w:rPr>
        <w:t xml:space="preserve">likely </w:t>
      </w:r>
      <w:r w:rsidRPr="00D06B71">
        <w:rPr>
          <w:lang w:eastAsia="en-GB"/>
        </w:rPr>
        <w:t>reach a ‘good level of development’ at age five if participation in funded early education was higher.</w:t>
      </w:r>
      <w:r>
        <w:rPr>
          <w:b/>
          <w:lang w:eastAsia="en-GB"/>
        </w:rPr>
        <w:t xml:space="preserve"> </w:t>
      </w:r>
      <w:r w:rsidR="00874D35" w:rsidRPr="00D6760B">
        <w:t xml:space="preserve">The proportion of </w:t>
      </w:r>
      <w:r w:rsidR="00CA2564">
        <w:t>two-y</w:t>
      </w:r>
      <w:r w:rsidR="00874D35" w:rsidRPr="00D6760B">
        <w:t>ear</w:t>
      </w:r>
      <w:r w:rsidR="00CA2564">
        <w:t>-</w:t>
      </w:r>
      <w:r w:rsidR="00874D35" w:rsidRPr="00D6760B">
        <w:t xml:space="preserve">olds </w:t>
      </w:r>
      <w:r w:rsidR="00CA2564">
        <w:t>benefiting</w:t>
      </w:r>
      <w:r w:rsidR="00CA2564" w:rsidRPr="00D6760B">
        <w:t xml:space="preserve"> </w:t>
      </w:r>
      <w:r w:rsidR="00874D35" w:rsidRPr="00D6760B">
        <w:t>from funded early education in good or outstanding providers</w:t>
      </w:r>
      <w:r w:rsidR="00874D35">
        <w:t>,</w:t>
      </w:r>
      <w:r w:rsidR="00874D35" w:rsidRPr="00D6760B">
        <w:t xml:space="preserve"> at 83%</w:t>
      </w:r>
      <w:r w:rsidR="00874D35">
        <w:t>,</w:t>
      </w:r>
      <w:r w:rsidR="00874D35" w:rsidRPr="00D6760B">
        <w:t xml:space="preserve"> is similar to England’s 84%. </w:t>
      </w:r>
      <w:r>
        <w:t>However, p</w:t>
      </w:r>
      <w:r w:rsidR="00874D35" w:rsidRPr="00D6760B">
        <w:t>roportions are low in Rut</w:t>
      </w:r>
      <w:r>
        <w:t>land (60%) and Leicester (70%).</w:t>
      </w:r>
      <w:r w:rsidR="00874D35" w:rsidRPr="00D6760B">
        <w:t xml:space="preserve"> </w:t>
      </w:r>
    </w:p>
    <w:p w14:paraId="5F73D0E0" w14:textId="48F0CB90" w:rsidR="00E833C5" w:rsidRPr="00E833C5" w:rsidRDefault="00874D35" w:rsidP="00D06B71">
      <w:pPr>
        <w:pStyle w:val="Heading3"/>
      </w:pPr>
      <w:r w:rsidRPr="00D6760B">
        <w:t>Primary</w:t>
      </w:r>
    </w:p>
    <w:p w14:paraId="1749132D" w14:textId="59375902" w:rsidR="00874D35" w:rsidRPr="00D6760B" w:rsidRDefault="00874D35" w:rsidP="00975380">
      <w:pPr>
        <w:pStyle w:val="Bulletskeyfindings"/>
      </w:pPr>
      <w:r w:rsidRPr="00D06B71">
        <w:rPr>
          <w:b/>
        </w:rPr>
        <w:t xml:space="preserve">The proportion of primary aged children </w:t>
      </w:r>
      <w:r w:rsidR="00CA2564" w:rsidRPr="00D06B71">
        <w:rPr>
          <w:b/>
        </w:rPr>
        <w:t xml:space="preserve">who </w:t>
      </w:r>
      <w:r w:rsidRPr="00D06B71">
        <w:rPr>
          <w:b/>
        </w:rPr>
        <w:t xml:space="preserve">attend a good school has improved markedly in every authority </w:t>
      </w:r>
      <w:r w:rsidR="00CA2564" w:rsidRPr="00D06B71">
        <w:rPr>
          <w:b/>
        </w:rPr>
        <w:t xml:space="preserve">since 2012, </w:t>
      </w:r>
      <w:r w:rsidRPr="00D06B71">
        <w:rPr>
          <w:b/>
        </w:rPr>
        <w:t xml:space="preserve">except Rutland. </w:t>
      </w:r>
      <w:r>
        <w:t>As of this year</w:t>
      </w:r>
      <w:r w:rsidR="00CA2564">
        <w:t>,</w:t>
      </w:r>
      <w:r>
        <w:t xml:space="preserve"> </w:t>
      </w:r>
      <w:r w:rsidRPr="00D6760B">
        <w:t>8</w:t>
      </w:r>
      <w:r>
        <w:t>7</w:t>
      </w:r>
      <w:r w:rsidRPr="00D6760B">
        <w:t xml:space="preserve">% of children attend good or outstanding schools. </w:t>
      </w:r>
      <w:r>
        <w:t>However</w:t>
      </w:r>
      <w:r w:rsidR="00430F4E">
        <w:t>,</w:t>
      </w:r>
      <w:r>
        <w:t xml:space="preserve"> this is still </w:t>
      </w:r>
      <w:r w:rsidR="00CA2564">
        <w:t>three percentage points</w:t>
      </w:r>
      <w:r>
        <w:t xml:space="preserve"> </w:t>
      </w:r>
      <w:r w:rsidRPr="00D6760B">
        <w:t>below the national figure</w:t>
      </w:r>
      <w:r w:rsidR="00CA2564">
        <w:t>. I</w:t>
      </w:r>
      <w:r>
        <w:t>n some authorities</w:t>
      </w:r>
      <w:r w:rsidR="00CA2564">
        <w:t xml:space="preserve"> (</w:t>
      </w:r>
      <w:r>
        <w:t>Derby, Nottingham and Rutland</w:t>
      </w:r>
      <w:r w:rsidR="00CA2564">
        <w:t>),</w:t>
      </w:r>
      <w:r>
        <w:t xml:space="preserve"> the gap between the percentage of good school provision and national is </w:t>
      </w:r>
      <w:r w:rsidR="00CA2564">
        <w:t xml:space="preserve">10 percentage points </w:t>
      </w:r>
      <w:r>
        <w:t>or more</w:t>
      </w:r>
      <w:r w:rsidRPr="00D6760B">
        <w:t xml:space="preserve">. </w:t>
      </w:r>
      <w:r>
        <w:t xml:space="preserve">This year, </w:t>
      </w:r>
      <w:r w:rsidRPr="00D6760B">
        <w:t xml:space="preserve">Lincolnshire </w:t>
      </w:r>
      <w:r>
        <w:t>is</w:t>
      </w:r>
      <w:r w:rsidRPr="00D6760B">
        <w:t xml:space="preserve"> the </w:t>
      </w:r>
      <w:r w:rsidRPr="009D2114">
        <w:t>top performing authority</w:t>
      </w:r>
      <w:r>
        <w:t xml:space="preserve"> in the region</w:t>
      </w:r>
      <w:r w:rsidRPr="009D2114">
        <w:t>, with 9</w:t>
      </w:r>
      <w:r>
        <w:t>3</w:t>
      </w:r>
      <w:r w:rsidRPr="009D2114">
        <w:t>% of primary schools judged good or better</w:t>
      </w:r>
      <w:r w:rsidR="00430F4E">
        <w:t>. O</w:t>
      </w:r>
      <w:r w:rsidRPr="009D2114">
        <w:t>nly Rutland declined (down 1</w:t>
      </w:r>
      <w:r>
        <w:t>2</w:t>
      </w:r>
      <w:r w:rsidR="00CA2564">
        <w:t xml:space="preserve"> percentage points</w:t>
      </w:r>
      <w:r w:rsidRPr="009D2114">
        <w:t>).</w:t>
      </w:r>
    </w:p>
    <w:p w14:paraId="3E9FAED9" w14:textId="6925B7B6" w:rsidR="00874D35" w:rsidRDefault="00874D35" w:rsidP="00975380">
      <w:pPr>
        <w:pStyle w:val="Bulletskeyfindings"/>
      </w:pPr>
      <w:r>
        <w:t xml:space="preserve">The East Midlands was the second poorest performing region for phonics nationally. </w:t>
      </w:r>
      <w:r w:rsidRPr="00D6760B">
        <w:t>Only two local authorities (Rutland, 8</w:t>
      </w:r>
      <w:r>
        <w:t>6</w:t>
      </w:r>
      <w:r w:rsidRPr="00D6760B">
        <w:t xml:space="preserve">% and Lincolnshire, </w:t>
      </w:r>
      <w:r>
        <w:t>83</w:t>
      </w:r>
      <w:r w:rsidRPr="00D6760B">
        <w:t>%) performed better than national</w:t>
      </w:r>
      <w:r>
        <w:t>ly</w:t>
      </w:r>
      <w:r w:rsidRPr="00D6760B">
        <w:t>.</w:t>
      </w:r>
      <w:r>
        <w:t xml:space="preserve"> It is extremely disappointing that this important foundation for reading is not being well taught and that the gap between the ability of those who are disadvantaged and other children are not is very high. </w:t>
      </w:r>
    </w:p>
    <w:p w14:paraId="166B87AB" w14:textId="047ED1C9" w:rsidR="00874D35" w:rsidRPr="00D6760B" w:rsidRDefault="00874D35" w:rsidP="00975380">
      <w:pPr>
        <w:pStyle w:val="Bulletskeyfindings"/>
      </w:pPr>
      <w:r>
        <w:t>By the end of key stage 1</w:t>
      </w:r>
      <w:r w:rsidR="00CA2564">
        <w:t>,</w:t>
      </w:r>
      <w:r>
        <w:t xml:space="preserve"> only in Rutland and Derbyshire are pupils doing as well as pupils nationally in reading, writing and mathematics</w:t>
      </w:r>
      <w:r w:rsidR="00430F4E">
        <w:t>,</w:t>
      </w:r>
      <w:r>
        <w:t xml:space="preserve"> although pupils in Leicestershire are not far behind. Derby, Leicester and Nottingham were all </w:t>
      </w:r>
      <w:r w:rsidR="00CA2564">
        <w:t xml:space="preserve">among </w:t>
      </w:r>
      <w:r>
        <w:t xml:space="preserve">the </w:t>
      </w:r>
      <w:r w:rsidR="00CA2564">
        <w:t xml:space="preserve">20 </w:t>
      </w:r>
      <w:r>
        <w:t xml:space="preserve">lowest ranked local authorities nationally for reading, writing, mathematics and science at key stage 1. This raises a question about the quality of provision in our urban areas. </w:t>
      </w:r>
    </w:p>
    <w:p w14:paraId="61A1A0E9" w14:textId="10833C3B" w:rsidR="00874D35" w:rsidRDefault="00874D35" w:rsidP="00975380">
      <w:pPr>
        <w:pStyle w:val="Bulletskeyfindings"/>
        <w:rPr>
          <w:rFonts w:eastAsia="Tahoma"/>
        </w:rPr>
      </w:pPr>
      <w:r>
        <w:rPr>
          <w:rFonts w:eastAsia="Tahoma"/>
        </w:rPr>
        <w:t xml:space="preserve">This year’s key stage 2 provisional results show that 50% of pupils in the East Midlands reached the new expected standard in reading, writing and mathematics. This </w:t>
      </w:r>
      <w:r w:rsidR="00CA2564">
        <w:rPr>
          <w:rFonts w:eastAsia="Tahoma"/>
        </w:rPr>
        <w:t>is two percentage points</w:t>
      </w:r>
      <w:r>
        <w:rPr>
          <w:rFonts w:eastAsia="Tahoma"/>
        </w:rPr>
        <w:t xml:space="preserve"> lower than the national state</w:t>
      </w:r>
      <w:r w:rsidR="00CA2564">
        <w:rPr>
          <w:rFonts w:eastAsia="Tahoma"/>
        </w:rPr>
        <w:t>-</w:t>
      </w:r>
      <w:r>
        <w:rPr>
          <w:rFonts w:eastAsia="Tahoma"/>
        </w:rPr>
        <w:t xml:space="preserve">funded schools figure of 52%. The highest performing authorities were Rutland (53%), Nottinghamshire (52%) and Leicestershire (52%). </w:t>
      </w:r>
    </w:p>
    <w:p w14:paraId="7235A590" w14:textId="15AA6C31" w:rsidR="00874D35" w:rsidRDefault="00874D35" w:rsidP="00975380">
      <w:pPr>
        <w:pStyle w:val="Bulletskeyfindings"/>
        <w:rPr>
          <w:rFonts w:eastAsia="Tahoma"/>
        </w:rPr>
      </w:pPr>
      <w:r>
        <w:rPr>
          <w:rFonts w:eastAsia="Tahoma"/>
        </w:rPr>
        <w:t>In four of the nine</w:t>
      </w:r>
      <w:r w:rsidR="00CA2564">
        <w:rPr>
          <w:rFonts w:eastAsia="Tahoma"/>
        </w:rPr>
        <w:t xml:space="preserve"> local</w:t>
      </w:r>
      <w:r>
        <w:rPr>
          <w:rFonts w:eastAsia="Tahoma"/>
        </w:rPr>
        <w:t xml:space="preserve"> authorities, </w:t>
      </w:r>
      <w:r w:rsidR="00CA2564">
        <w:rPr>
          <w:rFonts w:eastAsia="Tahoma"/>
        </w:rPr>
        <w:t xml:space="preserve">fewer </w:t>
      </w:r>
      <w:r>
        <w:rPr>
          <w:rFonts w:eastAsia="Tahoma"/>
        </w:rPr>
        <w:t xml:space="preserve">than half of pupils reached the expected standard in reading, writing and mathematics. Derby and Northamptonshire (47%) had the lowest levels of attainment but outcomes were weak in Leicester (48%) and Nottingham (49%) too. Again, with the exception of Northamptonshire, </w:t>
      </w:r>
      <w:r w:rsidRPr="00D06B71">
        <w:rPr>
          <w:rFonts w:eastAsia="Tahoma"/>
          <w:b/>
        </w:rPr>
        <w:t>it is our urban areas where children are not doing as well as they should.</w:t>
      </w:r>
      <w:r>
        <w:rPr>
          <w:rFonts w:eastAsia="Tahoma"/>
        </w:rPr>
        <w:t xml:space="preserve"> </w:t>
      </w:r>
    </w:p>
    <w:p w14:paraId="75CD2CCC" w14:textId="77777777" w:rsidR="00BD5E32" w:rsidRPr="00D6760B" w:rsidRDefault="00BD5E32" w:rsidP="00FF77F7">
      <w:pPr>
        <w:pStyle w:val="Bulletskeyfindings"/>
        <w:numPr>
          <w:ilvl w:val="0"/>
          <w:numId w:val="0"/>
        </w:numPr>
        <w:rPr>
          <w:rFonts w:eastAsia="Tahoma"/>
        </w:rPr>
      </w:pPr>
    </w:p>
    <w:p w14:paraId="21C8AF8F" w14:textId="77777777" w:rsidR="00B6139E" w:rsidRDefault="00B6139E">
      <w:pPr>
        <w:spacing w:after="200" w:line="276" w:lineRule="auto"/>
        <w:rPr>
          <w:b/>
        </w:rPr>
      </w:pPr>
      <w:r>
        <w:rPr>
          <w:b/>
        </w:rPr>
        <w:lastRenderedPageBreak/>
        <w:br w:type="page"/>
      </w:r>
    </w:p>
    <w:p w14:paraId="79A9555B" w14:textId="0CC5F806" w:rsidR="00874D35" w:rsidRDefault="00874D35" w:rsidP="00FF77F7">
      <w:pPr>
        <w:spacing w:after="200" w:line="276" w:lineRule="auto"/>
        <w:rPr>
          <w:b/>
        </w:rPr>
      </w:pPr>
      <w:r w:rsidRPr="00D6760B">
        <w:rPr>
          <w:b/>
        </w:rPr>
        <w:lastRenderedPageBreak/>
        <w:t>Secondary</w:t>
      </w:r>
    </w:p>
    <w:p w14:paraId="5C1DF67F" w14:textId="77777777" w:rsidR="00874D35" w:rsidRDefault="00874D35" w:rsidP="00975380">
      <w:pPr>
        <w:pStyle w:val="Bulletskeyfindings"/>
        <w:rPr>
          <w:rFonts w:eastAsia="Tahoma"/>
        </w:rPr>
      </w:pPr>
      <w:r w:rsidRPr="00D06B71">
        <w:rPr>
          <w:rFonts w:eastAsia="Tahoma"/>
          <w:b/>
        </w:rPr>
        <w:t xml:space="preserve">Although nationally over 81% of pupils attend good or outstanding schools, in the East Midlands this is true of just 75% of pupils. </w:t>
      </w:r>
      <w:r>
        <w:rPr>
          <w:rFonts w:eastAsia="Tahoma"/>
        </w:rPr>
        <w:t>Seven</w:t>
      </w:r>
      <w:r w:rsidRPr="38DF665C">
        <w:rPr>
          <w:rFonts w:eastAsia="Tahoma"/>
        </w:rPr>
        <w:t xml:space="preserve"> local authorities improved over the year,</w:t>
      </w:r>
      <w:r>
        <w:rPr>
          <w:rFonts w:eastAsia="Tahoma"/>
        </w:rPr>
        <w:t xml:space="preserve"> but</w:t>
      </w:r>
      <w:r w:rsidRPr="38DF665C">
        <w:rPr>
          <w:rFonts w:eastAsia="Tahoma"/>
        </w:rPr>
        <w:t xml:space="preserve"> five still perform below </w:t>
      </w:r>
      <w:r>
        <w:rPr>
          <w:rFonts w:eastAsia="Tahoma"/>
        </w:rPr>
        <w:t>the national level</w:t>
      </w:r>
      <w:r w:rsidRPr="38DF665C">
        <w:rPr>
          <w:rFonts w:eastAsia="Tahoma"/>
        </w:rPr>
        <w:t>. Leicester saw its national rank drop 3</w:t>
      </w:r>
      <w:r>
        <w:rPr>
          <w:rFonts w:eastAsia="Tahoma"/>
        </w:rPr>
        <w:t>7</w:t>
      </w:r>
      <w:r w:rsidRPr="38DF665C">
        <w:rPr>
          <w:rFonts w:eastAsia="Tahoma"/>
        </w:rPr>
        <w:t xml:space="preserve"> places, </w:t>
      </w:r>
      <w:r>
        <w:rPr>
          <w:rFonts w:eastAsia="Tahoma"/>
        </w:rPr>
        <w:t>but</w:t>
      </w:r>
      <w:r w:rsidRPr="38DF665C">
        <w:rPr>
          <w:rFonts w:eastAsia="Tahoma"/>
        </w:rPr>
        <w:t xml:space="preserve"> Lincolnshire gained 1</w:t>
      </w:r>
      <w:r>
        <w:rPr>
          <w:rFonts w:eastAsia="Tahoma"/>
        </w:rPr>
        <w:t>4</w:t>
      </w:r>
      <w:r w:rsidRPr="38DF665C">
        <w:rPr>
          <w:rFonts w:eastAsia="Tahoma"/>
        </w:rPr>
        <w:t xml:space="preserve"> places.</w:t>
      </w:r>
    </w:p>
    <w:p w14:paraId="3CE90F9D" w14:textId="10B1C025" w:rsidR="00874D35" w:rsidRPr="00CC6730" w:rsidRDefault="00874D35" w:rsidP="00975380">
      <w:pPr>
        <w:pStyle w:val="Bulletskeyfindings"/>
        <w:rPr>
          <w:bCs/>
        </w:rPr>
      </w:pPr>
      <w:r>
        <w:rPr>
          <w:bCs/>
        </w:rPr>
        <w:t xml:space="preserve">Pupils at key stage 4 do less well in the East Midlands than they do nationally. Provisional results for </w:t>
      </w:r>
      <w:r w:rsidRPr="00CC6730">
        <w:rPr>
          <w:bCs/>
        </w:rPr>
        <w:t>2016</w:t>
      </w:r>
      <w:r>
        <w:rPr>
          <w:bCs/>
        </w:rPr>
        <w:t xml:space="preserve"> show that</w:t>
      </w:r>
      <w:r w:rsidRPr="00CC6730">
        <w:rPr>
          <w:bCs/>
        </w:rPr>
        <w:t xml:space="preserve"> the region was the third poorest nationally for its </w:t>
      </w:r>
      <w:r w:rsidR="008E262C">
        <w:rPr>
          <w:bCs/>
        </w:rPr>
        <w:t>P</w:t>
      </w:r>
      <w:r w:rsidRPr="00CC6730">
        <w:rPr>
          <w:bCs/>
        </w:rPr>
        <w:t xml:space="preserve">rogress 8 score, with only Rutland above the national level. </w:t>
      </w:r>
      <w:r>
        <w:rPr>
          <w:bCs/>
        </w:rPr>
        <w:t xml:space="preserve">This demonstrates that our pupils are not making as good progress as those in most other regions. </w:t>
      </w:r>
      <w:r w:rsidRPr="00CC6730">
        <w:rPr>
          <w:bCs/>
        </w:rPr>
        <w:t xml:space="preserve">Furthermore, </w:t>
      </w:r>
      <w:r w:rsidRPr="00D06B71">
        <w:rPr>
          <w:b/>
          <w:bCs/>
        </w:rPr>
        <w:t xml:space="preserve">Nottingham and Derby were </w:t>
      </w:r>
      <w:r w:rsidR="008E262C" w:rsidRPr="00D06B71">
        <w:rPr>
          <w:b/>
          <w:bCs/>
        </w:rPr>
        <w:t xml:space="preserve">among </w:t>
      </w:r>
      <w:r w:rsidRPr="00D06B71">
        <w:rPr>
          <w:b/>
          <w:bCs/>
        </w:rPr>
        <w:t xml:space="preserve">the joint </w:t>
      </w:r>
      <w:r w:rsidR="008E262C" w:rsidRPr="00D06B71">
        <w:rPr>
          <w:b/>
          <w:bCs/>
        </w:rPr>
        <w:t>25</w:t>
      </w:r>
      <w:r w:rsidRPr="00D06B71">
        <w:rPr>
          <w:b/>
          <w:bCs/>
        </w:rPr>
        <w:t xml:space="preserve"> lowest ranked authorities for both </w:t>
      </w:r>
      <w:r w:rsidR="008E262C" w:rsidRPr="00D06B71">
        <w:rPr>
          <w:b/>
          <w:bCs/>
        </w:rPr>
        <w:t xml:space="preserve">Attainment </w:t>
      </w:r>
      <w:r w:rsidRPr="00D06B71">
        <w:rPr>
          <w:b/>
          <w:bCs/>
        </w:rPr>
        <w:t xml:space="preserve">8 and </w:t>
      </w:r>
      <w:r w:rsidR="008E262C" w:rsidRPr="00D06B71">
        <w:rPr>
          <w:b/>
          <w:bCs/>
        </w:rPr>
        <w:t xml:space="preserve">Progress </w:t>
      </w:r>
      <w:r w:rsidRPr="00D06B71">
        <w:rPr>
          <w:b/>
          <w:bCs/>
        </w:rPr>
        <w:t>8</w:t>
      </w:r>
      <w:r w:rsidR="008E262C">
        <w:rPr>
          <w:bCs/>
        </w:rPr>
        <w:t>,</w:t>
      </w:r>
      <w:r>
        <w:rPr>
          <w:bCs/>
        </w:rPr>
        <w:t xml:space="preserve"> reflecting the failure of our urban areas to ensure that all pupils achieve well</w:t>
      </w:r>
      <w:r w:rsidR="008E262C">
        <w:rPr>
          <w:bCs/>
        </w:rPr>
        <w:t>.</w:t>
      </w:r>
    </w:p>
    <w:p w14:paraId="7075F866" w14:textId="5AC84268" w:rsidR="00874D35" w:rsidRPr="007102B6" w:rsidRDefault="00874D35" w:rsidP="00975380">
      <w:pPr>
        <w:pStyle w:val="Bulletskeyfindings"/>
        <w:rPr>
          <w:rFonts w:eastAsia="Tahoma"/>
          <w:b/>
          <w:bCs/>
        </w:rPr>
      </w:pPr>
      <w:r w:rsidRPr="007102B6">
        <w:rPr>
          <w:rFonts w:eastAsia="Tahoma"/>
        </w:rPr>
        <w:t xml:space="preserve">In 2015, the difference in the proportions of pupils eligible for free school meals </w:t>
      </w:r>
      <w:r>
        <w:rPr>
          <w:rFonts w:eastAsia="Tahoma"/>
        </w:rPr>
        <w:t xml:space="preserve">who achieved </w:t>
      </w:r>
      <w:r w:rsidR="008E262C">
        <w:rPr>
          <w:rFonts w:eastAsia="Tahoma"/>
        </w:rPr>
        <w:t>five</w:t>
      </w:r>
      <w:r>
        <w:rPr>
          <w:rFonts w:eastAsia="Tahoma"/>
        </w:rPr>
        <w:t xml:space="preserve"> GCSEs at</w:t>
      </w:r>
      <w:r w:rsidR="008E262C">
        <w:rPr>
          <w:rFonts w:eastAsia="Tahoma"/>
        </w:rPr>
        <w:t xml:space="preserve"> grades</w:t>
      </w:r>
      <w:r>
        <w:rPr>
          <w:rFonts w:eastAsia="Tahoma"/>
        </w:rPr>
        <w:t xml:space="preserve"> A*</w:t>
      </w:r>
      <w:r w:rsidR="008E262C">
        <w:rPr>
          <w:rFonts w:eastAsia="Tahoma"/>
        </w:rPr>
        <w:t xml:space="preserve"> to </w:t>
      </w:r>
      <w:r>
        <w:rPr>
          <w:rFonts w:eastAsia="Tahoma"/>
        </w:rPr>
        <w:t>C</w:t>
      </w:r>
      <w:r w:rsidR="008E262C">
        <w:rPr>
          <w:rFonts w:eastAsia="Tahoma"/>
        </w:rPr>
        <w:t>,</w:t>
      </w:r>
      <w:r>
        <w:rPr>
          <w:rFonts w:eastAsia="Tahoma"/>
        </w:rPr>
        <w:t xml:space="preserve"> including English and mathematics</w:t>
      </w:r>
      <w:r w:rsidR="004D7EF7">
        <w:rPr>
          <w:rFonts w:eastAsia="Tahoma"/>
        </w:rPr>
        <w:t>,</w:t>
      </w:r>
      <w:r>
        <w:rPr>
          <w:rFonts w:eastAsia="Tahoma"/>
        </w:rPr>
        <w:t xml:space="preserve"> </w:t>
      </w:r>
      <w:r w:rsidRPr="007102B6">
        <w:rPr>
          <w:rFonts w:eastAsia="Tahoma"/>
        </w:rPr>
        <w:t>and their peers was 30.1</w:t>
      </w:r>
      <w:r w:rsidR="008E262C">
        <w:rPr>
          <w:rFonts w:eastAsia="Tahoma"/>
        </w:rPr>
        <w:t xml:space="preserve"> percentage</w:t>
      </w:r>
      <w:r>
        <w:rPr>
          <w:rFonts w:eastAsia="Tahoma"/>
        </w:rPr>
        <w:t xml:space="preserve"> points</w:t>
      </w:r>
      <w:r w:rsidR="008E262C">
        <w:rPr>
          <w:rFonts w:eastAsia="Tahoma"/>
        </w:rPr>
        <w:t>:</w:t>
      </w:r>
      <w:r w:rsidRPr="007102B6">
        <w:rPr>
          <w:rFonts w:eastAsia="Tahoma"/>
        </w:rPr>
        <w:t xml:space="preserve"> wider than the national gap of 27.9. There was considerable variation in this gap within the region</w:t>
      </w:r>
      <w:r w:rsidR="008E262C">
        <w:rPr>
          <w:rFonts w:eastAsia="Tahoma"/>
        </w:rPr>
        <w:t>:</w:t>
      </w:r>
      <w:r w:rsidRPr="007102B6">
        <w:rPr>
          <w:rFonts w:eastAsia="Tahoma"/>
        </w:rPr>
        <w:t xml:space="preserve"> from 20.9</w:t>
      </w:r>
      <w:r w:rsidR="008E262C">
        <w:rPr>
          <w:rFonts w:eastAsia="Tahoma"/>
        </w:rPr>
        <w:t xml:space="preserve"> percentage </w:t>
      </w:r>
      <w:r>
        <w:rPr>
          <w:rFonts w:eastAsia="Tahoma"/>
        </w:rPr>
        <w:t xml:space="preserve">points </w:t>
      </w:r>
      <w:r w:rsidRPr="007102B6">
        <w:rPr>
          <w:rFonts w:eastAsia="Tahoma"/>
        </w:rPr>
        <w:t>in Leicester to 34.1</w:t>
      </w:r>
      <w:r w:rsidR="008E262C">
        <w:rPr>
          <w:rFonts w:eastAsia="Tahoma"/>
        </w:rPr>
        <w:t xml:space="preserve"> </w:t>
      </w:r>
      <w:r w:rsidRPr="007102B6">
        <w:rPr>
          <w:rFonts w:eastAsia="Tahoma"/>
        </w:rPr>
        <w:t xml:space="preserve">in Lincolnshire. Leicester and Rutland were the only areas within the region where a larger proportion of pupils </w:t>
      </w:r>
      <w:r w:rsidR="008E262C">
        <w:rPr>
          <w:rFonts w:eastAsia="Tahoma"/>
        </w:rPr>
        <w:t xml:space="preserve">eligible for free school meals </w:t>
      </w:r>
      <w:r w:rsidRPr="007102B6">
        <w:rPr>
          <w:rFonts w:eastAsia="Tahoma"/>
        </w:rPr>
        <w:t xml:space="preserve">attained </w:t>
      </w:r>
      <w:r w:rsidR="008E262C">
        <w:rPr>
          <w:rFonts w:eastAsia="Tahoma"/>
        </w:rPr>
        <w:t>five</w:t>
      </w:r>
      <w:r w:rsidRPr="007102B6">
        <w:rPr>
          <w:rFonts w:eastAsia="Tahoma"/>
        </w:rPr>
        <w:t xml:space="preserve"> GCSEs at grade</w:t>
      </w:r>
      <w:r w:rsidR="008E262C">
        <w:rPr>
          <w:rFonts w:eastAsia="Tahoma"/>
        </w:rPr>
        <w:t>s</w:t>
      </w:r>
      <w:r w:rsidRPr="007102B6">
        <w:rPr>
          <w:rFonts w:eastAsia="Tahoma"/>
        </w:rPr>
        <w:t xml:space="preserve"> A*</w:t>
      </w:r>
      <w:r w:rsidR="008E262C">
        <w:rPr>
          <w:rFonts w:eastAsia="Tahoma"/>
        </w:rPr>
        <w:t xml:space="preserve"> to </w:t>
      </w:r>
      <w:r w:rsidRPr="007102B6">
        <w:rPr>
          <w:rFonts w:eastAsia="Tahoma"/>
        </w:rPr>
        <w:t>C</w:t>
      </w:r>
      <w:r w:rsidR="008E262C">
        <w:rPr>
          <w:rFonts w:eastAsia="Tahoma"/>
        </w:rPr>
        <w:t>,</w:t>
      </w:r>
      <w:r w:rsidRPr="007102B6">
        <w:rPr>
          <w:rFonts w:eastAsia="Tahoma"/>
        </w:rPr>
        <w:t xml:space="preserve"> including English and mathematics</w:t>
      </w:r>
      <w:r w:rsidR="008E262C">
        <w:rPr>
          <w:rFonts w:eastAsia="Tahoma"/>
        </w:rPr>
        <w:t>,</w:t>
      </w:r>
      <w:r w:rsidRPr="007102B6">
        <w:rPr>
          <w:rFonts w:eastAsia="Tahoma"/>
        </w:rPr>
        <w:t xml:space="preserve"> than was the case nationally.</w:t>
      </w:r>
    </w:p>
    <w:p w14:paraId="78C75DE2" w14:textId="77777777" w:rsidR="00874D35" w:rsidRPr="00D6760B" w:rsidRDefault="00874D35" w:rsidP="00874D35">
      <w:pPr>
        <w:pStyle w:val="ListParagraph"/>
        <w:rPr>
          <w:rFonts w:cs="Tahoma"/>
          <w:b/>
          <w:bCs/>
        </w:rPr>
      </w:pPr>
    </w:p>
    <w:p w14:paraId="1A29A42F" w14:textId="14A8ADE4" w:rsidR="00D06B71" w:rsidRPr="00D06B71" w:rsidRDefault="00874D35" w:rsidP="00D06B71">
      <w:pPr>
        <w:pStyle w:val="Heading3"/>
      </w:pPr>
      <w:r w:rsidRPr="00D6760B">
        <w:t>F</w:t>
      </w:r>
      <w:r>
        <w:t xml:space="preserve">urther </w:t>
      </w:r>
      <w:r w:rsidR="0082645F">
        <w:t>e</w:t>
      </w:r>
      <w:r>
        <w:t xml:space="preserve">ducation and </w:t>
      </w:r>
      <w:r w:rsidR="0082645F">
        <w:t>s</w:t>
      </w:r>
      <w:r>
        <w:t>kills</w:t>
      </w:r>
    </w:p>
    <w:p w14:paraId="7F994C6A" w14:textId="3B5E757F" w:rsidR="00874D35" w:rsidRPr="00CC6730" w:rsidRDefault="00874D35" w:rsidP="00975380">
      <w:pPr>
        <w:pStyle w:val="Bulletskeyfindings"/>
        <w:rPr>
          <w:b/>
          <w:bCs/>
        </w:rPr>
      </w:pPr>
      <w:r w:rsidRPr="00CC6730">
        <w:t xml:space="preserve">In August 2016, 80% of providers are good or outstanding, </w:t>
      </w:r>
      <w:r w:rsidR="008E262C">
        <w:t>one percentage point</w:t>
      </w:r>
      <w:r>
        <w:t xml:space="preserve"> </w:t>
      </w:r>
      <w:r w:rsidRPr="00CC6730">
        <w:t>below the national level. However</w:t>
      </w:r>
      <w:r w:rsidR="008E262C">
        <w:t>,</w:t>
      </w:r>
      <w:r w:rsidRPr="00CC6730">
        <w:t xml:space="preserve"> there is marked variation in the quality of different types of provision regionally, with </w:t>
      </w:r>
      <w:r w:rsidRPr="00D06B71">
        <w:rPr>
          <w:b/>
        </w:rPr>
        <w:t xml:space="preserve">the region’s </w:t>
      </w:r>
      <w:r w:rsidR="006A5C22">
        <w:rPr>
          <w:b/>
        </w:rPr>
        <w:t xml:space="preserve">general </w:t>
      </w:r>
      <w:r w:rsidR="008E262C" w:rsidRPr="00D06B71">
        <w:rPr>
          <w:b/>
        </w:rPr>
        <w:t xml:space="preserve">further education </w:t>
      </w:r>
      <w:r w:rsidR="006A5C22">
        <w:rPr>
          <w:b/>
        </w:rPr>
        <w:t xml:space="preserve">colleges </w:t>
      </w:r>
      <w:r w:rsidRPr="00D06B71">
        <w:rPr>
          <w:b/>
        </w:rPr>
        <w:t xml:space="preserve">and </w:t>
      </w:r>
      <w:r w:rsidR="008E262C" w:rsidRPr="00D06B71">
        <w:rPr>
          <w:b/>
        </w:rPr>
        <w:t xml:space="preserve">sixth </w:t>
      </w:r>
      <w:r w:rsidR="006A5C22">
        <w:rPr>
          <w:b/>
        </w:rPr>
        <w:t xml:space="preserve">form colleges </w:t>
      </w:r>
      <w:r w:rsidRPr="00D06B71">
        <w:rPr>
          <w:b/>
        </w:rPr>
        <w:t xml:space="preserve">comparing particularly poorly with </w:t>
      </w:r>
      <w:r w:rsidR="00430F4E" w:rsidRPr="00D06B71">
        <w:rPr>
          <w:b/>
        </w:rPr>
        <w:t>th</w:t>
      </w:r>
      <w:r w:rsidR="00430F4E">
        <w:rPr>
          <w:b/>
        </w:rPr>
        <w:t>ose</w:t>
      </w:r>
      <w:r w:rsidR="00430F4E" w:rsidRPr="00D06B71">
        <w:rPr>
          <w:b/>
        </w:rPr>
        <w:t xml:space="preserve"> </w:t>
      </w:r>
      <w:r w:rsidRPr="00D06B71">
        <w:rPr>
          <w:b/>
        </w:rPr>
        <w:t>nationally</w:t>
      </w:r>
      <w:r w:rsidRPr="00CC6730">
        <w:t>.</w:t>
      </w:r>
    </w:p>
    <w:p w14:paraId="4CCDB355" w14:textId="77B8E652" w:rsidR="00874D35" w:rsidRPr="00CC6730" w:rsidRDefault="00874D35" w:rsidP="00975380">
      <w:pPr>
        <w:pStyle w:val="Bulletskeyfindings"/>
        <w:rPr>
          <w:rFonts w:eastAsia="Tahoma"/>
          <w:b/>
          <w:bCs/>
        </w:rPr>
      </w:pPr>
      <w:r>
        <w:rPr>
          <w:rFonts w:eastAsia="Tahoma"/>
        </w:rPr>
        <w:t xml:space="preserve">In 2015, </w:t>
      </w:r>
      <w:r w:rsidRPr="00CC6730">
        <w:rPr>
          <w:rFonts w:eastAsia="Tahoma"/>
        </w:rPr>
        <w:t>67.1% of students achieved a level 2 qualification</w:t>
      </w:r>
      <w:r w:rsidR="008E262C">
        <w:rPr>
          <w:rFonts w:eastAsia="Tahoma"/>
        </w:rPr>
        <w:t>,</w:t>
      </w:r>
      <w:r w:rsidRPr="00CC6730">
        <w:rPr>
          <w:rFonts w:eastAsia="Tahoma"/>
        </w:rPr>
        <w:t xml:space="preserve"> including English and mathematics</w:t>
      </w:r>
      <w:r w:rsidR="008E262C">
        <w:rPr>
          <w:rFonts w:eastAsia="Tahoma"/>
        </w:rPr>
        <w:t>,</w:t>
      </w:r>
      <w:r w:rsidRPr="00CC6730">
        <w:rPr>
          <w:rFonts w:eastAsia="Tahoma"/>
        </w:rPr>
        <w:t xml:space="preserve"> by the age of 19</w:t>
      </w:r>
      <w:r w:rsidR="008E262C">
        <w:rPr>
          <w:rFonts w:eastAsia="Tahoma"/>
        </w:rPr>
        <w:t>:</w:t>
      </w:r>
      <w:r w:rsidRPr="00CC6730">
        <w:rPr>
          <w:rFonts w:eastAsia="Tahoma"/>
        </w:rPr>
        <w:t xml:space="preserve"> a little below the national rate of 67.9%. The difference between the regional and national rates was wider for those </w:t>
      </w:r>
      <w:r>
        <w:rPr>
          <w:rFonts w:eastAsia="Tahoma"/>
        </w:rPr>
        <w:t xml:space="preserve">eligible for free school meals </w:t>
      </w:r>
      <w:r w:rsidRPr="00CC6730">
        <w:rPr>
          <w:rFonts w:eastAsia="Tahoma"/>
        </w:rPr>
        <w:t xml:space="preserve">(40.8% regionally compared </w:t>
      </w:r>
      <w:r w:rsidR="008E262C">
        <w:rPr>
          <w:rFonts w:eastAsia="Tahoma"/>
        </w:rPr>
        <w:t>with</w:t>
      </w:r>
      <w:r w:rsidR="008E262C" w:rsidRPr="00CC6730">
        <w:rPr>
          <w:rFonts w:eastAsia="Tahoma"/>
        </w:rPr>
        <w:t xml:space="preserve"> </w:t>
      </w:r>
      <w:r w:rsidRPr="00CC6730">
        <w:rPr>
          <w:rFonts w:eastAsia="Tahoma"/>
        </w:rPr>
        <w:t>45.2% in England).</w:t>
      </w:r>
    </w:p>
    <w:p w14:paraId="77634D62" w14:textId="0B68D67F" w:rsidR="00874D35" w:rsidRPr="00CC6730" w:rsidRDefault="00874D35" w:rsidP="00975380">
      <w:pPr>
        <w:pStyle w:val="Bulletskeyfindings"/>
        <w:rPr>
          <w:b/>
          <w:bCs/>
        </w:rPr>
      </w:pPr>
      <w:r w:rsidRPr="00CC6730">
        <w:rPr>
          <w:bCs/>
        </w:rPr>
        <w:t xml:space="preserve">Figures for those not in </w:t>
      </w:r>
      <w:r w:rsidRPr="00CC6730">
        <w:t>education, employment or training (</w:t>
      </w:r>
      <w:r w:rsidRPr="00CC6730">
        <w:rPr>
          <w:bCs/>
        </w:rPr>
        <w:t>NEET)</w:t>
      </w:r>
      <w:r w:rsidR="008E262C">
        <w:rPr>
          <w:bCs/>
        </w:rPr>
        <w:t>,</w:t>
      </w:r>
      <w:r w:rsidRPr="00CC6730">
        <w:rPr>
          <w:bCs/>
        </w:rPr>
        <w:t xml:space="preserve"> at 3.9%</w:t>
      </w:r>
      <w:r w:rsidR="008E262C">
        <w:rPr>
          <w:bCs/>
        </w:rPr>
        <w:t>,</w:t>
      </w:r>
      <w:r w:rsidRPr="00CC6730">
        <w:rPr>
          <w:bCs/>
        </w:rPr>
        <w:t xml:space="preserve"> are </w:t>
      </w:r>
      <w:r w:rsidR="008E262C">
        <w:rPr>
          <w:bCs/>
        </w:rPr>
        <w:t>among</w:t>
      </w:r>
      <w:r w:rsidR="008E262C" w:rsidRPr="00CC6730">
        <w:rPr>
          <w:bCs/>
        </w:rPr>
        <w:t xml:space="preserve"> </w:t>
      </w:r>
      <w:r w:rsidRPr="00CC6730">
        <w:rPr>
          <w:bCs/>
        </w:rPr>
        <w:t>the lowest in England.</w:t>
      </w:r>
    </w:p>
    <w:p w14:paraId="0F55608D" w14:textId="31CE65D3" w:rsidR="00874D35" w:rsidRPr="00CC6730" w:rsidRDefault="00874D35" w:rsidP="00FF77F7">
      <w:pPr>
        <w:pStyle w:val="Bulletskeyfindings-lastbullet"/>
        <w:rPr>
          <w:b/>
        </w:rPr>
      </w:pPr>
      <w:r w:rsidRPr="00CC6730">
        <w:t>The proportion of 16-</w:t>
      </w:r>
      <w:r w:rsidR="008E262C">
        <w:t xml:space="preserve"> to </w:t>
      </w:r>
      <w:r w:rsidRPr="00CC6730">
        <w:t>19</w:t>
      </w:r>
      <w:r w:rsidR="008E262C">
        <w:t>-</w:t>
      </w:r>
      <w:r w:rsidRPr="00CC6730">
        <w:t>year</w:t>
      </w:r>
      <w:r w:rsidR="008E262C">
        <w:t>-</w:t>
      </w:r>
      <w:r w:rsidRPr="00CC6730">
        <w:t xml:space="preserve">olds </w:t>
      </w:r>
      <w:r w:rsidR="00430F4E">
        <w:t>whose destinations were</w:t>
      </w:r>
      <w:r w:rsidRPr="00CC6730">
        <w:t xml:space="preserve"> not known, at 6.5%, was below England’s 8.4%. </w:t>
      </w:r>
    </w:p>
    <w:p w14:paraId="2D452F0A" w14:textId="7764F2D8" w:rsidR="00874D35" w:rsidRDefault="00874D35" w:rsidP="00874D35">
      <w:pPr>
        <w:rPr>
          <w:rFonts w:cs="Tahoma"/>
        </w:rPr>
      </w:pPr>
      <w:r w:rsidRPr="00993400">
        <w:rPr>
          <w:rFonts w:cs="Tahoma"/>
        </w:rPr>
        <w:t>On 7</w:t>
      </w:r>
      <w:r w:rsidR="0082645F">
        <w:rPr>
          <w:rFonts w:cs="Tahoma"/>
        </w:rPr>
        <w:t xml:space="preserve"> </w:t>
      </w:r>
      <w:r w:rsidRPr="00993400">
        <w:rPr>
          <w:rFonts w:cs="Tahoma"/>
        </w:rPr>
        <w:t xml:space="preserve">June 2016, Chris Russell, Regional Director, </w:t>
      </w:r>
      <w:r w:rsidR="0082645F">
        <w:rPr>
          <w:rFonts w:cs="Tahoma"/>
        </w:rPr>
        <w:t>E</w:t>
      </w:r>
      <w:r w:rsidR="0082645F" w:rsidRPr="00993400">
        <w:rPr>
          <w:rFonts w:cs="Tahoma"/>
        </w:rPr>
        <w:t>ast Midlands</w:t>
      </w:r>
      <w:r w:rsidR="00430F4E">
        <w:rPr>
          <w:rFonts w:cs="Tahoma"/>
        </w:rPr>
        <w:t>,</w:t>
      </w:r>
      <w:r w:rsidR="0082645F" w:rsidRPr="00993400">
        <w:rPr>
          <w:rFonts w:cs="Tahoma"/>
        </w:rPr>
        <w:t xml:space="preserve"> </w:t>
      </w:r>
      <w:r w:rsidRPr="00993400">
        <w:rPr>
          <w:rFonts w:cs="Tahoma"/>
        </w:rPr>
        <w:t xml:space="preserve">commented in an open letter on the </w:t>
      </w:r>
      <w:r>
        <w:rPr>
          <w:rFonts w:cs="Tahoma"/>
        </w:rPr>
        <w:t xml:space="preserve">poor </w:t>
      </w:r>
      <w:r w:rsidRPr="00993400">
        <w:rPr>
          <w:rFonts w:cs="Tahoma"/>
        </w:rPr>
        <w:t>standards in provision</w:t>
      </w:r>
      <w:r>
        <w:rPr>
          <w:rFonts w:cs="Tahoma"/>
        </w:rPr>
        <w:t xml:space="preserve"> in Northamptonshire</w:t>
      </w:r>
      <w:r w:rsidRPr="00993400">
        <w:rPr>
          <w:rFonts w:cs="Tahoma"/>
        </w:rPr>
        <w:t xml:space="preserve"> in all phases. The letter can be seen </w:t>
      </w:r>
      <w:hyperlink r:id="rId10" w:history="1">
        <w:r w:rsidRPr="00993400">
          <w:rPr>
            <w:rStyle w:val="Hyperlink"/>
            <w:rFonts w:cs="Tahoma"/>
          </w:rPr>
          <w:t>here</w:t>
        </w:r>
      </w:hyperlink>
      <w:r w:rsidRPr="00993400">
        <w:rPr>
          <w:rFonts w:cs="Tahoma"/>
        </w:rPr>
        <w:t>.</w:t>
      </w:r>
      <w:r>
        <w:rPr>
          <w:rFonts w:cs="Tahoma"/>
        </w:rPr>
        <w:t xml:space="preserve"> The results achieved by pupils in Northamptonshire in the summer of 2016 reflect the continued and worrying underperformance of schools and early years providers in this local authority. </w:t>
      </w:r>
    </w:p>
    <w:p w14:paraId="6081A9A9" w14:textId="77777777" w:rsidR="0089329A" w:rsidRPr="00993400" w:rsidRDefault="0089329A" w:rsidP="00874D35">
      <w:pPr>
        <w:rPr>
          <w:rFonts w:cs="Tahoma"/>
        </w:rPr>
      </w:pPr>
    </w:p>
    <w:p w14:paraId="3F1F41F1" w14:textId="77777777" w:rsidR="0082645F" w:rsidRPr="000D5507" w:rsidRDefault="0082645F" w:rsidP="0082645F">
      <w:pPr>
        <w:pStyle w:val="Heading2"/>
      </w:pPr>
      <w:r w:rsidRPr="000D5507">
        <w:lastRenderedPageBreak/>
        <w:t xml:space="preserve">Quote from </w:t>
      </w:r>
      <w:r w:rsidRPr="00874D35">
        <w:t>Christopher Russell</w:t>
      </w:r>
      <w:r>
        <w:t>, Regional Director, East Midlands</w:t>
      </w:r>
    </w:p>
    <w:p w14:paraId="2D319CC9" w14:textId="77777777" w:rsidR="0082645F" w:rsidRDefault="0082645F" w:rsidP="0082645F">
      <w:pPr>
        <w:pStyle w:val="Unnumberedparagraph"/>
      </w:pPr>
      <w:r w:rsidRPr="000765DB">
        <w:t>Commenting on</w:t>
      </w:r>
      <w:r>
        <w:t xml:space="preserve"> the region’s </w:t>
      </w:r>
      <w:r w:rsidRPr="000765DB">
        <w:t xml:space="preserve">education performance, </w:t>
      </w:r>
      <w:r w:rsidRPr="00874D35">
        <w:t>Christopher Russell</w:t>
      </w:r>
      <w:r>
        <w:t xml:space="preserve">, </w:t>
      </w:r>
      <w:r w:rsidRPr="000765DB">
        <w:t>Regional Director</w:t>
      </w:r>
      <w:r>
        <w:t xml:space="preserve">, East Midlands </w:t>
      </w:r>
      <w:r w:rsidRPr="000765DB">
        <w:t>said:</w:t>
      </w:r>
    </w:p>
    <w:p w14:paraId="0DA20F2D" w14:textId="3E735216" w:rsidR="00B74C55" w:rsidRDefault="00380B16" w:rsidP="00243C9E">
      <w:pPr>
        <w:pStyle w:val="Quote"/>
      </w:pPr>
      <w:r>
        <w:t>‘</w:t>
      </w:r>
      <w:r w:rsidR="00B74C55">
        <w:t>It remains a matter of concern that many children and young people are not doing well enough in the East Midlands region. While some schools, colleges an</w:t>
      </w:r>
      <w:r w:rsidR="004D7EF7">
        <w:t>d work-</w:t>
      </w:r>
      <w:r w:rsidR="00B74C55">
        <w:t>based learning providers are</w:t>
      </w:r>
      <w:r w:rsidR="00243C9E">
        <w:t xml:space="preserve"> working with determination and creativity to ensure </w:t>
      </w:r>
      <w:r w:rsidR="00B74C55">
        <w:t xml:space="preserve">fabulous outcomes for their pupils and students, there are too many providers </w:t>
      </w:r>
      <w:r w:rsidR="004D7EF7">
        <w:t>in which</w:t>
      </w:r>
      <w:r w:rsidR="00B74C55">
        <w:t xml:space="preserve"> pupils, particularly those disadvantaged through poverty</w:t>
      </w:r>
      <w:r w:rsidR="004D7EF7">
        <w:t>,</w:t>
      </w:r>
      <w:r w:rsidR="00B74C55">
        <w:t xml:space="preserve"> are not doing as well as they should. </w:t>
      </w:r>
    </w:p>
    <w:p w14:paraId="4A97D2B3" w14:textId="68EC8D02" w:rsidR="00430F4E" w:rsidRDefault="0082645F" w:rsidP="0082645F">
      <w:pPr>
        <w:pStyle w:val="Quote"/>
      </w:pPr>
      <w:r>
        <w:t>In the early years</w:t>
      </w:r>
      <w:r w:rsidR="008E262C">
        <w:t>,</w:t>
      </w:r>
      <w:r>
        <w:t xml:space="preserve"> our children do just a little less well than nationally. But provision is weaker in our towns and cities</w:t>
      </w:r>
      <w:r w:rsidR="00430F4E">
        <w:t xml:space="preserve">, </w:t>
      </w:r>
      <w:r>
        <w:t xml:space="preserve">particularly Leicester and Nottingham. </w:t>
      </w:r>
    </w:p>
    <w:p w14:paraId="63E25843" w14:textId="3D7AF033" w:rsidR="0082645F" w:rsidRDefault="0082645F" w:rsidP="0082645F">
      <w:pPr>
        <w:pStyle w:val="Quote"/>
      </w:pPr>
      <w:r>
        <w:t xml:space="preserve">The proportion of primary aged children </w:t>
      </w:r>
      <w:r w:rsidR="008E262C">
        <w:t xml:space="preserve">who </w:t>
      </w:r>
      <w:r>
        <w:t>attend a good school has improved markedly but it is still below the national proportion. Primary schools are particularly weak in Derby, Nottingham and Rutland.</w:t>
      </w:r>
    </w:p>
    <w:p w14:paraId="7D60E9AA" w14:textId="734827DB" w:rsidR="0082645F" w:rsidRDefault="0082645F" w:rsidP="0082645F">
      <w:pPr>
        <w:pStyle w:val="Quote"/>
      </w:pPr>
      <w:r>
        <w:t xml:space="preserve">It is at secondary level, however, where our young people really fall behind. Just 75% of pupils </w:t>
      </w:r>
      <w:r w:rsidR="008E262C">
        <w:t xml:space="preserve">attend </w:t>
      </w:r>
      <w:r>
        <w:t>good or better schools, compared with 81% nationally. Sixteen</w:t>
      </w:r>
      <w:r w:rsidR="008E262C">
        <w:t>-</w:t>
      </w:r>
      <w:r>
        <w:t>year</w:t>
      </w:r>
      <w:r w:rsidR="008E262C">
        <w:t>-</w:t>
      </w:r>
      <w:r>
        <w:t xml:space="preserve">old pupils in the East Midlands had made much less progress than their peers nationally since they left primary school. Nottingham and Derby were </w:t>
      </w:r>
      <w:r w:rsidR="008E262C">
        <w:t xml:space="preserve">among </w:t>
      </w:r>
      <w:r>
        <w:t xml:space="preserve">the 25 lowest ranked authorities for both the attainment and progress of their pupils. </w:t>
      </w:r>
    </w:p>
    <w:p w14:paraId="09F10B1C" w14:textId="25CE8042" w:rsidR="0082645F" w:rsidRDefault="0082645F" w:rsidP="0082645F">
      <w:pPr>
        <w:pStyle w:val="Quote"/>
      </w:pPr>
      <w:r>
        <w:t>The region’s further education and college sector compare</w:t>
      </w:r>
      <w:r w:rsidR="008E262C">
        <w:t>s</w:t>
      </w:r>
      <w:r>
        <w:t xml:space="preserve"> poorly with that nationally, but overall</w:t>
      </w:r>
      <w:r w:rsidR="008E262C">
        <w:t>,</w:t>
      </w:r>
      <w:r>
        <w:t xml:space="preserve"> the proportion of our further education providers that are good and outstanding </w:t>
      </w:r>
      <w:r w:rsidR="008E262C">
        <w:t xml:space="preserve">is </w:t>
      </w:r>
      <w:r>
        <w:t>just below the national proportion.</w:t>
      </w:r>
      <w:r w:rsidR="00380B16">
        <w:t>’</w:t>
      </w:r>
      <w:r>
        <w:t xml:space="preserve"> </w:t>
      </w:r>
    </w:p>
    <w:p w14:paraId="4A09F0E4" w14:textId="7E1B3725" w:rsidR="00A8379D" w:rsidRDefault="00A8379D" w:rsidP="00FF77F7">
      <w:pPr>
        <w:pStyle w:val="Heading2"/>
        <w:rPr>
          <w:b w:val="0"/>
        </w:rPr>
      </w:pPr>
    </w:p>
    <w:p w14:paraId="63E2883F" w14:textId="1D00FD81" w:rsidR="000765DB" w:rsidRPr="000765DB" w:rsidRDefault="00C13342" w:rsidP="00932E78">
      <w:pPr>
        <w:pStyle w:val="Heading2"/>
        <w:rPr>
          <w:rFonts w:cs="Tahoma"/>
          <w:b w:val="0"/>
          <w:highlight w:val="yellow"/>
        </w:rPr>
      </w:pPr>
      <w:r>
        <w:t>C</w:t>
      </w:r>
      <w:r w:rsidRPr="000D5507">
        <w:t xml:space="preserve">ase studies </w:t>
      </w:r>
      <w:r>
        <w:t>of pr</w:t>
      </w:r>
      <w:r w:rsidR="00B65471">
        <w:t>o</w:t>
      </w:r>
      <w:r>
        <w:t>viders in the region</w:t>
      </w:r>
      <w:r w:rsidRPr="000D5507">
        <w:t xml:space="preserve"> that can be contacted</w:t>
      </w:r>
    </w:p>
    <w:p w14:paraId="327DF09E" w14:textId="08023805" w:rsidR="00874D35" w:rsidRDefault="00874D35" w:rsidP="00874D35">
      <w:pPr>
        <w:pStyle w:val="Casestudy"/>
        <w:keepNext/>
      </w:pPr>
      <w:proofErr w:type="spellStart"/>
      <w:r w:rsidRPr="00243C9E">
        <w:rPr>
          <w:b/>
        </w:rPr>
        <w:t>Wyberton</w:t>
      </w:r>
      <w:proofErr w:type="spellEnd"/>
      <w:r w:rsidRPr="00243C9E">
        <w:rPr>
          <w:b/>
        </w:rPr>
        <w:t xml:space="preserve"> Primary School,</w:t>
      </w:r>
      <w:r w:rsidR="00EE2D51">
        <w:rPr>
          <w:b/>
        </w:rPr>
        <w:t xml:space="preserve"> Boston, Lincolnshire (</w:t>
      </w:r>
      <w:hyperlink r:id="rId11" w:history="1">
        <w:r w:rsidRPr="00243C9E">
          <w:rPr>
            <w:rStyle w:val="Hyperlink"/>
            <w:b/>
          </w:rPr>
          <w:t>120681</w:t>
        </w:r>
      </w:hyperlink>
      <w:r w:rsidR="00EE2D51" w:rsidRPr="00EE2D51">
        <w:rPr>
          <w:b/>
        </w:rPr>
        <w:t>)</w:t>
      </w:r>
      <w:r w:rsidR="00184F9F">
        <w:rPr>
          <w:b/>
        </w:rPr>
        <w:br/>
      </w:r>
      <w:r>
        <w:t>Inspected July 2016</w:t>
      </w:r>
      <w:r w:rsidR="00637E26">
        <w:t>: o</w:t>
      </w:r>
      <w:r>
        <w:t xml:space="preserve">utstanding, previously </w:t>
      </w:r>
      <w:r w:rsidR="00637E26">
        <w:t>g</w:t>
      </w:r>
      <w:r>
        <w:t>ood</w:t>
      </w:r>
      <w:r w:rsidR="00637E26">
        <w:t>.</w:t>
      </w:r>
    </w:p>
    <w:p w14:paraId="0FFB2D6B" w14:textId="120B55ED" w:rsidR="00874D35" w:rsidRDefault="00874D35" w:rsidP="00874D35">
      <w:pPr>
        <w:pStyle w:val="Casestudy"/>
        <w:keepNext/>
      </w:pPr>
      <w:r>
        <w:t xml:space="preserve">This school demonstrated highly impressive improvement across its provision. Its leadership team </w:t>
      </w:r>
      <w:r w:rsidR="008E262C">
        <w:t xml:space="preserve">is </w:t>
      </w:r>
      <w:r>
        <w:t>characterised by an absolute determination to ensure that pupils catch up from their starting points and to give them the very best education possible.</w:t>
      </w:r>
    </w:p>
    <w:p w14:paraId="46523AFB" w14:textId="55EA6230" w:rsidR="00874D35" w:rsidRDefault="00874D35" w:rsidP="00243C9E">
      <w:pPr>
        <w:pStyle w:val="Bulletscasestudy"/>
      </w:pPr>
      <w:r>
        <w:t xml:space="preserve">Senior leaders have the highest expectations of every pupil and are determined that </w:t>
      </w:r>
      <w:r w:rsidR="00430F4E">
        <w:t xml:space="preserve">pupils </w:t>
      </w:r>
      <w:r>
        <w:t xml:space="preserve">are exceptionally well prepared for secondary school. </w:t>
      </w:r>
    </w:p>
    <w:p w14:paraId="5BAD85F3" w14:textId="61D517D8" w:rsidR="00874D35" w:rsidRDefault="00874D35" w:rsidP="00243C9E">
      <w:pPr>
        <w:pStyle w:val="Bulletscasestudy"/>
      </w:pPr>
      <w:r>
        <w:lastRenderedPageBreak/>
        <w:t>Staff are a high-performing, united team whose consistency of approach and delivery ensures high</w:t>
      </w:r>
      <w:r w:rsidR="00EE687A">
        <w:t>-</w:t>
      </w:r>
      <w:r>
        <w:t xml:space="preserve">quality education in every year group in the school. </w:t>
      </w:r>
    </w:p>
    <w:p w14:paraId="2AF8A228" w14:textId="5A91621F" w:rsidR="00874D35" w:rsidRDefault="00874D35" w:rsidP="00243C9E">
      <w:pPr>
        <w:pStyle w:val="Bulletscasestudy"/>
      </w:pPr>
      <w:r>
        <w:t xml:space="preserve">The governing body, while strongly supportive of the hard work of staff, </w:t>
      </w:r>
      <w:r w:rsidR="00EE687A">
        <w:t xml:space="preserve">is </w:t>
      </w:r>
      <w:r>
        <w:t xml:space="preserve">rigorous and effective in </w:t>
      </w:r>
      <w:r w:rsidR="00EE687A">
        <w:t xml:space="preserve">its </w:t>
      </w:r>
      <w:r>
        <w:t xml:space="preserve">challenge to senior leaders. </w:t>
      </w:r>
    </w:p>
    <w:p w14:paraId="1F719B12" w14:textId="3D4E6440" w:rsidR="00874D35" w:rsidRDefault="00874D35" w:rsidP="00243C9E">
      <w:pPr>
        <w:pStyle w:val="Bulletscasestudy"/>
      </w:pPr>
      <w:r>
        <w:t xml:space="preserve">Pupils benefit from being immersed in a rich curriculum, enhanced by an array of extra-curricular opportunities. </w:t>
      </w:r>
      <w:r w:rsidR="00270459">
        <w:t xml:space="preserve">They </w:t>
      </w:r>
      <w:r>
        <w:t>are very keen to come to school to learn because lessons are consistently well</w:t>
      </w:r>
      <w:r w:rsidR="00EE687A">
        <w:t xml:space="preserve"> </w:t>
      </w:r>
      <w:r>
        <w:t>delivered by knowledgeable teachers who make learning both fun and challenging for them.</w:t>
      </w:r>
    </w:p>
    <w:p w14:paraId="6456C067" w14:textId="27C5E67B" w:rsidR="00874D35" w:rsidRDefault="00874D35" w:rsidP="00243C9E">
      <w:pPr>
        <w:pStyle w:val="Bulletscasestudy"/>
      </w:pPr>
      <w:r>
        <w:t xml:space="preserve">Staff take care to ensure that they meet the needs of pupils who are disadvantaged, who need to catch up, who have special educational needs and/or disabilities or </w:t>
      </w:r>
      <w:r w:rsidR="00430F4E">
        <w:t xml:space="preserve">who </w:t>
      </w:r>
      <w:r w:rsidR="00270459">
        <w:t>are</w:t>
      </w:r>
      <w:r>
        <w:t xml:space="preserve"> vulnerable. </w:t>
      </w:r>
    </w:p>
    <w:p w14:paraId="5FFAD674" w14:textId="478BF25E" w:rsidR="00932E78" w:rsidRDefault="00932E78" w:rsidP="00FF77F7"/>
    <w:p w14:paraId="791274A8" w14:textId="60BFC086" w:rsidR="00637E26" w:rsidRPr="00FF77F7" w:rsidRDefault="001C5186" w:rsidP="00243C9E">
      <w:pPr>
        <w:pStyle w:val="Casestudy"/>
        <w:rPr>
          <w:b/>
        </w:rPr>
      </w:pPr>
      <w:r>
        <w:t>Nine</w:t>
      </w:r>
      <w:r w:rsidR="00637E26">
        <w:t xml:space="preserve"> East Midlands schools previously judged to require improvement in the region were this year judged outstanding: </w:t>
      </w:r>
      <w:proofErr w:type="spellStart"/>
      <w:r w:rsidR="00637E26" w:rsidRPr="00FF77F7">
        <w:rPr>
          <w:b/>
        </w:rPr>
        <w:t>Dronfield</w:t>
      </w:r>
      <w:proofErr w:type="spellEnd"/>
      <w:r w:rsidR="00637E26" w:rsidRPr="00FF77F7">
        <w:rPr>
          <w:b/>
        </w:rPr>
        <w:t xml:space="preserve"> Henry </w:t>
      </w:r>
      <w:proofErr w:type="spellStart"/>
      <w:r w:rsidR="00637E26" w:rsidRPr="00FF77F7">
        <w:rPr>
          <w:b/>
        </w:rPr>
        <w:t>Fanshaw</w:t>
      </w:r>
      <w:proofErr w:type="spellEnd"/>
      <w:r w:rsidR="00897007" w:rsidRPr="00FF77F7">
        <w:rPr>
          <w:b/>
        </w:rPr>
        <w:t xml:space="preserve"> School</w:t>
      </w:r>
      <w:r w:rsidR="00637E26" w:rsidRPr="00FF77F7">
        <w:rPr>
          <w:b/>
        </w:rPr>
        <w:t>, Derbyshire (</w:t>
      </w:r>
      <w:hyperlink r:id="rId12" w:history="1">
        <w:r w:rsidR="00637E26" w:rsidRPr="00FF77F7">
          <w:rPr>
            <w:rStyle w:val="Hyperlink"/>
            <w:b/>
          </w:rPr>
          <w:t>112969</w:t>
        </w:r>
      </w:hyperlink>
      <w:r w:rsidR="00637E26" w:rsidRPr="00FF77F7">
        <w:rPr>
          <w:b/>
        </w:rPr>
        <w:t>); The Bluecoat School</w:t>
      </w:r>
      <w:r w:rsidR="00897007" w:rsidRPr="00FF77F7">
        <w:rPr>
          <w:b/>
        </w:rPr>
        <w:t>,</w:t>
      </w:r>
      <w:r w:rsidR="00637E26" w:rsidRPr="00FF77F7">
        <w:rPr>
          <w:b/>
        </w:rPr>
        <w:t xml:space="preserve"> Stamford (</w:t>
      </w:r>
      <w:hyperlink r:id="rId13" w:history="1">
        <w:r w:rsidR="00637E26" w:rsidRPr="00FF77F7">
          <w:rPr>
            <w:rStyle w:val="Hyperlink"/>
            <w:b/>
          </w:rPr>
          <w:t>120399</w:t>
        </w:r>
      </w:hyperlink>
      <w:r w:rsidR="00637E26" w:rsidRPr="00FF77F7">
        <w:rPr>
          <w:b/>
        </w:rPr>
        <w:t>); The Parks School</w:t>
      </w:r>
      <w:r w:rsidR="00AB1059" w:rsidRPr="00FF77F7">
        <w:rPr>
          <w:b/>
        </w:rPr>
        <w:t>, O</w:t>
      </w:r>
      <w:r w:rsidR="00637E26" w:rsidRPr="00FF77F7">
        <w:rPr>
          <w:b/>
        </w:rPr>
        <w:t>akham, Leicestershire (</w:t>
      </w:r>
      <w:hyperlink r:id="rId14" w:history="1">
        <w:r w:rsidR="00637E26" w:rsidRPr="00FF77F7">
          <w:rPr>
            <w:rStyle w:val="Hyperlink"/>
            <w:b/>
          </w:rPr>
          <w:t>120355</w:t>
        </w:r>
      </w:hyperlink>
      <w:r w:rsidR="00637E26" w:rsidRPr="00FF77F7">
        <w:rPr>
          <w:b/>
        </w:rPr>
        <w:t>); Ivy House School</w:t>
      </w:r>
      <w:r w:rsidR="008D236C">
        <w:rPr>
          <w:b/>
        </w:rPr>
        <w:t>,</w:t>
      </w:r>
      <w:r w:rsidR="00637E26" w:rsidRPr="00FF77F7">
        <w:rPr>
          <w:b/>
        </w:rPr>
        <w:t xml:space="preserve"> Derby (</w:t>
      </w:r>
      <w:hyperlink r:id="rId15" w:history="1">
        <w:r w:rsidR="00637E26" w:rsidRPr="00FF77F7">
          <w:rPr>
            <w:rStyle w:val="Hyperlink"/>
            <w:b/>
          </w:rPr>
          <w:t>113047</w:t>
        </w:r>
      </w:hyperlink>
      <w:r w:rsidR="00637E26" w:rsidRPr="00FF77F7">
        <w:rPr>
          <w:b/>
        </w:rPr>
        <w:t>); Lawn Primary</w:t>
      </w:r>
      <w:r w:rsidR="00897007" w:rsidRPr="00FF77F7">
        <w:rPr>
          <w:b/>
        </w:rPr>
        <w:t xml:space="preserve"> School</w:t>
      </w:r>
      <w:r w:rsidR="008D236C">
        <w:rPr>
          <w:b/>
        </w:rPr>
        <w:t xml:space="preserve">, </w:t>
      </w:r>
      <w:r w:rsidR="00637E26" w:rsidRPr="00FF77F7">
        <w:rPr>
          <w:b/>
        </w:rPr>
        <w:t>Derby (</w:t>
      </w:r>
      <w:hyperlink r:id="rId16" w:history="1">
        <w:r w:rsidR="00637E26" w:rsidRPr="00FF77F7">
          <w:rPr>
            <w:rStyle w:val="Hyperlink"/>
            <w:b/>
          </w:rPr>
          <w:t>112779</w:t>
        </w:r>
      </w:hyperlink>
      <w:r w:rsidR="00637E26" w:rsidRPr="00FF77F7">
        <w:rPr>
          <w:b/>
        </w:rPr>
        <w:t>); Cranford Church of England Primary School</w:t>
      </w:r>
      <w:r w:rsidR="008D236C">
        <w:rPr>
          <w:b/>
        </w:rPr>
        <w:t>, K</w:t>
      </w:r>
      <w:r w:rsidR="00637E26" w:rsidRPr="00FF77F7">
        <w:rPr>
          <w:b/>
        </w:rPr>
        <w:t>ettering (</w:t>
      </w:r>
      <w:hyperlink r:id="rId17" w:history="1">
        <w:r w:rsidR="00637E26" w:rsidRPr="00FF77F7">
          <w:rPr>
            <w:rStyle w:val="Hyperlink"/>
            <w:b/>
          </w:rPr>
          <w:t>121966</w:t>
        </w:r>
      </w:hyperlink>
      <w:r w:rsidR="00637E26" w:rsidRPr="00FF77F7">
        <w:rPr>
          <w:b/>
        </w:rPr>
        <w:t xml:space="preserve">); </w:t>
      </w:r>
      <w:proofErr w:type="spellStart"/>
      <w:r w:rsidR="00637E26" w:rsidRPr="00FF77F7">
        <w:rPr>
          <w:b/>
        </w:rPr>
        <w:t>Branston</w:t>
      </w:r>
      <w:proofErr w:type="spellEnd"/>
      <w:r w:rsidR="00637E26" w:rsidRPr="00FF77F7">
        <w:rPr>
          <w:b/>
        </w:rPr>
        <w:t xml:space="preserve"> Community Academy, Lincoln</w:t>
      </w:r>
      <w:r w:rsidR="00897007" w:rsidRPr="00FF77F7">
        <w:rPr>
          <w:b/>
        </w:rPr>
        <w:t xml:space="preserve"> </w:t>
      </w:r>
      <w:r w:rsidR="00637E26" w:rsidRPr="00FF77F7">
        <w:rPr>
          <w:b/>
        </w:rPr>
        <w:t>(</w:t>
      </w:r>
      <w:hyperlink r:id="rId18" w:history="1">
        <w:r w:rsidR="00637E26" w:rsidRPr="00FF77F7">
          <w:rPr>
            <w:rStyle w:val="Hyperlink"/>
            <w:b/>
          </w:rPr>
          <w:t>136358</w:t>
        </w:r>
      </w:hyperlink>
      <w:r w:rsidR="00637E26" w:rsidRPr="00FF77F7">
        <w:rPr>
          <w:b/>
        </w:rPr>
        <w:t>)</w:t>
      </w:r>
      <w:r w:rsidR="008D236C">
        <w:rPr>
          <w:b/>
        </w:rPr>
        <w:t>;</w:t>
      </w:r>
      <w:r w:rsidRPr="00FF77F7">
        <w:rPr>
          <w:b/>
        </w:rPr>
        <w:t xml:space="preserve"> </w:t>
      </w:r>
      <w:proofErr w:type="spellStart"/>
      <w:r w:rsidRPr="00FF77F7">
        <w:rPr>
          <w:b/>
        </w:rPr>
        <w:t>Blakesley</w:t>
      </w:r>
      <w:proofErr w:type="spellEnd"/>
      <w:r w:rsidRPr="00FF77F7">
        <w:rPr>
          <w:b/>
        </w:rPr>
        <w:t xml:space="preserve"> Church of England Primary School, Northamptonshire (</w:t>
      </w:r>
      <w:hyperlink r:id="rId19" w:history="1">
        <w:r w:rsidRPr="00FF77F7">
          <w:rPr>
            <w:rStyle w:val="Hyperlink"/>
            <w:b/>
          </w:rPr>
          <w:t>121959</w:t>
        </w:r>
      </w:hyperlink>
      <w:r w:rsidRPr="00FF77F7">
        <w:rPr>
          <w:b/>
        </w:rPr>
        <w:t xml:space="preserve">) </w:t>
      </w:r>
      <w:r w:rsidRPr="00C50937">
        <w:t>and</w:t>
      </w:r>
      <w:r w:rsidRPr="00FF77F7">
        <w:rPr>
          <w:b/>
        </w:rPr>
        <w:t xml:space="preserve"> Great Casterton </w:t>
      </w:r>
      <w:proofErr w:type="spellStart"/>
      <w:r w:rsidRPr="00FF77F7">
        <w:rPr>
          <w:b/>
        </w:rPr>
        <w:t>CofE</w:t>
      </w:r>
      <w:proofErr w:type="spellEnd"/>
      <w:r w:rsidRPr="00FF77F7">
        <w:rPr>
          <w:b/>
        </w:rPr>
        <w:t xml:space="preserve"> primary school</w:t>
      </w:r>
      <w:r w:rsidR="008D236C">
        <w:rPr>
          <w:b/>
        </w:rPr>
        <w:t xml:space="preserve">, </w:t>
      </w:r>
      <w:r w:rsidRPr="00FF77F7">
        <w:rPr>
          <w:b/>
        </w:rPr>
        <w:t>Rutland (</w:t>
      </w:r>
      <w:hyperlink r:id="rId20" w:history="1">
        <w:r w:rsidRPr="00FF77F7">
          <w:rPr>
            <w:rStyle w:val="Hyperlink"/>
            <w:b/>
          </w:rPr>
          <w:t>120185</w:t>
        </w:r>
      </w:hyperlink>
      <w:r w:rsidRPr="00FF77F7">
        <w:rPr>
          <w:b/>
        </w:rPr>
        <w:t>)</w:t>
      </w:r>
    </w:p>
    <w:p w14:paraId="5A5963DC" w14:textId="5A5B450E" w:rsidR="00637E26" w:rsidRDefault="00637E26" w:rsidP="00243C9E">
      <w:pPr>
        <w:pStyle w:val="Casestudy"/>
      </w:pPr>
      <w:r>
        <w:t>A school that requires improvement has significant weaknesses that mean that it is not yet good, but leaders of these schools managed to transform them to become outstanding within two years. Reading their reports</w:t>
      </w:r>
      <w:r w:rsidR="00CD1838">
        <w:t>,</w:t>
      </w:r>
      <w:r>
        <w:t xml:space="preserve"> key characteristics emerge: </w:t>
      </w:r>
    </w:p>
    <w:p w14:paraId="3258C218" w14:textId="305D8B01" w:rsidR="00637E26" w:rsidRDefault="00637E26" w:rsidP="00243C9E">
      <w:pPr>
        <w:pStyle w:val="Bulletscasestudy"/>
      </w:pPr>
      <w:r>
        <w:t>inspirational leadership, by leaders who really know their schools well and have a strong vision of what can be achieved and demonstrate considerable drive to make sure that the pupils get the best possible deal</w:t>
      </w:r>
    </w:p>
    <w:p w14:paraId="121ADE06" w14:textId="7B23466A" w:rsidR="00637E26" w:rsidRDefault="00637E26" w:rsidP="00243C9E">
      <w:pPr>
        <w:pStyle w:val="Bulletscasestudy"/>
      </w:pPr>
      <w:r>
        <w:t xml:space="preserve">great teamwork by all staff at the school who sign up to achieve </w:t>
      </w:r>
      <w:r w:rsidR="00F51008">
        <w:br/>
      </w:r>
      <w:r>
        <w:t>the vision</w:t>
      </w:r>
    </w:p>
    <w:p w14:paraId="2BC454B6" w14:textId="5E0D91B9" w:rsidR="00637E26" w:rsidRDefault="00637E26" w:rsidP="00243C9E">
      <w:pPr>
        <w:pStyle w:val="Bulletscasestudy"/>
      </w:pPr>
      <w:r>
        <w:t xml:space="preserve">high expectations of the pupils. </w:t>
      </w:r>
    </w:p>
    <w:p w14:paraId="71C4AB0D" w14:textId="377AAC49" w:rsidR="00637E26" w:rsidRDefault="00637E26" w:rsidP="00270459">
      <w:pPr>
        <w:pStyle w:val="Casestudy"/>
      </w:pPr>
      <w:r>
        <w:t xml:space="preserve">These </w:t>
      </w:r>
      <w:r w:rsidR="00270459">
        <w:t>schools tailor</w:t>
      </w:r>
      <w:r>
        <w:t xml:space="preserve"> their teaching and support to meet every individual pupil’s needs</w:t>
      </w:r>
      <w:r w:rsidR="00270459">
        <w:t xml:space="preserve">. They </w:t>
      </w:r>
      <w:r>
        <w:t xml:space="preserve">have developed exciting </w:t>
      </w:r>
      <w:r w:rsidR="00CD1838">
        <w:t>curriculums</w:t>
      </w:r>
      <w:r w:rsidR="00270459">
        <w:t>.</w:t>
      </w:r>
    </w:p>
    <w:p w14:paraId="418CCA58" w14:textId="77777777" w:rsidR="00637E26" w:rsidRDefault="00637E26" w:rsidP="00243C9E">
      <w:pPr>
        <w:pStyle w:val="Casestudy"/>
      </w:pPr>
      <w:r>
        <w:t>Overwhelmingly, these outstanding schools have managed to make learning enjoyable.</w:t>
      </w:r>
    </w:p>
    <w:p w14:paraId="513B7B2B" w14:textId="201B0498" w:rsidR="00637E26" w:rsidRDefault="00637E26" w:rsidP="00FF77F7"/>
    <w:p w14:paraId="1166EE3C" w14:textId="010BFC32" w:rsidR="00637E26" w:rsidRDefault="00637E26" w:rsidP="00243C9E">
      <w:pPr>
        <w:pStyle w:val="Casestudy"/>
      </w:pPr>
      <w:r w:rsidRPr="00243C9E">
        <w:rPr>
          <w:b/>
        </w:rPr>
        <w:t xml:space="preserve">Greasley </w:t>
      </w:r>
      <w:proofErr w:type="spellStart"/>
      <w:r w:rsidRPr="00243C9E">
        <w:rPr>
          <w:b/>
        </w:rPr>
        <w:t>Beauvale</w:t>
      </w:r>
      <w:proofErr w:type="spellEnd"/>
      <w:r w:rsidRPr="00243C9E">
        <w:rPr>
          <w:b/>
        </w:rPr>
        <w:t xml:space="preserve"> Primary School, Nottingham</w:t>
      </w:r>
      <w:r w:rsidR="00512EE2">
        <w:rPr>
          <w:b/>
        </w:rPr>
        <w:t>shire</w:t>
      </w:r>
      <w:r w:rsidRPr="00243C9E">
        <w:rPr>
          <w:b/>
        </w:rPr>
        <w:t xml:space="preserve"> (</w:t>
      </w:r>
      <w:hyperlink r:id="rId21" w:history="1">
        <w:r w:rsidRPr="00243C9E">
          <w:rPr>
            <w:rStyle w:val="Hyperlink"/>
            <w:b/>
          </w:rPr>
          <w:t>135433</w:t>
        </w:r>
      </w:hyperlink>
      <w:r w:rsidRPr="00243C9E">
        <w:rPr>
          <w:b/>
        </w:rPr>
        <w:t xml:space="preserve">) </w:t>
      </w:r>
      <w:r w:rsidR="00184F9F">
        <w:rPr>
          <w:b/>
        </w:rPr>
        <w:br/>
      </w:r>
      <w:r>
        <w:t>Inspected May 2016</w:t>
      </w:r>
      <w:r w:rsidR="00CD1838">
        <w:t>: g</w:t>
      </w:r>
      <w:r>
        <w:t xml:space="preserve">ood, previously </w:t>
      </w:r>
      <w:r w:rsidR="00CD1838">
        <w:t>r</w:t>
      </w:r>
      <w:r>
        <w:t xml:space="preserve">equires </w:t>
      </w:r>
      <w:r w:rsidR="00CD1838">
        <w:t>i</w:t>
      </w:r>
      <w:r>
        <w:t>mprovement</w:t>
      </w:r>
      <w:r w:rsidR="00CD1838">
        <w:t>.</w:t>
      </w:r>
    </w:p>
    <w:p w14:paraId="7AF96474" w14:textId="77777777" w:rsidR="00184F9F" w:rsidRDefault="00637E26" w:rsidP="00FF77F7">
      <w:pPr>
        <w:pStyle w:val="Casestudy"/>
      </w:pPr>
      <w:r>
        <w:lastRenderedPageBreak/>
        <w:t>The inspirational headteacher of this primary school grew frustrated with some parents’ reluctance to support their children in school</w:t>
      </w:r>
      <w:r w:rsidR="00243C9E">
        <w:t xml:space="preserve"> and investigated</w:t>
      </w:r>
      <w:r>
        <w:t xml:space="preserve"> the impact on children’s learning of parents’ engagement with school. Her results are startling. </w:t>
      </w:r>
    </w:p>
    <w:p w14:paraId="34CE2DDE" w14:textId="4C8FC268" w:rsidR="00637E26" w:rsidRDefault="00637E26" w:rsidP="00FF77F7">
      <w:pPr>
        <w:pStyle w:val="Casestudy"/>
      </w:pPr>
      <w:r>
        <w:t>Since 2011</w:t>
      </w:r>
      <w:r w:rsidR="00635B31">
        <w:t>, the</w:t>
      </w:r>
      <w:r>
        <w:t xml:space="preserve"> </w:t>
      </w:r>
      <w:r w:rsidR="00270459">
        <w:t>school ha</w:t>
      </w:r>
      <w:r>
        <w:t>s openly categorised all parents into one of four categories:</w:t>
      </w:r>
    </w:p>
    <w:p w14:paraId="64C26EB8" w14:textId="117B927A" w:rsidR="00637E26" w:rsidRPr="00FF77F7" w:rsidRDefault="00637E26" w:rsidP="00FF77F7">
      <w:pPr>
        <w:pStyle w:val="Bulletscasestudy"/>
      </w:pPr>
      <w:r>
        <w:t xml:space="preserve">Parent group A: The actively involved, ‘go </w:t>
      </w:r>
      <w:r w:rsidRPr="00FF77F7">
        <w:t>above and beyond’ highly supportive parent – can be a bit demanding in a negative way.</w:t>
      </w:r>
    </w:p>
    <w:p w14:paraId="121E7737" w14:textId="12ADA662" w:rsidR="00637E26" w:rsidRPr="00FF77F7" w:rsidRDefault="00637E26" w:rsidP="00FF77F7">
      <w:pPr>
        <w:pStyle w:val="Bulletscasestudy"/>
      </w:pPr>
      <w:r w:rsidRPr="00FF77F7">
        <w:t>Parent group B: Involved, these parents attend parents evening</w:t>
      </w:r>
      <w:r w:rsidR="00270459" w:rsidRPr="00FF77F7">
        <w:t>,</w:t>
      </w:r>
      <w:r w:rsidRPr="00FF77F7">
        <w:t xml:space="preserve"> work effectively with the school and understand its work.</w:t>
      </w:r>
    </w:p>
    <w:p w14:paraId="35D041D0" w14:textId="70955F41" w:rsidR="00637E26" w:rsidRPr="00FF77F7" w:rsidRDefault="00637E26" w:rsidP="00FF77F7">
      <w:pPr>
        <w:pStyle w:val="Bulletscasestudy"/>
      </w:pPr>
      <w:r w:rsidRPr="00FF77F7">
        <w:t>Parent group C: Do little to support their child’s learning and very little to support the school but will attend events occasionally.</w:t>
      </w:r>
    </w:p>
    <w:p w14:paraId="11799152" w14:textId="225C5888" w:rsidR="00637E26" w:rsidRDefault="00637E26" w:rsidP="00FF77F7">
      <w:pPr>
        <w:pStyle w:val="Bulletscasestudy"/>
      </w:pPr>
      <w:r w:rsidRPr="00FF77F7">
        <w:t>Parent group D: Do nothing to support their ch</w:t>
      </w:r>
      <w:r>
        <w:t>ild’s learning or the school</w:t>
      </w:r>
      <w:r w:rsidR="00270459">
        <w:t>;</w:t>
      </w:r>
      <w:r>
        <w:t xml:space="preserve"> is rarely in school.</w:t>
      </w:r>
    </w:p>
    <w:p w14:paraId="7FC8B893" w14:textId="20F7BC85" w:rsidR="00637E26" w:rsidRDefault="000469D3" w:rsidP="00243C9E">
      <w:pPr>
        <w:pStyle w:val="Casestudy"/>
      </w:pPr>
      <w:r>
        <w:t>Children</w:t>
      </w:r>
      <w:r w:rsidR="00637E26">
        <w:t xml:space="preserve"> of parents in groups A and B make significantly better progress </w:t>
      </w:r>
      <w:r w:rsidR="00243C9E">
        <w:t>and</w:t>
      </w:r>
      <w:r w:rsidR="00637E26">
        <w:t xml:space="preserve"> do a great deal better than those whose parents are in group</w:t>
      </w:r>
      <w:r w:rsidR="00270459">
        <w:t>s</w:t>
      </w:r>
      <w:r w:rsidR="00637E26">
        <w:t xml:space="preserve"> C and D.</w:t>
      </w:r>
      <w:r w:rsidR="00243C9E">
        <w:t xml:space="preserve"> T</w:t>
      </w:r>
      <w:r w:rsidR="00637E26">
        <w:t xml:space="preserve">hey are much less likely </w:t>
      </w:r>
      <w:r w:rsidR="00E76191">
        <w:t>to encounter difficulties at school</w:t>
      </w:r>
      <w:r w:rsidR="00637E26">
        <w:t xml:space="preserve">. </w:t>
      </w:r>
    </w:p>
    <w:p w14:paraId="75FDE956" w14:textId="63449431" w:rsidR="00243C9E" w:rsidRDefault="00637E26" w:rsidP="00E76191">
      <w:pPr>
        <w:pStyle w:val="Casestudy"/>
      </w:pPr>
      <w:r>
        <w:t xml:space="preserve">At </w:t>
      </w:r>
      <w:r w:rsidR="00E76191">
        <w:t>this school</w:t>
      </w:r>
      <w:r w:rsidR="00CD1838">
        <w:t>,</w:t>
      </w:r>
      <w:r>
        <w:t xml:space="preserve"> considerable efforts are made with parents in group</w:t>
      </w:r>
      <w:r w:rsidR="00E76191">
        <w:t>s</w:t>
      </w:r>
      <w:r>
        <w:t xml:space="preserve"> C </w:t>
      </w:r>
      <w:r w:rsidR="00E76191">
        <w:t xml:space="preserve">and D </w:t>
      </w:r>
      <w:r>
        <w:t xml:space="preserve">to build a supportive working relationship and help them engage with the school. </w:t>
      </w:r>
      <w:r w:rsidR="00243C9E">
        <w:t>This has involved helping teacher</w:t>
      </w:r>
      <w:r w:rsidR="00E76191">
        <w:t>s</w:t>
      </w:r>
      <w:r w:rsidR="00243C9E">
        <w:t xml:space="preserve"> develop good relationships with all parents, rearranging meetings to suit parents</w:t>
      </w:r>
      <w:r w:rsidR="000469D3">
        <w:t>’</w:t>
      </w:r>
      <w:r w:rsidR="00243C9E">
        <w:t xml:space="preserve"> needs and finding ways of helping parents to engage with the school.</w:t>
      </w:r>
      <w:r w:rsidR="00270459">
        <w:t xml:space="preserve"> </w:t>
      </w:r>
      <w:r w:rsidR="00243C9E">
        <w:t xml:space="preserve">The </w:t>
      </w:r>
      <w:r>
        <w:t>informal ‘</w:t>
      </w:r>
      <w:r w:rsidR="00635B31">
        <w:t>p</w:t>
      </w:r>
      <w:r>
        <w:t>arents</w:t>
      </w:r>
      <w:r w:rsidR="00635B31">
        <w:t>’ p</w:t>
      </w:r>
      <w:r>
        <w:t>arliament’ held at the local pub to talk over common issues</w:t>
      </w:r>
      <w:r w:rsidR="000469D3">
        <w:t xml:space="preserve"> </w:t>
      </w:r>
      <w:r w:rsidR="00243C9E">
        <w:t>and</w:t>
      </w:r>
      <w:r>
        <w:t xml:space="preserve"> ‘</w:t>
      </w:r>
      <w:r w:rsidR="00635B31">
        <w:t>a</w:t>
      </w:r>
      <w:r w:rsidR="00270459">
        <w:t xml:space="preserve"> </w:t>
      </w:r>
      <w:r w:rsidR="00635B31">
        <w:t>date with d</w:t>
      </w:r>
      <w:r>
        <w:t>ads’ club</w:t>
      </w:r>
      <w:r w:rsidR="00243C9E">
        <w:t xml:space="preserve"> are </w:t>
      </w:r>
      <w:r w:rsidR="00E76191">
        <w:t xml:space="preserve">two </w:t>
      </w:r>
      <w:r w:rsidR="00243C9E">
        <w:t>example</w:t>
      </w:r>
      <w:r w:rsidR="00DC2CDD">
        <w:t>s</w:t>
      </w:r>
      <w:r>
        <w:t xml:space="preserve">. </w:t>
      </w:r>
    </w:p>
    <w:p w14:paraId="735B7174" w14:textId="58F601ED" w:rsidR="00637E26" w:rsidRDefault="00DC2CDD" w:rsidP="00243C9E">
      <w:pPr>
        <w:pStyle w:val="Casestudy"/>
      </w:pPr>
      <w:r>
        <w:t>There have been</w:t>
      </w:r>
      <w:r w:rsidR="00637E26">
        <w:t xml:space="preserve"> some tough conversations. Telling a parent what the impact their lack of engagement is having on the life chances of their child is not easy. But for many children at this school</w:t>
      </w:r>
      <w:r w:rsidR="00635B31">
        <w:t>,</w:t>
      </w:r>
      <w:r w:rsidR="00637E26">
        <w:t xml:space="preserve"> it is making a huge difference.</w:t>
      </w:r>
    </w:p>
    <w:p w14:paraId="3999D8B9" w14:textId="77777777" w:rsidR="00745981" w:rsidRPr="00745981" w:rsidRDefault="00745981" w:rsidP="00243C9E"/>
    <w:p w14:paraId="31331DC2" w14:textId="2A3A485E" w:rsidR="00637E26" w:rsidRDefault="00637E26" w:rsidP="00184F9F">
      <w:pPr>
        <w:pStyle w:val="Casestudy"/>
        <w:keepNext/>
      </w:pPr>
      <w:r w:rsidRPr="00243C9E">
        <w:rPr>
          <w:b/>
        </w:rPr>
        <w:t>Beaumont Leys School</w:t>
      </w:r>
      <w:r w:rsidR="00CD1838" w:rsidRPr="00243C9E">
        <w:rPr>
          <w:b/>
        </w:rPr>
        <w:t>, Leicester</w:t>
      </w:r>
      <w:r w:rsidR="00EE2D51">
        <w:rPr>
          <w:b/>
        </w:rPr>
        <w:t xml:space="preserve"> (</w:t>
      </w:r>
      <w:hyperlink r:id="rId22" w:history="1">
        <w:r w:rsidRPr="00243C9E">
          <w:rPr>
            <w:rStyle w:val="Hyperlink"/>
            <w:b/>
          </w:rPr>
          <w:t>120281</w:t>
        </w:r>
      </w:hyperlink>
      <w:r w:rsidR="00EE2D51" w:rsidRPr="00EE2D51">
        <w:rPr>
          <w:b/>
        </w:rPr>
        <w:t>)</w:t>
      </w:r>
      <w:r w:rsidR="00184F9F">
        <w:rPr>
          <w:b/>
        </w:rPr>
        <w:br/>
      </w:r>
      <w:r>
        <w:t>Inspected (</w:t>
      </w:r>
      <w:r w:rsidR="0082645F">
        <w:t>s</w:t>
      </w:r>
      <w:r>
        <w:t>hort inspection) Sep</w:t>
      </w:r>
      <w:r w:rsidR="0082645F">
        <w:t>tem</w:t>
      </w:r>
      <w:r w:rsidR="00B66E46">
        <w:t>b</w:t>
      </w:r>
      <w:r w:rsidR="0082645F">
        <w:t>er</w:t>
      </w:r>
      <w:r>
        <w:t xml:space="preserve"> 2016</w:t>
      </w:r>
      <w:r w:rsidR="0082645F">
        <w:t>: g</w:t>
      </w:r>
      <w:r>
        <w:t xml:space="preserve">ood, previously </w:t>
      </w:r>
      <w:r w:rsidR="0082645F">
        <w:t>g</w:t>
      </w:r>
      <w:r>
        <w:t>ood</w:t>
      </w:r>
      <w:r w:rsidR="0082645F">
        <w:t>.</w:t>
      </w:r>
    </w:p>
    <w:p w14:paraId="4B9BFAB3" w14:textId="0DEA1A52" w:rsidR="00637E26" w:rsidRDefault="00637E26" w:rsidP="00243C9E">
      <w:pPr>
        <w:pStyle w:val="Casestudy"/>
      </w:pPr>
      <w:r>
        <w:t xml:space="preserve">Leaders and governors have an acute understanding of the barriers facing the pupils </w:t>
      </w:r>
      <w:r w:rsidR="00F15C82">
        <w:t>who</w:t>
      </w:r>
      <w:r>
        <w:t xml:space="preserve"> attend the school. One barrier for some pupils is their </w:t>
      </w:r>
      <w:r w:rsidR="00B66E46">
        <w:t xml:space="preserve">failure to </w:t>
      </w:r>
      <w:r>
        <w:t xml:space="preserve">understand the possibilities that exist outside of their community. In order to tackle this, an extensive programme of careers information advice and guidance is in place from the start of Year 7. Leaders believe that pupils do not fully appreciate that they write their life story with the decisions they make at school and so plan extensively to ensure </w:t>
      </w:r>
      <w:r w:rsidR="00F15C82">
        <w:t xml:space="preserve">that </w:t>
      </w:r>
      <w:r>
        <w:t>these decisions are as positive as possible. In addition:</w:t>
      </w:r>
    </w:p>
    <w:p w14:paraId="39ED7354" w14:textId="66C67D63" w:rsidR="00637E26" w:rsidRDefault="0082645F" w:rsidP="00243C9E">
      <w:pPr>
        <w:pStyle w:val="Bulletscasestudy"/>
      </w:pPr>
      <w:r>
        <w:t>t</w:t>
      </w:r>
      <w:r w:rsidR="00637E26">
        <w:t>he culture within the school promotes pupils’ ‘success’, ‘best self’ and ‘future self’</w:t>
      </w:r>
    </w:p>
    <w:p w14:paraId="656E303C" w14:textId="4F046908" w:rsidR="00637E26" w:rsidRDefault="0082645F" w:rsidP="00243C9E">
      <w:pPr>
        <w:pStyle w:val="Bulletscasestudy"/>
      </w:pPr>
      <w:r>
        <w:lastRenderedPageBreak/>
        <w:t>e</w:t>
      </w:r>
      <w:r w:rsidR="00637E26">
        <w:t>ach pupil receives an individual interview to support them as they continue their education, employment or training beyond school</w:t>
      </w:r>
    </w:p>
    <w:p w14:paraId="4F3D5C04" w14:textId="038772D1" w:rsidR="00637E26" w:rsidRDefault="0082645F" w:rsidP="00243C9E">
      <w:pPr>
        <w:pStyle w:val="Bulletscasestudy"/>
      </w:pPr>
      <w:r>
        <w:t>e</w:t>
      </w:r>
      <w:r w:rsidR="00637E26">
        <w:t>very pupil is involved in a two-week work placement</w:t>
      </w:r>
      <w:r w:rsidR="002604E2">
        <w:t>; t</w:t>
      </w:r>
      <w:r w:rsidR="00637E26">
        <w:t>his includes some of the most challenging pupils</w:t>
      </w:r>
      <w:r w:rsidR="002604E2">
        <w:t>; w</w:t>
      </w:r>
      <w:r w:rsidR="00B66E46">
        <w:t>ork placements are chosen to meet pupils’</w:t>
      </w:r>
      <w:r w:rsidR="00637E26">
        <w:t xml:space="preserve"> needs </w:t>
      </w:r>
      <w:r w:rsidR="00B66E46">
        <w:t>without</w:t>
      </w:r>
      <w:r w:rsidR="00637E26">
        <w:t xml:space="preserve"> lower</w:t>
      </w:r>
      <w:r w:rsidR="00B66E46">
        <w:t>ing</w:t>
      </w:r>
      <w:r w:rsidR="00637E26">
        <w:t xml:space="preserve"> their expectations</w:t>
      </w:r>
    </w:p>
    <w:p w14:paraId="7FFFE6B5" w14:textId="542FA18A" w:rsidR="00637E26" w:rsidRDefault="0082645F" w:rsidP="00243C9E">
      <w:pPr>
        <w:pStyle w:val="Bulletscasestudy"/>
      </w:pPr>
      <w:r>
        <w:t>l</w:t>
      </w:r>
      <w:r w:rsidR="00637E26">
        <w:t xml:space="preserve">eaders employ a ‘futures </w:t>
      </w:r>
      <w:r w:rsidR="002604E2">
        <w:t xml:space="preserve">adviser’ </w:t>
      </w:r>
      <w:r w:rsidR="00637E26">
        <w:t>to work with challenging</w:t>
      </w:r>
      <w:r w:rsidR="00B66E46">
        <w:t xml:space="preserve"> pupils to help them develop</w:t>
      </w:r>
      <w:r w:rsidR="00637E26">
        <w:t xml:space="preserve"> the ski</w:t>
      </w:r>
      <w:r w:rsidR="00F15C82">
        <w:t>lls they need for their future</w:t>
      </w:r>
    </w:p>
    <w:p w14:paraId="1742A51E" w14:textId="3BB72EA1" w:rsidR="00637E26" w:rsidRDefault="0082645F" w:rsidP="00243C9E">
      <w:pPr>
        <w:pStyle w:val="Bulletscasestudy"/>
      </w:pPr>
      <w:r>
        <w:t>l</w:t>
      </w:r>
      <w:r w:rsidR="00637E26">
        <w:t>eaders work with Leicestershire Cares, a local charity, to provide pupils with the opportunity to refine their employability skills</w:t>
      </w:r>
    </w:p>
    <w:p w14:paraId="72C53102" w14:textId="21B98B62" w:rsidR="00637E26" w:rsidRDefault="00637E26" w:rsidP="00243C9E">
      <w:pPr>
        <w:pStyle w:val="Bulletscasestudy"/>
      </w:pPr>
      <w:r>
        <w:t>leaders are developing an alumni register in order to be able to offer relevant support from people working locally.</w:t>
      </w:r>
    </w:p>
    <w:p w14:paraId="11F61403" w14:textId="77777777" w:rsidR="00637E26" w:rsidRDefault="00637E26" w:rsidP="00FF77F7"/>
    <w:p w14:paraId="47CBC5DA" w14:textId="562D06F3" w:rsidR="00637E26" w:rsidRDefault="00637E26" w:rsidP="00243C9E">
      <w:pPr>
        <w:pStyle w:val="Casestudy"/>
      </w:pPr>
      <w:r w:rsidRPr="00243C9E">
        <w:rPr>
          <w:b/>
        </w:rPr>
        <w:t>The Bluecoat School, Stamford</w:t>
      </w:r>
      <w:r w:rsidR="00EE2D51">
        <w:rPr>
          <w:b/>
        </w:rPr>
        <w:t xml:space="preserve"> (</w:t>
      </w:r>
      <w:hyperlink r:id="rId23" w:history="1">
        <w:r w:rsidRPr="00243C9E">
          <w:rPr>
            <w:rStyle w:val="Hyperlink"/>
            <w:b/>
          </w:rPr>
          <w:t>120399</w:t>
        </w:r>
      </w:hyperlink>
      <w:r w:rsidR="00EE2D51" w:rsidRPr="00EE2D51">
        <w:rPr>
          <w:b/>
        </w:rPr>
        <w:t>)</w:t>
      </w:r>
      <w:r w:rsidR="00184F9F">
        <w:rPr>
          <w:b/>
        </w:rPr>
        <w:br/>
      </w:r>
      <w:r>
        <w:t>Inspected December 2015</w:t>
      </w:r>
      <w:r w:rsidR="0082645F">
        <w:t>: o</w:t>
      </w:r>
      <w:r>
        <w:t xml:space="preserve">utstanding, previously </w:t>
      </w:r>
      <w:r w:rsidR="0082645F">
        <w:t>r</w:t>
      </w:r>
      <w:r>
        <w:t xml:space="preserve">equires </w:t>
      </w:r>
      <w:r w:rsidR="0082645F">
        <w:t>i</w:t>
      </w:r>
      <w:r>
        <w:t>mprovement</w:t>
      </w:r>
      <w:r w:rsidR="0082645F">
        <w:t>.</w:t>
      </w:r>
    </w:p>
    <w:p w14:paraId="4F7DC891" w14:textId="2790621A" w:rsidR="008531D9" w:rsidRDefault="00637E26" w:rsidP="00243C9E">
      <w:pPr>
        <w:pStyle w:val="Casestudy"/>
      </w:pPr>
      <w:r>
        <w:t>When The Bluecoat School</w:t>
      </w:r>
      <w:r w:rsidR="0016114F">
        <w:t>,</w:t>
      </w:r>
      <w:r>
        <w:t xml:space="preserve"> Stamford</w:t>
      </w:r>
      <w:r w:rsidR="002604E2">
        <w:t>,</w:t>
      </w:r>
      <w:r>
        <w:t xml:space="preserve"> was inspected in October 2013</w:t>
      </w:r>
      <w:r w:rsidR="0016114F">
        <w:t>,</w:t>
      </w:r>
      <w:r>
        <w:t xml:space="preserve"> it was judged to require improvement. </w:t>
      </w:r>
      <w:r w:rsidR="00182DAA">
        <w:t>One area that needed to improve was the achievement of</w:t>
      </w:r>
      <w:r>
        <w:t xml:space="preserve"> disadvantaged pupils</w:t>
      </w:r>
      <w:r w:rsidR="0016114F">
        <w:t xml:space="preserve">. </w:t>
      </w:r>
      <w:r>
        <w:t>The headteacher, Carol Hines, had only been in post for a matter of weeks. Two years later</w:t>
      </w:r>
      <w:r w:rsidR="0016114F">
        <w:t>,</w:t>
      </w:r>
      <w:r>
        <w:t xml:space="preserve"> the school was judged to be outstanding. </w:t>
      </w:r>
    </w:p>
    <w:p w14:paraId="304A6328" w14:textId="27844F06" w:rsidR="00637E26" w:rsidRDefault="0016114F" w:rsidP="00243C9E">
      <w:pPr>
        <w:pStyle w:val="Casestudy"/>
      </w:pPr>
      <w:r>
        <w:t>She says:</w:t>
      </w:r>
    </w:p>
    <w:p w14:paraId="36F64FAC" w14:textId="42550B1E" w:rsidR="0016114F" w:rsidRDefault="00637E26" w:rsidP="00243C9E">
      <w:pPr>
        <w:pStyle w:val="Casestudy"/>
      </w:pPr>
      <w:r>
        <w:t>‘I started with the children</w:t>
      </w:r>
      <w:r w:rsidR="00C750D4">
        <w:t>,</w:t>
      </w:r>
      <w:r>
        <w:t xml:space="preserve"> to try to understand why they appeared to be lacking motivation in their education. </w:t>
      </w:r>
      <w:r w:rsidR="00182DAA">
        <w:t>We found that</w:t>
      </w:r>
      <w:r>
        <w:t xml:space="preserve"> they were lacking motivation because all they were doing were things that they felt they were failures in. They </w:t>
      </w:r>
      <w:r w:rsidR="002604E2">
        <w:t xml:space="preserve">weren’t </w:t>
      </w:r>
      <w:r>
        <w:t>excited</w:t>
      </w:r>
      <w:r w:rsidR="00C750D4">
        <w:t>. T</w:t>
      </w:r>
      <w:r>
        <w:t xml:space="preserve">hey didn't look forward to their lessons. </w:t>
      </w:r>
    </w:p>
    <w:p w14:paraId="5397EBDE" w14:textId="0FE2893E" w:rsidR="0016114F" w:rsidRDefault="0016114F" w:rsidP="00243C9E">
      <w:pPr>
        <w:pStyle w:val="Casestudy"/>
      </w:pPr>
      <w:r>
        <w:t>S</w:t>
      </w:r>
      <w:r w:rsidR="00637E26">
        <w:t xml:space="preserve">o I challenged the staff and said let's have a look at what we're offering because </w:t>
      </w:r>
      <w:r w:rsidR="008531D9">
        <w:t xml:space="preserve">the children </w:t>
      </w:r>
      <w:r w:rsidR="002604E2">
        <w:t xml:space="preserve">don’t </w:t>
      </w:r>
      <w:r w:rsidR="00F15C82">
        <w:t>want to be here –</w:t>
      </w:r>
      <w:r w:rsidR="00637E26">
        <w:t xml:space="preserve"> </w:t>
      </w:r>
      <w:r w:rsidR="002604E2">
        <w:t xml:space="preserve">they’re </w:t>
      </w:r>
      <w:r w:rsidR="00637E26">
        <w:t xml:space="preserve">not excited to learn, they </w:t>
      </w:r>
      <w:r w:rsidR="002604E2">
        <w:t xml:space="preserve">don’t </w:t>
      </w:r>
      <w:r w:rsidR="00637E26">
        <w:t xml:space="preserve">view what </w:t>
      </w:r>
      <w:r w:rsidR="002604E2">
        <w:t xml:space="preserve">we’re </w:t>
      </w:r>
      <w:r w:rsidR="00637E26">
        <w:t>doing for them as meaningful and they're not connecting with the fact that their education matters.</w:t>
      </w:r>
    </w:p>
    <w:p w14:paraId="4634303E" w14:textId="19AF4625" w:rsidR="0016114F" w:rsidRDefault="0016114F" w:rsidP="00243C9E">
      <w:pPr>
        <w:pStyle w:val="Casestudy"/>
      </w:pPr>
      <w:r>
        <w:t>W</w:t>
      </w:r>
      <w:r w:rsidR="00637E26">
        <w:t xml:space="preserve">e started to build learning experiences that fired </w:t>
      </w:r>
      <w:r w:rsidR="00182DAA">
        <w:t xml:space="preserve">pupils </w:t>
      </w:r>
      <w:r w:rsidR="00637E26">
        <w:t>up a little bit and gave them an excitement.</w:t>
      </w:r>
      <w:r w:rsidR="00182DAA">
        <w:t>’</w:t>
      </w:r>
      <w:r w:rsidR="00637E26">
        <w:t xml:space="preserve"> </w:t>
      </w:r>
    </w:p>
    <w:p w14:paraId="6C21081C" w14:textId="282D613B" w:rsidR="00637E26" w:rsidRDefault="008531D9" w:rsidP="00243C9E">
      <w:pPr>
        <w:pStyle w:val="Casestudy"/>
      </w:pPr>
      <w:r>
        <w:t xml:space="preserve">Pupils </w:t>
      </w:r>
      <w:r w:rsidR="00637E26">
        <w:t xml:space="preserve">now describe themselves as proud of their school. </w:t>
      </w:r>
      <w:r w:rsidR="002604E2">
        <w:t xml:space="preserve">They’re </w:t>
      </w:r>
      <w:r w:rsidR="00637E26">
        <w:t>aware that their school has changed for the better.</w:t>
      </w:r>
      <w:r w:rsidR="00B66E46">
        <w:t xml:space="preserve"> </w:t>
      </w:r>
      <w:r w:rsidR="00637E26">
        <w:t xml:space="preserve">They say </w:t>
      </w:r>
      <w:r w:rsidR="002604E2">
        <w:t xml:space="preserve">it’s </w:t>
      </w:r>
      <w:r w:rsidR="00637E26">
        <w:t>exciting and that they want to be there.</w:t>
      </w:r>
    </w:p>
    <w:p w14:paraId="12ED98D6" w14:textId="77777777" w:rsidR="0082645F" w:rsidRPr="0082645F" w:rsidRDefault="0082645F" w:rsidP="00FF77F7"/>
    <w:p w14:paraId="6ABD091D" w14:textId="2DC82FB5" w:rsidR="00637E26" w:rsidRDefault="00637E26" w:rsidP="00243C9E">
      <w:pPr>
        <w:pStyle w:val="Casestudy"/>
      </w:pPr>
      <w:r w:rsidRPr="00243C9E">
        <w:rPr>
          <w:b/>
        </w:rPr>
        <w:t>D</w:t>
      </w:r>
      <w:r w:rsidR="00EE2D51">
        <w:rPr>
          <w:b/>
        </w:rPr>
        <w:t>erby College (</w:t>
      </w:r>
      <w:hyperlink r:id="rId24" w:history="1">
        <w:r w:rsidRPr="00243C9E">
          <w:rPr>
            <w:rStyle w:val="Hyperlink"/>
            <w:b/>
          </w:rPr>
          <w:t>133585</w:t>
        </w:r>
      </w:hyperlink>
      <w:r w:rsidR="00EE2D51" w:rsidRPr="00EE2D51">
        <w:rPr>
          <w:b/>
        </w:rPr>
        <w:t>)</w:t>
      </w:r>
      <w:r w:rsidR="00184F9F">
        <w:rPr>
          <w:b/>
        </w:rPr>
        <w:br/>
      </w:r>
      <w:r>
        <w:t>Inspected March 2016</w:t>
      </w:r>
      <w:r w:rsidR="0082645F">
        <w:t>: g</w:t>
      </w:r>
      <w:r>
        <w:t xml:space="preserve">ood, previously </w:t>
      </w:r>
      <w:r w:rsidR="0082645F">
        <w:t>r</w:t>
      </w:r>
      <w:r>
        <w:t xml:space="preserve">equires </w:t>
      </w:r>
      <w:r w:rsidR="0082645F">
        <w:t>i</w:t>
      </w:r>
      <w:r>
        <w:t>mprovement</w:t>
      </w:r>
      <w:r w:rsidR="0082645F">
        <w:t>.</w:t>
      </w:r>
    </w:p>
    <w:p w14:paraId="305C261A" w14:textId="648C8794" w:rsidR="00637E26" w:rsidRDefault="00637E26" w:rsidP="00243C9E">
      <w:pPr>
        <w:pStyle w:val="Casestudy"/>
      </w:pPr>
      <w:r>
        <w:t xml:space="preserve">The college has formed partnerships with employers to create </w:t>
      </w:r>
      <w:r w:rsidR="00CD1838">
        <w:t xml:space="preserve">employment </w:t>
      </w:r>
      <w:r>
        <w:t xml:space="preserve">and </w:t>
      </w:r>
      <w:r w:rsidR="00CD1838">
        <w:t xml:space="preserve">skills </w:t>
      </w:r>
      <w:r w:rsidR="00182DAA">
        <w:t xml:space="preserve">academies </w:t>
      </w:r>
      <w:r>
        <w:t xml:space="preserve">and </w:t>
      </w:r>
      <w:r w:rsidR="00CD1838">
        <w:t>employer academies</w:t>
      </w:r>
      <w:r w:rsidR="002933E7">
        <w:t>.</w:t>
      </w:r>
      <w:r w:rsidR="00182DAA">
        <w:t xml:space="preserve"> These</w:t>
      </w:r>
      <w:r>
        <w:t xml:space="preserve"> are designed to give apprentices and learners extra</w:t>
      </w:r>
      <w:r w:rsidR="0016114F">
        <w:t>-</w:t>
      </w:r>
      <w:r>
        <w:t xml:space="preserve">curricular activities </w:t>
      </w:r>
      <w:r>
        <w:lastRenderedPageBreak/>
        <w:t>related to employment</w:t>
      </w:r>
      <w:r w:rsidR="0016114F">
        <w:t>,</w:t>
      </w:r>
      <w:r>
        <w:t xml:space="preserve"> such as projects, work placements, workplace visits/specialist speakers and masterclasses </w:t>
      </w:r>
      <w:r w:rsidR="0016114F">
        <w:t xml:space="preserve">and </w:t>
      </w:r>
      <w:r>
        <w:t xml:space="preserve">entrepreneurial and enterprise activities.  </w:t>
      </w:r>
    </w:p>
    <w:p w14:paraId="42F848D8" w14:textId="65BC40C0" w:rsidR="00637E26" w:rsidRDefault="00637E26" w:rsidP="00243C9E">
      <w:pPr>
        <w:pStyle w:val="Casestudy"/>
      </w:pPr>
      <w:r>
        <w:t xml:space="preserve">Every learner/apprentice, whether attached to a specific employer or an </w:t>
      </w:r>
      <w:r w:rsidR="0082645F">
        <w:t xml:space="preserve">employment </w:t>
      </w:r>
      <w:r>
        <w:t xml:space="preserve">and </w:t>
      </w:r>
      <w:r w:rsidR="0082645F">
        <w:t>skills academy</w:t>
      </w:r>
      <w:r>
        <w:t xml:space="preserve">, participates in activities </w:t>
      </w:r>
      <w:r w:rsidR="00182DAA">
        <w:t xml:space="preserve">specific to the sector in which they have chosen to study </w:t>
      </w:r>
      <w:r>
        <w:t>throughout the duration of their learning</w:t>
      </w:r>
      <w:r w:rsidR="00004888">
        <w:t>.</w:t>
      </w:r>
      <w:r w:rsidR="00004888" w:rsidRPr="00182DAA">
        <w:t xml:space="preserve"> </w:t>
      </w:r>
      <w:r w:rsidR="00182DAA">
        <w:t>The purpose of the employer academies is to give the students specific knowledge and skills</w:t>
      </w:r>
      <w:r w:rsidR="00004888">
        <w:t xml:space="preserve"> that are</w:t>
      </w:r>
      <w:r w:rsidR="00182DAA">
        <w:t xml:space="preserve"> aligned to the needs of the employer, preparing the learners to make a smooth transition from education into work.</w:t>
      </w:r>
    </w:p>
    <w:p w14:paraId="35D705C7" w14:textId="020CE48A" w:rsidR="00637E26" w:rsidRDefault="00637E26" w:rsidP="00243C9E">
      <w:pPr>
        <w:pStyle w:val="Casestudy"/>
      </w:pPr>
      <w:r>
        <w:t>Each employer interviews learners who apply to work in their academy and</w:t>
      </w:r>
      <w:r w:rsidR="00004888">
        <w:t xml:space="preserve"> they</w:t>
      </w:r>
      <w:r>
        <w:t xml:space="preserve"> pledge to give a </w:t>
      </w:r>
      <w:r w:rsidR="00182DAA">
        <w:t xml:space="preserve">second, </w:t>
      </w:r>
      <w:r>
        <w:t xml:space="preserve">formal interview with the chance of gaining employment or an apprenticeship after their full-time studies. </w:t>
      </w:r>
    </w:p>
    <w:p w14:paraId="0FC665B5" w14:textId="56F2CF8B" w:rsidR="00637E26" w:rsidRDefault="00637E26" w:rsidP="00243C9E">
      <w:pPr>
        <w:pStyle w:val="Casestudy"/>
      </w:pPr>
      <w:r>
        <w:t xml:space="preserve">Every activity undertaken is evaluated and the effectiveness is measured for the impact the activities have on the </w:t>
      </w:r>
      <w:r w:rsidR="00C750D4">
        <w:t>learner</w:t>
      </w:r>
      <w:r>
        <w:t>s</w:t>
      </w:r>
      <w:r w:rsidR="00C750D4">
        <w:t>’</w:t>
      </w:r>
      <w:r>
        <w:t xml:space="preserve"> development of knowledge and skills for the area they are studying or working in.</w:t>
      </w:r>
    </w:p>
    <w:p w14:paraId="7C12C9D6" w14:textId="545FA1F5" w:rsidR="00A8379D" w:rsidRDefault="00A8379D" w:rsidP="00FF77F7"/>
    <w:p w14:paraId="6D7DE364" w14:textId="7A6B290D" w:rsidR="00637E26" w:rsidRPr="0089329A" w:rsidRDefault="00637E26" w:rsidP="0089329A">
      <w:pPr>
        <w:pStyle w:val="Casestudy"/>
        <w:rPr>
          <w:b/>
        </w:rPr>
      </w:pPr>
      <w:r w:rsidRPr="0089329A">
        <w:rPr>
          <w:b/>
        </w:rPr>
        <w:t>Care leavers in Lincolnshire</w:t>
      </w:r>
    </w:p>
    <w:p w14:paraId="61139ADF" w14:textId="4F7B793C" w:rsidR="00637E26" w:rsidRDefault="00637E26" w:rsidP="003D1D91">
      <w:pPr>
        <w:pStyle w:val="Casestudy"/>
      </w:pPr>
      <w:r>
        <w:t>Young people leaving care often have to overcome significant barriers to employment and learning. Inevitably</w:t>
      </w:r>
      <w:r w:rsidR="0034783A">
        <w:t>,</w:t>
      </w:r>
      <w:r>
        <w:t xml:space="preserve"> they will have experienced disruption to their childhood and this is likely to have had a negative effect on their school attendance and achievement. Some may have complex health or emotional needs and some may have poor independent living skills. </w:t>
      </w:r>
    </w:p>
    <w:p w14:paraId="75460005" w14:textId="522ABBEE" w:rsidR="00637E26" w:rsidRDefault="00637E26" w:rsidP="003D1D91">
      <w:pPr>
        <w:pStyle w:val="Casestudy"/>
      </w:pPr>
      <w:r>
        <w:t>The Care Leavers Service in Lincolnshire has been well supported by politicians</w:t>
      </w:r>
      <w:r w:rsidR="0034783A">
        <w:t>,</w:t>
      </w:r>
      <w:r>
        <w:t xml:space="preserve"> who have challenged the service and helped it develop good operational and strategic management. The service has developed strong and effective partnership arrangements to increase opportunities for care leavers in work experience, training and employment across Lincolnshire. </w:t>
      </w:r>
    </w:p>
    <w:p w14:paraId="3C262A1E" w14:textId="170F863E" w:rsidR="00637E26" w:rsidRDefault="00637E26" w:rsidP="003D1D91">
      <w:pPr>
        <w:pStyle w:val="Casestudy"/>
      </w:pPr>
      <w:r>
        <w:t>As a result</w:t>
      </w:r>
      <w:r w:rsidR="0034783A">
        <w:t>,</w:t>
      </w:r>
      <w:r>
        <w:t xml:space="preserve"> most care leavers are making satisfactory or better progress from their generally low starting points. Key to success has been the effective brokering of education, employment and training places for care leavers. Professionals spent considerable time ensuring that the training and apprenticeships available were offering the right work environment, ethos and experience to secure the best outcomes for care leavers.</w:t>
      </w:r>
    </w:p>
    <w:p w14:paraId="2D345D29" w14:textId="25D2E238" w:rsidR="00637E26" w:rsidRDefault="00004888" w:rsidP="003D1D91">
      <w:pPr>
        <w:pStyle w:val="Casestudy"/>
      </w:pPr>
      <w:r>
        <w:t xml:space="preserve">Care leavers </w:t>
      </w:r>
      <w:r w:rsidR="00637E26">
        <w:t xml:space="preserve">who had applied to the </w:t>
      </w:r>
      <w:r w:rsidR="0034783A">
        <w:t>care leavers</w:t>
      </w:r>
      <w:r w:rsidR="00C750D4">
        <w:t>’</w:t>
      </w:r>
      <w:r w:rsidR="0034783A">
        <w:t xml:space="preserve"> a</w:t>
      </w:r>
      <w:r w:rsidR="00637E26">
        <w:t>pprenticeship scheme have received very effective support from the specialist education employment and training team</w:t>
      </w:r>
      <w:r w:rsidR="005A71FD">
        <w:t xml:space="preserve">, </w:t>
      </w:r>
      <w:r w:rsidR="00637E26">
        <w:t>support that has been both thorough and tailored to individual needs.</w:t>
      </w:r>
    </w:p>
    <w:p w14:paraId="7080C24E" w14:textId="77777777" w:rsidR="00292F8D" w:rsidRDefault="00292F8D" w:rsidP="000765DB">
      <w:pPr>
        <w:rPr>
          <w:rFonts w:cs="Tahoma"/>
        </w:rPr>
      </w:pPr>
    </w:p>
    <w:p w14:paraId="1CF690EE" w14:textId="63C9759D" w:rsidR="00617F10" w:rsidRDefault="00617F10" w:rsidP="000A326E">
      <w:pPr>
        <w:pStyle w:val="Heading2"/>
        <w:rPr>
          <w:rFonts w:cs="Tahoma"/>
          <w:b w:val="0"/>
          <w:u w:val="single"/>
        </w:rPr>
        <w:sectPr w:rsidR="00617F10" w:rsidSect="000B43FD">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titlePg/>
          <w:docGrid w:linePitch="360"/>
        </w:sectPr>
      </w:pPr>
    </w:p>
    <w:p w14:paraId="5434517F" w14:textId="77777777" w:rsidR="00CD1838" w:rsidRDefault="00CD1838" w:rsidP="00CD1838">
      <w:pPr>
        <w:pStyle w:val="Heading2"/>
      </w:pPr>
      <w:r w:rsidRPr="000765DB">
        <w:lastRenderedPageBreak/>
        <w:t>Breakdown of primary and secondary school performance for the region</w:t>
      </w:r>
      <w:r>
        <w:t xml:space="preserve"> </w:t>
      </w:r>
    </w:p>
    <w:tbl>
      <w:tblPr>
        <w:tblW w:w="5000" w:type="pct"/>
        <w:tblLook w:val="04A0" w:firstRow="1" w:lastRow="0" w:firstColumn="1" w:lastColumn="0" w:noHBand="0" w:noVBand="1"/>
      </w:tblPr>
      <w:tblGrid>
        <w:gridCol w:w="1050"/>
        <w:gridCol w:w="2812"/>
        <w:gridCol w:w="2384"/>
        <w:gridCol w:w="1800"/>
        <w:gridCol w:w="1709"/>
        <w:gridCol w:w="4079"/>
        <w:gridCol w:w="340"/>
      </w:tblGrid>
      <w:tr w:rsidR="00CD1838" w:rsidRPr="00A51A3E" w14:paraId="5C5886A3" w14:textId="77777777" w:rsidTr="0082645F">
        <w:trPr>
          <w:gridAfter w:val="1"/>
          <w:wAfter w:w="120" w:type="pct"/>
          <w:trHeight w:val="312"/>
        </w:trPr>
        <w:tc>
          <w:tcPr>
            <w:tcW w:w="4880" w:type="pct"/>
            <w:gridSpan w:val="6"/>
            <w:tcBorders>
              <w:top w:val="nil"/>
              <w:left w:val="nil"/>
              <w:bottom w:val="nil"/>
              <w:right w:val="nil"/>
            </w:tcBorders>
            <w:shd w:val="clear" w:color="000000" w:fill="E4DFEC"/>
            <w:noWrap/>
            <w:vAlign w:val="bottom"/>
            <w:hideMark/>
          </w:tcPr>
          <w:p w14:paraId="76274A41" w14:textId="77777777" w:rsidR="00CD1838" w:rsidRPr="00A51A3E" w:rsidRDefault="00CD1838" w:rsidP="0082645F">
            <w:pPr>
              <w:jc w:val="center"/>
              <w:rPr>
                <w:rFonts w:cs="Tahoma"/>
                <w:b/>
                <w:bCs/>
                <w:sz w:val="22"/>
                <w:szCs w:val="22"/>
              </w:rPr>
            </w:pPr>
            <w:r w:rsidRPr="00A51A3E">
              <w:rPr>
                <w:rFonts w:cs="Tahoma"/>
                <w:b/>
                <w:bCs/>
                <w:sz w:val="22"/>
                <w:szCs w:val="22"/>
              </w:rPr>
              <w:t>Primary schools</w:t>
            </w:r>
            <w:r w:rsidRPr="00A51A3E">
              <w:rPr>
                <w:rFonts w:cs="Tahoma"/>
                <w:b/>
                <w:bCs/>
                <w:sz w:val="22"/>
                <w:szCs w:val="22"/>
                <w:vertAlign w:val="superscript"/>
              </w:rPr>
              <w:t>1</w:t>
            </w:r>
          </w:p>
        </w:tc>
      </w:tr>
      <w:tr w:rsidR="00CD1838" w:rsidRPr="00A51A3E" w14:paraId="20B35996" w14:textId="77777777" w:rsidTr="0082645F">
        <w:trPr>
          <w:gridAfter w:val="1"/>
          <w:wAfter w:w="120" w:type="pct"/>
          <w:trHeight w:val="1005"/>
        </w:trPr>
        <w:tc>
          <w:tcPr>
            <w:tcW w:w="370" w:type="pct"/>
            <w:tcBorders>
              <w:top w:val="single" w:sz="4" w:space="0" w:color="auto"/>
              <w:left w:val="single" w:sz="4" w:space="0" w:color="B1A0C7"/>
              <w:bottom w:val="single" w:sz="4" w:space="0" w:color="auto"/>
              <w:right w:val="nil"/>
            </w:tcBorders>
            <w:shd w:val="clear" w:color="8064A2" w:fill="8064A2"/>
            <w:vAlign w:val="bottom"/>
            <w:hideMark/>
          </w:tcPr>
          <w:p w14:paraId="4B321220" w14:textId="77777777" w:rsidR="00CD1838" w:rsidRPr="00A51A3E" w:rsidRDefault="00CD1838" w:rsidP="0082645F">
            <w:pPr>
              <w:rPr>
                <w:rFonts w:cs="Tahoma"/>
                <w:b/>
                <w:bCs/>
                <w:color w:val="FFFFFF"/>
                <w:sz w:val="20"/>
                <w:szCs w:val="20"/>
              </w:rPr>
            </w:pPr>
            <w:r w:rsidRPr="00A51A3E">
              <w:rPr>
                <w:rFonts w:cs="Tahoma"/>
                <w:b/>
                <w:bCs/>
                <w:color w:val="FFFFFF"/>
                <w:sz w:val="20"/>
                <w:szCs w:val="20"/>
              </w:rPr>
              <w:t>Rank</w:t>
            </w:r>
            <w:r w:rsidRPr="00A51A3E">
              <w:rPr>
                <w:rFonts w:cs="Tahoma"/>
                <w:sz w:val="20"/>
                <w:szCs w:val="20"/>
                <w:vertAlign w:val="superscript"/>
              </w:rPr>
              <w:t>2</w:t>
            </w:r>
          </w:p>
        </w:tc>
        <w:tc>
          <w:tcPr>
            <w:tcW w:w="992" w:type="pct"/>
            <w:tcBorders>
              <w:top w:val="single" w:sz="4" w:space="0" w:color="auto"/>
              <w:left w:val="nil"/>
              <w:bottom w:val="single" w:sz="4" w:space="0" w:color="auto"/>
              <w:right w:val="nil"/>
            </w:tcBorders>
            <w:shd w:val="clear" w:color="8064A2" w:fill="8064A2"/>
            <w:vAlign w:val="bottom"/>
            <w:hideMark/>
          </w:tcPr>
          <w:p w14:paraId="5AEE3994" w14:textId="77777777" w:rsidR="00CD1838" w:rsidRPr="00A51A3E" w:rsidRDefault="00CD1838" w:rsidP="0082645F">
            <w:pPr>
              <w:rPr>
                <w:rFonts w:cs="Tahoma"/>
                <w:b/>
                <w:bCs/>
                <w:color w:val="FFFFFF"/>
                <w:sz w:val="20"/>
                <w:szCs w:val="20"/>
              </w:rPr>
            </w:pPr>
            <w:r w:rsidRPr="00A51A3E">
              <w:rPr>
                <w:rFonts w:cs="Tahoma"/>
                <w:b/>
                <w:bCs/>
                <w:color w:val="FFFFFF"/>
                <w:sz w:val="20"/>
                <w:szCs w:val="20"/>
              </w:rPr>
              <w:t>Local authority</w:t>
            </w:r>
          </w:p>
        </w:tc>
        <w:tc>
          <w:tcPr>
            <w:tcW w:w="841" w:type="pct"/>
            <w:tcBorders>
              <w:top w:val="single" w:sz="4" w:space="0" w:color="auto"/>
              <w:left w:val="nil"/>
              <w:bottom w:val="single" w:sz="4" w:space="0" w:color="auto"/>
              <w:right w:val="nil"/>
            </w:tcBorders>
            <w:shd w:val="clear" w:color="8064A2" w:fill="8064A2"/>
            <w:vAlign w:val="bottom"/>
            <w:hideMark/>
          </w:tcPr>
          <w:p w14:paraId="0023C873" w14:textId="77777777" w:rsidR="00CD1838" w:rsidRPr="00A51A3E" w:rsidRDefault="00CD1838" w:rsidP="0082645F">
            <w:pPr>
              <w:jc w:val="right"/>
              <w:rPr>
                <w:rFonts w:cs="Tahoma"/>
                <w:b/>
                <w:bCs/>
                <w:color w:val="FFFFFF"/>
                <w:sz w:val="20"/>
                <w:szCs w:val="20"/>
              </w:rPr>
            </w:pPr>
            <w:r w:rsidRPr="00A51A3E">
              <w:rPr>
                <w:rFonts w:cs="Tahoma"/>
                <w:b/>
                <w:bCs/>
                <w:color w:val="FFFFFF"/>
                <w:sz w:val="20"/>
                <w:szCs w:val="20"/>
              </w:rPr>
              <w:t>% of pupils in good or outstanding schools 2016</w:t>
            </w:r>
          </w:p>
        </w:tc>
        <w:tc>
          <w:tcPr>
            <w:tcW w:w="635" w:type="pct"/>
            <w:tcBorders>
              <w:top w:val="single" w:sz="4" w:space="0" w:color="auto"/>
              <w:left w:val="nil"/>
              <w:bottom w:val="single" w:sz="4" w:space="0" w:color="auto"/>
              <w:right w:val="nil"/>
            </w:tcBorders>
            <w:shd w:val="clear" w:color="8064A2" w:fill="8064A2"/>
            <w:vAlign w:val="bottom"/>
            <w:hideMark/>
          </w:tcPr>
          <w:p w14:paraId="77CD838B" w14:textId="77777777" w:rsidR="00CD1838" w:rsidRPr="00A51A3E" w:rsidRDefault="00CD1838" w:rsidP="0082645F">
            <w:pPr>
              <w:jc w:val="right"/>
              <w:rPr>
                <w:rFonts w:cs="Tahoma"/>
                <w:b/>
                <w:bCs/>
                <w:color w:val="FFFFFF"/>
                <w:sz w:val="20"/>
                <w:szCs w:val="20"/>
              </w:rPr>
            </w:pPr>
            <w:r w:rsidRPr="00A51A3E">
              <w:rPr>
                <w:rFonts w:cs="Tahoma"/>
                <w:b/>
                <w:bCs/>
                <w:color w:val="FFFFFF"/>
                <w:sz w:val="20"/>
                <w:szCs w:val="20"/>
              </w:rPr>
              <w:t>Change from 2015 (%pts)</w:t>
            </w:r>
          </w:p>
        </w:tc>
        <w:tc>
          <w:tcPr>
            <w:tcW w:w="603" w:type="pct"/>
            <w:tcBorders>
              <w:top w:val="single" w:sz="4" w:space="0" w:color="auto"/>
              <w:left w:val="nil"/>
              <w:bottom w:val="single" w:sz="4" w:space="0" w:color="auto"/>
              <w:right w:val="nil"/>
            </w:tcBorders>
            <w:shd w:val="clear" w:color="8064A2" w:fill="8064A2"/>
            <w:vAlign w:val="bottom"/>
            <w:hideMark/>
          </w:tcPr>
          <w:p w14:paraId="223C6C4D" w14:textId="77777777" w:rsidR="00CD1838" w:rsidRPr="00A51A3E" w:rsidRDefault="00CD1838" w:rsidP="0082645F">
            <w:pPr>
              <w:jc w:val="right"/>
              <w:rPr>
                <w:rFonts w:cs="Tahoma"/>
                <w:b/>
                <w:bCs/>
                <w:color w:val="FFFFFF"/>
                <w:sz w:val="20"/>
                <w:szCs w:val="20"/>
              </w:rPr>
            </w:pPr>
            <w:r w:rsidRPr="00A51A3E">
              <w:rPr>
                <w:rFonts w:cs="Tahoma"/>
                <w:b/>
                <w:bCs/>
                <w:color w:val="FFFFFF"/>
                <w:sz w:val="20"/>
                <w:szCs w:val="20"/>
              </w:rPr>
              <w:t>Change from 2012 (%pts)</w:t>
            </w:r>
          </w:p>
        </w:tc>
        <w:tc>
          <w:tcPr>
            <w:tcW w:w="1439" w:type="pct"/>
            <w:tcBorders>
              <w:top w:val="single" w:sz="4" w:space="0" w:color="auto"/>
              <w:left w:val="nil"/>
              <w:bottom w:val="single" w:sz="4" w:space="0" w:color="auto"/>
              <w:right w:val="single" w:sz="4" w:space="0" w:color="B1A0C7"/>
            </w:tcBorders>
            <w:shd w:val="clear" w:color="8064A2" w:fill="8064A2"/>
            <w:vAlign w:val="bottom"/>
            <w:hideMark/>
          </w:tcPr>
          <w:p w14:paraId="03139121" w14:textId="77777777" w:rsidR="00CD1838" w:rsidRPr="00A51A3E" w:rsidRDefault="00CD1838" w:rsidP="0082645F">
            <w:pPr>
              <w:jc w:val="right"/>
              <w:rPr>
                <w:rFonts w:cs="Tahoma"/>
                <w:b/>
                <w:bCs/>
                <w:color w:val="FFFFFF"/>
                <w:sz w:val="20"/>
                <w:szCs w:val="20"/>
              </w:rPr>
            </w:pPr>
            <w:r w:rsidRPr="00A51A3E">
              <w:rPr>
                <w:rFonts w:cs="Tahoma"/>
                <w:b/>
                <w:bCs/>
                <w:color w:val="FFFFFF"/>
                <w:sz w:val="20"/>
                <w:szCs w:val="20"/>
              </w:rPr>
              <w:t>% of pupils in academies 2016</w:t>
            </w:r>
          </w:p>
        </w:tc>
      </w:tr>
      <w:tr w:rsidR="00CD1838" w:rsidRPr="00A51A3E" w14:paraId="570C1223" w14:textId="77777777" w:rsidTr="0082645F">
        <w:trPr>
          <w:gridAfter w:val="1"/>
          <w:wAfter w:w="120" w:type="pct"/>
          <w:trHeight w:val="264"/>
        </w:trPr>
        <w:tc>
          <w:tcPr>
            <w:tcW w:w="370" w:type="pct"/>
            <w:tcBorders>
              <w:top w:val="single" w:sz="4" w:space="0" w:color="B1A0C7"/>
              <w:left w:val="single" w:sz="4" w:space="0" w:color="B1A0C7"/>
              <w:bottom w:val="single" w:sz="4" w:space="0" w:color="B1A0C7"/>
              <w:right w:val="nil"/>
            </w:tcBorders>
            <w:shd w:val="clear" w:color="E4DFEC" w:fill="E4DFEC"/>
            <w:noWrap/>
            <w:vAlign w:val="bottom"/>
            <w:hideMark/>
          </w:tcPr>
          <w:p w14:paraId="1B80849F" w14:textId="77777777" w:rsidR="00CD1838" w:rsidRPr="00A51A3E" w:rsidRDefault="00CD1838" w:rsidP="0082645F">
            <w:pPr>
              <w:jc w:val="right"/>
              <w:rPr>
                <w:rFonts w:cs="Tahoma"/>
                <w:sz w:val="20"/>
                <w:szCs w:val="20"/>
              </w:rPr>
            </w:pPr>
            <w:r w:rsidRPr="00A51A3E">
              <w:rPr>
                <w:rFonts w:cs="Tahoma"/>
                <w:sz w:val="20"/>
                <w:szCs w:val="20"/>
              </w:rPr>
              <w:t>51</w:t>
            </w:r>
          </w:p>
        </w:tc>
        <w:tc>
          <w:tcPr>
            <w:tcW w:w="992" w:type="pct"/>
            <w:tcBorders>
              <w:top w:val="single" w:sz="4" w:space="0" w:color="B1A0C7"/>
              <w:left w:val="nil"/>
              <w:bottom w:val="single" w:sz="4" w:space="0" w:color="B1A0C7"/>
              <w:right w:val="nil"/>
            </w:tcBorders>
            <w:shd w:val="clear" w:color="E4DFEC" w:fill="E4DFEC"/>
            <w:noWrap/>
            <w:vAlign w:val="bottom"/>
            <w:hideMark/>
          </w:tcPr>
          <w:p w14:paraId="2C6C89ED" w14:textId="77777777" w:rsidR="00CD1838" w:rsidRPr="00A51A3E" w:rsidRDefault="00CD1838" w:rsidP="0082645F">
            <w:pPr>
              <w:rPr>
                <w:rFonts w:cs="Tahoma"/>
                <w:sz w:val="20"/>
                <w:szCs w:val="20"/>
              </w:rPr>
            </w:pPr>
            <w:r w:rsidRPr="00A51A3E">
              <w:rPr>
                <w:rFonts w:cs="Tahoma"/>
                <w:sz w:val="20"/>
                <w:szCs w:val="20"/>
              </w:rPr>
              <w:t>Lincolnshire</w:t>
            </w:r>
          </w:p>
        </w:tc>
        <w:tc>
          <w:tcPr>
            <w:tcW w:w="841" w:type="pct"/>
            <w:tcBorders>
              <w:top w:val="single" w:sz="4" w:space="0" w:color="B1A0C7"/>
              <w:left w:val="nil"/>
              <w:bottom w:val="single" w:sz="4" w:space="0" w:color="B1A0C7"/>
              <w:right w:val="nil"/>
            </w:tcBorders>
            <w:shd w:val="clear" w:color="E4DFEC" w:fill="E4DFEC"/>
            <w:noWrap/>
            <w:vAlign w:val="bottom"/>
            <w:hideMark/>
          </w:tcPr>
          <w:p w14:paraId="5AF40B7C" w14:textId="77777777" w:rsidR="00CD1838" w:rsidRPr="00A51A3E" w:rsidRDefault="00CD1838" w:rsidP="0082645F">
            <w:pPr>
              <w:jc w:val="right"/>
              <w:rPr>
                <w:rFonts w:cs="Tahoma"/>
                <w:sz w:val="20"/>
                <w:szCs w:val="20"/>
              </w:rPr>
            </w:pPr>
            <w:r w:rsidRPr="00A51A3E">
              <w:rPr>
                <w:rFonts w:cs="Tahoma"/>
                <w:sz w:val="20"/>
                <w:szCs w:val="20"/>
              </w:rPr>
              <w:t>93</w:t>
            </w:r>
          </w:p>
        </w:tc>
        <w:tc>
          <w:tcPr>
            <w:tcW w:w="635" w:type="pct"/>
            <w:tcBorders>
              <w:top w:val="single" w:sz="4" w:space="0" w:color="B1A0C7"/>
              <w:left w:val="nil"/>
              <w:bottom w:val="single" w:sz="4" w:space="0" w:color="B1A0C7"/>
              <w:right w:val="nil"/>
            </w:tcBorders>
            <w:shd w:val="clear" w:color="E4DFEC" w:fill="E4DFEC"/>
            <w:noWrap/>
            <w:vAlign w:val="bottom"/>
            <w:hideMark/>
          </w:tcPr>
          <w:p w14:paraId="5F696B56" w14:textId="77777777" w:rsidR="00CD1838" w:rsidRPr="00A51A3E" w:rsidRDefault="00CD1838" w:rsidP="0082645F">
            <w:pPr>
              <w:jc w:val="right"/>
              <w:rPr>
                <w:rFonts w:cs="Tahoma"/>
                <w:sz w:val="20"/>
                <w:szCs w:val="20"/>
              </w:rPr>
            </w:pPr>
            <w:r w:rsidRPr="00A51A3E">
              <w:rPr>
                <w:rFonts w:cs="Tahoma"/>
                <w:sz w:val="20"/>
                <w:szCs w:val="20"/>
              </w:rPr>
              <w:t>7</w:t>
            </w:r>
          </w:p>
        </w:tc>
        <w:tc>
          <w:tcPr>
            <w:tcW w:w="603" w:type="pct"/>
            <w:tcBorders>
              <w:top w:val="single" w:sz="4" w:space="0" w:color="B1A0C7"/>
              <w:left w:val="nil"/>
              <w:bottom w:val="single" w:sz="4" w:space="0" w:color="B1A0C7"/>
              <w:right w:val="nil"/>
            </w:tcBorders>
            <w:shd w:val="clear" w:color="E4DFEC" w:fill="E4DFEC"/>
            <w:noWrap/>
            <w:vAlign w:val="bottom"/>
            <w:hideMark/>
          </w:tcPr>
          <w:p w14:paraId="6A47B388" w14:textId="77777777" w:rsidR="00CD1838" w:rsidRPr="00A51A3E" w:rsidRDefault="00CD1838" w:rsidP="0082645F">
            <w:pPr>
              <w:jc w:val="right"/>
              <w:rPr>
                <w:rFonts w:cs="Tahoma"/>
                <w:sz w:val="20"/>
                <w:szCs w:val="20"/>
              </w:rPr>
            </w:pPr>
            <w:r w:rsidRPr="00A51A3E">
              <w:rPr>
                <w:rFonts w:cs="Tahoma"/>
                <w:sz w:val="20"/>
                <w:szCs w:val="20"/>
              </w:rPr>
              <w:t>27</w:t>
            </w:r>
          </w:p>
        </w:tc>
        <w:tc>
          <w:tcPr>
            <w:tcW w:w="1439" w:type="pct"/>
            <w:tcBorders>
              <w:top w:val="single" w:sz="4" w:space="0" w:color="B1A0C7"/>
              <w:left w:val="nil"/>
              <w:bottom w:val="single" w:sz="4" w:space="0" w:color="B1A0C7"/>
              <w:right w:val="single" w:sz="4" w:space="0" w:color="B1A0C7"/>
            </w:tcBorders>
            <w:shd w:val="clear" w:color="E4DFEC" w:fill="E4DFEC"/>
            <w:noWrap/>
            <w:vAlign w:val="bottom"/>
            <w:hideMark/>
          </w:tcPr>
          <w:p w14:paraId="5BBF5AD2" w14:textId="77777777" w:rsidR="00CD1838" w:rsidRPr="00A51A3E" w:rsidRDefault="00CD1838" w:rsidP="0082645F">
            <w:pPr>
              <w:jc w:val="right"/>
              <w:rPr>
                <w:rFonts w:cs="Tahoma"/>
                <w:sz w:val="20"/>
                <w:szCs w:val="20"/>
              </w:rPr>
            </w:pPr>
            <w:r w:rsidRPr="00A51A3E">
              <w:rPr>
                <w:rFonts w:cs="Tahoma"/>
                <w:sz w:val="20"/>
                <w:szCs w:val="20"/>
              </w:rPr>
              <w:t>36</w:t>
            </w:r>
          </w:p>
        </w:tc>
      </w:tr>
      <w:tr w:rsidR="00CD1838" w:rsidRPr="00A51A3E" w14:paraId="612603BB" w14:textId="77777777" w:rsidTr="0082645F">
        <w:trPr>
          <w:gridAfter w:val="1"/>
          <w:wAfter w:w="120" w:type="pct"/>
          <w:trHeight w:val="264"/>
        </w:trPr>
        <w:tc>
          <w:tcPr>
            <w:tcW w:w="370" w:type="pct"/>
            <w:tcBorders>
              <w:top w:val="single" w:sz="4" w:space="0" w:color="B1A0C7"/>
              <w:left w:val="single" w:sz="4" w:space="0" w:color="B1A0C7"/>
              <w:bottom w:val="single" w:sz="4" w:space="0" w:color="B1A0C7"/>
              <w:right w:val="nil"/>
            </w:tcBorders>
            <w:shd w:val="clear" w:color="auto" w:fill="auto"/>
            <w:noWrap/>
            <w:vAlign w:val="bottom"/>
            <w:hideMark/>
          </w:tcPr>
          <w:p w14:paraId="0520BF7B" w14:textId="77777777" w:rsidR="00CD1838" w:rsidRPr="00A51A3E" w:rsidRDefault="00CD1838" w:rsidP="0082645F">
            <w:pPr>
              <w:jc w:val="right"/>
              <w:rPr>
                <w:rFonts w:cs="Tahoma"/>
                <w:sz w:val="20"/>
                <w:szCs w:val="20"/>
              </w:rPr>
            </w:pPr>
            <w:r w:rsidRPr="00A51A3E">
              <w:rPr>
                <w:rFonts w:cs="Tahoma"/>
                <w:sz w:val="20"/>
                <w:szCs w:val="20"/>
              </w:rPr>
              <w:t>88</w:t>
            </w:r>
          </w:p>
        </w:tc>
        <w:tc>
          <w:tcPr>
            <w:tcW w:w="992" w:type="pct"/>
            <w:tcBorders>
              <w:top w:val="single" w:sz="4" w:space="0" w:color="B1A0C7"/>
              <w:left w:val="nil"/>
              <w:bottom w:val="single" w:sz="4" w:space="0" w:color="B1A0C7"/>
              <w:right w:val="nil"/>
            </w:tcBorders>
            <w:shd w:val="clear" w:color="auto" w:fill="auto"/>
            <w:noWrap/>
            <w:vAlign w:val="bottom"/>
            <w:hideMark/>
          </w:tcPr>
          <w:p w14:paraId="545E8156" w14:textId="77777777" w:rsidR="00CD1838" w:rsidRPr="00A51A3E" w:rsidRDefault="00CD1838" w:rsidP="0082645F">
            <w:pPr>
              <w:rPr>
                <w:rFonts w:cs="Tahoma"/>
                <w:sz w:val="20"/>
                <w:szCs w:val="20"/>
              </w:rPr>
            </w:pPr>
            <w:r w:rsidRPr="00A51A3E">
              <w:rPr>
                <w:rFonts w:cs="Tahoma"/>
                <w:sz w:val="20"/>
                <w:szCs w:val="20"/>
              </w:rPr>
              <w:t>Nottinghamshire</w:t>
            </w:r>
          </w:p>
        </w:tc>
        <w:tc>
          <w:tcPr>
            <w:tcW w:w="841" w:type="pct"/>
            <w:tcBorders>
              <w:top w:val="single" w:sz="4" w:space="0" w:color="B1A0C7"/>
              <w:left w:val="nil"/>
              <w:bottom w:val="single" w:sz="4" w:space="0" w:color="B1A0C7"/>
              <w:right w:val="nil"/>
            </w:tcBorders>
            <w:shd w:val="clear" w:color="auto" w:fill="auto"/>
            <w:noWrap/>
            <w:vAlign w:val="bottom"/>
            <w:hideMark/>
          </w:tcPr>
          <w:p w14:paraId="4894AE29" w14:textId="77777777" w:rsidR="00CD1838" w:rsidRPr="00A51A3E" w:rsidRDefault="00CD1838" w:rsidP="0082645F">
            <w:pPr>
              <w:jc w:val="right"/>
              <w:rPr>
                <w:rFonts w:cs="Tahoma"/>
                <w:sz w:val="20"/>
                <w:szCs w:val="20"/>
              </w:rPr>
            </w:pPr>
            <w:r w:rsidRPr="00A51A3E">
              <w:rPr>
                <w:rFonts w:cs="Tahoma"/>
                <w:sz w:val="20"/>
                <w:szCs w:val="20"/>
              </w:rPr>
              <w:t>90</w:t>
            </w:r>
          </w:p>
        </w:tc>
        <w:tc>
          <w:tcPr>
            <w:tcW w:w="635" w:type="pct"/>
            <w:tcBorders>
              <w:top w:val="single" w:sz="4" w:space="0" w:color="B1A0C7"/>
              <w:left w:val="nil"/>
              <w:bottom w:val="single" w:sz="4" w:space="0" w:color="B1A0C7"/>
              <w:right w:val="nil"/>
            </w:tcBorders>
            <w:shd w:val="clear" w:color="auto" w:fill="auto"/>
            <w:noWrap/>
            <w:vAlign w:val="bottom"/>
            <w:hideMark/>
          </w:tcPr>
          <w:p w14:paraId="0AEA46A5" w14:textId="77777777" w:rsidR="00CD1838" w:rsidRPr="00A51A3E" w:rsidRDefault="00CD1838" w:rsidP="0082645F">
            <w:pPr>
              <w:jc w:val="right"/>
              <w:rPr>
                <w:rFonts w:cs="Tahoma"/>
                <w:sz w:val="20"/>
                <w:szCs w:val="20"/>
              </w:rPr>
            </w:pPr>
            <w:r w:rsidRPr="00A51A3E">
              <w:rPr>
                <w:rFonts w:cs="Tahoma"/>
                <w:sz w:val="20"/>
                <w:szCs w:val="20"/>
              </w:rPr>
              <w:t>7</w:t>
            </w:r>
          </w:p>
        </w:tc>
        <w:tc>
          <w:tcPr>
            <w:tcW w:w="603" w:type="pct"/>
            <w:tcBorders>
              <w:top w:val="single" w:sz="4" w:space="0" w:color="B1A0C7"/>
              <w:left w:val="nil"/>
              <w:bottom w:val="single" w:sz="4" w:space="0" w:color="B1A0C7"/>
              <w:right w:val="nil"/>
            </w:tcBorders>
            <w:shd w:val="clear" w:color="auto" w:fill="auto"/>
            <w:noWrap/>
            <w:vAlign w:val="bottom"/>
            <w:hideMark/>
          </w:tcPr>
          <w:p w14:paraId="58A4E30F" w14:textId="77777777" w:rsidR="00CD1838" w:rsidRPr="00A51A3E" w:rsidRDefault="00CD1838" w:rsidP="0082645F">
            <w:pPr>
              <w:jc w:val="right"/>
              <w:rPr>
                <w:rFonts w:cs="Tahoma"/>
                <w:sz w:val="20"/>
                <w:szCs w:val="20"/>
              </w:rPr>
            </w:pPr>
            <w:r w:rsidRPr="00A51A3E">
              <w:rPr>
                <w:rFonts w:cs="Tahoma"/>
                <w:sz w:val="20"/>
                <w:szCs w:val="20"/>
              </w:rPr>
              <w:t>19</w:t>
            </w:r>
          </w:p>
        </w:tc>
        <w:tc>
          <w:tcPr>
            <w:tcW w:w="1439" w:type="pct"/>
            <w:tcBorders>
              <w:top w:val="single" w:sz="4" w:space="0" w:color="B1A0C7"/>
              <w:left w:val="nil"/>
              <w:bottom w:val="single" w:sz="4" w:space="0" w:color="B1A0C7"/>
              <w:right w:val="single" w:sz="4" w:space="0" w:color="B1A0C7"/>
            </w:tcBorders>
            <w:shd w:val="clear" w:color="auto" w:fill="auto"/>
            <w:noWrap/>
            <w:vAlign w:val="bottom"/>
            <w:hideMark/>
          </w:tcPr>
          <w:p w14:paraId="48A79C5A" w14:textId="77777777" w:rsidR="00CD1838" w:rsidRPr="00A51A3E" w:rsidRDefault="00CD1838" w:rsidP="0082645F">
            <w:pPr>
              <w:jc w:val="right"/>
              <w:rPr>
                <w:rFonts w:cs="Tahoma"/>
                <w:sz w:val="20"/>
                <w:szCs w:val="20"/>
              </w:rPr>
            </w:pPr>
            <w:r w:rsidRPr="00A51A3E">
              <w:rPr>
                <w:rFonts w:cs="Tahoma"/>
                <w:sz w:val="20"/>
                <w:szCs w:val="20"/>
              </w:rPr>
              <w:t>19</w:t>
            </w:r>
          </w:p>
        </w:tc>
      </w:tr>
      <w:tr w:rsidR="00CD1838" w:rsidRPr="00A51A3E" w14:paraId="73517869" w14:textId="77777777" w:rsidTr="0082645F">
        <w:trPr>
          <w:gridAfter w:val="1"/>
          <w:wAfter w:w="120" w:type="pct"/>
          <w:trHeight w:val="264"/>
        </w:trPr>
        <w:tc>
          <w:tcPr>
            <w:tcW w:w="370" w:type="pct"/>
            <w:tcBorders>
              <w:top w:val="single" w:sz="4" w:space="0" w:color="B1A0C7"/>
              <w:left w:val="single" w:sz="4" w:space="0" w:color="B1A0C7"/>
              <w:bottom w:val="single" w:sz="4" w:space="0" w:color="B1A0C7"/>
              <w:right w:val="nil"/>
            </w:tcBorders>
            <w:shd w:val="clear" w:color="E4DFEC" w:fill="E4DFEC"/>
            <w:noWrap/>
            <w:vAlign w:val="bottom"/>
            <w:hideMark/>
          </w:tcPr>
          <w:p w14:paraId="0A6A1160" w14:textId="77777777" w:rsidR="00CD1838" w:rsidRPr="00A51A3E" w:rsidRDefault="00CD1838" w:rsidP="0082645F">
            <w:pPr>
              <w:jc w:val="right"/>
              <w:rPr>
                <w:rFonts w:cs="Tahoma"/>
                <w:sz w:val="20"/>
                <w:szCs w:val="20"/>
              </w:rPr>
            </w:pPr>
            <w:r w:rsidRPr="00A51A3E">
              <w:rPr>
                <w:rFonts w:cs="Tahoma"/>
                <w:sz w:val="20"/>
                <w:szCs w:val="20"/>
              </w:rPr>
              <w:t>98</w:t>
            </w:r>
          </w:p>
        </w:tc>
        <w:tc>
          <w:tcPr>
            <w:tcW w:w="992" w:type="pct"/>
            <w:tcBorders>
              <w:top w:val="single" w:sz="4" w:space="0" w:color="B1A0C7"/>
              <w:left w:val="nil"/>
              <w:bottom w:val="single" w:sz="4" w:space="0" w:color="B1A0C7"/>
              <w:right w:val="nil"/>
            </w:tcBorders>
            <w:shd w:val="clear" w:color="E4DFEC" w:fill="E4DFEC"/>
            <w:noWrap/>
            <w:vAlign w:val="bottom"/>
            <w:hideMark/>
          </w:tcPr>
          <w:p w14:paraId="22294DB1" w14:textId="77777777" w:rsidR="00CD1838" w:rsidRPr="00A51A3E" w:rsidRDefault="00CD1838" w:rsidP="0082645F">
            <w:pPr>
              <w:rPr>
                <w:rFonts w:cs="Tahoma"/>
                <w:sz w:val="20"/>
                <w:szCs w:val="20"/>
              </w:rPr>
            </w:pPr>
            <w:r w:rsidRPr="00A51A3E">
              <w:rPr>
                <w:rFonts w:cs="Tahoma"/>
                <w:sz w:val="20"/>
                <w:szCs w:val="20"/>
              </w:rPr>
              <w:t>Leicestershire</w:t>
            </w:r>
          </w:p>
        </w:tc>
        <w:tc>
          <w:tcPr>
            <w:tcW w:w="841" w:type="pct"/>
            <w:tcBorders>
              <w:top w:val="single" w:sz="4" w:space="0" w:color="B1A0C7"/>
              <w:left w:val="nil"/>
              <w:bottom w:val="single" w:sz="4" w:space="0" w:color="B1A0C7"/>
              <w:right w:val="nil"/>
            </w:tcBorders>
            <w:shd w:val="clear" w:color="E4DFEC" w:fill="E4DFEC"/>
            <w:noWrap/>
            <w:vAlign w:val="bottom"/>
            <w:hideMark/>
          </w:tcPr>
          <w:p w14:paraId="25965386" w14:textId="77777777" w:rsidR="00CD1838" w:rsidRPr="00A51A3E" w:rsidRDefault="00CD1838" w:rsidP="0082645F">
            <w:pPr>
              <w:jc w:val="right"/>
              <w:rPr>
                <w:rFonts w:cs="Tahoma"/>
                <w:sz w:val="20"/>
                <w:szCs w:val="20"/>
              </w:rPr>
            </w:pPr>
            <w:r w:rsidRPr="00A51A3E">
              <w:rPr>
                <w:rFonts w:cs="Tahoma"/>
                <w:sz w:val="20"/>
                <w:szCs w:val="20"/>
              </w:rPr>
              <w:t>89</w:t>
            </w:r>
          </w:p>
        </w:tc>
        <w:tc>
          <w:tcPr>
            <w:tcW w:w="635" w:type="pct"/>
            <w:tcBorders>
              <w:top w:val="single" w:sz="4" w:space="0" w:color="B1A0C7"/>
              <w:left w:val="nil"/>
              <w:bottom w:val="single" w:sz="4" w:space="0" w:color="B1A0C7"/>
              <w:right w:val="nil"/>
            </w:tcBorders>
            <w:shd w:val="clear" w:color="E4DFEC" w:fill="E4DFEC"/>
            <w:noWrap/>
            <w:vAlign w:val="bottom"/>
            <w:hideMark/>
          </w:tcPr>
          <w:p w14:paraId="130EF574" w14:textId="77777777" w:rsidR="00CD1838" w:rsidRPr="00A51A3E" w:rsidRDefault="00CD1838" w:rsidP="0082645F">
            <w:pPr>
              <w:jc w:val="right"/>
              <w:rPr>
                <w:rFonts w:cs="Tahoma"/>
                <w:sz w:val="20"/>
                <w:szCs w:val="20"/>
              </w:rPr>
            </w:pPr>
            <w:r w:rsidRPr="00A51A3E">
              <w:rPr>
                <w:rFonts w:cs="Tahoma"/>
                <w:sz w:val="20"/>
                <w:szCs w:val="20"/>
              </w:rPr>
              <w:t>4</w:t>
            </w:r>
          </w:p>
        </w:tc>
        <w:tc>
          <w:tcPr>
            <w:tcW w:w="603" w:type="pct"/>
            <w:tcBorders>
              <w:top w:val="single" w:sz="4" w:space="0" w:color="B1A0C7"/>
              <w:left w:val="nil"/>
              <w:bottom w:val="single" w:sz="4" w:space="0" w:color="B1A0C7"/>
              <w:right w:val="nil"/>
            </w:tcBorders>
            <w:shd w:val="clear" w:color="E4DFEC" w:fill="E4DFEC"/>
            <w:noWrap/>
            <w:vAlign w:val="bottom"/>
            <w:hideMark/>
          </w:tcPr>
          <w:p w14:paraId="3FEB1857" w14:textId="77777777" w:rsidR="00CD1838" w:rsidRPr="00A51A3E" w:rsidRDefault="00CD1838" w:rsidP="0082645F">
            <w:pPr>
              <w:jc w:val="right"/>
              <w:rPr>
                <w:rFonts w:cs="Tahoma"/>
                <w:sz w:val="20"/>
                <w:szCs w:val="20"/>
              </w:rPr>
            </w:pPr>
            <w:r w:rsidRPr="00A51A3E">
              <w:rPr>
                <w:rFonts w:cs="Tahoma"/>
                <w:sz w:val="20"/>
                <w:szCs w:val="20"/>
              </w:rPr>
              <w:t>21</w:t>
            </w:r>
          </w:p>
        </w:tc>
        <w:tc>
          <w:tcPr>
            <w:tcW w:w="1439" w:type="pct"/>
            <w:tcBorders>
              <w:top w:val="single" w:sz="4" w:space="0" w:color="B1A0C7"/>
              <w:left w:val="nil"/>
              <w:bottom w:val="single" w:sz="4" w:space="0" w:color="B1A0C7"/>
              <w:right w:val="single" w:sz="4" w:space="0" w:color="B1A0C7"/>
            </w:tcBorders>
            <w:shd w:val="clear" w:color="E4DFEC" w:fill="E4DFEC"/>
            <w:noWrap/>
            <w:vAlign w:val="bottom"/>
            <w:hideMark/>
          </w:tcPr>
          <w:p w14:paraId="39119A19" w14:textId="77777777" w:rsidR="00CD1838" w:rsidRPr="00A51A3E" w:rsidRDefault="00CD1838" w:rsidP="0082645F">
            <w:pPr>
              <w:jc w:val="right"/>
              <w:rPr>
                <w:rFonts w:cs="Tahoma"/>
                <w:sz w:val="20"/>
                <w:szCs w:val="20"/>
              </w:rPr>
            </w:pPr>
            <w:r w:rsidRPr="00A51A3E">
              <w:rPr>
                <w:rFonts w:cs="Tahoma"/>
                <w:sz w:val="20"/>
                <w:szCs w:val="20"/>
              </w:rPr>
              <w:t>50</w:t>
            </w:r>
          </w:p>
        </w:tc>
      </w:tr>
      <w:tr w:rsidR="00CD1838" w:rsidRPr="00A51A3E" w14:paraId="1E5E7213" w14:textId="77777777" w:rsidTr="0082645F">
        <w:trPr>
          <w:gridAfter w:val="1"/>
          <w:wAfter w:w="120" w:type="pct"/>
          <w:trHeight w:val="264"/>
        </w:trPr>
        <w:tc>
          <w:tcPr>
            <w:tcW w:w="370" w:type="pct"/>
            <w:tcBorders>
              <w:top w:val="single" w:sz="4" w:space="0" w:color="B1A0C7"/>
              <w:left w:val="single" w:sz="4" w:space="0" w:color="B1A0C7"/>
              <w:bottom w:val="single" w:sz="4" w:space="0" w:color="B1A0C7"/>
              <w:right w:val="nil"/>
            </w:tcBorders>
            <w:shd w:val="clear" w:color="auto" w:fill="auto"/>
            <w:noWrap/>
            <w:vAlign w:val="bottom"/>
            <w:hideMark/>
          </w:tcPr>
          <w:p w14:paraId="1785515A" w14:textId="77777777" w:rsidR="00CD1838" w:rsidRPr="00A51A3E" w:rsidRDefault="00CD1838" w:rsidP="0082645F">
            <w:pPr>
              <w:jc w:val="right"/>
              <w:rPr>
                <w:rFonts w:cs="Tahoma"/>
                <w:sz w:val="20"/>
                <w:szCs w:val="20"/>
              </w:rPr>
            </w:pPr>
            <w:r w:rsidRPr="00A51A3E">
              <w:rPr>
                <w:rFonts w:cs="Tahoma"/>
                <w:sz w:val="20"/>
                <w:szCs w:val="20"/>
              </w:rPr>
              <w:t>119</w:t>
            </w:r>
          </w:p>
        </w:tc>
        <w:tc>
          <w:tcPr>
            <w:tcW w:w="992" w:type="pct"/>
            <w:tcBorders>
              <w:top w:val="single" w:sz="4" w:space="0" w:color="B1A0C7"/>
              <w:left w:val="nil"/>
              <w:bottom w:val="single" w:sz="4" w:space="0" w:color="B1A0C7"/>
              <w:right w:val="nil"/>
            </w:tcBorders>
            <w:shd w:val="clear" w:color="auto" w:fill="auto"/>
            <w:noWrap/>
            <w:vAlign w:val="bottom"/>
            <w:hideMark/>
          </w:tcPr>
          <w:p w14:paraId="708EB140" w14:textId="77777777" w:rsidR="00CD1838" w:rsidRPr="00A51A3E" w:rsidRDefault="00CD1838" w:rsidP="0082645F">
            <w:pPr>
              <w:rPr>
                <w:rFonts w:cs="Tahoma"/>
                <w:sz w:val="20"/>
                <w:szCs w:val="20"/>
              </w:rPr>
            </w:pPr>
            <w:r w:rsidRPr="00A51A3E">
              <w:rPr>
                <w:rFonts w:cs="Tahoma"/>
                <w:sz w:val="20"/>
                <w:szCs w:val="20"/>
              </w:rPr>
              <w:t>Leicester</w:t>
            </w:r>
          </w:p>
        </w:tc>
        <w:tc>
          <w:tcPr>
            <w:tcW w:w="841" w:type="pct"/>
            <w:tcBorders>
              <w:top w:val="single" w:sz="4" w:space="0" w:color="B1A0C7"/>
              <w:left w:val="nil"/>
              <w:bottom w:val="single" w:sz="4" w:space="0" w:color="B1A0C7"/>
              <w:right w:val="nil"/>
            </w:tcBorders>
            <w:shd w:val="clear" w:color="auto" w:fill="auto"/>
            <w:noWrap/>
            <w:vAlign w:val="bottom"/>
            <w:hideMark/>
          </w:tcPr>
          <w:p w14:paraId="2D32D000" w14:textId="77777777" w:rsidR="00CD1838" w:rsidRPr="00A51A3E" w:rsidRDefault="00CD1838" w:rsidP="0082645F">
            <w:pPr>
              <w:jc w:val="right"/>
              <w:rPr>
                <w:rFonts w:cs="Tahoma"/>
                <w:sz w:val="20"/>
                <w:szCs w:val="20"/>
              </w:rPr>
            </w:pPr>
            <w:r w:rsidRPr="00A51A3E">
              <w:rPr>
                <w:rFonts w:cs="Tahoma"/>
                <w:sz w:val="20"/>
                <w:szCs w:val="20"/>
              </w:rPr>
              <w:t>86</w:t>
            </w:r>
          </w:p>
        </w:tc>
        <w:tc>
          <w:tcPr>
            <w:tcW w:w="635" w:type="pct"/>
            <w:tcBorders>
              <w:top w:val="single" w:sz="4" w:space="0" w:color="B1A0C7"/>
              <w:left w:val="nil"/>
              <w:bottom w:val="single" w:sz="4" w:space="0" w:color="B1A0C7"/>
              <w:right w:val="nil"/>
            </w:tcBorders>
            <w:shd w:val="clear" w:color="auto" w:fill="auto"/>
            <w:noWrap/>
            <w:vAlign w:val="bottom"/>
            <w:hideMark/>
          </w:tcPr>
          <w:p w14:paraId="11624B45" w14:textId="77777777" w:rsidR="00CD1838" w:rsidRPr="00A51A3E" w:rsidRDefault="00CD1838" w:rsidP="0082645F">
            <w:pPr>
              <w:jc w:val="right"/>
              <w:rPr>
                <w:rFonts w:cs="Tahoma"/>
                <w:sz w:val="20"/>
                <w:szCs w:val="20"/>
              </w:rPr>
            </w:pPr>
            <w:r w:rsidRPr="00A51A3E">
              <w:rPr>
                <w:rFonts w:cs="Tahoma"/>
                <w:sz w:val="20"/>
                <w:szCs w:val="20"/>
              </w:rPr>
              <w:t>14</w:t>
            </w:r>
          </w:p>
        </w:tc>
        <w:tc>
          <w:tcPr>
            <w:tcW w:w="603" w:type="pct"/>
            <w:tcBorders>
              <w:top w:val="single" w:sz="4" w:space="0" w:color="B1A0C7"/>
              <w:left w:val="nil"/>
              <w:bottom w:val="single" w:sz="4" w:space="0" w:color="B1A0C7"/>
              <w:right w:val="nil"/>
            </w:tcBorders>
            <w:shd w:val="clear" w:color="auto" w:fill="auto"/>
            <w:noWrap/>
            <w:vAlign w:val="bottom"/>
            <w:hideMark/>
          </w:tcPr>
          <w:p w14:paraId="02EE638C" w14:textId="77777777" w:rsidR="00CD1838" w:rsidRPr="00A51A3E" w:rsidRDefault="00CD1838" w:rsidP="0082645F">
            <w:pPr>
              <w:jc w:val="right"/>
              <w:rPr>
                <w:rFonts w:cs="Tahoma"/>
                <w:sz w:val="20"/>
                <w:szCs w:val="20"/>
              </w:rPr>
            </w:pPr>
            <w:r w:rsidRPr="00A51A3E">
              <w:rPr>
                <w:rFonts w:cs="Tahoma"/>
                <w:sz w:val="20"/>
                <w:szCs w:val="20"/>
              </w:rPr>
              <w:t>23</w:t>
            </w:r>
          </w:p>
        </w:tc>
        <w:tc>
          <w:tcPr>
            <w:tcW w:w="1439" w:type="pct"/>
            <w:tcBorders>
              <w:top w:val="single" w:sz="4" w:space="0" w:color="B1A0C7"/>
              <w:left w:val="nil"/>
              <w:bottom w:val="single" w:sz="4" w:space="0" w:color="B1A0C7"/>
              <w:right w:val="single" w:sz="4" w:space="0" w:color="B1A0C7"/>
            </w:tcBorders>
            <w:shd w:val="clear" w:color="auto" w:fill="auto"/>
            <w:noWrap/>
            <w:vAlign w:val="bottom"/>
            <w:hideMark/>
          </w:tcPr>
          <w:p w14:paraId="0E6D9E4C" w14:textId="77777777" w:rsidR="00CD1838" w:rsidRPr="00A51A3E" w:rsidRDefault="00CD1838" w:rsidP="0082645F">
            <w:pPr>
              <w:jc w:val="right"/>
              <w:rPr>
                <w:rFonts w:cs="Tahoma"/>
                <w:sz w:val="20"/>
                <w:szCs w:val="20"/>
              </w:rPr>
            </w:pPr>
            <w:r w:rsidRPr="00A51A3E">
              <w:rPr>
                <w:rFonts w:cs="Tahoma"/>
                <w:sz w:val="20"/>
                <w:szCs w:val="20"/>
              </w:rPr>
              <w:t>12</w:t>
            </w:r>
          </w:p>
        </w:tc>
      </w:tr>
      <w:tr w:rsidR="00CD1838" w:rsidRPr="00A51A3E" w14:paraId="112C5DF0" w14:textId="77777777" w:rsidTr="0082645F">
        <w:trPr>
          <w:gridAfter w:val="1"/>
          <w:wAfter w:w="120" w:type="pct"/>
          <w:trHeight w:val="264"/>
        </w:trPr>
        <w:tc>
          <w:tcPr>
            <w:tcW w:w="370" w:type="pct"/>
            <w:tcBorders>
              <w:top w:val="single" w:sz="4" w:space="0" w:color="B1A0C7"/>
              <w:left w:val="single" w:sz="4" w:space="0" w:color="B1A0C7"/>
              <w:bottom w:val="single" w:sz="4" w:space="0" w:color="B1A0C7"/>
              <w:right w:val="nil"/>
            </w:tcBorders>
            <w:shd w:val="clear" w:color="E4DFEC" w:fill="E4DFEC"/>
            <w:noWrap/>
            <w:vAlign w:val="bottom"/>
            <w:hideMark/>
          </w:tcPr>
          <w:p w14:paraId="284B10AE" w14:textId="77777777" w:rsidR="00CD1838" w:rsidRPr="00A51A3E" w:rsidRDefault="00CD1838" w:rsidP="0082645F">
            <w:pPr>
              <w:jc w:val="right"/>
              <w:rPr>
                <w:rFonts w:cs="Tahoma"/>
                <w:sz w:val="20"/>
                <w:szCs w:val="20"/>
              </w:rPr>
            </w:pPr>
            <w:r w:rsidRPr="00A51A3E">
              <w:rPr>
                <w:rFonts w:cs="Tahoma"/>
                <w:sz w:val="20"/>
                <w:szCs w:val="20"/>
              </w:rPr>
              <w:t>120</w:t>
            </w:r>
          </w:p>
        </w:tc>
        <w:tc>
          <w:tcPr>
            <w:tcW w:w="992" w:type="pct"/>
            <w:tcBorders>
              <w:top w:val="single" w:sz="4" w:space="0" w:color="B1A0C7"/>
              <w:left w:val="nil"/>
              <w:bottom w:val="single" w:sz="4" w:space="0" w:color="B1A0C7"/>
              <w:right w:val="nil"/>
            </w:tcBorders>
            <w:shd w:val="clear" w:color="E4DFEC" w:fill="E4DFEC"/>
            <w:noWrap/>
            <w:vAlign w:val="bottom"/>
            <w:hideMark/>
          </w:tcPr>
          <w:p w14:paraId="62CBAB84" w14:textId="77777777" w:rsidR="00CD1838" w:rsidRPr="00A51A3E" w:rsidRDefault="00CD1838" w:rsidP="0082645F">
            <w:pPr>
              <w:rPr>
                <w:rFonts w:cs="Tahoma"/>
                <w:sz w:val="20"/>
                <w:szCs w:val="20"/>
              </w:rPr>
            </w:pPr>
            <w:r w:rsidRPr="00A51A3E">
              <w:rPr>
                <w:rFonts w:cs="Tahoma"/>
                <w:sz w:val="20"/>
                <w:szCs w:val="20"/>
              </w:rPr>
              <w:t>Derbyshire</w:t>
            </w:r>
          </w:p>
        </w:tc>
        <w:tc>
          <w:tcPr>
            <w:tcW w:w="841" w:type="pct"/>
            <w:tcBorders>
              <w:top w:val="single" w:sz="4" w:space="0" w:color="B1A0C7"/>
              <w:left w:val="nil"/>
              <w:bottom w:val="single" w:sz="4" w:space="0" w:color="B1A0C7"/>
              <w:right w:val="nil"/>
            </w:tcBorders>
            <w:shd w:val="clear" w:color="E4DFEC" w:fill="E4DFEC"/>
            <w:noWrap/>
            <w:vAlign w:val="bottom"/>
            <w:hideMark/>
          </w:tcPr>
          <w:p w14:paraId="3A7FCBA8" w14:textId="77777777" w:rsidR="00CD1838" w:rsidRPr="00A51A3E" w:rsidRDefault="00CD1838" w:rsidP="0082645F">
            <w:pPr>
              <w:jc w:val="right"/>
              <w:rPr>
                <w:rFonts w:cs="Tahoma"/>
                <w:sz w:val="20"/>
                <w:szCs w:val="20"/>
              </w:rPr>
            </w:pPr>
            <w:r w:rsidRPr="00A51A3E">
              <w:rPr>
                <w:rFonts w:cs="Tahoma"/>
                <w:sz w:val="20"/>
                <w:szCs w:val="20"/>
              </w:rPr>
              <w:t>86</w:t>
            </w:r>
          </w:p>
        </w:tc>
        <w:tc>
          <w:tcPr>
            <w:tcW w:w="635" w:type="pct"/>
            <w:tcBorders>
              <w:top w:val="single" w:sz="4" w:space="0" w:color="B1A0C7"/>
              <w:left w:val="nil"/>
              <w:bottom w:val="single" w:sz="4" w:space="0" w:color="B1A0C7"/>
              <w:right w:val="nil"/>
            </w:tcBorders>
            <w:shd w:val="clear" w:color="E4DFEC" w:fill="E4DFEC"/>
            <w:noWrap/>
            <w:vAlign w:val="bottom"/>
            <w:hideMark/>
          </w:tcPr>
          <w:p w14:paraId="53B4CAAA" w14:textId="77777777" w:rsidR="00CD1838" w:rsidRPr="00A51A3E" w:rsidRDefault="00CD1838" w:rsidP="0082645F">
            <w:pPr>
              <w:jc w:val="right"/>
              <w:rPr>
                <w:rFonts w:cs="Tahoma"/>
                <w:sz w:val="20"/>
                <w:szCs w:val="20"/>
              </w:rPr>
            </w:pPr>
            <w:r w:rsidRPr="00A51A3E">
              <w:rPr>
                <w:rFonts w:cs="Tahoma"/>
                <w:sz w:val="20"/>
                <w:szCs w:val="20"/>
              </w:rPr>
              <w:t>8</w:t>
            </w:r>
          </w:p>
        </w:tc>
        <w:tc>
          <w:tcPr>
            <w:tcW w:w="603" w:type="pct"/>
            <w:tcBorders>
              <w:top w:val="single" w:sz="4" w:space="0" w:color="B1A0C7"/>
              <w:left w:val="nil"/>
              <w:bottom w:val="single" w:sz="4" w:space="0" w:color="B1A0C7"/>
              <w:right w:val="nil"/>
            </w:tcBorders>
            <w:shd w:val="clear" w:color="E4DFEC" w:fill="E4DFEC"/>
            <w:noWrap/>
            <w:vAlign w:val="bottom"/>
            <w:hideMark/>
          </w:tcPr>
          <w:p w14:paraId="59CFC568" w14:textId="77777777" w:rsidR="00CD1838" w:rsidRPr="00A51A3E" w:rsidRDefault="00CD1838" w:rsidP="0082645F">
            <w:pPr>
              <w:jc w:val="right"/>
              <w:rPr>
                <w:rFonts w:cs="Tahoma"/>
                <w:sz w:val="20"/>
                <w:szCs w:val="20"/>
              </w:rPr>
            </w:pPr>
            <w:r w:rsidRPr="00A51A3E">
              <w:rPr>
                <w:rFonts w:cs="Tahoma"/>
                <w:sz w:val="20"/>
                <w:szCs w:val="20"/>
              </w:rPr>
              <w:t>24</w:t>
            </w:r>
          </w:p>
        </w:tc>
        <w:tc>
          <w:tcPr>
            <w:tcW w:w="1439" w:type="pct"/>
            <w:tcBorders>
              <w:top w:val="single" w:sz="4" w:space="0" w:color="B1A0C7"/>
              <w:left w:val="nil"/>
              <w:bottom w:val="single" w:sz="4" w:space="0" w:color="B1A0C7"/>
              <w:right w:val="single" w:sz="4" w:space="0" w:color="B1A0C7"/>
            </w:tcBorders>
            <w:shd w:val="clear" w:color="E4DFEC" w:fill="E4DFEC"/>
            <w:noWrap/>
            <w:vAlign w:val="bottom"/>
            <w:hideMark/>
          </w:tcPr>
          <w:p w14:paraId="12D504F8" w14:textId="77777777" w:rsidR="00CD1838" w:rsidRPr="00A51A3E" w:rsidRDefault="00CD1838" w:rsidP="0082645F">
            <w:pPr>
              <w:jc w:val="right"/>
              <w:rPr>
                <w:rFonts w:cs="Tahoma"/>
                <w:sz w:val="20"/>
                <w:szCs w:val="20"/>
              </w:rPr>
            </w:pPr>
            <w:r w:rsidRPr="00A51A3E">
              <w:rPr>
                <w:rFonts w:cs="Tahoma"/>
                <w:sz w:val="20"/>
                <w:szCs w:val="20"/>
              </w:rPr>
              <w:t>6</w:t>
            </w:r>
          </w:p>
        </w:tc>
      </w:tr>
      <w:tr w:rsidR="00CD1838" w:rsidRPr="00A51A3E" w14:paraId="65AAC315" w14:textId="77777777" w:rsidTr="0082645F">
        <w:trPr>
          <w:gridAfter w:val="1"/>
          <w:wAfter w:w="120" w:type="pct"/>
          <w:trHeight w:val="264"/>
        </w:trPr>
        <w:tc>
          <w:tcPr>
            <w:tcW w:w="370" w:type="pct"/>
            <w:tcBorders>
              <w:top w:val="single" w:sz="4" w:space="0" w:color="B1A0C7"/>
              <w:left w:val="single" w:sz="4" w:space="0" w:color="B1A0C7"/>
              <w:bottom w:val="single" w:sz="4" w:space="0" w:color="B1A0C7"/>
              <w:right w:val="nil"/>
            </w:tcBorders>
            <w:shd w:val="clear" w:color="auto" w:fill="auto"/>
            <w:noWrap/>
            <w:vAlign w:val="bottom"/>
            <w:hideMark/>
          </w:tcPr>
          <w:p w14:paraId="6E1C6A5F" w14:textId="77777777" w:rsidR="00CD1838" w:rsidRPr="00A51A3E" w:rsidRDefault="00CD1838" w:rsidP="0082645F">
            <w:pPr>
              <w:jc w:val="right"/>
              <w:rPr>
                <w:rFonts w:cs="Tahoma"/>
                <w:sz w:val="20"/>
                <w:szCs w:val="20"/>
              </w:rPr>
            </w:pPr>
            <w:r w:rsidRPr="00A51A3E">
              <w:rPr>
                <w:rFonts w:cs="Tahoma"/>
                <w:sz w:val="20"/>
                <w:szCs w:val="20"/>
              </w:rPr>
              <w:t>136</w:t>
            </w:r>
          </w:p>
        </w:tc>
        <w:tc>
          <w:tcPr>
            <w:tcW w:w="992" w:type="pct"/>
            <w:tcBorders>
              <w:top w:val="single" w:sz="4" w:space="0" w:color="B1A0C7"/>
              <w:left w:val="nil"/>
              <w:bottom w:val="single" w:sz="4" w:space="0" w:color="B1A0C7"/>
              <w:right w:val="nil"/>
            </w:tcBorders>
            <w:shd w:val="clear" w:color="auto" w:fill="auto"/>
            <w:noWrap/>
            <w:vAlign w:val="bottom"/>
            <w:hideMark/>
          </w:tcPr>
          <w:p w14:paraId="5329A277" w14:textId="77777777" w:rsidR="00CD1838" w:rsidRPr="00A51A3E" w:rsidRDefault="00CD1838" w:rsidP="0082645F">
            <w:pPr>
              <w:rPr>
                <w:rFonts w:cs="Tahoma"/>
                <w:sz w:val="20"/>
                <w:szCs w:val="20"/>
              </w:rPr>
            </w:pPr>
            <w:r w:rsidRPr="00A51A3E">
              <w:rPr>
                <w:rFonts w:cs="Tahoma"/>
                <w:sz w:val="20"/>
                <w:szCs w:val="20"/>
              </w:rPr>
              <w:t>Northamptonshire</w:t>
            </w:r>
          </w:p>
        </w:tc>
        <w:tc>
          <w:tcPr>
            <w:tcW w:w="841" w:type="pct"/>
            <w:tcBorders>
              <w:top w:val="single" w:sz="4" w:space="0" w:color="B1A0C7"/>
              <w:left w:val="nil"/>
              <w:bottom w:val="single" w:sz="4" w:space="0" w:color="B1A0C7"/>
              <w:right w:val="nil"/>
            </w:tcBorders>
            <w:shd w:val="clear" w:color="auto" w:fill="auto"/>
            <w:noWrap/>
            <w:vAlign w:val="bottom"/>
            <w:hideMark/>
          </w:tcPr>
          <w:p w14:paraId="7F4A950E" w14:textId="77777777" w:rsidR="00CD1838" w:rsidRPr="00A51A3E" w:rsidRDefault="00CD1838" w:rsidP="0082645F">
            <w:pPr>
              <w:jc w:val="right"/>
              <w:rPr>
                <w:rFonts w:cs="Tahoma"/>
                <w:sz w:val="20"/>
                <w:szCs w:val="20"/>
              </w:rPr>
            </w:pPr>
            <w:r w:rsidRPr="00A51A3E">
              <w:rPr>
                <w:rFonts w:cs="Tahoma"/>
                <w:sz w:val="20"/>
                <w:szCs w:val="20"/>
              </w:rPr>
              <w:t>82</w:t>
            </w:r>
          </w:p>
        </w:tc>
        <w:tc>
          <w:tcPr>
            <w:tcW w:w="635" w:type="pct"/>
            <w:tcBorders>
              <w:top w:val="single" w:sz="4" w:space="0" w:color="B1A0C7"/>
              <w:left w:val="nil"/>
              <w:bottom w:val="single" w:sz="4" w:space="0" w:color="B1A0C7"/>
              <w:right w:val="nil"/>
            </w:tcBorders>
            <w:shd w:val="clear" w:color="auto" w:fill="auto"/>
            <w:noWrap/>
            <w:vAlign w:val="bottom"/>
            <w:hideMark/>
          </w:tcPr>
          <w:p w14:paraId="6B453484" w14:textId="77777777" w:rsidR="00CD1838" w:rsidRPr="00A51A3E" w:rsidRDefault="00CD1838" w:rsidP="0082645F">
            <w:pPr>
              <w:jc w:val="right"/>
              <w:rPr>
                <w:rFonts w:cs="Tahoma"/>
                <w:sz w:val="20"/>
                <w:szCs w:val="20"/>
              </w:rPr>
            </w:pPr>
            <w:r w:rsidRPr="00A51A3E">
              <w:rPr>
                <w:rFonts w:cs="Tahoma"/>
                <w:sz w:val="20"/>
                <w:szCs w:val="20"/>
              </w:rPr>
              <w:t>8</w:t>
            </w:r>
          </w:p>
        </w:tc>
        <w:tc>
          <w:tcPr>
            <w:tcW w:w="603" w:type="pct"/>
            <w:tcBorders>
              <w:top w:val="single" w:sz="4" w:space="0" w:color="B1A0C7"/>
              <w:left w:val="nil"/>
              <w:bottom w:val="single" w:sz="4" w:space="0" w:color="B1A0C7"/>
              <w:right w:val="nil"/>
            </w:tcBorders>
            <w:shd w:val="clear" w:color="auto" w:fill="auto"/>
            <w:noWrap/>
            <w:vAlign w:val="bottom"/>
            <w:hideMark/>
          </w:tcPr>
          <w:p w14:paraId="58FCA4A9" w14:textId="77777777" w:rsidR="00CD1838" w:rsidRPr="00A51A3E" w:rsidRDefault="00CD1838" w:rsidP="0082645F">
            <w:pPr>
              <w:jc w:val="right"/>
              <w:rPr>
                <w:rFonts w:cs="Tahoma"/>
                <w:sz w:val="20"/>
                <w:szCs w:val="20"/>
              </w:rPr>
            </w:pPr>
            <w:r w:rsidRPr="00A51A3E">
              <w:rPr>
                <w:rFonts w:cs="Tahoma"/>
                <w:sz w:val="20"/>
                <w:szCs w:val="20"/>
              </w:rPr>
              <w:t>23</w:t>
            </w:r>
          </w:p>
        </w:tc>
        <w:tc>
          <w:tcPr>
            <w:tcW w:w="1439" w:type="pct"/>
            <w:tcBorders>
              <w:top w:val="single" w:sz="4" w:space="0" w:color="B1A0C7"/>
              <w:left w:val="nil"/>
              <w:bottom w:val="single" w:sz="4" w:space="0" w:color="B1A0C7"/>
              <w:right w:val="single" w:sz="4" w:space="0" w:color="B1A0C7"/>
            </w:tcBorders>
            <w:shd w:val="clear" w:color="auto" w:fill="auto"/>
            <w:noWrap/>
            <w:vAlign w:val="bottom"/>
            <w:hideMark/>
          </w:tcPr>
          <w:p w14:paraId="6F45D935" w14:textId="77777777" w:rsidR="00CD1838" w:rsidRPr="00A51A3E" w:rsidRDefault="00CD1838" w:rsidP="0082645F">
            <w:pPr>
              <w:jc w:val="right"/>
              <w:rPr>
                <w:rFonts w:cs="Tahoma"/>
                <w:sz w:val="20"/>
                <w:szCs w:val="20"/>
              </w:rPr>
            </w:pPr>
            <w:r w:rsidRPr="00A51A3E">
              <w:rPr>
                <w:rFonts w:cs="Tahoma"/>
                <w:sz w:val="20"/>
                <w:szCs w:val="20"/>
              </w:rPr>
              <w:t>47</w:t>
            </w:r>
          </w:p>
        </w:tc>
      </w:tr>
      <w:tr w:rsidR="00CD1838" w:rsidRPr="00A51A3E" w14:paraId="2018AAC6" w14:textId="77777777" w:rsidTr="0082645F">
        <w:trPr>
          <w:gridAfter w:val="1"/>
          <w:wAfter w:w="120" w:type="pct"/>
          <w:trHeight w:val="264"/>
        </w:trPr>
        <w:tc>
          <w:tcPr>
            <w:tcW w:w="370" w:type="pct"/>
            <w:tcBorders>
              <w:top w:val="single" w:sz="4" w:space="0" w:color="B1A0C7"/>
              <w:left w:val="single" w:sz="4" w:space="0" w:color="B1A0C7"/>
              <w:bottom w:val="single" w:sz="4" w:space="0" w:color="B1A0C7"/>
              <w:right w:val="nil"/>
            </w:tcBorders>
            <w:shd w:val="clear" w:color="E4DFEC" w:fill="E4DFEC"/>
            <w:noWrap/>
            <w:vAlign w:val="bottom"/>
            <w:hideMark/>
          </w:tcPr>
          <w:p w14:paraId="630AEE25" w14:textId="77777777" w:rsidR="00CD1838" w:rsidRPr="00A51A3E" w:rsidRDefault="00CD1838" w:rsidP="0082645F">
            <w:pPr>
              <w:jc w:val="right"/>
              <w:rPr>
                <w:rFonts w:cs="Tahoma"/>
                <w:sz w:val="20"/>
                <w:szCs w:val="20"/>
              </w:rPr>
            </w:pPr>
            <w:r w:rsidRPr="00A51A3E">
              <w:rPr>
                <w:rFonts w:cs="Tahoma"/>
                <w:sz w:val="20"/>
                <w:szCs w:val="20"/>
              </w:rPr>
              <w:t>139</w:t>
            </w:r>
          </w:p>
        </w:tc>
        <w:tc>
          <w:tcPr>
            <w:tcW w:w="992" w:type="pct"/>
            <w:tcBorders>
              <w:top w:val="single" w:sz="4" w:space="0" w:color="B1A0C7"/>
              <w:left w:val="nil"/>
              <w:bottom w:val="single" w:sz="4" w:space="0" w:color="B1A0C7"/>
              <w:right w:val="nil"/>
            </w:tcBorders>
            <w:shd w:val="clear" w:color="E4DFEC" w:fill="E4DFEC"/>
            <w:noWrap/>
            <w:vAlign w:val="bottom"/>
            <w:hideMark/>
          </w:tcPr>
          <w:p w14:paraId="355EE266" w14:textId="77777777" w:rsidR="00CD1838" w:rsidRPr="00A51A3E" w:rsidRDefault="00CD1838" w:rsidP="0082645F">
            <w:pPr>
              <w:rPr>
                <w:rFonts w:cs="Tahoma"/>
                <w:sz w:val="20"/>
                <w:szCs w:val="20"/>
              </w:rPr>
            </w:pPr>
            <w:r w:rsidRPr="00A51A3E">
              <w:rPr>
                <w:rFonts w:cs="Tahoma"/>
                <w:sz w:val="20"/>
                <w:szCs w:val="20"/>
              </w:rPr>
              <w:t>Nottingham</w:t>
            </w:r>
          </w:p>
        </w:tc>
        <w:tc>
          <w:tcPr>
            <w:tcW w:w="841" w:type="pct"/>
            <w:tcBorders>
              <w:top w:val="single" w:sz="4" w:space="0" w:color="B1A0C7"/>
              <w:left w:val="nil"/>
              <w:bottom w:val="single" w:sz="4" w:space="0" w:color="B1A0C7"/>
              <w:right w:val="nil"/>
            </w:tcBorders>
            <w:shd w:val="clear" w:color="E4DFEC" w:fill="E4DFEC"/>
            <w:noWrap/>
            <w:vAlign w:val="bottom"/>
            <w:hideMark/>
          </w:tcPr>
          <w:p w14:paraId="14203E8C" w14:textId="77777777" w:rsidR="00CD1838" w:rsidRPr="00A51A3E" w:rsidRDefault="00CD1838" w:rsidP="0082645F">
            <w:pPr>
              <w:jc w:val="right"/>
              <w:rPr>
                <w:rFonts w:cs="Tahoma"/>
                <w:sz w:val="20"/>
                <w:szCs w:val="20"/>
              </w:rPr>
            </w:pPr>
            <w:r w:rsidRPr="00A51A3E">
              <w:rPr>
                <w:rFonts w:cs="Tahoma"/>
                <w:sz w:val="20"/>
                <w:szCs w:val="20"/>
              </w:rPr>
              <w:t>80</w:t>
            </w:r>
          </w:p>
        </w:tc>
        <w:tc>
          <w:tcPr>
            <w:tcW w:w="635" w:type="pct"/>
            <w:tcBorders>
              <w:top w:val="single" w:sz="4" w:space="0" w:color="B1A0C7"/>
              <w:left w:val="nil"/>
              <w:bottom w:val="single" w:sz="4" w:space="0" w:color="B1A0C7"/>
              <w:right w:val="nil"/>
            </w:tcBorders>
            <w:shd w:val="clear" w:color="E4DFEC" w:fill="E4DFEC"/>
            <w:noWrap/>
            <w:vAlign w:val="bottom"/>
            <w:hideMark/>
          </w:tcPr>
          <w:p w14:paraId="340C2C05" w14:textId="77777777" w:rsidR="00CD1838" w:rsidRPr="00A51A3E" w:rsidRDefault="00CD1838" w:rsidP="0082645F">
            <w:pPr>
              <w:jc w:val="right"/>
              <w:rPr>
                <w:rFonts w:cs="Tahoma"/>
                <w:sz w:val="20"/>
                <w:szCs w:val="20"/>
              </w:rPr>
            </w:pPr>
            <w:r w:rsidRPr="00A51A3E">
              <w:rPr>
                <w:rFonts w:cs="Tahoma"/>
                <w:sz w:val="20"/>
                <w:szCs w:val="20"/>
              </w:rPr>
              <w:t>5</w:t>
            </w:r>
          </w:p>
        </w:tc>
        <w:tc>
          <w:tcPr>
            <w:tcW w:w="603" w:type="pct"/>
            <w:tcBorders>
              <w:top w:val="single" w:sz="4" w:space="0" w:color="B1A0C7"/>
              <w:left w:val="nil"/>
              <w:bottom w:val="single" w:sz="4" w:space="0" w:color="B1A0C7"/>
              <w:right w:val="nil"/>
            </w:tcBorders>
            <w:shd w:val="clear" w:color="E4DFEC" w:fill="E4DFEC"/>
            <w:noWrap/>
            <w:vAlign w:val="bottom"/>
            <w:hideMark/>
          </w:tcPr>
          <w:p w14:paraId="52018745" w14:textId="77777777" w:rsidR="00CD1838" w:rsidRPr="00A51A3E" w:rsidRDefault="00CD1838" w:rsidP="0082645F">
            <w:pPr>
              <w:jc w:val="right"/>
              <w:rPr>
                <w:rFonts w:cs="Tahoma"/>
                <w:sz w:val="20"/>
                <w:szCs w:val="20"/>
              </w:rPr>
            </w:pPr>
            <w:r w:rsidRPr="00A51A3E">
              <w:rPr>
                <w:rFonts w:cs="Tahoma"/>
                <w:sz w:val="20"/>
                <w:szCs w:val="20"/>
              </w:rPr>
              <w:t>9</w:t>
            </w:r>
          </w:p>
        </w:tc>
        <w:tc>
          <w:tcPr>
            <w:tcW w:w="1439" w:type="pct"/>
            <w:tcBorders>
              <w:top w:val="single" w:sz="4" w:space="0" w:color="B1A0C7"/>
              <w:left w:val="nil"/>
              <w:bottom w:val="single" w:sz="4" w:space="0" w:color="B1A0C7"/>
              <w:right w:val="single" w:sz="4" w:space="0" w:color="B1A0C7"/>
            </w:tcBorders>
            <w:shd w:val="clear" w:color="E4DFEC" w:fill="E4DFEC"/>
            <w:noWrap/>
            <w:vAlign w:val="bottom"/>
            <w:hideMark/>
          </w:tcPr>
          <w:p w14:paraId="1FAF3889" w14:textId="77777777" w:rsidR="00CD1838" w:rsidRPr="00A51A3E" w:rsidRDefault="00CD1838" w:rsidP="0082645F">
            <w:pPr>
              <w:jc w:val="right"/>
              <w:rPr>
                <w:rFonts w:cs="Tahoma"/>
                <w:sz w:val="20"/>
                <w:szCs w:val="20"/>
              </w:rPr>
            </w:pPr>
            <w:r w:rsidRPr="00A51A3E">
              <w:rPr>
                <w:rFonts w:cs="Tahoma"/>
                <w:sz w:val="20"/>
                <w:szCs w:val="20"/>
              </w:rPr>
              <w:t>48</w:t>
            </w:r>
          </w:p>
        </w:tc>
      </w:tr>
      <w:tr w:rsidR="00CD1838" w:rsidRPr="00A51A3E" w14:paraId="5FBFA3CC" w14:textId="77777777" w:rsidTr="0082645F">
        <w:trPr>
          <w:gridAfter w:val="1"/>
          <w:wAfter w:w="120" w:type="pct"/>
          <w:trHeight w:val="264"/>
        </w:trPr>
        <w:tc>
          <w:tcPr>
            <w:tcW w:w="370" w:type="pct"/>
            <w:tcBorders>
              <w:top w:val="single" w:sz="4" w:space="0" w:color="B1A0C7"/>
              <w:left w:val="single" w:sz="4" w:space="0" w:color="B1A0C7"/>
              <w:bottom w:val="single" w:sz="4" w:space="0" w:color="B1A0C7"/>
              <w:right w:val="nil"/>
            </w:tcBorders>
            <w:shd w:val="clear" w:color="auto" w:fill="auto"/>
            <w:noWrap/>
            <w:vAlign w:val="bottom"/>
            <w:hideMark/>
          </w:tcPr>
          <w:p w14:paraId="6D5C40F3" w14:textId="77777777" w:rsidR="00CD1838" w:rsidRPr="00A51A3E" w:rsidRDefault="00CD1838" w:rsidP="0082645F">
            <w:pPr>
              <w:jc w:val="right"/>
              <w:rPr>
                <w:rFonts w:cs="Tahoma"/>
                <w:sz w:val="20"/>
                <w:szCs w:val="20"/>
              </w:rPr>
            </w:pPr>
            <w:r w:rsidRPr="00A51A3E">
              <w:rPr>
                <w:rFonts w:cs="Tahoma"/>
                <w:sz w:val="20"/>
                <w:szCs w:val="20"/>
              </w:rPr>
              <w:t>142</w:t>
            </w:r>
          </w:p>
        </w:tc>
        <w:tc>
          <w:tcPr>
            <w:tcW w:w="992" w:type="pct"/>
            <w:tcBorders>
              <w:top w:val="single" w:sz="4" w:space="0" w:color="B1A0C7"/>
              <w:left w:val="nil"/>
              <w:bottom w:val="single" w:sz="4" w:space="0" w:color="B1A0C7"/>
              <w:right w:val="nil"/>
            </w:tcBorders>
            <w:shd w:val="clear" w:color="auto" w:fill="auto"/>
            <w:noWrap/>
            <w:vAlign w:val="bottom"/>
            <w:hideMark/>
          </w:tcPr>
          <w:p w14:paraId="07348E03" w14:textId="77777777" w:rsidR="00CD1838" w:rsidRPr="00A51A3E" w:rsidRDefault="00CD1838" w:rsidP="0082645F">
            <w:pPr>
              <w:rPr>
                <w:rFonts w:cs="Tahoma"/>
                <w:sz w:val="20"/>
                <w:szCs w:val="20"/>
              </w:rPr>
            </w:pPr>
            <w:r w:rsidRPr="00A51A3E">
              <w:rPr>
                <w:rFonts w:cs="Tahoma"/>
                <w:sz w:val="20"/>
                <w:szCs w:val="20"/>
              </w:rPr>
              <w:t>Derby</w:t>
            </w:r>
          </w:p>
        </w:tc>
        <w:tc>
          <w:tcPr>
            <w:tcW w:w="841" w:type="pct"/>
            <w:tcBorders>
              <w:top w:val="single" w:sz="4" w:space="0" w:color="B1A0C7"/>
              <w:left w:val="nil"/>
              <w:bottom w:val="single" w:sz="4" w:space="0" w:color="B1A0C7"/>
              <w:right w:val="nil"/>
            </w:tcBorders>
            <w:shd w:val="clear" w:color="auto" w:fill="auto"/>
            <w:noWrap/>
            <w:vAlign w:val="bottom"/>
            <w:hideMark/>
          </w:tcPr>
          <w:p w14:paraId="0638B394" w14:textId="77777777" w:rsidR="00CD1838" w:rsidRPr="00A51A3E" w:rsidRDefault="00CD1838" w:rsidP="0082645F">
            <w:pPr>
              <w:jc w:val="right"/>
              <w:rPr>
                <w:rFonts w:cs="Tahoma"/>
                <w:sz w:val="20"/>
                <w:szCs w:val="20"/>
              </w:rPr>
            </w:pPr>
            <w:r w:rsidRPr="00A51A3E">
              <w:rPr>
                <w:rFonts w:cs="Tahoma"/>
                <w:sz w:val="20"/>
                <w:szCs w:val="20"/>
              </w:rPr>
              <w:t>78</w:t>
            </w:r>
          </w:p>
        </w:tc>
        <w:tc>
          <w:tcPr>
            <w:tcW w:w="635" w:type="pct"/>
            <w:tcBorders>
              <w:top w:val="single" w:sz="4" w:space="0" w:color="B1A0C7"/>
              <w:left w:val="nil"/>
              <w:bottom w:val="single" w:sz="4" w:space="0" w:color="B1A0C7"/>
              <w:right w:val="nil"/>
            </w:tcBorders>
            <w:shd w:val="clear" w:color="auto" w:fill="auto"/>
            <w:noWrap/>
            <w:vAlign w:val="bottom"/>
            <w:hideMark/>
          </w:tcPr>
          <w:p w14:paraId="484DE7DE" w14:textId="77777777" w:rsidR="00CD1838" w:rsidRPr="00A51A3E" w:rsidRDefault="00CD1838" w:rsidP="0082645F">
            <w:pPr>
              <w:jc w:val="right"/>
              <w:rPr>
                <w:rFonts w:cs="Tahoma"/>
                <w:sz w:val="20"/>
                <w:szCs w:val="20"/>
              </w:rPr>
            </w:pPr>
            <w:r w:rsidRPr="00A51A3E">
              <w:rPr>
                <w:rFonts w:cs="Tahoma"/>
                <w:sz w:val="20"/>
                <w:szCs w:val="20"/>
              </w:rPr>
              <w:t>6</w:t>
            </w:r>
          </w:p>
        </w:tc>
        <w:tc>
          <w:tcPr>
            <w:tcW w:w="603" w:type="pct"/>
            <w:tcBorders>
              <w:top w:val="single" w:sz="4" w:space="0" w:color="B1A0C7"/>
              <w:left w:val="nil"/>
              <w:bottom w:val="single" w:sz="4" w:space="0" w:color="B1A0C7"/>
              <w:right w:val="nil"/>
            </w:tcBorders>
            <w:shd w:val="clear" w:color="auto" w:fill="auto"/>
            <w:noWrap/>
            <w:vAlign w:val="bottom"/>
            <w:hideMark/>
          </w:tcPr>
          <w:p w14:paraId="6FC504D7" w14:textId="77777777" w:rsidR="00CD1838" w:rsidRPr="00A51A3E" w:rsidRDefault="00CD1838" w:rsidP="0082645F">
            <w:pPr>
              <w:jc w:val="right"/>
              <w:rPr>
                <w:rFonts w:cs="Tahoma"/>
                <w:sz w:val="20"/>
                <w:szCs w:val="20"/>
              </w:rPr>
            </w:pPr>
            <w:r w:rsidRPr="00A51A3E">
              <w:rPr>
                <w:rFonts w:cs="Tahoma"/>
                <w:sz w:val="20"/>
                <w:szCs w:val="20"/>
              </w:rPr>
              <w:t>35</w:t>
            </w:r>
          </w:p>
        </w:tc>
        <w:tc>
          <w:tcPr>
            <w:tcW w:w="1439" w:type="pct"/>
            <w:tcBorders>
              <w:top w:val="single" w:sz="4" w:space="0" w:color="B1A0C7"/>
              <w:left w:val="nil"/>
              <w:bottom w:val="single" w:sz="4" w:space="0" w:color="B1A0C7"/>
              <w:right w:val="single" w:sz="4" w:space="0" w:color="B1A0C7"/>
            </w:tcBorders>
            <w:shd w:val="clear" w:color="auto" w:fill="auto"/>
            <w:noWrap/>
            <w:vAlign w:val="bottom"/>
            <w:hideMark/>
          </w:tcPr>
          <w:p w14:paraId="74579A19" w14:textId="77777777" w:rsidR="00CD1838" w:rsidRPr="00A51A3E" w:rsidRDefault="00CD1838" w:rsidP="0082645F">
            <w:pPr>
              <w:jc w:val="right"/>
              <w:rPr>
                <w:rFonts w:cs="Tahoma"/>
                <w:sz w:val="20"/>
                <w:szCs w:val="20"/>
              </w:rPr>
            </w:pPr>
            <w:r w:rsidRPr="00A51A3E">
              <w:rPr>
                <w:rFonts w:cs="Tahoma"/>
                <w:sz w:val="20"/>
                <w:szCs w:val="20"/>
              </w:rPr>
              <w:t>11</w:t>
            </w:r>
          </w:p>
        </w:tc>
      </w:tr>
      <w:tr w:rsidR="00CD1838" w:rsidRPr="00A51A3E" w14:paraId="65F14955" w14:textId="77777777" w:rsidTr="0082645F">
        <w:trPr>
          <w:gridAfter w:val="1"/>
          <w:wAfter w:w="120" w:type="pct"/>
          <w:trHeight w:val="264"/>
        </w:trPr>
        <w:tc>
          <w:tcPr>
            <w:tcW w:w="370" w:type="pct"/>
            <w:tcBorders>
              <w:top w:val="single" w:sz="4" w:space="0" w:color="B1A0C7"/>
              <w:left w:val="single" w:sz="4" w:space="0" w:color="B1A0C7"/>
              <w:bottom w:val="single" w:sz="4" w:space="0" w:color="B1A0C7"/>
              <w:right w:val="nil"/>
            </w:tcBorders>
            <w:shd w:val="clear" w:color="E4DFEC" w:fill="E4DFEC"/>
            <w:noWrap/>
            <w:vAlign w:val="bottom"/>
            <w:hideMark/>
          </w:tcPr>
          <w:p w14:paraId="55FBA68B" w14:textId="77777777" w:rsidR="00CD1838" w:rsidRPr="00A51A3E" w:rsidRDefault="00CD1838" w:rsidP="0082645F">
            <w:pPr>
              <w:jc w:val="right"/>
              <w:rPr>
                <w:rFonts w:cs="Tahoma"/>
                <w:sz w:val="20"/>
                <w:szCs w:val="20"/>
              </w:rPr>
            </w:pPr>
            <w:r w:rsidRPr="00A51A3E">
              <w:rPr>
                <w:rFonts w:cs="Tahoma"/>
                <w:sz w:val="20"/>
                <w:szCs w:val="20"/>
              </w:rPr>
              <w:t>145</w:t>
            </w:r>
          </w:p>
        </w:tc>
        <w:tc>
          <w:tcPr>
            <w:tcW w:w="992" w:type="pct"/>
            <w:tcBorders>
              <w:top w:val="single" w:sz="4" w:space="0" w:color="B1A0C7"/>
              <w:left w:val="nil"/>
              <w:bottom w:val="single" w:sz="4" w:space="0" w:color="B1A0C7"/>
              <w:right w:val="nil"/>
            </w:tcBorders>
            <w:shd w:val="clear" w:color="E4DFEC" w:fill="E4DFEC"/>
            <w:noWrap/>
            <w:vAlign w:val="bottom"/>
            <w:hideMark/>
          </w:tcPr>
          <w:p w14:paraId="32310FBE" w14:textId="77777777" w:rsidR="00CD1838" w:rsidRPr="00A51A3E" w:rsidRDefault="00CD1838" w:rsidP="0082645F">
            <w:pPr>
              <w:rPr>
                <w:rFonts w:cs="Tahoma"/>
                <w:sz w:val="20"/>
                <w:szCs w:val="20"/>
              </w:rPr>
            </w:pPr>
            <w:r w:rsidRPr="00A51A3E">
              <w:rPr>
                <w:rFonts w:cs="Tahoma"/>
                <w:sz w:val="20"/>
                <w:szCs w:val="20"/>
              </w:rPr>
              <w:t>Rutland</w:t>
            </w:r>
          </w:p>
        </w:tc>
        <w:tc>
          <w:tcPr>
            <w:tcW w:w="841" w:type="pct"/>
            <w:tcBorders>
              <w:top w:val="single" w:sz="4" w:space="0" w:color="B1A0C7"/>
              <w:left w:val="nil"/>
              <w:bottom w:val="single" w:sz="4" w:space="0" w:color="B1A0C7"/>
              <w:right w:val="nil"/>
            </w:tcBorders>
            <w:shd w:val="clear" w:color="E4DFEC" w:fill="E4DFEC"/>
            <w:noWrap/>
            <w:vAlign w:val="bottom"/>
            <w:hideMark/>
          </w:tcPr>
          <w:p w14:paraId="1F35BF6C" w14:textId="77777777" w:rsidR="00CD1838" w:rsidRPr="00A51A3E" w:rsidRDefault="00CD1838" w:rsidP="0082645F">
            <w:pPr>
              <w:jc w:val="right"/>
              <w:rPr>
                <w:rFonts w:cs="Tahoma"/>
                <w:sz w:val="20"/>
                <w:szCs w:val="20"/>
              </w:rPr>
            </w:pPr>
            <w:r w:rsidRPr="00A51A3E">
              <w:rPr>
                <w:rFonts w:cs="Tahoma"/>
                <w:sz w:val="20"/>
                <w:szCs w:val="20"/>
              </w:rPr>
              <w:t>76</w:t>
            </w:r>
          </w:p>
        </w:tc>
        <w:tc>
          <w:tcPr>
            <w:tcW w:w="635" w:type="pct"/>
            <w:tcBorders>
              <w:top w:val="single" w:sz="4" w:space="0" w:color="B1A0C7"/>
              <w:left w:val="nil"/>
              <w:bottom w:val="single" w:sz="4" w:space="0" w:color="B1A0C7"/>
              <w:right w:val="nil"/>
            </w:tcBorders>
            <w:shd w:val="clear" w:color="E4DFEC" w:fill="E4DFEC"/>
            <w:noWrap/>
            <w:vAlign w:val="bottom"/>
            <w:hideMark/>
          </w:tcPr>
          <w:p w14:paraId="6BFD4C14" w14:textId="77777777" w:rsidR="00CD1838" w:rsidRPr="00A51A3E" w:rsidRDefault="00CD1838" w:rsidP="0082645F">
            <w:pPr>
              <w:jc w:val="right"/>
              <w:rPr>
                <w:rFonts w:cs="Tahoma"/>
                <w:sz w:val="20"/>
                <w:szCs w:val="20"/>
              </w:rPr>
            </w:pPr>
            <w:r w:rsidRPr="00A51A3E">
              <w:rPr>
                <w:rFonts w:cs="Tahoma"/>
                <w:sz w:val="20"/>
                <w:szCs w:val="20"/>
              </w:rPr>
              <w:t>-12</w:t>
            </w:r>
          </w:p>
        </w:tc>
        <w:tc>
          <w:tcPr>
            <w:tcW w:w="603" w:type="pct"/>
            <w:tcBorders>
              <w:top w:val="single" w:sz="4" w:space="0" w:color="B1A0C7"/>
              <w:left w:val="nil"/>
              <w:bottom w:val="single" w:sz="4" w:space="0" w:color="B1A0C7"/>
              <w:right w:val="nil"/>
            </w:tcBorders>
            <w:shd w:val="clear" w:color="E4DFEC" w:fill="E4DFEC"/>
            <w:noWrap/>
            <w:vAlign w:val="bottom"/>
            <w:hideMark/>
          </w:tcPr>
          <w:p w14:paraId="6F5C7DCB" w14:textId="77777777" w:rsidR="00CD1838" w:rsidRPr="00A51A3E" w:rsidRDefault="00CD1838" w:rsidP="0082645F">
            <w:pPr>
              <w:jc w:val="right"/>
              <w:rPr>
                <w:rFonts w:cs="Tahoma"/>
                <w:sz w:val="20"/>
                <w:szCs w:val="20"/>
              </w:rPr>
            </w:pPr>
            <w:r w:rsidRPr="00A51A3E">
              <w:rPr>
                <w:rFonts w:cs="Tahoma"/>
                <w:sz w:val="20"/>
                <w:szCs w:val="20"/>
              </w:rPr>
              <w:t>0</w:t>
            </w:r>
          </w:p>
        </w:tc>
        <w:tc>
          <w:tcPr>
            <w:tcW w:w="1439" w:type="pct"/>
            <w:tcBorders>
              <w:top w:val="single" w:sz="4" w:space="0" w:color="B1A0C7"/>
              <w:left w:val="nil"/>
              <w:bottom w:val="single" w:sz="4" w:space="0" w:color="B1A0C7"/>
              <w:right w:val="single" w:sz="4" w:space="0" w:color="B1A0C7"/>
            </w:tcBorders>
            <w:shd w:val="clear" w:color="E4DFEC" w:fill="E4DFEC"/>
            <w:noWrap/>
            <w:vAlign w:val="bottom"/>
            <w:hideMark/>
          </w:tcPr>
          <w:p w14:paraId="4A52CF8E" w14:textId="77777777" w:rsidR="00CD1838" w:rsidRPr="00A51A3E" w:rsidRDefault="00CD1838" w:rsidP="0082645F">
            <w:pPr>
              <w:jc w:val="right"/>
              <w:rPr>
                <w:rFonts w:cs="Tahoma"/>
                <w:sz w:val="20"/>
                <w:szCs w:val="20"/>
              </w:rPr>
            </w:pPr>
            <w:r w:rsidRPr="00A51A3E">
              <w:rPr>
                <w:rFonts w:cs="Tahoma"/>
                <w:sz w:val="20"/>
                <w:szCs w:val="20"/>
              </w:rPr>
              <w:t>71</w:t>
            </w:r>
          </w:p>
        </w:tc>
      </w:tr>
      <w:tr w:rsidR="00CD1838" w:rsidRPr="00A51A3E" w14:paraId="7CDA9C18" w14:textId="77777777" w:rsidTr="0082645F">
        <w:trPr>
          <w:gridAfter w:val="1"/>
          <w:wAfter w:w="120" w:type="pct"/>
          <w:trHeight w:val="264"/>
        </w:trPr>
        <w:tc>
          <w:tcPr>
            <w:tcW w:w="370" w:type="pct"/>
            <w:tcBorders>
              <w:top w:val="nil"/>
              <w:left w:val="nil"/>
              <w:bottom w:val="nil"/>
              <w:right w:val="nil"/>
            </w:tcBorders>
            <w:shd w:val="clear" w:color="auto" w:fill="auto"/>
            <w:noWrap/>
            <w:vAlign w:val="bottom"/>
            <w:hideMark/>
          </w:tcPr>
          <w:p w14:paraId="74973E68" w14:textId="77777777" w:rsidR="00CD1838" w:rsidRPr="00A51A3E" w:rsidRDefault="00CD1838" w:rsidP="0082645F">
            <w:pPr>
              <w:jc w:val="right"/>
              <w:rPr>
                <w:rFonts w:cs="Tahoma"/>
                <w:sz w:val="20"/>
                <w:szCs w:val="20"/>
              </w:rPr>
            </w:pPr>
          </w:p>
        </w:tc>
        <w:tc>
          <w:tcPr>
            <w:tcW w:w="992" w:type="pct"/>
            <w:tcBorders>
              <w:top w:val="nil"/>
              <w:left w:val="nil"/>
              <w:bottom w:val="nil"/>
              <w:right w:val="nil"/>
            </w:tcBorders>
            <w:shd w:val="clear" w:color="auto" w:fill="auto"/>
            <w:noWrap/>
            <w:vAlign w:val="bottom"/>
            <w:hideMark/>
          </w:tcPr>
          <w:p w14:paraId="694217A3" w14:textId="77777777" w:rsidR="00CD1838" w:rsidRPr="00A51A3E" w:rsidRDefault="00CD1838" w:rsidP="0082645F">
            <w:pPr>
              <w:rPr>
                <w:sz w:val="20"/>
                <w:szCs w:val="20"/>
              </w:rPr>
            </w:pPr>
          </w:p>
        </w:tc>
        <w:tc>
          <w:tcPr>
            <w:tcW w:w="841" w:type="pct"/>
            <w:tcBorders>
              <w:top w:val="nil"/>
              <w:left w:val="nil"/>
              <w:bottom w:val="nil"/>
              <w:right w:val="nil"/>
            </w:tcBorders>
            <w:shd w:val="clear" w:color="auto" w:fill="auto"/>
            <w:noWrap/>
            <w:vAlign w:val="bottom"/>
            <w:hideMark/>
          </w:tcPr>
          <w:p w14:paraId="2791ABCC" w14:textId="77777777" w:rsidR="00CD1838" w:rsidRPr="00A51A3E" w:rsidRDefault="00CD1838" w:rsidP="0082645F">
            <w:pPr>
              <w:rPr>
                <w:sz w:val="20"/>
                <w:szCs w:val="20"/>
              </w:rPr>
            </w:pPr>
          </w:p>
        </w:tc>
        <w:tc>
          <w:tcPr>
            <w:tcW w:w="635" w:type="pct"/>
            <w:tcBorders>
              <w:top w:val="nil"/>
              <w:left w:val="nil"/>
              <w:bottom w:val="nil"/>
              <w:right w:val="nil"/>
            </w:tcBorders>
            <w:shd w:val="clear" w:color="auto" w:fill="auto"/>
            <w:noWrap/>
            <w:vAlign w:val="bottom"/>
            <w:hideMark/>
          </w:tcPr>
          <w:p w14:paraId="1A7873F3" w14:textId="77777777" w:rsidR="00CD1838" w:rsidRPr="00A51A3E" w:rsidRDefault="00CD1838" w:rsidP="0082645F">
            <w:pPr>
              <w:rPr>
                <w:sz w:val="20"/>
                <w:szCs w:val="20"/>
              </w:rPr>
            </w:pPr>
          </w:p>
        </w:tc>
        <w:tc>
          <w:tcPr>
            <w:tcW w:w="603" w:type="pct"/>
            <w:tcBorders>
              <w:top w:val="nil"/>
              <w:left w:val="nil"/>
              <w:bottom w:val="nil"/>
              <w:right w:val="nil"/>
            </w:tcBorders>
            <w:shd w:val="clear" w:color="auto" w:fill="auto"/>
            <w:noWrap/>
            <w:vAlign w:val="bottom"/>
            <w:hideMark/>
          </w:tcPr>
          <w:p w14:paraId="1A04E5A8" w14:textId="77777777" w:rsidR="00CD1838" w:rsidRPr="00A51A3E" w:rsidRDefault="00CD1838" w:rsidP="0082645F">
            <w:pPr>
              <w:rPr>
                <w:sz w:val="20"/>
                <w:szCs w:val="20"/>
              </w:rPr>
            </w:pPr>
          </w:p>
        </w:tc>
        <w:tc>
          <w:tcPr>
            <w:tcW w:w="1439" w:type="pct"/>
            <w:tcBorders>
              <w:top w:val="nil"/>
              <w:left w:val="nil"/>
              <w:bottom w:val="nil"/>
              <w:right w:val="nil"/>
            </w:tcBorders>
            <w:shd w:val="clear" w:color="auto" w:fill="auto"/>
            <w:noWrap/>
            <w:vAlign w:val="bottom"/>
            <w:hideMark/>
          </w:tcPr>
          <w:p w14:paraId="48EB103C" w14:textId="77777777" w:rsidR="00CD1838" w:rsidRPr="00A51A3E" w:rsidRDefault="00CD1838" w:rsidP="0082645F">
            <w:pPr>
              <w:rPr>
                <w:sz w:val="20"/>
                <w:szCs w:val="20"/>
              </w:rPr>
            </w:pPr>
          </w:p>
        </w:tc>
      </w:tr>
      <w:tr w:rsidR="00CD1838" w:rsidRPr="00A51A3E" w14:paraId="44F39E82" w14:textId="77777777" w:rsidTr="0082645F">
        <w:trPr>
          <w:gridAfter w:val="1"/>
          <w:wAfter w:w="120" w:type="pct"/>
          <w:trHeight w:val="264"/>
        </w:trPr>
        <w:tc>
          <w:tcPr>
            <w:tcW w:w="370" w:type="pct"/>
            <w:tcBorders>
              <w:top w:val="nil"/>
              <w:left w:val="nil"/>
              <w:bottom w:val="nil"/>
              <w:right w:val="nil"/>
            </w:tcBorders>
            <w:shd w:val="clear" w:color="auto" w:fill="auto"/>
            <w:noWrap/>
            <w:vAlign w:val="bottom"/>
            <w:hideMark/>
          </w:tcPr>
          <w:p w14:paraId="69A33DCD" w14:textId="77777777" w:rsidR="00CD1838" w:rsidRPr="00A51A3E" w:rsidRDefault="00CD1838" w:rsidP="0082645F">
            <w:pPr>
              <w:rPr>
                <w:sz w:val="20"/>
                <w:szCs w:val="20"/>
              </w:rPr>
            </w:pPr>
          </w:p>
        </w:tc>
        <w:tc>
          <w:tcPr>
            <w:tcW w:w="992" w:type="pct"/>
            <w:tcBorders>
              <w:top w:val="nil"/>
              <w:left w:val="nil"/>
              <w:bottom w:val="nil"/>
              <w:right w:val="nil"/>
            </w:tcBorders>
            <w:shd w:val="clear" w:color="auto" w:fill="auto"/>
            <w:noWrap/>
            <w:vAlign w:val="bottom"/>
            <w:hideMark/>
          </w:tcPr>
          <w:p w14:paraId="3686CFB1" w14:textId="77777777" w:rsidR="00CD1838" w:rsidRPr="00A51A3E" w:rsidRDefault="00CD1838" w:rsidP="0082645F">
            <w:pPr>
              <w:rPr>
                <w:sz w:val="20"/>
                <w:szCs w:val="20"/>
              </w:rPr>
            </w:pPr>
          </w:p>
        </w:tc>
        <w:tc>
          <w:tcPr>
            <w:tcW w:w="841" w:type="pct"/>
            <w:tcBorders>
              <w:top w:val="nil"/>
              <w:left w:val="nil"/>
              <w:bottom w:val="nil"/>
              <w:right w:val="nil"/>
            </w:tcBorders>
            <w:shd w:val="clear" w:color="auto" w:fill="auto"/>
            <w:noWrap/>
            <w:vAlign w:val="bottom"/>
            <w:hideMark/>
          </w:tcPr>
          <w:p w14:paraId="6CDA9A8E" w14:textId="77777777" w:rsidR="00CD1838" w:rsidRPr="00A51A3E" w:rsidRDefault="00CD1838" w:rsidP="0082645F">
            <w:pPr>
              <w:rPr>
                <w:sz w:val="20"/>
                <w:szCs w:val="20"/>
              </w:rPr>
            </w:pPr>
          </w:p>
        </w:tc>
        <w:tc>
          <w:tcPr>
            <w:tcW w:w="635" w:type="pct"/>
            <w:tcBorders>
              <w:top w:val="nil"/>
              <w:left w:val="nil"/>
              <w:bottom w:val="nil"/>
              <w:right w:val="nil"/>
            </w:tcBorders>
            <w:shd w:val="clear" w:color="auto" w:fill="auto"/>
            <w:noWrap/>
            <w:vAlign w:val="bottom"/>
            <w:hideMark/>
          </w:tcPr>
          <w:p w14:paraId="196830F3" w14:textId="77777777" w:rsidR="00CD1838" w:rsidRPr="00A51A3E" w:rsidRDefault="00CD1838" w:rsidP="0082645F">
            <w:pPr>
              <w:rPr>
                <w:sz w:val="20"/>
                <w:szCs w:val="20"/>
              </w:rPr>
            </w:pPr>
          </w:p>
        </w:tc>
        <w:tc>
          <w:tcPr>
            <w:tcW w:w="603" w:type="pct"/>
            <w:tcBorders>
              <w:top w:val="nil"/>
              <w:left w:val="nil"/>
              <w:bottom w:val="nil"/>
              <w:right w:val="nil"/>
            </w:tcBorders>
            <w:shd w:val="clear" w:color="auto" w:fill="auto"/>
            <w:noWrap/>
            <w:vAlign w:val="bottom"/>
            <w:hideMark/>
          </w:tcPr>
          <w:p w14:paraId="4D2A9B64" w14:textId="77777777" w:rsidR="00CD1838" w:rsidRPr="00A51A3E" w:rsidRDefault="00CD1838" w:rsidP="0082645F">
            <w:pPr>
              <w:rPr>
                <w:sz w:val="20"/>
                <w:szCs w:val="20"/>
              </w:rPr>
            </w:pPr>
          </w:p>
        </w:tc>
        <w:tc>
          <w:tcPr>
            <w:tcW w:w="1439" w:type="pct"/>
            <w:tcBorders>
              <w:top w:val="nil"/>
              <w:left w:val="nil"/>
              <w:bottom w:val="nil"/>
              <w:right w:val="nil"/>
            </w:tcBorders>
            <w:shd w:val="clear" w:color="000000" w:fill="FFFFFF"/>
            <w:noWrap/>
            <w:vAlign w:val="bottom"/>
            <w:hideMark/>
          </w:tcPr>
          <w:p w14:paraId="76981F3F" w14:textId="77777777" w:rsidR="00CD1838" w:rsidRPr="00A51A3E" w:rsidRDefault="00CD1838" w:rsidP="0082645F">
            <w:pPr>
              <w:jc w:val="right"/>
              <w:rPr>
                <w:rFonts w:cs="Tahoma"/>
                <w:i/>
                <w:iCs/>
                <w:sz w:val="16"/>
                <w:szCs w:val="16"/>
              </w:rPr>
            </w:pPr>
            <w:r w:rsidRPr="00A51A3E">
              <w:rPr>
                <w:rFonts w:cs="Tahoma"/>
                <w:i/>
                <w:iCs/>
                <w:sz w:val="16"/>
                <w:szCs w:val="16"/>
              </w:rPr>
              <w:t>Source: Ofsted and Department for Education</w:t>
            </w:r>
          </w:p>
        </w:tc>
      </w:tr>
      <w:tr w:rsidR="00CD1838" w:rsidRPr="00A51A3E" w14:paraId="7A7342BD" w14:textId="77777777" w:rsidTr="0082645F">
        <w:trPr>
          <w:gridAfter w:val="1"/>
          <w:wAfter w:w="120" w:type="pct"/>
          <w:trHeight w:val="264"/>
        </w:trPr>
        <w:tc>
          <w:tcPr>
            <w:tcW w:w="370" w:type="pct"/>
            <w:tcBorders>
              <w:top w:val="nil"/>
              <w:left w:val="nil"/>
              <w:bottom w:val="nil"/>
              <w:right w:val="nil"/>
            </w:tcBorders>
            <w:shd w:val="clear" w:color="auto" w:fill="auto"/>
            <w:noWrap/>
            <w:vAlign w:val="bottom"/>
            <w:hideMark/>
          </w:tcPr>
          <w:p w14:paraId="5114CD59" w14:textId="77777777" w:rsidR="00CD1838" w:rsidRPr="00A51A3E" w:rsidRDefault="00CD1838" w:rsidP="0082645F">
            <w:pPr>
              <w:jc w:val="right"/>
              <w:rPr>
                <w:rFonts w:cs="Tahoma"/>
                <w:i/>
                <w:iCs/>
                <w:sz w:val="16"/>
                <w:szCs w:val="16"/>
              </w:rPr>
            </w:pPr>
          </w:p>
        </w:tc>
        <w:tc>
          <w:tcPr>
            <w:tcW w:w="992" w:type="pct"/>
            <w:tcBorders>
              <w:top w:val="nil"/>
              <w:left w:val="nil"/>
              <w:bottom w:val="nil"/>
              <w:right w:val="nil"/>
            </w:tcBorders>
            <w:shd w:val="clear" w:color="auto" w:fill="auto"/>
            <w:noWrap/>
            <w:vAlign w:val="bottom"/>
            <w:hideMark/>
          </w:tcPr>
          <w:p w14:paraId="2616AD4B" w14:textId="77777777" w:rsidR="00CD1838" w:rsidRPr="00A51A3E" w:rsidRDefault="00CD1838" w:rsidP="0082645F">
            <w:pPr>
              <w:rPr>
                <w:sz w:val="20"/>
                <w:szCs w:val="20"/>
              </w:rPr>
            </w:pPr>
          </w:p>
        </w:tc>
        <w:tc>
          <w:tcPr>
            <w:tcW w:w="841" w:type="pct"/>
            <w:tcBorders>
              <w:top w:val="nil"/>
              <w:left w:val="nil"/>
              <w:bottom w:val="nil"/>
              <w:right w:val="nil"/>
            </w:tcBorders>
            <w:shd w:val="clear" w:color="auto" w:fill="auto"/>
            <w:noWrap/>
            <w:vAlign w:val="bottom"/>
            <w:hideMark/>
          </w:tcPr>
          <w:p w14:paraId="4F02E78B" w14:textId="77777777" w:rsidR="00CD1838" w:rsidRPr="00A51A3E" w:rsidRDefault="00CD1838" w:rsidP="0082645F">
            <w:pPr>
              <w:rPr>
                <w:sz w:val="20"/>
                <w:szCs w:val="20"/>
              </w:rPr>
            </w:pPr>
          </w:p>
        </w:tc>
        <w:tc>
          <w:tcPr>
            <w:tcW w:w="635" w:type="pct"/>
            <w:tcBorders>
              <w:top w:val="nil"/>
              <w:left w:val="nil"/>
              <w:bottom w:val="nil"/>
              <w:right w:val="nil"/>
            </w:tcBorders>
            <w:shd w:val="clear" w:color="auto" w:fill="auto"/>
            <w:noWrap/>
            <w:vAlign w:val="bottom"/>
            <w:hideMark/>
          </w:tcPr>
          <w:p w14:paraId="3D799C68" w14:textId="77777777" w:rsidR="00CD1838" w:rsidRPr="00A51A3E" w:rsidRDefault="00CD1838" w:rsidP="0082645F">
            <w:pPr>
              <w:rPr>
                <w:sz w:val="20"/>
                <w:szCs w:val="20"/>
              </w:rPr>
            </w:pPr>
          </w:p>
        </w:tc>
        <w:tc>
          <w:tcPr>
            <w:tcW w:w="603" w:type="pct"/>
            <w:tcBorders>
              <w:top w:val="nil"/>
              <w:left w:val="nil"/>
              <w:bottom w:val="nil"/>
              <w:right w:val="nil"/>
            </w:tcBorders>
            <w:shd w:val="clear" w:color="auto" w:fill="auto"/>
            <w:noWrap/>
            <w:vAlign w:val="bottom"/>
            <w:hideMark/>
          </w:tcPr>
          <w:p w14:paraId="7D72249C" w14:textId="77777777" w:rsidR="00CD1838" w:rsidRPr="00A51A3E" w:rsidRDefault="00CD1838" w:rsidP="0082645F">
            <w:pPr>
              <w:rPr>
                <w:sz w:val="20"/>
                <w:szCs w:val="20"/>
              </w:rPr>
            </w:pPr>
          </w:p>
        </w:tc>
        <w:tc>
          <w:tcPr>
            <w:tcW w:w="1439" w:type="pct"/>
            <w:tcBorders>
              <w:top w:val="nil"/>
              <w:left w:val="nil"/>
              <w:bottom w:val="nil"/>
              <w:right w:val="nil"/>
            </w:tcBorders>
            <w:shd w:val="clear" w:color="auto" w:fill="auto"/>
            <w:noWrap/>
            <w:vAlign w:val="bottom"/>
            <w:hideMark/>
          </w:tcPr>
          <w:p w14:paraId="1EF364EB" w14:textId="77777777" w:rsidR="00CD1838" w:rsidRPr="00A51A3E" w:rsidRDefault="00CD1838" w:rsidP="0082645F">
            <w:pPr>
              <w:rPr>
                <w:sz w:val="20"/>
                <w:szCs w:val="20"/>
              </w:rPr>
            </w:pPr>
          </w:p>
        </w:tc>
      </w:tr>
      <w:tr w:rsidR="00CD1838" w:rsidRPr="00A51A3E" w14:paraId="4B8C7FD4" w14:textId="77777777" w:rsidTr="0082645F">
        <w:trPr>
          <w:trHeight w:val="264"/>
        </w:trPr>
        <w:tc>
          <w:tcPr>
            <w:tcW w:w="3441" w:type="pct"/>
            <w:gridSpan w:val="5"/>
            <w:tcBorders>
              <w:top w:val="nil"/>
              <w:left w:val="nil"/>
              <w:bottom w:val="nil"/>
              <w:right w:val="nil"/>
            </w:tcBorders>
            <w:shd w:val="clear" w:color="auto" w:fill="auto"/>
            <w:noWrap/>
            <w:vAlign w:val="center"/>
            <w:hideMark/>
          </w:tcPr>
          <w:p w14:paraId="32D455C8" w14:textId="77777777" w:rsidR="00CD1838" w:rsidRPr="00A51A3E" w:rsidRDefault="00CD1838" w:rsidP="0082645F">
            <w:pPr>
              <w:rPr>
                <w:rFonts w:cs="Tahoma"/>
                <w:sz w:val="16"/>
                <w:szCs w:val="16"/>
              </w:rPr>
            </w:pPr>
            <w:r w:rsidRPr="00A51A3E">
              <w:rPr>
                <w:rFonts w:cs="Tahoma"/>
                <w:sz w:val="16"/>
                <w:szCs w:val="16"/>
              </w:rPr>
              <w:t>1. Inspections conducted by 31 August 2016 where the inspectio</w:t>
            </w:r>
            <w:r>
              <w:rPr>
                <w:rFonts w:cs="Tahoma"/>
                <w:sz w:val="16"/>
                <w:szCs w:val="16"/>
              </w:rPr>
              <w:t>n report was published by 30 Septem</w:t>
            </w:r>
            <w:r w:rsidRPr="00A51A3E">
              <w:rPr>
                <w:rFonts w:cs="Tahoma"/>
                <w:sz w:val="16"/>
                <w:szCs w:val="16"/>
              </w:rPr>
              <w:t>ber 2016</w:t>
            </w:r>
          </w:p>
        </w:tc>
        <w:tc>
          <w:tcPr>
            <w:tcW w:w="1439" w:type="pct"/>
            <w:tcBorders>
              <w:top w:val="nil"/>
              <w:left w:val="nil"/>
              <w:bottom w:val="nil"/>
              <w:right w:val="nil"/>
            </w:tcBorders>
            <w:shd w:val="clear" w:color="auto" w:fill="auto"/>
            <w:noWrap/>
            <w:vAlign w:val="bottom"/>
            <w:hideMark/>
          </w:tcPr>
          <w:p w14:paraId="16EB9CB8" w14:textId="77777777" w:rsidR="00CD1838" w:rsidRPr="00A51A3E" w:rsidRDefault="00CD1838" w:rsidP="0082645F">
            <w:pPr>
              <w:rPr>
                <w:rFonts w:cs="Tahoma"/>
                <w:sz w:val="16"/>
                <w:szCs w:val="16"/>
              </w:rPr>
            </w:pPr>
          </w:p>
        </w:tc>
        <w:tc>
          <w:tcPr>
            <w:tcW w:w="120" w:type="pct"/>
            <w:tcBorders>
              <w:top w:val="nil"/>
              <w:left w:val="nil"/>
              <w:bottom w:val="nil"/>
              <w:right w:val="nil"/>
            </w:tcBorders>
            <w:shd w:val="clear" w:color="auto" w:fill="auto"/>
            <w:noWrap/>
            <w:vAlign w:val="bottom"/>
            <w:hideMark/>
          </w:tcPr>
          <w:p w14:paraId="67E8081F" w14:textId="77777777" w:rsidR="00CD1838" w:rsidRPr="00A51A3E" w:rsidRDefault="00CD1838" w:rsidP="0082645F">
            <w:pPr>
              <w:rPr>
                <w:sz w:val="20"/>
                <w:szCs w:val="20"/>
              </w:rPr>
            </w:pPr>
          </w:p>
        </w:tc>
      </w:tr>
      <w:tr w:rsidR="00CD1838" w:rsidRPr="00A51A3E" w14:paraId="6B8CBF46" w14:textId="77777777" w:rsidTr="0082645F">
        <w:trPr>
          <w:trHeight w:val="288"/>
        </w:trPr>
        <w:tc>
          <w:tcPr>
            <w:tcW w:w="2838" w:type="pct"/>
            <w:gridSpan w:val="4"/>
            <w:tcBorders>
              <w:top w:val="nil"/>
              <w:left w:val="nil"/>
              <w:bottom w:val="nil"/>
              <w:right w:val="nil"/>
            </w:tcBorders>
            <w:shd w:val="clear" w:color="auto" w:fill="auto"/>
            <w:noWrap/>
            <w:vAlign w:val="center"/>
            <w:hideMark/>
          </w:tcPr>
          <w:p w14:paraId="6810B770" w14:textId="77777777" w:rsidR="00CD1838" w:rsidRPr="00A51A3E" w:rsidRDefault="00CD1838" w:rsidP="0082645F">
            <w:pPr>
              <w:rPr>
                <w:rFonts w:cs="Tahoma"/>
                <w:sz w:val="16"/>
                <w:szCs w:val="16"/>
              </w:rPr>
            </w:pPr>
            <w:r w:rsidRPr="00A51A3E">
              <w:rPr>
                <w:rFonts w:cs="Tahoma"/>
                <w:sz w:val="16"/>
                <w:szCs w:val="16"/>
              </w:rPr>
              <w:t>2. Isles of Scilly and City of London excluded from analysis due to small numbers</w:t>
            </w:r>
          </w:p>
        </w:tc>
        <w:tc>
          <w:tcPr>
            <w:tcW w:w="603" w:type="pct"/>
            <w:tcBorders>
              <w:top w:val="nil"/>
              <w:left w:val="nil"/>
              <w:bottom w:val="nil"/>
              <w:right w:val="nil"/>
            </w:tcBorders>
            <w:shd w:val="clear" w:color="auto" w:fill="auto"/>
            <w:noWrap/>
            <w:vAlign w:val="bottom"/>
            <w:hideMark/>
          </w:tcPr>
          <w:p w14:paraId="645A3234" w14:textId="77777777" w:rsidR="00CD1838" w:rsidRPr="00A51A3E" w:rsidRDefault="00CD1838" w:rsidP="0082645F">
            <w:pPr>
              <w:rPr>
                <w:rFonts w:cs="Tahoma"/>
                <w:sz w:val="16"/>
                <w:szCs w:val="16"/>
              </w:rPr>
            </w:pPr>
          </w:p>
        </w:tc>
        <w:tc>
          <w:tcPr>
            <w:tcW w:w="1439" w:type="pct"/>
            <w:tcBorders>
              <w:top w:val="nil"/>
              <w:left w:val="nil"/>
              <w:bottom w:val="nil"/>
              <w:right w:val="nil"/>
            </w:tcBorders>
            <w:shd w:val="clear" w:color="auto" w:fill="auto"/>
            <w:noWrap/>
            <w:vAlign w:val="bottom"/>
            <w:hideMark/>
          </w:tcPr>
          <w:p w14:paraId="7344F205" w14:textId="77777777" w:rsidR="00CD1838" w:rsidRPr="00A51A3E" w:rsidRDefault="00CD1838" w:rsidP="0082645F">
            <w:pPr>
              <w:rPr>
                <w:sz w:val="20"/>
                <w:szCs w:val="20"/>
              </w:rPr>
            </w:pPr>
          </w:p>
        </w:tc>
        <w:tc>
          <w:tcPr>
            <w:tcW w:w="120" w:type="pct"/>
            <w:tcBorders>
              <w:top w:val="nil"/>
              <w:left w:val="nil"/>
              <w:bottom w:val="nil"/>
              <w:right w:val="nil"/>
            </w:tcBorders>
            <w:shd w:val="clear" w:color="auto" w:fill="auto"/>
            <w:noWrap/>
            <w:vAlign w:val="bottom"/>
            <w:hideMark/>
          </w:tcPr>
          <w:p w14:paraId="370590B2" w14:textId="77777777" w:rsidR="00CD1838" w:rsidRPr="00A51A3E" w:rsidRDefault="00CD1838" w:rsidP="0082645F">
            <w:pPr>
              <w:rPr>
                <w:sz w:val="20"/>
                <w:szCs w:val="20"/>
              </w:rPr>
            </w:pPr>
          </w:p>
        </w:tc>
      </w:tr>
    </w:tbl>
    <w:p w14:paraId="1192CCA1" w14:textId="77777777" w:rsidR="00CD1838" w:rsidRDefault="00CD1838" w:rsidP="00CD1838">
      <w:pPr>
        <w:rPr>
          <w:rFonts w:cs="Tahoma"/>
        </w:rPr>
      </w:pPr>
    </w:p>
    <w:p w14:paraId="47C0FB0E" w14:textId="77777777" w:rsidR="00CD1838" w:rsidRDefault="00CD1838" w:rsidP="00CD1838">
      <w:pPr>
        <w:spacing w:after="200" w:line="276" w:lineRule="auto"/>
        <w:rPr>
          <w:rFonts w:cs="Tahoma"/>
        </w:rPr>
      </w:pPr>
      <w:r>
        <w:rPr>
          <w:rFonts w:cs="Tahoma"/>
        </w:rPr>
        <w:br w:type="page"/>
      </w:r>
    </w:p>
    <w:p w14:paraId="516C1543" w14:textId="77777777" w:rsidR="00CD1838" w:rsidRDefault="00CD1838" w:rsidP="00CD1838">
      <w:pPr>
        <w:rPr>
          <w:rFonts w:cs="Tahoma"/>
        </w:rPr>
      </w:pPr>
    </w:p>
    <w:p w14:paraId="3A7888A0" w14:textId="77777777" w:rsidR="00CD1838" w:rsidRDefault="00CD1838" w:rsidP="00CD1838">
      <w:pPr>
        <w:rPr>
          <w:rFonts w:cs="Tahoma"/>
        </w:rPr>
      </w:pPr>
    </w:p>
    <w:tbl>
      <w:tblPr>
        <w:tblW w:w="5000" w:type="pct"/>
        <w:tblLook w:val="04A0" w:firstRow="1" w:lastRow="0" w:firstColumn="1" w:lastColumn="0" w:noHBand="0" w:noVBand="1"/>
      </w:tblPr>
      <w:tblGrid>
        <w:gridCol w:w="983"/>
        <w:gridCol w:w="3242"/>
        <w:gridCol w:w="2464"/>
        <w:gridCol w:w="1834"/>
        <w:gridCol w:w="1977"/>
        <w:gridCol w:w="3452"/>
        <w:gridCol w:w="222"/>
      </w:tblGrid>
      <w:tr w:rsidR="00CD1838" w:rsidRPr="00D05870" w14:paraId="4CC11AF6" w14:textId="77777777" w:rsidTr="0082645F">
        <w:trPr>
          <w:gridAfter w:val="1"/>
          <w:wAfter w:w="81" w:type="pct"/>
          <w:trHeight w:val="312"/>
        </w:trPr>
        <w:tc>
          <w:tcPr>
            <w:tcW w:w="4919" w:type="pct"/>
            <w:gridSpan w:val="6"/>
            <w:tcBorders>
              <w:top w:val="single" w:sz="4" w:space="0" w:color="auto"/>
              <w:left w:val="single" w:sz="4" w:space="0" w:color="auto"/>
              <w:bottom w:val="single" w:sz="4" w:space="0" w:color="auto"/>
              <w:right w:val="nil"/>
            </w:tcBorders>
            <w:shd w:val="clear" w:color="000000" w:fill="E4DFEC"/>
            <w:noWrap/>
            <w:vAlign w:val="bottom"/>
            <w:hideMark/>
          </w:tcPr>
          <w:p w14:paraId="3D1E416F" w14:textId="77777777" w:rsidR="00CD1838" w:rsidRPr="00D05870" w:rsidRDefault="00CD1838" w:rsidP="0082645F">
            <w:pPr>
              <w:jc w:val="center"/>
              <w:rPr>
                <w:rFonts w:cs="Tahoma"/>
                <w:b/>
                <w:bCs/>
                <w:sz w:val="22"/>
                <w:szCs w:val="22"/>
              </w:rPr>
            </w:pPr>
            <w:r w:rsidRPr="00D05870">
              <w:rPr>
                <w:rFonts w:cs="Tahoma"/>
                <w:b/>
                <w:bCs/>
                <w:sz w:val="22"/>
                <w:szCs w:val="22"/>
              </w:rPr>
              <w:t>Secondary schools</w:t>
            </w:r>
            <w:r w:rsidRPr="00D05870">
              <w:rPr>
                <w:rFonts w:cs="Tahoma"/>
                <w:b/>
                <w:bCs/>
                <w:sz w:val="22"/>
                <w:szCs w:val="22"/>
                <w:vertAlign w:val="superscript"/>
              </w:rPr>
              <w:t>1</w:t>
            </w:r>
          </w:p>
        </w:tc>
      </w:tr>
      <w:tr w:rsidR="00CD1838" w:rsidRPr="00D05870" w14:paraId="15036A02" w14:textId="77777777" w:rsidTr="0082645F">
        <w:trPr>
          <w:gridAfter w:val="1"/>
          <w:wAfter w:w="81" w:type="pct"/>
          <w:trHeight w:val="528"/>
        </w:trPr>
        <w:tc>
          <w:tcPr>
            <w:tcW w:w="351" w:type="pct"/>
            <w:tcBorders>
              <w:top w:val="single" w:sz="4" w:space="0" w:color="B1A0C7"/>
              <w:left w:val="single" w:sz="4" w:space="0" w:color="B1A0C7"/>
              <w:bottom w:val="single" w:sz="4" w:space="0" w:color="B1A0C7"/>
              <w:right w:val="nil"/>
            </w:tcBorders>
            <w:shd w:val="clear" w:color="8064A2" w:fill="8064A2"/>
            <w:vAlign w:val="bottom"/>
            <w:hideMark/>
          </w:tcPr>
          <w:p w14:paraId="27342ED4" w14:textId="77777777" w:rsidR="00CD1838" w:rsidRPr="00D05870" w:rsidRDefault="00CD1838" w:rsidP="0082645F">
            <w:pPr>
              <w:rPr>
                <w:rFonts w:cs="Tahoma"/>
                <w:b/>
                <w:bCs/>
                <w:color w:val="FFFFFF"/>
                <w:sz w:val="20"/>
                <w:szCs w:val="20"/>
              </w:rPr>
            </w:pPr>
            <w:r w:rsidRPr="00D05870">
              <w:rPr>
                <w:rFonts w:cs="Tahoma"/>
                <w:b/>
                <w:bCs/>
                <w:color w:val="FFFFFF"/>
                <w:sz w:val="20"/>
                <w:szCs w:val="20"/>
              </w:rPr>
              <w:t>Rank</w:t>
            </w:r>
            <w:r w:rsidRPr="00D05870">
              <w:rPr>
                <w:rFonts w:cs="Tahoma"/>
                <w:sz w:val="20"/>
                <w:szCs w:val="20"/>
                <w:vertAlign w:val="superscript"/>
              </w:rPr>
              <w:t>2</w:t>
            </w:r>
          </w:p>
        </w:tc>
        <w:tc>
          <w:tcPr>
            <w:tcW w:w="1148" w:type="pct"/>
            <w:tcBorders>
              <w:top w:val="single" w:sz="4" w:space="0" w:color="B1A0C7"/>
              <w:left w:val="nil"/>
              <w:bottom w:val="single" w:sz="4" w:space="0" w:color="B1A0C7"/>
              <w:right w:val="nil"/>
            </w:tcBorders>
            <w:shd w:val="clear" w:color="8064A2" w:fill="8064A2"/>
            <w:vAlign w:val="bottom"/>
            <w:hideMark/>
          </w:tcPr>
          <w:p w14:paraId="17F53E3B" w14:textId="77777777" w:rsidR="00CD1838" w:rsidRPr="00D05870" w:rsidRDefault="00CD1838" w:rsidP="0082645F">
            <w:pPr>
              <w:rPr>
                <w:rFonts w:cs="Tahoma"/>
                <w:b/>
                <w:bCs/>
                <w:color w:val="FFFFFF"/>
                <w:sz w:val="20"/>
                <w:szCs w:val="20"/>
              </w:rPr>
            </w:pPr>
            <w:r w:rsidRPr="00D05870">
              <w:rPr>
                <w:rFonts w:cs="Tahoma"/>
                <w:b/>
                <w:bCs/>
                <w:color w:val="FFFFFF"/>
                <w:sz w:val="20"/>
                <w:szCs w:val="20"/>
              </w:rPr>
              <w:t>Local authority</w:t>
            </w:r>
          </w:p>
        </w:tc>
        <w:tc>
          <w:tcPr>
            <w:tcW w:w="873" w:type="pct"/>
            <w:tcBorders>
              <w:top w:val="single" w:sz="4" w:space="0" w:color="B1A0C7"/>
              <w:left w:val="nil"/>
              <w:bottom w:val="single" w:sz="4" w:space="0" w:color="B1A0C7"/>
              <w:right w:val="nil"/>
            </w:tcBorders>
            <w:shd w:val="clear" w:color="8064A2" w:fill="8064A2"/>
            <w:vAlign w:val="bottom"/>
            <w:hideMark/>
          </w:tcPr>
          <w:p w14:paraId="36610E4A" w14:textId="77777777" w:rsidR="00CD1838" w:rsidRPr="00D05870" w:rsidRDefault="00CD1838" w:rsidP="0082645F">
            <w:pPr>
              <w:jc w:val="right"/>
              <w:rPr>
                <w:rFonts w:cs="Tahoma"/>
                <w:b/>
                <w:bCs/>
                <w:color w:val="FFFFFF"/>
                <w:sz w:val="20"/>
                <w:szCs w:val="20"/>
              </w:rPr>
            </w:pPr>
            <w:r w:rsidRPr="00D05870">
              <w:rPr>
                <w:rFonts w:cs="Tahoma"/>
                <w:b/>
                <w:bCs/>
                <w:color w:val="FFFFFF"/>
                <w:sz w:val="20"/>
                <w:szCs w:val="20"/>
              </w:rPr>
              <w:t>% of pupils in good or outstanding schools 2016</w:t>
            </w:r>
          </w:p>
        </w:tc>
        <w:tc>
          <w:tcPr>
            <w:tcW w:w="650" w:type="pct"/>
            <w:tcBorders>
              <w:top w:val="single" w:sz="4" w:space="0" w:color="B1A0C7"/>
              <w:left w:val="nil"/>
              <w:bottom w:val="single" w:sz="4" w:space="0" w:color="B1A0C7"/>
              <w:right w:val="nil"/>
            </w:tcBorders>
            <w:shd w:val="clear" w:color="8064A2" w:fill="8064A2"/>
            <w:vAlign w:val="bottom"/>
            <w:hideMark/>
          </w:tcPr>
          <w:p w14:paraId="446DF0D8" w14:textId="77777777" w:rsidR="00CD1838" w:rsidRPr="00D05870" w:rsidRDefault="00CD1838" w:rsidP="0082645F">
            <w:pPr>
              <w:jc w:val="right"/>
              <w:rPr>
                <w:rFonts w:cs="Tahoma"/>
                <w:b/>
                <w:bCs/>
                <w:color w:val="FFFFFF"/>
                <w:sz w:val="20"/>
                <w:szCs w:val="20"/>
              </w:rPr>
            </w:pPr>
            <w:r w:rsidRPr="00D05870">
              <w:rPr>
                <w:rFonts w:cs="Tahoma"/>
                <w:b/>
                <w:bCs/>
                <w:color w:val="FFFFFF"/>
                <w:sz w:val="20"/>
                <w:szCs w:val="20"/>
              </w:rPr>
              <w:t>Change from 2015 (%pts)</w:t>
            </w:r>
          </w:p>
        </w:tc>
        <w:tc>
          <w:tcPr>
            <w:tcW w:w="701" w:type="pct"/>
            <w:tcBorders>
              <w:top w:val="single" w:sz="4" w:space="0" w:color="B1A0C7"/>
              <w:left w:val="nil"/>
              <w:bottom w:val="single" w:sz="4" w:space="0" w:color="B1A0C7"/>
              <w:right w:val="nil"/>
            </w:tcBorders>
            <w:shd w:val="clear" w:color="8064A2" w:fill="8064A2"/>
            <w:vAlign w:val="bottom"/>
            <w:hideMark/>
          </w:tcPr>
          <w:p w14:paraId="48BD5EA4" w14:textId="77777777" w:rsidR="00CD1838" w:rsidRPr="00D05870" w:rsidRDefault="00CD1838" w:rsidP="0082645F">
            <w:pPr>
              <w:jc w:val="right"/>
              <w:rPr>
                <w:rFonts w:cs="Tahoma"/>
                <w:b/>
                <w:bCs/>
                <w:color w:val="FFFFFF"/>
                <w:sz w:val="20"/>
                <w:szCs w:val="20"/>
              </w:rPr>
            </w:pPr>
            <w:r w:rsidRPr="00D05870">
              <w:rPr>
                <w:rFonts w:cs="Tahoma"/>
                <w:b/>
                <w:bCs/>
                <w:color w:val="FFFFFF"/>
                <w:sz w:val="20"/>
                <w:szCs w:val="20"/>
              </w:rPr>
              <w:t>Change from 2012 (%pts)</w:t>
            </w:r>
          </w:p>
        </w:tc>
        <w:tc>
          <w:tcPr>
            <w:tcW w:w="1195" w:type="pct"/>
            <w:tcBorders>
              <w:top w:val="single" w:sz="4" w:space="0" w:color="B1A0C7"/>
              <w:left w:val="nil"/>
              <w:bottom w:val="single" w:sz="4" w:space="0" w:color="B1A0C7"/>
              <w:right w:val="single" w:sz="4" w:space="0" w:color="B1A0C7"/>
            </w:tcBorders>
            <w:shd w:val="clear" w:color="8064A2" w:fill="8064A2"/>
            <w:vAlign w:val="bottom"/>
            <w:hideMark/>
          </w:tcPr>
          <w:p w14:paraId="23E4A10E" w14:textId="77777777" w:rsidR="00CD1838" w:rsidRPr="00D05870" w:rsidRDefault="00CD1838" w:rsidP="0082645F">
            <w:pPr>
              <w:jc w:val="right"/>
              <w:rPr>
                <w:rFonts w:cs="Tahoma"/>
                <w:b/>
                <w:bCs/>
                <w:color w:val="FFFFFF"/>
                <w:sz w:val="20"/>
                <w:szCs w:val="20"/>
              </w:rPr>
            </w:pPr>
            <w:r w:rsidRPr="00D05870">
              <w:rPr>
                <w:rFonts w:cs="Tahoma"/>
                <w:b/>
                <w:bCs/>
                <w:color w:val="FFFFFF"/>
                <w:sz w:val="20"/>
                <w:szCs w:val="20"/>
              </w:rPr>
              <w:t>% of pupils in academies 2016</w:t>
            </w:r>
          </w:p>
        </w:tc>
      </w:tr>
      <w:tr w:rsidR="00CD1838" w:rsidRPr="00D05870" w14:paraId="67B8721F" w14:textId="77777777" w:rsidTr="0082645F">
        <w:trPr>
          <w:gridAfter w:val="1"/>
          <w:wAfter w:w="81" w:type="pct"/>
          <w:trHeight w:val="264"/>
        </w:trPr>
        <w:tc>
          <w:tcPr>
            <w:tcW w:w="351" w:type="pct"/>
            <w:tcBorders>
              <w:top w:val="single" w:sz="4" w:space="0" w:color="B1A0C7"/>
              <w:left w:val="single" w:sz="4" w:space="0" w:color="B1A0C7"/>
              <w:bottom w:val="single" w:sz="4" w:space="0" w:color="B1A0C7"/>
              <w:right w:val="nil"/>
            </w:tcBorders>
            <w:shd w:val="clear" w:color="E4DFEC" w:fill="E4DFEC"/>
            <w:noWrap/>
            <w:vAlign w:val="bottom"/>
            <w:hideMark/>
          </w:tcPr>
          <w:p w14:paraId="3F0692FD" w14:textId="77777777" w:rsidR="00CD1838" w:rsidRPr="00D05870" w:rsidRDefault="00CD1838" w:rsidP="0082645F">
            <w:pPr>
              <w:jc w:val="right"/>
              <w:rPr>
                <w:rFonts w:cs="Tahoma"/>
                <w:sz w:val="20"/>
                <w:szCs w:val="20"/>
              </w:rPr>
            </w:pPr>
            <w:r w:rsidRPr="00D05870">
              <w:rPr>
                <w:rFonts w:cs="Tahoma"/>
                <w:sz w:val="20"/>
                <w:szCs w:val="20"/>
              </w:rPr>
              <w:t>68</w:t>
            </w:r>
          </w:p>
        </w:tc>
        <w:tc>
          <w:tcPr>
            <w:tcW w:w="1148" w:type="pct"/>
            <w:tcBorders>
              <w:top w:val="single" w:sz="4" w:space="0" w:color="B1A0C7"/>
              <w:left w:val="nil"/>
              <w:bottom w:val="single" w:sz="4" w:space="0" w:color="B1A0C7"/>
              <w:right w:val="nil"/>
            </w:tcBorders>
            <w:shd w:val="clear" w:color="E4DFEC" w:fill="E4DFEC"/>
            <w:noWrap/>
            <w:vAlign w:val="bottom"/>
            <w:hideMark/>
          </w:tcPr>
          <w:p w14:paraId="7A41B997" w14:textId="77777777" w:rsidR="00CD1838" w:rsidRPr="00D05870" w:rsidRDefault="00CD1838" w:rsidP="0082645F">
            <w:pPr>
              <w:rPr>
                <w:rFonts w:cs="Tahoma"/>
                <w:sz w:val="20"/>
                <w:szCs w:val="20"/>
              </w:rPr>
            </w:pPr>
            <w:r w:rsidRPr="00D05870">
              <w:rPr>
                <w:rFonts w:cs="Tahoma"/>
                <w:sz w:val="20"/>
                <w:szCs w:val="20"/>
              </w:rPr>
              <w:t>Leicestershire</w:t>
            </w:r>
          </w:p>
        </w:tc>
        <w:tc>
          <w:tcPr>
            <w:tcW w:w="873" w:type="pct"/>
            <w:tcBorders>
              <w:top w:val="single" w:sz="4" w:space="0" w:color="B1A0C7"/>
              <w:left w:val="nil"/>
              <w:bottom w:val="single" w:sz="4" w:space="0" w:color="B1A0C7"/>
              <w:right w:val="nil"/>
            </w:tcBorders>
            <w:shd w:val="clear" w:color="E4DFEC" w:fill="E4DFEC"/>
            <w:noWrap/>
            <w:vAlign w:val="bottom"/>
            <w:hideMark/>
          </w:tcPr>
          <w:p w14:paraId="4679D336" w14:textId="77777777" w:rsidR="00CD1838" w:rsidRPr="00D05870" w:rsidRDefault="00CD1838" w:rsidP="0082645F">
            <w:pPr>
              <w:jc w:val="right"/>
              <w:rPr>
                <w:rFonts w:cs="Tahoma"/>
                <w:sz w:val="20"/>
                <w:szCs w:val="20"/>
              </w:rPr>
            </w:pPr>
            <w:r w:rsidRPr="00D05870">
              <w:rPr>
                <w:rFonts w:cs="Tahoma"/>
                <w:sz w:val="20"/>
                <w:szCs w:val="20"/>
              </w:rPr>
              <w:t>85</w:t>
            </w:r>
          </w:p>
        </w:tc>
        <w:tc>
          <w:tcPr>
            <w:tcW w:w="650" w:type="pct"/>
            <w:tcBorders>
              <w:top w:val="single" w:sz="4" w:space="0" w:color="B1A0C7"/>
              <w:left w:val="nil"/>
              <w:bottom w:val="single" w:sz="4" w:space="0" w:color="B1A0C7"/>
              <w:right w:val="nil"/>
            </w:tcBorders>
            <w:shd w:val="clear" w:color="E4DFEC" w:fill="E4DFEC"/>
            <w:noWrap/>
            <w:vAlign w:val="bottom"/>
            <w:hideMark/>
          </w:tcPr>
          <w:p w14:paraId="4AA8941C" w14:textId="77777777" w:rsidR="00CD1838" w:rsidRPr="00D05870" w:rsidRDefault="00CD1838" w:rsidP="0082645F">
            <w:pPr>
              <w:jc w:val="right"/>
              <w:rPr>
                <w:rFonts w:cs="Tahoma"/>
                <w:sz w:val="20"/>
                <w:szCs w:val="20"/>
              </w:rPr>
            </w:pPr>
            <w:r w:rsidRPr="00D05870">
              <w:rPr>
                <w:rFonts w:cs="Tahoma"/>
                <w:sz w:val="20"/>
                <w:szCs w:val="20"/>
              </w:rPr>
              <w:t>3</w:t>
            </w:r>
          </w:p>
        </w:tc>
        <w:tc>
          <w:tcPr>
            <w:tcW w:w="701" w:type="pct"/>
            <w:tcBorders>
              <w:top w:val="single" w:sz="4" w:space="0" w:color="B1A0C7"/>
              <w:left w:val="nil"/>
              <w:bottom w:val="single" w:sz="4" w:space="0" w:color="B1A0C7"/>
              <w:right w:val="nil"/>
            </w:tcBorders>
            <w:shd w:val="clear" w:color="E4DFEC" w:fill="E4DFEC"/>
            <w:noWrap/>
            <w:vAlign w:val="bottom"/>
            <w:hideMark/>
          </w:tcPr>
          <w:p w14:paraId="4046D9AD" w14:textId="77777777" w:rsidR="00CD1838" w:rsidRPr="00D05870" w:rsidRDefault="00CD1838" w:rsidP="0082645F">
            <w:pPr>
              <w:jc w:val="right"/>
              <w:rPr>
                <w:rFonts w:cs="Tahoma"/>
                <w:sz w:val="20"/>
                <w:szCs w:val="20"/>
              </w:rPr>
            </w:pPr>
            <w:r w:rsidRPr="00D05870">
              <w:rPr>
                <w:rFonts w:cs="Tahoma"/>
                <w:sz w:val="20"/>
                <w:szCs w:val="20"/>
              </w:rPr>
              <w:t>8</w:t>
            </w:r>
          </w:p>
        </w:tc>
        <w:tc>
          <w:tcPr>
            <w:tcW w:w="1195" w:type="pct"/>
            <w:tcBorders>
              <w:top w:val="single" w:sz="4" w:space="0" w:color="B1A0C7"/>
              <w:left w:val="nil"/>
              <w:bottom w:val="single" w:sz="4" w:space="0" w:color="B1A0C7"/>
              <w:right w:val="single" w:sz="4" w:space="0" w:color="B1A0C7"/>
            </w:tcBorders>
            <w:shd w:val="clear" w:color="E4DFEC" w:fill="E4DFEC"/>
            <w:noWrap/>
            <w:vAlign w:val="bottom"/>
            <w:hideMark/>
          </w:tcPr>
          <w:p w14:paraId="7919A413" w14:textId="77777777" w:rsidR="00CD1838" w:rsidRPr="00D05870" w:rsidRDefault="00CD1838" w:rsidP="0082645F">
            <w:pPr>
              <w:jc w:val="right"/>
              <w:rPr>
                <w:rFonts w:cs="Tahoma"/>
                <w:sz w:val="20"/>
                <w:szCs w:val="20"/>
              </w:rPr>
            </w:pPr>
            <w:r w:rsidRPr="00D05870">
              <w:rPr>
                <w:rFonts w:cs="Tahoma"/>
                <w:sz w:val="20"/>
                <w:szCs w:val="20"/>
              </w:rPr>
              <w:t>97</w:t>
            </w:r>
          </w:p>
        </w:tc>
      </w:tr>
      <w:tr w:rsidR="00CD1838" w:rsidRPr="00D05870" w14:paraId="418317A6" w14:textId="77777777" w:rsidTr="0082645F">
        <w:trPr>
          <w:gridAfter w:val="1"/>
          <w:wAfter w:w="81" w:type="pct"/>
          <w:trHeight w:val="264"/>
        </w:trPr>
        <w:tc>
          <w:tcPr>
            <w:tcW w:w="351" w:type="pct"/>
            <w:tcBorders>
              <w:top w:val="single" w:sz="4" w:space="0" w:color="B1A0C7"/>
              <w:left w:val="single" w:sz="4" w:space="0" w:color="B1A0C7"/>
              <w:bottom w:val="single" w:sz="4" w:space="0" w:color="B1A0C7"/>
              <w:right w:val="nil"/>
            </w:tcBorders>
            <w:shd w:val="clear" w:color="auto" w:fill="auto"/>
            <w:noWrap/>
            <w:vAlign w:val="bottom"/>
            <w:hideMark/>
          </w:tcPr>
          <w:p w14:paraId="29FF0DF8" w14:textId="77777777" w:rsidR="00CD1838" w:rsidRPr="00D05870" w:rsidRDefault="00CD1838" w:rsidP="0082645F">
            <w:pPr>
              <w:jc w:val="right"/>
              <w:rPr>
                <w:rFonts w:cs="Tahoma"/>
                <w:sz w:val="20"/>
                <w:szCs w:val="20"/>
              </w:rPr>
            </w:pPr>
            <w:r w:rsidRPr="00D05870">
              <w:rPr>
                <w:rFonts w:cs="Tahoma"/>
                <w:sz w:val="20"/>
                <w:szCs w:val="20"/>
              </w:rPr>
              <w:t>71</w:t>
            </w:r>
          </w:p>
        </w:tc>
        <w:tc>
          <w:tcPr>
            <w:tcW w:w="1148" w:type="pct"/>
            <w:tcBorders>
              <w:top w:val="single" w:sz="4" w:space="0" w:color="B1A0C7"/>
              <w:left w:val="nil"/>
              <w:bottom w:val="single" w:sz="4" w:space="0" w:color="B1A0C7"/>
              <w:right w:val="nil"/>
            </w:tcBorders>
            <w:shd w:val="clear" w:color="auto" w:fill="auto"/>
            <w:noWrap/>
            <w:vAlign w:val="bottom"/>
            <w:hideMark/>
          </w:tcPr>
          <w:p w14:paraId="38C79C7D" w14:textId="77777777" w:rsidR="00CD1838" w:rsidRPr="00D05870" w:rsidRDefault="00CD1838" w:rsidP="0082645F">
            <w:pPr>
              <w:rPr>
                <w:rFonts w:cs="Tahoma"/>
                <w:sz w:val="20"/>
                <w:szCs w:val="20"/>
              </w:rPr>
            </w:pPr>
            <w:r w:rsidRPr="00D05870">
              <w:rPr>
                <w:rFonts w:cs="Tahoma"/>
                <w:sz w:val="20"/>
                <w:szCs w:val="20"/>
              </w:rPr>
              <w:t>Nottingham</w:t>
            </w:r>
          </w:p>
        </w:tc>
        <w:tc>
          <w:tcPr>
            <w:tcW w:w="873" w:type="pct"/>
            <w:tcBorders>
              <w:top w:val="single" w:sz="4" w:space="0" w:color="B1A0C7"/>
              <w:left w:val="nil"/>
              <w:bottom w:val="single" w:sz="4" w:space="0" w:color="B1A0C7"/>
              <w:right w:val="nil"/>
            </w:tcBorders>
            <w:shd w:val="clear" w:color="auto" w:fill="auto"/>
            <w:noWrap/>
            <w:vAlign w:val="bottom"/>
            <w:hideMark/>
          </w:tcPr>
          <w:p w14:paraId="5CCB467E" w14:textId="77777777" w:rsidR="00CD1838" w:rsidRPr="00D05870" w:rsidRDefault="00CD1838" w:rsidP="0082645F">
            <w:pPr>
              <w:jc w:val="right"/>
              <w:rPr>
                <w:rFonts w:cs="Tahoma"/>
                <w:sz w:val="20"/>
                <w:szCs w:val="20"/>
              </w:rPr>
            </w:pPr>
            <w:r w:rsidRPr="00D05870">
              <w:rPr>
                <w:rFonts w:cs="Tahoma"/>
                <w:sz w:val="20"/>
                <w:szCs w:val="20"/>
              </w:rPr>
              <w:t>84</w:t>
            </w:r>
          </w:p>
        </w:tc>
        <w:tc>
          <w:tcPr>
            <w:tcW w:w="650" w:type="pct"/>
            <w:tcBorders>
              <w:top w:val="single" w:sz="4" w:space="0" w:color="B1A0C7"/>
              <w:left w:val="nil"/>
              <w:bottom w:val="single" w:sz="4" w:space="0" w:color="B1A0C7"/>
              <w:right w:val="nil"/>
            </w:tcBorders>
            <w:shd w:val="clear" w:color="auto" w:fill="auto"/>
            <w:noWrap/>
            <w:vAlign w:val="bottom"/>
            <w:hideMark/>
          </w:tcPr>
          <w:p w14:paraId="7D5C3CDE" w14:textId="77777777" w:rsidR="00CD1838" w:rsidRPr="00D05870" w:rsidRDefault="00CD1838" w:rsidP="0082645F">
            <w:pPr>
              <w:jc w:val="right"/>
              <w:rPr>
                <w:rFonts w:cs="Tahoma"/>
                <w:sz w:val="20"/>
                <w:szCs w:val="20"/>
              </w:rPr>
            </w:pPr>
            <w:r w:rsidRPr="00D05870">
              <w:rPr>
                <w:rFonts w:cs="Tahoma"/>
                <w:sz w:val="20"/>
                <w:szCs w:val="20"/>
              </w:rPr>
              <w:t>1</w:t>
            </w:r>
          </w:p>
        </w:tc>
        <w:tc>
          <w:tcPr>
            <w:tcW w:w="701" w:type="pct"/>
            <w:tcBorders>
              <w:top w:val="single" w:sz="4" w:space="0" w:color="B1A0C7"/>
              <w:left w:val="nil"/>
              <w:bottom w:val="single" w:sz="4" w:space="0" w:color="B1A0C7"/>
              <w:right w:val="nil"/>
            </w:tcBorders>
            <w:shd w:val="clear" w:color="auto" w:fill="auto"/>
            <w:noWrap/>
            <w:vAlign w:val="bottom"/>
            <w:hideMark/>
          </w:tcPr>
          <w:p w14:paraId="5697FC78" w14:textId="77777777" w:rsidR="00CD1838" w:rsidRPr="00D05870" w:rsidRDefault="00CD1838" w:rsidP="0082645F">
            <w:pPr>
              <w:jc w:val="right"/>
              <w:rPr>
                <w:rFonts w:cs="Tahoma"/>
                <w:sz w:val="20"/>
                <w:szCs w:val="20"/>
              </w:rPr>
            </w:pPr>
            <w:r w:rsidRPr="00D05870">
              <w:rPr>
                <w:rFonts w:cs="Tahoma"/>
                <w:sz w:val="20"/>
                <w:szCs w:val="20"/>
              </w:rPr>
              <w:t>18</w:t>
            </w:r>
          </w:p>
        </w:tc>
        <w:tc>
          <w:tcPr>
            <w:tcW w:w="1195" w:type="pct"/>
            <w:tcBorders>
              <w:top w:val="single" w:sz="4" w:space="0" w:color="B1A0C7"/>
              <w:left w:val="nil"/>
              <w:bottom w:val="single" w:sz="4" w:space="0" w:color="B1A0C7"/>
              <w:right w:val="single" w:sz="4" w:space="0" w:color="B1A0C7"/>
            </w:tcBorders>
            <w:shd w:val="clear" w:color="auto" w:fill="auto"/>
            <w:noWrap/>
            <w:vAlign w:val="bottom"/>
            <w:hideMark/>
          </w:tcPr>
          <w:p w14:paraId="1FBD701F" w14:textId="77777777" w:rsidR="00CD1838" w:rsidRPr="00D05870" w:rsidRDefault="00CD1838" w:rsidP="0082645F">
            <w:pPr>
              <w:jc w:val="right"/>
              <w:rPr>
                <w:rFonts w:cs="Tahoma"/>
                <w:sz w:val="20"/>
                <w:szCs w:val="20"/>
              </w:rPr>
            </w:pPr>
            <w:r w:rsidRPr="00D05870">
              <w:rPr>
                <w:rFonts w:cs="Tahoma"/>
                <w:sz w:val="20"/>
                <w:szCs w:val="20"/>
              </w:rPr>
              <w:t>92</w:t>
            </w:r>
          </w:p>
        </w:tc>
      </w:tr>
      <w:tr w:rsidR="00CD1838" w:rsidRPr="00D05870" w14:paraId="295DF3E3" w14:textId="77777777" w:rsidTr="0082645F">
        <w:trPr>
          <w:gridAfter w:val="1"/>
          <w:wAfter w:w="81" w:type="pct"/>
          <w:trHeight w:val="264"/>
        </w:trPr>
        <w:tc>
          <w:tcPr>
            <w:tcW w:w="351" w:type="pct"/>
            <w:tcBorders>
              <w:top w:val="single" w:sz="4" w:space="0" w:color="B1A0C7"/>
              <w:left w:val="single" w:sz="4" w:space="0" w:color="B1A0C7"/>
              <w:bottom w:val="single" w:sz="4" w:space="0" w:color="B1A0C7"/>
              <w:right w:val="nil"/>
            </w:tcBorders>
            <w:shd w:val="clear" w:color="E4DFEC" w:fill="E4DFEC"/>
            <w:noWrap/>
            <w:vAlign w:val="bottom"/>
            <w:hideMark/>
          </w:tcPr>
          <w:p w14:paraId="5D2F1298" w14:textId="77777777" w:rsidR="00CD1838" w:rsidRPr="00D05870" w:rsidRDefault="00CD1838" w:rsidP="0082645F">
            <w:pPr>
              <w:jc w:val="right"/>
              <w:rPr>
                <w:rFonts w:cs="Tahoma"/>
                <w:sz w:val="20"/>
                <w:szCs w:val="20"/>
              </w:rPr>
            </w:pPr>
            <w:r w:rsidRPr="00D05870">
              <w:rPr>
                <w:rFonts w:cs="Tahoma"/>
                <w:sz w:val="20"/>
                <w:szCs w:val="20"/>
              </w:rPr>
              <w:t>74</w:t>
            </w:r>
          </w:p>
        </w:tc>
        <w:tc>
          <w:tcPr>
            <w:tcW w:w="1148" w:type="pct"/>
            <w:tcBorders>
              <w:top w:val="single" w:sz="4" w:space="0" w:color="B1A0C7"/>
              <w:left w:val="nil"/>
              <w:bottom w:val="single" w:sz="4" w:space="0" w:color="B1A0C7"/>
              <w:right w:val="nil"/>
            </w:tcBorders>
            <w:shd w:val="clear" w:color="E4DFEC" w:fill="E4DFEC"/>
            <w:noWrap/>
            <w:vAlign w:val="bottom"/>
            <w:hideMark/>
          </w:tcPr>
          <w:p w14:paraId="71E94282" w14:textId="77777777" w:rsidR="00CD1838" w:rsidRPr="00D05870" w:rsidRDefault="00CD1838" w:rsidP="0082645F">
            <w:pPr>
              <w:rPr>
                <w:rFonts w:cs="Tahoma"/>
                <w:sz w:val="20"/>
                <w:szCs w:val="20"/>
              </w:rPr>
            </w:pPr>
            <w:r w:rsidRPr="00D05870">
              <w:rPr>
                <w:rFonts w:cs="Tahoma"/>
                <w:sz w:val="20"/>
                <w:szCs w:val="20"/>
              </w:rPr>
              <w:t>Lincolnshire</w:t>
            </w:r>
          </w:p>
        </w:tc>
        <w:tc>
          <w:tcPr>
            <w:tcW w:w="873" w:type="pct"/>
            <w:tcBorders>
              <w:top w:val="single" w:sz="4" w:space="0" w:color="B1A0C7"/>
              <w:left w:val="nil"/>
              <w:bottom w:val="single" w:sz="4" w:space="0" w:color="B1A0C7"/>
              <w:right w:val="nil"/>
            </w:tcBorders>
            <w:shd w:val="clear" w:color="E4DFEC" w:fill="E4DFEC"/>
            <w:noWrap/>
            <w:vAlign w:val="bottom"/>
            <w:hideMark/>
          </w:tcPr>
          <w:p w14:paraId="1CA967A5" w14:textId="77777777" w:rsidR="00CD1838" w:rsidRPr="00D05870" w:rsidRDefault="00CD1838" w:rsidP="0082645F">
            <w:pPr>
              <w:jc w:val="right"/>
              <w:rPr>
                <w:rFonts w:cs="Tahoma"/>
                <w:sz w:val="20"/>
                <w:szCs w:val="20"/>
              </w:rPr>
            </w:pPr>
            <w:r w:rsidRPr="00D05870">
              <w:rPr>
                <w:rFonts w:cs="Tahoma"/>
                <w:sz w:val="20"/>
                <w:szCs w:val="20"/>
              </w:rPr>
              <w:t>83</w:t>
            </w:r>
          </w:p>
        </w:tc>
        <w:tc>
          <w:tcPr>
            <w:tcW w:w="650" w:type="pct"/>
            <w:tcBorders>
              <w:top w:val="single" w:sz="4" w:space="0" w:color="B1A0C7"/>
              <w:left w:val="nil"/>
              <w:bottom w:val="single" w:sz="4" w:space="0" w:color="B1A0C7"/>
              <w:right w:val="nil"/>
            </w:tcBorders>
            <w:shd w:val="clear" w:color="E4DFEC" w:fill="E4DFEC"/>
            <w:noWrap/>
            <w:vAlign w:val="bottom"/>
            <w:hideMark/>
          </w:tcPr>
          <w:p w14:paraId="29F9E681" w14:textId="77777777" w:rsidR="00CD1838" w:rsidRPr="00D05870" w:rsidRDefault="00CD1838" w:rsidP="0082645F">
            <w:pPr>
              <w:jc w:val="right"/>
              <w:rPr>
                <w:rFonts w:cs="Tahoma"/>
                <w:sz w:val="20"/>
                <w:szCs w:val="20"/>
              </w:rPr>
            </w:pPr>
            <w:r w:rsidRPr="00D05870">
              <w:rPr>
                <w:rFonts w:cs="Tahoma"/>
                <w:sz w:val="20"/>
                <w:szCs w:val="20"/>
              </w:rPr>
              <w:t>7</w:t>
            </w:r>
          </w:p>
        </w:tc>
        <w:tc>
          <w:tcPr>
            <w:tcW w:w="701" w:type="pct"/>
            <w:tcBorders>
              <w:top w:val="single" w:sz="4" w:space="0" w:color="B1A0C7"/>
              <w:left w:val="nil"/>
              <w:bottom w:val="single" w:sz="4" w:space="0" w:color="B1A0C7"/>
              <w:right w:val="nil"/>
            </w:tcBorders>
            <w:shd w:val="clear" w:color="E4DFEC" w:fill="E4DFEC"/>
            <w:noWrap/>
            <w:vAlign w:val="bottom"/>
            <w:hideMark/>
          </w:tcPr>
          <w:p w14:paraId="730CBA3A" w14:textId="77777777" w:rsidR="00CD1838" w:rsidRPr="00D05870" w:rsidRDefault="00CD1838" w:rsidP="0082645F">
            <w:pPr>
              <w:jc w:val="right"/>
              <w:rPr>
                <w:rFonts w:cs="Tahoma"/>
                <w:sz w:val="20"/>
                <w:szCs w:val="20"/>
              </w:rPr>
            </w:pPr>
            <w:r w:rsidRPr="00D05870">
              <w:rPr>
                <w:rFonts w:cs="Tahoma"/>
                <w:sz w:val="20"/>
                <w:szCs w:val="20"/>
              </w:rPr>
              <w:t>3</w:t>
            </w:r>
          </w:p>
        </w:tc>
        <w:tc>
          <w:tcPr>
            <w:tcW w:w="1195" w:type="pct"/>
            <w:tcBorders>
              <w:top w:val="single" w:sz="4" w:space="0" w:color="B1A0C7"/>
              <w:left w:val="nil"/>
              <w:bottom w:val="single" w:sz="4" w:space="0" w:color="B1A0C7"/>
              <w:right w:val="single" w:sz="4" w:space="0" w:color="B1A0C7"/>
            </w:tcBorders>
            <w:shd w:val="clear" w:color="E4DFEC" w:fill="E4DFEC"/>
            <w:noWrap/>
            <w:vAlign w:val="bottom"/>
            <w:hideMark/>
          </w:tcPr>
          <w:p w14:paraId="4A513B54" w14:textId="77777777" w:rsidR="00CD1838" w:rsidRPr="00D05870" w:rsidRDefault="00CD1838" w:rsidP="0082645F">
            <w:pPr>
              <w:jc w:val="right"/>
              <w:rPr>
                <w:rFonts w:cs="Tahoma"/>
                <w:sz w:val="20"/>
                <w:szCs w:val="20"/>
              </w:rPr>
            </w:pPr>
            <w:r w:rsidRPr="00D05870">
              <w:rPr>
                <w:rFonts w:cs="Tahoma"/>
                <w:sz w:val="20"/>
                <w:szCs w:val="20"/>
              </w:rPr>
              <w:t>92</w:t>
            </w:r>
          </w:p>
        </w:tc>
      </w:tr>
      <w:tr w:rsidR="00CD1838" w:rsidRPr="00D05870" w14:paraId="4DD7A9CD" w14:textId="77777777" w:rsidTr="0082645F">
        <w:trPr>
          <w:gridAfter w:val="1"/>
          <w:wAfter w:w="81" w:type="pct"/>
          <w:trHeight w:val="264"/>
        </w:trPr>
        <w:tc>
          <w:tcPr>
            <w:tcW w:w="351" w:type="pct"/>
            <w:tcBorders>
              <w:top w:val="single" w:sz="4" w:space="0" w:color="B1A0C7"/>
              <w:left w:val="single" w:sz="4" w:space="0" w:color="B1A0C7"/>
              <w:bottom w:val="single" w:sz="4" w:space="0" w:color="B1A0C7"/>
              <w:right w:val="nil"/>
            </w:tcBorders>
            <w:shd w:val="clear" w:color="auto" w:fill="auto"/>
            <w:noWrap/>
            <w:vAlign w:val="bottom"/>
            <w:hideMark/>
          </w:tcPr>
          <w:p w14:paraId="1462144C" w14:textId="77777777" w:rsidR="00CD1838" w:rsidRPr="00D05870" w:rsidRDefault="00CD1838" w:rsidP="0082645F">
            <w:pPr>
              <w:jc w:val="right"/>
              <w:rPr>
                <w:rFonts w:cs="Tahoma"/>
                <w:sz w:val="20"/>
                <w:szCs w:val="20"/>
              </w:rPr>
            </w:pPr>
            <w:r w:rsidRPr="00D05870">
              <w:rPr>
                <w:rFonts w:cs="Tahoma"/>
                <w:sz w:val="20"/>
                <w:szCs w:val="20"/>
              </w:rPr>
              <w:t>81</w:t>
            </w:r>
          </w:p>
        </w:tc>
        <w:tc>
          <w:tcPr>
            <w:tcW w:w="1148" w:type="pct"/>
            <w:tcBorders>
              <w:top w:val="single" w:sz="4" w:space="0" w:color="B1A0C7"/>
              <w:left w:val="nil"/>
              <w:bottom w:val="single" w:sz="4" w:space="0" w:color="B1A0C7"/>
              <w:right w:val="nil"/>
            </w:tcBorders>
            <w:shd w:val="clear" w:color="auto" w:fill="auto"/>
            <w:noWrap/>
            <w:vAlign w:val="bottom"/>
            <w:hideMark/>
          </w:tcPr>
          <w:p w14:paraId="11B1705E" w14:textId="77777777" w:rsidR="00CD1838" w:rsidRPr="00D05870" w:rsidRDefault="00CD1838" w:rsidP="0082645F">
            <w:pPr>
              <w:rPr>
                <w:rFonts w:cs="Tahoma"/>
                <w:sz w:val="20"/>
                <w:szCs w:val="20"/>
              </w:rPr>
            </w:pPr>
            <w:r w:rsidRPr="00D05870">
              <w:rPr>
                <w:rFonts w:cs="Tahoma"/>
                <w:sz w:val="20"/>
                <w:szCs w:val="20"/>
              </w:rPr>
              <w:t>Nottinghamshire</w:t>
            </w:r>
          </w:p>
        </w:tc>
        <w:tc>
          <w:tcPr>
            <w:tcW w:w="873" w:type="pct"/>
            <w:tcBorders>
              <w:top w:val="single" w:sz="4" w:space="0" w:color="B1A0C7"/>
              <w:left w:val="nil"/>
              <w:bottom w:val="single" w:sz="4" w:space="0" w:color="B1A0C7"/>
              <w:right w:val="nil"/>
            </w:tcBorders>
            <w:shd w:val="clear" w:color="auto" w:fill="auto"/>
            <w:noWrap/>
            <w:vAlign w:val="bottom"/>
            <w:hideMark/>
          </w:tcPr>
          <w:p w14:paraId="5F3087EF" w14:textId="77777777" w:rsidR="00CD1838" w:rsidRPr="00D05870" w:rsidRDefault="00CD1838" w:rsidP="0082645F">
            <w:pPr>
              <w:jc w:val="right"/>
              <w:rPr>
                <w:rFonts w:cs="Tahoma"/>
                <w:sz w:val="20"/>
                <w:szCs w:val="20"/>
              </w:rPr>
            </w:pPr>
            <w:r w:rsidRPr="00D05870">
              <w:rPr>
                <w:rFonts w:cs="Tahoma"/>
                <w:sz w:val="20"/>
                <w:szCs w:val="20"/>
              </w:rPr>
              <w:t>81</w:t>
            </w:r>
          </w:p>
        </w:tc>
        <w:tc>
          <w:tcPr>
            <w:tcW w:w="650" w:type="pct"/>
            <w:tcBorders>
              <w:top w:val="single" w:sz="4" w:space="0" w:color="B1A0C7"/>
              <w:left w:val="nil"/>
              <w:bottom w:val="single" w:sz="4" w:space="0" w:color="B1A0C7"/>
              <w:right w:val="nil"/>
            </w:tcBorders>
            <w:shd w:val="clear" w:color="auto" w:fill="auto"/>
            <w:noWrap/>
            <w:vAlign w:val="bottom"/>
            <w:hideMark/>
          </w:tcPr>
          <w:p w14:paraId="63DBC818" w14:textId="77777777" w:rsidR="00CD1838" w:rsidRPr="00D05870" w:rsidRDefault="00CD1838" w:rsidP="0082645F">
            <w:pPr>
              <w:jc w:val="right"/>
              <w:rPr>
                <w:rFonts w:cs="Tahoma"/>
                <w:sz w:val="20"/>
                <w:szCs w:val="20"/>
              </w:rPr>
            </w:pPr>
            <w:r w:rsidRPr="00D05870">
              <w:rPr>
                <w:rFonts w:cs="Tahoma"/>
                <w:sz w:val="20"/>
                <w:szCs w:val="20"/>
              </w:rPr>
              <w:t>1</w:t>
            </w:r>
          </w:p>
        </w:tc>
        <w:tc>
          <w:tcPr>
            <w:tcW w:w="701" w:type="pct"/>
            <w:tcBorders>
              <w:top w:val="single" w:sz="4" w:space="0" w:color="B1A0C7"/>
              <w:left w:val="nil"/>
              <w:bottom w:val="single" w:sz="4" w:space="0" w:color="B1A0C7"/>
              <w:right w:val="nil"/>
            </w:tcBorders>
            <w:shd w:val="clear" w:color="auto" w:fill="auto"/>
            <w:noWrap/>
            <w:vAlign w:val="bottom"/>
            <w:hideMark/>
          </w:tcPr>
          <w:p w14:paraId="01982C9F" w14:textId="77777777" w:rsidR="00CD1838" w:rsidRPr="00D05870" w:rsidRDefault="00CD1838" w:rsidP="0082645F">
            <w:pPr>
              <w:jc w:val="right"/>
              <w:rPr>
                <w:rFonts w:cs="Tahoma"/>
                <w:sz w:val="20"/>
                <w:szCs w:val="20"/>
              </w:rPr>
            </w:pPr>
            <w:r w:rsidRPr="00D05870">
              <w:rPr>
                <w:rFonts w:cs="Tahoma"/>
                <w:sz w:val="20"/>
                <w:szCs w:val="20"/>
              </w:rPr>
              <w:t>18</w:t>
            </w:r>
          </w:p>
        </w:tc>
        <w:tc>
          <w:tcPr>
            <w:tcW w:w="1195" w:type="pct"/>
            <w:tcBorders>
              <w:top w:val="single" w:sz="4" w:space="0" w:color="B1A0C7"/>
              <w:left w:val="nil"/>
              <w:bottom w:val="single" w:sz="4" w:space="0" w:color="B1A0C7"/>
              <w:right w:val="single" w:sz="4" w:space="0" w:color="B1A0C7"/>
            </w:tcBorders>
            <w:shd w:val="clear" w:color="auto" w:fill="auto"/>
            <w:noWrap/>
            <w:vAlign w:val="bottom"/>
            <w:hideMark/>
          </w:tcPr>
          <w:p w14:paraId="45F47274" w14:textId="77777777" w:rsidR="00CD1838" w:rsidRPr="00D05870" w:rsidRDefault="00CD1838" w:rsidP="0082645F">
            <w:pPr>
              <w:jc w:val="right"/>
              <w:rPr>
                <w:rFonts w:cs="Tahoma"/>
                <w:sz w:val="20"/>
                <w:szCs w:val="20"/>
              </w:rPr>
            </w:pPr>
            <w:r w:rsidRPr="00D05870">
              <w:rPr>
                <w:rFonts w:cs="Tahoma"/>
                <w:sz w:val="20"/>
                <w:szCs w:val="20"/>
              </w:rPr>
              <w:t>92</w:t>
            </w:r>
          </w:p>
        </w:tc>
      </w:tr>
      <w:tr w:rsidR="00CD1838" w:rsidRPr="00D05870" w14:paraId="6B26000F" w14:textId="77777777" w:rsidTr="0082645F">
        <w:trPr>
          <w:gridAfter w:val="1"/>
          <w:wAfter w:w="81" w:type="pct"/>
          <w:trHeight w:val="264"/>
        </w:trPr>
        <w:tc>
          <w:tcPr>
            <w:tcW w:w="351" w:type="pct"/>
            <w:tcBorders>
              <w:top w:val="single" w:sz="4" w:space="0" w:color="B1A0C7"/>
              <w:left w:val="single" w:sz="4" w:space="0" w:color="B1A0C7"/>
              <w:bottom w:val="single" w:sz="4" w:space="0" w:color="B1A0C7"/>
              <w:right w:val="nil"/>
            </w:tcBorders>
            <w:shd w:val="clear" w:color="E4DFEC" w:fill="E4DFEC"/>
            <w:noWrap/>
            <w:vAlign w:val="bottom"/>
            <w:hideMark/>
          </w:tcPr>
          <w:p w14:paraId="659A04B9" w14:textId="77777777" w:rsidR="00CD1838" w:rsidRPr="00D05870" w:rsidRDefault="00CD1838" w:rsidP="0082645F">
            <w:pPr>
              <w:jc w:val="right"/>
              <w:rPr>
                <w:rFonts w:cs="Tahoma"/>
                <w:sz w:val="20"/>
                <w:szCs w:val="20"/>
              </w:rPr>
            </w:pPr>
            <w:r w:rsidRPr="00D05870">
              <w:rPr>
                <w:rFonts w:cs="Tahoma"/>
                <w:sz w:val="20"/>
                <w:szCs w:val="20"/>
              </w:rPr>
              <w:t>109</w:t>
            </w:r>
          </w:p>
        </w:tc>
        <w:tc>
          <w:tcPr>
            <w:tcW w:w="1148" w:type="pct"/>
            <w:tcBorders>
              <w:top w:val="single" w:sz="4" w:space="0" w:color="B1A0C7"/>
              <w:left w:val="nil"/>
              <w:bottom w:val="single" w:sz="4" w:space="0" w:color="B1A0C7"/>
              <w:right w:val="nil"/>
            </w:tcBorders>
            <w:shd w:val="clear" w:color="E4DFEC" w:fill="E4DFEC"/>
            <w:noWrap/>
            <w:vAlign w:val="bottom"/>
            <w:hideMark/>
          </w:tcPr>
          <w:p w14:paraId="60B41295" w14:textId="77777777" w:rsidR="00CD1838" w:rsidRPr="00D05870" w:rsidRDefault="00CD1838" w:rsidP="0082645F">
            <w:pPr>
              <w:rPr>
                <w:rFonts w:cs="Tahoma"/>
                <w:sz w:val="20"/>
                <w:szCs w:val="20"/>
              </w:rPr>
            </w:pPr>
            <w:r w:rsidRPr="00D05870">
              <w:rPr>
                <w:rFonts w:cs="Tahoma"/>
                <w:sz w:val="20"/>
                <w:szCs w:val="20"/>
              </w:rPr>
              <w:t>Leicester</w:t>
            </w:r>
          </w:p>
        </w:tc>
        <w:tc>
          <w:tcPr>
            <w:tcW w:w="873" w:type="pct"/>
            <w:tcBorders>
              <w:top w:val="single" w:sz="4" w:space="0" w:color="B1A0C7"/>
              <w:left w:val="nil"/>
              <w:bottom w:val="single" w:sz="4" w:space="0" w:color="B1A0C7"/>
              <w:right w:val="nil"/>
            </w:tcBorders>
            <w:shd w:val="clear" w:color="E4DFEC" w:fill="E4DFEC"/>
            <w:noWrap/>
            <w:vAlign w:val="bottom"/>
            <w:hideMark/>
          </w:tcPr>
          <w:p w14:paraId="7739D51D" w14:textId="77777777" w:rsidR="00CD1838" w:rsidRPr="00D05870" w:rsidRDefault="00CD1838" w:rsidP="0082645F">
            <w:pPr>
              <w:jc w:val="right"/>
              <w:rPr>
                <w:rFonts w:cs="Tahoma"/>
                <w:sz w:val="20"/>
                <w:szCs w:val="20"/>
              </w:rPr>
            </w:pPr>
            <w:r w:rsidRPr="00D05870">
              <w:rPr>
                <w:rFonts w:cs="Tahoma"/>
                <w:sz w:val="20"/>
                <w:szCs w:val="20"/>
              </w:rPr>
              <w:t>72</w:t>
            </w:r>
          </w:p>
        </w:tc>
        <w:tc>
          <w:tcPr>
            <w:tcW w:w="650" w:type="pct"/>
            <w:tcBorders>
              <w:top w:val="single" w:sz="4" w:space="0" w:color="B1A0C7"/>
              <w:left w:val="nil"/>
              <w:bottom w:val="single" w:sz="4" w:space="0" w:color="B1A0C7"/>
              <w:right w:val="nil"/>
            </w:tcBorders>
            <w:shd w:val="clear" w:color="E4DFEC" w:fill="E4DFEC"/>
            <w:noWrap/>
            <w:vAlign w:val="bottom"/>
            <w:hideMark/>
          </w:tcPr>
          <w:p w14:paraId="00B1A476" w14:textId="77777777" w:rsidR="00CD1838" w:rsidRPr="00D05870" w:rsidRDefault="00CD1838" w:rsidP="0082645F">
            <w:pPr>
              <w:jc w:val="right"/>
              <w:rPr>
                <w:rFonts w:cs="Tahoma"/>
                <w:sz w:val="20"/>
                <w:szCs w:val="20"/>
              </w:rPr>
            </w:pPr>
            <w:r w:rsidRPr="00D05870">
              <w:rPr>
                <w:rFonts w:cs="Tahoma"/>
                <w:sz w:val="20"/>
                <w:szCs w:val="20"/>
              </w:rPr>
              <w:t>-8</w:t>
            </w:r>
          </w:p>
        </w:tc>
        <w:tc>
          <w:tcPr>
            <w:tcW w:w="701" w:type="pct"/>
            <w:tcBorders>
              <w:top w:val="single" w:sz="4" w:space="0" w:color="B1A0C7"/>
              <w:left w:val="nil"/>
              <w:bottom w:val="single" w:sz="4" w:space="0" w:color="B1A0C7"/>
              <w:right w:val="nil"/>
            </w:tcBorders>
            <w:shd w:val="clear" w:color="E4DFEC" w:fill="E4DFEC"/>
            <w:noWrap/>
            <w:vAlign w:val="bottom"/>
            <w:hideMark/>
          </w:tcPr>
          <w:p w14:paraId="39FEFE23" w14:textId="77777777" w:rsidR="00CD1838" w:rsidRPr="00D05870" w:rsidRDefault="00CD1838" w:rsidP="0082645F">
            <w:pPr>
              <w:jc w:val="right"/>
              <w:rPr>
                <w:rFonts w:cs="Tahoma"/>
                <w:sz w:val="20"/>
                <w:szCs w:val="20"/>
              </w:rPr>
            </w:pPr>
            <w:r w:rsidRPr="00D05870">
              <w:rPr>
                <w:rFonts w:cs="Tahoma"/>
                <w:sz w:val="20"/>
                <w:szCs w:val="20"/>
              </w:rPr>
              <w:t>-4</w:t>
            </w:r>
          </w:p>
        </w:tc>
        <w:tc>
          <w:tcPr>
            <w:tcW w:w="1195" w:type="pct"/>
            <w:tcBorders>
              <w:top w:val="single" w:sz="4" w:space="0" w:color="B1A0C7"/>
              <w:left w:val="nil"/>
              <w:bottom w:val="single" w:sz="4" w:space="0" w:color="B1A0C7"/>
              <w:right w:val="single" w:sz="4" w:space="0" w:color="B1A0C7"/>
            </w:tcBorders>
            <w:shd w:val="clear" w:color="E4DFEC" w:fill="E4DFEC"/>
            <w:noWrap/>
            <w:vAlign w:val="bottom"/>
            <w:hideMark/>
          </w:tcPr>
          <w:p w14:paraId="06685232" w14:textId="77777777" w:rsidR="00CD1838" w:rsidRPr="00D05870" w:rsidRDefault="00CD1838" w:rsidP="0082645F">
            <w:pPr>
              <w:jc w:val="right"/>
              <w:rPr>
                <w:rFonts w:cs="Tahoma"/>
                <w:sz w:val="20"/>
                <w:szCs w:val="20"/>
              </w:rPr>
            </w:pPr>
            <w:r w:rsidRPr="00D05870">
              <w:rPr>
                <w:rFonts w:cs="Tahoma"/>
                <w:sz w:val="20"/>
                <w:szCs w:val="20"/>
              </w:rPr>
              <w:t>12</w:t>
            </w:r>
          </w:p>
        </w:tc>
      </w:tr>
      <w:tr w:rsidR="00CD1838" w:rsidRPr="00D05870" w14:paraId="7601D4FD" w14:textId="77777777" w:rsidTr="0082645F">
        <w:trPr>
          <w:gridAfter w:val="1"/>
          <w:wAfter w:w="81" w:type="pct"/>
          <w:trHeight w:val="264"/>
        </w:trPr>
        <w:tc>
          <w:tcPr>
            <w:tcW w:w="351" w:type="pct"/>
            <w:tcBorders>
              <w:top w:val="single" w:sz="4" w:space="0" w:color="B1A0C7"/>
              <w:left w:val="single" w:sz="4" w:space="0" w:color="B1A0C7"/>
              <w:bottom w:val="single" w:sz="4" w:space="0" w:color="B1A0C7"/>
              <w:right w:val="nil"/>
            </w:tcBorders>
            <w:shd w:val="clear" w:color="auto" w:fill="auto"/>
            <w:noWrap/>
            <w:vAlign w:val="bottom"/>
            <w:hideMark/>
          </w:tcPr>
          <w:p w14:paraId="2BDD2C9F" w14:textId="77777777" w:rsidR="00CD1838" w:rsidRPr="00D05870" w:rsidRDefault="00CD1838" w:rsidP="0082645F">
            <w:pPr>
              <w:jc w:val="right"/>
              <w:rPr>
                <w:rFonts w:cs="Tahoma"/>
                <w:sz w:val="20"/>
                <w:szCs w:val="20"/>
              </w:rPr>
            </w:pPr>
            <w:r w:rsidRPr="00D05870">
              <w:rPr>
                <w:rFonts w:cs="Tahoma"/>
                <w:sz w:val="20"/>
                <w:szCs w:val="20"/>
              </w:rPr>
              <w:t>120</w:t>
            </w:r>
          </w:p>
        </w:tc>
        <w:tc>
          <w:tcPr>
            <w:tcW w:w="1148" w:type="pct"/>
            <w:tcBorders>
              <w:top w:val="single" w:sz="4" w:space="0" w:color="B1A0C7"/>
              <w:left w:val="nil"/>
              <w:bottom w:val="single" w:sz="4" w:space="0" w:color="B1A0C7"/>
              <w:right w:val="nil"/>
            </w:tcBorders>
            <w:shd w:val="clear" w:color="auto" w:fill="auto"/>
            <w:noWrap/>
            <w:vAlign w:val="bottom"/>
            <w:hideMark/>
          </w:tcPr>
          <w:p w14:paraId="5F059C43" w14:textId="77777777" w:rsidR="00CD1838" w:rsidRPr="00D05870" w:rsidRDefault="00CD1838" w:rsidP="0082645F">
            <w:pPr>
              <w:rPr>
                <w:rFonts w:cs="Tahoma"/>
                <w:sz w:val="20"/>
                <w:szCs w:val="20"/>
              </w:rPr>
            </w:pPr>
            <w:r w:rsidRPr="00D05870">
              <w:rPr>
                <w:rFonts w:cs="Tahoma"/>
                <w:sz w:val="20"/>
                <w:szCs w:val="20"/>
              </w:rPr>
              <w:t>Northamptonshire</w:t>
            </w:r>
          </w:p>
        </w:tc>
        <w:tc>
          <w:tcPr>
            <w:tcW w:w="873" w:type="pct"/>
            <w:tcBorders>
              <w:top w:val="single" w:sz="4" w:space="0" w:color="B1A0C7"/>
              <w:left w:val="nil"/>
              <w:bottom w:val="single" w:sz="4" w:space="0" w:color="B1A0C7"/>
              <w:right w:val="nil"/>
            </w:tcBorders>
            <w:shd w:val="clear" w:color="auto" w:fill="auto"/>
            <w:noWrap/>
            <w:vAlign w:val="bottom"/>
            <w:hideMark/>
          </w:tcPr>
          <w:p w14:paraId="7548A1A2" w14:textId="77777777" w:rsidR="00CD1838" w:rsidRPr="00D05870" w:rsidRDefault="00CD1838" w:rsidP="0082645F">
            <w:pPr>
              <w:jc w:val="right"/>
              <w:rPr>
                <w:rFonts w:cs="Tahoma"/>
                <w:sz w:val="20"/>
                <w:szCs w:val="20"/>
              </w:rPr>
            </w:pPr>
            <w:r w:rsidRPr="00D05870">
              <w:rPr>
                <w:rFonts w:cs="Tahoma"/>
                <w:sz w:val="20"/>
                <w:szCs w:val="20"/>
              </w:rPr>
              <w:t>68</w:t>
            </w:r>
          </w:p>
        </w:tc>
        <w:tc>
          <w:tcPr>
            <w:tcW w:w="650" w:type="pct"/>
            <w:tcBorders>
              <w:top w:val="single" w:sz="4" w:space="0" w:color="B1A0C7"/>
              <w:left w:val="nil"/>
              <w:bottom w:val="single" w:sz="4" w:space="0" w:color="B1A0C7"/>
              <w:right w:val="nil"/>
            </w:tcBorders>
            <w:shd w:val="clear" w:color="auto" w:fill="auto"/>
            <w:noWrap/>
            <w:vAlign w:val="bottom"/>
            <w:hideMark/>
          </w:tcPr>
          <w:p w14:paraId="7E6DC83F" w14:textId="77777777" w:rsidR="00CD1838" w:rsidRPr="00D05870" w:rsidRDefault="00CD1838" w:rsidP="0082645F">
            <w:pPr>
              <w:jc w:val="right"/>
              <w:rPr>
                <w:rFonts w:cs="Tahoma"/>
                <w:sz w:val="20"/>
                <w:szCs w:val="20"/>
              </w:rPr>
            </w:pPr>
            <w:r w:rsidRPr="00D05870">
              <w:rPr>
                <w:rFonts w:cs="Tahoma"/>
                <w:sz w:val="20"/>
                <w:szCs w:val="20"/>
              </w:rPr>
              <w:t>7</w:t>
            </w:r>
          </w:p>
        </w:tc>
        <w:tc>
          <w:tcPr>
            <w:tcW w:w="701" w:type="pct"/>
            <w:tcBorders>
              <w:top w:val="single" w:sz="4" w:space="0" w:color="B1A0C7"/>
              <w:left w:val="nil"/>
              <w:bottom w:val="single" w:sz="4" w:space="0" w:color="B1A0C7"/>
              <w:right w:val="nil"/>
            </w:tcBorders>
            <w:shd w:val="clear" w:color="auto" w:fill="auto"/>
            <w:noWrap/>
            <w:vAlign w:val="bottom"/>
            <w:hideMark/>
          </w:tcPr>
          <w:p w14:paraId="54A81797" w14:textId="77777777" w:rsidR="00CD1838" w:rsidRPr="00D05870" w:rsidRDefault="00CD1838" w:rsidP="0082645F">
            <w:pPr>
              <w:jc w:val="right"/>
              <w:rPr>
                <w:rFonts w:cs="Tahoma"/>
                <w:sz w:val="20"/>
                <w:szCs w:val="20"/>
              </w:rPr>
            </w:pPr>
            <w:r w:rsidRPr="00D05870">
              <w:rPr>
                <w:rFonts w:cs="Tahoma"/>
                <w:sz w:val="20"/>
                <w:szCs w:val="20"/>
              </w:rPr>
              <w:t>21</w:t>
            </w:r>
          </w:p>
        </w:tc>
        <w:tc>
          <w:tcPr>
            <w:tcW w:w="1195" w:type="pct"/>
            <w:tcBorders>
              <w:top w:val="single" w:sz="4" w:space="0" w:color="B1A0C7"/>
              <w:left w:val="nil"/>
              <w:bottom w:val="single" w:sz="4" w:space="0" w:color="B1A0C7"/>
              <w:right w:val="single" w:sz="4" w:space="0" w:color="B1A0C7"/>
            </w:tcBorders>
            <w:shd w:val="clear" w:color="auto" w:fill="auto"/>
            <w:noWrap/>
            <w:vAlign w:val="bottom"/>
            <w:hideMark/>
          </w:tcPr>
          <w:p w14:paraId="4F9DDBB0" w14:textId="77777777" w:rsidR="00CD1838" w:rsidRPr="00D05870" w:rsidRDefault="00CD1838" w:rsidP="0082645F">
            <w:pPr>
              <w:jc w:val="right"/>
              <w:rPr>
                <w:rFonts w:cs="Tahoma"/>
                <w:sz w:val="20"/>
                <w:szCs w:val="20"/>
              </w:rPr>
            </w:pPr>
            <w:r w:rsidRPr="00D05870">
              <w:rPr>
                <w:rFonts w:cs="Tahoma"/>
                <w:sz w:val="20"/>
                <w:szCs w:val="20"/>
              </w:rPr>
              <w:t>95</w:t>
            </w:r>
          </w:p>
        </w:tc>
      </w:tr>
      <w:tr w:rsidR="00CD1838" w:rsidRPr="00D05870" w14:paraId="5935B5DD" w14:textId="77777777" w:rsidTr="0082645F">
        <w:trPr>
          <w:gridAfter w:val="1"/>
          <w:wAfter w:w="81" w:type="pct"/>
          <w:trHeight w:val="264"/>
        </w:trPr>
        <w:tc>
          <w:tcPr>
            <w:tcW w:w="351" w:type="pct"/>
            <w:tcBorders>
              <w:top w:val="single" w:sz="4" w:space="0" w:color="B1A0C7"/>
              <w:left w:val="single" w:sz="4" w:space="0" w:color="B1A0C7"/>
              <w:bottom w:val="single" w:sz="4" w:space="0" w:color="B1A0C7"/>
              <w:right w:val="nil"/>
            </w:tcBorders>
            <w:shd w:val="clear" w:color="E4DFEC" w:fill="E4DFEC"/>
            <w:noWrap/>
            <w:vAlign w:val="bottom"/>
            <w:hideMark/>
          </w:tcPr>
          <w:p w14:paraId="3F54D6E3" w14:textId="77777777" w:rsidR="00CD1838" w:rsidRPr="00D05870" w:rsidRDefault="00CD1838" w:rsidP="0082645F">
            <w:pPr>
              <w:jc w:val="right"/>
              <w:rPr>
                <w:rFonts w:cs="Tahoma"/>
                <w:sz w:val="20"/>
                <w:szCs w:val="20"/>
              </w:rPr>
            </w:pPr>
            <w:r w:rsidRPr="00D05870">
              <w:rPr>
                <w:rFonts w:cs="Tahoma"/>
                <w:sz w:val="20"/>
                <w:szCs w:val="20"/>
              </w:rPr>
              <w:t>122</w:t>
            </w:r>
          </w:p>
        </w:tc>
        <w:tc>
          <w:tcPr>
            <w:tcW w:w="1148" w:type="pct"/>
            <w:tcBorders>
              <w:top w:val="single" w:sz="4" w:space="0" w:color="B1A0C7"/>
              <w:left w:val="nil"/>
              <w:bottom w:val="single" w:sz="4" w:space="0" w:color="B1A0C7"/>
              <w:right w:val="nil"/>
            </w:tcBorders>
            <w:shd w:val="clear" w:color="E4DFEC" w:fill="E4DFEC"/>
            <w:noWrap/>
            <w:vAlign w:val="bottom"/>
            <w:hideMark/>
          </w:tcPr>
          <w:p w14:paraId="34C48860" w14:textId="77777777" w:rsidR="00CD1838" w:rsidRPr="00D05870" w:rsidRDefault="00CD1838" w:rsidP="0082645F">
            <w:pPr>
              <w:rPr>
                <w:rFonts w:cs="Tahoma"/>
                <w:sz w:val="20"/>
                <w:szCs w:val="20"/>
              </w:rPr>
            </w:pPr>
            <w:r w:rsidRPr="00D05870">
              <w:rPr>
                <w:rFonts w:cs="Tahoma"/>
                <w:sz w:val="20"/>
                <w:szCs w:val="20"/>
              </w:rPr>
              <w:t>Derby</w:t>
            </w:r>
          </w:p>
        </w:tc>
        <w:tc>
          <w:tcPr>
            <w:tcW w:w="873" w:type="pct"/>
            <w:tcBorders>
              <w:top w:val="single" w:sz="4" w:space="0" w:color="B1A0C7"/>
              <w:left w:val="nil"/>
              <w:bottom w:val="single" w:sz="4" w:space="0" w:color="B1A0C7"/>
              <w:right w:val="nil"/>
            </w:tcBorders>
            <w:shd w:val="clear" w:color="E4DFEC" w:fill="E4DFEC"/>
            <w:noWrap/>
            <w:vAlign w:val="bottom"/>
            <w:hideMark/>
          </w:tcPr>
          <w:p w14:paraId="72B09068" w14:textId="77777777" w:rsidR="00CD1838" w:rsidRPr="00D05870" w:rsidRDefault="00CD1838" w:rsidP="0082645F">
            <w:pPr>
              <w:jc w:val="right"/>
              <w:rPr>
                <w:rFonts w:cs="Tahoma"/>
                <w:sz w:val="20"/>
                <w:szCs w:val="20"/>
              </w:rPr>
            </w:pPr>
            <w:r w:rsidRPr="00D05870">
              <w:rPr>
                <w:rFonts w:cs="Tahoma"/>
                <w:sz w:val="20"/>
                <w:szCs w:val="20"/>
              </w:rPr>
              <w:t>67</w:t>
            </w:r>
          </w:p>
        </w:tc>
        <w:tc>
          <w:tcPr>
            <w:tcW w:w="650" w:type="pct"/>
            <w:tcBorders>
              <w:top w:val="single" w:sz="4" w:space="0" w:color="B1A0C7"/>
              <w:left w:val="nil"/>
              <w:bottom w:val="single" w:sz="4" w:space="0" w:color="B1A0C7"/>
              <w:right w:val="nil"/>
            </w:tcBorders>
            <w:shd w:val="clear" w:color="E4DFEC" w:fill="E4DFEC"/>
            <w:noWrap/>
            <w:vAlign w:val="bottom"/>
            <w:hideMark/>
          </w:tcPr>
          <w:p w14:paraId="7AA0D532" w14:textId="77777777" w:rsidR="00CD1838" w:rsidRPr="00D05870" w:rsidRDefault="00CD1838" w:rsidP="0082645F">
            <w:pPr>
              <w:jc w:val="right"/>
              <w:rPr>
                <w:rFonts w:cs="Tahoma"/>
                <w:sz w:val="20"/>
                <w:szCs w:val="20"/>
              </w:rPr>
            </w:pPr>
            <w:r w:rsidRPr="00D05870">
              <w:rPr>
                <w:rFonts w:cs="Tahoma"/>
                <w:sz w:val="20"/>
                <w:szCs w:val="20"/>
              </w:rPr>
              <w:t>-6</w:t>
            </w:r>
          </w:p>
        </w:tc>
        <w:tc>
          <w:tcPr>
            <w:tcW w:w="701" w:type="pct"/>
            <w:tcBorders>
              <w:top w:val="single" w:sz="4" w:space="0" w:color="B1A0C7"/>
              <w:left w:val="nil"/>
              <w:bottom w:val="single" w:sz="4" w:space="0" w:color="B1A0C7"/>
              <w:right w:val="nil"/>
            </w:tcBorders>
            <w:shd w:val="clear" w:color="E4DFEC" w:fill="E4DFEC"/>
            <w:noWrap/>
            <w:vAlign w:val="bottom"/>
            <w:hideMark/>
          </w:tcPr>
          <w:p w14:paraId="071FE344" w14:textId="77777777" w:rsidR="00CD1838" w:rsidRPr="00D05870" w:rsidRDefault="00CD1838" w:rsidP="0082645F">
            <w:pPr>
              <w:jc w:val="right"/>
              <w:rPr>
                <w:rFonts w:cs="Tahoma"/>
                <w:sz w:val="20"/>
                <w:szCs w:val="20"/>
              </w:rPr>
            </w:pPr>
            <w:r w:rsidRPr="00D05870">
              <w:rPr>
                <w:rFonts w:cs="Tahoma"/>
                <w:sz w:val="20"/>
                <w:szCs w:val="20"/>
              </w:rPr>
              <w:t>25</w:t>
            </w:r>
          </w:p>
        </w:tc>
        <w:tc>
          <w:tcPr>
            <w:tcW w:w="1195" w:type="pct"/>
            <w:tcBorders>
              <w:top w:val="single" w:sz="4" w:space="0" w:color="B1A0C7"/>
              <w:left w:val="nil"/>
              <w:bottom w:val="single" w:sz="4" w:space="0" w:color="B1A0C7"/>
              <w:right w:val="single" w:sz="4" w:space="0" w:color="B1A0C7"/>
            </w:tcBorders>
            <w:shd w:val="clear" w:color="E4DFEC" w:fill="E4DFEC"/>
            <w:noWrap/>
            <w:vAlign w:val="bottom"/>
            <w:hideMark/>
          </w:tcPr>
          <w:p w14:paraId="6D5E642B" w14:textId="77777777" w:rsidR="00CD1838" w:rsidRPr="00D05870" w:rsidRDefault="00CD1838" w:rsidP="0082645F">
            <w:pPr>
              <w:jc w:val="right"/>
              <w:rPr>
                <w:rFonts w:cs="Tahoma"/>
                <w:sz w:val="20"/>
                <w:szCs w:val="20"/>
              </w:rPr>
            </w:pPr>
            <w:r w:rsidRPr="00D05870">
              <w:rPr>
                <w:rFonts w:cs="Tahoma"/>
                <w:sz w:val="20"/>
                <w:szCs w:val="20"/>
              </w:rPr>
              <w:t>59</w:t>
            </w:r>
          </w:p>
        </w:tc>
      </w:tr>
      <w:tr w:rsidR="00CD1838" w:rsidRPr="00D05870" w14:paraId="0745D325" w14:textId="77777777" w:rsidTr="0082645F">
        <w:trPr>
          <w:gridAfter w:val="1"/>
          <w:wAfter w:w="81" w:type="pct"/>
          <w:trHeight w:val="264"/>
        </w:trPr>
        <w:tc>
          <w:tcPr>
            <w:tcW w:w="351" w:type="pct"/>
            <w:tcBorders>
              <w:top w:val="single" w:sz="4" w:space="0" w:color="B1A0C7"/>
              <w:left w:val="single" w:sz="4" w:space="0" w:color="B1A0C7"/>
              <w:bottom w:val="single" w:sz="4" w:space="0" w:color="B1A0C7"/>
              <w:right w:val="nil"/>
            </w:tcBorders>
            <w:shd w:val="clear" w:color="auto" w:fill="auto"/>
            <w:noWrap/>
            <w:vAlign w:val="bottom"/>
            <w:hideMark/>
          </w:tcPr>
          <w:p w14:paraId="7C8EBD04" w14:textId="77777777" w:rsidR="00CD1838" w:rsidRPr="00D05870" w:rsidRDefault="00CD1838" w:rsidP="0082645F">
            <w:pPr>
              <w:jc w:val="right"/>
              <w:rPr>
                <w:rFonts w:cs="Tahoma"/>
                <w:sz w:val="20"/>
                <w:szCs w:val="20"/>
              </w:rPr>
            </w:pPr>
            <w:r w:rsidRPr="00D05870">
              <w:rPr>
                <w:rFonts w:cs="Tahoma"/>
                <w:sz w:val="20"/>
                <w:szCs w:val="20"/>
              </w:rPr>
              <w:t>125</w:t>
            </w:r>
          </w:p>
        </w:tc>
        <w:tc>
          <w:tcPr>
            <w:tcW w:w="1148" w:type="pct"/>
            <w:tcBorders>
              <w:top w:val="single" w:sz="4" w:space="0" w:color="B1A0C7"/>
              <w:left w:val="nil"/>
              <w:bottom w:val="single" w:sz="4" w:space="0" w:color="B1A0C7"/>
              <w:right w:val="nil"/>
            </w:tcBorders>
            <w:shd w:val="clear" w:color="auto" w:fill="auto"/>
            <w:noWrap/>
            <w:vAlign w:val="bottom"/>
            <w:hideMark/>
          </w:tcPr>
          <w:p w14:paraId="0AF64B93" w14:textId="77777777" w:rsidR="00CD1838" w:rsidRPr="00D05870" w:rsidRDefault="00CD1838" w:rsidP="0082645F">
            <w:pPr>
              <w:rPr>
                <w:rFonts w:cs="Tahoma"/>
                <w:sz w:val="20"/>
                <w:szCs w:val="20"/>
              </w:rPr>
            </w:pPr>
            <w:r w:rsidRPr="00D05870">
              <w:rPr>
                <w:rFonts w:cs="Tahoma"/>
                <w:sz w:val="20"/>
                <w:szCs w:val="20"/>
              </w:rPr>
              <w:t>Rutland</w:t>
            </w:r>
          </w:p>
        </w:tc>
        <w:tc>
          <w:tcPr>
            <w:tcW w:w="873" w:type="pct"/>
            <w:tcBorders>
              <w:top w:val="single" w:sz="4" w:space="0" w:color="B1A0C7"/>
              <w:left w:val="nil"/>
              <w:bottom w:val="single" w:sz="4" w:space="0" w:color="B1A0C7"/>
              <w:right w:val="nil"/>
            </w:tcBorders>
            <w:shd w:val="clear" w:color="auto" w:fill="auto"/>
            <w:noWrap/>
            <w:vAlign w:val="bottom"/>
            <w:hideMark/>
          </w:tcPr>
          <w:p w14:paraId="25BE0977" w14:textId="77777777" w:rsidR="00CD1838" w:rsidRPr="00D05870" w:rsidRDefault="00CD1838" w:rsidP="0082645F">
            <w:pPr>
              <w:jc w:val="right"/>
              <w:rPr>
                <w:rFonts w:cs="Tahoma"/>
                <w:sz w:val="20"/>
                <w:szCs w:val="20"/>
              </w:rPr>
            </w:pPr>
            <w:r w:rsidRPr="00D05870">
              <w:rPr>
                <w:rFonts w:cs="Tahoma"/>
                <w:sz w:val="20"/>
                <w:szCs w:val="20"/>
              </w:rPr>
              <w:t>66</w:t>
            </w:r>
          </w:p>
        </w:tc>
        <w:tc>
          <w:tcPr>
            <w:tcW w:w="650" w:type="pct"/>
            <w:tcBorders>
              <w:top w:val="single" w:sz="4" w:space="0" w:color="B1A0C7"/>
              <w:left w:val="nil"/>
              <w:bottom w:val="single" w:sz="4" w:space="0" w:color="B1A0C7"/>
              <w:right w:val="nil"/>
            </w:tcBorders>
            <w:shd w:val="clear" w:color="auto" w:fill="auto"/>
            <w:noWrap/>
            <w:vAlign w:val="bottom"/>
            <w:hideMark/>
          </w:tcPr>
          <w:p w14:paraId="067DE384" w14:textId="77777777" w:rsidR="00CD1838" w:rsidRPr="00D05870" w:rsidRDefault="00CD1838" w:rsidP="0082645F">
            <w:pPr>
              <w:jc w:val="right"/>
              <w:rPr>
                <w:rFonts w:cs="Tahoma"/>
                <w:sz w:val="20"/>
                <w:szCs w:val="20"/>
              </w:rPr>
            </w:pPr>
            <w:r w:rsidRPr="00D05870">
              <w:rPr>
                <w:rFonts w:cs="Tahoma"/>
                <w:sz w:val="20"/>
                <w:szCs w:val="20"/>
              </w:rPr>
              <w:t>2</w:t>
            </w:r>
          </w:p>
        </w:tc>
        <w:tc>
          <w:tcPr>
            <w:tcW w:w="701" w:type="pct"/>
            <w:tcBorders>
              <w:top w:val="single" w:sz="4" w:space="0" w:color="B1A0C7"/>
              <w:left w:val="nil"/>
              <w:bottom w:val="single" w:sz="4" w:space="0" w:color="B1A0C7"/>
              <w:right w:val="nil"/>
            </w:tcBorders>
            <w:shd w:val="clear" w:color="auto" w:fill="auto"/>
            <w:noWrap/>
            <w:vAlign w:val="bottom"/>
            <w:hideMark/>
          </w:tcPr>
          <w:p w14:paraId="268DE4CB" w14:textId="77777777" w:rsidR="00CD1838" w:rsidRPr="00D05870" w:rsidRDefault="00CD1838" w:rsidP="0082645F">
            <w:pPr>
              <w:jc w:val="right"/>
              <w:rPr>
                <w:rFonts w:cs="Tahoma"/>
                <w:sz w:val="20"/>
                <w:szCs w:val="20"/>
              </w:rPr>
            </w:pPr>
            <w:r w:rsidRPr="00D05870">
              <w:rPr>
                <w:rFonts w:cs="Tahoma"/>
                <w:sz w:val="20"/>
                <w:szCs w:val="20"/>
              </w:rPr>
              <w:t>-34</w:t>
            </w:r>
          </w:p>
        </w:tc>
        <w:tc>
          <w:tcPr>
            <w:tcW w:w="1195" w:type="pct"/>
            <w:tcBorders>
              <w:top w:val="single" w:sz="4" w:space="0" w:color="B1A0C7"/>
              <w:left w:val="nil"/>
              <w:bottom w:val="single" w:sz="4" w:space="0" w:color="B1A0C7"/>
              <w:right w:val="single" w:sz="4" w:space="0" w:color="B1A0C7"/>
            </w:tcBorders>
            <w:shd w:val="clear" w:color="auto" w:fill="auto"/>
            <w:noWrap/>
            <w:vAlign w:val="bottom"/>
            <w:hideMark/>
          </w:tcPr>
          <w:p w14:paraId="2C8F0F2C" w14:textId="77777777" w:rsidR="00CD1838" w:rsidRPr="00D05870" w:rsidRDefault="00CD1838" w:rsidP="0082645F">
            <w:pPr>
              <w:jc w:val="right"/>
              <w:rPr>
                <w:rFonts w:cs="Tahoma"/>
                <w:sz w:val="20"/>
                <w:szCs w:val="20"/>
              </w:rPr>
            </w:pPr>
            <w:r w:rsidRPr="00D05870">
              <w:rPr>
                <w:rFonts w:cs="Tahoma"/>
                <w:sz w:val="20"/>
                <w:szCs w:val="20"/>
              </w:rPr>
              <w:t>100</w:t>
            </w:r>
          </w:p>
        </w:tc>
      </w:tr>
      <w:tr w:rsidR="00CD1838" w:rsidRPr="00D05870" w14:paraId="0655A5DE" w14:textId="77777777" w:rsidTr="0082645F">
        <w:trPr>
          <w:gridAfter w:val="1"/>
          <w:wAfter w:w="81" w:type="pct"/>
          <w:trHeight w:val="264"/>
        </w:trPr>
        <w:tc>
          <w:tcPr>
            <w:tcW w:w="351" w:type="pct"/>
            <w:tcBorders>
              <w:top w:val="single" w:sz="4" w:space="0" w:color="B1A0C7"/>
              <w:left w:val="single" w:sz="4" w:space="0" w:color="B1A0C7"/>
              <w:bottom w:val="single" w:sz="4" w:space="0" w:color="B1A0C7"/>
              <w:right w:val="nil"/>
            </w:tcBorders>
            <w:shd w:val="clear" w:color="E4DFEC" w:fill="E4DFEC"/>
            <w:noWrap/>
            <w:vAlign w:val="bottom"/>
            <w:hideMark/>
          </w:tcPr>
          <w:p w14:paraId="1CC1E2D9" w14:textId="77777777" w:rsidR="00CD1838" w:rsidRPr="00D05870" w:rsidRDefault="00CD1838" w:rsidP="0082645F">
            <w:pPr>
              <w:jc w:val="right"/>
              <w:rPr>
                <w:rFonts w:cs="Tahoma"/>
                <w:sz w:val="20"/>
                <w:szCs w:val="20"/>
              </w:rPr>
            </w:pPr>
            <w:r w:rsidRPr="00D05870">
              <w:rPr>
                <w:rFonts w:cs="Tahoma"/>
                <w:sz w:val="20"/>
                <w:szCs w:val="20"/>
              </w:rPr>
              <w:t>131</w:t>
            </w:r>
          </w:p>
        </w:tc>
        <w:tc>
          <w:tcPr>
            <w:tcW w:w="1148" w:type="pct"/>
            <w:tcBorders>
              <w:top w:val="single" w:sz="4" w:space="0" w:color="B1A0C7"/>
              <w:left w:val="nil"/>
              <w:bottom w:val="single" w:sz="4" w:space="0" w:color="B1A0C7"/>
              <w:right w:val="nil"/>
            </w:tcBorders>
            <w:shd w:val="clear" w:color="E4DFEC" w:fill="E4DFEC"/>
            <w:noWrap/>
            <w:vAlign w:val="bottom"/>
            <w:hideMark/>
          </w:tcPr>
          <w:p w14:paraId="55285F58" w14:textId="77777777" w:rsidR="00CD1838" w:rsidRPr="00D05870" w:rsidRDefault="00CD1838" w:rsidP="0082645F">
            <w:pPr>
              <w:rPr>
                <w:rFonts w:cs="Tahoma"/>
                <w:sz w:val="20"/>
                <w:szCs w:val="20"/>
              </w:rPr>
            </w:pPr>
            <w:r w:rsidRPr="00D05870">
              <w:rPr>
                <w:rFonts w:cs="Tahoma"/>
                <w:sz w:val="20"/>
                <w:szCs w:val="20"/>
              </w:rPr>
              <w:t>Derbyshire</w:t>
            </w:r>
          </w:p>
        </w:tc>
        <w:tc>
          <w:tcPr>
            <w:tcW w:w="873" w:type="pct"/>
            <w:tcBorders>
              <w:top w:val="single" w:sz="4" w:space="0" w:color="B1A0C7"/>
              <w:left w:val="nil"/>
              <w:bottom w:val="single" w:sz="4" w:space="0" w:color="B1A0C7"/>
              <w:right w:val="nil"/>
            </w:tcBorders>
            <w:shd w:val="clear" w:color="E4DFEC" w:fill="E4DFEC"/>
            <w:noWrap/>
            <w:vAlign w:val="bottom"/>
            <w:hideMark/>
          </w:tcPr>
          <w:p w14:paraId="08DE9BDF" w14:textId="77777777" w:rsidR="00CD1838" w:rsidRPr="00D05870" w:rsidRDefault="00CD1838" w:rsidP="0082645F">
            <w:pPr>
              <w:jc w:val="right"/>
              <w:rPr>
                <w:rFonts w:cs="Tahoma"/>
                <w:sz w:val="20"/>
                <w:szCs w:val="20"/>
              </w:rPr>
            </w:pPr>
            <w:r w:rsidRPr="00D05870">
              <w:rPr>
                <w:rFonts w:cs="Tahoma"/>
                <w:sz w:val="20"/>
                <w:szCs w:val="20"/>
              </w:rPr>
              <w:t>62</w:t>
            </w:r>
          </w:p>
        </w:tc>
        <w:tc>
          <w:tcPr>
            <w:tcW w:w="650" w:type="pct"/>
            <w:tcBorders>
              <w:top w:val="single" w:sz="4" w:space="0" w:color="B1A0C7"/>
              <w:left w:val="nil"/>
              <w:bottom w:val="single" w:sz="4" w:space="0" w:color="B1A0C7"/>
              <w:right w:val="nil"/>
            </w:tcBorders>
            <w:shd w:val="clear" w:color="E4DFEC" w:fill="E4DFEC"/>
            <w:noWrap/>
            <w:vAlign w:val="bottom"/>
            <w:hideMark/>
          </w:tcPr>
          <w:p w14:paraId="5F0E78E0" w14:textId="77777777" w:rsidR="00CD1838" w:rsidRPr="00D05870" w:rsidRDefault="00CD1838" w:rsidP="0082645F">
            <w:pPr>
              <w:jc w:val="right"/>
              <w:rPr>
                <w:rFonts w:cs="Tahoma"/>
                <w:sz w:val="20"/>
                <w:szCs w:val="20"/>
              </w:rPr>
            </w:pPr>
            <w:r w:rsidRPr="00D05870">
              <w:rPr>
                <w:rFonts w:cs="Tahoma"/>
                <w:sz w:val="20"/>
                <w:szCs w:val="20"/>
              </w:rPr>
              <w:t>10</w:t>
            </w:r>
          </w:p>
        </w:tc>
        <w:tc>
          <w:tcPr>
            <w:tcW w:w="701" w:type="pct"/>
            <w:tcBorders>
              <w:top w:val="single" w:sz="4" w:space="0" w:color="B1A0C7"/>
              <w:left w:val="nil"/>
              <w:bottom w:val="single" w:sz="4" w:space="0" w:color="B1A0C7"/>
              <w:right w:val="nil"/>
            </w:tcBorders>
            <w:shd w:val="clear" w:color="E4DFEC" w:fill="E4DFEC"/>
            <w:noWrap/>
            <w:vAlign w:val="bottom"/>
            <w:hideMark/>
          </w:tcPr>
          <w:p w14:paraId="4940126D" w14:textId="77777777" w:rsidR="00CD1838" w:rsidRPr="00D05870" w:rsidRDefault="00CD1838" w:rsidP="0082645F">
            <w:pPr>
              <w:jc w:val="right"/>
              <w:rPr>
                <w:rFonts w:cs="Tahoma"/>
                <w:sz w:val="20"/>
                <w:szCs w:val="20"/>
              </w:rPr>
            </w:pPr>
            <w:r w:rsidRPr="00D05870">
              <w:rPr>
                <w:rFonts w:cs="Tahoma"/>
                <w:sz w:val="20"/>
                <w:szCs w:val="20"/>
              </w:rPr>
              <w:t>4</w:t>
            </w:r>
          </w:p>
        </w:tc>
        <w:tc>
          <w:tcPr>
            <w:tcW w:w="1195" w:type="pct"/>
            <w:tcBorders>
              <w:top w:val="single" w:sz="4" w:space="0" w:color="B1A0C7"/>
              <w:left w:val="nil"/>
              <w:bottom w:val="single" w:sz="4" w:space="0" w:color="B1A0C7"/>
              <w:right w:val="single" w:sz="4" w:space="0" w:color="B1A0C7"/>
            </w:tcBorders>
            <w:shd w:val="clear" w:color="E4DFEC" w:fill="E4DFEC"/>
            <w:noWrap/>
            <w:vAlign w:val="bottom"/>
            <w:hideMark/>
          </w:tcPr>
          <w:p w14:paraId="3A0FAC66" w14:textId="77777777" w:rsidR="00CD1838" w:rsidRPr="00D05870" w:rsidRDefault="00CD1838" w:rsidP="0082645F">
            <w:pPr>
              <w:jc w:val="right"/>
              <w:rPr>
                <w:rFonts w:cs="Tahoma"/>
                <w:sz w:val="20"/>
                <w:szCs w:val="20"/>
              </w:rPr>
            </w:pPr>
            <w:r w:rsidRPr="00D05870">
              <w:rPr>
                <w:rFonts w:cs="Tahoma"/>
                <w:sz w:val="20"/>
                <w:szCs w:val="20"/>
              </w:rPr>
              <w:t>45</w:t>
            </w:r>
          </w:p>
        </w:tc>
      </w:tr>
      <w:tr w:rsidR="00CD1838" w:rsidRPr="00D05870" w14:paraId="2F3392E9" w14:textId="77777777" w:rsidTr="0082645F">
        <w:trPr>
          <w:gridAfter w:val="1"/>
          <w:wAfter w:w="81" w:type="pct"/>
          <w:trHeight w:val="264"/>
        </w:trPr>
        <w:tc>
          <w:tcPr>
            <w:tcW w:w="351" w:type="pct"/>
            <w:tcBorders>
              <w:top w:val="nil"/>
              <w:left w:val="nil"/>
              <w:bottom w:val="nil"/>
              <w:right w:val="nil"/>
            </w:tcBorders>
            <w:shd w:val="clear" w:color="auto" w:fill="auto"/>
            <w:noWrap/>
            <w:vAlign w:val="bottom"/>
            <w:hideMark/>
          </w:tcPr>
          <w:p w14:paraId="1EC8DCD7" w14:textId="77777777" w:rsidR="00CD1838" w:rsidRPr="00D05870" w:rsidRDefault="00CD1838" w:rsidP="0082645F">
            <w:pPr>
              <w:jc w:val="right"/>
              <w:rPr>
                <w:rFonts w:cs="Tahoma"/>
                <w:sz w:val="20"/>
                <w:szCs w:val="20"/>
              </w:rPr>
            </w:pPr>
          </w:p>
        </w:tc>
        <w:tc>
          <w:tcPr>
            <w:tcW w:w="1148" w:type="pct"/>
            <w:tcBorders>
              <w:top w:val="nil"/>
              <w:left w:val="nil"/>
              <w:bottom w:val="nil"/>
              <w:right w:val="nil"/>
            </w:tcBorders>
            <w:shd w:val="clear" w:color="auto" w:fill="auto"/>
            <w:noWrap/>
            <w:vAlign w:val="bottom"/>
            <w:hideMark/>
          </w:tcPr>
          <w:p w14:paraId="1ACCD782" w14:textId="77777777" w:rsidR="00CD1838" w:rsidRPr="00D05870" w:rsidRDefault="00CD1838" w:rsidP="0082645F">
            <w:pPr>
              <w:rPr>
                <w:sz w:val="20"/>
                <w:szCs w:val="20"/>
              </w:rPr>
            </w:pPr>
          </w:p>
        </w:tc>
        <w:tc>
          <w:tcPr>
            <w:tcW w:w="873" w:type="pct"/>
            <w:tcBorders>
              <w:top w:val="nil"/>
              <w:left w:val="nil"/>
              <w:bottom w:val="nil"/>
              <w:right w:val="nil"/>
            </w:tcBorders>
            <w:shd w:val="clear" w:color="auto" w:fill="auto"/>
            <w:noWrap/>
            <w:vAlign w:val="bottom"/>
            <w:hideMark/>
          </w:tcPr>
          <w:p w14:paraId="3F7460EE" w14:textId="77777777" w:rsidR="00CD1838" w:rsidRPr="00D05870" w:rsidRDefault="00CD1838" w:rsidP="0082645F">
            <w:pPr>
              <w:rPr>
                <w:sz w:val="20"/>
                <w:szCs w:val="20"/>
              </w:rPr>
            </w:pPr>
          </w:p>
        </w:tc>
        <w:tc>
          <w:tcPr>
            <w:tcW w:w="650" w:type="pct"/>
            <w:tcBorders>
              <w:top w:val="nil"/>
              <w:left w:val="nil"/>
              <w:bottom w:val="nil"/>
              <w:right w:val="nil"/>
            </w:tcBorders>
            <w:shd w:val="clear" w:color="auto" w:fill="auto"/>
            <w:noWrap/>
            <w:vAlign w:val="bottom"/>
            <w:hideMark/>
          </w:tcPr>
          <w:p w14:paraId="6EB767F8" w14:textId="77777777" w:rsidR="00CD1838" w:rsidRPr="00D05870" w:rsidRDefault="00CD1838" w:rsidP="0082645F">
            <w:pPr>
              <w:rPr>
                <w:sz w:val="20"/>
                <w:szCs w:val="20"/>
              </w:rPr>
            </w:pPr>
          </w:p>
        </w:tc>
        <w:tc>
          <w:tcPr>
            <w:tcW w:w="701" w:type="pct"/>
            <w:tcBorders>
              <w:top w:val="nil"/>
              <w:left w:val="nil"/>
              <w:bottom w:val="nil"/>
              <w:right w:val="nil"/>
            </w:tcBorders>
            <w:shd w:val="clear" w:color="auto" w:fill="auto"/>
            <w:noWrap/>
            <w:vAlign w:val="bottom"/>
            <w:hideMark/>
          </w:tcPr>
          <w:p w14:paraId="0D1C8950" w14:textId="77777777" w:rsidR="00CD1838" w:rsidRPr="00D05870" w:rsidRDefault="00CD1838" w:rsidP="0082645F">
            <w:pPr>
              <w:rPr>
                <w:sz w:val="20"/>
                <w:szCs w:val="20"/>
              </w:rPr>
            </w:pPr>
          </w:p>
        </w:tc>
        <w:tc>
          <w:tcPr>
            <w:tcW w:w="1195" w:type="pct"/>
            <w:tcBorders>
              <w:top w:val="nil"/>
              <w:left w:val="nil"/>
              <w:bottom w:val="nil"/>
              <w:right w:val="nil"/>
            </w:tcBorders>
            <w:shd w:val="clear" w:color="auto" w:fill="auto"/>
            <w:noWrap/>
            <w:vAlign w:val="bottom"/>
            <w:hideMark/>
          </w:tcPr>
          <w:p w14:paraId="1ACC6B0D" w14:textId="77777777" w:rsidR="00CD1838" w:rsidRPr="00D05870" w:rsidRDefault="00CD1838" w:rsidP="0082645F">
            <w:pPr>
              <w:rPr>
                <w:sz w:val="20"/>
                <w:szCs w:val="20"/>
              </w:rPr>
            </w:pPr>
          </w:p>
        </w:tc>
      </w:tr>
      <w:tr w:rsidR="00CD1838" w:rsidRPr="00D05870" w14:paraId="0BF97485" w14:textId="77777777" w:rsidTr="0082645F">
        <w:trPr>
          <w:gridAfter w:val="1"/>
          <w:wAfter w:w="81" w:type="pct"/>
          <w:trHeight w:val="264"/>
        </w:trPr>
        <w:tc>
          <w:tcPr>
            <w:tcW w:w="351" w:type="pct"/>
            <w:tcBorders>
              <w:top w:val="nil"/>
              <w:left w:val="nil"/>
              <w:bottom w:val="nil"/>
              <w:right w:val="nil"/>
            </w:tcBorders>
            <w:shd w:val="clear" w:color="auto" w:fill="auto"/>
            <w:noWrap/>
            <w:vAlign w:val="bottom"/>
            <w:hideMark/>
          </w:tcPr>
          <w:p w14:paraId="6897CF88" w14:textId="77777777" w:rsidR="00CD1838" w:rsidRPr="00D05870" w:rsidRDefault="00CD1838" w:rsidP="0082645F">
            <w:pPr>
              <w:rPr>
                <w:sz w:val="20"/>
                <w:szCs w:val="20"/>
              </w:rPr>
            </w:pPr>
          </w:p>
        </w:tc>
        <w:tc>
          <w:tcPr>
            <w:tcW w:w="1148" w:type="pct"/>
            <w:tcBorders>
              <w:top w:val="nil"/>
              <w:left w:val="nil"/>
              <w:bottom w:val="nil"/>
              <w:right w:val="nil"/>
            </w:tcBorders>
            <w:shd w:val="clear" w:color="auto" w:fill="auto"/>
            <w:noWrap/>
            <w:vAlign w:val="bottom"/>
            <w:hideMark/>
          </w:tcPr>
          <w:p w14:paraId="23017AE9" w14:textId="77777777" w:rsidR="00CD1838" w:rsidRPr="00D05870" w:rsidRDefault="00CD1838" w:rsidP="0082645F">
            <w:pPr>
              <w:rPr>
                <w:sz w:val="20"/>
                <w:szCs w:val="20"/>
              </w:rPr>
            </w:pPr>
          </w:p>
        </w:tc>
        <w:tc>
          <w:tcPr>
            <w:tcW w:w="873" w:type="pct"/>
            <w:tcBorders>
              <w:top w:val="nil"/>
              <w:left w:val="nil"/>
              <w:bottom w:val="nil"/>
              <w:right w:val="nil"/>
            </w:tcBorders>
            <w:shd w:val="clear" w:color="auto" w:fill="auto"/>
            <w:noWrap/>
            <w:vAlign w:val="bottom"/>
            <w:hideMark/>
          </w:tcPr>
          <w:p w14:paraId="0AD502B5" w14:textId="77777777" w:rsidR="00CD1838" w:rsidRPr="00D05870" w:rsidRDefault="00CD1838" w:rsidP="0082645F">
            <w:pPr>
              <w:rPr>
                <w:sz w:val="20"/>
                <w:szCs w:val="20"/>
              </w:rPr>
            </w:pPr>
          </w:p>
        </w:tc>
        <w:tc>
          <w:tcPr>
            <w:tcW w:w="650" w:type="pct"/>
            <w:tcBorders>
              <w:top w:val="nil"/>
              <w:left w:val="nil"/>
              <w:bottom w:val="nil"/>
              <w:right w:val="nil"/>
            </w:tcBorders>
            <w:shd w:val="clear" w:color="auto" w:fill="auto"/>
            <w:noWrap/>
            <w:vAlign w:val="bottom"/>
            <w:hideMark/>
          </w:tcPr>
          <w:p w14:paraId="28D586DD" w14:textId="77777777" w:rsidR="00CD1838" w:rsidRPr="00D05870" w:rsidRDefault="00CD1838" w:rsidP="0082645F">
            <w:pPr>
              <w:rPr>
                <w:sz w:val="20"/>
                <w:szCs w:val="20"/>
              </w:rPr>
            </w:pPr>
          </w:p>
        </w:tc>
        <w:tc>
          <w:tcPr>
            <w:tcW w:w="701" w:type="pct"/>
            <w:tcBorders>
              <w:top w:val="nil"/>
              <w:left w:val="nil"/>
              <w:bottom w:val="nil"/>
              <w:right w:val="nil"/>
            </w:tcBorders>
            <w:shd w:val="clear" w:color="auto" w:fill="auto"/>
            <w:noWrap/>
            <w:vAlign w:val="bottom"/>
            <w:hideMark/>
          </w:tcPr>
          <w:p w14:paraId="22A38D1A" w14:textId="77777777" w:rsidR="00CD1838" w:rsidRPr="00D05870" w:rsidRDefault="00CD1838" w:rsidP="0082645F">
            <w:pPr>
              <w:rPr>
                <w:sz w:val="20"/>
                <w:szCs w:val="20"/>
              </w:rPr>
            </w:pPr>
          </w:p>
        </w:tc>
        <w:tc>
          <w:tcPr>
            <w:tcW w:w="1195" w:type="pct"/>
            <w:tcBorders>
              <w:top w:val="nil"/>
              <w:left w:val="nil"/>
              <w:bottom w:val="nil"/>
              <w:right w:val="nil"/>
            </w:tcBorders>
            <w:shd w:val="clear" w:color="000000" w:fill="FFFFFF"/>
            <w:noWrap/>
            <w:vAlign w:val="bottom"/>
            <w:hideMark/>
          </w:tcPr>
          <w:p w14:paraId="7768D67D" w14:textId="77777777" w:rsidR="00CD1838" w:rsidRPr="00D05870" w:rsidRDefault="00CD1838" w:rsidP="0082645F">
            <w:pPr>
              <w:jc w:val="right"/>
              <w:rPr>
                <w:rFonts w:cs="Tahoma"/>
                <w:i/>
                <w:iCs/>
                <w:sz w:val="16"/>
                <w:szCs w:val="16"/>
              </w:rPr>
            </w:pPr>
            <w:r w:rsidRPr="00D05870">
              <w:rPr>
                <w:rFonts w:cs="Tahoma"/>
                <w:i/>
                <w:iCs/>
                <w:sz w:val="16"/>
                <w:szCs w:val="16"/>
              </w:rPr>
              <w:t>Source: Ofsted and Department for Education</w:t>
            </w:r>
          </w:p>
        </w:tc>
      </w:tr>
      <w:tr w:rsidR="00CD1838" w:rsidRPr="00D05870" w14:paraId="41A79DCD" w14:textId="77777777" w:rsidTr="0082645F">
        <w:trPr>
          <w:trHeight w:val="264"/>
        </w:trPr>
        <w:tc>
          <w:tcPr>
            <w:tcW w:w="3724" w:type="pct"/>
            <w:gridSpan w:val="5"/>
            <w:tcBorders>
              <w:top w:val="nil"/>
              <w:left w:val="nil"/>
              <w:bottom w:val="nil"/>
              <w:right w:val="nil"/>
            </w:tcBorders>
            <w:shd w:val="clear" w:color="auto" w:fill="auto"/>
            <w:noWrap/>
            <w:vAlign w:val="center"/>
            <w:hideMark/>
          </w:tcPr>
          <w:p w14:paraId="7BF7D693" w14:textId="77777777" w:rsidR="00CD1838" w:rsidRPr="00D05870" w:rsidRDefault="00CD1838" w:rsidP="0082645F">
            <w:pPr>
              <w:rPr>
                <w:rFonts w:cs="Tahoma"/>
                <w:sz w:val="16"/>
                <w:szCs w:val="16"/>
              </w:rPr>
            </w:pPr>
            <w:r w:rsidRPr="00D05870">
              <w:rPr>
                <w:rFonts w:cs="Tahoma"/>
                <w:sz w:val="16"/>
                <w:szCs w:val="16"/>
              </w:rPr>
              <w:t>1. Inspections conducted by 31 August 2016 where the inspe</w:t>
            </w:r>
            <w:r>
              <w:rPr>
                <w:rFonts w:cs="Tahoma"/>
                <w:sz w:val="16"/>
                <w:szCs w:val="16"/>
              </w:rPr>
              <w:t>ction report was published by 30 Septem</w:t>
            </w:r>
            <w:r w:rsidRPr="00D05870">
              <w:rPr>
                <w:rFonts w:cs="Tahoma"/>
                <w:sz w:val="16"/>
                <w:szCs w:val="16"/>
              </w:rPr>
              <w:t>ber 2016</w:t>
            </w:r>
          </w:p>
        </w:tc>
        <w:tc>
          <w:tcPr>
            <w:tcW w:w="1195" w:type="pct"/>
            <w:tcBorders>
              <w:top w:val="nil"/>
              <w:left w:val="nil"/>
              <w:bottom w:val="nil"/>
              <w:right w:val="nil"/>
            </w:tcBorders>
            <w:shd w:val="clear" w:color="auto" w:fill="auto"/>
            <w:noWrap/>
            <w:vAlign w:val="bottom"/>
            <w:hideMark/>
          </w:tcPr>
          <w:p w14:paraId="6DEFB172" w14:textId="77777777" w:rsidR="00CD1838" w:rsidRPr="00D05870" w:rsidRDefault="00CD1838" w:rsidP="0082645F">
            <w:pPr>
              <w:rPr>
                <w:rFonts w:cs="Tahoma"/>
                <w:sz w:val="16"/>
                <w:szCs w:val="16"/>
              </w:rPr>
            </w:pPr>
          </w:p>
        </w:tc>
        <w:tc>
          <w:tcPr>
            <w:tcW w:w="81" w:type="pct"/>
            <w:tcBorders>
              <w:top w:val="nil"/>
              <w:left w:val="nil"/>
              <w:bottom w:val="nil"/>
              <w:right w:val="nil"/>
            </w:tcBorders>
            <w:shd w:val="clear" w:color="auto" w:fill="auto"/>
            <w:noWrap/>
            <w:vAlign w:val="bottom"/>
            <w:hideMark/>
          </w:tcPr>
          <w:p w14:paraId="1F775FEC" w14:textId="77777777" w:rsidR="00CD1838" w:rsidRPr="00D05870" w:rsidRDefault="00CD1838" w:rsidP="0082645F">
            <w:pPr>
              <w:rPr>
                <w:sz w:val="20"/>
                <w:szCs w:val="20"/>
              </w:rPr>
            </w:pPr>
          </w:p>
        </w:tc>
      </w:tr>
      <w:tr w:rsidR="00CD1838" w:rsidRPr="00D05870" w14:paraId="5C2D4705" w14:textId="77777777" w:rsidTr="0082645F">
        <w:trPr>
          <w:trHeight w:val="288"/>
        </w:trPr>
        <w:tc>
          <w:tcPr>
            <w:tcW w:w="3023" w:type="pct"/>
            <w:gridSpan w:val="4"/>
            <w:tcBorders>
              <w:top w:val="nil"/>
              <w:left w:val="nil"/>
              <w:bottom w:val="nil"/>
              <w:right w:val="nil"/>
            </w:tcBorders>
            <w:shd w:val="clear" w:color="auto" w:fill="auto"/>
            <w:noWrap/>
            <w:vAlign w:val="center"/>
            <w:hideMark/>
          </w:tcPr>
          <w:p w14:paraId="565D9CBC" w14:textId="77777777" w:rsidR="00CD1838" w:rsidRPr="00D05870" w:rsidRDefault="00CD1838" w:rsidP="0082645F">
            <w:pPr>
              <w:rPr>
                <w:rFonts w:cs="Tahoma"/>
                <w:sz w:val="16"/>
                <w:szCs w:val="16"/>
              </w:rPr>
            </w:pPr>
            <w:r w:rsidRPr="00D05870">
              <w:rPr>
                <w:rFonts w:cs="Tahoma"/>
                <w:sz w:val="16"/>
                <w:szCs w:val="16"/>
              </w:rPr>
              <w:t>2. Isles of Scilly and City of London excluded from analysis due to small numbers</w:t>
            </w:r>
          </w:p>
        </w:tc>
        <w:tc>
          <w:tcPr>
            <w:tcW w:w="701" w:type="pct"/>
            <w:tcBorders>
              <w:top w:val="nil"/>
              <w:left w:val="nil"/>
              <w:bottom w:val="nil"/>
              <w:right w:val="nil"/>
            </w:tcBorders>
            <w:shd w:val="clear" w:color="auto" w:fill="auto"/>
            <w:noWrap/>
            <w:vAlign w:val="bottom"/>
            <w:hideMark/>
          </w:tcPr>
          <w:p w14:paraId="6052BB47" w14:textId="77777777" w:rsidR="00CD1838" w:rsidRPr="00D05870" w:rsidRDefault="00CD1838" w:rsidP="0082645F">
            <w:pPr>
              <w:rPr>
                <w:rFonts w:cs="Tahoma"/>
                <w:sz w:val="16"/>
                <w:szCs w:val="16"/>
              </w:rPr>
            </w:pPr>
          </w:p>
        </w:tc>
        <w:tc>
          <w:tcPr>
            <w:tcW w:w="1195" w:type="pct"/>
            <w:tcBorders>
              <w:top w:val="nil"/>
              <w:left w:val="nil"/>
              <w:bottom w:val="nil"/>
              <w:right w:val="nil"/>
            </w:tcBorders>
            <w:shd w:val="clear" w:color="auto" w:fill="auto"/>
            <w:noWrap/>
            <w:vAlign w:val="bottom"/>
            <w:hideMark/>
          </w:tcPr>
          <w:p w14:paraId="60E76A9B" w14:textId="77777777" w:rsidR="00CD1838" w:rsidRPr="00D05870" w:rsidRDefault="00CD1838" w:rsidP="0082645F">
            <w:pPr>
              <w:rPr>
                <w:sz w:val="20"/>
                <w:szCs w:val="20"/>
              </w:rPr>
            </w:pPr>
          </w:p>
        </w:tc>
        <w:tc>
          <w:tcPr>
            <w:tcW w:w="81" w:type="pct"/>
            <w:tcBorders>
              <w:top w:val="nil"/>
              <w:left w:val="nil"/>
              <w:bottom w:val="nil"/>
              <w:right w:val="nil"/>
            </w:tcBorders>
            <w:shd w:val="clear" w:color="auto" w:fill="auto"/>
            <w:noWrap/>
            <w:vAlign w:val="bottom"/>
            <w:hideMark/>
          </w:tcPr>
          <w:p w14:paraId="28F1B804" w14:textId="77777777" w:rsidR="00CD1838" w:rsidRPr="00D05870" w:rsidRDefault="00CD1838" w:rsidP="0082645F">
            <w:pPr>
              <w:rPr>
                <w:sz w:val="20"/>
                <w:szCs w:val="20"/>
              </w:rPr>
            </w:pPr>
          </w:p>
        </w:tc>
      </w:tr>
    </w:tbl>
    <w:p w14:paraId="500A754A" w14:textId="77777777" w:rsidR="00CD1838" w:rsidRDefault="00CD1838" w:rsidP="00CD1838">
      <w:pPr>
        <w:rPr>
          <w:rFonts w:cs="Tahoma"/>
        </w:rPr>
      </w:pPr>
    </w:p>
    <w:p w14:paraId="3C4275FE" w14:textId="77777777" w:rsidR="00CD1838" w:rsidRDefault="00CD1838" w:rsidP="00CD1838">
      <w:pPr>
        <w:rPr>
          <w:lang w:eastAsia="en-GB"/>
        </w:rPr>
      </w:pPr>
    </w:p>
    <w:p w14:paraId="5CB57082" w14:textId="77777777" w:rsidR="00CD1838" w:rsidRDefault="00CD1838" w:rsidP="00CD1838">
      <w:pPr>
        <w:rPr>
          <w:rFonts w:cs="Tahoma"/>
        </w:rPr>
      </w:pPr>
    </w:p>
    <w:p w14:paraId="7F5DDD60" w14:textId="77777777" w:rsidR="00873A05" w:rsidRDefault="00873A05">
      <w:pPr>
        <w:spacing w:after="200" w:line="276" w:lineRule="auto"/>
        <w:rPr>
          <w:b/>
          <w:color w:val="auto"/>
          <w:sz w:val="28"/>
          <w:szCs w:val="28"/>
          <w:lang w:eastAsia="en-GB"/>
        </w:rPr>
      </w:pPr>
      <w:r>
        <w:br w:type="page"/>
      </w:r>
    </w:p>
    <w:p w14:paraId="37A9FFE5" w14:textId="25FE186C" w:rsidR="00CD1838" w:rsidRDefault="00D51495" w:rsidP="00CD1838">
      <w:pPr>
        <w:pStyle w:val="Heading2"/>
      </w:pPr>
      <w:r w:rsidRPr="00D51495">
        <w:lastRenderedPageBreak/>
        <w:t>List of education and skills providers judged outstanding in 2015/16</w:t>
      </w:r>
    </w:p>
    <w:tbl>
      <w:tblPr>
        <w:tblStyle w:val="GridTable4-Accent41"/>
        <w:tblW w:w="0" w:type="auto"/>
        <w:tblLayout w:type="fixed"/>
        <w:tblLook w:val="04A0" w:firstRow="1" w:lastRow="0" w:firstColumn="1" w:lastColumn="0" w:noHBand="0" w:noVBand="1"/>
      </w:tblPr>
      <w:tblGrid>
        <w:gridCol w:w="959"/>
        <w:gridCol w:w="992"/>
        <w:gridCol w:w="4111"/>
        <w:gridCol w:w="3753"/>
        <w:gridCol w:w="2200"/>
        <w:gridCol w:w="2159"/>
      </w:tblGrid>
      <w:tr w:rsidR="00CD1838" w:rsidRPr="00BE2CE1" w14:paraId="6C0B4B0D" w14:textId="77777777" w:rsidTr="0082645F">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959" w:type="dxa"/>
            <w:noWrap/>
            <w:hideMark/>
          </w:tcPr>
          <w:p w14:paraId="0FCAD7C6" w14:textId="77777777" w:rsidR="00CD1838" w:rsidRPr="00EF5E7A" w:rsidRDefault="00CD1838" w:rsidP="0082645F">
            <w:pPr>
              <w:rPr>
                <w:rFonts w:cs="Tahoma"/>
                <w:color w:val="FFFFFF" w:themeColor="background1"/>
                <w:sz w:val="20"/>
                <w:szCs w:val="20"/>
                <w:lang w:eastAsia="en-GB"/>
              </w:rPr>
            </w:pPr>
            <w:r w:rsidRPr="00EF5E7A">
              <w:rPr>
                <w:rFonts w:cs="Tahoma"/>
                <w:color w:val="FFFFFF" w:themeColor="background1"/>
                <w:sz w:val="20"/>
                <w:szCs w:val="20"/>
                <w:lang w:eastAsia="en-GB"/>
              </w:rPr>
              <w:t>Report</w:t>
            </w:r>
          </w:p>
        </w:tc>
        <w:tc>
          <w:tcPr>
            <w:tcW w:w="992" w:type="dxa"/>
            <w:noWrap/>
            <w:hideMark/>
          </w:tcPr>
          <w:p w14:paraId="73C489C3" w14:textId="77777777" w:rsidR="00CD1838" w:rsidRPr="00EF5E7A" w:rsidRDefault="00CD1838" w:rsidP="0082645F">
            <w:pPr>
              <w:cnfStyle w:val="100000000000" w:firstRow="1" w:lastRow="0" w:firstColumn="0" w:lastColumn="0" w:oddVBand="0" w:evenVBand="0" w:oddHBand="0" w:evenHBand="0" w:firstRowFirstColumn="0" w:firstRowLastColumn="0" w:lastRowFirstColumn="0" w:lastRowLastColumn="0"/>
              <w:rPr>
                <w:rFonts w:cs="Tahoma"/>
                <w:color w:val="FFFFFF" w:themeColor="background1"/>
                <w:sz w:val="20"/>
                <w:szCs w:val="20"/>
                <w:lang w:eastAsia="en-GB"/>
              </w:rPr>
            </w:pPr>
            <w:r w:rsidRPr="00EF5E7A">
              <w:rPr>
                <w:rFonts w:cs="Tahoma"/>
                <w:color w:val="FFFFFF" w:themeColor="background1"/>
                <w:sz w:val="20"/>
                <w:szCs w:val="20"/>
                <w:lang w:eastAsia="en-GB"/>
              </w:rPr>
              <w:t>URN</w:t>
            </w:r>
          </w:p>
        </w:tc>
        <w:tc>
          <w:tcPr>
            <w:tcW w:w="4111" w:type="dxa"/>
            <w:noWrap/>
            <w:hideMark/>
          </w:tcPr>
          <w:p w14:paraId="55E5FEF1" w14:textId="77777777" w:rsidR="00CD1838" w:rsidRPr="00EF5E7A" w:rsidRDefault="00CD1838" w:rsidP="0082645F">
            <w:pPr>
              <w:cnfStyle w:val="100000000000" w:firstRow="1" w:lastRow="0" w:firstColumn="0" w:lastColumn="0" w:oddVBand="0" w:evenVBand="0" w:oddHBand="0" w:evenHBand="0" w:firstRowFirstColumn="0" w:firstRowLastColumn="0" w:lastRowFirstColumn="0" w:lastRowLastColumn="0"/>
              <w:rPr>
                <w:rFonts w:cs="Tahoma"/>
                <w:color w:val="FFFFFF" w:themeColor="background1"/>
                <w:sz w:val="20"/>
                <w:szCs w:val="20"/>
                <w:lang w:eastAsia="en-GB"/>
              </w:rPr>
            </w:pPr>
            <w:r w:rsidRPr="00EF5E7A">
              <w:rPr>
                <w:rFonts w:cs="Tahoma"/>
                <w:color w:val="FFFFFF" w:themeColor="background1"/>
                <w:sz w:val="20"/>
                <w:szCs w:val="20"/>
                <w:lang w:eastAsia="en-GB"/>
              </w:rPr>
              <w:t>Name</w:t>
            </w:r>
          </w:p>
        </w:tc>
        <w:tc>
          <w:tcPr>
            <w:tcW w:w="3753" w:type="dxa"/>
            <w:noWrap/>
            <w:hideMark/>
          </w:tcPr>
          <w:p w14:paraId="73723C30" w14:textId="77777777" w:rsidR="00CD1838" w:rsidRPr="00EF5E7A" w:rsidRDefault="00CD1838" w:rsidP="0082645F">
            <w:pPr>
              <w:cnfStyle w:val="100000000000" w:firstRow="1" w:lastRow="0" w:firstColumn="0" w:lastColumn="0" w:oddVBand="0" w:evenVBand="0" w:oddHBand="0" w:evenHBand="0" w:firstRowFirstColumn="0" w:firstRowLastColumn="0" w:lastRowFirstColumn="0" w:lastRowLastColumn="0"/>
              <w:rPr>
                <w:rFonts w:cs="Tahoma"/>
                <w:color w:val="FFFFFF" w:themeColor="background1"/>
                <w:sz w:val="20"/>
                <w:szCs w:val="20"/>
                <w:lang w:eastAsia="en-GB"/>
              </w:rPr>
            </w:pPr>
            <w:r w:rsidRPr="00EF5E7A">
              <w:rPr>
                <w:rFonts w:cs="Tahoma"/>
                <w:color w:val="FFFFFF" w:themeColor="background1"/>
                <w:sz w:val="20"/>
                <w:szCs w:val="20"/>
                <w:lang w:eastAsia="en-GB"/>
              </w:rPr>
              <w:t>Provider type</w:t>
            </w:r>
          </w:p>
        </w:tc>
        <w:tc>
          <w:tcPr>
            <w:tcW w:w="2200" w:type="dxa"/>
            <w:noWrap/>
            <w:hideMark/>
          </w:tcPr>
          <w:p w14:paraId="007BF913" w14:textId="77777777" w:rsidR="00CD1838" w:rsidRPr="00EF5E7A" w:rsidRDefault="00CD1838" w:rsidP="0082645F">
            <w:pPr>
              <w:cnfStyle w:val="100000000000" w:firstRow="1" w:lastRow="0" w:firstColumn="0" w:lastColumn="0" w:oddVBand="0" w:evenVBand="0" w:oddHBand="0" w:evenHBand="0" w:firstRowFirstColumn="0" w:firstRowLastColumn="0" w:lastRowFirstColumn="0" w:lastRowLastColumn="0"/>
              <w:rPr>
                <w:rFonts w:cs="Tahoma"/>
                <w:color w:val="FFFFFF" w:themeColor="background1"/>
                <w:sz w:val="20"/>
                <w:szCs w:val="20"/>
                <w:lang w:eastAsia="en-GB"/>
              </w:rPr>
            </w:pPr>
            <w:r w:rsidRPr="00EF5E7A">
              <w:rPr>
                <w:rFonts w:cs="Tahoma"/>
                <w:color w:val="FFFFFF" w:themeColor="background1"/>
                <w:sz w:val="20"/>
                <w:szCs w:val="20"/>
                <w:lang w:eastAsia="en-GB"/>
              </w:rPr>
              <w:t>Provision type</w:t>
            </w:r>
          </w:p>
        </w:tc>
        <w:tc>
          <w:tcPr>
            <w:tcW w:w="2159" w:type="dxa"/>
            <w:noWrap/>
            <w:hideMark/>
          </w:tcPr>
          <w:p w14:paraId="2F0EF64A" w14:textId="77777777" w:rsidR="00CD1838" w:rsidRPr="00EF5E7A" w:rsidRDefault="00CD1838" w:rsidP="0082645F">
            <w:pPr>
              <w:cnfStyle w:val="100000000000" w:firstRow="1" w:lastRow="0" w:firstColumn="0" w:lastColumn="0" w:oddVBand="0" w:evenVBand="0" w:oddHBand="0" w:evenHBand="0" w:firstRowFirstColumn="0" w:firstRowLastColumn="0" w:lastRowFirstColumn="0" w:lastRowLastColumn="0"/>
              <w:rPr>
                <w:rFonts w:cs="Tahoma"/>
                <w:color w:val="FFFFFF" w:themeColor="background1"/>
                <w:sz w:val="20"/>
                <w:szCs w:val="20"/>
                <w:lang w:eastAsia="en-GB"/>
              </w:rPr>
            </w:pPr>
            <w:r w:rsidRPr="00EF5E7A">
              <w:rPr>
                <w:rFonts w:cs="Tahoma"/>
                <w:color w:val="FFFFFF" w:themeColor="background1"/>
                <w:sz w:val="20"/>
                <w:szCs w:val="20"/>
                <w:lang w:eastAsia="en-GB"/>
              </w:rPr>
              <w:t>Local authority</w:t>
            </w:r>
          </w:p>
        </w:tc>
      </w:tr>
      <w:tr w:rsidR="00CD1838" w:rsidRPr="00BE2CE1" w14:paraId="0D333C6C"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084B12B9" w14:textId="77777777" w:rsidR="00CD1838" w:rsidRPr="00BE2CE1" w:rsidRDefault="00FD71CE" w:rsidP="0082645F">
            <w:pPr>
              <w:rPr>
                <w:rFonts w:cs="Tahoma"/>
                <w:color w:val="0000FF"/>
                <w:sz w:val="20"/>
                <w:szCs w:val="20"/>
                <w:u w:val="single"/>
                <w:lang w:eastAsia="en-GB"/>
              </w:rPr>
            </w:pPr>
            <w:hyperlink r:id="rId31" w:tgtFrame="_parent" w:history="1">
              <w:r w:rsidR="00CD1838" w:rsidRPr="00BE2CE1">
                <w:rPr>
                  <w:rFonts w:cs="Tahoma"/>
                  <w:color w:val="0000FF"/>
                  <w:sz w:val="20"/>
                  <w:szCs w:val="20"/>
                  <w:u w:val="single"/>
                  <w:lang w:eastAsia="en-GB"/>
                </w:rPr>
                <w:t>Report</w:t>
              </w:r>
            </w:hyperlink>
          </w:p>
        </w:tc>
        <w:tc>
          <w:tcPr>
            <w:tcW w:w="992" w:type="dxa"/>
            <w:noWrap/>
            <w:hideMark/>
          </w:tcPr>
          <w:p w14:paraId="4319E8BF"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113047</w:t>
            </w:r>
          </w:p>
        </w:tc>
        <w:tc>
          <w:tcPr>
            <w:tcW w:w="4111" w:type="dxa"/>
            <w:noWrap/>
            <w:hideMark/>
          </w:tcPr>
          <w:p w14:paraId="5402C14D"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Ivy House School</w:t>
            </w:r>
          </w:p>
        </w:tc>
        <w:tc>
          <w:tcPr>
            <w:tcW w:w="3753" w:type="dxa"/>
            <w:noWrap/>
            <w:hideMark/>
          </w:tcPr>
          <w:p w14:paraId="08BE7F9E"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Community Special School</w:t>
            </w:r>
          </w:p>
        </w:tc>
        <w:tc>
          <w:tcPr>
            <w:tcW w:w="2200" w:type="dxa"/>
            <w:noWrap/>
            <w:hideMark/>
          </w:tcPr>
          <w:p w14:paraId="0F327F4F"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Special</w:t>
            </w:r>
          </w:p>
        </w:tc>
        <w:tc>
          <w:tcPr>
            <w:tcW w:w="2159" w:type="dxa"/>
            <w:noWrap/>
            <w:hideMark/>
          </w:tcPr>
          <w:p w14:paraId="1F4AA1F0"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Derby</w:t>
            </w:r>
          </w:p>
        </w:tc>
      </w:tr>
      <w:tr w:rsidR="00CD1838" w:rsidRPr="00BE2CE1" w14:paraId="0274E23C"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01A1B29C" w14:textId="77777777" w:rsidR="00CD1838" w:rsidRPr="00BE2CE1" w:rsidRDefault="00FD71CE" w:rsidP="0082645F">
            <w:pPr>
              <w:rPr>
                <w:rFonts w:cs="Tahoma"/>
                <w:color w:val="0000FF"/>
                <w:sz w:val="20"/>
                <w:szCs w:val="20"/>
                <w:u w:val="single"/>
                <w:lang w:eastAsia="en-GB"/>
              </w:rPr>
            </w:pPr>
            <w:hyperlink r:id="rId32" w:tgtFrame="_parent" w:history="1">
              <w:r w:rsidR="00CD1838" w:rsidRPr="00BE2CE1">
                <w:rPr>
                  <w:rFonts w:cs="Tahoma"/>
                  <w:color w:val="0000FF"/>
                  <w:sz w:val="20"/>
                  <w:szCs w:val="20"/>
                  <w:u w:val="single"/>
                  <w:lang w:eastAsia="en-GB"/>
                </w:rPr>
                <w:t>Report</w:t>
              </w:r>
            </w:hyperlink>
          </w:p>
        </w:tc>
        <w:tc>
          <w:tcPr>
            <w:tcW w:w="992" w:type="dxa"/>
            <w:noWrap/>
            <w:hideMark/>
          </w:tcPr>
          <w:p w14:paraId="334DC711"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112779</w:t>
            </w:r>
          </w:p>
        </w:tc>
        <w:tc>
          <w:tcPr>
            <w:tcW w:w="4111" w:type="dxa"/>
            <w:noWrap/>
            <w:hideMark/>
          </w:tcPr>
          <w:p w14:paraId="49DA9A16"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Lawn Primary School</w:t>
            </w:r>
          </w:p>
        </w:tc>
        <w:tc>
          <w:tcPr>
            <w:tcW w:w="3753" w:type="dxa"/>
            <w:noWrap/>
            <w:hideMark/>
          </w:tcPr>
          <w:p w14:paraId="62562B33"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Community School</w:t>
            </w:r>
          </w:p>
        </w:tc>
        <w:tc>
          <w:tcPr>
            <w:tcW w:w="2200" w:type="dxa"/>
            <w:noWrap/>
            <w:hideMark/>
          </w:tcPr>
          <w:p w14:paraId="1EC42696"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Primary</w:t>
            </w:r>
          </w:p>
        </w:tc>
        <w:tc>
          <w:tcPr>
            <w:tcW w:w="2159" w:type="dxa"/>
            <w:noWrap/>
            <w:hideMark/>
          </w:tcPr>
          <w:p w14:paraId="660900E9"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Derby</w:t>
            </w:r>
          </w:p>
        </w:tc>
      </w:tr>
      <w:tr w:rsidR="00CD1838" w:rsidRPr="00BE2CE1" w14:paraId="2D6DD561"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5917C760" w14:textId="77777777" w:rsidR="00CD1838" w:rsidRPr="00BE2CE1" w:rsidRDefault="00FD71CE" w:rsidP="0082645F">
            <w:pPr>
              <w:rPr>
                <w:rFonts w:cs="Tahoma"/>
                <w:color w:val="0000FF"/>
                <w:sz w:val="20"/>
                <w:szCs w:val="20"/>
                <w:u w:val="single"/>
                <w:lang w:eastAsia="en-GB"/>
              </w:rPr>
            </w:pPr>
            <w:hyperlink r:id="rId33" w:tgtFrame="_parent" w:history="1">
              <w:r w:rsidR="00CD1838" w:rsidRPr="00BE2CE1">
                <w:rPr>
                  <w:rFonts w:cs="Tahoma"/>
                  <w:color w:val="0000FF"/>
                  <w:sz w:val="20"/>
                  <w:szCs w:val="20"/>
                  <w:u w:val="single"/>
                  <w:lang w:eastAsia="en-GB"/>
                </w:rPr>
                <w:t>Report</w:t>
              </w:r>
            </w:hyperlink>
          </w:p>
        </w:tc>
        <w:tc>
          <w:tcPr>
            <w:tcW w:w="992" w:type="dxa"/>
            <w:noWrap/>
            <w:hideMark/>
          </w:tcPr>
          <w:p w14:paraId="004894D5"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70018</w:t>
            </w:r>
          </w:p>
        </w:tc>
        <w:tc>
          <w:tcPr>
            <w:tcW w:w="4111" w:type="dxa"/>
            <w:noWrap/>
            <w:hideMark/>
          </w:tcPr>
          <w:p w14:paraId="7B826985"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University of Derby</w:t>
            </w:r>
          </w:p>
        </w:tc>
        <w:tc>
          <w:tcPr>
            <w:tcW w:w="3753" w:type="dxa"/>
            <w:noWrap/>
            <w:hideMark/>
          </w:tcPr>
          <w:p w14:paraId="551711B9"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Initial teacher education</w:t>
            </w:r>
          </w:p>
        </w:tc>
        <w:tc>
          <w:tcPr>
            <w:tcW w:w="2200" w:type="dxa"/>
            <w:noWrap/>
            <w:hideMark/>
          </w:tcPr>
          <w:p w14:paraId="710FB88D"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Primary QTS</w:t>
            </w:r>
          </w:p>
        </w:tc>
        <w:tc>
          <w:tcPr>
            <w:tcW w:w="2159" w:type="dxa"/>
            <w:noWrap/>
            <w:hideMark/>
          </w:tcPr>
          <w:p w14:paraId="0327EAF8"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Derby</w:t>
            </w:r>
          </w:p>
        </w:tc>
      </w:tr>
      <w:tr w:rsidR="00CD1838" w:rsidRPr="00BE2CE1" w14:paraId="75CCC4E5"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699FC74D" w14:textId="77777777" w:rsidR="00CD1838" w:rsidRPr="00BE2CE1" w:rsidRDefault="00FD71CE" w:rsidP="0082645F">
            <w:pPr>
              <w:rPr>
                <w:rFonts w:cs="Tahoma"/>
                <w:color w:val="0000FF"/>
                <w:sz w:val="20"/>
                <w:szCs w:val="20"/>
                <w:u w:val="single"/>
                <w:lang w:eastAsia="en-GB"/>
              </w:rPr>
            </w:pPr>
            <w:hyperlink r:id="rId34" w:tgtFrame="_parent" w:history="1">
              <w:r w:rsidR="00CD1838" w:rsidRPr="00BE2CE1">
                <w:rPr>
                  <w:rFonts w:cs="Tahoma"/>
                  <w:color w:val="0000FF"/>
                  <w:sz w:val="20"/>
                  <w:szCs w:val="20"/>
                  <w:u w:val="single"/>
                  <w:lang w:eastAsia="en-GB"/>
                </w:rPr>
                <w:t>Report</w:t>
              </w:r>
            </w:hyperlink>
          </w:p>
        </w:tc>
        <w:tc>
          <w:tcPr>
            <w:tcW w:w="992" w:type="dxa"/>
            <w:noWrap/>
            <w:hideMark/>
          </w:tcPr>
          <w:p w14:paraId="31ADB661"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70018</w:t>
            </w:r>
          </w:p>
        </w:tc>
        <w:tc>
          <w:tcPr>
            <w:tcW w:w="4111" w:type="dxa"/>
            <w:noWrap/>
            <w:hideMark/>
          </w:tcPr>
          <w:p w14:paraId="703A862B"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University of Derby</w:t>
            </w:r>
          </w:p>
        </w:tc>
        <w:tc>
          <w:tcPr>
            <w:tcW w:w="3753" w:type="dxa"/>
            <w:noWrap/>
            <w:hideMark/>
          </w:tcPr>
          <w:p w14:paraId="103A2526"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Initial teacher education</w:t>
            </w:r>
          </w:p>
        </w:tc>
        <w:tc>
          <w:tcPr>
            <w:tcW w:w="2200" w:type="dxa"/>
            <w:noWrap/>
            <w:hideMark/>
          </w:tcPr>
          <w:p w14:paraId="21AFCA4B"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ITE in FE</w:t>
            </w:r>
          </w:p>
        </w:tc>
        <w:tc>
          <w:tcPr>
            <w:tcW w:w="2159" w:type="dxa"/>
            <w:noWrap/>
            <w:hideMark/>
          </w:tcPr>
          <w:p w14:paraId="6FF06E85"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Derby</w:t>
            </w:r>
          </w:p>
        </w:tc>
      </w:tr>
      <w:tr w:rsidR="00CD1838" w:rsidRPr="00BE2CE1" w14:paraId="5567ECD4"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4BAA8AA3" w14:textId="77777777" w:rsidR="00CD1838" w:rsidRPr="00BE2CE1" w:rsidRDefault="00FD71CE" w:rsidP="0082645F">
            <w:pPr>
              <w:rPr>
                <w:rFonts w:cs="Tahoma"/>
                <w:color w:val="0000FF"/>
                <w:sz w:val="20"/>
                <w:szCs w:val="20"/>
                <w:u w:val="single"/>
                <w:lang w:eastAsia="en-GB"/>
              </w:rPr>
            </w:pPr>
            <w:hyperlink r:id="rId35" w:tgtFrame="_parent" w:history="1">
              <w:r w:rsidR="00CD1838" w:rsidRPr="00BE2CE1">
                <w:rPr>
                  <w:rFonts w:cs="Tahoma"/>
                  <w:color w:val="0000FF"/>
                  <w:sz w:val="20"/>
                  <w:szCs w:val="20"/>
                  <w:u w:val="single"/>
                  <w:lang w:eastAsia="en-GB"/>
                </w:rPr>
                <w:t>Report</w:t>
              </w:r>
            </w:hyperlink>
          </w:p>
        </w:tc>
        <w:tc>
          <w:tcPr>
            <w:tcW w:w="992" w:type="dxa"/>
            <w:noWrap/>
            <w:hideMark/>
          </w:tcPr>
          <w:p w14:paraId="68957C62"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112932</w:t>
            </w:r>
          </w:p>
        </w:tc>
        <w:tc>
          <w:tcPr>
            <w:tcW w:w="4111" w:type="dxa"/>
            <w:noWrap/>
            <w:hideMark/>
          </w:tcPr>
          <w:p w14:paraId="49D1AE64"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Chapel-</w:t>
            </w:r>
            <w:proofErr w:type="spellStart"/>
            <w:r w:rsidRPr="00BE2CE1">
              <w:rPr>
                <w:rFonts w:cs="Tahoma"/>
                <w:sz w:val="20"/>
                <w:szCs w:val="20"/>
                <w:lang w:eastAsia="en-GB"/>
              </w:rPr>
              <w:t>en</w:t>
            </w:r>
            <w:proofErr w:type="spellEnd"/>
            <w:r w:rsidRPr="00BE2CE1">
              <w:rPr>
                <w:rFonts w:cs="Tahoma"/>
                <w:sz w:val="20"/>
                <w:szCs w:val="20"/>
                <w:lang w:eastAsia="en-GB"/>
              </w:rPr>
              <w:t>-le-Frith High School</w:t>
            </w:r>
          </w:p>
        </w:tc>
        <w:tc>
          <w:tcPr>
            <w:tcW w:w="3753" w:type="dxa"/>
            <w:noWrap/>
            <w:hideMark/>
          </w:tcPr>
          <w:p w14:paraId="0C1C16A9"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Community School</w:t>
            </w:r>
          </w:p>
        </w:tc>
        <w:tc>
          <w:tcPr>
            <w:tcW w:w="2200" w:type="dxa"/>
            <w:noWrap/>
            <w:hideMark/>
          </w:tcPr>
          <w:p w14:paraId="2C9E0D30"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Secondary</w:t>
            </w:r>
          </w:p>
        </w:tc>
        <w:tc>
          <w:tcPr>
            <w:tcW w:w="2159" w:type="dxa"/>
            <w:noWrap/>
            <w:hideMark/>
          </w:tcPr>
          <w:p w14:paraId="466CC254"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Derbyshire</w:t>
            </w:r>
          </w:p>
        </w:tc>
      </w:tr>
      <w:tr w:rsidR="00CD1838" w:rsidRPr="00BE2CE1" w14:paraId="5D9A169C"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0EF55277" w14:textId="77777777" w:rsidR="00CD1838" w:rsidRPr="00BE2CE1" w:rsidRDefault="00FD71CE" w:rsidP="0082645F">
            <w:pPr>
              <w:rPr>
                <w:rFonts w:cs="Tahoma"/>
                <w:color w:val="0000FF"/>
                <w:sz w:val="20"/>
                <w:szCs w:val="20"/>
                <w:u w:val="single"/>
                <w:lang w:eastAsia="en-GB"/>
              </w:rPr>
            </w:pPr>
            <w:hyperlink r:id="rId36" w:tgtFrame="_parent" w:history="1">
              <w:r w:rsidR="00CD1838" w:rsidRPr="00BE2CE1">
                <w:rPr>
                  <w:rFonts w:cs="Tahoma"/>
                  <w:color w:val="0000FF"/>
                  <w:sz w:val="20"/>
                  <w:szCs w:val="20"/>
                  <w:u w:val="single"/>
                  <w:lang w:eastAsia="en-GB"/>
                </w:rPr>
                <w:t>Report</w:t>
              </w:r>
            </w:hyperlink>
          </w:p>
        </w:tc>
        <w:tc>
          <w:tcPr>
            <w:tcW w:w="992" w:type="dxa"/>
            <w:noWrap/>
            <w:hideMark/>
          </w:tcPr>
          <w:p w14:paraId="746963B6"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112969</w:t>
            </w:r>
          </w:p>
        </w:tc>
        <w:tc>
          <w:tcPr>
            <w:tcW w:w="4111" w:type="dxa"/>
            <w:noWrap/>
            <w:hideMark/>
          </w:tcPr>
          <w:p w14:paraId="0A233E13"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proofErr w:type="spellStart"/>
            <w:r w:rsidRPr="00BE2CE1">
              <w:rPr>
                <w:rFonts w:cs="Tahoma"/>
                <w:sz w:val="20"/>
                <w:szCs w:val="20"/>
                <w:lang w:eastAsia="en-GB"/>
              </w:rPr>
              <w:t>Dronfield</w:t>
            </w:r>
            <w:proofErr w:type="spellEnd"/>
            <w:r w:rsidRPr="00BE2CE1">
              <w:rPr>
                <w:rFonts w:cs="Tahoma"/>
                <w:sz w:val="20"/>
                <w:szCs w:val="20"/>
                <w:lang w:eastAsia="en-GB"/>
              </w:rPr>
              <w:t xml:space="preserve"> Henry </w:t>
            </w:r>
            <w:proofErr w:type="spellStart"/>
            <w:r w:rsidRPr="00BE2CE1">
              <w:rPr>
                <w:rFonts w:cs="Tahoma"/>
                <w:sz w:val="20"/>
                <w:szCs w:val="20"/>
                <w:lang w:eastAsia="en-GB"/>
              </w:rPr>
              <w:t>Fanshawe</w:t>
            </w:r>
            <w:proofErr w:type="spellEnd"/>
            <w:r w:rsidRPr="00BE2CE1">
              <w:rPr>
                <w:rFonts w:cs="Tahoma"/>
                <w:sz w:val="20"/>
                <w:szCs w:val="20"/>
                <w:lang w:eastAsia="en-GB"/>
              </w:rPr>
              <w:t xml:space="preserve"> School</w:t>
            </w:r>
          </w:p>
        </w:tc>
        <w:tc>
          <w:tcPr>
            <w:tcW w:w="3753" w:type="dxa"/>
            <w:noWrap/>
            <w:hideMark/>
          </w:tcPr>
          <w:p w14:paraId="0511033F"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Voluntary Controlled School</w:t>
            </w:r>
          </w:p>
        </w:tc>
        <w:tc>
          <w:tcPr>
            <w:tcW w:w="2200" w:type="dxa"/>
            <w:noWrap/>
            <w:hideMark/>
          </w:tcPr>
          <w:p w14:paraId="78B63F08"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Secondary</w:t>
            </w:r>
          </w:p>
        </w:tc>
        <w:tc>
          <w:tcPr>
            <w:tcW w:w="2159" w:type="dxa"/>
            <w:noWrap/>
            <w:hideMark/>
          </w:tcPr>
          <w:p w14:paraId="029D0A20"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Derbyshire</w:t>
            </w:r>
          </w:p>
        </w:tc>
      </w:tr>
      <w:tr w:rsidR="00CD1838" w:rsidRPr="00BE2CE1" w14:paraId="14DB9596"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7B624639" w14:textId="77777777" w:rsidR="00CD1838" w:rsidRPr="00BE2CE1" w:rsidRDefault="00FD71CE" w:rsidP="0082645F">
            <w:pPr>
              <w:rPr>
                <w:rFonts w:cs="Tahoma"/>
                <w:color w:val="0000FF"/>
                <w:sz w:val="20"/>
                <w:szCs w:val="20"/>
                <w:u w:val="single"/>
                <w:lang w:eastAsia="en-GB"/>
              </w:rPr>
            </w:pPr>
            <w:hyperlink r:id="rId37" w:tgtFrame="_parent" w:history="1">
              <w:r w:rsidR="00CD1838" w:rsidRPr="00BE2CE1">
                <w:rPr>
                  <w:rFonts w:cs="Tahoma"/>
                  <w:color w:val="0000FF"/>
                  <w:sz w:val="20"/>
                  <w:szCs w:val="20"/>
                  <w:u w:val="single"/>
                  <w:lang w:eastAsia="en-GB"/>
                </w:rPr>
                <w:t>Report</w:t>
              </w:r>
            </w:hyperlink>
          </w:p>
        </w:tc>
        <w:tc>
          <w:tcPr>
            <w:tcW w:w="992" w:type="dxa"/>
            <w:noWrap/>
            <w:hideMark/>
          </w:tcPr>
          <w:p w14:paraId="042CEA9A"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141994</w:t>
            </w:r>
          </w:p>
        </w:tc>
        <w:tc>
          <w:tcPr>
            <w:tcW w:w="4111" w:type="dxa"/>
            <w:noWrap/>
            <w:hideMark/>
          </w:tcPr>
          <w:p w14:paraId="4A30CD04"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proofErr w:type="spellStart"/>
            <w:r w:rsidRPr="00BE2CE1">
              <w:rPr>
                <w:rFonts w:cs="Tahoma"/>
                <w:sz w:val="20"/>
                <w:szCs w:val="20"/>
                <w:lang w:eastAsia="en-GB"/>
              </w:rPr>
              <w:t>Longdon</w:t>
            </w:r>
            <w:proofErr w:type="spellEnd"/>
            <w:r w:rsidRPr="00BE2CE1">
              <w:rPr>
                <w:rFonts w:cs="Tahoma"/>
                <w:sz w:val="20"/>
                <w:szCs w:val="20"/>
                <w:lang w:eastAsia="en-GB"/>
              </w:rPr>
              <w:t xml:space="preserve"> Park School</w:t>
            </w:r>
          </w:p>
        </w:tc>
        <w:tc>
          <w:tcPr>
            <w:tcW w:w="3753" w:type="dxa"/>
            <w:noWrap/>
            <w:hideMark/>
          </w:tcPr>
          <w:p w14:paraId="4D35FFB3"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Independent special school</w:t>
            </w:r>
          </w:p>
        </w:tc>
        <w:tc>
          <w:tcPr>
            <w:tcW w:w="2200" w:type="dxa"/>
            <w:noWrap/>
            <w:hideMark/>
          </w:tcPr>
          <w:p w14:paraId="2B9F496D"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color w:val="auto"/>
                <w:sz w:val="20"/>
                <w:szCs w:val="20"/>
                <w:lang w:eastAsia="en-GB"/>
              </w:rPr>
            </w:pPr>
            <w:r w:rsidRPr="00BE2CE1">
              <w:rPr>
                <w:rFonts w:cs="Tahoma"/>
                <w:color w:val="auto"/>
                <w:sz w:val="20"/>
                <w:szCs w:val="20"/>
                <w:lang w:eastAsia="en-GB"/>
              </w:rPr>
              <w:t>Schools</w:t>
            </w:r>
          </w:p>
        </w:tc>
        <w:tc>
          <w:tcPr>
            <w:tcW w:w="2159" w:type="dxa"/>
            <w:noWrap/>
            <w:hideMark/>
          </w:tcPr>
          <w:p w14:paraId="18D09472"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Derbyshire</w:t>
            </w:r>
          </w:p>
        </w:tc>
      </w:tr>
      <w:tr w:rsidR="00CD1838" w:rsidRPr="00BE2CE1" w14:paraId="498D32EE"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47064980" w14:textId="77777777" w:rsidR="00CD1838" w:rsidRPr="00BE2CE1" w:rsidRDefault="00FD71CE" w:rsidP="0082645F">
            <w:pPr>
              <w:rPr>
                <w:rFonts w:cs="Tahoma"/>
                <w:color w:val="0000FF"/>
                <w:sz w:val="20"/>
                <w:szCs w:val="20"/>
                <w:u w:val="single"/>
                <w:lang w:eastAsia="en-GB"/>
              </w:rPr>
            </w:pPr>
            <w:hyperlink r:id="rId38" w:tgtFrame="_parent" w:history="1">
              <w:r w:rsidR="00CD1838" w:rsidRPr="00BE2CE1">
                <w:rPr>
                  <w:rFonts w:cs="Tahoma"/>
                  <w:color w:val="0000FF"/>
                  <w:sz w:val="20"/>
                  <w:szCs w:val="20"/>
                  <w:u w:val="single"/>
                  <w:lang w:eastAsia="en-GB"/>
                </w:rPr>
                <w:t>Report</w:t>
              </w:r>
            </w:hyperlink>
          </w:p>
        </w:tc>
        <w:tc>
          <w:tcPr>
            <w:tcW w:w="992" w:type="dxa"/>
            <w:noWrap/>
            <w:hideMark/>
          </w:tcPr>
          <w:p w14:paraId="573E7B35"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131327</w:t>
            </w:r>
          </w:p>
        </w:tc>
        <w:tc>
          <w:tcPr>
            <w:tcW w:w="4111" w:type="dxa"/>
            <w:noWrap/>
            <w:hideMark/>
          </w:tcPr>
          <w:p w14:paraId="13097394"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The Linnet Independent Learning Centre</w:t>
            </w:r>
          </w:p>
        </w:tc>
        <w:tc>
          <w:tcPr>
            <w:tcW w:w="3753" w:type="dxa"/>
            <w:noWrap/>
            <w:hideMark/>
          </w:tcPr>
          <w:p w14:paraId="6CA3A7A4"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Independent special school</w:t>
            </w:r>
          </w:p>
        </w:tc>
        <w:tc>
          <w:tcPr>
            <w:tcW w:w="2200" w:type="dxa"/>
            <w:noWrap/>
            <w:hideMark/>
          </w:tcPr>
          <w:p w14:paraId="5D63253A"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color w:val="auto"/>
                <w:sz w:val="20"/>
                <w:szCs w:val="20"/>
                <w:lang w:eastAsia="en-GB"/>
              </w:rPr>
            </w:pPr>
            <w:r w:rsidRPr="00BE2CE1">
              <w:rPr>
                <w:rFonts w:cs="Tahoma"/>
                <w:color w:val="auto"/>
                <w:sz w:val="20"/>
                <w:szCs w:val="20"/>
                <w:lang w:eastAsia="en-GB"/>
              </w:rPr>
              <w:t>Schools</w:t>
            </w:r>
          </w:p>
        </w:tc>
        <w:tc>
          <w:tcPr>
            <w:tcW w:w="2159" w:type="dxa"/>
            <w:noWrap/>
            <w:hideMark/>
          </w:tcPr>
          <w:p w14:paraId="3F981C94"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Derbyshire</w:t>
            </w:r>
          </w:p>
        </w:tc>
      </w:tr>
      <w:tr w:rsidR="00CD1838" w:rsidRPr="00BE2CE1" w14:paraId="75B17A03"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48E7B425" w14:textId="77777777" w:rsidR="00CD1838" w:rsidRPr="00BE2CE1" w:rsidRDefault="00FD71CE" w:rsidP="0082645F">
            <w:pPr>
              <w:rPr>
                <w:rFonts w:cs="Tahoma"/>
                <w:color w:val="0000FF"/>
                <w:sz w:val="20"/>
                <w:szCs w:val="20"/>
                <w:u w:val="single"/>
                <w:lang w:eastAsia="en-GB"/>
              </w:rPr>
            </w:pPr>
            <w:hyperlink r:id="rId39" w:tgtFrame="_parent" w:history="1">
              <w:r w:rsidR="00CD1838" w:rsidRPr="00BE2CE1">
                <w:rPr>
                  <w:rFonts w:cs="Tahoma"/>
                  <w:color w:val="0000FF"/>
                  <w:sz w:val="20"/>
                  <w:szCs w:val="20"/>
                  <w:u w:val="single"/>
                  <w:lang w:eastAsia="en-GB"/>
                </w:rPr>
                <w:t>Report</w:t>
              </w:r>
            </w:hyperlink>
          </w:p>
        </w:tc>
        <w:tc>
          <w:tcPr>
            <w:tcW w:w="992" w:type="dxa"/>
            <w:noWrap/>
            <w:hideMark/>
          </w:tcPr>
          <w:p w14:paraId="7BF6C78E"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135241</w:t>
            </w:r>
          </w:p>
        </w:tc>
        <w:tc>
          <w:tcPr>
            <w:tcW w:w="4111" w:type="dxa"/>
            <w:noWrap/>
            <w:hideMark/>
          </w:tcPr>
          <w:p w14:paraId="455283CD"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The Meadows</w:t>
            </w:r>
          </w:p>
        </w:tc>
        <w:tc>
          <w:tcPr>
            <w:tcW w:w="3753" w:type="dxa"/>
            <w:noWrap/>
            <w:hideMark/>
          </w:tcPr>
          <w:p w14:paraId="09973B00"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Independent special school</w:t>
            </w:r>
          </w:p>
        </w:tc>
        <w:tc>
          <w:tcPr>
            <w:tcW w:w="2200" w:type="dxa"/>
            <w:noWrap/>
            <w:hideMark/>
          </w:tcPr>
          <w:p w14:paraId="09BF1538"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color w:val="auto"/>
                <w:sz w:val="20"/>
                <w:szCs w:val="20"/>
                <w:lang w:eastAsia="en-GB"/>
              </w:rPr>
            </w:pPr>
            <w:r w:rsidRPr="00BE2CE1">
              <w:rPr>
                <w:rFonts w:cs="Tahoma"/>
                <w:color w:val="auto"/>
                <w:sz w:val="20"/>
                <w:szCs w:val="20"/>
                <w:lang w:eastAsia="en-GB"/>
              </w:rPr>
              <w:t>Schools</w:t>
            </w:r>
          </w:p>
        </w:tc>
        <w:tc>
          <w:tcPr>
            <w:tcW w:w="2159" w:type="dxa"/>
            <w:noWrap/>
            <w:hideMark/>
          </w:tcPr>
          <w:p w14:paraId="029DAAE3"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Derbyshire</w:t>
            </w:r>
          </w:p>
        </w:tc>
      </w:tr>
      <w:tr w:rsidR="00CD1838" w:rsidRPr="00BE2CE1" w14:paraId="75527673"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34A2C419" w14:textId="77777777" w:rsidR="00CD1838" w:rsidRPr="00BE2CE1" w:rsidRDefault="00FD71CE" w:rsidP="0082645F">
            <w:pPr>
              <w:rPr>
                <w:rFonts w:cs="Tahoma"/>
                <w:color w:val="0000FF"/>
                <w:sz w:val="20"/>
                <w:szCs w:val="20"/>
                <w:u w:val="single"/>
                <w:lang w:eastAsia="en-GB"/>
              </w:rPr>
            </w:pPr>
            <w:hyperlink r:id="rId40" w:tgtFrame="_parent" w:history="1">
              <w:r w:rsidR="00CD1838" w:rsidRPr="00BE2CE1">
                <w:rPr>
                  <w:rFonts w:cs="Tahoma"/>
                  <w:color w:val="0000FF"/>
                  <w:sz w:val="20"/>
                  <w:szCs w:val="20"/>
                  <w:u w:val="single"/>
                  <w:lang w:eastAsia="en-GB"/>
                </w:rPr>
                <w:t>Report</w:t>
              </w:r>
            </w:hyperlink>
          </w:p>
        </w:tc>
        <w:tc>
          <w:tcPr>
            <w:tcW w:w="992" w:type="dxa"/>
            <w:noWrap/>
            <w:hideMark/>
          </w:tcPr>
          <w:p w14:paraId="6349B8FD"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135530</w:t>
            </w:r>
          </w:p>
        </w:tc>
        <w:tc>
          <w:tcPr>
            <w:tcW w:w="4111" w:type="dxa"/>
            <w:noWrap/>
            <w:hideMark/>
          </w:tcPr>
          <w:p w14:paraId="1E4AADCF"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Gryphon School</w:t>
            </w:r>
          </w:p>
        </w:tc>
        <w:tc>
          <w:tcPr>
            <w:tcW w:w="3753" w:type="dxa"/>
            <w:noWrap/>
            <w:hideMark/>
          </w:tcPr>
          <w:p w14:paraId="31FAA741"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Independent special school</w:t>
            </w:r>
          </w:p>
        </w:tc>
        <w:tc>
          <w:tcPr>
            <w:tcW w:w="2200" w:type="dxa"/>
            <w:noWrap/>
            <w:hideMark/>
          </w:tcPr>
          <w:p w14:paraId="77EF4645"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color w:val="auto"/>
                <w:sz w:val="20"/>
                <w:szCs w:val="20"/>
                <w:lang w:eastAsia="en-GB"/>
              </w:rPr>
            </w:pPr>
            <w:r w:rsidRPr="00BE2CE1">
              <w:rPr>
                <w:rFonts w:cs="Tahoma"/>
                <w:color w:val="auto"/>
                <w:sz w:val="20"/>
                <w:szCs w:val="20"/>
                <w:lang w:eastAsia="en-GB"/>
              </w:rPr>
              <w:t>Schools</w:t>
            </w:r>
          </w:p>
        </w:tc>
        <w:tc>
          <w:tcPr>
            <w:tcW w:w="2159" w:type="dxa"/>
            <w:noWrap/>
            <w:hideMark/>
          </w:tcPr>
          <w:p w14:paraId="3167C738"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Leicester</w:t>
            </w:r>
          </w:p>
        </w:tc>
      </w:tr>
      <w:tr w:rsidR="00CD1838" w:rsidRPr="00BE2CE1" w14:paraId="4D293822"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77970213" w14:textId="77777777" w:rsidR="00CD1838" w:rsidRPr="00BE2CE1" w:rsidRDefault="00FD71CE" w:rsidP="0082645F">
            <w:pPr>
              <w:rPr>
                <w:rFonts w:cs="Tahoma"/>
                <w:color w:val="0000FF"/>
                <w:sz w:val="20"/>
                <w:szCs w:val="20"/>
                <w:u w:val="single"/>
                <w:lang w:eastAsia="en-GB"/>
              </w:rPr>
            </w:pPr>
            <w:hyperlink r:id="rId41" w:tgtFrame="_parent" w:history="1">
              <w:r w:rsidR="00CD1838" w:rsidRPr="00BE2CE1">
                <w:rPr>
                  <w:rFonts w:cs="Tahoma"/>
                  <w:color w:val="0000FF"/>
                  <w:sz w:val="20"/>
                  <w:szCs w:val="20"/>
                  <w:u w:val="single"/>
                  <w:lang w:eastAsia="en-GB"/>
                </w:rPr>
                <w:t>Report</w:t>
              </w:r>
            </w:hyperlink>
          </w:p>
        </w:tc>
        <w:tc>
          <w:tcPr>
            <w:tcW w:w="992" w:type="dxa"/>
            <w:noWrap/>
            <w:hideMark/>
          </w:tcPr>
          <w:p w14:paraId="77378D1B"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139983</w:t>
            </w:r>
          </w:p>
        </w:tc>
        <w:tc>
          <w:tcPr>
            <w:tcW w:w="4111" w:type="dxa"/>
            <w:noWrap/>
            <w:hideMark/>
          </w:tcPr>
          <w:p w14:paraId="292D4EE7"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proofErr w:type="spellStart"/>
            <w:r w:rsidRPr="00BE2CE1">
              <w:rPr>
                <w:rFonts w:cs="Tahoma"/>
                <w:sz w:val="20"/>
                <w:szCs w:val="20"/>
                <w:lang w:eastAsia="en-GB"/>
              </w:rPr>
              <w:t>Humberstone</w:t>
            </w:r>
            <w:proofErr w:type="spellEnd"/>
            <w:r w:rsidRPr="00BE2CE1">
              <w:rPr>
                <w:rFonts w:cs="Tahoma"/>
                <w:sz w:val="20"/>
                <w:szCs w:val="20"/>
                <w:lang w:eastAsia="en-GB"/>
              </w:rPr>
              <w:t xml:space="preserve"> Junior School</w:t>
            </w:r>
          </w:p>
        </w:tc>
        <w:tc>
          <w:tcPr>
            <w:tcW w:w="3753" w:type="dxa"/>
            <w:noWrap/>
            <w:hideMark/>
          </w:tcPr>
          <w:p w14:paraId="4A38C4C4"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Academy Converter</w:t>
            </w:r>
          </w:p>
        </w:tc>
        <w:tc>
          <w:tcPr>
            <w:tcW w:w="2200" w:type="dxa"/>
            <w:noWrap/>
            <w:hideMark/>
          </w:tcPr>
          <w:p w14:paraId="7EE16CAA"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Primary</w:t>
            </w:r>
          </w:p>
        </w:tc>
        <w:tc>
          <w:tcPr>
            <w:tcW w:w="2159" w:type="dxa"/>
            <w:noWrap/>
            <w:hideMark/>
          </w:tcPr>
          <w:p w14:paraId="2912B151"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Leicester</w:t>
            </w:r>
          </w:p>
        </w:tc>
      </w:tr>
      <w:tr w:rsidR="00CD1838" w:rsidRPr="00BE2CE1" w14:paraId="7D6CC9AA"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415B43AC" w14:textId="77777777" w:rsidR="00CD1838" w:rsidRPr="00BE2CE1" w:rsidRDefault="00FD71CE" w:rsidP="0082645F">
            <w:pPr>
              <w:rPr>
                <w:rFonts w:cs="Tahoma"/>
                <w:color w:val="0000FF"/>
                <w:sz w:val="20"/>
                <w:szCs w:val="20"/>
                <w:u w:val="single"/>
                <w:lang w:eastAsia="en-GB"/>
              </w:rPr>
            </w:pPr>
            <w:hyperlink r:id="rId42" w:tgtFrame="_parent" w:history="1">
              <w:r w:rsidR="00CD1838" w:rsidRPr="00BE2CE1">
                <w:rPr>
                  <w:rFonts w:cs="Tahoma"/>
                  <w:color w:val="0000FF"/>
                  <w:sz w:val="20"/>
                  <w:szCs w:val="20"/>
                  <w:u w:val="single"/>
                  <w:lang w:eastAsia="en-GB"/>
                </w:rPr>
                <w:t>Report</w:t>
              </w:r>
            </w:hyperlink>
          </w:p>
        </w:tc>
        <w:tc>
          <w:tcPr>
            <w:tcW w:w="992" w:type="dxa"/>
            <w:noWrap/>
            <w:hideMark/>
          </w:tcPr>
          <w:p w14:paraId="653FF6B9"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70163</w:t>
            </w:r>
          </w:p>
        </w:tc>
        <w:tc>
          <w:tcPr>
            <w:tcW w:w="4111" w:type="dxa"/>
            <w:noWrap/>
            <w:hideMark/>
          </w:tcPr>
          <w:p w14:paraId="61E8FDDB"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Leicester &amp; Leicestershire SCITT</w:t>
            </w:r>
          </w:p>
        </w:tc>
        <w:tc>
          <w:tcPr>
            <w:tcW w:w="3753" w:type="dxa"/>
            <w:noWrap/>
            <w:hideMark/>
          </w:tcPr>
          <w:p w14:paraId="425FB4EB"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Initial teacher education</w:t>
            </w:r>
          </w:p>
        </w:tc>
        <w:tc>
          <w:tcPr>
            <w:tcW w:w="2200" w:type="dxa"/>
            <w:noWrap/>
            <w:hideMark/>
          </w:tcPr>
          <w:p w14:paraId="6CAC6699"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Primary QTS</w:t>
            </w:r>
          </w:p>
        </w:tc>
        <w:tc>
          <w:tcPr>
            <w:tcW w:w="2159" w:type="dxa"/>
            <w:noWrap/>
            <w:hideMark/>
          </w:tcPr>
          <w:p w14:paraId="2CE8E382"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Leicester</w:t>
            </w:r>
          </w:p>
        </w:tc>
      </w:tr>
      <w:tr w:rsidR="00CD1838" w:rsidRPr="00BE2CE1" w14:paraId="2DCB7239"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51817DFC" w14:textId="77777777" w:rsidR="00CD1838" w:rsidRPr="00BE2CE1" w:rsidRDefault="00FD71CE" w:rsidP="0082645F">
            <w:pPr>
              <w:rPr>
                <w:rFonts w:cs="Tahoma"/>
                <w:color w:val="0000FF"/>
                <w:sz w:val="20"/>
                <w:szCs w:val="20"/>
                <w:u w:val="single"/>
                <w:lang w:eastAsia="en-GB"/>
              </w:rPr>
            </w:pPr>
            <w:hyperlink r:id="rId43" w:tgtFrame="_parent" w:history="1">
              <w:r w:rsidR="00CD1838" w:rsidRPr="00BE2CE1">
                <w:rPr>
                  <w:rFonts w:cs="Tahoma"/>
                  <w:color w:val="0000FF"/>
                  <w:sz w:val="20"/>
                  <w:szCs w:val="20"/>
                  <w:u w:val="single"/>
                  <w:lang w:eastAsia="en-GB"/>
                </w:rPr>
                <w:t>Report</w:t>
              </w:r>
            </w:hyperlink>
          </w:p>
        </w:tc>
        <w:tc>
          <w:tcPr>
            <w:tcW w:w="992" w:type="dxa"/>
            <w:noWrap/>
            <w:hideMark/>
          </w:tcPr>
          <w:p w14:paraId="6FCB16DE"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70040</w:t>
            </w:r>
          </w:p>
        </w:tc>
        <w:tc>
          <w:tcPr>
            <w:tcW w:w="4111" w:type="dxa"/>
            <w:noWrap/>
            <w:hideMark/>
          </w:tcPr>
          <w:p w14:paraId="5D39392F"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University of Leicester</w:t>
            </w:r>
          </w:p>
        </w:tc>
        <w:tc>
          <w:tcPr>
            <w:tcW w:w="3753" w:type="dxa"/>
            <w:noWrap/>
            <w:hideMark/>
          </w:tcPr>
          <w:p w14:paraId="7753A7B2"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Initial teacher education</w:t>
            </w:r>
          </w:p>
        </w:tc>
        <w:tc>
          <w:tcPr>
            <w:tcW w:w="2200" w:type="dxa"/>
            <w:noWrap/>
            <w:hideMark/>
          </w:tcPr>
          <w:p w14:paraId="5F555FE2"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Primary QTS</w:t>
            </w:r>
          </w:p>
        </w:tc>
        <w:tc>
          <w:tcPr>
            <w:tcW w:w="2159" w:type="dxa"/>
            <w:noWrap/>
            <w:hideMark/>
          </w:tcPr>
          <w:p w14:paraId="694C43A1"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Leicester</w:t>
            </w:r>
          </w:p>
        </w:tc>
      </w:tr>
      <w:tr w:rsidR="00CD1838" w:rsidRPr="00BE2CE1" w14:paraId="2F984E8A"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70E9BC69" w14:textId="77777777" w:rsidR="00CD1838" w:rsidRPr="00BE2CE1" w:rsidRDefault="00FD71CE" w:rsidP="0082645F">
            <w:pPr>
              <w:rPr>
                <w:rFonts w:cs="Tahoma"/>
                <w:color w:val="0000FF"/>
                <w:sz w:val="20"/>
                <w:szCs w:val="20"/>
                <w:u w:val="single"/>
                <w:lang w:eastAsia="en-GB"/>
              </w:rPr>
            </w:pPr>
            <w:hyperlink r:id="rId44" w:tgtFrame="_parent" w:history="1">
              <w:r w:rsidR="00CD1838" w:rsidRPr="00BE2CE1">
                <w:rPr>
                  <w:rFonts w:cs="Tahoma"/>
                  <w:color w:val="0000FF"/>
                  <w:sz w:val="20"/>
                  <w:szCs w:val="20"/>
                  <w:u w:val="single"/>
                  <w:lang w:eastAsia="en-GB"/>
                </w:rPr>
                <w:t>Report</w:t>
              </w:r>
            </w:hyperlink>
          </w:p>
        </w:tc>
        <w:tc>
          <w:tcPr>
            <w:tcW w:w="992" w:type="dxa"/>
            <w:noWrap/>
            <w:hideMark/>
          </w:tcPr>
          <w:p w14:paraId="51EE01D4"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138156</w:t>
            </w:r>
          </w:p>
        </w:tc>
        <w:tc>
          <w:tcPr>
            <w:tcW w:w="4111" w:type="dxa"/>
            <w:noWrap/>
            <w:hideMark/>
          </w:tcPr>
          <w:p w14:paraId="32C8FB42"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Dorothy Goodman School Hinckley</w:t>
            </w:r>
          </w:p>
        </w:tc>
        <w:tc>
          <w:tcPr>
            <w:tcW w:w="3753" w:type="dxa"/>
            <w:noWrap/>
            <w:hideMark/>
          </w:tcPr>
          <w:p w14:paraId="635BD343"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Academy Special Converter</w:t>
            </w:r>
          </w:p>
        </w:tc>
        <w:tc>
          <w:tcPr>
            <w:tcW w:w="2200" w:type="dxa"/>
            <w:noWrap/>
            <w:hideMark/>
          </w:tcPr>
          <w:p w14:paraId="54C4ABB2"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Special</w:t>
            </w:r>
          </w:p>
        </w:tc>
        <w:tc>
          <w:tcPr>
            <w:tcW w:w="2159" w:type="dxa"/>
            <w:noWrap/>
            <w:hideMark/>
          </w:tcPr>
          <w:p w14:paraId="17FBBD42"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Leicestershire</w:t>
            </w:r>
          </w:p>
        </w:tc>
      </w:tr>
      <w:tr w:rsidR="00CD1838" w:rsidRPr="00BE2CE1" w14:paraId="26BC7FB1"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0109DB81" w14:textId="77777777" w:rsidR="00CD1838" w:rsidRPr="00BE2CE1" w:rsidRDefault="00FD71CE" w:rsidP="0082645F">
            <w:pPr>
              <w:rPr>
                <w:rFonts w:cs="Tahoma"/>
                <w:color w:val="0000FF"/>
                <w:sz w:val="20"/>
                <w:szCs w:val="20"/>
                <w:u w:val="single"/>
                <w:lang w:eastAsia="en-GB"/>
              </w:rPr>
            </w:pPr>
            <w:hyperlink r:id="rId45" w:tgtFrame="_parent" w:history="1">
              <w:r w:rsidR="00CD1838" w:rsidRPr="00BE2CE1">
                <w:rPr>
                  <w:rFonts w:cs="Tahoma"/>
                  <w:color w:val="0000FF"/>
                  <w:sz w:val="20"/>
                  <w:szCs w:val="20"/>
                  <w:u w:val="single"/>
                  <w:lang w:eastAsia="en-GB"/>
                </w:rPr>
                <w:t>Report</w:t>
              </w:r>
            </w:hyperlink>
          </w:p>
        </w:tc>
        <w:tc>
          <w:tcPr>
            <w:tcW w:w="992" w:type="dxa"/>
            <w:noWrap/>
            <w:hideMark/>
          </w:tcPr>
          <w:p w14:paraId="72368F65"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137905</w:t>
            </w:r>
          </w:p>
        </w:tc>
        <w:tc>
          <w:tcPr>
            <w:tcW w:w="4111" w:type="dxa"/>
            <w:noWrap/>
            <w:hideMark/>
          </w:tcPr>
          <w:p w14:paraId="322803FD"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Forest Way School</w:t>
            </w:r>
          </w:p>
        </w:tc>
        <w:tc>
          <w:tcPr>
            <w:tcW w:w="3753" w:type="dxa"/>
            <w:noWrap/>
            <w:hideMark/>
          </w:tcPr>
          <w:p w14:paraId="442DCE50"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Academy Special Converter</w:t>
            </w:r>
          </w:p>
        </w:tc>
        <w:tc>
          <w:tcPr>
            <w:tcW w:w="2200" w:type="dxa"/>
            <w:noWrap/>
            <w:hideMark/>
          </w:tcPr>
          <w:p w14:paraId="2C509EE4"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Special</w:t>
            </w:r>
          </w:p>
        </w:tc>
        <w:tc>
          <w:tcPr>
            <w:tcW w:w="2159" w:type="dxa"/>
            <w:noWrap/>
            <w:hideMark/>
          </w:tcPr>
          <w:p w14:paraId="2BEC63C6"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Leicestershire</w:t>
            </w:r>
          </w:p>
        </w:tc>
      </w:tr>
      <w:tr w:rsidR="00CD1838" w:rsidRPr="00BE2CE1" w14:paraId="6D57607F"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287B7E32" w14:textId="77777777" w:rsidR="00CD1838" w:rsidRPr="00BE2CE1" w:rsidRDefault="00FD71CE" w:rsidP="0082645F">
            <w:pPr>
              <w:rPr>
                <w:rFonts w:cs="Tahoma"/>
                <w:color w:val="0000FF"/>
                <w:sz w:val="20"/>
                <w:szCs w:val="20"/>
                <w:u w:val="single"/>
                <w:lang w:eastAsia="en-GB"/>
              </w:rPr>
            </w:pPr>
            <w:hyperlink r:id="rId46" w:tgtFrame="_parent" w:history="1">
              <w:r w:rsidR="00CD1838" w:rsidRPr="00BE2CE1">
                <w:rPr>
                  <w:rFonts w:cs="Tahoma"/>
                  <w:color w:val="0000FF"/>
                  <w:sz w:val="20"/>
                  <w:szCs w:val="20"/>
                  <w:u w:val="single"/>
                  <w:lang w:eastAsia="en-GB"/>
                </w:rPr>
                <w:t>Report</w:t>
              </w:r>
            </w:hyperlink>
          </w:p>
        </w:tc>
        <w:tc>
          <w:tcPr>
            <w:tcW w:w="992" w:type="dxa"/>
            <w:noWrap/>
            <w:hideMark/>
          </w:tcPr>
          <w:p w14:paraId="24A5164A"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136949</w:t>
            </w:r>
          </w:p>
        </w:tc>
        <w:tc>
          <w:tcPr>
            <w:tcW w:w="4111" w:type="dxa"/>
            <w:noWrap/>
            <w:hideMark/>
          </w:tcPr>
          <w:p w14:paraId="6C54CB5A"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Meadow View Farm School</w:t>
            </w:r>
          </w:p>
        </w:tc>
        <w:tc>
          <w:tcPr>
            <w:tcW w:w="3753" w:type="dxa"/>
            <w:noWrap/>
            <w:hideMark/>
          </w:tcPr>
          <w:p w14:paraId="0C0A3DED"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Independent special school</w:t>
            </w:r>
          </w:p>
        </w:tc>
        <w:tc>
          <w:tcPr>
            <w:tcW w:w="2200" w:type="dxa"/>
            <w:noWrap/>
            <w:hideMark/>
          </w:tcPr>
          <w:p w14:paraId="7FF654E2"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color w:val="auto"/>
                <w:sz w:val="20"/>
                <w:szCs w:val="20"/>
                <w:lang w:eastAsia="en-GB"/>
              </w:rPr>
            </w:pPr>
            <w:r w:rsidRPr="00BE2CE1">
              <w:rPr>
                <w:rFonts w:cs="Tahoma"/>
                <w:color w:val="auto"/>
                <w:sz w:val="20"/>
                <w:szCs w:val="20"/>
                <w:lang w:eastAsia="en-GB"/>
              </w:rPr>
              <w:t>Schools</w:t>
            </w:r>
          </w:p>
        </w:tc>
        <w:tc>
          <w:tcPr>
            <w:tcW w:w="2159" w:type="dxa"/>
            <w:noWrap/>
            <w:hideMark/>
          </w:tcPr>
          <w:p w14:paraId="28234D40"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Leicestershire</w:t>
            </w:r>
          </w:p>
        </w:tc>
      </w:tr>
      <w:tr w:rsidR="00CD1838" w:rsidRPr="00BE2CE1" w14:paraId="0F4F09F4"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4C1DD695" w14:textId="77777777" w:rsidR="00CD1838" w:rsidRPr="00BE2CE1" w:rsidRDefault="00FD71CE" w:rsidP="0082645F">
            <w:pPr>
              <w:rPr>
                <w:rFonts w:cs="Tahoma"/>
                <w:color w:val="0000FF"/>
                <w:sz w:val="20"/>
                <w:szCs w:val="20"/>
                <w:u w:val="single"/>
                <w:lang w:eastAsia="en-GB"/>
              </w:rPr>
            </w:pPr>
            <w:hyperlink r:id="rId47" w:tgtFrame="_parent" w:history="1">
              <w:r w:rsidR="00CD1838" w:rsidRPr="00BE2CE1">
                <w:rPr>
                  <w:rFonts w:cs="Tahoma"/>
                  <w:color w:val="0000FF"/>
                  <w:sz w:val="20"/>
                  <w:szCs w:val="20"/>
                  <w:u w:val="single"/>
                  <w:lang w:eastAsia="en-GB"/>
                </w:rPr>
                <w:t>Report</w:t>
              </w:r>
            </w:hyperlink>
          </w:p>
        </w:tc>
        <w:tc>
          <w:tcPr>
            <w:tcW w:w="992" w:type="dxa"/>
            <w:noWrap/>
            <w:hideMark/>
          </w:tcPr>
          <w:p w14:paraId="2FBDE214"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135217</w:t>
            </w:r>
          </w:p>
        </w:tc>
        <w:tc>
          <w:tcPr>
            <w:tcW w:w="4111" w:type="dxa"/>
            <w:noWrap/>
            <w:hideMark/>
          </w:tcPr>
          <w:p w14:paraId="2296EBD7"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proofErr w:type="spellStart"/>
            <w:r w:rsidRPr="00BE2CE1">
              <w:rPr>
                <w:rFonts w:cs="Tahoma"/>
                <w:sz w:val="20"/>
                <w:szCs w:val="20"/>
                <w:lang w:eastAsia="en-GB"/>
              </w:rPr>
              <w:t>Sketchley</w:t>
            </w:r>
            <w:proofErr w:type="spellEnd"/>
            <w:r w:rsidRPr="00BE2CE1">
              <w:rPr>
                <w:rFonts w:cs="Tahoma"/>
                <w:sz w:val="20"/>
                <w:szCs w:val="20"/>
                <w:lang w:eastAsia="en-GB"/>
              </w:rPr>
              <w:t xml:space="preserve"> School</w:t>
            </w:r>
          </w:p>
        </w:tc>
        <w:tc>
          <w:tcPr>
            <w:tcW w:w="3753" w:type="dxa"/>
            <w:noWrap/>
            <w:hideMark/>
          </w:tcPr>
          <w:p w14:paraId="12E25107"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Independent special school</w:t>
            </w:r>
          </w:p>
        </w:tc>
        <w:tc>
          <w:tcPr>
            <w:tcW w:w="2200" w:type="dxa"/>
            <w:noWrap/>
            <w:hideMark/>
          </w:tcPr>
          <w:p w14:paraId="0F4B3CAF"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color w:val="auto"/>
                <w:sz w:val="20"/>
                <w:szCs w:val="20"/>
                <w:lang w:eastAsia="en-GB"/>
              </w:rPr>
            </w:pPr>
            <w:r w:rsidRPr="00BE2CE1">
              <w:rPr>
                <w:rFonts w:cs="Tahoma"/>
                <w:color w:val="auto"/>
                <w:sz w:val="20"/>
                <w:szCs w:val="20"/>
                <w:lang w:eastAsia="en-GB"/>
              </w:rPr>
              <w:t>Schools</w:t>
            </w:r>
          </w:p>
        </w:tc>
        <w:tc>
          <w:tcPr>
            <w:tcW w:w="2159" w:type="dxa"/>
            <w:noWrap/>
            <w:hideMark/>
          </w:tcPr>
          <w:p w14:paraId="5463AF75"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Leicestershire</w:t>
            </w:r>
          </w:p>
        </w:tc>
      </w:tr>
      <w:tr w:rsidR="00CD1838" w:rsidRPr="00BE2CE1" w14:paraId="5EF7377A"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663D7F13" w14:textId="77777777" w:rsidR="00CD1838" w:rsidRPr="00BE2CE1" w:rsidRDefault="00FD71CE" w:rsidP="0082645F">
            <w:pPr>
              <w:rPr>
                <w:rFonts w:cs="Tahoma"/>
                <w:color w:val="0000FF"/>
                <w:sz w:val="20"/>
                <w:szCs w:val="20"/>
                <w:u w:val="single"/>
                <w:lang w:eastAsia="en-GB"/>
              </w:rPr>
            </w:pPr>
            <w:hyperlink r:id="rId48" w:tgtFrame="_parent" w:history="1">
              <w:r w:rsidR="00CD1838" w:rsidRPr="00BE2CE1">
                <w:rPr>
                  <w:rFonts w:cs="Tahoma"/>
                  <w:color w:val="0000FF"/>
                  <w:sz w:val="20"/>
                  <w:szCs w:val="20"/>
                  <w:u w:val="single"/>
                  <w:lang w:eastAsia="en-GB"/>
                </w:rPr>
                <w:t>Report</w:t>
              </w:r>
            </w:hyperlink>
          </w:p>
        </w:tc>
        <w:tc>
          <w:tcPr>
            <w:tcW w:w="992" w:type="dxa"/>
            <w:noWrap/>
            <w:hideMark/>
          </w:tcPr>
          <w:p w14:paraId="6040E6E6"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120173</w:t>
            </w:r>
          </w:p>
        </w:tc>
        <w:tc>
          <w:tcPr>
            <w:tcW w:w="4111" w:type="dxa"/>
            <w:noWrap/>
            <w:hideMark/>
          </w:tcPr>
          <w:p w14:paraId="34E6EE15"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Woodhouse Eaves St Paul's Church of England Primary School</w:t>
            </w:r>
          </w:p>
        </w:tc>
        <w:tc>
          <w:tcPr>
            <w:tcW w:w="3753" w:type="dxa"/>
            <w:noWrap/>
            <w:hideMark/>
          </w:tcPr>
          <w:p w14:paraId="1A485E05"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Voluntary Controlled School</w:t>
            </w:r>
          </w:p>
        </w:tc>
        <w:tc>
          <w:tcPr>
            <w:tcW w:w="2200" w:type="dxa"/>
            <w:noWrap/>
            <w:hideMark/>
          </w:tcPr>
          <w:p w14:paraId="654B96BE"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Primary</w:t>
            </w:r>
          </w:p>
        </w:tc>
        <w:tc>
          <w:tcPr>
            <w:tcW w:w="2159" w:type="dxa"/>
            <w:noWrap/>
            <w:hideMark/>
          </w:tcPr>
          <w:p w14:paraId="1FE2E851"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Leicestershire</w:t>
            </w:r>
          </w:p>
        </w:tc>
      </w:tr>
      <w:tr w:rsidR="00CD1838" w:rsidRPr="00BE2CE1" w14:paraId="05548E23"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4D182B2C" w14:textId="77777777" w:rsidR="00CD1838" w:rsidRPr="00BE2CE1" w:rsidRDefault="00FD71CE" w:rsidP="0082645F">
            <w:pPr>
              <w:rPr>
                <w:rFonts w:cs="Tahoma"/>
                <w:color w:val="0000FF"/>
                <w:sz w:val="20"/>
                <w:szCs w:val="20"/>
                <w:u w:val="single"/>
                <w:lang w:eastAsia="en-GB"/>
              </w:rPr>
            </w:pPr>
            <w:hyperlink r:id="rId49" w:tgtFrame="_parent" w:history="1">
              <w:r w:rsidR="00CD1838" w:rsidRPr="00BE2CE1">
                <w:rPr>
                  <w:rFonts w:cs="Tahoma"/>
                  <w:color w:val="0000FF"/>
                  <w:sz w:val="20"/>
                  <w:szCs w:val="20"/>
                  <w:u w:val="single"/>
                  <w:lang w:eastAsia="en-GB"/>
                </w:rPr>
                <w:t>Report</w:t>
              </w:r>
            </w:hyperlink>
          </w:p>
        </w:tc>
        <w:tc>
          <w:tcPr>
            <w:tcW w:w="992" w:type="dxa"/>
            <w:noWrap/>
            <w:hideMark/>
          </w:tcPr>
          <w:p w14:paraId="333D0762"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138291</w:t>
            </w:r>
          </w:p>
        </w:tc>
        <w:tc>
          <w:tcPr>
            <w:tcW w:w="4111" w:type="dxa"/>
            <w:noWrap/>
            <w:hideMark/>
          </w:tcPr>
          <w:p w14:paraId="4751109E"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Boston West Academy</w:t>
            </w:r>
          </w:p>
        </w:tc>
        <w:tc>
          <w:tcPr>
            <w:tcW w:w="3753" w:type="dxa"/>
            <w:noWrap/>
            <w:hideMark/>
          </w:tcPr>
          <w:p w14:paraId="0BF76B52"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Academy Converter</w:t>
            </w:r>
          </w:p>
        </w:tc>
        <w:tc>
          <w:tcPr>
            <w:tcW w:w="2200" w:type="dxa"/>
            <w:noWrap/>
            <w:hideMark/>
          </w:tcPr>
          <w:p w14:paraId="2DDCEE2D"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Primary</w:t>
            </w:r>
          </w:p>
        </w:tc>
        <w:tc>
          <w:tcPr>
            <w:tcW w:w="2159" w:type="dxa"/>
            <w:noWrap/>
            <w:hideMark/>
          </w:tcPr>
          <w:p w14:paraId="0FA9EF78"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Lincolnshire</w:t>
            </w:r>
          </w:p>
        </w:tc>
      </w:tr>
      <w:tr w:rsidR="00CD1838" w:rsidRPr="00BE2CE1" w14:paraId="7DDE2780"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17DD8964" w14:textId="77777777" w:rsidR="00CD1838" w:rsidRPr="00BE2CE1" w:rsidRDefault="00FD71CE" w:rsidP="0082645F">
            <w:pPr>
              <w:rPr>
                <w:rFonts w:cs="Tahoma"/>
                <w:color w:val="0000FF"/>
                <w:sz w:val="20"/>
                <w:szCs w:val="20"/>
                <w:u w:val="single"/>
                <w:lang w:eastAsia="en-GB"/>
              </w:rPr>
            </w:pPr>
            <w:hyperlink r:id="rId50" w:tgtFrame="_parent" w:history="1">
              <w:r w:rsidR="00CD1838" w:rsidRPr="00BE2CE1">
                <w:rPr>
                  <w:rFonts w:cs="Tahoma"/>
                  <w:color w:val="0000FF"/>
                  <w:sz w:val="20"/>
                  <w:szCs w:val="20"/>
                  <w:u w:val="single"/>
                  <w:lang w:eastAsia="en-GB"/>
                </w:rPr>
                <w:t>Report</w:t>
              </w:r>
            </w:hyperlink>
          </w:p>
        </w:tc>
        <w:tc>
          <w:tcPr>
            <w:tcW w:w="992" w:type="dxa"/>
            <w:noWrap/>
            <w:hideMark/>
          </w:tcPr>
          <w:p w14:paraId="28EC8F68"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136358</w:t>
            </w:r>
          </w:p>
        </w:tc>
        <w:tc>
          <w:tcPr>
            <w:tcW w:w="4111" w:type="dxa"/>
            <w:noWrap/>
            <w:hideMark/>
          </w:tcPr>
          <w:p w14:paraId="1646469A"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proofErr w:type="spellStart"/>
            <w:r w:rsidRPr="00BE2CE1">
              <w:rPr>
                <w:rFonts w:cs="Tahoma"/>
                <w:sz w:val="20"/>
                <w:szCs w:val="20"/>
                <w:lang w:eastAsia="en-GB"/>
              </w:rPr>
              <w:t>Branston</w:t>
            </w:r>
            <w:proofErr w:type="spellEnd"/>
            <w:r w:rsidRPr="00BE2CE1">
              <w:rPr>
                <w:rFonts w:cs="Tahoma"/>
                <w:sz w:val="20"/>
                <w:szCs w:val="20"/>
                <w:lang w:eastAsia="en-GB"/>
              </w:rPr>
              <w:t xml:space="preserve"> Community Academy</w:t>
            </w:r>
          </w:p>
        </w:tc>
        <w:tc>
          <w:tcPr>
            <w:tcW w:w="3753" w:type="dxa"/>
            <w:noWrap/>
            <w:hideMark/>
          </w:tcPr>
          <w:p w14:paraId="210F2FCE"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Academy Converter</w:t>
            </w:r>
          </w:p>
        </w:tc>
        <w:tc>
          <w:tcPr>
            <w:tcW w:w="2200" w:type="dxa"/>
            <w:noWrap/>
            <w:hideMark/>
          </w:tcPr>
          <w:p w14:paraId="5EA9AB9B"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Secondary</w:t>
            </w:r>
          </w:p>
        </w:tc>
        <w:tc>
          <w:tcPr>
            <w:tcW w:w="2159" w:type="dxa"/>
            <w:noWrap/>
            <w:hideMark/>
          </w:tcPr>
          <w:p w14:paraId="2E2934DF"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Lincolnshire</w:t>
            </w:r>
          </w:p>
        </w:tc>
      </w:tr>
      <w:tr w:rsidR="00CD1838" w:rsidRPr="00BE2CE1" w14:paraId="4BAAA4AC"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4E9E4732" w14:textId="77777777" w:rsidR="00CD1838" w:rsidRPr="00BE2CE1" w:rsidRDefault="00FD71CE" w:rsidP="0082645F">
            <w:pPr>
              <w:rPr>
                <w:rFonts w:cs="Tahoma"/>
                <w:color w:val="0000FF"/>
                <w:sz w:val="20"/>
                <w:szCs w:val="20"/>
                <w:u w:val="single"/>
                <w:lang w:eastAsia="en-GB"/>
              </w:rPr>
            </w:pPr>
            <w:hyperlink r:id="rId51" w:tgtFrame="_parent" w:history="1">
              <w:r w:rsidR="00CD1838" w:rsidRPr="00BE2CE1">
                <w:rPr>
                  <w:rFonts w:cs="Tahoma"/>
                  <w:color w:val="0000FF"/>
                  <w:sz w:val="20"/>
                  <w:szCs w:val="20"/>
                  <w:u w:val="single"/>
                  <w:lang w:eastAsia="en-GB"/>
                </w:rPr>
                <w:t>Report</w:t>
              </w:r>
            </w:hyperlink>
          </w:p>
        </w:tc>
        <w:tc>
          <w:tcPr>
            <w:tcW w:w="992" w:type="dxa"/>
            <w:noWrap/>
            <w:hideMark/>
          </w:tcPr>
          <w:p w14:paraId="291E2002"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120740</w:t>
            </w:r>
          </w:p>
        </w:tc>
        <w:tc>
          <w:tcPr>
            <w:tcW w:w="4111" w:type="dxa"/>
            <w:noWrap/>
            <w:hideMark/>
          </w:tcPr>
          <w:p w14:paraId="03BEB436"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proofErr w:type="spellStart"/>
            <w:r w:rsidRPr="00BE2CE1">
              <w:rPr>
                <w:rFonts w:cs="Tahoma"/>
                <w:sz w:val="20"/>
                <w:szCs w:val="20"/>
                <w:lang w:eastAsia="en-GB"/>
              </w:rPr>
              <w:t>Kisimul</w:t>
            </w:r>
            <w:proofErr w:type="spellEnd"/>
            <w:r w:rsidRPr="00BE2CE1">
              <w:rPr>
                <w:rFonts w:cs="Tahoma"/>
                <w:sz w:val="20"/>
                <w:szCs w:val="20"/>
                <w:lang w:eastAsia="en-GB"/>
              </w:rPr>
              <w:t xml:space="preserve"> School</w:t>
            </w:r>
          </w:p>
        </w:tc>
        <w:tc>
          <w:tcPr>
            <w:tcW w:w="3753" w:type="dxa"/>
            <w:noWrap/>
            <w:hideMark/>
          </w:tcPr>
          <w:p w14:paraId="46143A08"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Independent special school</w:t>
            </w:r>
          </w:p>
        </w:tc>
        <w:tc>
          <w:tcPr>
            <w:tcW w:w="2200" w:type="dxa"/>
            <w:noWrap/>
            <w:hideMark/>
          </w:tcPr>
          <w:p w14:paraId="11032A83"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color w:val="auto"/>
                <w:sz w:val="20"/>
                <w:szCs w:val="20"/>
                <w:lang w:eastAsia="en-GB"/>
              </w:rPr>
            </w:pPr>
            <w:r w:rsidRPr="00BE2CE1">
              <w:rPr>
                <w:rFonts w:cs="Tahoma"/>
                <w:color w:val="auto"/>
                <w:sz w:val="20"/>
                <w:szCs w:val="20"/>
                <w:lang w:eastAsia="en-GB"/>
              </w:rPr>
              <w:t>Schools</w:t>
            </w:r>
          </w:p>
        </w:tc>
        <w:tc>
          <w:tcPr>
            <w:tcW w:w="2159" w:type="dxa"/>
            <w:noWrap/>
            <w:hideMark/>
          </w:tcPr>
          <w:p w14:paraId="4182A2C1"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Lincolnshire</w:t>
            </w:r>
          </w:p>
        </w:tc>
      </w:tr>
      <w:tr w:rsidR="00CD1838" w:rsidRPr="00BE2CE1" w14:paraId="407376C8"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6C7C3D2A" w14:textId="77777777" w:rsidR="00CD1838" w:rsidRPr="00BE2CE1" w:rsidRDefault="00FD71CE" w:rsidP="0082645F">
            <w:pPr>
              <w:rPr>
                <w:rFonts w:cs="Tahoma"/>
                <w:color w:val="0000FF"/>
                <w:sz w:val="20"/>
                <w:szCs w:val="20"/>
                <w:u w:val="single"/>
                <w:lang w:eastAsia="en-GB"/>
              </w:rPr>
            </w:pPr>
            <w:hyperlink r:id="rId52" w:tgtFrame="_parent" w:history="1">
              <w:r w:rsidR="00CD1838" w:rsidRPr="00BE2CE1">
                <w:rPr>
                  <w:rFonts w:cs="Tahoma"/>
                  <w:color w:val="0000FF"/>
                  <w:sz w:val="20"/>
                  <w:szCs w:val="20"/>
                  <w:u w:val="single"/>
                  <w:lang w:eastAsia="en-GB"/>
                </w:rPr>
                <w:t>Report</w:t>
              </w:r>
            </w:hyperlink>
          </w:p>
        </w:tc>
        <w:tc>
          <w:tcPr>
            <w:tcW w:w="992" w:type="dxa"/>
            <w:noWrap/>
            <w:hideMark/>
          </w:tcPr>
          <w:p w14:paraId="75435690"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138637</w:t>
            </w:r>
          </w:p>
        </w:tc>
        <w:tc>
          <w:tcPr>
            <w:tcW w:w="4111" w:type="dxa"/>
            <w:noWrap/>
            <w:hideMark/>
          </w:tcPr>
          <w:p w14:paraId="335CB824"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 xml:space="preserve">Louth </w:t>
            </w:r>
            <w:proofErr w:type="spellStart"/>
            <w:r w:rsidRPr="00BE2CE1">
              <w:rPr>
                <w:rFonts w:cs="Tahoma"/>
                <w:sz w:val="20"/>
                <w:szCs w:val="20"/>
                <w:lang w:eastAsia="en-GB"/>
              </w:rPr>
              <w:t>Kidgate</w:t>
            </w:r>
            <w:proofErr w:type="spellEnd"/>
            <w:r w:rsidRPr="00BE2CE1">
              <w:rPr>
                <w:rFonts w:cs="Tahoma"/>
                <w:sz w:val="20"/>
                <w:szCs w:val="20"/>
                <w:lang w:eastAsia="en-GB"/>
              </w:rPr>
              <w:t xml:space="preserve"> Primary School</w:t>
            </w:r>
          </w:p>
        </w:tc>
        <w:tc>
          <w:tcPr>
            <w:tcW w:w="3753" w:type="dxa"/>
            <w:noWrap/>
            <w:hideMark/>
          </w:tcPr>
          <w:p w14:paraId="0711113A"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Academy Converter</w:t>
            </w:r>
          </w:p>
        </w:tc>
        <w:tc>
          <w:tcPr>
            <w:tcW w:w="2200" w:type="dxa"/>
            <w:noWrap/>
            <w:hideMark/>
          </w:tcPr>
          <w:p w14:paraId="34CE90DF"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Primary</w:t>
            </w:r>
          </w:p>
        </w:tc>
        <w:tc>
          <w:tcPr>
            <w:tcW w:w="2159" w:type="dxa"/>
            <w:noWrap/>
            <w:hideMark/>
          </w:tcPr>
          <w:p w14:paraId="73989AB1"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Lincolnshire</w:t>
            </w:r>
          </w:p>
        </w:tc>
      </w:tr>
      <w:tr w:rsidR="00CD1838" w:rsidRPr="00BE2CE1" w14:paraId="70B055E7"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28A0A183" w14:textId="77777777" w:rsidR="00CD1838" w:rsidRPr="00BE2CE1" w:rsidRDefault="00FD71CE" w:rsidP="0082645F">
            <w:pPr>
              <w:rPr>
                <w:rFonts w:cs="Tahoma"/>
                <w:color w:val="0000FF"/>
                <w:sz w:val="20"/>
                <w:szCs w:val="20"/>
                <w:u w:val="single"/>
                <w:lang w:eastAsia="en-GB"/>
              </w:rPr>
            </w:pPr>
            <w:hyperlink r:id="rId53" w:tgtFrame="_parent" w:history="1">
              <w:r w:rsidR="00CD1838" w:rsidRPr="00BE2CE1">
                <w:rPr>
                  <w:rFonts w:cs="Tahoma"/>
                  <w:color w:val="0000FF"/>
                  <w:sz w:val="20"/>
                  <w:szCs w:val="20"/>
                  <w:u w:val="single"/>
                  <w:lang w:eastAsia="en-GB"/>
                </w:rPr>
                <w:t>Report</w:t>
              </w:r>
            </w:hyperlink>
          </w:p>
        </w:tc>
        <w:tc>
          <w:tcPr>
            <w:tcW w:w="992" w:type="dxa"/>
            <w:noWrap/>
            <w:hideMark/>
          </w:tcPr>
          <w:p w14:paraId="3560E3AD"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137327</w:t>
            </w:r>
          </w:p>
        </w:tc>
        <w:tc>
          <w:tcPr>
            <w:tcW w:w="4111" w:type="dxa"/>
            <w:noWrap/>
            <w:hideMark/>
          </w:tcPr>
          <w:p w14:paraId="610B2974"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St George's Preparatory School &amp; Little Dragons Preschool</w:t>
            </w:r>
          </w:p>
        </w:tc>
        <w:tc>
          <w:tcPr>
            <w:tcW w:w="3753" w:type="dxa"/>
            <w:noWrap/>
            <w:hideMark/>
          </w:tcPr>
          <w:p w14:paraId="04423D88"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Independent school</w:t>
            </w:r>
          </w:p>
        </w:tc>
        <w:tc>
          <w:tcPr>
            <w:tcW w:w="2200" w:type="dxa"/>
            <w:noWrap/>
            <w:hideMark/>
          </w:tcPr>
          <w:p w14:paraId="7C3F3D94"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color w:val="auto"/>
                <w:sz w:val="20"/>
                <w:szCs w:val="20"/>
                <w:lang w:eastAsia="en-GB"/>
              </w:rPr>
            </w:pPr>
            <w:r w:rsidRPr="00BE2CE1">
              <w:rPr>
                <w:rFonts w:cs="Tahoma"/>
                <w:color w:val="auto"/>
                <w:sz w:val="20"/>
                <w:szCs w:val="20"/>
                <w:lang w:eastAsia="en-GB"/>
              </w:rPr>
              <w:t>Schools</w:t>
            </w:r>
          </w:p>
        </w:tc>
        <w:tc>
          <w:tcPr>
            <w:tcW w:w="2159" w:type="dxa"/>
            <w:noWrap/>
            <w:hideMark/>
          </w:tcPr>
          <w:p w14:paraId="212A594B"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Lincolnshire</w:t>
            </w:r>
          </w:p>
        </w:tc>
      </w:tr>
      <w:tr w:rsidR="00CD1838" w:rsidRPr="00BE2CE1" w14:paraId="617069C8"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37DC7FF2" w14:textId="77777777" w:rsidR="00CD1838" w:rsidRPr="00BE2CE1" w:rsidRDefault="00FD71CE" w:rsidP="0082645F">
            <w:pPr>
              <w:rPr>
                <w:rFonts w:cs="Tahoma"/>
                <w:color w:val="0000FF"/>
                <w:sz w:val="20"/>
                <w:szCs w:val="20"/>
                <w:u w:val="single"/>
                <w:lang w:eastAsia="en-GB"/>
              </w:rPr>
            </w:pPr>
            <w:hyperlink r:id="rId54" w:tgtFrame="_parent" w:history="1">
              <w:r w:rsidR="00CD1838" w:rsidRPr="00BE2CE1">
                <w:rPr>
                  <w:rFonts w:cs="Tahoma"/>
                  <w:color w:val="0000FF"/>
                  <w:sz w:val="20"/>
                  <w:szCs w:val="20"/>
                  <w:u w:val="single"/>
                  <w:lang w:eastAsia="en-GB"/>
                </w:rPr>
                <w:t>Report</w:t>
              </w:r>
            </w:hyperlink>
          </w:p>
        </w:tc>
        <w:tc>
          <w:tcPr>
            <w:tcW w:w="992" w:type="dxa"/>
            <w:noWrap/>
            <w:hideMark/>
          </w:tcPr>
          <w:p w14:paraId="212538AA"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120399</w:t>
            </w:r>
          </w:p>
        </w:tc>
        <w:tc>
          <w:tcPr>
            <w:tcW w:w="4111" w:type="dxa"/>
            <w:noWrap/>
            <w:hideMark/>
          </w:tcPr>
          <w:p w14:paraId="2BFB8BC1"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The Bluecoat School, Stamford</w:t>
            </w:r>
          </w:p>
        </w:tc>
        <w:tc>
          <w:tcPr>
            <w:tcW w:w="3753" w:type="dxa"/>
            <w:noWrap/>
            <w:hideMark/>
          </w:tcPr>
          <w:p w14:paraId="6C2D3537"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Community School</w:t>
            </w:r>
          </w:p>
        </w:tc>
        <w:tc>
          <w:tcPr>
            <w:tcW w:w="2200" w:type="dxa"/>
            <w:noWrap/>
            <w:hideMark/>
          </w:tcPr>
          <w:p w14:paraId="1D5F7179"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Primary</w:t>
            </w:r>
          </w:p>
        </w:tc>
        <w:tc>
          <w:tcPr>
            <w:tcW w:w="2159" w:type="dxa"/>
            <w:noWrap/>
            <w:hideMark/>
          </w:tcPr>
          <w:p w14:paraId="7190F769"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Lincolnshire</w:t>
            </w:r>
          </w:p>
        </w:tc>
      </w:tr>
      <w:tr w:rsidR="00CD1838" w:rsidRPr="00BE2CE1" w14:paraId="5E92ABEF"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30971A90" w14:textId="77777777" w:rsidR="00CD1838" w:rsidRPr="00BE2CE1" w:rsidRDefault="00FD71CE" w:rsidP="0082645F">
            <w:pPr>
              <w:rPr>
                <w:rFonts w:cs="Tahoma"/>
                <w:color w:val="0000FF"/>
                <w:sz w:val="20"/>
                <w:szCs w:val="20"/>
                <w:u w:val="single"/>
                <w:lang w:eastAsia="en-GB"/>
              </w:rPr>
            </w:pPr>
            <w:hyperlink r:id="rId55" w:tgtFrame="_parent" w:history="1">
              <w:r w:rsidR="00CD1838" w:rsidRPr="00BE2CE1">
                <w:rPr>
                  <w:rFonts w:cs="Tahoma"/>
                  <w:color w:val="0000FF"/>
                  <w:sz w:val="20"/>
                  <w:szCs w:val="20"/>
                  <w:u w:val="single"/>
                  <w:lang w:eastAsia="en-GB"/>
                </w:rPr>
                <w:t>Report</w:t>
              </w:r>
            </w:hyperlink>
          </w:p>
        </w:tc>
        <w:tc>
          <w:tcPr>
            <w:tcW w:w="992" w:type="dxa"/>
            <w:noWrap/>
            <w:hideMark/>
          </w:tcPr>
          <w:p w14:paraId="2FE2D849"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139625</w:t>
            </w:r>
          </w:p>
        </w:tc>
        <w:tc>
          <w:tcPr>
            <w:tcW w:w="4111" w:type="dxa"/>
            <w:noWrap/>
            <w:hideMark/>
          </w:tcPr>
          <w:p w14:paraId="2C90376C"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 xml:space="preserve">The </w:t>
            </w:r>
            <w:proofErr w:type="spellStart"/>
            <w:r w:rsidRPr="00BE2CE1">
              <w:rPr>
                <w:rFonts w:cs="Tahoma"/>
                <w:sz w:val="20"/>
                <w:szCs w:val="20"/>
                <w:lang w:eastAsia="en-GB"/>
              </w:rPr>
              <w:t>Eresby</w:t>
            </w:r>
            <w:proofErr w:type="spellEnd"/>
            <w:r w:rsidRPr="00BE2CE1">
              <w:rPr>
                <w:rFonts w:cs="Tahoma"/>
                <w:sz w:val="20"/>
                <w:szCs w:val="20"/>
                <w:lang w:eastAsia="en-GB"/>
              </w:rPr>
              <w:t xml:space="preserve"> School, </w:t>
            </w:r>
            <w:proofErr w:type="spellStart"/>
            <w:r w:rsidRPr="00BE2CE1">
              <w:rPr>
                <w:rFonts w:cs="Tahoma"/>
                <w:sz w:val="20"/>
                <w:szCs w:val="20"/>
                <w:lang w:eastAsia="en-GB"/>
              </w:rPr>
              <w:t>Spilsby</w:t>
            </w:r>
            <w:proofErr w:type="spellEnd"/>
          </w:p>
        </w:tc>
        <w:tc>
          <w:tcPr>
            <w:tcW w:w="3753" w:type="dxa"/>
            <w:noWrap/>
            <w:hideMark/>
          </w:tcPr>
          <w:p w14:paraId="33AAE7FA"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Academy Special Converter</w:t>
            </w:r>
          </w:p>
        </w:tc>
        <w:tc>
          <w:tcPr>
            <w:tcW w:w="2200" w:type="dxa"/>
            <w:noWrap/>
            <w:hideMark/>
          </w:tcPr>
          <w:p w14:paraId="3E922F12"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Special</w:t>
            </w:r>
          </w:p>
        </w:tc>
        <w:tc>
          <w:tcPr>
            <w:tcW w:w="2159" w:type="dxa"/>
            <w:noWrap/>
            <w:hideMark/>
          </w:tcPr>
          <w:p w14:paraId="0924A9CC"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Lincolnshire</w:t>
            </w:r>
          </w:p>
        </w:tc>
      </w:tr>
      <w:tr w:rsidR="00CD1838" w:rsidRPr="00BE2CE1" w14:paraId="76B69E53"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3BDACBD6" w14:textId="77777777" w:rsidR="00CD1838" w:rsidRPr="00BE2CE1" w:rsidRDefault="00FD71CE" w:rsidP="0082645F">
            <w:pPr>
              <w:rPr>
                <w:rFonts w:cs="Tahoma"/>
                <w:color w:val="0000FF"/>
                <w:sz w:val="20"/>
                <w:szCs w:val="20"/>
                <w:u w:val="single"/>
                <w:lang w:eastAsia="en-GB"/>
              </w:rPr>
            </w:pPr>
            <w:hyperlink r:id="rId56" w:tgtFrame="_parent" w:history="1">
              <w:r w:rsidR="00CD1838" w:rsidRPr="00BE2CE1">
                <w:rPr>
                  <w:rFonts w:cs="Tahoma"/>
                  <w:color w:val="0000FF"/>
                  <w:sz w:val="20"/>
                  <w:szCs w:val="20"/>
                  <w:u w:val="single"/>
                  <w:lang w:eastAsia="en-GB"/>
                </w:rPr>
                <w:t>Report</w:t>
              </w:r>
            </w:hyperlink>
          </w:p>
        </w:tc>
        <w:tc>
          <w:tcPr>
            <w:tcW w:w="992" w:type="dxa"/>
            <w:noWrap/>
            <w:hideMark/>
          </w:tcPr>
          <w:p w14:paraId="53CAACAE"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120755</w:t>
            </w:r>
          </w:p>
        </w:tc>
        <w:tc>
          <w:tcPr>
            <w:tcW w:w="4111" w:type="dxa"/>
            <w:noWrap/>
            <w:hideMark/>
          </w:tcPr>
          <w:p w14:paraId="214F642F"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The St Francis Special School, Lincoln</w:t>
            </w:r>
          </w:p>
        </w:tc>
        <w:tc>
          <w:tcPr>
            <w:tcW w:w="3753" w:type="dxa"/>
            <w:noWrap/>
            <w:hideMark/>
          </w:tcPr>
          <w:p w14:paraId="7DC311CC"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Community Special School</w:t>
            </w:r>
          </w:p>
        </w:tc>
        <w:tc>
          <w:tcPr>
            <w:tcW w:w="2200" w:type="dxa"/>
            <w:noWrap/>
            <w:hideMark/>
          </w:tcPr>
          <w:p w14:paraId="3F8EBE30"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Special</w:t>
            </w:r>
          </w:p>
        </w:tc>
        <w:tc>
          <w:tcPr>
            <w:tcW w:w="2159" w:type="dxa"/>
            <w:noWrap/>
            <w:hideMark/>
          </w:tcPr>
          <w:p w14:paraId="622313AC"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Lincolnshire</w:t>
            </w:r>
          </w:p>
        </w:tc>
      </w:tr>
      <w:tr w:rsidR="00CD1838" w:rsidRPr="00BE2CE1" w14:paraId="2B5E8684"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56E4C51F" w14:textId="77777777" w:rsidR="00CD1838" w:rsidRPr="00BE2CE1" w:rsidRDefault="00FD71CE" w:rsidP="0082645F">
            <w:pPr>
              <w:rPr>
                <w:rFonts w:cs="Tahoma"/>
                <w:color w:val="0000FF"/>
                <w:sz w:val="20"/>
                <w:szCs w:val="20"/>
                <w:u w:val="single"/>
                <w:lang w:eastAsia="en-GB"/>
              </w:rPr>
            </w:pPr>
            <w:hyperlink r:id="rId57" w:tgtFrame="_parent" w:history="1">
              <w:r w:rsidR="00CD1838" w:rsidRPr="00BE2CE1">
                <w:rPr>
                  <w:rFonts w:cs="Tahoma"/>
                  <w:color w:val="0000FF"/>
                  <w:sz w:val="20"/>
                  <w:szCs w:val="20"/>
                  <w:u w:val="single"/>
                  <w:lang w:eastAsia="en-GB"/>
                </w:rPr>
                <w:t>Report</w:t>
              </w:r>
            </w:hyperlink>
          </w:p>
        </w:tc>
        <w:tc>
          <w:tcPr>
            <w:tcW w:w="992" w:type="dxa"/>
            <w:noWrap/>
            <w:hideMark/>
          </w:tcPr>
          <w:p w14:paraId="216B108D"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120614</w:t>
            </w:r>
          </w:p>
        </w:tc>
        <w:tc>
          <w:tcPr>
            <w:tcW w:w="4111" w:type="dxa"/>
            <w:noWrap/>
            <w:hideMark/>
          </w:tcPr>
          <w:p w14:paraId="2366C658"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 xml:space="preserve">The </w:t>
            </w:r>
            <w:proofErr w:type="spellStart"/>
            <w:r w:rsidRPr="00BE2CE1">
              <w:rPr>
                <w:rFonts w:cs="Tahoma"/>
                <w:sz w:val="20"/>
                <w:szCs w:val="20"/>
                <w:lang w:eastAsia="en-GB"/>
              </w:rPr>
              <w:t>Tydd</w:t>
            </w:r>
            <w:proofErr w:type="spellEnd"/>
            <w:r w:rsidRPr="00BE2CE1">
              <w:rPr>
                <w:rFonts w:cs="Tahoma"/>
                <w:sz w:val="20"/>
                <w:szCs w:val="20"/>
                <w:lang w:eastAsia="en-GB"/>
              </w:rPr>
              <w:t xml:space="preserve"> St Mary Church of England Primary School</w:t>
            </w:r>
          </w:p>
        </w:tc>
        <w:tc>
          <w:tcPr>
            <w:tcW w:w="3753" w:type="dxa"/>
            <w:noWrap/>
            <w:hideMark/>
          </w:tcPr>
          <w:p w14:paraId="38D3DEA2"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Voluntary Aided School</w:t>
            </w:r>
          </w:p>
        </w:tc>
        <w:tc>
          <w:tcPr>
            <w:tcW w:w="2200" w:type="dxa"/>
            <w:noWrap/>
            <w:hideMark/>
          </w:tcPr>
          <w:p w14:paraId="3310BD53"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Primary</w:t>
            </w:r>
          </w:p>
        </w:tc>
        <w:tc>
          <w:tcPr>
            <w:tcW w:w="2159" w:type="dxa"/>
            <w:noWrap/>
            <w:hideMark/>
          </w:tcPr>
          <w:p w14:paraId="243BF624"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Lincolnshire</w:t>
            </w:r>
          </w:p>
        </w:tc>
      </w:tr>
      <w:tr w:rsidR="00CD1838" w:rsidRPr="00BE2CE1" w14:paraId="0853798D"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645B3BB6" w14:textId="77777777" w:rsidR="00CD1838" w:rsidRPr="00BE2CE1" w:rsidRDefault="00FD71CE" w:rsidP="0082645F">
            <w:pPr>
              <w:rPr>
                <w:rFonts w:cs="Tahoma"/>
                <w:color w:val="0000FF"/>
                <w:sz w:val="20"/>
                <w:szCs w:val="20"/>
                <w:u w:val="single"/>
                <w:lang w:eastAsia="en-GB"/>
              </w:rPr>
            </w:pPr>
            <w:hyperlink r:id="rId58" w:tgtFrame="_parent" w:history="1">
              <w:r w:rsidR="00CD1838" w:rsidRPr="00BE2CE1">
                <w:rPr>
                  <w:rFonts w:cs="Tahoma"/>
                  <w:color w:val="0000FF"/>
                  <w:sz w:val="20"/>
                  <w:szCs w:val="20"/>
                  <w:u w:val="single"/>
                  <w:lang w:eastAsia="en-GB"/>
                </w:rPr>
                <w:t>Report</w:t>
              </w:r>
            </w:hyperlink>
          </w:p>
        </w:tc>
        <w:tc>
          <w:tcPr>
            <w:tcW w:w="992" w:type="dxa"/>
            <w:noWrap/>
            <w:hideMark/>
          </w:tcPr>
          <w:p w14:paraId="1B0E9314"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120681</w:t>
            </w:r>
          </w:p>
        </w:tc>
        <w:tc>
          <w:tcPr>
            <w:tcW w:w="4111" w:type="dxa"/>
            <w:noWrap/>
            <w:hideMark/>
          </w:tcPr>
          <w:p w14:paraId="192D3791"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proofErr w:type="spellStart"/>
            <w:r w:rsidRPr="00BE2CE1">
              <w:rPr>
                <w:rFonts w:cs="Tahoma"/>
                <w:sz w:val="20"/>
                <w:szCs w:val="20"/>
                <w:lang w:eastAsia="en-GB"/>
              </w:rPr>
              <w:t>Wyberton</w:t>
            </w:r>
            <w:proofErr w:type="spellEnd"/>
            <w:r w:rsidRPr="00BE2CE1">
              <w:rPr>
                <w:rFonts w:cs="Tahoma"/>
                <w:sz w:val="20"/>
                <w:szCs w:val="20"/>
                <w:lang w:eastAsia="en-GB"/>
              </w:rPr>
              <w:t xml:space="preserve"> Primary School</w:t>
            </w:r>
          </w:p>
        </w:tc>
        <w:tc>
          <w:tcPr>
            <w:tcW w:w="3753" w:type="dxa"/>
            <w:noWrap/>
            <w:hideMark/>
          </w:tcPr>
          <w:p w14:paraId="76B96C38"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Foundation School</w:t>
            </w:r>
          </w:p>
        </w:tc>
        <w:tc>
          <w:tcPr>
            <w:tcW w:w="2200" w:type="dxa"/>
            <w:noWrap/>
            <w:hideMark/>
          </w:tcPr>
          <w:p w14:paraId="4279A98A"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Primary</w:t>
            </w:r>
          </w:p>
        </w:tc>
        <w:tc>
          <w:tcPr>
            <w:tcW w:w="2159" w:type="dxa"/>
            <w:noWrap/>
            <w:hideMark/>
          </w:tcPr>
          <w:p w14:paraId="5069DD16"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Lincolnshire</w:t>
            </w:r>
          </w:p>
        </w:tc>
      </w:tr>
      <w:tr w:rsidR="00CD1838" w:rsidRPr="00BE2CE1" w14:paraId="408FA7D4"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056AC090" w14:textId="77777777" w:rsidR="00CD1838" w:rsidRPr="00BE2CE1" w:rsidRDefault="00FD71CE" w:rsidP="0082645F">
            <w:pPr>
              <w:rPr>
                <w:rFonts w:cs="Tahoma"/>
                <w:color w:val="0000FF"/>
                <w:sz w:val="20"/>
                <w:szCs w:val="20"/>
                <w:u w:val="single"/>
                <w:lang w:eastAsia="en-GB"/>
              </w:rPr>
            </w:pPr>
            <w:hyperlink r:id="rId59" w:tgtFrame="_parent" w:history="1">
              <w:r w:rsidR="00CD1838" w:rsidRPr="00BE2CE1">
                <w:rPr>
                  <w:rFonts w:cs="Tahoma"/>
                  <w:color w:val="0000FF"/>
                  <w:sz w:val="20"/>
                  <w:szCs w:val="20"/>
                  <w:u w:val="single"/>
                  <w:lang w:eastAsia="en-GB"/>
                </w:rPr>
                <w:t>Report</w:t>
              </w:r>
            </w:hyperlink>
          </w:p>
        </w:tc>
        <w:tc>
          <w:tcPr>
            <w:tcW w:w="992" w:type="dxa"/>
            <w:noWrap/>
            <w:hideMark/>
          </w:tcPr>
          <w:p w14:paraId="6B69F97A"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120364</w:t>
            </w:r>
          </w:p>
        </w:tc>
        <w:tc>
          <w:tcPr>
            <w:tcW w:w="4111" w:type="dxa"/>
            <w:noWrap/>
            <w:hideMark/>
          </w:tcPr>
          <w:p w14:paraId="5B949AC1"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Wyndham Park Nursery School</w:t>
            </w:r>
          </w:p>
        </w:tc>
        <w:tc>
          <w:tcPr>
            <w:tcW w:w="3753" w:type="dxa"/>
            <w:noWrap/>
            <w:hideMark/>
          </w:tcPr>
          <w:p w14:paraId="6F01CB6E"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LA Nursery School</w:t>
            </w:r>
          </w:p>
        </w:tc>
        <w:tc>
          <w:tcPr>
            <w:tcW w:w="2200" w:type="dxa"/>
            <w:noWrap/>
            <w:hideMark/>
          </w:tcPr>
          <w:p w14:paraId="32E63BB0"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Nursery</w:t>
            </w:r>
          </w:p>
        </w:tc>
        <w:tc>
          <w:tcPr>
            <w:tcW w:w="2159" w:type="dxa"/>
            <w:noWrap/>
            <w:hideMark/>
          </w:tcPr>
          <w:p w14:paraId="458CAB2D"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Lincolnshire</w:t>
            </w:r>
          </w:p>
        </w:tc>
      </w:tr>
      <w:tr w:rsidR="00CD1838" w:rsidRPr="00BE2CE1" w14:paraId="1D474534"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6226389F" w14:textId="77777777" w:rsidR="00CD1838" w:rsidRPr="00BE2CE1" w:rsidRDefault="00FD71CE" w:rsidP="0082645F">
            <w:pPr>
              <w:rPr>
                <w:rFonts w:cs="Tahoma"/>
                <w:color w:val="0000FF"/>
                <w:sz w:val="20"/>
                <w:szCs w:val="20"/>
                <w:u w:val="single"/>
                <w:lang w:eastAsia="en-GB"/>
              </w:rPr>
            </w:pPr>
            <w:hyperlink r:id="rId60" w:tgtFrame="_parent" w:history="1">
              <w:r w:rsidR="00CD1838" w:rsidRPr="00BE2CE1">
                <w:rPr>
                  <w:rFonts w:cs="Tahoma"/>
                  <w:color w:val="0000FF"/>
                  <w:sz w:val="20"/>
                  <w:szCs w:val="20"/>
                  <w:u w:val="single"/>
                  <w:lang w:eastAsia="en-GB"/>
                </w:rPr>
                <w:t>Report</w:t>
              </w:r>
            </w:hyperlink>
          </w:p>
        </w:tc>
        <w:tc>
          <w:tcPr>
            <w:tcW w:w="992" w:type="dxa"/>
            <w:noWrap/>
            <w:hideMark/>
          </w:tcPr>
          <w:p w14:paraId="6F5705F9"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121959</w:t>
            </w:r>
          </w:p>
        </w:tc>
        <w:tc>
          <w:tcPr>
            <w:tcW w:w="4111" w:type="dxa"/>
            <w:noWrap/>
            <w:hideMark/>
          </w:tcPr>
          <w:p w14:paraId="788D15F8"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proofErr w:type="spellStart"/>
            <w:r w:rsidRPr="00BE2CE1">
              <w:rPr>
                <w:rFonts w:cs="Tahoma"/>
                <w:sz w:val="20"/>
                <w:szCs w:val="20"/>
                <w:lang w:eastAsia="en-GB"/>
              </w:rPr>
              <w:t>Blakesley</w:t>
            </w:r>
            <w:proofErr w:type="spellEnd"/>
            <w:r w:rsidRPr="00BE2CE1">
              <w:rPr>
                <w:rFonts w:cs="Tahoma"/>
                <w:sz w:val="20"/>
                <w:szCs w:val="20"/>
                <w:lang w:eastAsia="en-GB"/>
              </w:rPr>
              <w:t xml:space="preserve"> Church of England Primary School</w:t>
            </w:r>
          </w:p>
        </w:tc>
        <w:tc>
          <w:tcPr>
            <w:tcW w:w="3753" w:type="dxa"/>
            <w:noWrap/>
            <w:hideMark/>
          </w:tcPr>
          <w:p w14:paraId="5790B651"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Voluntary Controlled School</w:t>
            </w:r>
          </w:p>
        </w:tc>
        <w:tc>
          <w:tcPr>
            <w:tcW w:w="2200" w:type="dxa"/>
            <w:noWrap/>
            <w:hideMark/>
          </w:tcPr>
          <w:p w14:paraId="65AF1891"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Primary</w:t>
            </w:r>
          </w:p>
        </w:tc>
        <w:tc>
          <w:tcPr>
            <w:tcW w:w="2159" w:type="dxa"/>
            <w:noWrap/>
            <w:hideMark/>
          </w:tcPr>
          <w:p w14:paraId="094E5609"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Northamptonshire</w:t>
            </w:r>
          </w:p>
        </w:tc>
      </w:tr>
      <w:tr w:rsidR="00CD1838" w:rsidRPr="00BE2CE1" w14:paraId="04D243C5"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52369CA1" w14:textId="77777777" w:rsidR="00CD1838" w:rsidRPr="00BE2CE1" w:rsidRDefault="00FD71CE" w:rsidP="0082645F">
            <w:pPr>
              <w:rPr>
                <w:rFonts w:cs="Tahoma"/>
                <w:color w:val="0000FF"/>
                <w:sz w:val="20"/>
                <w:szCs w:val="20"/>
                <w:u w:val="single"/>
                <w:lang w:eastAsia="en-GB"/>
              </w:rPr>
            </w:pPr>
            <w:hyperlink r:id="rId61" w:tgtFrame="_parent" w:history="1">
              <w:r w:rsidR="00CD1838" w:rsidRPr="00BE2CE1">
                <w:rPr>
                  <w:rFonts w:cs="Tahoma"/>
                  <w:color w:val="0000FF"/>
                  <w:sz w:val="20"/>
                  <w:szCs w:val="20"/>
                  <w:u w:val="single"/>
                  <w:lang w:eastAsia="en-GB"/>
                </w:rPr>
                <w:t>Report</w:t>
              </w:r>
            </w:hyperlink>
          </w:p>
        </w:tc>
        <w:tc>
          <w:tcPr>
            <w:tcW w:w="992" w:type="dxa"/>
            <w:noWrap/>
            <w:hideMark/>
          </w:tcPr>
          <w:p w14:paraId="1423A3EF"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121966</w:t>
            </w:r>
          </w:p>
        </w:tc>
        <w:tc>
          <w:tcPr>
            <w:tcW w:w="4111" w:type="dxa"/>
            <w:noWrap/>
            <w:hideMark/>
          </w:tcPr>
          <w:p w14:paraId="3654BA54"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Cranford Church of England Primary School</w:t>
            </w:r>
          </w:p>
        </w:tc>
        <w:tc>
          <w:tcPr>
            <w:tcW w:w="3753" w:type="dxa"/>
            <w:noWrap/>
            <w:hideMark/>
          </w:tcPr>
          <w:p w14:paraId="6B7CEC53"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Voluntary Controlled School</w:t>
            </w:r>
          </w:p>
        </w:tc>
        <w:tc>
          <w:tcPr>
            <w:tcW w:w="2200" w:type="dxa"/>
            <w:noWrap/>
            <w:hideMark/>
          </w:tcPr>
          <w:p w14:paraId="328314C1"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Primary</w:t>
            </w:r>
          </w:p>
        </w:tc>
        <w:tc>
          <w:tcPr>
            <w:tcW w:w="2159" w:type="dxa"/>
            <w:noWrap/>
            <w:hideMark/>
          </w:tcPr>
          <w:p w14:paraId="69BFF977"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Northamptonshire</w:t>
            </w:r>
          </w:p>
        </w:tc>
      </w:tr>
      <w:tr w:rsidR="00CD1838" w:rsidRPr="00BE2CE1" w14:paraId="0A356B5C"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117E8182" w14:textId="77777777" w:rsidR="00CD1838" w:rsidRPr="00BE2CE1" w:rsidRDefault="00FD71CE" w:rsidP="0082645F">
            <w:pPr>
              <w:rPr>
                <w:rFonts w:cs="Tahoma"/>
                <w:color w:val="0000FF"/>
                <w:sz w:val="20"/>
                <w:szCs w:val="20"/>
                <w:u w:val="single"/>
                <w:lang w:eastAsia="en-GB"/>
              </w:rPr>
            </w:pPr>
            <w:hyperlink r:id="rId62" w:tgtFrame="_parent" w:history="1">
              <w:r w:rsidR="00CD1838" w:rsidRPr="00BE2CE1">
                <w:rPr>
                  <w:rFonts w:cs="Tahoma"/>
                  <w:color w:val="0000FF"/>
                  <w:sz w:val="20"/>
                  <w:szCs w:val="20"/>
                  <w:u w:val="single"/>
                  <w:lang w:eastAsia="en-GB"/>
                </w:rPr>
                <w:t>Report</w:t>
              </w:r>
            </w:hyperlink>
          </w:p>
        </w:tc>
        <w:tc>
          <w:tcPr>
            <w:tcW w:w="992" w:type="dxa"/>
            <w:noWrap/>
            <w:hideMark/>
          </w:tcPr>
          <w:p w14:paraId="3D3B20C2"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140051</w:t>
            </w:r>
          </w:p>
        </w:tc>
        <w:tc>
          <w:tcPr>
            <w:tcW w:w="4111" w:type="dxa"/>
            <w:noWrap/>
            <w:hideMark/>
          </w:tcPr>
          <w:p w14:paraId="206485B9"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Havelock Infant School</w:t>
            </w:r>
          </w:p>
        </w:tc>
        <w:tc>
          <w:tcPr>
            <w:tcW w:w="3753" w:type="dxa"/>
            <w:noWrap/>
            <w:hideMark/>
          </w:tcPr>
          <w:p w14:paraId="4B6ADC7A"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Academy Converter</w:t>
            </w:r>
          </w:p>
        </w:tc>
        <w:tc>
          <w:tcPr>
            <w:tcW w:w="2200" w:type="dxa"/>
            <w:noWrap/>
            <w:hideMark/>
          </w:tcPr>
          <w:p w14:paraId="5D991F17"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Primary</w:t>
            </w:r>
          </w:p>
        </w:tc>
        <w:tc>
          <w:tcPr>
            <w:tcW w:w="2159" w:type="dxa"/>
            <w:noWrap/>
            <w:hideMark/>
          </w:tcPr>
          <w:p w14:paraId="564AAF56"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Northamptonshire</w:t>
            </w:r>
          </w:p>
        </w:tc>
      </w:tr>
      <w:tr w:rsidR="00CD1838" w:rsidRPr="00BE2CE1" w14:paraId="45D01A23"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3E64583A" w14:textId="77777777" w:rsidR="00CD1838" w:rsidRPr="00BE2CE1" w:rsidRDefault="00FD71CE" w:rsidP="0082645F">
            <w:pPr>
              <w:rPr>
                <w:rFonts w:cs="Tahoma"/>
                <w:color w:val="0000FF"/>
                <w:sz w:val="20"/>
                <w:szCs w:val="20"/>
                <w:u w:val="single"/>
                <w:lang w:eastAsia="en-GB"/>
              </w:rPr>
            </w:pPr>
            <w:hyperlink r:id="rId63" w:tgtFrame="_parent" w:history="1">
              <w:r w:rsidR="00CD1838" w:rsidRPr="00BE2CE1">
                <w:rPr>
                  <w:rFonts w:cs="Tahoma"/>
                  <w:color w:val="0000FF"/>
                  <w:sz w:val="20"/>
                  <w:szCs w:val="20"/>
                  <w:u w:val="single"/>
                  <w:lang w:eastAsia="en-GB"/>
                </w:rPr>
                <w:t>Report</w:t>
              </w:r>
            </w:hyperlink>
          </w:p>
        </w:tc>
        <w:tc>
          <w:tcPr>
            <w:tcW w:w="992" w:type="dxa"/>
            <w:noWrap/>
            <w:hideMark/>
          </w:tcPr>
          <w:p w14:paraId="2A997E91"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137875</w:t>
            </w:r>
          </w:p>
        </w:tc>
        <w:tc>
          <w:tcPr>
            <w:tcW w:w="4111" w:type="dxa"/>
            <w:noWrap/>
            <w:hideMark/>
          </w:tcPr>
          <w:p w14:paraId="5D993DD1"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Kingsley School</w:t>
            </w:r>
          </w:p>
        </w:tc>
        <w:tc>
          <w:tcPr>
            <w:tcW w:w="3753" w:type="dxa"/>
            <w:noWrap/>
            <w:hideMark/>
          </w:tcPr>
          <w:p w14:paraId="5AE55D28"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Academy Special Converter</w:t>
            </w:r>
          </w:p>
        </w:tc>
        <w:tc>
          <w:tcPr>
            <w:tcW w:w="2200" w:type="dxa"/>
            <w:noWrap/>
            <w:hideMark/>
          </w:tcPr>
          <w:p w14:paraId="2C33A664"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Special</w:t>
            </w:r>
          </w:p>
        </w:tc>
        <w:tc>
          <w:tcPr>
            <w:tcW w:w="2159" w:type="dxa"/>
            <w:noWrap/>
            <w:hideMark/>
          </w:tcPr>
          <w:p w14:paraId="54832285"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Northamptonshire</w:t>
            </w:r>
          </w:p>
        </w:tc>
      </w:tr>
      <w:tr w:rsidR="00CD1838" w:rsidRPr="00BE2CE1" w14:paraId="5C92C602"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5B87980A" w14:textId="77777777" w:rsidR="00CD1838" w:rsidRPr="00BE2CE1" w:rsidRDefault="00FD71CE" w:rsidP="0082645F">
            <w:pPr>
              <w:rPr>
                <w:rFonts w:cs="Tahoma"/>
                <w:color w:val="0000FF"/>
                <w:sz w:val="20"/>
                <w:szCs w:val="20"/>
                <w:u w:val="single"/>
                <w:lang w:eastAsia="en-GB"/>
              </w:rPr>
            </w:pPr>
            <w:hyperlink r:id="rId64" w:tgtFrame="_parent" w:history="1">
              <w:r w:rsidR="00CD1838" w:rsidRPr="00BE2CE1">
                <w:rPr>
                  <w:rFonts w:cs="Tahoma"/>
                  <w:color w:val="0000FF"/>
                  <w:sz w:val="20"/>
                  <w:szCs w:val="20"/>
                  <w:u w:val="single"/>
                  <w:lang w:eastAsia="en-GB"/>
                </w:rPr>
                <w:t>Report</w:t>
              </w:r>
            </w:hyperlink>
          </w:p>
        </w:tc>
        <w:tc>
          <w:tcPr>
            <w:tcW w:w="992" w:type="dxa"/>
            <w:noWrap/>
            <w:hideMark/>
          </w:tcPr>
          <w:p w14:paraId="7BE0A3FA"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138340</w:t>
            </w:r>
          </w:p>
        </w:tc>
        <w:tc>
          <w:tcPr>
            <w:tcW w:w="4111" w:type="dxa"/>
            <w:noWrap/>
            <w:hideMark/>
          </w:tcPr>
          <w:p w14:paraId="73FFA0AF"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St Teresa's Catholic Primary School</w:t>
            </w:r>
          </w:p>
        </w:tc>
        <w:tc>
          <w:tcPr>
            <w:tcW w:w="3753" w:type="dxa"/>
            <w:noWrap/>
            <w:hideMark/>
          </w:tcPr>
          <w:p w14:paraId="30C444F3"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Academy Converter</w:t>
            </w:r>
          </w:p>
        </w:tc>
        <w:tc>
          <w:tcPr>
            <w:tcW w:w="2200" w:type="dxa"/>
            <w:noWrap/>
            <w:hideMark/>
          </w:tcPr>
          <w:p w14:paraId="7495DCFD"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Primary</w:t>
            </w:r>
          </w:p>
        </w:tc>
        <w:tc>
          <w:tcPr>
            <w:tcW w:w="2159" w:type="dxa"/>
            <w:noWrap/>
            <w:hideMark/>
          </w:tcPr>
          <w:p w14:paraId="344BD763"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Nottingham</w:t>
            </w:r>
          </w:p>
        </w:tc>
      </w:tr>
      <w:tr w:rsidR="00CD1838" w:rsidRPr="00BE2CE1" w14:paraId="5FA52739"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05C31ACA" w14:textId="77777777" w:rsidR="00CD1838" w:rsidRPr="00BE2CE1" w:rsidRDefault="00FD71CE" w:rsidP="0082645F">
            <w:pPr>
              <w:rPr>
                <w:rFonts w:cs="Tahoma"/>
                <w:color w:val="0000FF"/>
                <w:sz w:val="20"/>
                <w:szCs w:val="20"/>
                <w:u w:val="single"/>
                <w:lang w:eastAsia="en-GB"/>
              </w:rPr>
            </w:pPr>
            <w:hyperlink r:id="rId65" w:tgtFrame="_parent" w:history="1">
              <w:r w:rsidR="00CD1838" w:rsidRPr="00BE2CE1">
                <w:rPr>
                  <w:rFonts w:cs="Tahoma"/>
                  <w:color w:val="0000FF"/>
                  <w:sz w:val="20"/>
                  <w:szCs w:val="20"/>
                  <w:u w:val="single"/>
                  <w:lang w:eastAsia="en-GB"/>
                </w:rPr>
                <w:t>Report</w:t>
              </w:r>
            </w:hyperlink>
          </w:p>
        </w:tc>
        <w:tc>
          <w:tcPr>
            <w:tcW w:w="992" w:type="dxa"/>
            <w:noWrap/>
            <w:hideMark/>
          </w:tcPr>
          <w:p w14:paraId="28E7659E"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70338</w:t>
            </w:r>
          </w:p>
        </w:tc>
        <w:tc>
          <w:tcPr>
            <w:tcW w:w="4111" w:type="dxa"/>
            <w:noWrap/>
            <w:hideMark/>
          </w:tcPr>
          <w:p w14:paraId="503214A5"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Teach First East Midlands Local Area Office</w:t>
            </w:r>
          </w:p>
        </w:tc>
        <w:tc>
          <w:tcPr>
            <w:tcW w:w="3753" w:type="dxa"/>
            <w:noWrap/>
            <w:hideMark/>
          </w:tcPr>
          <w:p w14:paraId="2C4EEB43"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Initial teacher education</w:t>
            </w:r>
          </w:p>
        </w:tc>
        <w:tc>
          <w:tcPr>
            <w:tcW w:w="2200" w:type="dxa"/>
            <w:noWrap/>
            <w:hideMark/>
          </w:tcPr>
          <w:p w14:paraId="6AA443B3"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Primary and Secondary QTS</w:t>
            </w:r>
          </w:p>
        </w:tc>
        <w:tc>
          <w:tcPr>
            <w:tcW w:w="2159" w:type="dxa"/>
            <w:noWrap/>
            <w:hideMark/>
          </w:tcPr>
          <w:p w14:paraId="3AC62C7A"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Nottingham</w:t>
            </w:r>
          </w:p>
        </w:tc>
      </w:tr>
      <w:tr w:rsidR="00CD1838" w:rsidRPr="00BE2CE1" w14:paraId="46B5E956"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5DDEACEB" w14:textId="77777777" w:rsidR="00CD1838" w:rsidRPr="00BE2CE1" w:rsidRDefault="00FD71CE" w:rsidP="0082645F">
            <w:pPr>
              <w:rPr>
                <w:rFonts w:cs="Tahoma"/>
                <w:color w:val="0000FF"/>
                <w:sz w:val="20"/>
                <w:szCs w:val="20"/>
                <w:u w:val="single"/>
                <w:lang w:eastAsia="en-GB"/>
              </w:rPr>
            </w:pPr>
            <w:hyperlink r:id="rId66" w:tgtFrame="_parent" w:history="1">
              <w:r w:rsidR="00CD1838" w:rsidRPr="00BE2CE1">
                <w:rPr>
                  <w:rFonts w:cs="Tahoma"/>
                  <w:color w:val="0000FF"/>
                  <w:sz w:val="20"/>
                  <w:szCs w:val="20"/>
                  <w:u w:val="single"/>
                  <w:lang w:eastAsia="en-GB"/>
                </w:rPr>
                <w:t>Report</w:t>
              </w:r>
            </w:hyperlink>
          </w:p>
        </w:tc>
        <w:tc>
          <w:tcPr>
            <w:tcW w:w="992" w:type="dxa"/>
            <w:noWrap/>
            <w:hideMark/>
          </w:tcPr>
          <w:p w14:paraId="429C8CD6"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120185</w:t>
            </w:r>
          </w:p>
        </w:tc>
        <w:tc>
          <w:tcPr>
            <w:tcW w:w="4111" w:type="dxa"/>
            <w:noWrap/>
            <w:hideMark/>
          </w:tcPr>
          <w:p w14:paraId="0AD3C2F0"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 xml:space="preserve">Great Casterton </w:t>
            </w:r>
            <w:proofErr w:type="spellStart"/>
            <w:r w:rsidRPr="00BE2CE1">
              <w:rPr>
                <w:rFonts w:cs="Tahoma"/>
                <w:sz w:val="20"/>
                <w:szCs w:val="20"/>
                <w:lang w:eastAsia="en-GB"/>
              </w:rPr>
              <w:t>CofE</w:t>
            </w:r>
            <w:proofErr w:type="spellEnd"/>
            <w:r w:rsidRPr="00BE2CE1">
              <w:rPr>
                <w:rFonts w:cs="Tahoma"/>
                <w:sz w:val="20"/>
                <w:szCs w:val="20"/>
                <w:lang w:eastAsia="en-GB"/>
              </w:rPr>
              <w:t xml:space="preserve"> Primary School</w:t>
            </w:r>
          </w:p>
        </w:tc>
        <w:tc>
          <w:tcPr>
            <w:tcW w:w="3753" w:type="dxa"/>
            <w:noWrap/>
            <w:hideMark/>
          </w:tcPr>
          <w:p w14:paraId="78EA38D1"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Voluntary Controlled School</w:t>
            </w:r>
          </w:p>
        </w:tc>
        <w:tc>
          <w:tcPr>
            <w:tcW w:w="2200" w:type="dxa"/>
            <w:noWrap/>
            <w:hideMark/>
          </w:tcPr>
          <w:p w14:paraId="4C929CA4"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Primary</w:t>
            </w:r>
          </w:p>
        </w:tc>
        <w:tc>
          <w:tcPr>
            <w:tcW w:w="2159" w:type="dxa"/>
            <w:noWrap/>
            <w:hideMark/>
          </w:tcPr>
          <w:p w14:paraId="2F901D04"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Rutland</w:t>
            </w:r>
          </w:p>
        </w:tc>
      </w:tr>
      <w:tr w:rsidR="00CD1838" w:rsidRPr="00BE2CE1" w14:paraId="4D076F4A" w14:textId="77777777" w:rsidTr="008264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4BC55BA3" w14:textId="77777777" w:rsidR="00CD1838" w:rsidRPr="00BE2CE1" w:rsidRDefault="00FD71CE" w:rsidP="0082645F">
            <w:pPr>
              <w:rPr>
                <w:rFonts w:cs="Tahoma"/>
                <w:color w:val="0000FF"/>
                <w:sz w:val="20"/>
                <w:szCs w:val="20"/>
                <w:u w:val="single"/>
                <w:lang w:eastAsia="en-GB"/>
              </w:rPr>
            </w:pPr>
            <w:hyperlink r:id="rId67" w:tgtFrame="_parent" w:history="1">
              <w:r w:rsidR="00CD1838" w:rsidRPr="00BE2CE1">
                <w:rPr>
                  <w:rFonts w:cs="Tahoma"/>
                  <w:color w:val="0000FF"/>
                  <w:sz w:val="20"/>
                  <w:szCs w:val="20"/>
                  <w:u w:val="single"/>
                  <w:lang w:eastAsia="en-GB"/>
                </w:rPr>
                <w:t>Report</w:t>
              </w:r>
            </w:hyperlink>
          </w:p>
        </w:tc>
        <w:tc>
          <w:tcPr>
            <w:tcW w:w="992" w:type="dxa"/>
            <w:noWrap/>
            <w:hideMark/>
          </w:tcPr>
          <w:p w14:paraId="6D595C6C" w14:textId="77777777" w:rsidR="00CD1838" w:rsidRPr="00BE2CE1" w:rsidRDefault="00CD1838" w:rsidP="0082645F">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120355</w:t>
            </w:r>
          </w:p>
        </w:tc>
        <w:tc>
          <w:tcPr>
            <w:tcW w:w="4111" w:type="dxa"/>
            <w:noWrap/>
            <w:hideMark/>
          </w:tcPr>
          <w:p w14:paraId="183B7DC5"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The Parks School</w:t>
            </w:r>
          </w:p>
        </w:tc>
        <w:tc>
          <w:tcPr>
            <w:tcW w:w="3753" w:type="dxa"/>
            <w:noWrap/>
            <w:hideMark/>
          </w:tcPr>
          <w:p w14:paraId="3D549CA6"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Community Special School</w:t>
            </w:r>
          </w:p>
        </w:tc>
        <w:tc>
          <w:tcPr>
            <w:tcW w:w="2200" w:type="dxa"/>
            <w:noWrap/>
            <w:hideMark/>
          </w:tcPr>
          <w:p w14:paraId="720A5AFA"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Special</w:t>
            </w:r>
          </w:p>
        </w:tc>
        <w:tc>
          <w:tcPr>
            <w:tcW w:w="2159" w:type="dxa"/>
            <w:noWrap/>
            <w:hideMark/>
          </w:tcPr>
          <w:p w14:paraId="12511E63" w14:textId="77777777" w:rsidR="00CD1838" w:rsidRPr="00BE2CE1" w:rsidRDefault="00CD1838" w:rsidP="0082645F">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BE2CE1">
              <w:rPr>
                <w:rFonts w:cs="Tahoma"/>
                <w:sz w:val="20"/>
                <w:szCs w:val="20"/>
                <w:lang w:eastAsia="en-GB"/>
              </w:rPr>
              <w:t>Rutland</w:t>
            </w:r>
          </w:p>
        </w:tc>
      </w:tr>
      <w:tr w:rsidR="00CD1838" w:rsidRPr="00BE2CE1" w14:paraId="3250D6D5" w14:textId="77777777" w:rsidTr="0082645F">
        <w:trPr>
          <w:trHeight w:val="288"/>
        </w:trPr>
        <w:tc>
          <w:tcPr>
            <w:cnfStyle w:val="001000000000" w:firstRow="0" w:lastRow="0" w:firstColumn="1" w:lastColumn="0" w:oddVBand="0" w:evenVBand="0" w:oddHBand="0" w:evenHBand="0" w:firstRowFirstColumn="0" w:firstRowLastColumn="0" w:lastRowFirstColumn="0" w:lastRowLastColumn="0"/>
            <w:tcW w:w="959" w:type="dxa"/>
            <w:noWrap/>
            <w:hideMark/>
          </w:tcPr>
          <w:p w14:paraId="314553FC" w14:textId="77777777" w:rsidR="00CD1838" w:rsidRPr="00BE2CE1" w:rsidRDefault="00FD71CE" w:rsidP="0082645F">
            <w:pPr>
              <w:rPr>
                <w:rFonts w:cs="Tahoma"/>
                <w:color w:val="0000FF"/>
                <w:sz w:val="20"/>
                <w:szCs w:val="20"/>
                <w:u w:val="single"/>
                <w:lang w:eastAsia="en-GB"/>
              </w:rPr>
            </w:pPr>
            <w:hyperlink r:id="rId68" w:tgtFrame="_parent" w:history="1">
              <w:r w:rsidR="00CD1838" w:rsidRPr="00BE2CE1">
                <w:rPr>
                  <w:rFonts w:cs="Tahoma"/>
                  <w:color w:val="0000FF"/>
                  <w:sz w:val="20"/>
                  <w:szCs w:val="20"/>
                  <w:u w:val="single"/>
                  <w:lang w:eastAsia="en-GB"/>
                </w:rPr>
                <w:t>Report</w:t>
              </w:r>
            </w:hyperlink>
          </w:p>
        </w:tc>
        <w:tc>
          <w:tcPr>
            <w:tcW w:w="992" w:type="dxa"/>
            <w:noWrap/>
            <w:hideMark/>
          </w:tcPr>
          <w:p w14:paraId="4BB3A5D1" w14:textId="77777777" w:rsidR="00CD1838" w:rsidRPr="00BE2CE1" w:rsidRDefault="00CD1838" w:rsidP="0082645F">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131018</w:t>
            </w:r>
          </w:p>
        </w:tc>
        <w:tc>
          <w:tcPr>
            <w:tcW w:w="4111" w:type="dxa"/>
            <w:noWrap/>
            <w:hideMark/>
          </w:tcPr>
          <w:p w14:paraId="45ED1067"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The Shires</w:t>
            </w:r>
          </w:p>
        </w:tc>
        <w:tc>
          <w:tcPr>
            <w:tcW w:w="3753" w:type="dxa"/>
            <w:noWrap/>
            <w:hideMark/>
          </w:tcPr>
          <w:p w14:paraId="329B1237"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Independent special school</w:t>
            </w:r>
          </w:p>
        </w:tc>
        <w:tc>
          <w:tcPr>
            <w:tcW w:w="2200" w:type="dxa"/>
            <w:noWrap/>
            <w:hideMark/>
          </w:tcPr>
          <w:p w14:paraId="021696CF"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color w:val="auto"/>
                <w:sz w:val="20"/>
                <w:szCs w:val="20"/>
                <w:lang w:eastAsia="en-GB"/>
              </w:rPr>
            </w:pPr>
            <w:r w:rsidRPr="00BE2CE1">
              <w:rPr>
                <w:rFonts w:cs="Tahoma"/>
                <w:color w:val="auto"/>
                <w:sz w:val="20"/>
                <w:szCs w:val="20"/>
                <w:lang w:eastAsia="en-GB"/>
              </w:rPr>
              <w:t>Schools</w:t>
            </w:r>
          </w:p>
        </w:tc>
        <w:tc>
          <w:tcPr>
            <w:tcW w:w="2159" w:type="dxa"/>
            <w:noWrap/>
            <w:hideMark/>
          </w:tcPr>
          <w:p w14:paraId="37A439F9" w14:textId="77777777" w:rsidR="00CD1838" w:rsidRPr="00BE2CE1" w:rsidRDefault="00CD1838" w:rsidP="0082645F">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BE2CE1">
              <w:rPr>
                <w:rFonts w:cs="Tahoma"/>
                <w:sz w:val="20"/>
                <w:szCs w:val="20"/>
                <w:lang w:eastAsia="en-GB"/>
              </w:rPr>
              <w:t>Rutland</w:t>
            </w:r>
          </w:p>
        </w:tc>
      </w:tr>
    </w:tbl>
    <w:p w14:paraId="624E7DE5" w14:textId="77777777" w:rsidR="00CD1838" w:rsidRDefault="00CD1838" w:rsidP="00CD1838"/>
    <w:p w14:paraId="7840B632" w14:textId="77777777" w:rsidR="00CD1838" w:rsidRPr="00D273D4" w:rsidRDefault="00CD1838" w:rsidP="00CD1838"/>
    <w:p w14:paraId="3C3BF537" w14:textId="77777777" w:rsidR="00CD1838" w:rsidRPr="00922EE2" w:rsidRDefault="00CD1838" w:rsidP="00CD1838">
      <w:pPr>
        <w:tabs>
          <w:tab w:val="left" w:pos="7914"/>
        </w:tabs>
        <w:rPr>
          <w:rFonts w:cs="Tahoma"/>
          <w:b/>
        </w:rPr>
      </w:pPr>
      <w:r w:rsidRPr="00922EE2">
        <w:rPr>
          <w:rFonts w:cs="Tahoma"/>
          <w:b/>
        </w:rPr>
        <w:t>Notes:</w:t>
      </w:r>
    </w:p>
    <w:p w14:paraId="1E326850" w14:textId="107D5393" w:rsidR="00CD1838" w:rsidRPr="00F11D5E" w:rsidRDefault="00D51495" w:rsidP="00CD1838">
      <w:pPr>
        <w:tabs>
          <w:tab w:val="left" w:pos="3225"/>
          <w:tab w:val="left" w:pos="9165"/>
        </w:tabs>
        <w:ind w:left="-15"/>
        <w:rPr>
          <w:rFonts w:ascii="Times New Roman" w:hAnsi="Times New Roman"/>
          <w:sz w:val="18"/>
          <w:szCs w:val="20"/>
          <w:lang w:eastAsia="en-GB"/>
        </w:rPr>
      </w:pPr>
      <w:r w:rsidRPr="00D51495">
        <w:rPr>
          <w:rFonts w:cs="Tahoma"/>
          <w:sz w:val="20"/>
        </w:rPr>
        <w:t>Except where noted, inspections must have taken place between 1 September 2015 and 31 August 2016.</w:t>
      </w:r>
      <w:r w:rsidR="00CD1838" w:rsidRPr="00F11D5E">
        <w:rPr>
          <w:rFonts w:eastAsiaTheme="minorHAnsi" w:cs="Tahoma"/>
          <w:b/>
          <w:bCs/>
          <w:sz w:val="18"/>
          <w:szCs w:val="20"/>
          <w:lang w:eastAsia="en-GB"/>
        </w:rPr>
        <w:tab/>
      </w:r>
      <w:r w:rsidR="00CD1838" w:rsidRPr="00F11D5E">
        <w:rPr>
          <w:rFonts w:cs="Tahoma"/>
          <w:sz w:val="18"/>
          <w:szCs w:val="20"/>
          <w:lang w:eastAsia="en-GB"/>
        </w:rPr>
        <w:t> </w:t>
      </w:r>
      <w:r w:rsidR="00CD1838" w:rsidRPr="00F11D5E">
        <w:rPr>
          <w:rFonts w:eastAsiaTheme="minorHAnsi" w:cs="Tahoma"/>
          <w:sz w:val="18"/>
          <w:szCs w:val="20"/>
          <w:lang w:eastAsia="en-GB"/>
        </w:rPr>
        <w:tab/>
      </w:r>
    </w:p>
    <w:p w14:paraId="0ED89730" w14:textId="77777777" w:rsidR="00CD1838" w:rsidRDefault="00CD1838" w:rsidP="00CD1838">
      <w:pPr>
        <w:tabs>
          <w:tab w:val="left" w:pos="7914"/>
        </w:tabs>
        <w:rPr>
          <w:rFonts w:cs="Tahoma"/>
        </w:rPr>
      </w:pPr>
    </w:p>
    <w:p w14:paraId="262CC2EA" w14:textId="77777777" w:rsidR="00CD1838" w:rsidRDefault="00CD1838" w:rsidP="00CD1838">
      <w:pPr>
        <w:pStyle w:val="Heading3"/>
      </w:pPr>
      <w:r>
        <w:t>Explore Ofsted inspection outcomes with Data View</w:t>
      </w:r>
    </w:p>
    <w:p w14:paraId="1E3E4082" w14:textId="5BD9FFC6" w:rsidR="00CD1838" w:rsidRDefault="00CD1838" w:rsidP="00CD1838">
      <w:pPr>
        <w:pStyle w:val="Unnumberedparagraph"/>
      </w:pPr>
      <w:r w:rsidRPr="00EE111B">
        <w:t xml:space="preserve">Data View </w:t>
      </w:r>
      <w:r>
        <w:t xml:space="preserve">gives users the </w:t>
      </w:r>
      <w:r w:rsidRPr="00EE111B">
        <w:t>ability to view inspection outcomes</w:t>
      </w:r>
      <w:r>
        <w:t xml:space="preserve"> over time</w:t>
      </w:r>
      <w:r w:rsidRPr="00EE111B">
        <w:t xml:space="preserve"> by remit, phase and provider type/group at regional, local authority and constituency level. </w:t>
      </w:r>
      <w:r>
        <w:t>S</w:t>
      </w:r>
      <w:r w:rsidRPr="00EE111B">
        <w:t>elected areas of the count</w:t>
      </w:r>
      <w:r>
        <w:t>r</w:t>
      </w:r>
      <w:r w:rsidRPr="00EE111B">
        <w:t xml:space="preserve">y </w:t>
      </w:r>
      <w:r>
        <w:t xml:space="preserve">can </w:t>
      </w:r>
      <w:r w:rsidRPr="00EE111B">
        <w:t xml:space="preserve">be viewed alongside the England level as well as in direct comparison with up to </w:t>
      </w:r>
      <w:r>
        <w:t>10</w:t>
      </w:r>
      <w:r w:rsidRPr="00EE111B">
        <w:t xml:space="preserve"> statistical neighbours. </w:t>
      </w:r>
      <w:r>
        <w:t>U</w:t>
      </w:r>
      <w:r w:rsidRPr="00EE111B">
        <w:t xml:space="preserve">sers are </w:t>
      </w:r>
      <w:r>
        <w:t xml:space="preserve">also </w:t>
      </w:r>
      <w:r w:rsidRPr="00EE111B">
        <w:t xml:space="preserve">able to identify individual providers by their overall effectiveness and to link directly to the provider page on the Ofsted reports website. </w:t>
      </w:r>
    </w:p>
    <w:p w14:paraId="553D893A" w14:textId="77777777" w:rsidR="00CD1838" w:rsidRDefault="00FD71CE" w:rsidP="00CD1838">
      <w:pPr>
        <w:pStyle w:val="Unnumberedparagraph"/>
      </w:pPr>
      <w:hyperlink r:id="rId69" w:history="1">
        <w:r w:rsidR="00CD1838">
          <w:rPr>
            <w:rStyle w:val="Hyperlink"/>
            <w:rFonts w:cs="Tahoma"/>
          </w:rPr>
          <w:t>https://public.tableau.com/views/Dataview/Viewregionalperformanceovertime</w:t>
        </w:r>
      </w:hyperlink>
      <w:r w:rsidR="00CD1838">
        <w:rPr>
          <w:rFonts w:cs="Tahoma"/>
        </w:rPr>
        <w:t>.</w:t>
      </w:r>
    </w:p>
    <w:p w14:paraId="18968348" w14:textId="59CB255A" w:rsidR="006765D7" w:rsidRPr="00246E80" w:rsidRDefault="006765D7" w:rsidP="00CD1838">
      <w:pPr>
        <w:pStyle w:val="Heading2"/>
        <w:rPr>
          <w:b w:val="0"/>
        </w:rPr>
      </w:pPr>
    </w:p>
    <w:sectPr w:rsidR="006765D7" w:rsidRPr="00246E80" w:rsidSect="00292F8D">
      <w:headerReference w:type="first" r:id="rId7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300EB" w14:textId="77777777" w:rsidR="00BA44C0" w:rsidRDefault="00BA44C0" w:rsidP="00DF779A">
      <w:r>
        <w:separator/>
      </w:r>
    </w:p>
  </w:endnote>
  <w:endnote w:type="continuationSeparator" w:id="0">
    <w:p w14:paraId="2D7C3D8D" w14:textId="77777777" w:rsidR="00BA44C0" w:rsidRDefault="00BA44C0" w:rsidP="00DF779A">
      <w:r>
        <w:continuationSeparator/>
      </w:r>
    </w:p>
  </w:endnote>
  <w:endnote w:type="continuationNotice" w:id="1">
    <w:p w14:paraId="6F8421EE" w14:textId="77777777" w:rsidR="00BA44C0" w:rsidRDefault="00BA4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D127" w14:textId="77777777" w:rsidR="00AE3478" w:rsidRDefault="00AE3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9182" w14:textId="77777777" w:rsidR="00AE3478" w:rsidRDefault="00AE34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85B35" w14:textId="77777777" w:rsidR="00AE3478" w:rsidRDefault="00AE3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EA025" w14:textId="77777777" w:rsidR="00BA44C0" w:rsidRDefault="00BA44C0" w:rsidP="00DF779A">
      <w:r>
        <w:separator/>
      </w:r>
    </w:p>
  </w:footnote>
  <w:footnote w:type="continuationSeparator" w:id="0">
    <w:p w14:paraId="0C0275AF" w14:textId="77777777" w:rsidR="00BA44C0" w:rsidRDefault="00BA44C0" w:rsidP="00DF779A">
      <w:r>
        <w:continuationSeparator/>
      </w:r>
    </w:p>
  </w:footnote>
  <w:footnote w:type="continuationNotice" w:id="1">
    <w:p w14:paraId="474E2A4D" w14:textId="77777777" w:rsidR="00BA44C0" w:rsidRDefault="00BA44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E42DF" w14:textId="77777777" w:rsidR="00AE3478" w:rsidRDefault="00AE3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DD6BF" w14:textId="77777777" w:rsidR="00AE3478" w:rsidRDefault="00AE3478" w:rsidP="000B43F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6864" w14:textId="139A70CD" w:rsidR="00AE3478" w:rsidRDefault="00AE3478" w:rsidP="000B43FD">
    <w:pPr>
      <w:pStyle w:val="Header"/>
      <w:pBdr>
        <w:bottom w:val="none" w:sz="0" w:space="0" w:color="auto"/>
      </w:pBdr>
    </w:pPr>
    <w:r>
      <w:rPr>
        <w:noProof/>
        <w:lang w:eastAsia="en-GB"/>
      </w:rPr>
      <w:drawing>
        <wp:anchor distT="0" distB="0" distL="114300" distR="114300" simplePos="0" relativeHeight="251657728" behindDoc="1" locked="0" layoutInCell="1" allowOverlap="1" wp14:anchorId="3A22AA0B" wp14:editId="7AAE8111">
          <wp:simplePos x="0" y="0"/>
          <wp:positionH relativeFrom="column">
            <wp:posOffset>4633595</wp:posOffset>
          </wp:positionH>
          <wp:positionV relativeFrom="paragraph">
            <wp:posOffset>-6350</wp:posOffset>
          </wp:positionV>
          <wp:extent cx="1296035" cy="1097915"/>
          <wp:effectExtent l="0" t="0" r="0" b="6985"/>
          <wp:wrapNone/>
          <wp:docPr id="3" name="Picture 3"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E23D3" w14:textId="5F021137" w:rsidR="00AE3478" w:rsidRDefault="00AE3478" w:rsidP="009E236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B2D08"/>
    <w:multiLevelType w:val="hybridMultilevel"/>
    <w:tmpl w:val="70747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C502A"/>
    <w:multiLevelType w:val="hybridMultilevel"/>
    <w:tmpl w:val="0030744C"/>
    <w:lvl w:ilvl="0" w:tplc="0AE095B6">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74766FB2"/>
    <w:lvl w:ilvl="0" w:tplc="65BEA6CA">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D7916"/>
    <w:multiLevelType w:val="hybridMultilevel"/>
    <w:tmpl w:val="FA9A83F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840D78"/>
    <w:multiLevelType w:val="hybridMultilevel"/>
    <w:tmpl w:val="BA4A41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E43E4E"/>
    <w:multiLevelType w:val="hybridMultilevel"/>
    <w:tmpl w:val="DF5E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15:restartNumberingAfterBreak="0">
    <w:nsid w:val="357345E4"/>
    <w:multiLevelType w:val="hybridMultilevel"/>
    <w:tmpl w:val="16BA54D4"/>
    <w:lvl w:ilvl="0" w:tplc="776866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A48B3"/>
    <w:multiLevelType w:val="hybridMultilevel"/>
    <w:tmpl w:val="722C7EF6"/>
    <w:lvl w:ilvl="0" w:tplc="399C7976">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84D94"/>
    <w:multiLevelType w:val="hybridMultilevel"/>
    <w:tmpl w:val="998867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4CA40606"/>
    <w:multiLevelType w:val="hybridMultilevel"/>
    <w:tmpl w:val="998867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D33366"/>
    <w:multiLevelType w:val="hybridMultilevel"/>
    <w:tmpl w:val="1CD214A2"/>
    <w:lvl w:ilvl="0" w:tplc="9A9239A4">
      <w:start w:val="1"/>
      <w:numFmt w:val="bullet"/>
      <w:lvlText w:val=""/>
      <w:lvlJc w:val="left"/>
      <w:pPr>
        <w:tabs>
          <w:tab w:val="num" w:pos="927"/>
        </w:tabs>
        <w:ind w:left="927" w:hanging="360"/>
      </w:pPr>
      <w:rPr>
        <w:rFonts w:ascii="Wingdings" w:hAnsi="Wingdings" w:hint="default"/>
        <w:color w:val="2092B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8355D4"/>
    <w:multiLevelType w:val="hybridMultilevel"/>
    <w:tmpl w:val="882C8BB6"/>
    <w:lvl w:ilvl="0" w:tplc="8F9E0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82B35"/>
    <w:multiLevelType w:val="hybridMultilevel"/>
    <w:tmpl w:val="A0706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78122224"/>
    <w:multiLevelType w:val="hybridMultilevel"/>
    <w:tmpl w:val="E39A2208"/>
    <w:lvl w:ilvl="0" w:tplc="4F026262">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7"/>
  </w:num>
  <w:num w:numId="2">
    <w:abstractNumId w:val="16"/>
  </w:num>
  <w:num w:numId="3">
    <w:abstractNumId w:val="14"/>
  </w:num>
  <w:num w:numId="4">
    <w:abstractNumId w:val="2"/>
  </w:num>
  <w:num w:numId="5">
    <w:abstractNumId w:val="5"/>
  </w:num>
  <w:num w:numId="6">
    <w:abstractNumId w:val="5"/>
  </w:num>
  <w:num w:numId="7">
    <w:abstractNumId w:val="13"/>
  </w:num>
  <w:num w:numId="8">
    <w:abstractNumId w:val="14"/>
  </w:num>
  <w:num w:numId="9">
    <w:abstractNumId w:val="7"/>
  </w:num>
  <w:num w:numId="10">
    <w:abstractNumId w:val="11"/>
  </w:num>
  <w:num w:numId="11">
    <w:abstractNumId w:val="15"/>
  </w:num>
  <w:num w:numId="12">
    <w:abstractNumId w:val="17"/>
  </w:num>
  <w:num w:numId="13">
    <w:abstractNumId w:val="12"/>
  </w:num>
  <w:num w:numId="14">
    <w:abstractNumId w:val="1"/>
  </w:num>
  <w:num w:numId="15">
    <w:abstractNumId w:val="4"/>
  </w:num>
  <w:num w:numId="16">
    <w:abstractNumId w:val="10"/>
  </w:num>
  <w:num w:numId="17">
    <w:abstractNumId w:val="0"/>
  </w:num>
  <w:num w:numId="18">
    <w:abstractNumId w:val="0"/>
  </w:num>
  <w:num w:numId="19">
    <w:abstractNumId w:val="17"/>
  </w:num>
  <w:num w:numId="20">
    <w:abstractNumId w:val="3"/>
  </w:num>
  <w:num w:numId="21">
    <w:abstractNumId w:val="8"/>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9"/>
  </w:num>
  <w:num w:numId="26">
    <w:abstractNumId w:val="10"/>
  </w:num>
  <w:num w:numId="27">
    <w:abstractNumId w:val="10"/>
  </w:num>
  <w:num w:numId="28">
    <w:abstractNumId w:val="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9A"/>
    <w:rsid w:val="000017EA"/>
    <w:rsid w:val="00004888"/>
    <w:rsid w:val="000114E9"/>
    <w:rsid w:val="000202CE"/>
    <w:rsid w:val="00045392"/>
    <w:rsid w:val="00045899"/>
    <w:rsid w:val="000469D3"/>
    <w:rsid w:val="00051CDF"/>
    <w:rsid w:val="000709B1"/>
    <w:rsid w:val="00071FB1"/>
    <w:rsid w:val="00073E0D"/>
    <w:rsid w:val="000765DB"/>
    <w:rsid w:val="000833CD"/>
    <w:rsid w:val="00091AF7"/>
    <w:rsid w:val="00094C75"/>
    <w:rsid w:val="00097F07"/>
    <w:rsid w:val="000A326E"/>
    <w:rsid w:val="000B43FD"/>
    <w:rsid w:val="000B7F3E"/>
    <w:rsid w:val="000C7809"/>
    <w:rsid w:val="000D21CB"/>
    <w:rsid w:val="000D5714"/>
    <w:rsid w:val="000E0F60"/>
    <w:rsid w:val="00105563"/>
    <w:rsid w:val="00107102"/>
    <w:rsid w:val="001125F3"/>
    <w:rsid w:val="00120C05"/>
    <w:rsid w:val="001261D7"/>
    <w:rsid w:val="00131274"/>
    <w:rsid w:val="00141A88"/>
    <w:rsid w:val="00145CC2"/>
    <w:rsid w:val="00151021"/>
    <w:rsid w:val="0016114F"/>
    <w:rsid w:val="00161A72"/>
    <w:rsid w:val="0018184C"/>
    <w:rsid w:val="00182DAA"/>
    <w:rsid w:val="00184F9F"/>
    <w:rsid w:val="001C5186"/>
    <w:rsid w:val="001E1B7E"/>
    <w:rsid w:val="001F7B3D"/>
    <w:rsid w:val="00213C23"/>
    <w:rsid w:val="00214102"/>
    <w:rsid w:val="00220E87"/>
    <w:rsid w:val="00224E4C"/>
    <w:rsid w:val="002252D3"/>
    <w:rsid w:val="002403F9"/>
    <w:rsid w:val="00240651"/>
    <w:rsid w:val="00242242"/>
    <w:rsid w:val="00243C9E"/>
    <w:rsid w:val="00246E80"/>
    <w:rsid w:val="00247745"/>
    <w:rsid w:val="002604E2"/>
    <w:rsid w:val="00270459"/>
    <w:rsid w:val="00277788"/>
    <w:rsid w:val="00283F6C"/>
    <w:rsid w:val="00287D10"/>
    <w:rsid w:val="00292F8D"/>
    <w:rsid w:val="002933E7"/>
    <w:rsid w:val="002A183F"/>
    <w:rsid w:val="002A2DAC"/>
    <w:rsid w:val="002C3954"/>
    <w:rsid w:val="002E3286"/>
    <w:rsid w:val="00306B9E"/>
    <w:rsid w:val="0031430A"/>
    <w:rsid w:val="00314A17"/>
    <w:rsid w:val="00327A54"/>
    <w:rsid w:val="003317E9"/>
    <w:rsid w:val="00331E9A"/>
    <w:rsid w:val="00341541"/>
    <w:rsid w:val="0034783A"/>
    <w:rsid w:val="00347F47"/>
    <w:rsid w:val="00363FBC"/>
    <w:rsid w:val="00373F98"/>
    <w:rsid w:val="00376108"/>
    <w:rsid w:val="00380B16"/>
    <w:rsid w:val="00387119"/>
    <w:rsid w:val="003936DD"/>
    <w:rsid w:val="003A3A01"/>
    <w:rsid w:val="003B0F77"/>
    <w:rsid w:val="003C2EB5"/>
    <w:rsid w:val="003C4113"/>
    <w:rsid w:val="003D1D91"/>
    <w:rsid w:val="003D2375"/>
    <w:rsid w:val="003E0020"/>
    <w:rsid w:val="003E1E1F"/>
    <w:rsid w:val="003E49A8"/>
    <w:rsid w:val="00403300"/>
    <w:rsid w:val="00405DF4"/>
    <w:rsid w:val="00430F4E"/>
    <w:rsid w:val="0043588C"/>
    <w:rsid w:val="004361F2"/>
    <w:rsid w:val="004535AB"/>
    <w:rsid w:val="00454553"/>
    <w:rsid w:val="0045563B"/>
    <w:rsid w:val="00465D70"/>
    <w:rsid w:val="004869E0"/>
    <w:rsid w:val="004A3599"/>
    <w:rsid w:val="004A3C3D"/>
    <w:rsid w:val="004B3618"/>
    <w:rsid w:val="004C7BB8"/>
    <w:rsid w:val="004D7EF7"/>
    <w:rsid w:val="005005FD"/>
    <w:rsid w:val="00506087"/>
    <w:rsid w:val="00510FC6"/>
    <w:rsid w:val="00512EE2"/>
    <w:rsid w:val="0052091A"/>
    <w:rsid w:val="00525B8B"/>
    <w:rsid w:val="00526E0D"/>
    <w:rsid w:val="00561270"/>
    <w:rsid w:val="0056393A"/>
    <w:rsid w:val="00564958"/>
    <w:rsid w:val="005A6F64"/>
    <w:rsid w:val="005A71FD"/>
    <w:rsid w:val="005B32B6"/>
    <w:rsid w:val="005B4D35"/>
    <w:rsid w:val="005C2D4E"/>
    <w:rsid w:val="005C3BED"/>
    <w:rsid w:val="005D0439"/>
    <w:rsid w:val="005E2ACA"/>
    <w:rsid w:val="005E3A5C"/>
    <w:rsid w:val="0060182D"/>
    <w:rsid w:val="00603958"/>
    <w:rsid w:val="00606B95"/>
    <w:rsid w:val="00611EB9"/>
    <w:rsid w:val="00617F10"/>
    <w:rsid w:val="00635B31"/>
    <w:rsid w:val="00637E26"/>
    <w:rsid w:val="00641CFF"/>
    <w:rsid w:val="00670565"/>
    <w:rsid w:val="006765D7"/>
    <w:rsid w:val="006819F5"/>
    <w:rsid w:val="0068615F"/>
    <w:rsid w:val="00691544"/>
    <w:rsid w:val="006A5C22"/>
    <w:rsid w:val="006B737E"/>
    <w:rsid w:val="006C2B90"/>
    <w:rsid w:val="006D0940"/>
    <w:rsid w:val="006D3C48"/>
    <w:rsid w:val="006F2C6F"/>
    <w:rsid w:val="007174D2"/>
    <w:rsid w:val="0072763D"/>
    <w:rsid w:val="00745981"/>
    <w:rsid w:val="00760545"/>
    <w:rsid w:val="007642EC"/>
    <w:rsid w:val="007813DB"/>
    <w:rsid w:val="00792D93"/>
    <w:rsid w:val="00796BE7"/>
    <w:rsid w:val="00811D54"/>
    <w:rsid w:val="0082511C"/>
    <w:rsid w:val="0082645F"/>
    <w:rsid w:val="00834B6C"/>
    <w:rsid w:val="008353C1"/>
    <w:rsid w:val="00843C16"/>
    <w:rsid w:val="008531D9"/>
    <w:rsid w:val="00853DFE"/>
    <w:rsid w:val="008631C6"/>
    <w:rsid w:val="00873A05"/>
    <w:rsid w:val="008742D4"/>
    <w:rsid w:val="00874D35"/>
    <w:rsid w:val="0089329A"/>
    <w:rsid w:val="008935B2"/>
    <w:rsid w:val="00895E96"/>
    <w:rsid w:val="00897007"/>
    <w:rsid w:val="008A2AAF"/>
    <w:rsid w:val="008A5D66"/>
    <w:rsid w:val="008B7C11"/>
    <w:rsid w:val="008D236C"/>
    <w:rsid w:val="008E262C"/>
    <w:rsid w:val="008E61F0"/>
    <w:rsid w:val="008E6EA4"/>
    <w:rsid w:val="008F125E"/>
    <w:rsid w:val="008F4E73"/>
    <w:rsid w:val="0091312F"/>
    <w:rsid w:val="00914B81"/>
    <w:rsid w:val="00931306"/>
    <w:rsid w:val="00932E78"/>
    <w:rsid w:val="00935717"/>
    <w:rsid w:val="00967A48"/>
    <w:rsid w:val="00975380"/>
    <w:rsid w:val="00982F9A"/>
    <w:rsid w:val="00985AA4"/>
    <w:rsid w:val="0099182F"/>
    <w:rsid w:val="009E2361"/>
    <w:rsid w:val="009F4677"/>
    <w:rsid w:val="009F5A13"/>
    <w:rsid w:val="00A37130"/>
    <w:rsid w:val="00A45BFD"/>
    <w:rsid w:val="00A53B87"/>
    <w:rsid w:val="00A62E80"/>
    <w:rsid w:val="00A6522F"/>
    <w:rsid w:val="00A7453C"/>
    <w:rsid w:val="00A8379D"/>
    <w:rsid w:val="00AB1059"/>
    <w:rsid w:val="00AE3478"/>
    <w:rsid w:val="00B32735"/>
    <w:rsid w:val="00B541B3"/>
    <w:rsid w:val="00B6139E"/>
    <w:rsid w:val="00B65471"/>
    <w:rsid w:val="00B66E46"/>
    <w:rsid w:val="00B71914"/>
    <w:rsid w:val="00B731B0"/>
    <w:rsid w:val="00B74C55"/>
    <w:rsid w:val="00B94303"/>
    <w:rsid w:val="00BA44C0"/>
    <w:rsid w:val="00BB2AFF"/>
    <w:rsid w:val="00BD5E32"/>
    <w:rsid w:val="00C13342"/>
    <w:rsid w:val="00C13A22"/>
    <w:rsid w:val="00C234FA"/>
    <w:rsid w:val="00C34DF1"/>
    <w:rsid w:val="00C40479"/>
    <w:rsid w:val="00C44BAC"/>
    <w:rsid w:val="00C50937"/>
    <w:rsid w:val="00C528A5"/>
    <w:rsid w:val="00C750D4"/>
    <w:rsid w:val="00C751F0"/>
    <w:rsid w:val="00C773D0"/>
    <w:rsid w:val="00C94777"/>
    <w:rsid w:val="00CA2564"/>
    <w:rsid w:val="00CA57C5"/>
    <w:rsid w:val="00CB20B7"/>
    <w:rsid w:val="00CB754C"/>
    <w:rsid w:val="00CD1838"/>
    <w:rsid w:val="00CD1E94"/>
    <w:rsid w:val="00CF2C64"/>
    <w:rsid w:val="00D030CF"/>
    <w:rsid w:val="00D05BB6"/>
    <w:rsid w:val="00D06B71"/>
    <w:rsid w:val="00D25251"/>
    <w:rsid w:val="00D31B83"/>
    <w:rsid w:val="00D3218B"/>
    <w:rsid w:val="00D51495"/>
    <w:rsid w:val="00D62C4E"/>
    <w:rsid w:val="00D84383"/>
    <w:rsid w:val="00D8530F"/>
    <w:rsid w:val="00DA2523"/>
    <w:rsid w:val="00DC2CDD"/>
    <w:rsid w:val="00DC5551"/>
    <w:rsid w:val="00DC562A"/>
    <w:rsid w:val="00DD0CBC"/>
    <w:rsid w:val="00DE1249"/>
    <w:rsid w:val="00DE6B12"/>
    <w:rsid w:val="00DF779A"/>
    <w:rsid w:val="00E02F4E"/>
    <w:rsid w:val="00E13255"/>
    <w:rsid w:val="00E342CE"/>
    <w:rsid w:val="00E476EF"/>
    <w:rsid w:val="00E7452C"/>
    <w:rsid w:val="00E76191"/>
    <w:rsid w:val="00E833C5"/>
    <w:rsid w:val="00E93784"/>
    <w:rsid w:val="00E943CD"/>
    <w:rsid w:val="00EA0038"/>
    <w:rsid w:val="00EA4AC9"/>
    <w:rsid w:val="00EB7D1D"/>
    <w:rsid w:val="00ED4FB4"/>
    <w:rsid w:val="00EE24F6"/>
    <w:rsid w:val="00EE2D51"/>
    <w:rsid w:val="00EE687A"/>
    <w:rsid w:val="00F15C82"/>
    <w:rsid w:val="00F256D0"/>
    <w:rsid w:val="00F30415"/>
    <w:rsid w:val="00F51008"/>
    <w:rsid w:val="00F806E3"/>
    <w:rsid w:val="00F81293"/>
    <w:rsid w:val="00FB0349"/>
    <w:rsid w:val="00FD3AC7"/>
    <w:rsid w:val="00FD71CE"/>
    <w:rsid w:val="00FE012F"/>
    <w:rsid w:val="00FE7CBA"/>
    <w:rsid w:val="00FF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3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61"/>
    <w:pPr>
      <w:spacing w:after="0" w:line="240" w:lineRule="auto"/>
    </w:pPr>
    <w:rPr>
      <w:rFonts w:ascii="Tahoma" w:eastAsia="Times New Roman" w:hAnsi="Tahoma" w:cs="Times New Roman"/>
      <w:color w:val="000000"/>
      <w:sz w:val="24"/>
      <w:szCs w:val="24"/>
    </w:rPr>
  </w:style>
  <w:style w:type="paragraph" w:styleId="Heading1">
    <w:name w:val="heading 1"/>
    <w:basedOn w:val="Normal"/>
    <w:next w:val="Normal"/>
    <w:link w:val="Heading1Char"/>
    <w:qFormat/>
    <w:rsid w:val="009E2361"/>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9E2361"/>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9E2361"/>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9E2361"/>
    <w:pPr>
      <w:keepNext/>
      <w:tabs>
        <w:tab w:val="left" w:pos="737"/>
      </w:tabs>
      <w:spacing w:after="240"/>
      <w:outlineLvl w:val="3"/>
    </w:pPr>
    <w:rPr>
      <w:i/>
      <w:color w:val="auto"/>
      <w:lang w:eastAsia="en-GB"/>
    </w:rPr>
  </w:style>
  <w:style w:type="paragraph" w:styleId="Heading5">
    <w:name w:val="heading 5"/>
    <w:basedOn w:val="Normal"/>
    <w:next w:val="Normal"/>
    <w:link w:val="Heading5Char"/>
    <w:qFormat/>
    <w:rsid w:val="009E2361"/>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2361"/>
    <w:pPr>
      <w:pBdr>
        <w:bottom w:val="single" w:sz="4" w:space="5" w:color="auto"/>
      </w:pBdr>
      <w:tabs>
        <w:tab w:val="center" w:pos="4320"/>
        <w:tab w:val="right" w:pos="8640"/>
      </w:tabs>
      <w:spacing w:line="200" w:lineRule="exact"/>
    </w:pPr>
    <w:rPr>
      <w:b/>
      <w:sz w:val="16"/>
      <w:szCs w:val="16"/>
    </w:rPr>
  </w:style>
  <w:style w:type="character" w:customStyle="1" w:styleId="HeaderChar">
    <w:name w:val="Header Char"/>
    <w:basedOn w:val="DefaultParagraphFont"/>
    <w:link w:val="Header"/>
    <w:uiPriority w:val="99"/>
    <w:rsid w:val="00DF779A"/>
    <w:rPr>
      <w:rFonts w:ascii="Tahoma" w:eastAsia="Times New Roman" w:hAnsi="Tahoma" w:cs="Times New Roman"/>
      <w:b/>
      <w:color w:val="000000"/>
      <w:sz w:val="16"/>
      <w:szCs w:val="16"/>
    </w:rPr>
  </w:style>
  <w:style w:type="paragraph" w:styleId="Footer">
    <w:name w:val="footer"/>
    <w:basedOn w:val="Normal"/>
    <w:link w:val="FooterChar"/>
    <w:rsid w:val="009E2361"/>
    <w:pPr>
      <w:tabs>
        <w:tab w:val="center" w:pos="4320"/>
        <w:tab w:val="right" w:pos="8640"/>
      </w:tabs>
    </w:pPr>
    <w:rPr>
      <w:sz w:val="20"/>
    </w:rPr>
  </w:style>
  <w:style w:type="character" w:customStyle="1" w:styleId="FooterChar">
    <w:name w:val="Footer Char"/>
    <w:basedOn w:val="DefaultParagraphFont"/>
    <w:link w:val="Footer"/>
    <w:rsid w:val="00DF779A"/>
    <w:rPr>
      <w:rFonts w:ascii="Tahoma" w:eastAsia="Times New Roman" w:hAnsi="Tahoma" w:cs="Times New Roman"/>
      <w:color w:val="000000"/>
      <w:sz w:val="20"/>
      <w:szCs w:val="24"/>
    </w:rPr>
  </w:style>
  <w:style w:type="paragraph" w:styleId="ListParagraph">
    <w:name w:val="List Paragraph"/>
    <w:basedOn w:val="Normal"/>
    <w:uiPriority w:val="34"/>
    <w:qFormat/>
    <w:rsid w:val="00DF779A"/>
    <w:pPr>
      <w:ind w:left="720"/>
      <w:contextualSpacing/>
    </w:pPr>
  </w:style>
  <w:style w:type="paragraph" w:customStyle="1" w:styleId="Bulletsspaced">
    <w:name w:val="Bullets (spaced)"/>
    <w:basedOn w:val="Normal"/>
    <w:autoRedefine/>
    <w:rsid w:val="009E2361"/>
    <w:pPr>
      <w:numPr>
        <w:numId w:val="14"/>
      </w:numPr>
      <w:tabs>
        <w:tab w:val="left" w:pos="567"/>
      </w:tabs>
      <w:spacing w:before="120"/>
    </w:pPr>
  </w:style>
  <w:style w:type="paragraph" w:customStyle="1" w:styleId="Unnumberedparagraph">
    <w:name w:val="Unnumbered paragraph"/>
    <w:basedOn w:val="Normal"/>
    <w:link w:val="UnnumberedparagraphChar"/>
    <w:rsid w:val="009E2361"/>
    <w:pPr>
      <w:spacing w:after="240"/>
    </w:pPr>
  </w:style>
  <w:style w:type="paragraph" w:customStyle="1" w:styleId="Bulletsspaced-lastbullet">
    <w:name w:val="Bullets (spaced) - last bullet"/>
    <w:basedOn w:val="Bulletsspaced"/>
    <w:next w:val="Normal"/>
    <w:rsid w:val="009E2361"/>
    <w:pPr>
      <w:numPr>
        <w:numId w:val="0"/>
      </w:numPr>
      <w:spacing w:after="240"/>
    </w:pPr>
  </w:style>
  <w:style w:type="character" w:customStyle="1" w:styleId="Heading2Char">
    <w:name w:val="Heading 2 Char"/>
    <w:link w:val="Heading2"/>
    <w:rsid w:val="009E2361"/>
    <w:rPr>
      <w:rFonts w:ascii="Tahoma" w:eastAsia="Times New Roman" w:hAnsi="Tahoma" w:cs="Times New Roman"/>
      <w:b/>
      <w:sz w:val="28"/>
      <w:szCs w:val="28"/>
      <w:lang w:eastAsia="en-GB"/>
    </w:rPr>
  </w:style>
  <w:style w:type="character" w:styleId="CommentReference">
    <w:name w:val="annotation reference"/>
    <w:uiPriority w:val="99"/>
    <w:semiHidden/>
    <w:rsid w:val="009E2361"/>
    <w:rPr>
      <w:sz w:val="16"/>
      <w:szCs w:val="16"/>
    </w:rPr>
  </w:style>
  <w:style w:type="paragraph" w:styleId="CommentText">
    <w:name w:val="annotation text"/>
    <w:basedOn w:val="Normal"/>
    <w:link w:val="CommentTextChar"/>
    <w:uiPriority w:val="99"/>
    <w:semiHidden/>
    <w:rsid w:val="009E2361"/>
    <w:rPr>
      <w:sz w:val="20"/>
      <w:szCs w:val="20"/>
    </w:rPr>
  </w:style>
  <w:style w:type="character" w:customStyle="1" w:styleId="CommentTextChar">
    <w:name w:val="Comment Text Char"/>
    <w:basedOn w:val="DefaultParagraphFont"/>
    <w:link w:val="CommentText"/>
    <w:uiPriority w:val="99"/>
    <w:semiHidden/>
    <w:rsid w:val="00564958"/>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9E2361"/>
    <w:rPr>
      <w:b/>
      <w:bCs/>
    </w:rPr>
  </w:style>
  <w:style w:type="character" w:customStyle="1" w:styleId="CommentSubjectChar">
    <w:name w:val="Comment Subject Char"/>
    <w:basedOn w:val="CommentTextChar"/>
    <w:link w:val="CommentSubject"/>
    <w:semiHidden/>
    <w:rsid w:val="00564958"/>
    <w:rPr>
      <w:rFonts w:ascii="Tahoma" w:eastAsia="Times New Roman" w:hAnsi="Tahoma" w:cs="Times New Roman"/>
      <w:b/>
      <w:bCs/>
      <w:color w:val="000000"/>
      <w:sz w:val="20"/>
      <w:szCs w:val="20"/>
    </w:rPr>
  </w:style>
  <w:style w:type="paragraph" w:styleId="BalloonText">
    <w:name w:val="Balloon Text"/>
    <w:basedOn w:val="Normal"/>
    <w:link w:val="BalloonTextChar"/>
    <w:semiHidden/>
    <w:rsid w:val="009E2361"/>
    <w:rPr>
      <w:rFonts w:cs="Tahoma"/>
      <w:sz w:val="16"/>
      <w:szCs w:val="16"/>
    </w:rPr>
  </w:style>
  <w:style w:type="character" w:customStyle="1" w:styleId="BalloonTextChar">
    <w:name w:val="Balloon Text Char"/>
    <w:basedOn w:val="DefaultParagraphFont"/>
    <w:link w:val="BalloonText"/>
    <w:semiHidden/>
    <w:rsid w:val="00564958"/>
    <w:rPr>
      <w:rFonts w:ascii="Tahoma" w:eastAsia="Times New Roman" w:hAnsi="Tahoma" w:cs="Tahoma"/>
      <w:color w:val="000000"/>
      <w:sz w:val="16"/>
      <w:szCs w:val="16"/>
    </w:rPr>
  </w:style>
  <w:style w:type="character" w:styleId="Hyperlink">
    <w:name w:val="Hyperlink"/>
    <w:rsid w:val="009E2361"/>
    <w:rPr>
      <w:color w:val="0000FF"/>
      <w:u w:val="none"/>
    </w:rPr>
  </w:style>
  <w:style w:type="character" w:styleId="FollowedHyperlink">
    <w:name w:val="FollowedHyperlink"/>
    <w:rsid w:val="009E2361"/>
    <w:rPr>
      <w:color w:val="800080"/>
      <w:u w:val="single"/>
    </w:rPr>
  </w:style>
  <w:style w:type="paragraph" w:customStyle="1" w:styleId="Default">
    <w:name w:val="Default"/>
    <w:rsid w:val="0018184C"/>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rsid w:val="0018184C"/>
    <w:rPr>
      <w:rFonts w:ascii="Tahoma" w:eastAsia="Times New Roman" w:hAnsi="Tahoma" w:cs="Times New Roman"/>
      <w:b/>
      <w:sz w:val="32"/>
      <w:szCs w:val="32"/>
      <w:lang w:eastAsia="en-GB"/>
    </w:rPr>
  </w:style>
  <w:style w:type="character" w:styleId="Strong">
    <w:name w:val="Strong"/>
    <w:uiPriority w:val="22"/>
    <w:qFormat/>
    <w:rsid w:val="009E2361"/>
    <w:rPr>
      <w:b/>
      <w:bCs/>
    </w:rPr>
  </w:style>
  <w:style w:type="paragraph" w:customStyle="1" w:styleId="urn-number">
    <w:name w:val="urn-number"/>
    <w:basedOn w:val="Normal"/>
    <w:rsid w:val="0018184C"/>
    <w:pPr>
      <w:spacing w:before="100" w:beforeAutospacing="1" w:after="240" w:line="336" w:lineRule="atLeast"/>
    </w:pPr>
    <w:rPr>
      <w:rFonts w:ascii="Times New Roman" w:hAnsi="Times New Roman"/>
      <w:sz w:val="26"/>
      <w:szCs w:val="26"/>
      <w:lang w:eastAsia="en-GB"/>
    </w:rPr>
  </w:style>
  <w:style w:type="character" w:customStyle="1" w:styleId="UnnumberedparagraphChar">
    <w:name w:val="Unnumbered paragraph Char"/>
    <w:link w:val="Unnumberedparagraph"/>
    <w:rsid w:val="0052091A"/>
    <w:rPr>
      <w:rFonts w:ascii="Tahoma" w:eastAsia="Times New Roman" w:hAnsi="Tahoma" w:cs="Times New Roman"/>
      <w:color w:val="000000"/>
      <w:sz w:val="24"/>
      <w:szCs w:val="24"/>
    </w:rPr>
  </w:style>
  <w:style w:type="paragraph" w:customStyle="1" w:styleId="Numberedlist">
    <w:name w:val="Numbered list"/>
    <w:basedOn w:val="Normal"/>
    <w:rsid w:val="009E2361"/>
    <w:pPr>
      <w:numPr>
        <w:numId w:val="19"/>
      </w:numPr>
      <w:tabs>
        <w:tab w:val="left" w:pos="1247"/>
      </w:tabs>
    </w:pPr>
  </w:style>
  <w:style w:type="paragraph" w:styleId="BodyText">
    <w:name w:val="Body Text"/>
    <w:basedOn w:val="Normal"/>
    <w:link w:val="BodyTextChar"/>
    <w:rsid w:val="009E2361"/>
    <w:pPr>
      <w:spacing w:after="120"/>
    </w:pPr>
  </w:style>
  <w:style w:type="character" w:customStyle="1" w:styleId="BodyTextChar">
    <w:name w:val="Body Text Char"/>
    <w:link w:val="BodyText"/>
    <w:rsid w:val="009E2361"/>
    <w:rPr>
      <w:rFonts w:ascii="Tahoma" w:eastAsia="Times New Roman" w:hAnsi="Tahoma" w:cs="Times New Roman"/>
      <w:color w:val="000000"/>
      <w:sz w:val="24"/>
      <w:szCs w:val="24"/>
    </w:rPr>
  </w:style>
  <w:style w:type="paragraph" w:styleId="BodyText2">
    <w:name w:val="Body Text 2"/>
    <w:aliases w:val=" Char"/>
    <w:basedOn w:val="Normal"/>
    <w:link w:val="BodyText2Char"/>
    <w:rsid w:val="009E2361"/>
    <w:pPr>
      <w:spacing w:after="120" w:line="480" w:lineRule="auto"/>
    </w:pPr>
  </w:style>
  <w:style w:type="character" w:customStyle="1" w:styleId="BodyText2Char">
    <w:name w:val="Body Text 2 Char"/>
    <w:aliases w:val=" Char Char"/>
    <w:link w:val="BodyText2"/>
    <w:rsid w:val="009E2361"/>
    <w:rPr>
      <w:rFonts w:ascii="Tahoma" w:eastAsia="Times New Roman" w:hAnsi="Tahoma" w:cs="Times New Roman"/>
      <w:color w:val="000000"/>
      <w:sz w:val="24"/>
      <w:szCs w:val="24"/>
    </w:rPr>
  </w:style>
  <w:style w:type="paragraph" w:styleId="Quote">
    <w:name w:val="Quote"/>
    <w:basedOn w:val="Unnumberedparagraph"/>
    <w:link w:val="QuoteChar"/>
    <w:qFormat/>
    <w:rsid w:val="009E2361"/>
    <w:pPr>
      <w:ind w:left="1134"/>
    </w:pPr>
  </w:style>
  <w:style w:type="character" w:customStyle="1" w:styleId="QuoteChar">
    <w:name w:val="Quote Char"/>
    <w:basedOn w:val="DefaultParagraphFont"/>
    <w:link w:val="Quote"/>
    <w:rsid w:val="009E2361"/>
    <w:rPr>
      <w:rFonts w:ascii="Tahoma" w:eastAsia="Times New Roman" w:hAnsi="Tahoma" w:cs="Times New Roman"/>
      <w:color w:val="000000"/>
      <w:sz w:val="24"/>
      <w:szCs w:val="24"/>
    </w:rPr>
  </w:style>
  <w:style w:type="paragraph" w:customStyle="1" w:styleId="Casestudy">
    <w:name w:val="Case study"/>
    <w:basedOn w:val="Quote"/>
    <w:rsid w:val="009E2361"/>
    <w:pPr>
      <w:shd w:val="clear" w:color="auto" w:fill="CCCCCC"/>
    </w:pPr>
  </w:style>
  <w:style w:type="paragraph" w:customStyle="1" w:styleId="Bulletscasestudy">
    <w:name w:val="Bullets (case study)"/>
    <w:basedOn w:val="Casestudy"/>
    <w:rsid w:val="009E2361"/>
    <w:pPr>
      <w:numPr>
        <w:numId w:val="13"/>
      </w:numPr>
      <w:tabs>
        <w:tab w:val="left" w:pos="340"/>
      </w:tabs>
      <w:contextualSpacing/>
    </w:pPr>
  </w:style>
  <w:style w:type="paragraph" w:customStyle="1" w:styleId="Bulletsdashes">
    <w:name w:val="Bullets (dashes)"/>
    <w:basedOn w:val="Bulletsspaced"/>
    <w:rsid w:val="009E2361"/>
    <w:pPr>
      <w:numPr>
        <w:numId w:val="15"/>
      </w:numPr>
      <w:tabs>
        <w:tab w:val="left" w:pos="1247"/>
      </w:tabs>
      <w:spacing w:after="60"/>
    </w:pPr>
  </w:style>
  <w:style w:type="paragraph" w:customStyle="1" w:styleId="Bulletsdashes-lastbullet">
    <w:name w:val="Bullets (dashes) - last bullet"/>
    <w:basedOn w:val="Bulletsdashes"/>
    <w:next w:val="Normal"/>
    <w:rsid w:val="00E13255"/>
    <w:pPr>
      <w:spacing w:after="120"/>
      <w:ind w:left="1621" w:hanging="357"/>
    </w:pPr>
  </w:style>
  <w:style w:type="paragraph" w:customStyle="1" w:styleId="Bulletskeyfindings">
    <w:name w:val="Bullets (key findings)"/>
    <w:basedOn w:val="Normal"/>
    <w:rsid w:val="009E2361"/>
    <w:pPr>
      <w:numPr>
        <w:numId w:val="16"/>
      </w:numPr>
      <w:spacing w:after="120"/>
    </w:pPr>
  </w:style>
  <w:style w:type="paragraph" w:customStyle="1" w:styleId="Bulletskeyfindings-lastbullet">
    <w:name w:val="Bullets (key findings) - last bullet"/>
    <w:basedOn w:val="Bulletskeyfindings"/>
    <w:next w:val="Heading1"/>
    <w:rsid w:val="00E13255"/>
    <w:pPr>
      <w:spacing w:after="240"/>
      <w:ind w:left="357" w:hanging="357"/>
    </w:pPr>
  </w:style>
  <w:style w:type="paragraph" w:customStyle="1" w:styleId="Bulletsround">
    <w:name w:val="Bullets (round)"/>
    <w:basedOn w:val="Normal"/>
    <w:rsid w:val="009E2361"/>
    <w:pPr>
      <w:tabs>
        <w:tab w:val="num" w:pos="680"/>
      </w:tabs>
      <w:ind w:left="680" w:hanging="340"/>
    </w:pPr>
  </w:style>
  <w:style w:type="paragraph" w:styleId="Title">
    <w:name w:val="Title"/>
    <w:basedOn w:val="Normal"/>
    <w:link w:val="TitleChar"/>
    <w:qFormat/>
    <w:rsid w:val="009E2361"/>
    <w:rPr>
      <w:kern w:val="28"/>
      <w:sz w:val="52"/>
    </w:rPr>
  </w:style>
  <w:style w:type="character" w:customStyle="1" w:styleId="TitleChar">
    <w:name w:val="Title Char"/>
    <w:basedOn w:val="DefaultParagraphFont"/>
    <w:link w:val="Title"/>
    <w:rsid w:val="009E2361"/>
    <w:rPr>
      <w:rFonts w:ascii="Tahoma" w:eastAsia="Times New Roman" w:hAnsi="Tahoma" w:cs="Times New Roman"/>
      <w:color w:val="000000"/>
      <w:kern w:val="28"/>
      <w:sz w:val="52"/>
      <w:szCs w:val="24"/>
    </w:rPr>
  </w:style>
  <w:style w:type="paragraph" w:customStyle="1" w:styleId="Contentsheading">
    <w:name w:val="Contents heading"/>
    <w:basedOn w:val="Title"/>
    <w:rsid w:val="009E2361"/>
    <w:pPr>
      <w:pBdr>
        <w:bottom w:val="single" w:sz="4" w:space="9" w:color="auto"/>
      </w:pBdr>
      <w:spacing w:after="1134"/>
    </w:pPr>
    <w:rPr>
      <w:b/>
      <w:noProof/>
      <w:sz w:val="32"/>
      <w:szCs w:val="20"/>
    </w:rPr>
  </w:style>
  <w:style w:type="paragraph" w:customStyle="1" w:styleId="Copyright">
    <w:name w:val="Copyright"/>
    <w:basedOn w:val="Normal"/>
    <w:rsid w:val="009E2361"/>
    <w:pPr>
      <w:spacing w:after="120" w:line="260" w:lineRule="exact"/>
    </w:pPr>
    <w:rPr>
      <w:sz w:val="20"/>
      <w:szCs w:val="20"/>
    </w:rPr>
  </w:style>
  <w:style w:type="paragraph" w:customStyle="1" w:styleId="coverrefinput">
    <w:name w:val="cover ref input"/>
    <w:basedOn w:val="Normal"/>
    <w:rsid w:val="009E2361"/>
    <w:pPr>
      <w:tabs>
        <w:tab w:val="left" w:pos="1705"/>
        <w:tab w:val="left" w:pos="3410"/>
      </w:tabs>
      <w:spacing w:line="200" w:lineRule="exact"/>
    </w:pPr>
    <w:rPr>
      <w:sz w:val="14"/>
    </w:rPr>
  </w:style>
  <w:style w:type="paragraph" w:customStyle="1" w:styleId="CoverStats">
    <w:name w:val="Cover Stats"/>
    <w:basedOn w:val="Normal"/>
    <w:link w:val="CoverStatsChar"/>
    <w:rsid w:val="009E2361"/>
    <w:pPr>
      <w:pBdr>
        <w:between w:val="single" w:sz="4" w:space="3" w:color="auto"/>
      </w:pBdr>
    </w:pPr>
    <w:rPr>
      <w:sz w:val="20"/>
      <w:szCs w:val="20"/>
    </w:rPr>
  </w:style>
  <w:style w:type="character" w:customStyle="1" w:styleId="CoverStatsChar">
    <w:name w:val="Cover Stats Char"/>
    <w:link w:val="CoverStats"/>
    <w:rsid w:val="009E2361"/>
    <w:rPr>
      <w:rFonts w:ascii="Tahoma" w:eastAsia="Times New Roman" w:hAnsi="Tahoma" w:cs="Times New Roman"/>
      <w:color w:val="000000"/>
      <w:sz w:val="20"/>
      <w:szCs w:val="20"/>
    </w:rPr>
  </w:style>
  <w:style w:type="paragraph" w:customStyle="1" w:styleId="Figurestext">
    <w:name w:val="Figures text"/>
    <w:basedOn w:val="Normal"/>
    <w:rsid w:val="009E2361"/>
    <w:pPr>
      <w:pBdr>
        <w:bar w:val="single" w:sz="4" w:color="auto"/>
      </w:pBdr>
      <w:ind w:left="1080" w:hanging="1080"/>
    </w:pPr>
    <w:rPr>
      <w:rFonts w:cs="Tahoma"/>
      <w:b/>
      <w:sz w:val="20"/>
      <w:szCs w:val="20"/>
    </w:rPr>
  </w:style>
  <w:style w:type="paragraph" w:customStyle="1" w:styleId="Footer-LHSEven">
    <w:name w:val="Footer - LHS Even"/>
    <w:basedOn w:val="Footer"/>
    <w:rsid w:val="009E2361"/>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9E2361"/>
    <w:pPr>
      <w:tabs>
        <w:tab w:val="clear" w:pos="8505"/>
        <w:tab w:val="left" w:pos="567"/>
      </w:tabs>
    </w:pPr>
  </w:style>
  <w:style w:type="character" w:styleId="FootnoteReference">
    <w:name w:val="footnote reference"/>
    <w:semiHidden/>
    <w:rsid w:val="009E2361"/>
    <w:rPr>
      <w:vertAlign w:val="superscript"/>
    </w:rPr>
  </w:style>
  <w:style w:type="paragraph" w:styleId="FootnoteText">
    <w:name w:val="footnote text"/>
    <w:basedOn w:val="Normal"/>
    <w:link w:val="FootnoteTextChar"/>
    <w:semiHidden/>
    <w:rsid w:val="009E2361"/>
    <w:rPr>
      <w:sz w:val="20"/>
      <w:szCs w:val="20"/>
    </w:rPr>
  </w:style>
  <w:style w:type="character" w:customStyle="1" w:styleId="FootnoteTextChar">
    <w:name w:val="Footnote Text Char"/>
    <w:basedOn w:val="DefaultParagraphFont"/>
    <w:link w:val="FootnoteText"/>
    <w:semiHidden/>
    <w:rsid w:val="009E2361"/>
    <w:rPr>
      <w:rFonts w:ascii="Tahoma" w:eastAsia="Times New Roman" w:hAnsi="Tahoma" w:cs="Times New Roman"/>
      <w:color w:val="000000"/>
      <w:sz w:val="20"/>
      <w:szCs w:val="20"/>
    </w:rPr>
  </w:style>
  <w:style w:type="paragraph" w:customStyle="1" w:styleId="Header-recto">
    <w:name w:val="Header - recto"/>
    <w:basedOn w:val="Header"/>
    <w:rsid w:val="009E2361"/>
    <w:pPr>
      <w:tabs>
        <w:tab w:val="clear" w:pos="4320"/>
        <w:tab w:val="clear" w:pos="8640"/>
        <w:tab w:val="right" w:pos="7938"/>
      </w:tabs>
    </w:pPr>
  </w:style>
  <w:style w:type="paragraph" w:customStyle="1" w:styleId="Header-verso">
    <w:name w:val="Header - verso"/>
    <w:basedOn w:val="Header"/>
    <w:rsid w:val="009E2361"/>
    <w:pPr>
      <w:tabs>
        <w:tab w:val="clear" w:pos="4320"/>
        <w:tab w:val="clear" w:pos="8640"/>
        <w:tab w:val="left" w:pos="567"/>
      </w:tabs>
    </w:pPr>
  </w:style>
  <w:style w:type="character" w:customStyle="1" w:styleId="Heading3Char">
    <w:name w:val="Heading 3 Char"/>
    <w:link w:val="Heading3"/>
    <w:rsid w:val="009E2361"/>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9E2361"/>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9E2361"/>
    <w:rPr>
      <w:rFonts w:ascii="Tahoma" w:eastAsia="Times New Roman" w:hAnsi="Tahoma" w:cs="Times New Roman"/>
      <w:i/>
      <w:color w:val="000000"/>
      <w:sz w:val="24"/>
      <w:szCs w:val="24"/>
    </w:rPr>
  </w:style>
  <w:style w:type="paragraph" w:styleId="ListBullet2">
    <w:name w:val="List Bullet 2"/>
    <w:basedOn w:val="Normal"/>
    <w:link w:val="ListBullet2Char"/>
    <w:rsid w:val="009E2361"/>
    <w:pPr>
      <w:numPr>
        <w:numId w:val="18"/>
      </w:numPr>
      <w:contextualSpacing/>
    </w:pPr>
  </w:style>
  <w:style w:type="character" w:customStyle="1" w:styleId="ListBullet2Char">
    <w:name w:val="List Bullet 2 Char"/>
    <w:link w:val="ListBullet2"/>
    <w:rsid w:val="009E2361"/>
    <w:rPr>
      <w:rFonts w:ascii="Tahoma" w:eastAsia="Times New Roman" w:hAnsi="Tahoma" w:cs="Times New Roman"/>
      <w:color w:val="000000"/>
      <w:sz w:val="24"/>
      <w:szCs w:val="24"/>
    </w:rPr>
  </w:style>
  <w:style w:type="paragraph" w:customStyle="1" w:styleId="Numberedlist-lastnumber">
    <w:name w:val="Numbered list - last number"/>
    <w:basedOn w:val="Numberedlist"/>
    <w:next w:val="Normal"/>
    <w:rsid w:val="009E2361"/>
    <w:pPr>
      <w:numPr>
        <w:numId w:val="0"/>
      </w:numPr>
      <w:spacing w:after="240"/>
    </w:pPr>
  </w:style>
  <w:style w:type="paragraph" w:customStyle="1" w:styleId="Numberedparagraph">
    <w:name w:val="Numbered paragraph"/>
    <w:basedOn w:val="Unnumberedparagraph"/>
    <w:autoRedefine/>
    <w:rsid w:val="009E2361"/>
    <w:pPr>
      <w:numPr>
        <w:numId w:val="20"/>
      </w:numPr>
      <w:ind w:left="567" w:hanging="567"/>
    </w:pPr>
  </w:style>
  <w:style w:type="paragraph" w:customStyle="1" w:styleId="Numberedparagraph-unnumberdextrapara">
    <w:name w:val="Numbered paragraph - unnumberd extra para"/>
    <w:basedOn w:val="Numberedparagraph"/>
    <w:next w:val="Numberedparagraph"/>
    <w:rsid w:val="009E2361"/>
  </w:style>
  <w:style w:type="character" w:styleId="PageNumber">
    <w:name w:val="page number"/>
    <w:rsid w:val="009E2361"/>
    <w:rPr>
      <w:rFonts w:ascii="Tahoma" w:hAnsi="Tahoma"/>
      <w:dstrike w:val="0"/>
      <w:kern w:val="0"/>
      <w:position w:val="-24"/>
      <w:sz w:val="40"/>
      <w:szCs w:val="40"/>
      <w:bdr w:val="none" w:sz="0" w:space="0" w:color="auto"/>
      <w:vertAlign w:val="baseline"/>
    </w:rPr>
  </w:style>
  <w:style w:type="paragraph" w:customStyle="1" w:styleId="Publicationboxheader">
    <w:name w:val="Publication box header"/>
    <w:basedOn w:val="Normal"/>
    <w:next w:val="Normal"/>
    <w:rsid w:val="009E2361"/>
    <w:pPr>
      <w:spacing w:line="160" w:lineRule="exact"/>
    </w:pPr>
    <w:rPr>
      <w:b/>
      <w:sz w:val="14"/>
    </w:rPr>
  </w:style>
  <w:style w:type="paragraph" w:customStyle="1" w:styleId="Publicationboxtext">
    <w:name w:val="Publication box text"/>
    <w:basedOn w:val="Normal"/>
    <w:rsid w:val="009E2361"/>
    <w:pPr>
      <w:tabs>
        <w:tab w:val="left" w:pos="1705"/>
        <w:tab w:val="left" w:pos="3410"/>
      </w:tabs>
      <w:spacing w:line="200" w:lineRule="exact"/>
    </w:pPr>
    <w:rPr>
      <w:sz w:val="14"/>
    </w:rPr>
  </w:style>
  <w:style w:type="paragraph" w:customStyle="1" w:styleId="StyleCoverStatsBold">
    <w:name w:val="Style Cover Stats + Bold"/>
    <w:basedOn w:val="CoverStats"/>
    <w:link w:val="StyleCoverStatsBoldChar"/>
    <w:semiHidden/>
    <w:rsid w:val="009E2361"/>
    <w:rPr>
      <w:b/>
      <w:bCs/>
    </w:rPr>
  </w:style>
  <w:style w:type="character" w:customStyle="1" w:styleId="StyleCoverStatsBoldChar">
    <w:name w:val="Style Cover Stats + Bold Char"/>
    <w:link w:val="StyleCoverStatsBold"/>
    <w:semiHidden/>
    <w:rsid w:val="009E2361"/>
    <w:rPr>
      <w:rFonts w:ascii="Tahoma" w:eastAsia="Times New Roman" w:hAnsi="Tahoma" w:cs="Times New Roman"/>
      <w:b/>
      <w:bCs/>
      <w:color w:val="000000"/>
      <w:sz w:val="20"/>
      <w:szCs w:val="20"/>
    </w:rPr>
  </w:style>
  <w:style w:type="paragraph" w:customStyle="1" w:styleId="Sub-title">
    <w:name w:val="Sub-title"/>
    <w:basedOn w:val="Normal"/>
    <w:rsid w:val="009E2361"/>
    <w:pPr>
      <w:pBdr>
        <w:bottom w:val="single" w:sz="4" w:space="6" w:color="auto"/>
      </w:pBdr>
      <w:spacing w:before="180" w:after="1134" w:line="300" w:lineRule="exact"/>
    </w:pPr>
  </w:style>
  <w:style w:type="paragraph" w:customStyle="1" w:styleId="Summary">
    <w:name w:val="Summary"/>
    <w:basedOn w:val="Normal"/>
    <w:rsid w:val="009E2361"/>
  </w:style>
  <w:style w:type="paragraph" w:customStyle="1" w:styleId="Tableheader-top">
    <w:name w:val="Table header - top"/>
    <w:basedOn w:val="Unnumberedparagraph"/>
    <w:rsid w:val="009E2361"/>
    <w:pPr>
      <w:spacing w:before="60" w:after="60"/>
      <w:contextualSpacing/>
      <w:jc w:val="center"/>
    </w:pPr>
    <w:rPr>
      <w:b/>
      <w:sz w:val="22"/>
    </w:rPr>
  </w:style>
  <w:style w:type="paragraph" w:customStyle="1" w:styleId="Tableheader-left">
    <w:name w:val="Table header - left"/>
    <w:basedOn w:val="Tableheader-top"/>
    <w:rsid w:val="009E2361"/>
    <w:pPr>
      <w:jc w:val="left"/>
    </w:pPr>
    <w:rPr>
      <w:bCs/>
      <w:szCs w:val="20"/>
    </w:rPr>
  </w:style>
  <w:style w:type="paragraph" w:customStyle="1" w:styleId="Tabletext-centred">
    <w:name w:val="Table text - centred"/>
    <w:basedOn w:val="Unnumberedparagraph"/>
    <w:rsid w:val="009E2361"/>
    <w:pPr>
      <w:spacing w:before="60" w:after="60"/>
      <w:contextualSpacing/>
      <w:jc w:val="center"/>
    </w:pPr>
    <w:rPr>
      <w:sz w:val="22"/>
    </w:rPr>
  </w:style>
  <w:style w:type="paragraph" w:customStyle="1" w:styleId="Tabletext-left">
    <w:name w:val="Table text - left"/>
    <w:basedOn w:val="Unnumberedparagraph"/>
    <w:rsid w:val="009E2361"/>
    <w:pPr>
      <w:spacing w:before="60" w:after="60"/>
      <w:contextualSpacing/>
    </w:pPr>
    <w:rPr>
      <w:sz w:val="22"/>
    </w:rPr>
  </w:style>
  <w:style w:type="paragraph" w:customStyle="1" w:styleId="Tabletext-numbered">
    <w:name w:val="Table text - numbered"/>
    <w:basedOn w:val="Numberedparagraph"/>
    <w:rsid w:val="009E2361"/>
    <w:pPr>
      <w:numPr>
        <w:numId w:val="0"/>
      </w:numPr>
      <w:spacing w:before="60" w:after="60"/>
      <w:contextualSpacing/>
    </w:pPr>
    <w:rPr>
      <w:sz w:val="22"/>
    </w:rPr>
  </w:style>
  <w:style w:type="paragraph" w:customStyle="1" w:styleId="Tabletext-right">
    <w:name w:val="Table text - right"/>
    <w:basedOn w:val="Tabletext-left"/>
    <w:rsid w:val="009E2361"/>
    <w:pPr>
      <w:jc w:val="right"/>
    </w:pPr>
  </w:style>
  <w:style w:type="paragraph" w:customStyle="1" w:styleId="Tabletextbullet">
    <w:name w:val="Table text bullet"/>
    <w:basedOn w:val="Normal"/>
    <w:rsid w:val="009E2361"/>
    <w:pPr>
      <w:numPr>
        <w:numId w:val="21"/>
      </w:numPr>
      <w:spacing w:before="60" w:after="60"/>
      <w:contextualSpacing/>
    </w:pPr>
    <w:rPr>
      <w:sz w:val="22"/>
    </w:rPr>
  </w:style>
  <w:style w:type="paragraph" w:customStyle="1" w:styleId="TitleNOsubtitle">
    <w:name w:val="Title NO subtitle"/>
    <w:basedOn w:val="Title"/>
    <w:rsid w:val="009E2361"/>
    <w:pPr>
      <w:pBdr>
        <w:bottom w:val="single" w:sz="4" w:space="9" w:color="auto"/>
      </w:pBdr>
      <w:spacing w:after="1134"/>
    </w:pPr>
  </w:style>
  <w:style w:type="paragraph" w:styleId="TOC1">
    <w:name w:val="toc 1"/>
    <w:basedOn w:val="Normal"/>
    <w:next w:val="Normal"/>
    <w:autoRedefine/>
    <w:rsid w:val="009E2361"/>
    <w:pPr>
      <w:tabs>
        <w:tab w:val="right" w:pos="9072"/>
      </w:tabs>
      <w:spacing w:line="400" w:lineRule="exact"/>
    </w:pPr>
    <w:rPr>
      <w:b/>
    </w:rPr>
  </w:style>
  <w:style w:type="paragraph" w:styleId="TOC2">
    <w:name w:val="toc 2"/>
    <w:basedOn w:val="Normal"/>
    <w:next w:val="Normal"/>
    <w:autoRedefine/>
    <w:rsid w:val="009E2361"/>
    <w:pPr>
      <w:ind w:left="240"/>
    </w:pPr>
  </w:style>
  <w:style w:type="paragraph" w:styleId="TOC3">
    <w:name w:val="toc 3"/>
    <w:basedOn w:val="Normal"/>
    <w:next w:val="Normal"/>
    <w:autoRedefine/>
    <w:rsid w:val="009E2361"/>
    <w:pPr>
      <w:ind w:left="480"/>
    </w:pPr>
  </w:style>
  <w:style w:type="paragraph" w:styleId="TOCHeading">
    <w:name w:val="TOC Heading"/>
    <w:basedOn w:val="Heading1"/>
    <w:next w:val="Normal"/>
    <w:uiPriority w:val="39"/>
    <w:semiHidden/>
    <w:unhideWhenUsed/>
    <w:qFormat/>
    <w:rsid w:val="009E2361"/>
    <w:pPr>
      <w:tabs>
        <w:tab w:val="clear" w:pos="737"/>
      </w:tabs>
      <w:spacing w:before="240" w:after="60"/>
      <w:outlineLvl w:val="9"/>
    </w:pPr>
    <w:rPr>
      <w:rFonts w:ascii="Cambria" w:hAnsi="Cambria"/>
      <w:bCs/>
      <w:color w:val="000000"/>
      <w:kern w:val="32"/>
      <w:lang w:eastAsia="en-US"/>
    </w:rPr>
  </w:style>
  <w:style w:type="table" w:styleId="MediumShading1-Accent3">
    <w:name w:val="Medium Shading 1 Accent 3"/>
    <w:basedOn w:val="TableNormal"/>
    <w:uiPriority w:val="63"/>
    <w:rsid w:val="00292F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GridTable4-Accent41">
    <w:name w:val="Grid Table 4 - Accent 41"/>
    <w:basedOn w:val="TableNormal"/>
    <w:uiPriority w:val="49"/>
    <w:rsid w:val="00CD183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9269">
      <w:bodyDiv w:val="1"/>
      <w:marLeft w:val="0"/>
      <w:marRight w:val="0"/>
      <w:marTop w:val="0"/>
      <w:marBottom w:val="0"/>
      <w:divBdr>
        <w:top w:val="none" w:sz="0" w:space="0" w:color="auto"/>
        <w:left w:val="none" w:sz="0" w:space="0" w:color="auto"/>
        <w:bottom w:val="none" w:sz="0" w:space="0" w:color="auto"/>
        <w:right w:val="none" w:sz="0" w:space="0" w:color="auto"/>
      </w:divBdr>
    </w:div>
    <w:div w:id="368381944">
      <w:bodyDiv w:val="1"/>
      <w:marLeft w:val="0"/>
      <w:marRight w:val="0"/>
      <w:marTop w:val="0"/>
      <w:marBottom w:val="0"/>
      <w:divBdr>
        <w:top w:val="none" w:sz="0" w:space="0" w:color="auto"/>
        <w:left w:val="none" w:sz="0" w:space="0" w:color="auto"/>
        <w:bottom w:val="none" w:sz="0" w:space="0" w:color="auto"/>
        <w:right w:val="none" w:sz="0" w:space="0" w:color="auto"/>
      </w:divBdr>
      <w:divsChild>
        <w:div w:id="1468357325">
          <w:marLeft w:val="0"/>
          <w:marRight w:val="0"/>
          <w:marTop w:val="0"/>
          <w:marBottom w:val="0"/>
          <w:divBdr>
            <w:top w:val="none" w:sz="0" w:space="0" w:color="auto"/>
            <w:left w:val="none" w:sz="0" w:space="0" w:color="auto"/>
            <w:bottom w:val="none" w:sz="0" w:space="0" w:color="auto"/>
            <w:right w:val="none" w:sz="0" w:space="0" w:color="auto"/>
          </w:divBdr>
          <w:divsChild>
            <w:div w:id="1639146939">
              <w:marLeft w:val="0"/>
              <w:marRight w:val="0"/>
              <w:marTop w:val="0"/>
              <w:marBottom w:val="0"/>
              <w:divBdr>
                <w:top w:val="none" w:sz="0" w:space="0" w:color="auto"/>
                <w:left w:val="none" w:sz="0" w:space="0" w:color="auto"/>
                <w:bottom w:val="none" w:sz="0" w:space="0" w:color="auto"/>
                <w:right w:val="none" w:sz="0" w:space="0" w:color="auto"/>
              </w:divBdr>
              <w:divsChild>
                <w:div w:id="2118215513">
                  <w:marLeft w:val="0"/>
                  <w:marRight w:val="0"/>
                  <w:marTop w:val="0"/>
                  <w:marBottom w:val="0"/>
                  <w:divBdr>
                    <w:top w:val="none" w:sz="0" w:space="0" w:color="auto"/>
                    <w:left w:val="none" w:sz="0" w:space="0" w:color="auto"/>
                    <w:bottom w:val="none" w:sz="0" w:space="0" w:color="auto"/>
                    <w:right w:val="none" w:sz="0" w:space="0" w:color="auto"/>
                  </w:divBdr>
                  <w:divsChild>
                    <w:div w:id="1302804727">
                      <w:marLeft w:val="0"/>
                      <w:marRight w:val="0"/>
                      <w:marTop w:val="0"/>
                      <w:marBottom w:val="0"/>
                      <w:divBdr>
                        <w:top w:val="none" w:sz="0" w:space="0" w:color="auto"/>
                        <w:left w:val="none" w:sz="0" w:space="0" w:color="auto"/>
                        <w:bottom w:val="none" w:sz="0" w:space="0" w:color="auto"/>
                        <w:right w:val="none" w:sz="0" w:space="0" w:color="auto"/>
                      </w:divBdr>
                      <w:divsChild>
                        <w:div w:id="5603356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03012">
      <w:bodyDiv w:val="1"/>
      <w:marLeft w:val="0"/>
      <w:marRight w:val="0"/>
      <w:marTop w:val="0"/>
      <w:marBottom w:val="0"/>
      <w:divBdr>
        <w:top w:val="none" w:sz="0" w:space="0" w:color="auto"/>
        <w:left w:val="none" w:sz="0" w:space="0" w:color="auto"/>
        <w:bottom w:val="none" w:sz="0" w:space="0" w:color="auto"/>
        <w:right w:val="none" w:sz="0" w:space="0" w:color="auto"/>
      </w:divBdr>
    </w:div>
    <w:div w:id="569193815">
      <w:bodyDiv w:val="1"/>
      <w:marLeft w:val="0"/>
      <w:marRight w:val="0"/>
      <w:marTop w:val="0"/>
      <w:marBottom w:val="0"/>
      <w:divBdr>
        <w:top w:val="none" w:sz="0" w:space="0" w:color="auto"/>
        <w:left w:val="none" w:sz="0" w:space="0" w:color="auto"/>
        <w:bottom w:val="none" w:sz="0" w:space="0" w:color="auto"/>
        <w:right w:val="none" w:sz="0" w:space="0" w:color="auto"/>
      </w:divBdr>
    </w:div>
    <w:div w:id="649598521">
      <w:bodyDiv w:val="1"/>
      <w:marLeft w:val="0"/>
      <w:marRight w:val="0"/>
      <w:marTop w:val="0"/>
      <w:marBottom w:val="0"/>
      <w:divBdr>
        <w:top w:val="none" w:sz="0" w:space="0" w:color="auto"/>
        <w:left w:val="none" w:sz="0" w:space="0" w:color="auto"/>
        <w:bottom w:val="none" w:sz="0" w:space="0" w:color="auto"/>
        <w:right w:val="none" w:sz="0" w:space="0" w:color="auto"/>
      </w:divBdr>
    </w:div>
    <w:div w:id="654770562">
      <w:bodyDiv w:val="1"/>
      <w:marLeft w:val="0"/>
      <w:marRight w:val="0"/>
      <w:marTop w:val="0"/>
      <w:marBottom w:val="0"/>
      <w:divBdr>
        <w:top w:val="none" w:sz="0" w:space="0" w:color="auto"/>
        <w:left w:val="none" w:sz="0" w:space="0" w:color="auto"/>
        <w:bottom w:val="none" w:sz="0" w:space="0" w:color="auto"/>
        <w:right w:val="none" w:sz="0" w:space="0" w:color="auto"/>
      </w:divBdr>
    </w:div>
    <w:div w:id="656618870">
      <w:bodyDiv w:val="1"/>
      <w:marLeft w:val="0"/>
      <w:marRight w:val="0"/>
      <w:marTop w:val="0"/>
      <w:marBottom w:val="0"/>
      <w:divBdr>
        <w:top w:val="none" w:sz="0" w:space="0" w:color="auto"/>
        <w:left w:val="none" w:sz="0" w:space="0" w:color="auto"/>
        <w:bottom w:val="none" w:sz="0" w:space="0" w:color="auto"/>
        <w:right w:val="none" w:sz="0" w:space="0" w:color="auto"/>
      </w:divBdr>
    </w:div>
    <w:div w:id="748426526">
      <w:bodyDiv w:val="1"/>
      <w:marLeft w:val="0"/>
      <w:marRight w:val="0"/>
      <w:marTop w:val="0"/>
      <w:marBottom w:val="0"/>
      <w:divBdr>
        <w:top w:val="none" w:sz="0" w:space="0" w:color="auto"/>
        <w:left w:val="none" w:sz="0" w:space="0" w:color="auto"/>
        <w:bottom w:val="none" w:sz="0" w:space="0" w:color="auto"/>
        <w:right w:val="none" w:sz="0" w:space="0" w:color="auto"/>
      </w:divBdr>
    </w:div>
    <w:div w:id="778260610">
      <w:bodyDiv w:val="1"/>
      <w:marLeft w:val="0"/>
      <w:marRight w:val="0"/>
      <w:marTop w:val="0"/>
      <w:marBottom w:val="0"/>
      <w:divBdr>
        <w:top w:val="none" w:sz="0" w:space="0" w:color="auto"/>
        <w:left w:val="none" w:sz="0" w:space="0" w:color="auto"/>
        <w:bottom w:val="none" w:sz="0" w:space="0" w:color="auto"/>
        <w:right w:val="none" w:sz="0" w:space="0" w:color="auto"/>
      </w:divBdr>
    </w:div>
    <w:div w:id="888305896">
      <w:bodyDiv w:val="1"/>
      <w:marLeft w:val="0"/>
      <w:marRight w:val="0"/>
      <w:marTop w:val="0"/>
      <w:marBottom w:val="0"/>
      <w:divBdr>
        <w:top w:val="none" w:sz="0" w:space="0" w:color="auto"/>
        <w:left w:val="none" w:sz="0" w:space="0" w:color="auto"/>
        <w:bottom w:val="none" w:sz="0" w:space="0" w:color="auto"/>
        <w:right w:val="none" w:sz="0" w:space="0" w:color="auto"/>
      </w:divBdr>
    </w:div>
    <w:div w:id="959458904">
      <w:bodyDiv w:val="1"/>
      <w:marLeft w:val="0"/>
      <w:marRight w:val="0"/>
      <w:marTop w:val="0"/>
      <w:marBottom w:val="0"/>
      <w:divBdr>
        <w:top w:val="none" w:sz="0" w:space="0" w:color="auto"/>
        <w:left w:val="none" w:sz="0" w:space="0" w:color="auto"/>
        <w:bottom w:val="none" w:sz="0" w:space="0" w:color="auto"/>
        <w:right w:val="none" w:sz="0" w:space="0" w:color="auto"/>
      </w:divBdr>
    </w:div>
    <w:div w:id="1000237064">
      <w:bodyDiv w:val="1"/>
      <w:marLeft w:val="0"/>
      <w:marRight w:val="0"/>
      <w:marTop w:val="0"/>
      <w:marBottom w:val="0"/>
      <w:divBdr>
        <w:top w:val="none" w:sz="0" w:space="0" w:color="auto"/>
        <w:left w:val="none" w:sz="0" w:space="0" w:color="auto"/>
        <w:bottom w:val="none" w:sz="0" w:space="0" w:color="auto"/>
        <w:right w:val="none" w:sz="0" w:space="0" w:color="auto"/>
      </w:divBdr>
      <w:divsChild>
        <w:div w:id="665523743">
          <w:marLeft w:val="0"/>
          <w:marRight w:val="0"/>
          <w:marTop w:val="0"/>
          <w:marBottom w:val="0"/>
          <w:divBdr>
            <w:top w:val="none" w:sz="0" w:space="0" w:color="auto"/>
            <w:left w:val="none" w:sz="0" w:space="0" w:color="auto"/>
            <w:bottom w:val="none" w:sz="0" w:space="0" w:color="auto"/>
            <w:right w:val="none" w:sz="0" w:space="0" w:color="auto"/>
          </w:divBdr>
          <w:divsChild>
            <w:div w:id="833956644">
              <w:marLeft w:val="0"/>
              <w:marRight w:val="0"/>
              <w:marTop w:val="0"/>
              <w:marBottom w:val="0"/>
              <w:divBdr>
                <w:top w:val="none" w:sz="0" w:space="0" w:color="auto"/>
                <w:left w:val="none" w:sz="0" w:space="0" w:color="auto"/>
                <w:bottom w:val="none" w:sz="0" w:space="0" w:color="auto"/>
                <w:right w:val="none" w:sz="0" w:space="0" w:color="auto"/>
              </w:divBdr>
              <w:divsChild>
                <w:div w:id="1430002731">
                  <w:marLeft w:val="0"/>
                  <w:marRight w:val="0"/>
                  <w:marTop w:val="0"/>
                  <w:marBottom w:val="0"/>
                  <w:divBdr>
                    <w:top w:val="none" w:sz="0" w:space="0" w:color="auto"/>
                    <w:left w:val="none" w:sz="0" w:space="0" w:color="auto"/>
                    <w:bottom w:val="none" w:sz="0" w:space="0" w:color="auto"/>
                    <w:right w:val="none" w:sz="0" w:space="0" w:color="auto"/>
                  </w:divBdr>
                  <w:divsChild>
                    <w:div w:id="677511934">
                      <w:marLeft w:val="0"/>
                      <w:marRight w:val="0"/>
                      <w:marTop w:val="0"/>
                      <w:marBottom w:val="0"/>
                      <w:divBdr>
                        <w:top w:val="none" w:sz="0" w:space="0" w:color="auto"/>
                        <w:left w:val="none" w:sz="0" w:space="0" w:color="auto"/>
                        <w:bottom w:val="none" w:sz="0" w:space="0" w:color="auto"/>
                        <w:right w:val="none" w:sz="0" w:space="0" w:color="auto"/>
                      </w:divBdr>
                      <w:divsChild>
                        <w:div w:id="8738861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81664">
      <w:bodyDiv w:val="1"/>
      <w:marLeft w:val="0"/>
      <w:marRight w:val="0"/>
      <w:marTop w:val="0"/>
      <w:marBottom w:val="0"/>
      <w:divBdr>
        <w:top w:val="none" w:sz="0" w:space="0" w:color="auto"/>
        <w:left w:val="none" w:sz="0" w:space="0" w:color="auto"/>
        <w:bottom w:val="none" w:sz="0" w:space="0" w:color="auto"/>
        <w:right w:val="none" w:sz="0" w:space="0" w:color="auto"/>
      </w:divBdr>
    </w:div>
    <w:div w:id="1259217835">
      <w:bodyDiv w:val="1"/>
      <w:marLeft w:val="0"/>
      <w:marRight w:val="0"/>
      <w:marTop w:val="0"/>
      <w:marBottom w:val="0"/>
      <w:divBdr>
        <w:top w:val="none" w:sz="0" w:space="0" w:color="auto"/>
        <w:left w:val="none" w:sz="0" w:space="0" w:color="auto"/>
        <w:bottom w:val="none" w:sz="0" w:space="0" w:color="auto"/>
        <w:right w:val="none" w:sz="0" w:space="0" w:color="auto"/>
      </w:divBdr>
    </w:div>
    <w:div w:id="1318996196">
      <w:bodyDiv w:val="1"/>
      <w:marLeft w:val="0"/>
      <w:marRight w:val="0"/>
      <w:marTop w:val="0"/>
      <w:marBottom w:val="0"/>
      <w:divBdr>
        <w:top w:val="none" w:sz="0" w:space="0" w:color="auto"/>
        <w:left w:val="none" w:sz="0" w:space="0" w:color="auto"/>
        <w:bottom w:val="none" w:sz="0" w:space="0" w:color="auto"/>
        <w:right w:val="none" w:sz="0" w:space="0" w:color="auto"/>
      </w:divBdr>
    </w:div>
    <w:div w:id="1322194161">
      <w:bodyDiv w:val="1"/>
      <w:marLeft w:val="0"/>
      <w:marRight w:val="0"/>
      <w:marTop w:val="0"/>
      <w:marBottom w:val="0"/>
      <w:divBdr>
        <w:top w:val="none" w:sz="0" w:space="0" w:color="auto"/>
        <w:left w:val="none" w:sz="0" w:space="0" w:color="auto"/>
        <w:bottom w:val="none" w:sz="0" w:space="0" w:color="auto"/>
        <w:right w:val="none" w:sz="0" w:space="0" w:color="auto"/>
      </w:divBdr>
    </w:div>
    <w:div w:id="1373458176">
      <w:bodyDiv w:val="1"/>
      <w:marLeft w:val="0"/>
      <w:marRight w:val="0"/>
      <w:marTop w:val="0"/>
      <w:marBottom w:val="0"/>
      <w:divBdr>
        <w:top w:val="none" w:sz="0" w:space="0" w:color="auto"/>
        <w:left w:val="none" w:sz="0" w:space="0" w:color="auto"/>
        <w:bottom w:val="none" w:sz="0" w:space="0" w:color="auto"/>
        <w:right w:val="none" w:sz="0" w:space="0" w:color="auto"/>
      </w:divBdr>
      <w:divsChild>
        <w:div w:id="1675646620">
          <w:marLeft w:val="0"/>
          <w:marRight w:val="0"/>
          <w:marTop w:val="0"/>
          <w:marBottom w:val="0"/>
          <w:divBdr>
            <w:top w:val="none" w:sz="0" w:space="0" w:color="auto"/>
            <w:left w:val="none" w:sz="0" w:space="0" w:color="auto"/>
            <w:bottom w:val="none" w:sz="0" w:space="0" w:color="auto"/>
            <w:right w:val="none" w:sz="0" w:space="0" w:color="auto"/>
          </w:divBdr>
          <w:divsChild>
            <w:div w:id="480385242">
              <w:marLeft w:val="0"/>
              <w:marRight w:val="0"/>
              <w:marTop w:val="0"/>
              <w:marBottom w:val="0"/>
              <w:divBdr>
                <w:top w:val="none" w:sz="0" w:space="0" w:color="auto"/>
                <w:left w:val="none" w:sz="0" w:space="0" w:color="auto"/>
                <w:bottom w:val="none" w:sz="0" w:space="0" w:color="auto"/>
                <w:right w:val="none" w:sz="0" w:space="0" w:color="auto"/>
              </w:divBdr>
              <w:divsChild>
                <w:div w:id="21592830">
                  <w:marLeft w:val="0"/>
                  <w:marRight w:val="0"/>
                  <w:marTop w:val="0"/>
                  <w:marBottom w:val="0"/>
                  <w:divBdr>
                    <w:top w:val="none" w:sz="0" w:space="0" w:color="auto"/>
                    <w:left w:val="none" w:sz="0" w:space="0" w:color="auto"/>
                    <w:bottom w:val="none" w:sz="0" w:space="0" w:color="auto"/>
                    <w:right w:val="none" w:sz="0" w:space="0" w:color="auto"/>
                  </w:divBdr>
                  <w:divsChild>
                    <w:div w:id="1446390063">
                      <w:marLeft w:val="0"/>
                      <w:marRight w:val="0"/>
                      <w:marTop w:val="0"/>
                      <w:marBottom w:val="0"/>
                      <w:divBdr>
                        <w:top w:val="none" w:sz="0" w:space="0" w:color="auto"/>
                        <w:left w:val="none" w:sz="0" w:space="0" w:color="auto"/>
                        <w:bottom w:val="none" w:sz="0" w:space="0" w:color="auto"/>
                        <w:right w:val="none" w:sz="0" w:space="0" w:color="auto"/>
                      </w:divBdr>
                      <w:divsChild>
                        <w:div w:id="938705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78928">
      <w:bodyDiv w:val="1"/>
      <w:marLeft w:val="0"/>
      <w:marRight w:val="0"/>
      <w:marTop w:val="0"/>
      <w:marBottom w:val="0"/>
      <w:divBdr>
        <w:top w:val="none" w:sz="0" w:space="0" w:color="auto"/>
        <w:left w:val="none" w:sz="0" w:space="0" w:color="auto"/>
        <w:bottom w:val="none" w:sz="0" w:space="0" w:color="auto"/>
        <w:right w:val="none" w:sz="0" w:space="0" w:color="auto"/>
      </w:divBdr>
      <w:divsChild>
        <w:div w:id="223763478">
          <w:marLeft w:val="0"/>
          <w:marRight w:val="0"/>
          <w:marTop w:val="0"/>
          <w:marBottom w:val="0"/>
          <w:divBdr>
            <w:top w:val="none" w:sz="0" w:space="0" w:color="auto"/>
            <w:left w:val="none" w:sz="0" w:space="0" w:color="auto"/>
            <w:bottom w:val="none" w:sz="0" w:space="0" w:color="auto"/>
            <w:right w:val="none" w:sz="0" w:space="0" w:color="auto"/>
          </w:divBdr>
          <w:divsChild>
            <w:div w:id="1352560838">
              <w:marLeft w:val="0"/>
              <w:marRight w:val="0"/>
              <w:marTop w:val="0"/>
              <w:marBottom w:val="0"/>
              <w:divBdr>
                <w:top w:val="none" w:sz="0" w:space="0" w:color="auto"/>
                <w:left w:val="none" w:sz="0" w:space="0" w:color="auto"/>
                <w:bottom w:val="none" w:sz="0" w:space="0" w:color="auto"/>
                <w:right w:val="none" w:sz="0" w:space="0" w:color="auto"/>
              </w:divBdr>
              <w:divsChild>
                <w:div w:id="2091584765">
                  <w:marLeft w:val="0"/>
                  <w:marRight w:val="0"/>
                  <w:marTop w:val="0"/>
                  <w:marBottom w:val="0"/>
                  <w:divBdr>
                    <w:top w:val="none" w:sz="0" w:space="0" w:color="auto"/>
                    <w:left w:val="none" w:sz="0" w:space="0" w:color="auto"/>
                    <w:bottom w:val="none" w:sz="0" w:space="0" w:color="auto"/>
                    <w:right w:val="none" w:sz="0" w:space="0" w:color="auto"/>
                  </w:divBdr>
                  <w:divsChild>
                    <w:div w:id="2003728452">
                      <w:marLeft w:val="0"/>
                      <w:marRight w:val="0"/>
                      <w:marTop w:val="0"/>
                      <w:marBottom w:val="0"/>
                      <w:divBdr>
                        <w:top w:val="none" w:sz="0" w:space="0" w:color="auto"/>
                        <w:left w:val="none" w:sz="0" w:space="0" w:color="auto"/>
                        <w:bottom w:val="none" w:sz="0" w:space="0" w:color="auto"/>
                        <w:right w:val="none" w:sz="0" w:space="0" w:color="auto"/>
                      </w:divBdr>
                      <w:divsChild>
                        <w:div w:id="7542786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841138">
      <w:bodyDiv w:val="1"/>
      <w:marLeft w:val="0"/>
      <w:marRight w:val="0"/>
      <w:marTop w:val="0"/>
      <w:marBottom w:val="0"/>
      <w:divBdr>
        <w:top w:val="none" w:sz="0" w:space="0" w:color="auto"/>
        <w:left w:val="none" w:sz="0" w:space="0" w:color="auto"/>
        <w:bottom w:val="none" w:sz="0" w:space="0" w:color="auto"/>
        <w:right w:val="none" w:sz="0" w:space="0" w:color="auto"/>
      </w:divBdr>
    </w:div>
    <w:div w:id="1752121307">
      <w:bodyDiv w:val="1"/>
      <w:marLeft w:val="0"/>
      <w:marRight w:val="0"/>
      <w:marTop w:val="0"/>
      <w:marBottom w:val="0"/>
      <w:divBdr>
        <w:top w:val="none" w:sz="0" w:space="0" w:color="auto"/>
        <w:left w:val="none" w:sz="0" w:space="0" w:color="auto"/>
        <w:bottom w:val="none" w:sz="0" w:space="0" w:color="auto"/>
        <w:right w:val="none" w:sz="0" w:space="0" w:color="auto"/>
      </w:divBdr>
    </w:div>
    <w:div w:id="17618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rts.ofsted.gov.uk/inspection-reports/find-inspection-report/provider/ELS/120399" TargetMode="External"/><Relationship Id="rId18" Type="http://schemas.openxmlformats.org/officeDocument/2006/relationships/hyperlink" Target="https://reports.ofsted.gov.uk/inspection-reports/find-inspection-report/provider/ELS/136358" TargetMode="External"/><Relationship Id="rId26" Type="http://schemas.openxmlformats.org/officeDocument/2006/relationships/header" Target="header2.xml"/><Relationship Id="rId39" Type="http://schemas.openxmlformats.org/officeDocument/2006/relationships/hyperlink" Target="http://www.ofsted.gov.uk/inspection-reports/find-inspection-report/provider/ELS/135241" TargetMode="External"/><Relationship Id="rId21" Type="http://schemas.openxmlformats.org/officeDocument/2006/relationships/hyperlink" Target="https://reports.ofsted.gov.uk/inspection-reports/find-inspection-report/provider/ELS/135433" TargetMode="External"/><Relationship Id="rId34" Type="http://schemas.openxmlformats.org/officeDocument/2006/relationships/hyperlink" Target="http://www.ofsted.gov.uk/inspection-reports/find-inspection-report/provider/ELS/70018" TargetMode="External"/><Relationship Id="rId42" Type="http://schemas.openxmlformats.org/officeDocument/2006/relationships/hyperlink" Target="http://www.ofsted.gov.uk/inspection-reports/find-inspection-report/provider/ELS/70163" TargetMode="External"/><Relationship Id="rId47" Type="http://schemas.openxmlformats.org/officeDocument/2006/relationships/hyperlink" Target="http://www.ofsted.gov.uk/inspection-reports/find-inspection-report/provider/ELS/135217" TargetMode="External"/><Relationship Id="rId50" Type="http://schemas.openxmlformats.org/officeDocument/2006/relationships/hyperlink" Target="http://www.ofsted.gov.uk/inspection-reports/find-inspection-report/provider/ELS/136358" TargetMode="External"/><Relationship Id="rId55" Type="http://schemas.openxmlformats.org/officeDocument/2006/relationships/hyperlink" Target="http://www.ofsted.gov.uk/inspection-reports/find-inspection-report/provider/ELS/139625" TargetMode="External"/><Relationship Id="rId63" Type="http://schemas.openxmlformats.org/officeDocument/2006/relationships/hyperlink" Target="http://www.ofsted.gov.uk/inspection-reports/find-inspection-report/provider/ELS/137875" TargetMode="External"/><Relationship Id="rId68" Type="http://schemas.openxmlformats.org/officeDocument/2006/relationships/hyperlink" Target="http://www.ofsted.gov.uk/inspection-reports/find-inspection-report/provider/ELS/131018" TargetMode="External"/><Relationship Id="rId7" Type="http://schemas.openxmlformats.org/officeDocument/2006/relationships/hyperlink" Target="http://www.gov.uk/ofsted"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ports.ofsted.gov.uk/inspection-reports/find-inspection-report/provider/ELS/112779"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rts.ofsted.gov.uk/inspection-reports/find-inspection-report/provider/ELS/120681" TargetMode="External"/><Relationship Id="rId24" Type="http://schemas.openxmlformats.org/officeDocument/2006/relationships/hyperlink" Target="https://reports.ofsted.gov.uk/inspection-reports/find-inspection-report/provider/ELS/133585" TargetMode="External"/><Relationship Id="rId32" Type="http://schemas.openxmlformats.org/officeDocument/2006/relationships/hyperlink" Target="http://www.ofsted.gov.uk/inspection-reports/find-inspection-report/provider/ELS/112779" TargetMode="External"/><Relationship Id="rId37" Type="http://schemas.openxmlformats.org/officeDocument/2006/relationships/hyperlink" Target="http://www.ofsted.gov.uk/inspection-reports/find-inspection-report/provider/ELS/141994" TargetMode="External"/><Relationship Id="rId40" Type="http://schemas.openxmlformats.org/officeDocument/2006/relationships/hyperlink" Target="http://www.ofsted.gov.uk/inspection-reports/find-inspection-report/provider/ELS/135530" TargetMode="External"/><Relationship Id="rId45" Type="http://schemas.openxmlformats.org/officeDocument/2006/relationships/hyperlink" Target="http://www.ofsted.gov.uk/inspection-reports/find-inspection-report/provider/ELS/137905" TargetMode="External"/><Relationship Id="rId53" Type="http://schemas.openxmlformats.org/officeDocument/2006/relationships/hyperlink" Target="http://www.ofsted.gov.uk/inspection-reports/find-inspection-report/provider/ELS/137327" TargetMode="External"/><Relationship Id="rId58" Type="http://schemas.openxmlformats.org/officeDocument/2006/relationships/hyperlink" Target="http://www.ofsted.gov.uk/inspection-reports/find-inspection-report/provider/ELS/120681" TargetMode="External"/><Relationship Id="rId66" Type="http://schemas.openxmlformats.org/officeDocument/2006/relationships/hyperlink" Target="http://www.ofsted.gov.uk/inspection-reports/find-inspection-report/provider/ELS/120185" TargetMode="External"/><Relationship Id="rId5" Type="http://schemas.openxmlformats.org/officeDocument/2006/relationships/footnotes" Target="footnotes.xml"/><Relationship Id="rId15" Type="http://schemas.openxmlformats.org/officeDocument/2006/relationships/hyperlink" Target="https://reports.ofsted.gov.uk/inspection-reports/find-inspection-report/provider/ELS/113047" TargetMode="External"/><Relationship Id="rId23" Type="http://schemas.openxmlformats.org/officeDocument/2006/relationships/hyperlink" Target="https://reports.ofsted.gov.uk/inspection-reports/find-inspection-report/provider/ELS/120399" TargetMode="External"/><Relationship Id="rId28" Type="http://schemas.openxmlformats.org/officeDocument/2006/relationships/footer" Target="footer2.xml"/><Relationship Id="rId36" Type="http://schemas.openxmlformats.org/officeDocument/2006/relationships/hyperlink" Target="http://www.ofsted.gov.uk/inspection-reports/find-inspection-report/provider/ELS/112969" TargetMode="External"/><Relationship Id="rId49" Type="http://schemas.openxmlformats.org/officeDocument/2006/relationships/hyperlink" Target="http://www.ofsted.gov.uk/inspection-reports/find-inspection-report/provider/ELS/138291" TargetMode="External"/><Relationship Id="rId57" Type="http://schemas.openxmlformats.org/officeDocument/2006/relationships/hyperlink" Target="http://www.ofsted.gov.uk/inspection-reports/find-inspection-report/provider/ELS/120614" TargetMode="External"/><Relationship Id="rId61" Type="http://schemas.openxmlformats.org/officeDocument/2006/relationships/hyperlink" Target="http://www.ofsted.gov.uk/inspection-reports/find-inspection-report/provider/ELS/121966" TargetMode="External"/><Relationship Id="rId10" Type="http://schemas.openxmlformats.org/officeDocument/2006/relationships/hyperlink" Target="https://www.gov.uk/government/publications/quality-of-education-in-northamptonshire" TargetMode="External"/><Relationship Id="rId19" Type="http://schemas.openxmlformats.org/officeDocument/2006/relationships/hyperlink" Target="https://reports.ofsted.gov.uk/provider/files/2594409/urn/121959.pdf" TargetMode="External"/><Relationship Id="rId31" Type="http://schemas.openxmlformats.org/officeDocument/2006/relationships/hyperlink" Target="http://www.ofsted.gov.uk/inspection-reports/find-inspection-report/provider/ELS/113047" TargetMode="External"/><Relationship Id="rId44" Type="http://schemas.openxmlformats.org/officeDocument/2006/relationships/hyperlink" Target="http://www.ofsted.gov.uk/inspection-reports/find-inspection-report/provider/ELS/138156" TargetMode="External"/><Relationship Id="rId52" Type="http://schemas.openxmlformats.org/officeDocument/2006/relationships/hyperlink" Target="http://www.ofsted.gov.uk/inspection-reports/find-inspection-report/provider/ELS/138637" TargetMode="External"/><Relationship Id="rId60" Type="http://schemas.openxmlformats.org/officeDocument/2006/relationships/hyperlink" Target="http://www.ofsted.gov.uk/inspection-reports/find-inspection-report/provider/ELS/121959" TargetMode="External"/><Relationship Id="rId65" Type="http://schemas.openxmlformats.org/officeDocument/2006/relationships/hyperlink" Target="http://www.ofsted.gov.uk/inspection-reports/find-inspection-report/provider/ELS/70338" TargetMode="External"/><Relationship Id="rId4" Type="http://schemas.openxmlformats.org/officeDocument/2006/relationships/webSettings" Target="webSettings.xml"/><Relationship Id="rId9" Type="http://schemas.openxmlformats.org/officeDocument/2006/relationships/hyperlink" Target="https://www.gov.uk/government/collections/ofsted-annual-report-201516" TargetMode="External"/><Relationship Id="rId14" Type="http://schemas.openxmlformats.org/officeDocument/2006/relationships/hyperlink" Target="https://reports.ofsted.gov.uk/inspection-reports/find-inspection-report/provider/ELS/120355" TargetMode="External"/><Relationship Id="rId22" Type="http://schemas.openxmlformats.org/officeDocument/2006/relationships/hyperlink" Target="https://reports.ofsted.gov.uk/inspection-reports/find-inspection-report/provider/ELS/120281"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ww.ofsted.gov.uk/inspection-reports/find-inspection-report/provider/ELS/112932" TargetMode="External"/><Relationship Id="rId43" Type="http://schemas.openxmlformats.org/officeDocument/2006/relationships/hyperlink" Target="http://www.ofsted.gov.uk/inspection-reports/find-inspection-report/provider/ELS/70040" TargetMode="External"/><Relationship Id="rId48" Type="http://schemas.openxmlformats.org/officeDocument/2006/relationships/hyperlink" Target="http://www.ofsted.gov.uk/inspection-reports/find-inspection-report/provider/ELS/120173" TargetMode="External"/><Relationship Id="rId56" Type="http://schemas.openxmlformats.org/officeDocument/2006/relationships/hyperlink" Target="http://www.ofsted.gov.uk/inspection-reports/find-inspection-report/provider/ELS/120755" TargetMode="External"/><Relationship Id="rId64" Type="http://schemas.openxmlformats.org/officeDocument/2006/relationships/hyperlink" Target="http://www.ofsted.gov.uk/inspection-reports/find-inspection-report/provider/ELS/138340" TargetMode="External"/><Relationship Id="rId69" Type="http://schemas.openxmlformats.org/officeDocument/2006/relationships/hyperlink" Target="https://public.tableau.com/views/Dataview/Viewregionalperformanceovertime" TargetMode="External"/><Relationship Id="rId8" Type="http://schemas.openxmlformats.org/officeDocument/2006/relationships/hyperlink" Target="mailto:pressenquiries@ofsted.gov.uk" TargetMode="External"/><Relationship Id="rId51" Type="http://schemas.openxmlformats.org/officeDocument/2006/relationships/hyperlink" Target="http://www.ofsted.gov.uk/inspection-reports/find-inspection-report/provider/ELS/120740"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eports.ofsted.gov.uk/inspection-reports/find-inspection-report/provider/ELS/112969" TargetMode="External"/><Relationship Id="rId17" Type="http://schemas.openxmlformats.org/officeDocument/2006/relationships/hyperlink" Target="https://reports.ofsted.gov.uk/inspection-reports/find-inspection-report/provider/ELS/121966" TargetMode="External"/><Relationship Id="rId25" Type="http://schemas.openxmlformats.org/officeDocument/2006/relationships/header" Target="header1.xml"/><Relationship Id="rId33" Type="http://schemas.openxmlformats.org/officeDocument/2006/relationships/hyperlink" Target="http://www.ofsted.gov.uk/inspection-reports/find-inspection-report/provider/ELS/70018" TargetMode="External"/><Relationship Id="rId38" Type="http://schemas.openxmlformats.org/officeDocument/2006/relationships/hyperlink" Target="http://www.ofsted.gov.uk/inspection-reports/find-inspection-report/provider/ELS/131327" TargetMode="External"/><Relationship Id="rId46" Type="http://schemas.openxmlformats.org/officeDocument/2006/relationships/hyperlink" Target="http://www.ofsted.gov.uk/inspection-reports/find-inspection-report/provider/ELS/136949" TargetMode="External"/><Relationship Id="rId59" Type="http://schemas.openxmlformats.org/officeDocument/2006/relationships/hyperlink" Target="http://www.ofsted.gov.uk/inspection-reports/find-inspection-report/provider/ELS/120364" TargetMode="External"/><Relationship Id="rId67" Type="http://schemas.openxmlformats.org/officeDocument/2006/relationships/hyperlink" Target="http://www.ofsted.gov.uk/inspection-reports/find-inspection-report/provider/ELS/120355" TargetMode="External"/><Relationship Id="rId20" Type="http://schemas.openxmlformats.org/officeDocument/2006/relationships/hyperlink" Target="https://reports.ofsted.gov.uk/provider/files/2593088/urn/120185.pdf" TargetMode="External"/><Relationship Id="rId41" Type="http://schemas.openxmlformats.org/officeDocument/2006/relationships/hyperlink" Target="http://www.ofsted.gov.uk/inspection-reports/find-inspection-report/provider/ELS/139983" TargetMode="External"/><Relationship Id="rId54" Type="http://schemas.openxmlformats.org/officeDocument/2006/relationships/hyperlink" Target="http://www.ofsted.gov.uk/inspection-reports/find-inspection-report/provider/ELS/120399" TargetMode="External"/><Relationship Id="rId62" Type="http://schemas.openxmlformats.org/officeDocument/2006/relationships/hyperlink" Target="http://www.ofsted.gov.uk/inspection-reports/find-inspection-report/provider/ELS/140051" TargetMode="External"/><Relationship Id="rId70"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4989</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2016-11-30T12:56:00Z</dcterms:created>
  <dcterms:modified xsi:type="dcterms:W3CDTF">2016-11-30T12:56:00Z</dcterms:modified>
</cp:coreProperties>
</file>