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Tr="00CF776B">
        <w:trPr>
          <w:cantSplit/>
          <w:trHeight w:val="1361"/>
        </w:trPr>
        <w:tc>
          <w:tcPr>
            <w:tcW w:w="7334" w:type="dxa"/>
            <w:gridSpan w:val="2"/>
            <w:tcBorders>
              <w:top w:val="nil"/>
            </w:tcBorders>
          </w:tcPr>
          <w:p w:rsidR="00AF6F11" w:rsidRDefault="00AF6F11" w:rsidP="00CF776B">
            <w:pPr>
              <w:rPr>
                <w:rFonts w:ascii="Arial" w:hAnsi="Arial"/>
                <w:color w:val="000000"/>
                <w:sz w:val="22"/>
              </w:rPr>
            </w:pPr>
            <w:bookmarkStart w:id="0" w:name="_GoBack"/>
            <w:bookmarkEnd w:id="0"/>
            <w:r w:rsidRPr="00C8797E">
              <w:rPr>
                <w:rFonts w:ascii="Arial" w:hAnsi="Arial"/>
                <w:color w:val="000000"/>
                <w:sz w:val="22"/>
              </w:rPr>
              <w:t xml:space="preserve">   </w:t>
            </w:r>
            <w:r w:rsidR="009E0077" w:rsidRPr="0058203E">
              <w:rPr>
                <w:rFonts w:ascii="Arial" w:hAnsi="Arial"/>
                <w:noProof/>
                <w:color w:val="000000"/>
                <w:sz w:val="22"/>
              </w:rPr>
              <w:drawing>
                <wp:inline distT="0" distB="0" distL="0" distR="0">
                  <wp:extent cx="1416685" cy="1115060"/>
                  <wp:effectExtent l="0" t="0" r="0" b="8890"/>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685" cy="1115060"/>
                          </a:xfrm>
                          <a:prstGeom prst="rect">
                            <a:avLst/>
                          </a:prstGeom>
                          <a:noFill/>
                          <a:ln>
                            <a:noFill/>
                          </a:ln>
                        </pic:spPr>
                      </pic:pic>
                    </a:graphicData>
                  </a:graphic>
                </wp:inline>
              </w:drawing>
            </w:r>
          </w:p>
          <w:p w:rsidR="0058203E" w:rsidRPr="00C8797E" w:rsidRDefault="0058203E" w:rsidP="00CF776B">
            <w:pPr>
              <w:rPr>
                <w:rFonts w:ascii="Arial" w:hAnsi="Arial"/>
                <w:color w:val="000000"/>
                <w:sz w:val="22"/>
              </w:rPr>
            </w:pPr>
          </w:p>
        </w:tc>
        <w:tc>
          <w:tcPr>
            <w:tcW w:w="180" w:type="dxa"/>
          </w:tcPr>
          <w:p w:rsidR="00AF6F11" w:rsidRPr="00C8797E" w:rsidRDefault="00AF6F11" w:rsidP="00CF776B">
            <w:pPr>
              <w:pStyle w:val="MOJnormal"/>
              <w:rPr>
                <w:color w:val="000000"/>
                <w:sz w:val="22"/>
              </w:rPr>
            </w:pPr>
          </w:p>
        </w:tc>
        <w:tc>
          <w:tcPr>
            <w:tcW w:w="3145" w:type="dxa"/>
            <w:vMerge w:val="restart"/>
            <w:tcBorders>
              <w:top w:val="nil"/>
            </w:tcBorders>
          </w:tcPr>
          <w:p w:rsidR="00AF6F11" w:rsidRPr="00924204" w:rsidRDefault="00AF6F11" w:rsidP="00334029">
            <w:pPr>
              <w:tabs>
                <w:tab w:val="left" w:pos="170"/>
              </w:tabs>
              <w:rPr>
                <w:rFonts w:ascii="Arial" w:hAnsi="Arial"/>
                <w:b/>
                <w:sz w:val="20"/>
                <w:szCs w:val="20"/>
              </w:rPr>
            </w:pPr>
          </w:p>
        </w:tc>
      </w:tr>
      <w:tr w:rsidR="00AF6F11" w:rsidTr="00CF776B">
        <w:trPr>
          <w:cantSplit/>
          <w:trHeight w:val="1259"/>
        </w:trPr>
        <w:tc>
          <w:tcPr>
            <w:tcW w:w="1214" w:type="dxa"/>
          </w:tcPr>
          <w:p w:rsidR="00AF6F11" w:rsidRPr="00334029" w:rsidRDefault="00AF6F11" w:rsidP="00CF776B">
            <w:pPr>
              <w:pStyle w:val="MOJtext-otheraddress"/>
              <w:rPr>
                <w:rFonts w:cs="Arial"/>
                <w:color w:val="000000"/>
                <w:sz w:val="22"/>
              </w:rPr>
            </w:pPr>
          </w:p>
        </w:tc>
        <w:tc>
          <w:tcPr>
            <w:tcW w:w="6120" w:type="dxa"/>
          </w:tcPr>
          <w:p w:rsidR="00AF6F11" w:rsidRPr="00334029" w:rsidRDefault="00AF6F11" w:rsidP="00CF776B">
            <w:pPr>
              <w:spacing w:line="280" w:lineRule="atLeast"/>
              <w:rPr>
                <w:rFonts w:ascii="Arial" w:hAnsi="Arial" w:cs="Arial"/>
                <w:color w:val="000000"/>
              </w:rPr>
            </w:pPr>
          </w:p>
        </w:tc>
        <w:tc>
          <w:tcPr>
            <w:tcW w:w="180" w:type="dxa"/>
          </w:tcPr>
          <w:p w:rsidR="00AF6F11" w:rsidRPr="00C8797E" w:rsidRDefault="00AF6F11" w:rsidP="00CF776B">
            <w:pPr>
              <w:pStyle w:val="MOJnormal"/>
              <w:rPr>
                <w:color w:val="000000"/>
                <w:sz w:val="22"/>
              </w:rPr>
            </w:pPr>
          </w:p>
        </w:tc>
        <w:tc>
          <w:tcPr>
            <w:tcW w:w="3145" w:type="dxa"/>
            <w:vMerge/>
          </w:tcPr>
          <w:p w:rsidR="00AF6F11" w:rsidRPr="00C8797E" w:rsidRDefault="00AF6F11" w:rsidP="00CF776B">
            <w:pPr>
              <w:pStyle w:val="MOJtext-otheraddress"/>
              <w:rPr>
                <w:color w:val="000000"/>
                <w:sz w:val="22"/>
              </w:rPr>
            </w:pPr>
          </w:p>
        </w:tc>
      </w:tr>
      <w:tr w:rsidR="00AF6F11" w:rsidRPr="00C836A1" w:rsidTr="00CF776B">
        <w:trPr>
          <w:cantSplit/>
          <w:trHeight w:val="73"/>
        </w:trPr>
        <w:tc>
          <w:tcPr>
            <w:tcW w:w="1214" w:type="dxa"/>
          </w:tcPr>
          <w:p w:rsidR="00AF6F11" w:rsidRPr="00C836A1" w:rsidRDefault="00AF6F11" w:rsidP="00CF776B">
            <w:pPr>
              <w:pStyle w:val="MOJnormal"/>
              <w:rPr>
                <w:sz w:val="22"/>
                <w:szCs w:val="22"/>
              </w:rPr>
            </w:pPr>
          </w:p>
        </w:tc>
        <w:tc>
          <w:tcPr>
            <w:tcW w:w="6120" w:type="dxa"/>
          </w:tcPr>
          <w:p w:rsidR="00AF6F11" w:rsidRPr="00C836A1" w:rsidRDefault="00AF6F11" w:rsidP="00CF776B">
            <w:pPr>
              <w:spacing w:line="280" w:lineRule="atLeast"/>
              <w:rPr>
                <w:rFonts w:ascii="Arial" w:hAnsi="Arial"/>
                <w:i/>
                <w:sz w:val="22"/>
                <w:szCs w:val="22"/>
              </w:rPr>
            </w:pPr>
            <w:r w:rsidRPr="00C836A1">
              <w:rPr>
                <w:rFonts w:ascii="Arial" w:hAnsi="Arial"/>
                <w:b/>
                <w:sz w:val="22"/>
                <w:szCs w:val="22"/>
              </w:rPr>
              <w:t>Our Reference:</w:t>
            </w:r>
            <w:r w:rsidRPr="00C836A1">
              <w:rPr>
                <w:rFonts w:ascii="Arial" w:hAnsi="Arial"/>
                <w:sz w:val="22"/>
                <w:szCs w:val="22"/>
              </w:rPr>
              <w:t xml:space="preserve"> </w:t>
            </w:r>
            <w:r w:rsidR="00334029" w:rsidRPr="00C836A1">
              <w:rPr>
                <w:rFonts w:ascii="Arial" w:hAnsi="Arial"/>
                <w:sz w:val="22"/>
                <w:szCs w:val="22"/>
              </w:rPr>
              <w:t>107727</w:t>
            </w:r>
          </w:p>
        </w:tc>
        <w:tc>
          <w:tcPr>
            <w:tcW w:w="180" w:type="dxa"/>
          </w:tcPr>
          <w:p w:rsidR="00AF6F11" w:rsidRPr="00C836A1" w:rsidRDefault="00AF6F11" w:rsidP="00CF776B">
            <w:pPr>
              <w:spacing w:line="280" w:lineRule="atLeast"/>
              <w:rPr>
                <w:rFonts w:ascii="Arial" w:hAnsi="Arial"/>
                <w:sz w:val="22"/>
                <w:szCs w:val="22"/>
              </w:rPr>
            </w:pPr>
            <w:r w:rsidRPr="00C836A1">
              <w:rPr>
                <w:rFonts w:ascii="Arial" w:hAnsi="Arial"/>
                <w:sz w:val="22"/>
                <w:szCs w:val="22"/>
              </w:rPr>
              <w:tab/>
            </w:r>
          </w:p>
        </w:tc>
        <w:tc>
          <w:tcPr>
            <w:tcW w:w="3145" w:type="dxa"/>
          </w:tcPr>
          <w:p w:rsidR="00AF6F11" w:rsidRPr="00C836A1" w:rsidRDefault="00594F72" w:rsidP="00CF776B">
            <w:pPr>
              <w:pStyle w:val="MOJnormal"/>
              <w:rPr>
                <w:sz w:val="22"/>
                <w:szCs w:val="22"/>
              </w:rPr>
            </w:pPr>
            <w:r>
              <w:rPr>
                <w:sz w:val="22"/>
                <w:szCs w:val="22"/>
              </w:rPr>
              <w:t xml:space="preserve"> October 2016</w:t>
            </w:r>
          </w:p>
        </w:tc>
      </w:tr>
      <w:tr w:rsidR="00C836A1" w:rsidTr="00CF776B">
        <w:trPr>
          <w:cantSplit/>
          <w:trHeight w:val="73"/>
        </w:trPr>
        <w:tc>
          <w:tcPr>
            <w:tcW w:w="1214" w:type="dxa"/>
          </w:tcPr>
          <w:p w:rsidR="00C836A1" w:rsidRPr="00C8797E" w:rsidRDefault="00C836A1" w:rsidP="00CF776B">
            <w:pPr>
              <w:pStyle w:val="MOJnormal"/>
              <w:rPr>
                <w:color w:val="000000"/>
                <w:sz w:val="22"/>
              </w:rPr>
            </w:pPr>
          </w:p>
        </w:tc>
        <w:tc>
          <w:tcPr>
            <w:tcW w:w="6120" w:type="dxa"/>
          </w:tcPr>
          <w:p w:rsidR="00C836A1" w:rsidRPr="00924204" w:rsidRDefault="00C836A1" w:rsidP="00CF776B">
            <w:pPr>
              <w:spacing w:line="280" w:lineRule="atLeast"/>
              <w:rPr>
                <w:rFonts w:ascii="Arial" w:hAnsi="Arial"/>
                <w:b/>
                <w:color w:val="000000"/>
              </w:rPr>
            </w:pPr>
          </w:p>
        </w:tc>
        <w:tc>
          <w:tcPr>
            <w:tcW w:w="180" w:type="dxa"/>
          </w:tcPr>
          <w:p w:rsidR="00C836A1" w:rsidRPr="00924204" w:rsidRDefault="00C836A1" w:rsidP="00CF776B">
            <w:pPr>
              <w:spacing w:line="280" w:lineRule="atLeast"/>
              <w:rPr>
                <w:rFonts w:ascii="Arial" w:hAnsi="Arial"/>
                <w:sz w:val="22"/>
              </w:rPr>
            </w:pPr>
          </w:p>
        </w:tc>
        <w:tc>
          <w:tcPr>
            <w:tcW w:w="3145" w:type="dxa"/>
          </w:tcPr>
          <w:p w:rsidR="00C836A1" w:rsidRPr="00924204" w:rsidRDefault="00C836A1" w:rsidP="00CF776B">
            <w:pPr>
              <w:pStyle w:val="MOJnormal"/>
              <w:rPr>
                <w:color w:val="0000FF"/>
                <w:sz w:val="22"/>
              </w:rPr>
            </w:pPr>
          </w:p>
        </w:tc>
      </w:tr>
    </w:tbl>
    <w:p w:rsidR="00E36BAC" w:rsidRDefault="00E36BAC"/>
    <w:p w:rsidR="00837883" w:rsidRDefault="00837883"/>
    <w:p w:rsidR="00837883" w:rsidRDefault="00837883" w:rsidP="0081625B">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 xml:space="preserve">Request </w:t>
      </w:r>
    </w:p>
    <w:p w:rsidR="005D0A14" w:rsidRDefault="005D0A14" w:rsidP="0081625B">
      <w:pPr>
        <w:rPr>
          <w:rFonts w:ascii="Arial" w:hAnsi="Arial" w:cs="Arial"/>
          <w:sz w:val="22"/>
          <w:szCs w:val="22"/>
        </w:rPr>
      </w:pPr>
    </w:p>
    <w:p w:rsidR="004D37F6" w:rsidRPr="00C836A1" w:rsidRDefault="004D37F6" w:rsidP="0081625B">
      <w:pPr>
        <w:rPr>
          <w:rFonts w:ascii="Arial" w:hAnsi="Arial" w:cs="Arial"/>
          <w:sz w:val="22"/>
          <w:szCs w:val="22"/>
        </w:rPr>
      </w:pPr>
      <w:r>
        <w:rPr>
          <w:rFonts w:ascii="Arial" w:hAnsi="Arial" w:cs="Arial"/>
          <w:sz w:val="22"/>
          <w:szCs w:val="22"/>
        </w:rPr>
        <w:t>You requested the following information</w:t>
      </w:r>
      <w:r w:rsidR="00D778AC">
        <w:rPr>
          <w:rFonts w:ascii="Arial" w:hAnsi="Arial" w:cs="Arial"/>
          <w:sz w:val="22"/>
          <w:szCs w:val="22"/>
        </w:rPr>
        <w:t xml:space="preserve"> from the Ministry of Justice (MOJ):</w:t>
      </w:r>
    </w:p>
    <w:p w:rsidR="0081625B" w:rsidRPr="00C836A1" w:rsidRDefault="0081625B" w:rsidP="0081625B">
      <w:pPr>
        <w:rPr>
          <w:rFonts w:ascii="Arial" w:hAnsi="Arial" w:cs="Arial"/>
          <w:sz w:val="22"/>
          <w:szCs w:val="22"/>
        </w:rPr>
      </w:pPr>
    </w:p>
    <w:p w:rsidR="00334029" w:rsidRPr="00851E4A" w:rsidRDefault="00334029" w:rsidP="00334029">
      <w:pPr>
        <w:pStyle w:val="ListParagraph"/>
        <w:numPr>
          <w:ilvl w:val="0"/>
          <w:numId w:val="6"/>
        </w:numPr>
        <w:rPr>
          <w:rFonts w:ascii="Arial" w:hAnsi="Arial" w:cs="Arial"/>
          <w:b/>
        </w:rPr>
      </w:pPr>
      <w:r w:rsidRPr="00851E4A">
        <w:rPr>
          <w:rFonts w:ascii="Arial" w:hAnsi="Arial" w:cs="Arial"/>
          <w:b/>
        </w:rPr>
        <w:t>Details of the instructions given to caseworkers since the start of 2016 as to granting or refusing funding applications;</w:t>
      </w:r>
    </w:p>
    <w:p w:rsidR="0081625B" w:rsidRPr="00851E4A" w:rsidRDefault="00334029" w:rsidP="00334029">
      <w:pPr>
        <w:pStyle w:val="ListParagraph"/>
        <w:numPr>
          <w:ilvl w:val="0"/>
          <w:numId w:val="6"/>
        </w:numPr>
        <w:rPr>
          <w:rFonts w:ascii="Arial" w:hAnsi="Arial" w:cs="Arial"/>
          <w:b/>
        </w:rPr>
      </w:pPr>
      <w:r w:rsidRPr="00851E4A">
        <w:rPr>
          <w:rFonts w:ascii="Arial" w:hAnsi="Arial" w:cs="Arial"/>
          <w:b/>
        </w:rPr>
        <w:t>Statistics as to the numbers or percentages of the total applications refused for funding in 2013, 2014, 2015, and 2016 to-date.</w:t>
      </w:r>
    </w:p>
    <w:p w:rsidR="0081625B" w:rsidRDefault="0081625B" w:rsidP="0081625B">
      <w:pPr>
        <w:jc w:val="center"/>
        <w:rPr>
          <w:rFonts w:ascii="Arial" w:hAnsi="Arial" w:cs="Arial"/>
          <w:sz w:val="22"/>
          <w:szCs w:val="22"/>
        </w:rPr>
      </w:pPr>
    </w:p>
    <w:p w:rsidR="0081625B" w:rsidRDefault="0081625B" w:rsidP="0081625B">
      <w:pPr>
        <w:rPr>
          <w:rFonts w:ascii="Arial" w:hAnsi="Arial" w:cs="Arial"/>
          <w:sz w:val="22"/>
          <w:szCs w:val="22"/>
        </w:rPr>
      </w:pPr>
      <w:r>
        <w:rPr>
          <w:rFonts w:ascii="Arial" w:hAnsi="Arial" w:cs="Arial"/>
          <w:sz w:val="22"/>
          <w:szCs w:val="22"/>
        </w:rPr>
        <w:t>Your request has been handled under the Freedom of Information Act 2000 (FOIA).</w:t>
      </w:r>
    </w:p>
    <w:p w:rsidR="0081625B" w:rsidRDefault="0081625B" w:rsidP="0081625B">
      <w:pPr>
        <w:rPr>
          <w:rFonts w:ascii="Arial" w:hAnsi="Arial" w:cs="Arial"/>
          <w:sz w:val="22"/>
          <w:szCs w:val="22"/>
        </w:rPr>
      </w:pPr>
    </w:p>
    <w:p w:rsidR="00C836A1" w:rsidRDefault="00C836A1" w:rsidP="00C836A1">
      <w:pPr>
        <w:rPr>
          <w:rFonts w:ascii="Arial" w:hAnsi="Arial" w:cs="Arial"/>
          <w:sz w:val="22"/>
          <w:szCs w:val="22"/>
        </w:rPr>
      </w:pPr>
      <w:r>
        <w:rPr>
          <w:rFonts w:ascii="Arial" w:hAnsi="Arial" w:cs="Arial"/>
          <w:sz w:val="22"/>
          <w:szCs w:val="22"/>
        </w:rPr>
        <w:t xml:space="preserve">I can confirm that the Legal Aid Agency does not hold the information you requested at point 1. For the avoidance of doubt the Legal Aid Agency does not issue instructions to caseworkers. Casework decisions are taken by individual caseworkers in compliance with the Legal Aid, Sentencing and Punishment of Offenders Act 2012 (LASPO). The Lord Chancellors Guidance (as provided under s.4 LASPO) and other published guidance is produced to assist caseworkers in compliance. </w:t>
      </w:r>
    </w:p>
    <w:p w:rsidR="00C836A1" w:rsidRDefault="00C836A1" w:rsidP="00C836A1">
      <w:pPr>
        <w:rPr>
          <w:rFonts w:ascii="Arial" w:hAnsi="Arial" w:cs="Arial"/>
          <w:sz w:val="22"/>
          <w:szCs w:val="22"/>
        </w:rPr>
      </w:pPr>
    </w:p>
    <w:p w:rsidR="00C836A1" w:rsidRDefault="00C836A1" w:rsidP="00C836A1">
      <w:pPr>
        <w:rPr>
          <w:rFonts w:ascii="Arial" w:hAnsi="Arial" w:cs="Arial"/>
          <w:sz w:val="22"/>
          <w:szCs w:val="22"/>
        </w:rPr>
      </w:pPr>
      <w:r>
        <w:rPr>
          <w:rFonts w:ascii="Arial" w:hAnsi="Arial" w:cs="Arial"/>
          <w:sz w:val="22"/>
          <w:szCs w:val="22"/>
        </w:rPr>
        <w:t xml:space="preserve">Outside of the scope of our obligations under the FOIA you may be interested to note details of any legislative/regulatory changes to the parameters in which casework decisions are made, are published in the Director of Legal Aid Casework Report Annual </w:t>
      </w:r>
      <w:r w:rsidR="00DE3034">
        <w:rPr>
          <w:rFonts w:ascii="Arial" w:hAnsi="Arial" w:cs="Arial"/>
          <w:sz w:val="22"/>
          <w:szCs w:val="22"/>
        </w:rPr>
        <w:t xml:space="preserve">Report available at our website: </w:t>
      </w:r>
      <w:hyperlink r:id="rId8" w:history="1">
        <w:r w:rsidR="00647B2B" w:rsidRPr="0077333D">
          <w:rPr>
            <w:rStyle w:val="Hyperlink"/>
            <w:rFonts w:ascii="Arial" w:hAnsi="Arial" w:cs="Arial"/>
            <w:sz w:val="22"/>
            <w:szCs w:val="22"/>
          </w:rPr>
          <w:t>www.gov.uk</w:t>
        </w:r>
      </w:hyperlink>
    </w:p>
    <w:p w:rsidR="00C836A1" w:rsidRDefault="00C836A1" w:rsidP="00C836A1">
      <w:pPr>
        <w:rPr>
          <w:rFonts w:ascii="Arial" w:hAnsi="Arial" w:cs="Arial"/>
          <w:sz w:val="22"/>
          <w:szCs w:val="22"/>
        </w:rPr>
      </w:pPr>
    </w:p>
    <w:p w:rsidR="00C836A1" w:rsidRDefault="00C836A1" w:rsidP="00C836A1">
      <w:pPr>
        <w:rPr>
          <w:rFonts w:ascii="Arial" w:hAnsi="Arial" w:cs="Arial"/>
          <w:sz w:val="22"/>
          <w:szCs w:val="22"/>
        </w:rPr>
      </w:pPr>
      <w:r>
        <w:rPr>
          <w:rFonts w:ascii="Arial" w:hAnsi="Arial" w:cs="Arial"/>
          <w:sz w:val="22"/>
          <w:szCs w:val="22"/>
        </w:rPr>
        <w:t xml:space="preserve">I can confirm that the department holds information that you have asked for at point 2. The information </w:t>
      </w:r>
      <w:r w:rsidR="009020AB">
        <w:rPr>
          <w:rFonts w:ascii="Arial" w:hAnsi="Arial" w:cs="Arial"/>
          <w:sz w:val="22"/>
          <w:szCs w:val="22"/>
        </w:rPr>
        <w:t xml:space="preserve">2013 – June 2016 </w:t>
      </w:r>
      <w:r>
        <w:rPr>
          <w:rFonts w:ascii="Arial" w:hAnsi="Arial" w:cs="Arial"/>
          <w:sz w:val="22"/>
          <w:szCs w:val="22"/>
        </w:rPr>
        <w:t>is exempt under section 21 of the FOI Act because it is reasonably accessible to you, and I am pleased to inform you that you in the published Legal Aid Statistics England and Wales Quarterly Tables. You can access it via the following link:</w:t>
      </w:r>
    </w:p>
    <w:p w:rsidR="00C836A1" w:rsidRDefault="00C836A1" w:rsidP="00C836A1">
      <w:pPr>
        <w:rPr>
          <w:rFonts w:ascii="Arial" w:hAnsi="Arial" w:cs="Arial"/>
          <w:sz w:val="22"/>
          <w:szCs w:val="22"/>
        </w:rPr>
      </w:pPr>
    </w:p>
    <w:p w:rsidR="00C836A1" w:rsidRDefault="00EA37C9" w:rsidP="00C836A1">
      <w:pPr>
        <w:rPr>
          <w:rFonts w:ascii="Arial" w:hAnsi="Arial" w:cs="Arial"/>
          <w:sz w:val="22"/>
          <w:szCs w:val="22"/>
        </w:rPr>
      </w:pPr>
      <w:hyperlink r:id="rId9" w:history="1">
        <w:r w:rsidR="00714CBC" w:rsidRPr="00A572C0">
          <w:rPr>
            <w:rStyle w:val="Hyperlink"/>
            <w:rFonts w:ascii="Arial" w:hAnsi="Arial" w:cs="Arial"/>
            <w:sz w:val="22"/>
            <w:szCs w:val="22"/>
          </w:rPr>
          <w:t>https://www.gov.uk/government/uploads/system/uploads/attachment_data/file/556139/legal-aid-statistics-apr-to-jun-2016-tables.xlsx</w:t>
        </w:r>
      </w:hyperlink>
    </w:p>
    <w:p w:rsidR="00714CBC" w:rsidRDefault="00714CBC" w:rsidP="00C836A1">
      <w:pPr>
        <w:rPr>
          <w:rFonts w:ascii="Arial" w:hAnsi="Arial" w:cs="Arial"/>
          <w:sz w:val="22"/>
          <w:szCs w:val="22"/>
        </w:rPr>
      </w:pPr>
    </w:p>
    <w:p w:rsidR="00714CBC" w:rsidRDefault="00714CBC" w:rsidP="00C836A1">
      <w:pPr>
        <w:rPr>
          <w:rFonts w:ascii="Arial" w:hAnsi="Arial" w:cs="Arial"/>
          <w:sz w:val="22"/>
          <w:szCs w:val="22"/>
        </w:rPr>
      </w:pPr>
      <w:r>
        <w:rPr>
          <w:rFonts w:ascii="Arial" w:hAnsi="Arial" w:cs="Arial"/>
          <w:sz w:val="22"/>
          <w:szCs w:val="22"/>
        </w:rPr>
        <w:t>The Total number of applications received and number of applications granted is shown as below:</w:t>
      </w:r>
    </w:p>
    <w:p w:rsidR="00594F72" w:rsidRDefault="00594F72" w:rsidP="00C836A1">
      <w:pPr>
        <w:rPr>
          <w:rFonts w:ascii="Arial" w:hAnsi="Arial" w:cs="Arial"/>
          <w:sz w:val="22"/>
          <w:szCs w:val="22"/>
        </w:rPr>
      </w:pPr>
    </w:p>
    <w:p w:rsidR="00594F72" w:rsidRDefault="00594F72" w:rsidP="00C836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38"/>
      </w:tblGrid>
      <w:tr w:rsidR="00714CBC" w:rsidRPr="003F4978" w:rsidTr="003F4978">
        <w:tc>
          <w:tcPr>
            <w:tcW w:w="4261" w:type="dxa"/>
            <w:shd w:val="clear" w:color="auto" w:fill="auto"/>
          </w:tcPr>
          <w:p w:rsidR="00714CBC" w:rsidRPr="003F4978" w:rsidRDefault="00714CBC" w:rsidP="00C836A1">
            <w:pPr>
              <w:rPr>
                <w:rFonts w:ascii="Arial" w:hAnsi="Arial" w:cs="Arial"/>
                <w:sz w:val="22"/>
                <w:szCs w:val="22"/>
              </w:rPr>
            </w:pPr>
            <w:r w:rsidRPr="003F4978">
              <w:rPr>
                <w:rFonts w:ascii="Arial" w:hAnsi="Arial" w:cs="Arial"/>
                <w:sz w:val="22"/>
                <w:szCs w:val="22"/>
              </w:rPr>
              <w:t>Magistrates Court Legal Aid</w:t>
            </w:r>
          </w:p>
        </w:tc>
        <w:tc>
          <w:tcPr>
            <w:tcW w:w="4261" w:type="dxa"/>
            <w:shd w:val="clear" w:color="auto" w:fill="auto"/>
          </w:tcPr>
          <w:p w:rsidR="00714CBC" w:rsidRPr="003F4978" w:rsidRDefault="00714CBC" w:rsidP="00C836A1">
            <w:pPr>
              <w:rPr>
                <w:rFonts w:ascii="Arial" w:hAnsi="Arial" w:cs="Arial"/>
                <w:sz w:val="22"/>
                <w:szCs w:val="22"/>
              </w:rPr>
            </w:pPr>
            <w:r w:rsidRPr="003F4978">
              <w:rPr>
                <w:rFonts w:ascii="Arial" w:hAnsi="Arial" w:cs="Arial"/>
                <w:sz w:val="22"/>
                <w:szCs w:val="22"/>
              </w:rPr>
              <w:t>Table 3.1</w:t>
            </w:r>
          </w:p>
        </w:tc>
      </w:tr>
      <w:tr w:rsidR="00714CBC" w:rsidRPr="003F4978" w:rsidTr="003F4978">
        <w:tc>
          <w:tcPr>
            <w:tcW w:w="4261" w:type="dxa"/>
            <w:shd w:val="clear" w:color="auto" w:fill="auto"/>
          </w:tcPr>
          <w:p w:rsidR="00714CBC" w:rsidRPr="003F4978" w:rsidRDefault="00714CBC" w:rsidP="00C836A1">
            <w:pPr>
              <w:rPr>
                <w:rFonts w:ascii="Arial" w:hAnsi="Arial" w:cs="Arial"/>
                <w:sz w:val="22"/>
                <w:szCs w:val="22"/>
              </w:rPr>
            </w:pPr>
            <w:r w:rsidRPr="003F4978">
              <w:rPr>
                <w:rFonts w:ascii="Arial" w:hAnsi="Arial" w:cs="Arial"/>
                <w:sz w:val="22"/>
                <w:szCs w:val="22"/>
              </w:rPr>
              <w:t>Crown Court Legal Aid</w:t>
            </w:r>
          </w:p>
        </w:tc>
        <w:tc>
          <w:tcPr>
            <w:tcW w:w="4261" w:type="dxa"/>
            <w:shd w:val="clear" w:color="auto" w:fill="auto"/>
          </w:tcPr>
          <w:p w:rsidR="00714CBC" w:rsidRPr="003F4978" w:rsidRDefault="00714CBC" w:rsidP="00C836A1">
            <w:pPr>
              <w:rPr>
                <w:rFonts w:ascii="Arial" w:hAnsi="Arial" w:cs="Arial"/>
                <w:sz w:val="22"/>
                <w:szCs w:val="22"/>
              </w:rPr>
            </w:pPr>
            <w:r w:rsidRPr="003F4978">
              <w:rPr>
                <w:rFonts w:ascii="Arial" w:hAnsi="Arial" w:cs="Arial"/>
                <w:sz w:val="22"/>
                <w:szCs w:val="22"/>
              </w:rPr>
              <w:t>Table 3.2</w:t>
            </w:r>
          </w:p>
        </w:tc>
      </w:tr>
      <w:tr w:rsidR="00714CBC" w:rsidRPr="003F4978" w:rsidTr="003F4978">
        <w:tc>
          <w:tcPr>
            <w:tcW w:w="4261" w:type="dxa"/>
            <w:shd w:val="clear" w:color="auto" w:fill="auto"/>
          </w:tcPr>
          <w:p w:rsidR="00714CBC" w:rsidRPr="003F4978" w:rsidRDefault="00714CBC" w:rsidP="00C836A1">
            <w:pPr>
              <w:rPr>
                <w:rFonts w:ascii="Arial" w:hAnsi="Arial" w:cs="Arial"/>
                <w:sz w:val="22"/>
                <w:szCs w:val="22"/>
              </w:rPr>
            </w:pPr>
            <w:r w:rsidRPr="003F4978">
              <w:rPr>
                <w:rFonts w:ascii="Arial" w:hAnsi="Arial" w:cs="Arial"/>
                <w:sz w:val="22"/>
                <w:szCs w:val="22"/>
              </w:rPr>
              <w:t>Civil Legal Aid</w:t>
            </w:r>
          </w:p>
        </w:tc>
        <w:tc>
          <w:tcPr>
            <w:tcW w:w="4261" w:type="dxa"/>
            <w:shd w:val="clear" w:color="auto" w:fill="auto"/>
          </w:tcPr>
          <w:p w:rsidR="00714CBC" w:rsidRPr="003F4978" w:rsidRDefault="00714CBC" w:rsidP="00C836A1">
            <w:pPr>
              <w:rPr>
                <w:rFonts w:ascii="Arial" w:hAnsi="Arial" w:cs="Arial"/>
                <w:sz w:val="22"/>
                <w:szCs w:val="22"/>
              </w:rPr>
            </w:pPr>
            <w:r w:rsidRPr="003F4978">
              <w:rPr>
                <w:rFonts w:ascii="Arial" w:hAnsi="Arial" w:cs="Arial"/>
                <w:sz w:val="22"/>
                <w:szCs w:val="22"/>
              </w:rPr>
              <w:t>Table 6.1</w:t>
            </w:r>
          </w:p>
        </w:tc>
      </w:tr>
    </w:tbl>
    <w:p w:rsidR="00C836A1" w:rsidRDefault="00C836A1" w:rsidP="00C836A1">
      <w:pPr>
        <w:rPr>
          <w:rFonts w:ascii="Arial" w:hAnsi="Arial" w:cs="Arial"/>
          <w:sz w:val="22"/>
          <w:szCs w:val="22"/>
        </w:rPr>
      </w:pPr>
    </w:p>
    <w:p w:rsidR="00C836A1" w:rsidRDefault="00714CBC" w:rsidP="00C836A1">
      <w:pPr>
        <w:rPr>
          <w:rFonts w:ascii="Arial" w:hAnsi="Arial" w:cs="Arial"/>
          <w:sz w:val="22"/>
          <w:szCs w:val="22"/>
        </w:rPr>
      </w:pPr>
      <w:r>
        <w:rPr>
          <w:rFonts w:ascii="Arial" w:hAnsi="Arial" w:cs="Arial"/>
          <w:sz w:val="22"/>
          <w:szCs w:val="22"/>
        </w:rPr>
        <w:lastRenderedPageBreak/>
        <w:t xml:space="preserve">From the figures provided you can work out the volume of refused applications. </w:t>
      </w:r>
    </w:p>
    <w:p w:rsidR="00714CBC" w:rsidRDefault="00714CBC" w:rsidP="00C836A1">
      <w:pPr>
        <w:rPr>
          <w:rFonts w:ascii="Arial" w:hAnsi="Arial" w:cs="Arial"/>
          <w:sz w:val="22"/>
          <w:szCs w:val="22"/>
        </w:rPr>
      </w:pPr>
      <w:r>
        <w:rPr>
          <w:rFonts w:ascii="Arial" w:hAnsi="Arial" w:cs="Arial"/>
          <w:sz w:val="22"/>
          <w:szCs w:val="22"/>
        </w:rPr>
        <w:t xml:space="preserve">In the years you require. </w:t>
      </w:r>
    </w:p>
    <w:p w:rsidR="00C836A1" w:rsidRDefault="00C836A1" w:rsidP="00C836A1">
      <w:pPr>
        <w:rPr>
          <w:rFonts w:ascii="Arial" w:hAnsi="Arial" w:cs="Arial"/>
          <w:color w:val="0000FF"/>
          <w:sz w:val="22"/>
          <w:szCs w:val="22"/>
        </w:rPr>
      </w:pPr>
    </w:p>
    <w:p w:rsidR="00C836A1" w:rsidRDefault="00C836A1" w:rsidP="00C836A1">
      <w:pPr>
        <w:rPr>
          <w:rFonts w:ascii="Arial" w:hAnsi="Arial" w:cs="Arial"/>
          <w:sz w:val="22"/>
          <w:szCs w:val="22"/>
        </w:rPr>
      </w:pPr>
      <w:r>
        <w:rPr>
          <w:rFonts w:ascii="Arial" w:hAnsi="Arial" w:cs="Arial"/>
          <w:sz w:val="22"/>
          <w:szCs w:val="22"/>
        </w:rPr>
        <w:t xml:space="preserve">Section 21 </w:t>
      </w:r>
      <w:r w:rsidR="00714CBC">
        <w:rPr>
          <w:rFonts w:ascii="Arial" w:hAnsi="Arial" w:cs="Arial"/>
          <w:sz w:val="22"/>
          <w:szCs w:val="22"/>
        </w:rPr>
        <w:t>(1)</w:t>
      </w:r>
      <w:r>
        <w:rPr>
          <w:rFonts w:ascii="Arial" w:hAnsi="Arial" w:cs="Arial"/>
          <w:sz w:val="22"/>
          <w:szCs w:val="22"/>
        </w:rPr>
        <w:t xml:space="preserve">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C836A1" w:rsidRDefault="00C836A1" w:rsidP="00C836A1">
      <w:pPr>
        <w:rPr>
          <w:rFonts w:ascii="Arial" w:hAnsi="Arial" w:cs="Arial"/>
          <w:color w:val="0000FF"/>
          <w:sz w:val="22"/>
          <w:szCs w:val="22"/>
        </w:rPr>
      </w:pPr>
    </w:p>
    <w:p w:rsidR="009020AB" w:rsidRDefault="009020AB" w:rsidP="009020AB">
      <w:pPr>
        <w:autoSpaceDE w:val="0"/>
        <w:autoSpaceDN w:val="0"/>
        <w:adjustRightInd w:val="0"/>
        <w:rPr>
          <w:rFonts w:ascii="Arial" w:hAnsi="Arial" w:cs="Arial"/>
          <w:sz w:val="22"/>
          <w:szCs w:val="22"/>
        </w:rPr>
      </w:pPr>
      <w:r>
        <w:rPr>
          <w:rFonts w:ascii="Arial" w:hAnsi="Arial" w:cs="Arial"/>
          <w:sz w:val="22"/>
          <w:szCs w:val="22"/>
        </w:rPr>
        <w:t>I can also confirm that the department holds the requested data from 1</w:t>
      </w:r>
      <w:r w:rsidRPr="00677698">
        <w:rPr>
          <w:rFonts w:ascii="Arial" w:hAnsi="Arial" w:cs="Arial"/>
          <w:sz w:val="22"/>
          <w:szCs w:val="22"/>
          <w:vertAlign w:val="superscript"/>
        </w:rPr>
        <w:t>st</w:t>
      </w:r>
      <w:r>
        <w:rPr>
          <w:rFonts w:ascii="Arial" w:hAnsi="Arial" w:cs="Arial"/>
          <w:sz w:val="22"/>
          <w:szCs w:val="22"/>
        </w:rPr>
        <w:t xml:space="preserve"> July 2016 to present, however it is exempt from disclosure because it is intended for future publication. </w:t>
      </w:r>
    </w:p>
    <w:p w:rsidR="009020AB" w:rsidRDefault="009020AB" w:rsidP="009020AB">
      <w:pPr>
        <w:autoSpaceDE w:val="0"/>
        <w:autoSpaceDN w:val="0"/>
        <w:adjustRightInd w:val="0"/>
        <w:rPr>
          <w:rFonts w:ascii="Arial" w:hAnsi="Arial" w:cs="Arial"/>
          <w:sz w:val="22"/>
          <w:szCs w:val="22"/>
        </w:rPr>
      </w:pPr>
    </w:p>
    <w:p w:rsidR="009020AB" w:rsidRDefault="009020AB" w:rsidP="009020AB">
      <w:pPr>
        <w:rPr>
          <w:rFonts w:ascii="Arial" w:hAnsi="Arial" w:cs="Arial"/>
          <w:sz w:val="22"/>
          <w:szCs w:val="22"/>
        </w:rPr>
      </w:pPr>
      <w:r>
        <w:rPr>
          <w:rFonts w:ascii="Arial" w:hAnsi="Arial" w:cs="Arial"/>
          <w:sz w:val="22"/>
          <w:szCs w:val="22"/>
        </w:rPr>
        <w:t xml:space="preserve">We are not obliged to provide information that is intended for future publication </w:t>
      </w:r>
    </w:p>
    <w:p w:rsidR="009020AB" w:rsidRDefault="009020AB" w:rsidP="009020AB">
      <w:pPr>
        <w:rPr>
          <w:rFonts w:ascii="Arial" w:hAnsi="Arial" w:cs="Arial"/>
          <w:sz w:val="22"/>
          <w:szCs w:val="22"/>
        </w:rPr>
      </w:pPr>
      <w:r>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9020AB" w:rsidRDefault="009020AB" w:rsidP="009020AB">
      <w:pPr>
        <w:rPr>
          <w:rFonts w:ascii="Arial" w:hAnsi="Arial" w:cs="Arial"/>
          <w:sz w:val="22"/>
          <w:szCs w:val="22"/>
        </w:rPr>
      </w:pPr>
    </w:p>
    <w:p w:rsidR="009020AB" w:rsidRDefault="009020AB" w:rsidP="009020AB">
      <w:pPr>
        <w:autoSpaceDE w:val="0"/>
        <w:autoSpaceDN w:val="0"/>
        <w:rPr>
          <w:rFonts w:ascii="Arial" w:hAnsi="Arial" w:cs="Arial"/>
          <w:sz w:val="22"/>
          <w:szCs w:val="22"/>
        </w:rPr>
      </w:pPr>
      <w:r>
        <w:rPr>
          <w:rFonts w:ascii="Arial" w:hAnsi="Arial" w:cs="Arial"/>
          <w:sz w:val="22"/>
          <w:szCs w:val="22"/>
        </w:rPr>
        <w:t>When assessing whether or not it was in the public interest to disclose the information to you, we took into account the following factors:</w:t>
      </w:r>
    </w:p>
    <w:p w:rsidR="009020AB" w:rsidRDefault="009020AB" w:rsidP="009020AB">
      <w:pPr>
        <w:autoSpaceDE w:val="0"/>
        <w:autoSpaceDN w:val="0"/>
        <w:rPr>
          <w:rFonts w:ascii="Arial" w:hAnsi="Arial" w:cs="Arial"/>
          <w:sz w:val="22"/>
          <w:szCs w:val="22"/>
        </w:rPr>
      </w:pPr>
    </w:p>
    <w:p w:rsidR="009020AB" w:rsidRDefault="009020AB" w:rsidP="009020AB">
      <w:pPr>
        <w:autoSpaceDE w:val="0"/>
        <w:autoSpaceDN w:val="0"/>
        <w:rPr>
          <w:rFonts w:ascii="Arial" w:hAnsi="Arial" w:cs="Arial"/>
          <w:b/>
          <w:bCs/>
          <w:sz w:val="22"/>
          <w:szCs w:val="22"/>
        </w:rPr>
      </w:pPr>
      <w:r>
        <w:rPr>
          <w:rFonts w:ascii="Arial" w:hAnsi="Arial" w:cs="Arial"/>
          <w:b/>
          <w:bCs/>
          <w:sz w:val="22"/>
          <w:szCs w:val="22"/>
        </w:rPr>
        <w:t>Public interest considerations favouring disclosure</w:t>
      </w:r>
    </w:p>
    <w:p w:rsidR="009020AB" w:rsidRDefault="009020AB" w:rsidP="009020AB">
      <w:pPr>
        <w:autoSpaceDE w:val="0"/>
        <w:autoSpaceDN w:val="0"/>
        <w:rPr>
          <w:rFonts w:ascii="Arial" w:hAnsi="Arial" w:cs="Arial"/>
          <w:b/>
          <w:bCs/>
          <w:sz w:val="22"/>
          <w:szCs w:val="22"/>
        </w:rPr>
      </w:pPr>
    </w:p>
    <w:p w:rsidR="009020AB" w:rsidRDefault="009020AB" w:rsidP="009020AB">
      <w:pPr>
        <w:numPr>
          <w:ilvl w:val="0"/>
          <w:numId w:val="7"/>
        </w:numPr>
        <w:autoSpaceDE w:val="0"/>
        <w:autoSpaceDN w:val="0"/>
        <w:rPr>
          <w:rFonts w:ascii="Arial" w:hAnsi="Arial" w:cs="Arial"/>
          <w:sz w:val="22"/>
          <w:szCs w:val="22"/>
        </w:rPr>
      </w:pPr>
      <w:r>
        <w:rPr>
          <w:rFonts w:ascii="Arial" w:hAnsi="Arial" w:cs="Arial"/>
          <w:sz w:val="22"/>
          <w:szCs w:val="22"/>
        </w:rPr>
        <w:t>There are public interest arguments in favour of disclosure of this information at the present time. Disclosure would for example improve transparency in the operations of Government, and of the justice system in particular.</w:t>
      </w:r>
    </w:p>
    <w:p w:rsidR="009020AB" w:rsidRPr="00677698" w:rsidRDefault="009020AB" w:rsidP="009020AB">
      <w:pPr>
        <w:autoSpaceDE w:val="0"/>
        <w:autoSpaceDN w:val="0"/>
        <w:rPr>
          <w:rFonts w:ascii="Arial" w:eastAsia="Calibri" w:hAnsi="Arial" w:cs="Arial"/>
          <w:color w:val="0000FF"/>
          <w:sz w:val="22"/>
          <w:szCs w:val="22"/>
        </w:rPr>
      </w:pPr>
    </w:p>
    <w:p w:rsidR="009020AB" w:rsidRDefault="009020AB" w:rsidP="009020AB">
      <w:pPr>
        <w:autoSpaceDE w:val="0"/>
        <w:autoSpaceDN w:val="0"/>
        <w:rPr>
          <w:rFonts w:ascii="Arial" w:hAnsi="Arial" w:cs="Arial"/>
          <w:b/>
          <w:bCs/>
          <w:sz w:val="22"/>
          <w:szCs w:val="22"/>
        </w:rPr>
      </w:pPr>
      <w:r>
        <w:rPr>
          <w:rFonts w:ascii="Arial" w:hAnsi="Arial" w:cs="Arial"/>
          <w:b/>
          <w:bCs/>
          <w:sz w:val="22"/>
          <w:szCs w:val="22"/>
        </w:rPr>
        <w:t>Public interest considerations favouring withholding the information</w:t>
      </w:r>
    </w:p>
    <w:p w:rsidR="009020AB" w:rsidRDefault="009020AB" w:rsidP="009020AB">
      <w:pPr>
        <w:autoSpaceDE w:val="0"/>
        <w:autoSpaceDN w:val="0"/>
        <w:rPr>
          <w:rFonts w:ascii="Arial" w:hAnsi="Arial" w:cs="Arial"/>
          <w:b/>
          <w:bCs/>
          <w:sz w:val="22"/>
          <w:szCs w:val="22"/>
        </w:rPr>
      </w:pPr>
    </w:p>
    <w:p w:rsidR="009020AB" w:rsidRDefault="009020AB" w:rsidP="009020AB">
      <w:pPr>
        <w:numPr>
          <w:ilvl w:val="0"/>
          <w:numId w:val="7"/>
        </w:numPr>
        <w:autoSpaceDE w:val="0"/>
        <w:autoSpaceDN w:val="0"/>
        <w:rPr>
          <w:rFonts w:ascii="Arial" w:hAnsi="Arial" w:cs="Arial"/>
          <w:sz w:val="22"/>
          <w:szCs w:val="22"/>
        </w:rPr>
      </w:pPr>
      <w:r>
        <w:rPr>
          <w:rFonts w:ascii="Arial" w:hAnsi="Arial" w:cs="Arial"/>
          <w:sz w:val="22"/>
          <w:szCs w:val="22"/>
        </w:rPr>
        <w:t>There are public interest arguments against disclosure of this information at the present time. These arguments include that it is in the public interest to adhere to the existing publication process for official statistics, which includes time for the data to be collated and properly verified.</w:t>
      </w:r>
    </w:p>
    <w:p w:rsidR="009020AB" w:rsidRPr="00677698" w:rsidRDefault="009020AB" w:rsidP="009020AB">
      <w:pPr>
        <w:autoSpaceDE w:val="0"/>
        <w:autoSpaceDN w:val="0"/>
        <w:rPr>
          <w:rFonts w:ascii="Arial" w:eastAsia="Calibri" w:hAnsi="Arial" w:cs="Arial"/>
          <w:sz w:val="22"/>
          <w:szCs w:val="22"/>
        </w:rPr>
      </w:pPr>
    </w:p>
    <w:p w:rsidR="009020AB" w:rsidRDefault="009020AB" w:rsidP="009020AB">
      <w:pPr>
        <w:numPr>
          <w:ilvl w:val="0"/>
          <w:numId w:val="7"/>
        </w:numPr>
        <w:autoSpaceDE w:val="0"/>
        <w:autoSpaceDN w:val="0"/>
        <w:rPr>
          <w:rFonts w:ascii="Arial" w:hAnsi="Arial" w:cs="Arial"/>
          <w:sz w:val="22"/>
          <w:szCs w:val="22"/>
        </w:rPr>
      </w:pPr>
      <w:r>
        <w:rPr>
          <w:rFonts w:ascii="Arial" w:hAnsi="Arial" w:cs="Arial"/>
          <w:sz w:val="22"/>
          <w:szCs w:val="22"/>
        </w:rPr>
        <w:t>It is also in the public interest to ensure that the publication of official information is a properly planned and managed process, to ensure that the data are accurate once they are placed into the public domain. It is also in the public interest to ensure that the information is available to all members of the public at the same time, and premature publication could undermine the principle of making the information available to all at the same time through the official publication process.</w:t>
      </w:r>
    </w:p>
    <w:p w:rsidR="009020AB" w:rsidRPr="00677698" w:rsidRDefault="009020AB" w:rsidP="009020AB">
      <w:pPr>
        <w:autoSpaceDE w:val="0"/>
        <w:autoSpaceDN w:val="0"/>
        <w:rPr>
          <w:rFonts w:ascii="Arial" w:eastAsia="Calibri" w:hAnsi="Arial" w:cs="Arial"/>
          <w:color w:val="0000FF"/>
          <w:sz w:val="22"/>
          <w:szCs w:val="22"/>
        </w:rPr>
      </w:pPr>
    </w:p>
    <w:p w:rsidR="009020AB" w:rsidRDefault="009020AB" w:rsidP="009020AB">
      <w:pPr>
        <w:autoSpaceDE w:val="0"/>
        <w:autoSpaceDN w:val="0"/>
        <w:rPr>
          <w:rFonts w:ascii="Arial" w:hAnsi="Arial" w:cs="Arial"/>
          <w:sz w:val="22"/>
          <w:szCs w:val="22"/>
        </w:rPr>
      </w:pPr>
      <w:r>
        <w:rPr>
          <w:rFonts w:ascii="Arial" w:hAnsi="Arial" w:cs="Arial"/>
          <w:sz w:val="22"/>
          <w:szCs w:val="22"/>
        </w:rPr>
        <w:t>We reached the view that, on balance, the public interest is better served by withholding this information under Section 22 of the Act at this time.</w:t>
      </w:r>
    </w:p>
    <w:p w:rsidR="009020AB" w:rsidRDefault="009020AB" w:rsidP="009020AB">
      <w:pPr>
        <w:autoSpaceDE w:val="0"/>
        <w:autoSpaceDN w:val="0"/>
        <w:rPr>
          <w:rFonts w:ascii="Arial" w:hAnsi="Arial" w:cs="Arial"/>
          <w:sz w:val="22"/>
          <w:szCs w:val="22"/>
        </w:rPr>
      </w:pPr>
    </w:p>
    <w:p w:rsidR="009020AB" w:rsidRDefault="009020AB" w:rsidP="009020AB">
      <w:pPr>
        <w:autoSpaceDE w:val="0"/>
        <w:autoSpaceDN w:val="0"/>
        <w:rPr>
          <w:rFonts w:ascii="Arial" w:hAnsi="Arial" w:cs="Arial"/>
          <w:color w:val="000000"/>
          <w:sz w:val="22"/>
          <w:szCs w:val="22"/>
        </w:rPr>
      </w:pPr>
      <w:r>
        <w:rPr>
          <w:rFonts w:ascii="Arial" w:hAnsi="Arial" w:cs="Arial"/>
          <w:color w:val="000000"/>
          <w:sz w:val="22"/>
          <w:szCs w:val="22"/>
        </w:rPr>
        <w:t xml:space="preserve">Additionally, we are not obliged to provide information if there are prohibitions on disclosure ‘by or under any enactment’ (Section 44(1)(a) of the Act).  In this case, the 2015 information you are seeking is prohibited by the Statistics and Registration Services Act 2007 and the Pre-release Access to Official Statistics Order 2008.  </w:t>
      </w:r>
    </w:p>
    <w:p w:rsidR="009020AB" w:rsidRDefault="009020AB" w:rsidP="009020AB">
      <w:pPr>
        <w:autoSpaceDE w:val="0"/>
        <w:autoSpaceDN w:val="0"/>
        <w:rPr>
          <w:rFonts w:ascii="Arial" w:hAnsi="Arial" w:cs="Arial"/>
          <w:color w:val="000000"/>
          <w:sz w:val="22"/>
          <w:szCs w:val="22"/>
        </w:rPr>
      </w:pPr>
    </w:p>
    <w:p w:rsidR="009020AB" w:rsidRDefault="009020AB" w:rsidP="009020AB">
      <w:pPr>
        <w:autoSpaceDE w:val="0"/>
        <w:autoSpaceDN w:val="0"/>
        <w:rPr>
          <w:rFonts w:ascii="Arial" w:hAnsi="Arial" w:cs="Arial"/>
          <w:color w:val="000000"/>
          <w:sz w:val="22"/>
          <w:szCs w:val="22"/>
        </w:rPr>
      </w:pPr>
      <w:r>
        <w:rPr>
          <w:rFonts w:ascii="Arial" w:hAnsi="Arial" w:cs="Arial"/>
          <w:color w:val="000000"/>
          <w:sz w:val="22"/>
          <w:szCs w:val="22"/>
        </w:rPr>
        <w:t xml:space="preserve">The information for quarter 3, 2016 to present you have requested is a subset of the Legal Aid Statistics data which we routinely publish.  It is intended for publication in the quarterly Legal Aid Statistics bulletin due to be published in December 2016.  As such we are required to consider your request in a manner compliant with the Pre-release Access to Official Statistics Order 2008 and further to Sections 11 and 13 of the Statistics and Registration Service (SRS) Act 2007. </w:t>
      </w:r>
    </w:p>
    <w:p w:rsidR="009020AB" w:rsidRDefault="009020AB" w:rsidP="009020AB">
      <w:pPr>
        <w:autoSpaceDE w:val="0"/>
        <w:autoSpaceDN w:val="0"/>
        <w:rPr>
          <w:rFonts w:ascii="Arial" w:hAnsi="Arial" w:cs="Arial"/>
          <w:color w:val="000000"/>
          <w:sz w:val="22"/>
          <w:szCs w:val="22"/>
        </w:rPr>
      </w:pPr>
    </w:p>
    <w:p w:rsidR="009020AB" w:rsidRDefault="009020AB" w:rsidP="009020AB">
      <w:pPr>
        <w:autoSpaceDE w:val="0"/>
        <w:autoSpaceDN w:val="0"/>
        <w:rPr>
          <w:rFonts w:ascii="Arial" w:hAnsi="Arial" w:cs="Arial"/>
          <w:color w:val="000000"/>
          <w:sz w:val="22"/>
          <w:szCs w:val="22"/>
        </w:rPr>
      </w:pPr>
      <w:r>
        <w:rPr>
          <w:rFonts w:ascii="Arial" w:hAnsi="Arial" w:cs="Arial"/>
          <w:color w:val="000000"/>
          <w:sz w:val="22"/>
          <w:szCs w:val="22"/>
        </w:rPr>
        <w:lastRenderedPageBreak/>
        <w:t>I should explain further that the MoJ is obliged under Protocol 2 of the SRS Act 2007 to ensure that no indication of the substance of a statistical report is made public, or given to the media or any other party not recorded as eligible for access prior to publication. I can confirm that the MoJ does publish information on Legal Aid Fund spend on Immigration cases. Therefore, to now disclose as part of your FOI request, the information Legal Aid Fund spend on Immigration cases contained within the December 2016 publication, will violate the provisions of the provisions of Section 11 of the SRS Act and as such engages the exemption under Section 44(1)(a).</w:t>
      </w:r>
    </w:p>
    <w:p w:rsidR="00647B2B" w:rsidRDefault="00647B2B" w:rsidP="00851E4A">
      <w:pPr>
        <w:autoSpaceDE w:val="0"/>
        <w:autoSpaceDN w:val="0"/>
        <w:rPr>
          <w:rFonts w:ascii="Arial" w:hAnsi="Arial" w:cs="Arial"/>
          <w:sz w:val="22"/>
          <w:szCs w:val="22"/>
        </w:rPr>
      </w:pPr>
    </w:p>
    <w:p w:rsidR="009E0077" w:rsidRPr="00851E4A" w:rsidRDefault="009020AB" w:rsidP="00851E4A">
      <w:pPr>
        <w:autoSpaceDE w:val="0"/>
        <w:autoSpaceDN w:val="0"/>
        <w:rPr>
          <w:rFonts w:ascii="Arial" w:hAnsi="Arial" w:cs="Arial"/>
          <w:b/>
          <w:bCs/>
          <w:color w:val="0000FF"/>
          <w:u w:val="single"/>
        </w:rPr>
      </w:pPr>
      <w:r>
        <w:rPr>
          <w:rFonts w:ascii="Arial" w:hAnsi="Arial" w:cs="Arial"/>
          <w:sz w:val="22"/>
          <w:szCs w:val="22"/>
        </w:rPr>
        <w:t xml:space="preserve">You can also find more information by reading the full text of the Act, available at </w:t>
      </w:r>
      <w:hyperlink r:id="rId10" w:history="1">
        <w:r>
          <w:rPr>
            <w:rStyle w:val="Hyperlink"/>
            <w:rFonts w:ascii="Arial" w:hAnsi="Arial" w:cs="Arial"/>
            <w:sz w:val="22"/>
            <w:szCs w:val="22"/>
          </w:rPr>
          <w:t>http://www.legislation.gov.uk/ukpga/2000/36/contents</w:t>
        </w:r>
      </w:hyperlink>
      <w:r>
        <w:rPr>
          <w:rFonts w:ascii="Arial" w:hAnsi="Arial" w:cs="Arial"/>
          <w:sz w:val="22"/>
          <w:szCs w:val="22"/>
        </w:rPr>
        <w:t xml:space="preserve"> and further guidance </w:t>
      </w:r>
      <w:hyperlink r:id="rId11" w:history="1">
        <w:r>
          <w:rPr>
            <w:rStyle w:val="Hyperlink"/>
            <w:rFonts w:ascii="Arial" w:hAnsi="Arial" w:cs="Arial"/>
            <w:sz w:val="22"/>
            <w:szCs w:val="22"/>
          </w:rPr>
          <w:t>http://www.justice.gov.uk/information-access-rights/foi-guidance-for-practitioners/exemptions-guidance</w:t>
        </w:r>
      </w:hyperlink>
    </w:p>
    <w:sectPr w:rsidR="009E0077" w:rsidRPr="00851E4A" w:rsidSect="002179DD">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2DE" w:rsidRDefault="008A72DE">
      <w:r>
        <w:separator/>
      </w:r>
    </w:p>
  </w:endnote>
  <w:endnote w:type="continuationSeparator" w:id="0">
    <w:p w:rsidR="008A72DE" w:rsidRDefault="008A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2DE" w:rsidRDefault="008A72DE">
      <w:r>
        <w:separator/>
      </w:r>
    </w:p>
  </w:footnote>
  <w:footnote w:type="continuationSeparator" w:id="0">
    <w:p w:rsidR="008A72DE" w:rsidRDefault="008A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05E23"/>
    <w:multiLevelType w:val="hybridMultilevel"/>
    <w:tmpl w:val="4546F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43C1B"/>
    <w:rsid w:val="00076AEF"/>
    <w:rsid w:val="000829FA"/>
    <w:rsid w:val="000900D8"/>
    <w:rsid w:val="000A2BCA"/>
    <w:rsid w:val="000C02AC"/>
    <w:rsid w:val="000E01F8"/>
    <w:rsid w:val="000F067E"/>
    <w:rsid w:val="000F26B8"/>
    <w:rsid w:val="0013675E"/>
    <w:rsid w:val="00150A41"/>
    <w:rsid w:val="001A485D"/>
    <w:rsid w:val="001A6C9B"/>
    <w:rsid w:val="001C27E9"/>
    <w:rsid w:val="001D01A8"/>
    <w:rsid w:val="001D0D46"/>
    <w:rsid w:val="001D7BC6"/>
    <w:rsid w:val="002141B6"/>
    <w:rsid w:val="002179DD"/>
    <w:rsid w:val="0022089E"/>
    <w:rsid w:val="00261B0E"/>
    <w:rsid w:val="002C1EE1"/>
    <w:rsid w:val="002F1915"/>
    <w:rsid w:val="00334029"/>
    <w:rsid w:val="00357958"/>
    <w:rsid w:val="00377547"/>
    <w:rsid w:val="003B40A1"/>
    <w:rsid w:val="003C0D6F"/>
    <w:rsid w:val="003F4978"/>
    <w:rsid w:val="003F6C63"/>
    <w:rsid w:val="004253BB"/>
    <w:rsid w:val="00434DCA"/>
    <w:rsid w:val="004734B5"/>
    <w:rsid w:val="004D37F6"/>
    <w:rsid w:val="004E1E12"/>
    <w:rsid w:val="005202DD"/>
    <w:rsid w:val="0058203E"/>
    <w:rsid w:val="00594F72"/>
    <w:rsid w:val="005B7296"/>
    <w:rsid w:val="005C2AFE"/>
    <w:rsid w:val="005C3A12"/>
    <w:rsid w:val="005D0A14"/>
    <w:rsid w:val="00604155"/>
    <w:rsid w:val="006201B1"/>
    <w:rsid w:val="006269C1"/>
    <w:rsid w:val="00647B2B"/>
    <w:rsid w:val="00672C95"/>
    <w:rsid w:val="006C5F8A"/>
    <w:rsid w:val="006E4F5C"/>
    <w:rsid w:val="00707F63"/>
    <w:rsid w:val="00714CBC"/>
    <w:rsid w:val="007B643E"/>
    <w:rsid w:val="007E7BAF"/>
    <w:rsid w:val="007E7F0F"/>
    <w:rsid w:val="007F2CB3"/>
    <w:rsid w:val="0081625B"/>
    <w:rsid w:val="00837883"/>
    <w:rsid w:val="00851E4A"/>
    <w:rsid w:val="00855D3E"/>
    <w:rsid w:val="008A72DE"/>
    <w:rsid w:val="008F54A0"/>
    <w:rsid w:val="009020AB"/>
    <w:rsid w:val="0098376A"/>
    <w:rsid w:val="009B624A"/>
    <w:rsid w:val="009E0077"/>
    <w:rsid w:val="009E501C"/>
    <w:rsid w:val="00A15836"/>
    <w:rsid w:val="00A35BDD"/>
    <w:rsid w:val="00A4070B"/>
    <w:rsid w:val="00AA3A3A"/>
    <w:rsid w:val="00AB3DC4"/>
    <w:rsid w:val="00AF6F11"/>
    <w:rsid w:val="00B27CC9"/>
    <w:rsid w:val="00B471BC"/>
    <w:rsid w:val="00B55A9E"/>
    <w:rsid w:val="00B81932"/>
    <w:rsid w:val="00BD1779"/>
    <w:rsid w:val="00BF247F"/>
    <w:rsid w:val="00C00996"/>
    <w:rsid w:val="00C17FA3"/>
    <w:rsid w:val="00C836A1"/>
    <w:rsid w:val="00C97F31"/>
    <w:rsid w:val="00CA31AD"/>
    <w:rsid w:val="00CF776B"/>
    <w:rsid w:val="00D1279D"/>
    <w:rsid w:val="00D31A00"/>
    <w:rsid w:val="00D71F9D"/>
    <w:rsid w:val="00D778AC"/>
    <w:rsid w:val="00D8325C"/>
    <w:rsid w:val="00DB3AD3"/>
    <w:rsid w:val="00DE3034"/>
    <w:rsid w:val="00DF4FFE"/>
    <w:rsid w:val="00E015A9"/>
    <w:rsid w:val="00E0591C"/>
    <w:rsid w:val="00E1544C"/>
    <w:rsid w:val="00E36BAC"/>
    <w:rsid w:val="00E70ED4"/>
    <w:rsid w:val="00E873AE"/>
    <w:rsid w:val="00EA37C9"/>
    <w:rsid w:val="00ED7C29"/>
    <w:rsid w:val="00F158B0"/>
    <w:rsid w:val="00F35B4A"/>
    <w:rsid w:val="00F80D88"/>
    <w:rsid w:val="00F9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1B1F3E-E200-4081-B1D4-6962922D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paragraph" w:styleId="ListParagraph">
    <w:name w:val="List Paragraph"/>
    <w:basedOn w:val="Normal"/>
    <w:uiPriority w:val="34"/>
    <w:qFormat/>
    <w:rsid w:val="00334029"/>
    <w:pPr>
      <w:ind w:left="720"/>
    </w:pPr>
    <w:rPr>
      <w:rFonts w:ascii="Calibri" w:eastAsia="Calibri" w:hAnsi="Calibri"/>
      <w:sz w:val="22"/>
      <w:szCs w:val="22"/>
      <w:lang w:eastAsia="en-US"/>
    </w:rPr>
  </w:style>
  <w:style w:type="table" w:styleId="TableGrid">
    <w:name w:val="Table Grid"/>
    <w:basedOn w:val="TableNormal"/>
    <w:rsid w:val="00714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8492">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7246">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uk/information-access-rights/foi-guidance-for-practitioners/exemptions-guidance" TargetMode="External"/><Relationship Id="rId5" Type="http://schemas.openxmlformats.org/officeDocument/2006/relationships/footnotes" Target="footnotes.xml"/><Relationship Id="rId10" Type="http://schemas.openxmlformats.org/officeDocument/2006/relationships/hyperlink" Target="http://www.legislation.gov.uk/ukpga/2000/36/contents"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6139/legal-aid-statistics-apr-to-jun-2016-tabl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5465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Legal_aid_applications_received_and_granted</vt:lpstr>
    </vt:vector>
  </TitlesOfParts>
  <Company>Ministry of Justice</Company>
  <LinksUpToDate>false</LinksUpToDate>
  <CharactersWithSpaces>6392</CharactersWithSpaces>
  <SharedDoc>false</SharedDoc>
  <HLinks>
    <vt:vector size="30" baseType="variant">
      <vt:variant>
        <vt:i4>8323114</vt:i4>
      </vt:variant>
      <vt:variant>
        <vt:i4>12</vt:i4>
      </vt:variant>
      <vt:variant>
        <vt:i4>0</vt:i4>
      </vt:variant>
      <vt:variant>
        <vt:i4>5</vt:i4>
      </vt:variant>
      <vt:variant>
        <vt:lpwstr>http://www.ico.org.uk/</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7340092</vt:i4>
      </vt:variant>
      <vt:variant>
        <vt:i4>6</vt:i4>
      </vt:variant>
      <vt:variant>
        <vt:i4>0</vt:i4>
      </vt:variant>
      <vt:variant>
        <vt:i4>5</vt:i4>
      </vt:variant>
      <vt:variant>
        <vt:lpwstr>http://www.justice.gov.uk/information-access-rights/foi-guidance-for-practitioners/exemptions-guidance</vt:lpwstr>
      </vt:variant>
      <vt:variant>
        <vt:lpwstr/>
      </vt:variant>
      <vt:variant>
        <vt:i4>4653132</vt:i4>
      </vt:variant>
      <vt:variant>
        <vt:i4>3</vt:i4>
      </vt:variant>
      <vt:variant>
        <vt:i4>0</vt:i4>
      </vt:variant>
      <vt:variant>
        <vt:i4>5</vt:i4>
      </vt:variant>
      <vt:variant>
        <vt:lpwstr>http://www.legislation.gov.uk/ukpga/2000/36/contents</vt:lpwstr>
      </vt:variant>
      <vt:variant>
        <vt:lpwstr/>
      </vt:variant>
      <vt:variant>
        <vt:i4>7208970</vt:i4>
      </vt:variant>
      <vt:variant>
        <vt:i4>0</vt:i4>
      </vt:variant>
      <vt:variant>
        <vt:i4>0</vt:i4>
      </vt:variant>
      <vt:variant>
        <vt:i4>5</vt:i4>
      </vt:variant>
      <vt:variant>
        <vt:lpwstr>https://www.gov.uk/government/uploads/system/uploads/attachment_data/file/556139/legal-aid-statistics-apr-to-jun-2016-tables.xlsx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Legal_aid_applications_received_and_granted</dc:title>
  <dc:subject>FOI Release</dc:subject>
  <dc:creator>MoJ</dc:creator>
  <cp:keywords>FOI, Data request, Legal aid, Civil Legal aid, Crime Legal aid</cp:keywords>
  <dc:description>Legal aid, applications received, applications granted, application_refused, civil legal aid, Magistrates Court Legal Aid,
Crown Court Legal Aid</dc:description>
  <cp:lastModifiedBy>Isaacs, Gordon</cp:lastModifiedBy>
  <cp:revision>2</cp:revision>
  <cp:lastPrinted>2016-10-24T14:25:00Z</cp:lastPrinted>
  <dcterms:created xsi:type="dcterms:W3CDTF">2016-11-23T12:13:00Z</dcterms:created>
  <dcterms:modified xsi:type="dcterms:W3CDTF">2016-11-23T12:13:00Z</dcterms:modified>
  <cp:category>Legal aid</cp:category>
</cp:coreProperties>
</file>