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D92CB3" w:rsidRPr="005D4171" w:rsidTr="00420637">
        <w:trPr>
          <w:cantSplit/>
          <w:trHeight w:val="1361"/>
        </w:trPr>
        <w:tc>
          <w:tcPr>
            <w:tcW w:w="6434" w:type="dxa"/>
            <w:gridSpan w:val="2"/>
            <w:tcBorders>
              <w:top w:val="nil"/>
            </w:tcBorders>
          </w:tcPr>
          <w:p w:rsidR="00D92CB3" w:rsidRPr="005D4171" w:rsidRDefault="00D92CB3" w:rsidP="00E0278A">
            <w:pPr>
              <w:jc w:val="both"/>
              <w:rPr>
                <w:rFonts w:ascii="Arial" w:hAnsi="Arial" w:cs="Arial"/>
                <w:color w:val="000000"/>
              </w:rPr>
            </w:pPr>
            <w:bookmarkStart w:id="0" w:name="_GoBack"/>
            <w:bookmarkEnd w:id="0"/>
            <w:r w:rsidRPr="005D4171">
              <w:rPr>
                <w:rFonts w:ascii="Arial" w:hAnsi="Arial" w:cs="Arial"/>
                <w:color w:val="000000"/>
                <w:sz w:val="22"/>
                <w:szCs w:val="22"/>
              </w:rPr>
              <w:t xml:space="preserve">   </w:t>
            </w:r>
            <w:r w:rsidR="00AB521B">
              <w:rPr>
                <w:rFonts w:ascii="Arial" w:hAnsi="Arial" w:cs="Arial"/>
                <w:noProof/>
              </w:rPr>
              <w:drawing>
                <wp:inline distT="0" distB="0" distL="0" distR="0" wp14:anchorId="335E8793" wp14:editId="4C83D04B">
                  <wp:extent cx="1971675" cy="59055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590550"/>
                          </a:xfrm>
                          <a:prstGeom prst="rect">
                            <a:avLst/>
                          </a:prstGeom>
                          <a:noFill/>
                          <a:ln>
                            <a:noFill/>
                          </a:ln>
                        </pic:spPr>
                      </pic:pic>
                    </a:graphicData>
                  </a:graphic>
                </wp:inline>
              </w:drawing>
            </w:r>
          </w:p>
        </w:tc>
        <w:tc>
          <w:tcPr>
            <w:tcW w:w="180" w:type="dxa"/>
          </w:tcPr>
          <w:p w:rsidR="00D92CB3" w:rsidRPr="005D4171" w:rsidRDefault="00D92CB3" w:rsidP="00E0278A">
            <w:pPr>
              <w:pStyle w:val="MOJnormal"/>
              <w:jc w:val="both"/>
              <w:rPr>
                <w:rFonts w:cs="Arial"/>
                <w:color w:val="000000"/>
                <w:sz w:val="22"/>
                <w:szCs w:val="22"/>
              </w:rPr>
            </w:pPr>
          </w:p>
        </w:tc>
        <w:tc>
          <w:tcPr>
            <w:tcW w:w="4045" w:type="dxa"/>
            <w:vMerge w:val="restart"/>
            <w:tcBorders>
              <w:top w:val="nil"/>
            </w:tcBorders>
          </w:tcPr>
          <w:p w:rsidR="00D92CB3" w:rsidRPr="005D4171" w:rsidRDefault="00D92CB3" w:rsidP="008A0D55">
            <w:pPr>
              <w:tabs>
                <w:tab w:val="left" w:pos="170"/>
              </w:tabs>
              <w:rPr>
                <w:rFonts w:ascii="Arial" w:hAnsi="Arial" w:cs="Arial"/>
                <w:b/>
              </w:rPr>
            </w:pPr>
          </w:p>
        </w:tc>
      </w:tr>
      <w:tr w:rsidR="00D92CB3" w:rsidRPr="005D4171" w:rsidTr="00765F1D">
        <w:trPr>
          <w:cantSplit/>
          <w:trHeight w:val="1324"/>
        </w:trPr>
        <w:tc>
          <w:tcPr>
            <w:tcW w:w="1214" w:type="dxa"/>
          </w:tcPr>
          <w:p w:rsidR="00D92CB3" w:rsidRPr="005D4171" w:rsidRDefault="00D92CB3" w:rsidP="00E0278A">
            <w:pPr>
              <w:pStyle w:val="MOJtext-otheraddress"/>
              <w:jc w:val="both"/>
              <w:rPr>
                <w:rFonts w:cs="Arial"/>
                <w:color w:val="000000"/>
                <w:sz w:val="22"/>
                <w:szCs w:val="22"/>
              </w:rPr>
            </w:pPr>
          </w:p>
        </w:tc>
        <w:tc>
          <w:tcPr>
            <w:tcW w:w="5220" w:type="dxa"/>
          </w:tcPr>
          <w:p w:rsidR="00D92CB3" w:rsidRPr="005D4171" w:rsidRDefault="00D92CB3" w:rsidP="00210CA9">
            <w:pPr>
              <w:rPr>
                <w:rFonts w:ascii="Arial" w:hAnsi="Arial" w:cs="Arial"/>
              </w:rPr>
            </w:pPr>
          </w:p>
          <w:p w:rsidR="00D92CB3" w:rsidRPr="005D4171" w:rsidRDefault="00D92CB3" w:rsidP="00122883">
            <w:pPr>
              <w:rPr>
                <w:rFonts w:ascii="Arial" w:hAnsi="Arial" w:cs="Arial"/>
              </w:rPr>
            </w:pPr>
          </w:p>
        </w:tc>
        <w:tc>
          <w:tcPr>
            <w:tcW w:w="180" w:type="dxa"/>
          </w:tcPr>
          <w:p w:rsidR="00D92CB3" w:rsidRPr="005D4171" w:rsidRDefault="00D92CB3" w:rsidP="00E0278A">
            <w:pPr>
              <w:pStyle w:val="MOJnormal"/>
              <w:jc w:val="both"/>
              <w:rPr>
                <w:rFonts w:cs="Arial"/>
                <w:color w:val="000000"/>
                <w:sz w:val="22"/>
                <w:szCs w:val="22"/>
              </w:rPr>
            </w:pPr>
          </w:p>
        </w:tc>
        <w:tc>
          <w:tcPr>
            <w:tcW w:w="4045" w:type="dxa"/>
            <w:vMerge/>
          </w:tcPr>
          <w:p w:rsidR="00D92CB3" w:rsidRPr="005D4171" w:rsidRDefault="00D92CB3" w:rsidP="00E0278A">
            <w:pPr>
              <w:pStyle w:val="MOJtext-otheraddress"/>
              <w:jc w:val="both"/>
              <w:rPr>
                <w:rFonts w:cs="Arial"/>
                <w:color w:val="000000"/>
                <w:sz w:val="22"/>
                <w:szCs w:val="22"/>
              </w:rPr>
            </w:pPr>
          </w:p>
        </w:tc>
      </w:tr>
      <w:tr w:rsidR="00D92CB3" w:rsidRPr="005D4171" w:rsidTr="00420637">
        <w:trPr>
          <w:cantSplit/>
          <w:trHeight w:val="73"/>
        </w:trPr>
        <w:tc>
          <w:tcPr>
            <w:tcW w:w="1214" w:type="dxa"/>
          </w:tcPr>
          <w:p w:rsidR="00D92CB3" w:rsidRPr="005D4171" w:rsidRDefault="00D92CB3" w:rsidP="00E0278A">
            <w:pPr>
              <w:pStyle w:val="MOJnormal"/>
              <w:jc w:val="both"/>
              <w:rPr>
                <w:rFonts w:cs="Arial"/>
                <w:color w:val="000000"/>
                <w:sz w:val="22"/>
                <w:szCs w:val="22"/>
              </w:rPr>
            </w:pPr>
          </w:p>
        </w:tc>
        <w:tc>
          <w:tcPr>
            <w:tcW w:w="5220" w:type="dxa"/>
          </w:tcPr>
          <w:p w:rsidR="00D92CB3" w:rsidRPr="005D4171" w:rsidRDefault="00D92CB3" w:rsidP="005C143B">
            <w:pPr>
              <w:spacing w:line="280" w:lineRule="atLeast"/>
              <w:jc w:val="both"/>
              <w:rPr>
                <w:rFonts w:ascii="Arial" w:hAnsi="Arial" w:cs="Arial"/>
                <w:i/>
                <w:color w:val="000000"/>
              </w:rPr>
            </w:pPr>
            <w:r w:rsidRPr="005D4171">
              <w:rPr>
                <w:rFonts w:ascii="Arial" w:hAnsi="Arial" w:cs="Arial"/>
                <w:b/>
                <w:color w:val="000000"/>
                <w:sz w:val="22"/>
                <w:szCs w:val="22"/>
              </w:rPr>
              <w:t>Our Reference:</w:t>
            </w:r>
            <w:r w:rsidRPr="005D4171">
              <w:rPr>
                <w:rFonts w:ascii="Arial" w:hAnsi="Arial" w:cs="Arial"/>
                <w:color w:val="000000"/>
                <w:sz w:val="22"/>
                <w:szCs w:val="22"/>
              </w:rPr>
              <w:t xml:space="preserve"> </w:t>
            </w:r>
            <w:r w:rsidR="008A0D55">
              <w:rPr>
                <w:rFonts w:ascii="Arial" w:hAnsi="Arial" w:cs="Arial"/>
                <w:color w:val="000000"/>
                <w:sz w:val="22"/>
                <w:szCs w:val="22"/>
              </w:rPr>
              <w:t xml:space="preserve">508-16 </w:t>
            </w:r>
            <w:r w:rsidRPr="005D4171">
              <w:rPr>
                <w:rFonts w:ascii="Arial" w:hAnsi="Arial" w:cs="Arial"/>
                <w:color w:val="000000"/>
                <w:sz w:val="22"/>
                <w:szCs w:val="22"/>
              </w:rPr>
              <w:t xml:space="preserve">FOI </w:t>
            </w:r>
            <w:r w:rsidR="00F642B9">
              <w:rPr>
                <w:rFonts w:ascii="Arial" w:hAnsi="Arial" w:cs="Arial"/>
                <w:color w:val="000000"/>
                <w:sz w:val="22"/>
                <w:szCs w:val="22"/>
              </w:rPr>
              <w:t>107697</w:t>
            </w:r>
          </w:p>
        </w:tc>
        <w:tc>
          <w:tcPr>
            <w:tcW w:w="180" w:type="dxa"/>
          </w:tcPr>
          <w:p w:rsidR="00D92CB3" w:rsidRPr="005D4171" w:rsidRDefault="00D92CB3" w:rsidP="00E0278A">
            <w:pPr>
              <w:spacing w:line="280" w:lineRule="atLeast"/>
              <w:jc w:val="both"/>
              <w:rPr>
                <w:rFonts w:ascii="Arial" w:hAnsi="Arial" w:cs="Arial"/>
              </w:rPr>
            </w:pPr>
            <w:r w:rsidRPr="005D4171">
              <w:rPr>
                <w:rFonts w:ascii="Arial" w:hAnsi="Arial" w:cs="Arial"/>
                <w:sz w:val="22"/>
                <w:szCs w:val="22"/>
              </w:rPr>
              <w:tab/>
            </w:r>
          </w:p>
        </w:tc>
        <w:tc>
          <w:tcPr>
            <w:tcW w:w="4045" w:type="dxa"/>
          </w:tcPr>
          <w:p w:rsidR="00D92CB3" w:rsidRPr="005D4171" w:rsidRDefault="00F642B9" w:rsidP="00593617">
            <w:pPr>
              <w:pStyle w:val="MOJnormal"/>
              <w:jc w:val="both"/>
              <w:rPr>
                <w:rFonts w:cs="Arial"/>
                <w:sz w:val="22"/>
                <w:szCs w:val="22"/>
              </w:rPr>
            </w:pPr>
            <w:r>
              <w:rPr>
                <w:rFonts w:cs="Arial"/>
                <w:sz w:val="22"/>
                <w:szCs w:val="22"/>
              </w:rPr>
              <w:t>October</w:t>
            </w:r>
            <w:r w:rsidR="00BA562D">
              <w:rPr>
                <w:rFonts w:cs="Arial"/>
                <w:sz w:val="22"/>
                <w:szCs w:val="22"/>
              </w:rPr>
              <w:t xml:space="preserve"> </w:t>
            </w:r>
            <w:r w:rsidR="00D92CB3" w:rsidRPr="005D4171">
              <w:rPr>
                <w:rFonts w:cs="Arial"/>
                <w:sz w:val="22"/>
                <w:szCs w:val="22"/>
              </w:rPr>
              <w:t>201</w:t>
            </w:r>
            <w:r w:rsidR="00BA562D">
              <w:rPr>
                <w:rFonts w:cs="Arial"/>
                <w:sz w:val="22"/>
                <w:szCs w:val="22"/>
              </w:rPr>
              <w:t>6</w:t>
            </w:r>
          </w:p>
        </w:tc>
      </w:tr>
    </w:tbl>
    <w:p w:rsidR="00D92CB3" w:rsidRPr="005D4171" w:rsidRDefault="00D92CB3" w:rsidP="00E0278A">
      <w:pPr>
        <w:jc w:val="both"/>
        <w:rPr>
          <w:rFonts w:ascii="Arial" w:hAnsi="Arial" w:cs="Arial"/>
          <w:sz w:val="22"/>
          <w:szCs w:val="22"/>
        </w:rPr>
      </w:pPr>
    </w:p>
    <w:p w:rsidR="00D92CB3" w:rsidRPr="005D4171" w:rsidRDefault="00D92CB3" w:rsidP="00E0278A">
      <w:pPr>
        <w:jc w:val="both"/>
        <w:rPr>
          <w:rFonts w:ascii="Arial" w:hAnsi="Arial" w:cs="Arial"/>
          <w:sz w:val="22"/>
          <w:szCs w:val="22"/>
        </w:rPr>
      </w:pPr>
    </w:p>
    <w:p w:rsidR="00D92CB3" w:rsidRPr="005D4171" w:rsidRDefault="00D92CB3" w:rsidP="00056836">
      <w:pPr>
        <w:jc w:val="center"/>
        <w:rPr>
          <w:rFonts w:ascii="Arial" w:hAnsi="Arial" w:cs="Arial"/>
          <w:b/>
          <w:sz w:val="22"/>
          <w:szCs w:val="22"/>
        </w:rPr>
      </w:pPr>
      <w:r w:rsidRPr="005D4171">
        <w:rPr>
          <w:rFonts w:ascii="Arial" w:hAnsi="Arial" w:cs="Arial"/>
          <w:b/>
          <w:sz w:val="22"/>
          <w:szCs w:val="22"/>
        </w:rPr>
        <w:t>Freedom of Information Request</w:t>
      </w:r>
    </w:p>
    <w:p w:rsidR="00D92CB3" w:rsidRPr="005D4171" w:rsidRDefault="00D92CB3" w:rsidP="00E0278A">
      <w:pPr>
        <w:jc w:val="both"/>
        <w:rPr>
          <w:rFonts w:ascii="Arial" w:hAnsi="Arial" w:cs="Arial"/>
          <w:sz w:val="22"/>
          <w:szCs w:val="22"/>
        </w:rPr>
      </w:pPr>
    </w:p>
    <w:p w:rsidR="00D92CB3" w:rsidRPr="005D4171" w:rsidRDefault="00D92CB3" w:rsidP="00E0278A">
      <w:pPr>
        <w:spacing w:line="280" w:lineRule="atLeast"/>
        <w:jc w:val="both"/>
        <w:rPr>
          <w:rFonts w:ascii="Arial" w:hAnsi="Arial" w:cs="Arial"/>
          <w:sz w:val="22"/>
          <w:szCs w:val="22"/>
        </w:rPr>
      </w:pPr>
    </w:p>
    <w:p w:rsidR="008A0D55" w:rsidRDefault="008A0D55" w:rsidP="008A0D55">
      <w:pPr>
        <w:rPr>
          <w:rFonts w:ascii="Arial" w:hAnsi="Arial" w:cs="Arial"/>
          <w:sz w:val="22"/>
          <w:szCs w:val="22"/>
        </w:rPr>
      </w:pPr>
      <w:r>
        <w:rPr>
          <w:rFonts w:ascii="Arial" w:hAnsi="Arial" w:cs="Arial"/>
          <w:sz w:val="22"/>
          <w:szCs w:val="22"/>
        </w:rPr>
        <w:t xml:space="preserve">You asked for the following information from the </w:t>
      </w:r>
      <w:r w:rsidRPr="0081625B">
        <w:rPr>
          <w:rFonts w:ascii="Arial" w:hAnsi="Arial" w:cs="Arial"/>
          <w:sz w:val="22"/>
          <w:szCs w:val="22"/>
        </w:rPr>
        <w:t>Ministry of Justice</w:t>
      </w:r>
      <w:r>
        <w:rPr>
          <w:rFonts w:ascii="Arial" w:hAnsi="Arial" w:cs="Arial"/>
          <w:sz w:val="22"/>
          <w:szCs w:val="22"/>
        </w:rPr>
        <w:t xml:space="preserve"> (MoJ):</w:t>
      </w:r>
    </w:p>
    <w:p w:rsidR="00F642B9" w:rsidRPr="00F642B9" w:rsidRDefault="00F642B9" w:rsidP="00F642B9">
      <w:pPr>
        <w:rPr>
          <w:rFonts w:ascii="Arial" w:hAnsi="Arial" w:cs="Arial"/>
          <w:b/>
          <w:sz w:val="22"/>
          <w:szCs w:val="22"/>
        </w:rPr>
      </w:pPr>
    </w:p>
    <w:p w:rsidR="00F642B9" w:rsidRPr="00F642B9" w:rsidRDefault="00F642B9" w:rsidP="00F642B9">
      <w:pPr>
        <w:rPr>
          <w:rFonts w:ascii="Arial" w:hAnsi="Arial" w:cs="Arial"/>
          <w:b/>
          <w:sz w:val="22"/>
          <w:szCs w:val="22"/>
        </w:rPr>
      </w:pPr>
      <w:r>
        <w:rPr>
          <w:rFonts w:ascii="Arial" w:hAnsi="Arial" w:cs="Arial"/>
          <w:b/>
          <w:sz w:val="22"/>
          <w:szCs w:val="22"/>
        </w:rPr>
        <w:t>‘</w:t>
      </w:r>
      <w:r w:rsidRPr="00F642B9">
        <w:rPr>
          <w:rFonts w:ascii="Arial" w:hAnsi="Arial" w:cs="Arial"/>
          <w:b/>
          <w:sz w:val="22"/>
          <w:szCs w:val="22"/>
        </w:rPr>
        <w:t>I am making this request under the provisions of the Freedom of Information Act 2000.</w:t>
      </w:r>
    </w:p>
    <w:p w:rsidR="00F642B9" w:rsidRPr="00F642B9" w:rsidRDefault="00F642B9" w:rsidP="00F642B9">
      <w:pPr>
        <w:rPr>
          <w:rFonts w:ascii="Arial" w:hAnsi="Arial" w:cs="Arial"/>
          <w:b/>
          <w:sz w:val="22"/>
          <w:szCs w:val="22"/>
        </w:rPr>
      </w:pPr>
    </w:p>
    <w:p w:rsidR="00F642B9" w:rsidRPr="00F642B9" w:rsidRDefault="00F642B9" w:rsidP="00F642B9">
      <w:pPr>
        <w:rPr>
          <w:rFonts w:ascii="Arial" w:hAnsi="Arial" w:cs="Arial"/>
          <w:b/>
          <w:sz w:val="22"/>
          <w:szCs w:val="22"/>
        </w:rPr>
      </w:pPr>
      <w:r w:rsidRPr="00F642B9">
        <w:rPr>
          <w:rFonts w:ascii="Arial" w:hAnsi="Arial" w:cs="Arial"/>
          <w:b/>
          <w:sz w:val="22"/>
          <w:szCs w:val="22"/>
        </w:rPr>
        <w:t>The Ministry of Justice produce quarterly Criminal Court Statistics and Table C3 provides details of ineffective Crown Court trials.</w:t>
      </w:r>
      <w:r w:rsidR="005C143B">
        <w:rPr>
          <w:rFonts w:ascii="Arial" w:hAnsi="Arial" w:cs="Arial"/>
          <w:b/>
          <w:sz w:val="22"/>
          <w:szCs w:val="22"/>
        </w:rPr>
        <w:t xml:space="preserve"> </w:t>
      </w:r>
      <w:r w:rsidRPr="00F642B9">
        <w:rPr>
          <w:rFonts w:ascii="Arial" w:hAnsi="Arial" w:cs="Arial"/>
          <w:b/>
          <w:sz w:val="22"/>
          <w:szCs w:val="22"/>
        </w:rPr>
        <w:t>The column "defendants absent/unfit to stand covers:</w:t>
      </w:r>
    </w:p>
    <w:p w:rsidR="00F642B9" w:rsidRPr="00F642B9" w:rsidRDefault="00F642B9" w:rsidP="00F642B9">
      <w:pPr>
        <w:rPr>
          <w:rFonts w:ascii="Arial" w:hAnsi="Arial" w:cs="Arial"/>
          <w:b/>
          <w:sz w:val="22"/>
          <w:szCs w:val="22"/>
        </w:rPr>
      </w:pPr>
    </w:p>
    <w:p w:rsidR="00F642B9" w:rsidRPr="00F642B9" w:rsidRDefault="00F642B9" w:rsidP="00F642B9">
      <w:pPr>
        <w:rPr>
          <w:rFonts w:ascii="Arial" w:hAnsi="Arial" w:cs="Arial"/>
          <w:b/>
          <w:sz w:val="22"/>
          <w:szCs w:val="22"/>
        </w:rPr>
      </w:pPr>
      <w:r w:rsidRPr="00F642B9">
        <w:rPr>
          <w:rFonts w:ascii="Arial" w:hAnsi="Arial" w:cs="Arial"/>
          <w:b/>
          <w:sz w:val="22"/>
          <w:szCs w:val="22"/>
        </w:rPr>
        <w:t>6)  all trials that are ineffective due to 'Defendant absent - did not proceed in absence (judicial discretion', 'Defendant ill or otherwise unfit to proceed', 'Defendant not produced by PECS' and 'Defendant absent - unable to proceed as defendant not notified of place and time of hearing'.</w:t>
      </w:r>
    </w:p>
    <w:p w:rsidR="00F642B9" w:rsidRPr="00F642B9" w:rsidRDefault="00F642B9" w:rsidP="00F642B9">
      <w:pPr>
        <w:rPr>
          <w:rFonts w:ascii="Arial" w:hAnsi="Arial" w:cs="Arial"/>
          <w:b/>
          <w:sz w:val="22"/>
          <w:szCs w:val="22"/>
        </w:rPr>
      </w:pPr>
    </w:p>
    <w:p w:rsidR="00F642B9" w:rsidRPr="00F642B9" w:rsidRDefault="00F642B9" w:rsidP="00F642B9">
      <w:pPr>
        <w:rPr>
          <w:rFonts w:ascii="Arial" w:hAnsi="Arial" w:cs="Arial"/>
          <w:b/>
          <w:sz w:val="22"/>
          <w:szCs w:val="22"/>
        </w:rPr>
      </w:pPr>
      <w:r w:rsidRPr="00F642B9">
        <w:rPr>
          <w:rFonts w:ascii="Arial" w:hAnsi="Arial" w:cs="Arial"/>
          <w:b/>
          <w:sz w:val="22"/>
          <w:szCs w:val="22"/>
        </w:rPr>
        <w:t>I would be most grateful to receive data covering quarter 1 to quarter 4 for the years 2009.2010,2011,2012,2013, 2014 and quarter 1 for 2016:</w:t>
      </w:r>
    </w:p>
    <w:p w:rsidR="00F642B9" w:rsidRPr="00F642B9" w:rsidRDefault="00F642B9" w:rsidP="00F642B9">
      <w:pPr>
        <w:rPr>
          <w:rFonts w:ascii="Arial" w:hAnsi="Arial" w:cs="Arial"/>
          <w:b/>
          <w:sz w:val="22"/>
          <w:szCs w:val="22"/>
        </w:rPr>
      </w:pPr>
    </w:p>
    <w:p w:rsidR="00F642B9" w:rsidRPr="00F642B9" w:rsidRDefault="00F642B9" w:rsidP="00F642B9">
      <w:pPr>
        <w:rPr>
          <w:rFonts w:ascii="Arial" w:hAnsi="Arial" w:cs="Arial"/>
          <w:b/>
          <w:sz w:val="22"/>
          <w:szCs w:val="22"/>
        </w:rPr>
      </w:pPr>
      <w:r w:rsidRPr="00F642B9">
        <w:rPr>
          <w:rFonts w:ascii="Arial" w:hAnsi="Arial" w:cs="Arial"/>
          <w:b/>
          <w:sz w:val="22"/>
          <w:szCs w:val="22"/>
        </w:rPr>
        <w:t>(a)the number of defendants absent where trial did not proceed due to judicial discretion</w:t>
      </w:r>
    </w:p>
    <w:p w:rsidR="00F642B9" w:rsidRPr="00F642B9" w:rsidRDefault="00F642B9" w:rsidP="00F642B9">
      <w:pPr>
        <w:rPr>
          <w:rFonts w:ascii="Arial" w:hAnsi="Arial" w:cs="Arial"/>
          <w:b/>
          <w:sz w:val="22"/>
          <w:szCs w:val="22"/>
        </w:rPr>
      </w:pPr>
      <w:r w:rsidRPr="00F642B9">
        <w:rPr>
          <w:rFonts w:ascii="Arial" w:hAnsi="Arial" w:cs="Arial"/>
          <w:b/>
          <w:sz w:val="22"/>
          <w:szCs w:val="22"/>
        </w:rPr>
        <w:t>(b) the number of defendants absent when the trial did not proceed due to the defendant being ill or otherwise unfit to proceed</w:t>
      </w:r>
    </w:p>
    <w:p w:rsidR="00F642B9" w:rsidRPr="00F642B9" w:rsidRDefault="00F642B9" w:rsidP="00F642B9">
      <w:pPr>
        <w:rPr>
          <w:rFonts w:ascii="Arial" w:hAnsi="Arial" w:cs="Arial"/>
          <w:b/>
          <w:sz w:val="22"/>
          <w:szCs w:val="22"/>
        </w:rPr>
      </w:pPr>
      <w:r w:rsidRPr="00F642B9">
        <w:rPr>
          <w:rFonts w:ascii="Arial" w:hAnsi="Arial" w:cs="Arial"/>
          <w:b/>
          <w:sz w:val="22"/>
          <w:szCs w:val="22"/>
        </w:rPr>
        <w:t>(c) the number of defendants absent when the trial did not proceed because the defendant not produced by PECS and</w:t>
      </w:r>
    </w:p>
    <w:p w:rsidR="00F642B9" w:rsidRPr="00F642B9" w:rsidRDefault="00F642B9" w:rsidP="00F642B9">
      <w:pPr>
        <w:rPr>
          <w:rFonts w:ascii="Arial" w:hAnsi="Arial" w:cs="Arial"/>
          <w:b/>
          <w:sz w:val="22"/>
          <w:szCs w:val="22"/>
        </w:rPr>
      </w:pPr>
      <w:r w:rsidRPr="00F642B9">
        <w:rPr>
          <w:rFonts w:ascii="Arial" w:hAnsi="Arial" w:cs="Arial"/>
          <w:b/>
          <w:sz w:val="22"/>
          <w:szCs w:val="22"/>
        </w:rPr>
        <w:t>(d) the number of defendants absent when the trial did not proceed because the defendant was not notified of place and time and hearing.</w:t>
      </w:r>
    </w:p>
    <w:p w:rsidR="00F642B9" w:rsidRPr="00F642B9" w:rsidRDefault="00F642B9" w:rsidP="00F642B9">
      <w:pPr>
        <w:rPr>
          <w:rFonts w:ascii="Arial" w:hAnsi="Arial" w:cs="Arial"/>
          <w:b/>
          <w:sz w:val="22"/>
          <w:szCs w:val="22"/>
        </w:rPr>
      </w:pPr>
    </w:p>
    <w:p w:rsidR="00F642B9" w:rsidRPr="00F642B9" w:rsidRDefault="00F642B9" w:rsidP="00F642B9">
      <w:pPr>
        <w:rPr>
          <w:rFonts w:ascii="Arial" w:hAnsi="Arial" w:cs="Arial"/>
          <w:b/>
          <w:sz w:val="22"/>
          <w:szCs w:val="22"/>
        </w:rPr>
      </w:pPr>
      <w:r w:rsidRPr="00F642B9">
        <w:rPr>
          <w:rFonts w:ascii="Arial" w:hAnsi="Arial" w:cs="Arial"/>
          <w:b/>
          <w:sz w:val="22"/>
          <w:szCs w:val="22"/>
        </w:rPr>
        <w:t>I would hope that the information would be readily available to the department and would involve a reordering of spreadsheet data. I a conscious though that you may challenge this request on cost limit grounds. In which case I would welcome from you an indication of which ( or the number of years) that you would be able to provide the information I require that would be within the cost limit.</w:t>
      </w:r>
    </w:p>
    <w:p w:rsidR="00F642B9" w:rsidRPr="00F642B9" w:rsidRDefault="00F642B9" w:rsidP="00F642B9">
      <w:pPr>
        <w:rPr>
          <w:rFonts w:ascii="Arial" w:hAnsi="Arial" w:cs="Arial"/>
          <w:b/>
          <w:sz w:val="22"/>
          <w:szCs w:val="22"/>
        </w:rPr>
      </w:pPr>
    </w:p>
    <w:p w:rsidR="00F642B9" w:rsidRPr="00F642B9" w:rsidRDefault="00F642B9" w:rsidP="00F642B9">
      <w:pPr>
        <w:rPr>
          <w:rFonts w:ascii="Arial" w:hAnsi="Arial" w:cs="Arial"/>
          <w:b/>
          <w:sz w:val="22"/>
          <w:szCs w:val="22"/>
        </w:rPr>
      </w:pPr>
      <w:r w:rsidRPr="00F642B9">
        <w:rPr>
          <w:rFonts w:ascii="Arial" w:hAnsi="Arial" w:cs="Arial"/>
          <w:b/>
          <w:sz w:val="22"/>
          <w:szCs w:val="22"/>
        </w:rPr>
        <w:t>I look forward to hearing from you and trust that you will confirm receipt.</w:t>
      </w:r>
      <w:r>
        <w:rPr>
          <w:rFonts w:ascii="Arial" w:hAnsi="Arial" w:cs="Arial"/>
          <w:b/>
          <w:sz w:val="22"/>
          <w:szCs w:val="22"/>
        </w:rPr>
        <w:t>’</w:t>
      </w:r>
    </w:p>
    <w:p w:rsidR="00D92CB3" w:rsidRDefault="00D92CB3" w:rsidP="00754847">
      <w:pPr>
        <w:rPr>
          <w:rFonts w:ascii="Arial" w:hAnsi="Arial" w:cs="Arial"/>
          <w:sz w:val="22"/>
          <w:szCs w:val="22"/>
        </w:rPr>
      </w:pPr>
      <w:r w:rsidRPr="005D4171">
        <w:rPr>
          <w:rFonts w:ascii="Arial" w:hAnsi="Arial" w:cs="Arial"/>
          <w:b/>
          <w:sz w:val="22"/>
          <w:szCs w:val="22"/>
        </w:rPr>
        <w:br/>
      </w:r>
      <w:r w:rsidRPr="005D4171">
        <w:rPr>
          <w:rFonts w:ascii="Arial" w:hAnsi="Arial" w:cs="Arial"/>
          <w:sz w:val="22"/>
          <w:szCs w:val="22"/>
        </w:rPr>
        <w:t>Your request has been handled under the Freedom of Information Act 2000 (FOIA).</w:t>
      </w:r>
    </w:p>
    <w:p w:rsidR="00BA562D" w:rsidRDefault="00BA562D" w:rsidP="00754847">
      <w:pPr>
        <w:rPr>
          <w:rFonts w:ascii="Arial" w:hAnsi="Arial" w:cs="Arial"/>
          <w:sz w:val="22"/>
          <w:szCs w:val="22"/>
        </w:rPr>
      </w:pPr>
    </w:p>
    <w:p w:rsidR="00BA562D" w:rsidRDefault="00BA562D" w:rsidP="00BA562D">
      <w:pPr>
        <w:rPr>
          <w:rFonts w:ascii="Arial" w:hAnsi="Arial" w:cs="Arial"/>
          <w:sz w:val="22"/>
          <w:szCs w:val="22"/>
        </w:rPr>
      </w:pPr>
      <w:r>
        <w:rPr>
          <w:rFonts w:ascii="Arial" w:hAnsi="Arial" w:cs="Arial"/>
          <w:sz w:val="22"/>
          <w:szCs w:val="22"/>
        </w:rPr>
        <w:t xml:space="preserve">I can confirm that the department </w:t>
      </w:r>
      <w:r w:rsidR="000A447B">
        <w:rPr>
          <w:rFonts w:ascii="Arial" w:hAnsi="Arial" w:cs="Arial"/>
          <w:sz w:val="22"/>
          <w:szCs w:val="22"/>
        </w:rPr>
        <w:t xml:space="preserve">holds </w:t>
      </w:r>
      <w:r>
        <w:rPr>
          <w:rFonts w:ascii="Arial" w:hAnsi="Arial" w:cs="Arial"/>
          <w:sz w:val="22"/>
          <w:szCs w:val="22"/>
        </w:rPr>
        <w:t>the information that you have asked for</w:t>
      </w:r>
      <w:r w:rsidR="000A447B">
        <w:rPr>
          <w:rFonts w:ascii="Arial" w:hAnsi="Arial" w:cs="Arial"/>
          <w:sz w:val="22"/>
          <w:szCs w:val="22"/>
        </w:rPr>
        <w:t xml:space="preserve"> regarding ineffective trials due to the reasons that you listed</w:t>
      </w:r>
      <w:r w:rsidR="003D2755">
        <w:rPr>
          <w:rFonts w:ascii="Arial" w:hAnsi="Arial" w:cs="Arial"/>
          <w:sz w:val="22"/>
          <w:szCs w:val="22"/>
        </w:rPr>
        <w:t xml:space="preserve"> relating</w:t>
      </w:r>
      <w:r w:rsidR="000A447B">
        <w:rPr>
          <w:rFonts w:ascii="Arial" w:hAnsi="Arial" w:cs="Arial"/>
          <w:sz w:val="22"/>
          <w:szCs w:val="22"/>
        </w:rPr>
        <w:t xml:space="preserve"> to the defendant being absent</w:t>
      </w:r>
      <w:r>
        <w:rPr>
          <w:rFonts w:ascii="Arial" w:hAnsi="Arial" w:cs="Arial"/>
          <w:sz w:val="22"/>
          <w:szCs w:val="22"/>
        </w:rPr>
        <w:t>.</w:t>
      </w:r>
      <w:r w:rsidR="000A447B">
        <w:rPr>
          <w:rFonts w:ascii="Arial" w:hAnsi="Arial" w:cs="Arial"/>
          <w:sz w:val="22"/>
          <w:szCs w:val="22"/>
        </w:rPr>
        <w:t xml:space="preserve"> However, the </w:t>
      </w:r>
      <w:r>
        <w:rPr>
          <w:rFonts w:ascii="Arial" w:hAnsi="Arial" w:cs="Arial"/>
          <w:sz w:val="22"/>
          <w:szCs w:val="22"/>
        </w:rPr>
        <w:t xml:space="preserve">information </w:t>
      </w:r>
      <w:r w:rsidR="000A447B">
        <w:rPr>
          <w:rFonts w:ascii="Arial" w:hAnsi="Arial" w:cs="Arial"/>
          <w:sz w:val="22"/>
          <w:szCs w:val="22"/>
        </w:rPr>
        <w:t>held</w:t>
      </w:r>
      <w:r>
        <w:rPr>
          <w:rFonts w:ascii="Arial" w:hAnsi="Arial" w:cs="Arial"/>
          <w:sz w:val="22"/>
          <w:szCs w:val="22"/>
        </w:rPr>
        <w:t xml:space="preserve"> is exe</w:t>
      </w:r>
      <w:r w:rsidR="005C143B">
        <w:rPr>
          <w:rFonts w:ascii="Arial" w:hAnsi="Arial" w:cs="Arial"/>
          <w:sz w:val="22"/>
          <w:szCs w:val="22"/>
        </w:rPr>
        <w:t>mpt under section 21 of the FOIA</w:t>
      </w:r>
      <w:r>
        <w:rPr>
          <w:rFonts w:ascii="Arial" w:hAnsi="Arial" w:cs="Arial"/>
          <w:sz w:val="22"/>
          <w:szCs w:val="22"/>
        </w:rPr>
        <w:t xml:space="preserve"> </w:t>
      </w:r>
      <w:r>
        <w:rPr>
          <w:rFonts w:ascii="Arial" w:hAnsi="Arial" w:cs="Arial"/>
          <w:sz w:val="22"/>
          <w:szCs w:val="22"/>
        </w:rPr>
        <w:lastRenderedPageBreak/>
        <w:t>because it is reasonably accessible to you, and I am pleased to inform you that you can access it via the following link.</w:t>
      </w:r>
    </w:p>
    <w:p w:rsidR="005C143B" w:rsidRDefault="005C143B" w:rsidP="00BA562D">
      <w:pPr>
        <w:rPr>
          <w:rFonts w:ascii="Arial" w:hAnsi="Arial" w:cs="Arial"/>
          <w:sz w:val="22"/>
          <w:szCs w:val="22"/>
        </w:rPr>
      </w:pPr>
    </w:p>
    <w:p w:rsidR="00BA562D" w:rsidRDefault="00B17C28" w:rsidP="00754847">
      <w:pPr>
        <w:rPr>
          <w:rFonts w:ascii="Arial" w:hAnsi="Arial" w:cs="Arial"/>
          <w:sz w:val="22"/>
          <w:szCs w:val="22"/>
        </w:rPr>
      </w:pPr>
      <w:hyperlink r:id="rId8" w:history="1">
        <w:r w:rsidR="00F642B9" w:rsidRPr="00793008">
          <w:rPr>
            <w:rStyle w:val="Hyperlink"/>
            <w:rFonts w:ascii="Arial" w:hAnsi="Arial" w:cs="Arial"/>
            <w:sz w:val="22"/>
            <w:szCs w:val="22"/>
          </w:rPr>
          <w:t>https://www.gov.uk/government/statistics/criminal-court-statistics-quarterly-april-to-june-2016</w:t>
        </w:r>
      </w:hyperlink>
    </w:p>
    <w:p w:rsidR="00F642B9" w:rsidRDefault="00F642B9" w:rsidP="00754847">
      <w:pPr>
        <w:rPr>
          <w:rFonts w:ascii="Arial" w:hAnsi="Arial" w:cs="Arial"/>
          <w:sz w:val="22"/>
          <w:szCs w:val="22"/>
        </w:rPr>
      </w:pPr>
    </w:p>
    <w:p w:rsidR="00BA562D" w:rsidRPr="008D3B03" w:rsidRDefault="00CD1E47" w:rsidP="00BA562D">
      <w:pPr>
        <w:rPr>
          <w:rFonts w:ascii="Arial" w:hAnsi="Arial" w:cs="Arial"/>
          <w:b/>
          <w:sz w:val="22"/>
          <w:szCs w:val="22"/>
        </w:rPr>
      </w:pPr>
      <w:r>
        <w:rPr>
          <w:rFonts w:ascii="Arial" w:hAnsi="Arial" w:cs="Arial"/>
          <w:sz w:val="22"/>
          <w:szCs w:val="22"/>
        </w:rPr>
        <w:t>The d</w:t>
      </w:r>
      <w:r w:rsidR="00BA562D">
        <w:rPr>
          <w:rFonts w:ascii="Arial" w:hAnsi="Arial" w:cs="Arial"/>
          <w:sz w:val="22"/>
          <w:szCs w:val="22"/>
        </w:rPr>
        <w:t xml:space="preserve">ata </w:t>
      </w:r>
      <w:r>
        <w:rPr>
          <w:rFonts w:ascii="Arial" w:hAnsi="Arial" w:cs="Arial"/>
          <w:sz w:val="22"/>
          <w:szCs w:val="22"/>
        </w:rPr>
        <w:t xml:space="preserve">presents </w:t>
      </w:r>
      <w:r w:rsidR="00BA562D">
        <w:rPr>
          <w:rFonts w:ascii="Arial" w:hAnsi="Arial" w:cs="Arial"/>
          <w:sz w:val="22"/>
          <w:szCs w:val="22"/>
        </w:rPr>
        <w:t xml:space="preserve">the </w:t>
      </w:r>
      <w:r w:rsidR="008D3B03">
        <w:rPr>
          <w:rFonts w:ascii="Arial" w:hAnsi="Arial" w:cs="Arial"/>
          <w:sz w:val="22"/>
          <w:szCs w:val="22"/>
        </w:rPr>
        <w:t xml:space="preserve">number of </w:t>
      </w:r>
      <w:r w:rsidR="008D3B03" w:rsidRPr="008D3B03">
        <w:rPr>
          <w:rFonts w:ascii="Arial" w:hAnsi="Arial" w:cs="Arial"/>
          <w:sz w:val="22"/>
          <w:szCs w:val="22"/>
        </w:rPr>
        <w:t>trials that are ineffective due to ‘defendants absent/unfit to stand’ broken down into</w:t>
      </w:r>
      <w:r w:rsidR="008D3B03">
        <w:rPr>
          <w:rFonts w:ascii="Arial" w:hAnsi="Arial" w:cs="Arial"/>
          <w:sz w:val="22"/>
          <w:szCs w:val="22"/>
        </w:rPr>
        <w:t xml:space="preserve"> its sub categories of</w:t>
      </w:r>
      <w:r w:rsidR="008D3B03" w:rsidRPr="008D3B03">
        <w:rPr>
          <w:rFonts w:ascii="Arial" w:hAnsi="Arial" w:cs="Arial"/>
          <w:sz w:val="22"/>
          <w:szCs w:val="22"/>
        </w:rPr>
        <w:t xml:space="preserve"> 'Defendant absent - did not proceed in absence (judicial discretion</w:t>
      </w:r>
      <w:r>
        <w:rPr>
          <w:rFonts w:ascii="Arial" w:hAnsi="Arial" w:cs="Arial"/>
          <w:sz w:val="22"/>
          <w:szCs w:val="22"/>
        </w:rPr>
        <w:t>)</w:t>
      </w:r>
      <w:r w:rsidR="008D3B03" w:rsidRPr="008D3B03">
        <w:rPr>
          <w:rFonts w:ascii="Arial" w:hAnsi="Arial" w:cs="Arial"/>
          <w:sz w:val="22"/>
          <w:szCs w:val="22"/>
        </w:rPr>
        <w:t>', 'Defendant ill or otherwise unfit to proceed', 'Defendant not produced by PECS' and 'Defendant absent - unable to proceed as defendant not notified of place and time of hearing'</w:t>
      </w:r>
      <w:r w:rsidR="008D3B03">
        <w:rPr>
          <w:rFonts w:ascii="Arial" w:hAnsi="Arial" w:cs="Arial"/>
          <w:sz w:val="22"/>
          <w:szCs w:val="22"/>
        </w:rPr>
        <w:t xml:space="preserve">. It can be found in the </w:t>
      </w:r>
      <w:r w:rsidR="00B14692">
        <w:rPr>
          <w:rFonts w:ascii="Arial" w:hAnsi="Arial" w:cs="Arial"/>
          <w:sz w:val="22"/>
          <w:szCs w:val="22"/>
        </w:rPr>
        <w:t>‘</w:t>
      </w:r>
      <w:r w:rsidR="008D3B03">
        <w:rPr>
          <w:rFonts w:ascii="Arial" w:hAnsi="Arial" w:cs="Arial"/>
          <w:sz w:val="22"/>
          <w:szCs w:val="22"/>
        </w:rPr>
        <w:t>Criminal Courts listings transparency</w:t>
      </w:r>
      <w:r w:rsidR="00B14692">
        <w:rPr>
          <w:rFonts w:ascii="Arial" w:hAnsi="Arial" w:cs="Arial"/>
          <w:sz w:val="22"/>
          <w:szCs w:val="22"/>
        </w:rPr>
        <w:t>’</w:t>
      </w:r>
      <w:r w:rsidR="008D3B03">
        <w:rPr>
          <w:rFonts w:ascii="Arial" w:hAnsi="Arial" w:cs="Arial"/>
          <w:sz w:val="22"/>
          <w:szCs w:val="22"/>
        </w:rPr>
        <w:t xml:space="preserve"> </w:t>
      </w:r>
      <w:r>
        <w:rPr>
          <w:rFonts w:ascii="Arial" w:hAnsi="Arial" w:cs="Arial"/>
          <w:sz w:val="22"/>
          <w:szCs w:val="22"/>
        </w:rPr>
        <w:t>file</w:t>
      </w:r>
      <w:r w:rsidR="00B14692">
        <w:rPr>
          <w:rFonts w:ascii="Arial" w:hAnsi="Arial" w:cs="Arial"/>
          <w:sz w:val="22"/>
          <w:szCs w:val="22"/>
        </w:rPr>
        <w:t>, which you can access via the above link to our latest publication,</w:t>
      </w:r>
      <w:r>
        <w:rPr>
          <w:rFonts w:ascii="Arial" w:hAnsi="Arial" w:cs="Arial"/>
          <w:sz w:val="22"/>
          <w:szCs w:val="22"/>
        </w:rPr>
        <w:t xml:space="preserve"> </w:t>
      </w:r>
      <w:r w:rsidR="00B14692">
        <w:rPr>
          <w:rFonts w:ascii="Arial" w:hAnsi="Arial" w:cs="Arial"/>
          <w:sz w:val="22"/>
          <w:szCs w:val="22"/>
        </w:rPr>
        <w:t>this file</w:t>
      </w:r>
      <w:r w:rsidR="008D3B03">
        <w:rPr>
          <w:rFonts w:ascii="Arial" w:hAnsi="Arial" w:cs="Arial"/>
          <w:sz w:val="22"/>
          <w:szCs w:val="22"/>
        </w:rPr>
        <w:t xml:space="preserve"> shows the quarterly breakdown from Q1 2010</w:t>
      </w:r>
      <w:r>
        <w:rPr>
          <w:rFonts w:ascii="Arial" w:hAnsi="Arial" w:cs="Arial"/>
          <w:sz w:val="22"/>
          <w:szCs w:val="22"/>
        </w:rPr>
        <w:t>;</w:t>
      </w:r>
      <w:r w:rsidR="008D3B03">
        <w:rPr>
          <w:rFonts w:ascii="Arial" w:hAnsi="Arial" w:cs="Arial"/>
          <w:sz w:val="22"/>
          <w:szCs w:val="22"/>
        </w:rPr>
        <w:t xml:space="preserve"> data prior to this</w:t>
      </w:r>
      <w:r>
        <w:rPr>
          <w:rFonts w:ascii="Arial" w:hAnsi="Arial" w:cs="Arial"/>
          <w:sz w:val="22"/>
          <w:szCs w:val="22"/>
        </w:rPr>
        <w:t xml:space="preserve"> date</w:t>
      </w:r>
      <w:r w:rsidR="008D3B03">
        <w:rPr>
          <w:rFonts w:ascii="Arial" w:hAnsi="Arial" w:cs="Arial"/>
          <w:sz w:val="22"/>
          <w:szCs w:val="22"/>
        </w:rPr>
        <w:t xml:space="preserve"> is unavailable</w:t>
      </w:r>
      <w:r w:rsidR="00BA562D">
        <w:rPr>
          <w:rFonts w:ascii="Arial" w:hAnsi="Arial" w:cs="Arial"/>
          <w:sz w:val="22"/>
          <w:szCs w:val="22"/>
        </w:rPr>
        <w:t>.</w:t>
      </w:r>
    </w:p>
    <w:p w:rsidR="00C36EF1" w:rsidRDefault="00C36EF1" w:rsidP="00BA562D">
      <w:pPr>
        <w:rPr>
          <w:rFonts w:ascii="Arial" w:hAnsi="Arial" w:cs="Arial"/>
          <w:sz w:val="22"/>
          <w:szCs w:val="22"/>
        </w:rPr>
      </w:pPr>
    </w:p>
    <w:p w:rsidR="00C36EF1" w:rsidRPr="00C36EF1" w:rsidRDefault="00C36EF1" w:rsidP="00C36EF1">
      <w:pPr>
        <w:rPr>
          <w:rFonts w:ascii="Arial" w:hAnsi="Arial" w:cs="Arial"/>
          <w:sz w:val="22"/>
          <w:szCs w:val="22"/>
        </w:rPr>
      </w:pPr>
      <w:r w:rsidRPr="00C36EF1">
        <w:rPr>
          <w:rFonts w:ascii="Arial" w:hAnsi="Arial" w:cs="Arial"/>
          <w:sz w:val="22"/>
          <w:szCs w:val="22"/>
        </w:rPr>
        <w:t xml:space="preserve">Section 21 of the </w:t>
      </w:r>
      <w:r>
        <w:rPr>
          <w:rFonts w:ascii="Arial" w:hAnsi="Arial" w:cs="Arial"/>
          <w:sz w:val="22"/>
          <w:szCs w:val="22"/>
        </w:rPr>
        <w:t>FOIA</w:t>
      </w:r>
      <w:r w:rsidRPr="00C36EF1">
        <w:rPr>
          <w:rFonts w:ascii="Arial" w:hAnsi="Arial" w:cs="Arial"/>
          <w:sz w:val="22"/>
          <w:szCs w:val="22"/>
        </w:rPr>
        <w:t xml:space="preserve"> exempts disclosure of information that is reasonably accessible by other means, and the terms of the exemption mean that we do not have to consider whether or not it would be in the public interest for you to have the information. </w:t>
      </w:r>
    </w:p>
    <w:p w:rsidR="00C36EF1" w:rsidRDefault="00C36EF1" w:rsidP="00BA562D">
      <w:pPr>
        <w:rPr>
          <w:rFonts w:ascii="Arial" w:hAnsi="Arial" w:cs="Arial"/>
          <w:sz w:val="22"/>
          <w:szCs w:val="22"/>
        </w:rPr>
      </w:pPr>
    </w:p>
    <w:p w:rsidR="00C36EF1" w:rsidRPr="00C36EF1" w:rsidRDefault="00C36EF1" w:rsidP="00C36EF1">
      <w:pPr>
        <w:rPr>
          <w:rFonts w:ascii="Arial" w:hAnsi="Arial" w:cs="Arial"/>
          <w:sz w:val="22"/>
          <w:szCs w:val="22"/>
        </w:rPr>
      </w:pPr>
      <w:r w:rsidRPr="00C36EF1">
        <w:rPr>
          <w:rFonts w:ascii="Arial" w:hAnsi="Arial" w:cs="Arial"/>
          <w:sz w:val="22"/>
          <w:szCs w:val="22"/>
        </w:rPr>
        <w:t xml:space="preserve">You can find out more about Section 21 by </w:t>
      </w:r>
      <w:r w:rsidR="005C143B">
        <w:rPr>
          <w:rFonts w:ascii="Arial" w:hAnsi="Arial" w:cs="Arial"/>
          <w:sz w:val="22"/>
          <w:szCs w:val="22"/>
        </w:rPr>
        <w:t>reading the extract from the FOIA</w:t>
      </w:r>
      <w:r w:rsidRPr="00C36EF1">
        <w:rPr>
          <w:rFonts w:ascii="Arial" w:hAnsi="Arial" w:cs="Arial"/>
          <w:sz w:val="22"/>
          <w:szCs w:val="22"/>
        </w:rPr>
        <w:t xml:space="preserve"> and some guidance points we consider when applying this exemption, attached at the end of this letter.</w:t>
      </w:r>
    </w:p>
    <w:p w:rsidR="00C36EF1" w:rsidRPr="00C36EF1" w:rsidRDefault="00C36EF1" w:rsidP="00C36EF1">
      <w:pPr>
        <w:rPr>
          <w:rFonts w:ascii="Arial" w:hAnsi="Arial" w:cs="Arial"/>
          <w:sz w:val="22"/>
          <w:szCs w:val="22"/>
        </w:rPr>
      </w:pPr>
    </w:p>
    <w:p w:rsidR="008A0D55" w:rsidRPr="005114FB" w:rsidRDefault="008A0D55" w:rsidP="008A0D55">
      <w:pPr>
        <w:autoSpaceDE w:val="0"/>
        <w:autoSpaceDN w:val="0"/>
        <w:adjustRightInd w:val="0"/>
        <w:rPr>
          <w:rFonts w:ascii="Arial" w:hAnsi="Arial" w:cs="Arial"/>
          <w:color w:val="0000FF"/>
          <w:sz w:val="22"/>
          <w:szCs w:val="22"/>
        </w:rPr>
      </w:pPr>
      <w:r w:rsidRPr="005114FB">
        <w:rPr>
          <w:rFonts w:ascii="Arial" w:hAnsi="Arial" w:cs="Arial"/>
          <w:sz w:val="22"/>
          <w:szCs w:val="22"/>
        </w:rPr>
        <w:t xml:space="preserve">You can also find more information by reading the full text of the Act, available at </w:t>
      </w:r>
      <w:hyperlink r:id="rId9" w:history="1">
        <w:r w:rsidRPr="005114FB">
          <w:rPr>
            <w:rStyle w:val="Hyperlink"/>
            <w:rFonts w:ascii="Arial" w:hAnsi="Arial" w:cs="Arial"/>
            <w:sz w:val="22"/>
            <w:szCs w:val="22"/>
          </w:rPr>
          <w:t>http://www.legislation.gov.uk/ukpga/2000/36/contents</w:t>
        </w:r>
      </w:hyperlink>
      <w:r>
        <w:rPr>
          <w:rFonts w:ascii="Arial" w:hAnsi="Arial" w:cs="Arial"/>
          <w:sz w:val="22"/>
          <w:szCs w:val="22"/>
        </w:rPr>
        <w:t>.</w:t>
      </w:r>
      <w:r w:rsidRPr="005114FB">
        <w:rPr>
          <w:rFonts w:ascii="Arial" w:hAnsi="Arial" w:cs="Arial"/>
          <w:sz w:val="22"/>
          <w:szCs w:val="22"/>
        </w:rPr>
        <w:t xml:space="preserve"> </w:t>
      </w:r>
    </w:p>
    <w:p w:rsidR="00C36EF1" w:rsidRPr="00C36EF1" w:rsidRDefault="00C36EF1" w:rsidP="00C36EF1">
      <w:pPr>
        <w:rPr>
          <w:rFonts w:ascii="Arial" w:hAnsi="Arial" w:cs="Arial"/>
          <w:sz w:val="22"/>
          <w:szCs w:val="22"/>
        </w:rPr>
      </w:pPr>
    </w:p>
    <w:p w:rsidR="00805202" w:rsidRDefault="00805202" w:rsidP="00805202">
      <w:pPr>
        <w:rPr>
          <w:color w:val="000000"/>
          <w:szCs w:val="22"/>
        </w:rPr>
      </w:pPr>
    </w:p>
    <w:sectPr w:rsidR="00805202" w:rsidSect="002179DD">
      <w:footerReference w:type="default" r:id="rId10"/>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035" w:rsidRDefault="00882035">
      <w:r>
        <w:separator/>
      </w:r>
    </w:p>
  </w:endnote>
  <w:endnote w:type="continuationSeparator" w:id="0">
    <w:p w:rsidR="00882035" w:rsidRDefault="0088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B3" w:rsidRPr="002179DD" w:rsidRDefault="00D92CB3"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035" w:rsidRDefault="00882035">
      <w:r>
        <w:separator/>
      </w:r>
    </w:p>
  </w:footnote>
  <w:footnote w:type="continuationSeparator" w:id="0">
    <w:p w:rsidR="00882035" w:rsidRDefault="00882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7AA142E"/>
    <w:multiLevelType w:val="hybridMultilevel"/>
    <w:tmpl w:val="B084EC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33686B2"/>
    <w:multiLevelType w:val="hybridMultilevel"/>
    <w:tmpl w:val="AB6A9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D5E0B33"/>
    <w:multiLevelType w:val="hybridMultilevel"/>
    <w:tmpl w:val="9E5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94317"/>
    <w:multiLevelType w:val="hybridMultilevel"/>
    <w:tmpl w:val="BE16F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1EF7D72"/>
    <w:multiLevelType w:val="hybridMultilevel"/>
    <w:tmpl w:val="F316453A"/>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233F5690"/>
    <w:multiLevelType w:val="hybridMultilevel"/>
    <w:tmpl w:val="312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E148B"/>
    <w:multiLevelType w:val="hybridMultilevel"/>
    <w:tmpl w:val="43C533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877B0"/>
    <w:multiLevelType w:val="hybridMultilevel"/>
    <w:tmpl w:val="1175377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9"/>
  </w:num>
  <w:num w:numId="4">
    <w:abstractNumId w:val="11"/>
  </w:num>
  <w:num w:numId="5">
    <w:abstractNumId w:val="0"/>
  </w:num>
  <w:num w:numId="6">
    <w:abstractNumId w:val="17"/>
  </w:num>
  <w:num w:numId="7">
    <w:abstractNumId w:val="3"/>
  </w:num>
  <w:num w:numId="8">
    <w:abstractNumId w:val="18"/>
  </w:num>
  <w:num w:numId="9">
    <w:abstractNumId w:val="14"/>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12"/>
  </w:num>
  <w:num w:numId="15">
    <w:abstractNumId w:val="8"/>
  </w:num>
  <w:num w:numId="16">
    <w:abstractNumId w:val="2"/>
  </w:num>
  <w:num w:numId="17">
    <w:abstractNumId w:val="6"/>
  </w:num>
  <w:num w:numId="18">
    <w:abstractNumId w:val="4"/>
  </w:num>
  <w:num w:numId="19">
    <w:abstractNumId w:val="9"/>
  </w:num>
  <w:num w:numId="20">
    <w:abstractNumId w:val="10"/>
  </w:num>
  <w:num w:numId="21">
    <w:abstractNumId w:val="20"/>
  </w:num>
  <w:num w:numId="22">
    <w:abstractNumId w:val="2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71DB"/>
    <w:rsid w:val="00010513"/>
    <w:rsid w:val="000126C5"/>
    <w:rsid w:val="00024997"/>
    <w:rsid w:val="00025312"/>
    <w:rsid w:val="000258B7"/>
    <w:rsid w:val="00031C10"/>
    <w:rsid w:val="00040150"/>
    <w:rsid w:val="00043C1B"/>
    <w:rsid w:val="0004742A"/>
    <w:rsid w:val="000534BE"/>
    <w:rsid w:val="00053642"/>
    <w:rsid w:val="00055EFE"/>
    <w:rsid w:val="00056836"/>
    <w:rsid w:val="00061A6F"/>
    <w:rsid w:val="000620B5"/>
    <w:rsid w:val="00063A09"/>
    <w:rsid w:val="00071C77"/>
    <w:rsid w:val="00077BE3"/>
    <w:rsid w:val="00080632"/>
    <w:rsid w:val="0008298F"/>
    <w:rsid w:val="00086D34"/>
    <w:rsid w:val="0008744F"/>
    <w:rsid w:val="00092584"/>
    <w:rsid w:val="00095E4B"/>
    <w:rsid w:val="000A06FF"/>
    <w:rsid w:val="000A0777"/>
    <w:rsid w:val="000A0A01"/>
    <w:rsid w:val="000A1000"/>
    <w:rsid w:val="000A2BCA"/>
    <w:rsid w:val="000A31AD"/>
    <w:rsid w:val="000A447B"/>
    <w:rsid w:val="000A4ABF"/>
    <w:rsid w:val="000B2840"/>
    <w:rsid w:val="000B2923"/>
    <w:rsid w:val="000B4E3E"/>
    <w:rsid w:val="000C1619"/>
    <w:rsid w:val="000D35B0"/>
    <w:rsid w:val="000D5DAF"/>
    <w:rsid w:val="000E4BB3"/>
    <w:rsid w:val="000E64E1"/>
    <w:rsid w:val="000E7898"/>
    <w:rsid w:val="000F1440"/>
    <w:rsid w:val="0010285C"/>
    <w:rsid w:val="001050D1"/>
    <w:rsid w:val="001100C6"/>
    <w:rsid w:val="00116245"/>
    <w:rsid w:val="00117A01"/>
    <w:rsid w:val="00122883"/>
    <w:rsid w:val="00122F06"/>
    <w:rsid w:val="00127DDB"/>
    <w:rsid w:val="00132927"/>
    <w:rsid w:val="00134614"/>
    <w:rsid w:val="00134719"/>
    <w:rsid w:val="00137513"/>
    <w:rsid w:val="001432DE"/>
    <w:rsid w:val="00150135"/>
    <w:rsid w:val="00150A41"/>
    <w:rsid w:val="00150C77"/>
    <w:rsid w:val="00151DE5"/>
    <w:rsid w:val="00174D42"/>
    <w:rsid w:val="00184C64"/>
    <w:rsid w:val="001878D3"/>
    <w:rsid w:val="001A0315"/>
    <w:rsid w:val="001A6C9B"/>
    <w:rsid w:val="001B44FA"/>
    <w:rsid w:val="001C0495"/>
    <w:rsid w:val="001C27E9"/>
    <w:rsid w:val="001C731B"/>
    <w:rsid w:val="001D01A8"/>
    <w:rsid w:val="001D23C9"/>
    <w:rsid w:val="001D282F"/>
    <w:rsid w:val="001D6D3E"/>
    <w:rsid w:val="001D7515"/>
    <w:rsid w:val="001E114F"/>
    <w:rsid w:val="001E1616"/>
    <w:rsid w:val="001F3C9C"/>
    <w:rsid w:val="001F6DE7"/>
    <w:rsid w:val="001F777B"/>
    <w:rsid w:val="00201C4B"/>
    <w:rsid w:val="00206D08"/>
    <w:rsid w:val="0020753E"/>
    <w:rsid w:val="00210CA9"/>
    <w:rsid w:val="002179DD"/>
    <w:rsid w:val="002220BB"/>
    <w:rsid w:val="00222466"/>
    <w:rsid w:val="002322A3"/>
    <w:rsid w:val="002339B5"/>
    <w:rsid w:val="0024036C"/>
    <w:rsid w:val="002406DF"/>
    <w:rsid w:val="00242971"/>
    <w:rsid w:val="00243E59"/>
    <w:rsid w:val="002442F5"/>
    <w:rsid w:val="002459FB"/>
    <w:rsid w:val="002612C0"/>
    <w:rsid w:val="00261480"/>
    <w:rsid w:val="0028436F"/>
    <w:rsid w:val="002857FE"/>
    <w:rsid w:val="00293B30"/>
    <w:rsid w:val="002A36CC"/>
    <w:rsid w:val="002A6B84"/>
    <w:rsid w:val="002A7585"/>
    <w:rsid w:val="002B3281"/>
    <w:rsid w:val="002B69AB"/>
    <w:rsid w:val="002B70E4"/>
    <w:rsid w:val="002C344B"/>
    <w:rsid w:val="002D514B"/>
    <w:rsid w:val="002D64E4"/>
    <w:rsid w:val="002D67C6"/>
    <w:rsid w:val="002D6A50"/>
    <w:rsid w:val="002E6ECF"/>
    <w:rsid w:val="002F2FEF"/>
    <w:rsid w:val="002F5E4B"/>
    <w:rsid w:val="002F744C"/>
    <w:rsid w:val="003076EC"/>
    <w:rsid w:val="00316811"/>
    <w:rsid w:val="00317FA4"/>
    <w:rsid w:val="00335365"/>
    <w:rsid w:val="00337321"/>
    <w:rsid w:val="00342490"/>
    <w:rsid w:val="00346F53"/>
    <w:rsid w:val="0035359D"/>
    <w:rsid w:val="0035369B"/>
    <w:rsid w:val="00356168"/>
    <w:rsid w:val="00360042"/>
    <w:rsid w:val="003711E5"/>
    <w:rsid w:val="003739CB"/>
    <w:rsid w:val="003745DA"/>
    <w:rsid w:val="00376169"/>
    <w:rsid w:val="00377547"/>
    <w:rsid w:val="0038023F"/>
    <w:rsid w:val="00385C3A"/>
    <w:rsid w:val="00390621"/>
    <w:rsid w:val="00396422"/>
    <w:rsid w:val="0039741C"/>
    <w:rsid w:val="0039743C"/>
    <w:rsid w:val="003A0013"/>
    <w:rsid w:val="003A6105"/>
    <w:rsid w:val="003D053D"/>
    <w:rsid w:val="003D2755"/>
    <w:rsid w:val="003D5FCE"/>
    <w:rsid w:val="003E0257"/>
    <w:rsid w:val="003E1003"/>
    <w:rsid w:val="003E1153"/>
    <w:rsid w:val="003F455B"/>
    <w:rsid w:val="003F4618"/>
    <w:rsid w:val="003F6C63"/>
    <w:rsid w:val="003F783E"/>
    <w:rsid w:val="00401094"/>
    <w:rsid w:val="00401A5E"/>
    <w:rsid w:val="0040377C"/>
    <w:rsid w:val="0040394F"/>
    <w:rsid w:val="004043FF"/>
    <w:rsid w:val="00404D19"/>
    <w:rsid w:val="0040644E"/>
    <w:rsid w:val="00411A90"/>
    <w:rsid w:val="00420637"/>
    <w:rsid w:val="00420F84"/>
    <w:rsid w:val="00422D15"/>
    <w:rsid w:val="00423ACA"/>
    <w:rsid w:val="004253BB"/>
    <w:rsid w:val="004312A5"/>
    <w:rsid w:val="00431C3F"/>
    <w:rsid w:val="004342B5"/>
    <w:rsid w:val="00437355"/>
    <w:rsid w:val="00437C9C"/>
    <w:rsid w:val="0044205C"/>
    <w:rsid w:val="004557AB"/>
    <w:rsid w:val="00460536"/>
    <w:rsid w:val="00471AE1"/>
    <w:rsid w:val="00473B40"/>
    <w:rsid w:val="004755F0"/>
    <w:rsid w:val="004777FF"/>
    <w:rsid w:val="00477CB0"/>
    <w:rsid w:val="004822A7"/>
    <w:rsid w:val="0048337C"/>
    <w:rsid w:val="00484578"/>
    <w:rsid w:val="00487F73"/>
    <w:rsid w:val="004931CC"/>
    <w:rsid w:val="004951FA"/>
    <w:rsid w:val="004A6618"/>
    <w:rsid w:val="004A6D0E"/>
    <w:rsid w:val="004A734A"/>
    <w:rsid w:val="004B02BA"/>
    <w:rsid w:val="004B140E"/>
    <w:rsid w:val="004B1662"/>
    <w:rsid w:val="004C5C4E"/>
    <w:rsid w:val="004C6D4A"/>
    <w:rsid w:val="004D0EBF"/>
    <w:rsid w:val="004D2A71"/>
    <w:rsid w:val="004D40F4"/>
    <w:rsid w:val="004E1E12"/>
    <w:rsid w:val="004F0A57"/>
    <w:rsid w:val="00500805"/>
    <w:rsid w:val="00501BDD"/>
    <w:rsid w:val="00503D6A"/>
    <w:rsid w:val="005053BA"/>
    <w:rsid w:val="005202DD"/>
    <w:rsid w:val="0052376C"/>
    <w:rsid w:val="005241A3"/>
    <w:rsid w:val="00525A8F"/>
    <w:rsid w:val="0053271E"/>
    <w:rsid w:val="00532EC5"/>
    <w:rsid w:val="005335F7"/>
    <w:rsid w:val="00536584"/>
    <w:rsid w:val="0054661B"/>
    <w:rsid w:val="00551AA6"/>
    <w:rsid w:val="005552CD"/>
    <w:rsid w:val="0055676E"/>
    <w:rsid w:val="00556E62"/>
    <w:rsid w:val="005655FA"/>
    <w:rsid w:val="00565CB7"/>
    <w:rsid w:val="00567C36"/>
    <w:rsid w:val="00570162"/>
    <w:rsid w:val="00572A2D"/>
    <w:rsid w:val="00572BB9"/>
    <w:rsid w:val="0058256B"/>
    <w:rsid w:val="005859FB"/>
    <w:rsid w:val="00593617"/>
    <w:rsid w:val="005954D5"/>
    <w:rsid w:val="005968F2"/>
    <w:rsid w:val="00597A67"/>
    <w:rsid w:val="005A050D"/>
    <w:rsid w:val="005A1792"/>
    <w:rsid w:val="005A1E6D"/>
    <w:rsid w:val="005A4F65"/>
    <w:rsid w:val="005A5DC4"/>
    <w:rsid w:val="005B7296"/>
    <w:rsid w:val="005C143B"/>
    <w:rsid w:val="005C2AFE"/>
    <w:rsid w:val="005C454C"/>
    <w:rsid w:val="005D0735"/>
    <w:rsid w:val="005D0A14"/>
    <w:rsid w:val="005D38FA"/>
    <w:rsid w:val="005D4171"/>
    <w:rsid w:val="005D4F21"/>
    <w:rsid w:val="005E435B"/>
    <w:rsid w:val="005E5ACD"/>
    <w:rsid w:val="005E5D25"/>
    <w:rsid w:val="005F6CE9"/>
    <w:rsid w:val="006013D5"/>
    <w:rsid w:val="00601B1D"/>
    <w:rsid w:val="006029BB"/>
    <w:rsid w:val="00615307"/>
    <w:rsid w:val="006255B0"/>
    <w:rsid w:val="00627557"/>
    <w:rsid w:val="006320EC"/>
    <w:rsid w:val="00634221"/>
    <w:rsid w:val="00636032"/>
    <w:rsid w:val="00646B6D"/>
    <w:rsid w:val="006616A8"/>
    <w:rsid w:val="00667A83"/>
    <w:rsid w:val="00672C95"/>
    <w:rsid w:val="00675A08"/>
    <w:rsid w:val="00676E2C"/>
    <w:rsid w:val="006842A3"/>
    <w:rsid w:val="006862E8"/>
    <w:rsid w:val="00687973"/>
    <w:rsid w:val="00690083"/>
    <w:rsid w:val="0069146C"/>
    <w:rsid w:val="00692310"/>
    <w:rsid w:val="00693188"/>
    <w:rsid w:val="00697E59"/>
    <w:rsid w:val="006A3AB3"/>
    <w:rsid w:val="006A7130"/>
    <w:rsid w:val="006A727B"/>
    <w:rsid w:val="006B25F9"/>
    <w:rsid w:val="006B3508"/>
    <w:rsid w:val="006B4D47"/>
    <w:rsid w:val="006C000D"/>
    <w:rsid w:val="006C2D27"/>
    <w:rsid w:val="006C764F"/>
    <w:rsid w:val="006C78A0"/>
    <w:rsid w:val="006D14CA"/>
    <w:rsid w:val="006D67A3"/>
    <w:rsid w:val="006E09DF"/>
    <w:rsid w:val="006E1A90"/>
    <w:rsid w:val="006E228C"/>
    <w:rsid w:val="006E2D9C"/>
    <w:rsid w:val="006E39A0"/>
    <w:rsid w:val="006E6F05"/>
    <w:rsid w:val="006F1ECA"/>
    <w:rsid w:val="006F476C"/>
    <w:rsid w:val="00700DCE"/>
    <w:rsid w:val="00707F63"/>
    <w:rsid w:val="00711FF5"/>
    <w:rsid w:val="0072014F"/>
    <w:rsid w:val="0072383F"/>
    <w:rsid w:val="00725739"/>
    <w:rsid w:val="00730F61"/>
    <w:rsid w:val="007341B2"/>
    <w:rsid w:val="0073655C"/>
    <w:rsid w:val="00737BF7"/>
    <w:rsid w:val="00742E49"/>
    <w:rsid w:val="007447C1"/>
    <w:rsid w:val="007544D9"/>
    <w:rsid w:val="00754847"/>
    <w:rsid w:val="00757012"/>
    <w:rsid w:val="007622A2"/>
    <w:rsid w:val="00762BB0"/>
    <w:rsid w:val="00763593"/>
    <w:rsid w:val="00765F1D"/>
    <w:rsid w:val="007719F1"/>
    <w:rsid w:val="007833AC"/>
    <w:rsid w:val="00796014"/>
    <w:rsid w:val="00797F9C"/>
    <w:rsid w:val="007A3937"/>
    <w:rsid w:val="007A3E3F"/>
    <w:rsid w:val="007A749C"/>
    <w:rsid w:val="007B19B0"/>
    <w:rsid w:val="007B602E"/>
    <w:rsid w:val="007C51D3"/>
    <w:rsid w:val="007D2120"/>
    <w:rsid w:val="007D3130"/>
    <w:rsid w:val="007D3CA6"/>
    <w:rsid w:val="007E7129"/>
    <w:rsid w:val="007E7926"/>
    <w:rsid w:val="007F0C89"/>
    <w:rsid w:val="007F1E49"/>
    <w:rsid w:val="007F2CB3"/>
    <w:rsid w:val="007F5B87"/>
    <w:rsid w:val="008006F2"/>
    <w:rsid w:val="00800EFE"/>
    <w:rsid w:val="008014C8"/>
    <w:rsid w:val="00805202"/>
    <w:rsid w:val="00805348"/>
    <w:rsid w:val="00814567"/>
    <w:rsid w:val="00814A48"/>
    <w:rsid w:val="0081625B"/>
    <w:rsid w:val="00821447"/>
    <w:rsid w:val="00832218"/>
    <w:rsid w:val="00837883"/>
    <w:rsid w:val="0084007B"/>
    <w:rsid w:val="008402D2"/>
    <w:rsid w:val="008430AF"/>
    <w:rsid w:val="008437B0"/>
    <w:rsid w:val="0084589F"/>
    <w:rsid w:val="0084748D"/>
    <w:rsid w:val="00860B24"/>
    <w:rsid w:val="00866A7A"/>
    <w:rsid w:val="00870FC2"/>
    <w:rsid w:val="00872CD8"/>
    <w:rsid w:val="0088006D"/>
    <w:rsid w:val="00880B0D"/>
    <w:rsid w:val="00882035"/>
    <w:rsid w:val="00882687"/>
    <w:rsid w:val="008849C6"/>
    <w:rsid w:val="00887331"/>
    <w:rsid w:val="00890162"/>
    <w:rsid w:val="008A0D55"/>
    <w:rsid w:val="008A7F59"/>
    <w:rsid w:val="008B27AA"/>
    <w:rsid w:val="008C3111"/>
    <w:rsid w:val="008D3B03"/>
    <w:rsid w:val="008D6090"/>
    <w:rsid w:val="008F04DC"/>
    <w:rsid w:val="008F0CB0"/>
    <w:rsid w:val="008F28C3"/>
    <w:rsid w:val="008F75BF"/>
    <w:rsid w:val="008F77A3"/>
    <w:rsid w:val="00902FF6"/>
    <w:rsid w:val="00903C03"/>
    <w:rsid w:val="00906DB8"/>
    <w:rsid w:val="0091227C"/>
    <w:rsid w:val="00913D87"/>
    <w:rsid w:val="00913FA7"/>
    <w:rsid w:val="00914F3A"/>
    <w:rsid w:val="00920FF7"/>
    <w:rsid w:val="009256CD"/>
    <w:rsid w:val="00925CA6"/>
    <w:rsid w:val="00927D4F"/>
    <w:rsid w:val="00932501"/>
    <w:rsid w:val="00934A08"/>
    <w:rsid w:val="00935EB3"/>
    <w:rsid w:val="0094069A"/>
    <w:rsid w:val="00954153"/>
    <w:rsid w:val="00955D91"/>
    <w:rsid w:val="009632B2"/>
    <w:rsid w:val="0096538E"/>
    <w:rsid w:val="00966F5B"/>
    <w:rsid w:val="00977078"/>
    <w:rsid w:val="00981ED2"/>
    <w:rsid w:val="00983928"/>
    <w:rsid w:val="009868E1"/>
    <w:rsid w:val="00986C34"/>
    <w:rsid w:val="00992A29"/>
    <w:rsid w:val="009947A4"/>
    <w:rsid w:val="00995C5A"/>
    <w:rsid w:val="009A066E"/>
    <w:rsid w:val="009A51BE"/>
    <w:rsid w:val="009A6C65"/>
    <w:rsid w:val="009B3241"/>
    <w:rsid w:val="009B4A88"/>
    <w:rsid w:val="009B624A"/>
    <w:rsid w:val="009C22E5"/>
    <w:rsid w:val="009C2F93"/>
    <w:rsid w:val="009C528C"/>
    <w:rsid w:val="009E2A5E"/>
    <w:rsid w:val="009E501C"/>
    <w:rsid w:val="009E5C0E"/>
    <w:rsid w:val="009E75A3"/>
    <w:rsid w:val="009F7F54"/>
    <w:rsid w:val="00A12060"/>
    <w:rsid w:val="00A20BE7"/>
    <w:rsid w:val="00A22548"/>
    <w:rsid w:val="00A245BE"/>
    <w:rsid w:val="00A249C0"/>
    <w:rsid w:val="00A265D1"/>
    <w:rsid w:val="00A269B8"/>
    <w:rsid w:val="00A26F16"/>
    <w:rsid w:val="00A306D9"/>
    <w:rsid w:val="00A4070B"/>
    <w:rsid w:val="00A4696F"/>
    <w:rsid w:val="00A475DC"/>
    <w:rsid w:val="00A63E24"/>
    <w:rsid w:val="00A74A76"/>
    <w:rsid w:val="00A775F0"/>
    <w:rsid w:val="00A8224E"/>
    <w:rsid w:val="00A91FBC"/>
    <w:rsid w:val="00A95B49"/>
    <w:rsid w:val="00AA3A3A"/>
    <w:rsid w:val="00AA5F1B"/>
    <w:rsid w:val="00AB3DC4"/>
    <w:rsid w:val="00AB510B"/>
    <w:rsid w:val="00AB521B"/>
    <w:rsid w:val="00AC1363"/>
    <w:rsid w:val="00AC793B"/>
    <w:rsid w:val="00AD7DED"/>
    <w:rsid w:val="00AE4D3B"/>
    <w:rsid w:val="00AF3128"/>
    <w:rsid w:val="00AF6C4D"/>
    <w:rsid w:val="00AF6F11"/>
    <w:rsid w:val="00B01930"/>
    <w:rsid w:val="00B0563A"/>
    <w:rsid w:val="00B10696"/>
    <w:rsid w:val="00B14692"/>
    <w:rsid w:val="00B15CD3"/>
    <w:rsid w:val="00B17C28"/>
    <w:rsid w:val="00B223EE"/>
    <w:rsid w:val="00B22D00"/>
    <w:rsid w:val="00B276CD"/>
    <w:rsid w:val="00B27CC9"/>
    <w:rsid w:val="00B30697"/>
    <w:rsid w:val="00B37679"/>
    <w:rsid w:val="00B37A7E"/>
    <w:rsid w:val="00B43D53"/>
    <w:rsid w:val="00B52A92"/>
    <w:rsid w:val="00B61519"/>
    <w:rsid w:val="00B66204"/>
    <w:rsid w:val="00B700BF"/>
    <w:rsid w:val="00B721A7"/>
    <w:rsid w:val="00B77BD7"/>
    <w:rsid w:val="00B81904"/>
    <w:rsid w:val="00B82FB7"/>
    <w:rsid w:val="00B94026"/>
    <w:rsid w:val="00BA0D7B"/>
    <w:rsid w:val="00BA2AE9"/>
    <w:rsid w:val="00BA562D"/>
    <w:rsid w:val="00BA5A5A"/>
    <w:rsid w:val="00BA5E45"/>
    <w:rsid w:val="00BB1228"/>
    <w:rsid w:val="00BB5DD7"/>
    <w:rsid w:val="00BC3B72"/>
    <w:rsid w:val="00BD2F0A"/>
    <w:rsid w:val="00BD458D"/>
    <w:rsid w:val="00BE162A"/>
    <w:rsid w:val="00BE73C6"/>
    <w:rsid w:val="00BF247F"/>
    <w:rsid w:val="00C06E0D"/>
    <w:rsid w:val="00C07990"/>
    <w:rsid w:val="00C14F6A"/>
    <w:rsid w:val="00C16127"/>
    <w:rsid w:val="00C2356D"/>
    <w:rsid w:val="00C25EE0"/>
    <w:rsid w:val="00C269D9"/>
    <w:rsid w:val="00C34228"/>
    <w:rsid w:val="00C36EF1"/>
    <w:rsid w:val="00C373C2"/>
    <w:rsid w:val="00C44A76"/>
    <w:rsid w:val="00C470D9"/>
    <w:rsid w:val="00C54969"/>
    <w:rsid w:val="00C613AC"/>
    <w:rsid w:val="00C75B03"/>
    <w:rsid w:val="00C903A5"/>
    <w:rsid w:val="00C95986"/>
    <w:rsid w:val="00C9778C"/>
    <w:rsid w:val="00C97F31"/>
    <w:rsid w:val="00C97FFA"/>
    <w:rsid w:val="00CA0835"/>
    <w:rsid w:val="00CA119C"/>
    <w:rsid w:val="00CA23D2"/>
    <w:rsid w:val="00CB4826"/>
    <w:rsid w:val="00CB7F2E"/>
    <w:rsid w:val="00CC2512"/>
    <w:rsid w:val="00CC3DF7"/>
    <w:rsid w:val="00CC7D12"/>
    <w:rsid w:val="00CD089C"/>
    <w:rsid w:val="00CD1E47"/>
    <w:rsid w:val="00CD4D62"/>
    <w:rsid w:val="00CD51C8"/>
    <w:rsid w:val="00CD7537"/>
    <w:rsid w:val="00CE78F0"/>
    <w:rsid w:val="00CF24E1"/>
    <w:rsid w:val="00CF776B"/>
    <w:rsid w:val="00D05D59"/>
    <w:rsid w:val="00D126C7"/>
    <w:rsid w:val="00D16BF8"/>
    <w:rsid w:val="00D25E37"/>
    <w:rsid w:val="00D27D21"/>
    <w:rsid w:val="00D31A00"/>
    <w:rsid w:val="00D4320D"/>
    <w:rsid w:val="00D43437"/>
    <w:rsid w:val="00D44B32"/>
    <w:rsid w:val="00D47E2B"/>
    <w:rsid w:val="00D504C7"/>
    <w:rsid w:val="00D54781"/>
    <w:rsid w:val="00D61AAE"/>
    <w:rsid w:val="00D6699E"/>
    <w:rsid w:val="00D71F9D"/>
    <w:rsid w:val="00D77C75"/>
    <w:rsid w:val="00D8727B"/>
    <w:rsid w:val="00D92CB3"/>
    <w:rsid w:val="00DA054F"/>
    <w:rsid w:val="00DA251B"/>
    <w:rsid w:val="00DA3CED"/>
    <w:rsid w:val="00DA791C"/>
    <w:rsid w:val="00DB77A8"/>
    <w:rsid w:val="00DE7BF5"/>
    <w:rsid w:val="00DF272B"/>
    <w:rsid w:val="00DF42FB"/>
    <w:rsid w:val="00DF4FFE"/>
    <w:rsid w:val="00E0278A"/>
    <w:rsid w:val="00E04544"/>
    <w:rsid w:val="00E0591C"/>
    <w:rsid w:val="00E139E7"/>
    <w:rsid w:val="00E24BD0"/>
    <w:rsid w:val="00E36BAC"/>
    <w:rsid w:val="00E448CC"/>
    <w:rsid w:val="00E475DF"/>
    <w:rsid w:val="00E50582"/>
    <w:rsid w:val="00E50FA2"/>
    <w:rsid w:val="00E52647"/>
    <w:rsid w:val="00E534DB"/>
    <w:rsid w:val="00E5725A"/>
    <w:rsid w:val="00E60B5A"/>
    <w:rsid w:val="00E60FA0"/>
    <w:rsid w:val="00E665DE"/>
    <w:rsid w:val="00E7420E"/>
    <w:rsid w:val="00E757B2"/>
    <w:rsid w:val="00E76F3B"/>
    <w:rsid w:val="00E77B67"/>
    <w:rsid w:val="00E84299"/>
    <w:rsid w:val="00E90D5D"/>
    <w:rsid w:val="00ED4F22"/>
    <w:rsid w:val="00ED6B4F"/>
    <w:rsid w:val="00ED7C29"/>
    <w:rsid w:val="00EE5B77"/>
    <w:rsid w:val="00EF0F5F"/>
    <w:rsid w:val="00EF3013"/>
    <w:rsid w:val="00EF35C7"/>
    <w:rsid w:val="00EF3BA4"/>
    <w:rsid w:val="00F02FFA"/>
    <w:rsid w:val="00F03A4A"/>
    <w:rsid w:val="00F03D41"/>
    <w:rsid w:val="00F1070E"/>
    <w:rsid w:val="00F14522"/>
    <w:rsid w:val="00F23DE2"/>
    <w:rsid w:val="00F26091"/>
    <w:rsid w:val="00F279FB"/>
    <w:rsid w:val="00F30C48"/>
    <w:rsid w:val="00F313D1"/>
    <w:rsid w:val="00F35A50"/>
    <w:rsid w:val="00F35B4A"/>
    <w:rsid w:val="00F40418"/>
    <w:rsid w:val="00F42B0A"/>
    <w:rsid w:val="00F43B9B"/>
    <w:rsid w:val="00F43F7C"/>
    <w:rsid w:val="00F47766"/>
    <w:rsid w:val="00F621FB"/>
    <w:rsid w:val="00F642B9"/>
    <w:rsid w:val="00F64476"/>
    <w:rsid w:val="00F6686A"/>
    <w:rsid w:val="00F72FB3"/>
    <w:rsid w:val="00F80872"/>
    <w:rsid w:val="00F81003"/>
    <w:rsid w:val="00F821AF"/>
    <w:rsid w:val="00F84357"/>
    <w:rsid w:val="00F85676"/>
    <w:rsid w:val="00F917A3"/>
    <w:rsid w:val="00F91AD0"/>
    <w:rsid w:val="00F940FE"/>
    <w:rsid w:val="00FA1959"/>
    <w:rsid w:val="00FB1029"/>
    <w:rsid w:val="00FD53BF"/>
    <w:rsid w:val="00FD6D0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85ED08-D3B0-4B5B-BCD1-6447D99C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41736"/>
    <w:rPr>
      <w:rFonts w:asciiTheme="majorHAnsi" w:eastAsiaTheme="majorEastAsia" w:hAnsiTheme="majorHAnsi" w:cstheme="majorBidi"/>
      <w:b/>
      <w:bCs/>
      <w:i/>
      <w:iCs/>
      <w:sz w:val="28"/>
      <w:szCs w:val="28"/>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rsid w:val="00141736"/>
    <w:rPr>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rsid w:val="00141736"/>
    <w:rPr>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rsid w:val="00141736"/>
    <w:rPr>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C54969"/>
    <w:rPr>
      <w:rFonts w:ascii="Tahoma" w:hAnsi="Tahoma" w:cs="Tahoma"/>
      <w:sz w:val="16"/>
      <w:szCs w:val="16"/>
    </w:rPr>
  </w:style>
  <w:style w:type="character" w:customStyle="1" w:styleId="BalloonTextChar">
    <w:name w:val="Balloon Text Char"/>
    <w:basedOn w:val="DefaultParagraphFont"/>
    <w:link w:val="BalloonText"/>
    <w:uiPriority w:val="99"/>
    <w:semiHidden/>
    <w:rsid w:val="00141736"/>
    <w:rPr>
      <w:sz w:val="0"/>
      <w:szCs w:val="0"/>
    </w:rPr>
  </w:style>
  <w:style w:type="paragraph" w:customStyle="1" w:styleId="msolistparagraph0">
    <w:name w:val="msolistparagraph"/>
    <w:basedOn w:val="Normal"/>
    <w:uiPriority w:val="99"/>
    <w:rsid w:val="00342490"/>
    <w:pPr>
      <w:ind w:left="720"/>
    </w:pPr>
    <w:rPr>
      <w:rFonts w:ascii="Calibri" w:hAnsi="Calibri"/>
      <w:sz w:val="22"/>
      <w:szCs w:val="22"/>
    </w:rPr>
  </w:style>
  <w:style w:type="character" w:styleId="CommentReference">
    <w:name w:val="annotation reference"/>
    <w:basedOn w:val="DefaultParagraphFont"/>
    <w:uiPriority w:val="99"/>
    <w:semiHidden/>
    <w:rsid w:val="00B0563A"/>
    <w:rPr>
      <w:rFonts w:cs="Times New Roman"/>
      <w:sz w:val="16"/>
      <w:szCs w:val="16"/>
    </w:rPr>
  </w:style>
  <w:style w:type="paragraph" w:styleId="CommentText">
    <w:name w:val="annotation text"/>
    <w:basedOn w:val="Normal"/>
    <w:link w:val="CommentTextChar"/>
    <w:uiPriority w:val="99"/>
    <w:semiHidden/>
    <w:rsid w:val="00B0563A"/>
    <w:rPr>
      <w:sz w:val="20"/>
      <w:szCs w:val="20"/>
    </w:rPr>
  </w:style>
  <w:style w:type="character" w:customStyle="1" w:styleId="CommentTextChar">
    <w:name w:val="Comment Text Char"/>
    <w:basedOn w:val="DefaultParagraphFont"/>
    <w:link w:val="CommentText"/>
    <w:uiPriority w:val="99"/>
    <w:semiHidden/>
    <w:rsid w:val="00141736"/>
    <w:rPr>
      <w:sz w:val="20"/>
      <w:szCs w:val="20"/>
    </w:rPr>
  </w:style>
  <w:style w:type="paragraph" w:styleId="CommentSubject">
    <w:name w:val="annotation subject"/>
    <w:basedOn w:val="CommentText"/>
    <w:next w:val="CommentText"/>
    <w:link w:val="CommentSubjectChar"/>
    <w:uiPriority w:val="99"/>
    <w:semiHidden/>
    <w:rsid w:val="00B0563A"/>
    <w:rPr>
      <w:b/>
      <w:bCs/>
    </w:rPr>
  </w:style>
  <w:style w:type="character" w:customStyle="1" w:styleId="CommentSubjectChar">
    <w:name w:val="Comment Subject Char"/>
    <w:basedOn w:val="CommentTextChar"/>
    <w:link w:val="CommentSubject"/>
    <w:uiPriority w:val="99"/>
    <w:semiHidden/>
    <w:rsid w:val="00141736"/>
    <w:rPr>
      <w:b/>
      <w:bCs/>
      <w:sz w:val="20"/>
      <w:szCs w:val="20"/>
    </w:rPr>
  </w:style>
  <w:style w:type="paragraph" w:styleId="ListParagraph">
    <w:name w:val="List Paragraph"/>
    <w:basedOn w:val="Normal"/>
    <w:uiPriority w:val="99"/>
    <w:qFormat/>
    <w:rsid w:val="004931CC"/>
    <w:pPr>
      <w:spacing w:after="200" w:line="276" w:lineRule="auto"/>
      <w:ind w:left="720"/>
    </w:pPr>
    <w:rPr>
      <w:rFonts w:ascii="Calibri" w:hAnsi="Calibri"/>
      <w:sz w:val="22"/>
      <w:szCs w:val="22"/>
    </w:rPr>
  </w:style>
  <w:style w:type="character" w:customStyle="1" w:styleId="legdslegp1no">
    <w:name w:val="legds legp1no"/>
    <w:basedOn w:val="DefaultParagraphFont"/>
    <w:uiPriority w:val="99"/>
    <w:rsid w:val="00570162"/>
    <w:rPr>
      <w:rFonts w:cs="Times New Roman"/>
    </w:rPr>
  </w:style>
  <w:style w:type="character" w:customStyle="1" w:styleId="legdslegp1grouptitlefirst">
    <w:name w:val="legds legp1grouptitlefirst"/>
    <w:basedOn w:val="DefaultParagraphFont"/>
    <w:uiPriority w:val="99"/>
    <w:rsid w:val="00570162"/>
    <w:rPr>
      <w:rFonts w:cs="Times New Roman"/>
    </w:rPr>
  </w:style>
  <w:style w:type="paragraph" w:styleId="Revision">
    <w:name w:val="Revision"/>
    <w:hidden/>
    <w:uiPriority w:val="99"/>
    <w:semiHidden/>
    <w:rsid w:val="000A0A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10199">
      <w:marLeft w:val="0"/>
      <w:marRight w:val="0"/>
      <w:marTop w:val="0"/>
      <w:marBottom w:val="0"/>
      <w:divBdr>
        <w:top w:val="none" w:sz="0" w:space="0" w:color="auto"/>
        <w:left w:val="none" w:sz="0" w:space="0" w:color="auto"/>
        <w:bottom w:val="none" w:sz="0" w:space="0" w:color="auto"/>
        <w:right w:val="none" w:sz="0" w:space="0" w:color="auto"/>
      </w:divBdr>
      <w:divsChild>
        <w:div w:id="901210201">
          <w:marLeft w:val="0"/>
          <w:marRight w:val="0"/>
          <w:marTop w:val="0"/>
          <w:marBottom w:val="0"/>
          <w:divBdr>
            <w:top w:val="none" w:sz="0" w:space="0" w:color="auto"/>
            <w:left w:val="none" w:sz="0" w:space="0" w:color="auto"/>
            <w:bottom w:val="none" w:sz="0" w:space="0" w:color="auto"/>
            <w:right w:val="none" w:sz="0" w:space="0" w:color="auto"/>
          </w:divBdr>
          <w:divsChild>
            <w:div w:id="901210193">
              <w:marLeft w:val="0"/>
              <w:marRight w:val="0"/>
              <w:marTop w:val="0"/>
              <w:marBottom w:val="0"/>
              <w:divBdr>
                <w:top w:val="none" w:sz="0" w:space="0" w:color="auto"/>
                <w:left w:val="none" w:sz="0" w:space="0" w:color="auto"/>
                <w:bottom w:val="none" w:sz="0" w:space="0" w:color="auto"/>
                <w:right w:val="none" w:sz="0" w:space="0" w:color="auto"/>
              </w:divBdr>
            </w:div>
            <w:div w:id="901210195">
              <w:marLeft w:val="0"/>
              <w:marRight w:val="0"/>
              <w:marTop w:val="0"/>
              <w:marBottom w:val="0"/>
              <w:divBdr>
                <w:top w:val="none" w:sz="0" w:space="0" w:color="auto"/>
                <w:left w:val="none" w:sz="0" w:space="0" w:color="auto"/>
                <w:bottom w:val="none" w:sz="0" w:space="0" w:color="auto"/>
                <w:right w:val="none" w:sz="0" w:space="0" w:color="auto"/>
              </w:divBdr>
            </w:div>
            <w:div w:id="901210196">
              <w:marLeft w:val="0"/>
              <w:marRight w:val="0"/>
              <w:marTop w:val="0"/>
              <w:marBottom w:val="0"/>
              <w:divBdr>
                <w:top w:val="none" w:sz="0" w:space="0" w:color="auto"/>
                <w:left w:val="none" w:sz="0" w:space="0" w:color="auto"/>
                <w:bottom w:val="none" w:sz="0" w:space="0" w:color="auto"/>
                <w:right w:val="none" w:sz="0" w:space="0" w:color="auto"/>
              </w:divBdr>
            </w:div>
            <w:div w:id="901210197">
              <w:marLeft w:val="0"/>
              <w:marRight w:val="0"/>
              <w:marTop w:val="0"/>
              <w:marBottom w:val="0"/>
              <w:divBdr>
                <w:top w:val="none" w:sz="0" w:space="0" w:color="auto"/>
                <w:left w:val="none" w:sz="0" w:space="0" w:color="auto"/>
                <w:bottom w:val="none" w:sz="0" w:space="0" w:color="auto"/>
                <w:right w:val="none" w:sz="0" w:space="0" w:color="auto"/>
              </w:divBdr>
            </w:div>
            <w:div w:id="901210200">
              <w:marLeft w:val="0"/>
              <w:marRight w:val="0"/>
              <w:marTop w:val="0"/>
              <w:marBottom w:val="0"/>
              <w:divBdr>
                <w:top w:val="none" w:sz="0" w:space="0" w:color="auto"/>
                <w:left w:val="none" w:sz="0" w:space="0" w:color="auto"/>
                <w:bottom w:val="none" w:sz="0" w:space="0" w:color="auto"/>
                <w:right w:val="none" w:sz="0" w:space="0" w:color="auto"/>
              </w:divBdr>
            </w:div>
            <w:div w:id="901210206">
              <w:marLeft w:val="0"/>
              <w:marRight w:val="0"/>
              <w:marTop w:val="0"/>
              <w:marBottom w:val="0"/>
              <w:divBdr>
                <w:top w:val="none" w:sz="0" w:space="0" w:color="auto"/>
                <w:left w:val="none" w:sz="0" w:space="0" w:color="auto"/>
                <w:bottom w:val="none" w:sz="0" w:space="0" w:color="auto"/>
                <w:right w:val="none" w:sz="0" w:space="0" w:color="auto"/>
              </w:divBdr>
            </w:div>
            <w:div w:id="901210213">
              <w:marLeft w:val="0"/>
              <w:marRight w:val="0"/>
              <w:marTop w:val="0"/>
              <w:marBottom w:val="0"/>
              <w:divBdr>
                <w:top w:val="none" w:sz="0" w:space="0" w:color="auto"/>
                <w:left w:val="none" w:sz="0" w:space="0" w:color="auto"/>
                <w:bottom w:val="none" w:sz="0" w:space="0" w:color="auto"/>
                <w:right w:val="none" w:sz="0" w:space="0" w:color="auto"/>
              </w:divBdr>
            </w:div>
            <w:div w:id="901210216">
              <w:marLeft w:val="0"/>
              <w:marRight w:val="0"/>
              <w:marTop w:val="0"/>
              <w:marBottom w:val="0"/>
              <w:divBdr>
                <w:top w:val="none" w:sz="0" w:space="0" w:color="auto"/>
                <w:left w:val="none" w:sz="0" w:space="0" w:color="auto"/>
                <w:bottom w:val="none" w:sz="0" w:space="0" w:color="auto"/>
                <w:right w:val="none" w:sz="0" w:space="0" w:color="auto"/>
              </w:divBdr>
              <w:divsChild>
                <w:div w:id="901210198">
                  <w:marLeft w:val="0"/>
                  <w:marRight w:val="0"/>
                  <w:marTop w:val="0"/>
                  <w:marBottom w:val="0"/>
                  <w:divBdr>
                    <w:top w:val="none" w:sz="0" w:space="0" w:color="auto"/>
                    <w:left w:val="none" w:sz="0" w:space="0" w:color="auto"/>
                    <w:bottom w:val="none" w:sz="0" w:space="0" w:color="auto"/>
                    <w:right w:val="none" w:sz="0" w:space="0" w:color="auto"/>
                  </w:divBdr>
                </w:div>
              </w:divsChild>
            </w:div>
            <w:div w:id="901210219">
              <w:marLeft w:val="0"/>
              <w:marRight w:val="0"/>
              <w:marTop w:val="0"/>
              <w:marBottom w:val="0"/>
              <w:divBdr>
                <w:top w:val="none" w:sz="0" w:space="0" w:color="auto"/>
                <w:left w:val="none" w:sz="0" w:space="0" w:color="auto"/>
                <w:bottom w:val="none" w:sz="0" w:space="0" w:color="auto"/>
                <w:right w:val="none" w:sz="0" w:space="0" w:color="auto"/>
              </w:divBdr>
            </w:div>
            <w:div w:id="901210221">
              <w:marLeft w:val="0"/>
              <w:marRight w:val="0"/>
              <w:marTop w:val="0"/>
              <w:marBottom w:val="0"/>
              <w:divBdr>
                <w:top w:val="none" w:sz="0" w:space="0" w:color="auto"/>
                <w:left w:val="none" w:sz="0" w:space="0" w:color="auto"/>
                <w:bottom w:val="none" w:sz="0" w:space="0" w:color="auto"/>
                <w:right w:val="none" w:sz="0" w:space="0" w:color="auto"/>
              </w:divBdr>
            </w:div>
            <w:div w:id="9012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0202">
      <w:marLeft w:val="0"/>
      <w:marRight w:val="0"/>
      <w:marTop w:val="0"/>
      <w:marBottom w:val="0"/>
      <w:divBdr>
        <w:top w:val="none" w:sz="0" w:space="0" w:color="auto"/>
        <w:left w:val="none" w:sz="0" w:space="0" w:color="auto"/>
        <w:bottom w:val="none" w:sz="0" w:space="0" w:color="auto"/>
        <w:right w:val="none" w:sz="0" w:space="0" w:color="auto"/>
      </w:divBdr>
      <w:divsChild>
        <w:div w:id="901210222">
          <w:marLeft w:val="0"/>
          <w:marRight w:val="0"/>
          <w:marTop w:val="0"/>
          <w:marBottom w:val="0"/>
          <w:divBdr>
            <w:top w:val="none" w:sz="0" w:space="0" w:color="auto"/>
            <w:left w:val="none" w:sz="0" w:space="0" w:color="auto"/>
            <w:bottom w:val="none" w:sz="0" w:space="0" w:color="auto"/>
            <w:right w:val="none" w:sz="0" w:space="0" w:color="auto"/>
          </w:divBdr>
          <w:divsChild>
            <w:div w:id="901210194">
              <w:marLeft w:val="0"/>
              <w:marRight w:val="0"/>
              <w:marTop w:val="0"/>
              <w:marBottom w:val="0"/>
              <w:divBdr>
                <w:top w:val="none" w:sz="0" w:space="0" w:color="auto"/>
                <w:left w:val="none" w:sz="0" w:space="0" w:color="auto"/>
                <w:bottom w:val="none" w:sz="0" w:space="0" w:color="auto"/>
                <w:right w:val="none" w:sz="0" w:space="0" w:color="auto"/>
              </w:divBdr>
              <w:divsChild>
                <w:div w:id="9012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0203">
      <w:marLeft w:val="0"/>
      <w:marRight w:val="0"/>
      <w:marTop w:val="0"/>
      <w:marBottom w:val="0"/>
      <w:divBdr>
        <w:top w:val="none" w:sz="0" w:space="0" w:color="auto"/>
        <w:left w:val="none" w:sz="0" w:space="0" w:color="auto"/>
        <w:bottom w:val="none" w:sz="0" w:space="0" w:color="auto"/>
        <w:right w:val="none" w:sz="0" w:space="0" w:color="auto"/>
      </w:divBdr>
    </w:div>
    <w:div w:id="901210204">
      <w:marLeft w:val="0"/>
      <w:marRight w:val="0"/>
      <w:marTop w:val="0"/>
      <w:marBottom w:val="0"/>
      <w:divBdr>
        <w:top w:val="none" w:sz="0" w:space="0" w:color="auto"/>
        <w:left w:val="none" w:sz="0" w:space="0" w:color="auto"/>
        <w:bottom w:val="none" w:sz="0" w:space="0" w:color="auto"/>
        <w:right w:val="none" w:sz="0" w:space="0" w:color="auto"/>
      </w:divBdr>
    </w:div>
    <w:div w:id="901210205">
      <w:marLeft w:val="0"/>
      <w:marRight w:val="0"/>
      <w:marTop w:val="0"/>
      <w:marBottom w:val="0"/>
      <w:divBdr>
        <w:top w:val="none" w:sz="0" w:space="0" w:color="auto"/>
        <w:left w:val="none" w:sz="0" w:space="0" w:color="auto"/>
        <w:bottom w:val="none" w:sz="0" w:space="0" w:color="auto"/>
        <w:right w:val="none" w:sz="0" w:space="0" w:color="auto"/>
      </w:divBdr>
    </w:div>
    <w:div w:id="901210207">
      <w:marLeft w:val="0"/>
      <w:marRight w:val="0"/>
      <w:marTop w:val="0"/>
      <w:marBottom w:val="0"/>
      <w:divBdr>
        <w:top w:val="none" w:sz="0" w:space="0" w:color="auto"/>
        <w:left w:val="none" w:sz="0" w:space="0" w:color="auto"/>
        <w:bottom w:val="none" w:sz="0" w:space="0" w:color="auto"/>
        <w:right w:val="none" w:sz="0" w:space="0" w:color="auto"/>
      </w:divBdr>
    </w:div>
    <w:div w:id="901210208">
      <w:marLeft w:val="0"/>
      <w:marRight w:val="0"/>
      <w:marTop w:val="0"/>
      <w:marBottom w:val="0"/>
      <w:divBdr>
        <w:top w:val="none" w:sz="0" w:space="0" w:color="auto"/>
        <w:left w:val="none" w:sz="0" w:space="0" w:color="auto"/>
        <w:bottom w:val="none" w:sz="0" w:space="0" w:color="auto"/>
        <w:right w:val="none" w:sz="0" w:space="0" w:color="auto"/>
      </w:divBdr>
    </w:div>
    <w:div w:id="901210209">
      <w:marLeft w:val="0"/>
      <w:marRight w:val="0"/>
      <w:marTop w:val="0"/>
      <w:marBottom w:val="0"/>
      <w:divBdr>
        <w:top w:val="none" w:sz="0" w:space="0" w:color="auto"/>
        <w:left w:val="none" w:sz="0" w:space="0" w:color="auto"/>
        <w:bottom w:val="none" w:sz="0" w:space="0" w:color="auto"/>
        <w:right w:val="none" w:sz="0" w:space="0" w:color="auto"/>
      </w:divBdr>
    </w:div>
    <w:div w:id="901210211">
      <w:marLeft w:val="0"/>
      <w:marRight w:val="0"/>
      <w:marTop w:val="0"/>
      <w:marBottom w:val="0"/>
      <w:divBdr>
        <w:top w:val="none" w:sz="0" w:space="0" w:color="auto"/>
        <w:left w:val="none" w:sz="0" w:space="0" w:color="auto"/>
        <w:bottom w:val="none" w:sz="0" w:space="0" w:color="auto"/>
        <w:right w:val="none" w:sz="0" w:space="0" w:color="auto"/>
      </w:divBdr>
      <w:divsChild>
        <w:div w:id="901210210">
          <w:marLeft w:val="0"/>
          <w:marRight w:val="0"/>
          <w:marTop w:val="0"/>
          <w:marBottom w:val="0"/>
          <w:divBdr>
            <w:top w:val="none" w:sz="0" w:space="0" w:color="auto"/>
            <w:left w:val="none" w:sz="0" w:space="0" w:color="auto"/>
            <w:bottom w:val="none" w:sz="0" w:space="0" w:color="auto"/>
            <w:right w:val="none" w:sz="0" w:space="0" w:color="auto"/>
          </w:divBdr>
        </w:div>
      </w:divsChild>
    </w:div>
    <w:div w:id="901210212">
      <w:marLeft w:val="0"/>
      <w:marRight w:val="0"/>
      <w:marTop w:val="0"/>
      <w:marBottom w:val="0"/>
      <w:divBdr>
        <w:top w:val="none" w:sz="0" w:space="0" w:color="auto"/>
        <w:left w:val="none" w:sz="0" w:space="0" w:color="auto"/>
        <w:bottom w:val="none" w:sz="0" w:space="0" w:color="auto"/>
        <w:right w:val="none" w:sz="0" w:space="0" w:color="auto"/>
      </w:divBdr>
    </w:div>
    <w:div w:id="901210214">
      <w:marLeft w:val="0"/>
      <w:marRight w:val="0"/>
      <w:marTop w:val="0"/>
      <w:marBottom w:val="0"/>
      <w:divBdr>
        <w:top w:val="none" w:sz="0" w:space="0" w:color="auto"/>
        <w:left w:val="none" w:sz="0" w:space="0" w:color="auto"/>
        <w:bottom w:val="none" w:sz="0" w:space="0" w:color="auto"/>
        <w:right w:val="none" w:sz="0" w:space="0" w:color="auto"/>
      </w:divBdr>
    </w:div>
    <w:div w:id="901210215">
      <w:marLeft w:val="0"/>
      <w:marRight w:val="0"/>
      <w:marTop w:val="0"/>
      <w:marBottom w:val="0"/>
      <w:divBdr>
        <w:top w:val="none" w:sz="0" w:space="0" w:color="auto"/>
        <w:left w:val="none" w:sz="0" w:space="0" w:color="auto"/>
        <w:bottom w:val="none" w:sz="0" w:space="0" w:color="auto"/>
        <w:right w:val="none" w:sz="0" w:space="0" w:color="auto"/>
      </w:divBdr>
    </w:div>
    <w:div w:id="901210217">
      <w:marLeft w:val="0"/>
      <w:marRight w:val="0"/>
      <w:marTop w:val="0"/>
      <w:marBottom w:val="0"/>
      <w:divBdr>
        <w:top w:val="none" w:sz="0" w:space="0" w:color="auto"/>
        <w:left w:val="none" w:sz="0" w:space="0" w:color="auto"/>
        <w:bottom w:val="none" w:sz="0" w:space="0" w:color="auto"/>
        <w:right w:val="none" w:sz="0" w:space="0" w:color="auto"/>
      </w:divBdr>
    </w:div>
    <w:div w:id="901210218">
      <w:marLeft w:val="0"/>
      <w:marRight w:val="0"/>
      <w:marTop w:val="0"/>
      <w:marBottom w:val="0"/>
      <w:divBdr>
        <w:top w:val="none" w:sz="0" w:space="0" w:color="auto"/>
        <w:left w:val="none" w:sz="0" w:space="0" w:color="auto"/>
        <w:bottom w:val="none" w:sz="0" w:space="0" w:color="auto"/>
        <w:right w:val="none" w:sz="0" w:space="0" w:color="auto"/>
      </w:divBdr>
    </w:div>
    <w:div w:id="901210220">
      <w:marLeft w:val="0"/>
      <w:marRight w:val="0"/>
      <w:marTop w:val="0"/>
      <w:marBottom w:val="0"/>
      <w:divBdr>
        <w:top w:val="none" w:sz="0" w:space="0" w:color="auto"/>
        <w:left w:val="none" w:sz="0" w:space="0" w:color="auto"/>
        <w:bottom w:val="none" w:sz="0" w:space="0" w:color="auto"/>
        <w:right w:val="none" w:sz="0" w:space="0" w:color="auto"/>
      </w:divBdr>
    </w:div>
    <w:div w:id="901210225">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court-statistics-quarterly-april-to-june-201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pga/2000/3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3191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FOI 107697 Ineffective Trials</vt:lpstr>
    </vt:vector>
  </TitlesOfParts>
  <Company>Ministry of Justice</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107697 Ineffective Trials</dc:title>
  <dc:subject>FOI Release</dc:subject>
  <dc:creator>MoJ</dc:creator>
  <cp:keywords/>
  <dc:description/>
  <cp:lastModifiedBy>Isaacs, Gordon</cp:lastModifiedBy>
  <cp:revision>2</cp:revision>
  <cp:lastPrinted>2013-09-04T08:59:00Z</cp:lastPrinted>
  <dcterms:created xsi:type="dcterms:W3CDTF">2016-11-23T11:38:00Z</dcterms:created>
  <dcterms:modified xsi:type="dcterms:W3CDTF">2016-11-23T11:38:00Z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