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068D7" w14:textId="77777777" w:rsidR="00810B1A" w:rsidRDefault="00810B1A" w:rsidP="00810B1A">
      <w:pPr>
        <w:tabs>
          <w:tab w:val="center" w:pos="4820"/>
          <w:tab w:val="right" w:pos="9638"/>
        </w:tabs>
        <w:spacing w:after="240"/>
        <w:jc w:val="center"/>
        <w:rPr>
          <w:b/>
        </w:rPr>
      </w:pPr>
      <w:bookmarkStart w:id="0" w:name="TimeReverse"/>
    </w:p>
    <w:p w14:paraId="5102F897" w14:textId="77777777" w:rsidR="00810B1A" w:rsidRDefault="00810B1A" w:rsidP="00810B1A">
      <w:pPr>
        <w:tabs>
          <w:tab w:val="center" w:pos="4820"/>
          <w:tab w:val="right" w:pos="9638"/>
        </w:tabs>
        <w:spacing w:after="240"/>
        <w:jc w:val="center"/>
        <w:rPr>
          <w:b/>
        </w:rPr>
      </w:pPr>
    </w:p>
    <w:p w14:paraId="7A0795B0" w14:textId="77777777" w:rsidR="00810B1A" w:rsidRPr="0037622A" w:rsidRDefault="00810B1A" w:rsidP="00810B1A">
      <w:pPr>
        <w:tabs>
          <w:tab w:val="center" w:pos="4820"/>
          <w:tab w:val="right" w:pos="9638"/>
        </w:tabs>
        <w:spacing w:after="240"/>
        <w:jc w:val="center"/>
        <w:rPr>
          <w:b/>
        </w:rPr>
      </w:pPr>
    </w:p>
    <w:p w14:paraId="1006832B" w14:textId="77777777" w:rsidR="00810B1A" w:rsidRPr="000D7CA6" w:rsidRDefault="00810B1A" w:rsidP="00810B1A">
      <w:pPr>
        <w:pStyle w:val="Body"/>
      </w:pPr>
    </w:p>
    <w:p w14:paraId="64E2B068" w14:textId="77777777" w:rsidR="00810B1A" w:rsidRPr="00A66608" w:rsidRDefault="00196002" w:rsidP="00810B1A">
      <w:pPr>
        <w:pStyle w:val="Title"/>
        <w:rPr>
          <w:rFonts w:ascii="Arial" w:hAnsi="Arial"/>
          <w:sz w:val="22"/>
          <w:szCs w:val="22"/>
          <w:lang w:val="en-GB"/>
        </w:rPr>
      </w:pPr>
      <w:r w:rsidRPr="00A66608">
        <w:rPr>
          <w:rFonts w:ascii="Arial" w:hAnsi="Arial"/>
          <w:sz w:val="22"/>
          <w:szCs w:val="22"/>
          <w:lang w:val="en-GB"/>
        </w:rPr>
        <w:t>SCHEDULE 3.2</w:t>
      </w:r>
    </w:p>
    <w:p w14:paraId="679670ED" w14:textId="77777777" w:rsidR="00810B1A" w:rsidRPr="00A66608" w:rsidRDefault="003F55AC" w:rsidP="00810B1A">
      <w:pPr>
        <w:pStyle w:val="Title"/>
        <w:rPr>
          <w:rFonts w:ascii="Arial" w:hAnsi="Arial"/>
          <w:sz w:val="22"/>
          <w:szCs w:val="22"/>
          <w:lang w:val="en-GB"/>
        </w:rPr>
      </w:pPr>
      <w:r w:rsidRPr="00A66608">
        <w:rPr>
          <w:rFonts w:ascii="Arial" w:hAnsi="Arial"/>
          <w:sz w:val="22"/>
          <w:szCs w:val="22"/>
          <w:lang w:val="en-GB"/>
        </w:rPr>
        <w:t>COMMERCIALLY SENSITIVE INFORMATION</w:t>
      </w:r>
    </w:p>
    <w:p w14:paraId="11772A90" w14:textId="77777777" w:rsidR="001F3E6E" w:rsidRDefault="001F3E6E" w:rsidP="00810B1A">
      <w:pPr>
        <w:pStyle w:val="Body"/>
        <w:jc w:val="center"/>
      </w:pPr>
    </w:p>
    <w:p w14:paraId="23A89075" w14:textId="77777777" w:rsidR="00BC4680" w:rsidRDefault="00BC4680" w:rsidP="00006847">
      <w:pPr>
        <w:pStyle w:val="Body"/>
      </w:pPr>
    </w:p>
    <w:p w14:paraId="14BAB08C" w14:textId="77777777" w:rsidR="005B3E32" w:rsidRDefault="005B3E32" w:rsidP="00006847">
      <w:pPr>
        <w:pStyle w:val="Body"/>
      </w:pPr>
    </w:p>
    <w:p w14:paraId="5913AEBE" w14:textId="77777777" w:rsidR="005B3E32" w:rsidRDefault="005B3E32" w:rsidP="00006847">
      <w:pPr>
        <w:pStyle w:val="Body"/>
      </w:pPr>
    </w:p>
    <w:p w14:paraId="63239E97" w14:textId="77777777" w:rsidR="005B3E32" w:rsidRDefault="005B3E32" w:rsidP="00006847">
      <w:pPr>
        <w:pStyle w:val="Body"/>
      </w:pPr>
    </w:p>
    <w:p w14:paraId="6887F273" w14:textId="77777777" w:rsidR="005B3E32" w:rsidRDefault="005B3E32" w:rsidP="00006847">
      <w:pPr>
        <w:pStyle w:val="Body"/>
      </w:pPr>
    </w:p>
    <w:p w14:paraId="426D1FB0" w14:textId="77777777" w:rsidR="005B3E32" w:rsidRDefault="005B3E32" w:rsidP="00006847">
      <w:pPr>
        <w:pStyle w:val="Body"/>
      </w:pPr>
    </w:p>
    <w:p w14:paraId="6F656AB7" w14:textId="77777777" w:rsidR="005B3E32" w:rsidRDefault="005B3E32" w:rsidP="00006847">
      <w:pPr>
        <w:pStyle w:val="Body"/>
      </w:pPr>
    </w:p>
    <w:p w14:paraId="20BBEF22" w14:textId="77777777" w:rsidR="005B3E32" w:rsidRDefault="005B3E32" w:rsidP="00006847">
      <w:pPr>
        <w:pStyle w:val="Body"/>
      </w:pPr>
    </w:p>
    <w:p w14:paraId="64D1C08B" w14:textId="77777777" w:rsidR="005B3E32" w:rsidRDefault="005B3E32" w:rsidP="00006847">
      <w:pPr>
        <w:pStyle w:val="Body"/>
      </w:pPr>
    </w:p>
    <w:p w14:paraId="5DD4827D" w14:textId="77777777" w:rsidR="005B3E32" w:rsidRDefault="005B3E32" w:rsidP="00006847">
      <w:pPr>
        <w:pStyle w:val="Body"/>
      </w:pPr>
    </w:p>
    <w:p w14:paraId="3C9EE820" w14:textId="77777777" w:rsidR="005B3E32" w:rsidRDefault="005B3E32" w:rsidP="00006847">
      <w:pPr>
        <w:pStyle w:val="Body"/>
      </w:pPr>
    </w:p>
    <w:p w14:paraId="373BF0FD" w14:textId="77777777" w:rsidR="005B3E32" w:rsidRDefault="005B3E32" w:rsidP="00006847">
      <w:pPr>
        <w:pStyle w:val="Body"/>
      </w:pPr>
    </w:p>
    <w:p w14:paraId="1198D9D4" w14:textId="77777777" w:rsidR="005B3E32" w:rsidRDefault="005B3E32" w:rsidP="00006847">
      <w:pPr>
        <w:pStyle w:val="Body"/>
      </w:pPr>
    </w:p>
    <w:p w14:paraId="2FE94B2B" w14:textId="77777777" w:rsidR="005B3E32" w:rsidRDefault="005B3E32" w:rsidP="00006847">
      <w:pPr>
        <w:pStyle w:val="Body"/>
      </w:pPr>
    </w:p>
    <w:p w14:paraId="23F59075" w14:textId="77777777" w:rsidR="005B3E32" w:rsidRDefault="005B3E32" w:rsidP="00006847">
      <w:pPr>
        <w:pStyle w:val="Body"/>
      </w:pPr>
    </w:p>
    <w:p w14:paraId="1EB39832" w14:textId="77777777" w:rsidR="005B3E32" w:rsidRDefault="005B3E32" w:rsidP="00006847">
      <w:pPr>
        <w:pStyle w:val="Body"/>
      </w:pPr>
    </w:p>
    <w:p w14:paraId="6AE278C6" w14:textId="77777777" w:rsidR="005B3E32" w:rsidRDefault="005B3E32" w:rsidP="00006847">
      <w:pPr>
        <w:pStyle w:val="Body"/>
      </w:pPr>
    </w:p>
    <w:p w14:paraId="0D403021" w14:textId="77777777" w:rsidR="005B3E32" w:rsidRDefault="005B3E32" w:rsidP="00006847">
      <w:pPr>
        <w:pStyle w:val="Body"/>
      </w:pPr>
    </w:p>
    <w:p w14:paraId="7283208D" w14:textId="77777777" w:rsidR="005B3E32" w:rsidRDefault="005B3E32" w:rsidP="00006847">
      <w:pPr>
        <w:pStyle w:val="Body"/>
      </w:pPr>
    </w:p>
    <w:p w14:paraId="2B84B4C3" w14:textId="77777777" w:rsidR="005B3E32" w:rsidRDefault="005B3E32" w:rsidP="00006847">
      <w:pPr>
        <w:pStyle w:val="Body"/>
      </w:pPr>
    </w:p>
    <w:p w14:paraId="1D177A47" w14:textId="77777777" w:rsidR="00BC4680" w:rsidRDefault="00BC4680" w:rsidP="00006847">
      <w:pPr>
        <w:pStyle w:val="Body"/>
      </w:pPr>
    </w:p>
    <w:p w14:paraId="28BABCAD" w14:textId="77777777" w:rsidR="00AF6664" w:rsidRDefault="00AF6664" w:rsidP="00BC4680">
      <w:pPr>
        <w:pStyle w:val="Body"/>
      </w:pPr>
    </w:p>
    <w:p w14:paraId="1EE50C3F" w14:textId="77777777" w:rsidR="00AF6664" w:rsidRDefault="00AF6664" w:rsidP="00BC4680">
      <w:pPr>
        <w:pStyle w:val="Body"/>
      </w:pPr>
    </w:p>
    <w:p w14:paraId="541386BB" w14:textId="77777777" w:rsidR="007934BF" w:rsidRDefault="007934BF" w:rsidP="007934BF">
      <w:pPr>
        <w:pStyle w:val="Body"/>
        <w:jc w:val="center"/>
        <w:rPr>
          <w:b/>
        </w:rPr>
      </w:pPr>
      <w:r>
        <w:rPr>
          <w:b/>
        </w:rPr>
        <w:br w:type="page"/>
      </w:r>
      <w:r>
        <w:rPr>
          <w:b/>
        </w:rPr>
        <w:lastRenderedPageBreak/>
        <w:t>VERSION CONTROL</w:t>
      </w:r>
    </w:p>
    <w:p w14:paraId="0C249678" w14:textId="77777777" w:rsidR="007934BF" w:rsidRDefault="007934BF" w:rsidP="007934BF">
      <w:pPr>
        <w:pStyle w:val="Body"/>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410"/>
        <w:gridCol w:w="3680"/>
      </w:tblGrid>
      <w:tr w:rsidR="007934BF" w14:paraId="52843838" w14:textId="77777777" w:rsidTr="0051608B">
        <w:tc>
          <w:tcPr>
            <w:tcW w:w="2410" w:type="dxa"/>
            <w:tcBorders>
              <w:top w:val="single" w:sz="4" w:space="0" w:color="auto"/>
              <w:left w:val="single" w:sz="4" w:space="0" w:color="auto"/>
              <w:bottom w:val="single" w:sz="4" w:space="0" w:color="auto"/>
              <w:right w:val="single" w:sz="4" w:space="0" w:color="auto"/>
            </w:tcBorders>
            <w:hideMark/>
          </w:tcPr>
          <w:p w14:paraId="72AD2799" w14:textId="77777777" w:rsidR="007934BF" w:rsidRDefault="007934BF" w:rsidP="0051608B">
            <w:pPr>
              <w:tabs>
                <w:tab w:val="left" w:pos="737"/>
              </w:tabs>
              <w:jc w:val="center"/>
              <w:rPr>
                <w:b/>
              </w:rPr>
            </w:pPr>
            <w:r>
              <w:rPr>
                <w:b/>
              </w:rPr>
              <w:t>VERSION NUMBER</w:t>
            </w:r>
          </w:p>
        </w:tc>
        <w:tc>
          <w:tcPr>
            <w:tcW w:w="2410" w:type="dxa"/>
            <w:tcBorders>
              <w:top w:val="single" w:sz="4" w:space="0" w:color="auto"/>
              <w:left w:val="single" w:sz="4" w:space="0" w:color="auto"/>
              <w:bottom w:val="single" w:sz="4" w:space="0" w:color="auto"/>
              <w:right w:val="single" w:sz="4" w:space="0" w:color="auto"/>
            </w:tcBorders>
          </w:tcPr>
          <w:p w14:paraId="77D506A6" w14:textId="77777777" w:rsidR="007934BF" w:rsidRDefault="007934BF" w:rsidP="0051608B">
            <w:pPr>
              <w:tabs>
                <w:tab w:val="left" w:pos="737"/>
              </w:tabs>
              <w:jc w:val="center"/>
              <w:rPr>
                <w:b/>
              </w:rPr>
            </w:pPr>
            <w:r>
              <w:rPr>
                <w:b/>
              </w:rPr>
              <w:t>DATE</w:t>
            </w:r>
          </w:p>
          <w:p w14:paraId="426D0810" w14:textId="77777777" w:rsidR="007934BF" w:rsidRDefault="007934BF" w:rsidP="0051608B">
            <w:pPr>
              <w:tabs>
                <w:tab w:val="left" w:pos="737"/>
              </w:tabs>
              <w:jc w:val="center"/>
              <w:rPr>
                <w:b/>
              </w:rPr>
            </w:pPr>
          </w:p>
        </w:tc>
        <w:tc>
          <w:tcPr>
            <w:tcW w:w="3680" w:type="dxa"/>
            <w:tcBorders>
              <w:top w:val="single" w:sz="4" w:space="0" w:color="auto"/>
              <w:left w:val="single" w:sz="4" w:space="0" w:color="auto"/>
              <w:bottom w:val="single" w:sz="4" w:space="0" w:color="auto"/>
              <w:right w:val="single" w:sz="4" w:space="0" w:color="auto"/>
            </w:tcBorders>
            <w:hideMark/>
          </w:tcPr>
          <w:p w14:paraId="6BDB2E18" w14:textId="77777777" w:rsidR="007934BF" w:rsidRDefault="007934BF" w:rsidP="0051608B">
            <w:pPr>
              <w:tabs>
                <w:tab w:val="left" w:pos="737"/>
              </w:tabs>
              <w:jc w:val="center"/>
              <w:rPr>
                <w:b/>
              </w:rPr>
            </w:pPr>
            <w:r>
              <w:rPr>
                <w:b/>
              </w:rPr>
              <w:t>COMMENT</w:t>
            </w:r>
          </w:p>
        </w:tc>
      </w:tr>
      <w:tr w:rsidR="007934BF" w14:paraId="4B2D24D6" w14:textId="77777777" w:rsidTr="0051608B">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56D8C98" w14:textId="77777777" w:rsidR="007934BF" w:rsidRDefault="007934BF" w:rsidP="0051608B">
            <w:pPr>
              <w:tabs>
                <w:tab w:val="left" w:pos="737"/>
              </w:tabs>
              <w:ind w:firstLine="100"/>
            </w:pPr>
            <w:r>
              <w:t>0.1</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6B76B4D" w14:textId="77777777" w:rsidR="007934BF" w:rsidRPr="002C4FA2" w:rsidRDefault="009B4CE4" w:rsidP="0051608B">
            <w:pPr>
              <w:tabs>
                <w:tab w:val="left" w:pos="737"/>
              </w:tabs>
              <w:ind w:firstLine="122"/>
            </w:pPr>
            <w:r>
              <w:t>27</w:t>
            </w:r>
            <w:r w:rsidR="007934BF" w:rsidRPr="002C4FA2">
              <w:t xml:space="preserve"> July 2016</w:t>
            </w:r>
          </w:p>
          <w:p w14:paraId="059C38C6" w14:textId="77777777" w:rsidR="007934BF" w:rsidRDefault="007934BF" w:rsidP="0051608B">
            <w:pPr>
              <w:tabs>
                <w:tab w:val="left" w:pos="737"/>
              </w:tabs>
              <w:ind w:firstLine="122"/>
            </w:pPr>
          </w:p>
        </w:tc>
        <w:tc>
          <w:tcPr>
            <w:tcW w:w="36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53AC890" w14:textId="77777777" w:rsidR="007934BF" w:rsidRDefault="007934BF" w:rsidP="0051608B">
            <w:pPr>
              <w:tabs>
                <w:tab w:val="left" w:pos="737"/>
              </w:tabs>
              <w:ind w:left="136" w:hanging="20"/>
            </w:pPr>
            <w:r>
              <w:t xml:space="preserve">Preliminary </w:t>
            </w:r>
            <w:r w:rsidR="001A6ACD">
              <w:t xml:space="preserve">draft </w:t>
            </w:r>
            <w:r>
              <w:t>template version made available for general comment</w:t>
            </w:r>
          </w:p>
        </w:tc>
      </w:tr>
      <w:tr w:rsidR="00B36FF6" w:rsidRPr="006A4524" w14:paraId="3332F2F8" w14:textId="77777777" w:rsidTr="009C5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2410" w:type="dxa"/>
            <w:tcBorders>
              <w:top w:val="single" w:sz="4" w:space="0" w:color="auto"/>
              <w:left w:val="single" w:sz="4" w:space="0" w:color="auto"/>
              <w:bottom w:val="single" w:sz="4" w:space="0" w:color="auto"/>
              <w:right w:val="single" w:sz="4" w:space="0" w:color="auto"/>
            </w:tcBorders>
          </w:tcPr>
          <w:p w14:paraId="44BCB4DC" w14:textId="77777777" w:rsidR="00B36FF6" w:rsidRDefault="00B36FF6" w:rsidP="009C5F85">
            <w:pPr>
              <w:tabs>
                <w:tab w:val="left" w:pos="737"/>
              </w:tabs>
              <w:ind w:firstLine="100"/>
            </w:pPr>
            <w:r>
              <w:t>0.2</w:t>
            </w:r>
          </w:p>
        </w:tc>
        <w:tc>
          <w:tcPr>
            <w:tcW w:w="2410" w:type="dxa"/>
            <w:tcBorders>
              <w:top w:val="single" w:sz="4" w:space="0" w:color="auto"/>
              <w:left w:val="single" w:sz="4" w:space="0" w:color="auto"/>
              <w:bottom w:val="single" w:sz="4" w:space="0" w:color="auto"/>
              <w:right w:val="single" w:sz="4" w:space="0" w:color="auto"/>
            </w:tcBorders>
          </w:tcPr>
          <w:p w14:paraId="16733EAE" w14:textId="7A290EAA" w:rsidR="00B36FF6" w:rsidRDefault="008271C1" w:rsidP="009C5F85">
            <w:pPr>
              <w:tabs>
                <w:tab w:val="left" w:pos="737"/>
              </w:tabs>
              <w:ind w:firstLine="122"/>
            </w:pPr>
            <w:r w:rsidRPr="008271C1">
              <w:t>2 September 2016</w:t>
            </w:r>
          </w:p>
        </w:tc>
        <w:tc>
          <w:tcPr>
            <w:tcW w:w="3680" w:type="dxa"/>
            <w:tcBorders>
              <w:top w:val="single" w:sz="4" w:space="0" w:color="auto"/>
              <w:left w:val="single" w:sz="4" w:space="0" w:color="auto"/>
              <w:bottom w:val="single" w:sz="4" w:space="0" w:color="auto"/>
              <w:right w:val="single" w:sz="4" w:space="0" w:color="auto"/>
            </w:tcBorders>
          </w:tcPr>
          <w:p w14:paraId="5E385C1F" w14:textId="77777777" w:rsidR="00B36FF6" w:rsidRDefault="00B36FF6" w:rsidP="009C5F85">
            <w:pPr>
              <w:tabs>
                <w:tab w:val="left" w:pos="737"/>
              </w:tabs>
              <w:ind w:left="136" w:hanging="20"/>
            </w:pPr>
            <w:r>
              <w:t>Uplifted draft, following feedback, made available for final comment</w:t>
            </w:r>
          </w:p>
        </w:tc>
      </w:tr>
      <w:tr w:rsidR="00211D1E" w:rsidRPr="006A4524" w14:paraId="5586B0D0" w14:textId="77777777" w:rsidTr="00211D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2410" w:type="dxa"/>
            <w:tcBorders>
              <w:top w:val="single" w:sz="4" w:space="0" w:color="auto"/>
              <w:left w:val="single" w:sz="4" w:space="0" w:color="auto"/>
              <w:bottom w:val="single" w:sz="4" w:space="0" w:color="auto"/>
              <w:right w:val="single" w:sz="4" w:space="0" w:color="auto"/>
            </w:tcBorders>
          </w:tcPr>
          <w:p w14:paraId="6879BAAA" w14:textId="77777777" w:rsidR="00211D1E" w:rsidRDefault="00211D1E" w:rsidP="0025268B">
            <w:pPr>
              <w:tabs>
                <w:tab w:val="left" w:pos="737"/>
              </w:tabs>
              <w:ind w:firstLine="100"/>
            </w:pPr>
            <w:r>
              <w:t>0.3</w:t>
            </w:r>
          </w:p>
        </w:tc>
        <w:tc>
          <w:tcPr>
            <w:tcW w:w="2410" w:type="dxa"/>
            <w:tcBorders>
              <w:top w:val="single" w:sz="4" w:space="0" w:color="auto"/>
              <w:left w:val="single" w:sz="4" w:space="0" w:color="auto"/>
              <w:bottom w:val="single" w:sz="4" w:space="0" w:color="auto"/>
              <w:right w:val="single" w:sz="4" w:space="0" w:color="auto"/>
            </w:tcBorders>
          </w:tcPr>
          <w:p w14:paraId="20FAFE66" w14:textId="1CED6AD2" w:rsidR="00211D1E" w:rsidRDefault="00426527" w:rsidP="00B328C8">
            <w:pPr>
              <w:tabs>
                <w:tab w:val="left" w:pos="737"/>
              </w:tabs>
              <w:ind w:firstLine="122"/>
            </w:pPr>
            <w:r>
              <w:t>25</w:t>
            </w:r>
            <w:r w:rsidR="007E1194">
              <w:t xml:space="preserve"> October</w:t>
            </w:r>
            <w:r w:rsidR="00211D1E">
              <w:t xml:space="preserve"> 2016</w:t>
            </w:r>
          </w:p>
        </w:tc>
        <w:tc>
          <w:tcPr>
            <w:tcW w:w="3680" w:type="dxa"/>
            <w:tcBorders>
              <w:top w:val="single" w:sz="4" w:space="0" w:color="auto"/>
              <w:left w:val="single" w:sz="4" w:space="0" w:color="auto"/>
              <w:bottom w:val="single" w:sz="4" w:space="0" w:color="auto"/>
              <w:right w:val="single" w:sz="4" w:space="0" w:color="auto"/>
            </w:tcBorders>
          </w:tcPr>
          <w:p w14:paraId="57FE6572" w14:textId="77777777" w:rsidR="00211D1E" w:rsidRDefault="00211D1E" w:rsidP="0025268B">
            <w:pPr>
              <w:tabs>
                <w:tab w:val="left" w:pos="737"/>
              </w:tabs>
              <w:ind w:left="136" w:hanging="20"/>
            </w:pPr>
            <w:r>
              <w:t>Uplifted following local body and supplier feedback</w:t>
            </w:r>
          </w:p>
        </w:tc>
      </w:tr>
      <w:tr w:rsidR="003110AE" w:rsidRPr="006A4524" w14:paraId="33107ED3" w14:textId="77777777" w:rsidTr="00211D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2410" w:type="dxa"/>
            <w:tcBorders>
              <w:top w:val="single" w:sz="4" w:space="0" w:color="auto"/>
              <w:left w:val="single" w:sz="4" w:space="0" w:color="auto"/>
              <w:bottom w:val="single" w:sz="4" w:space="0" w:color="auto"/>
              <w:right w:val="single" w:sz="4" w:space="0" w:color="auto"/>
            </w:tcBorders>
          </w:tcPr>
          <w:p w14:paraId="00E58899" w14:textId="1ADE43AA" w:rsidR="003110AE" w:rsidRDefault="003110AE" w:rsidP="0025268B">
            <w:pPr>
              <w:tabs>
                <w:tab w:val="left" w:pos="737"/>
              </w:tabs>
              <w:ind w:firstLine="100"/>
            </w:pPr>
            <w:r>
              <w:t>1.0</w:t>
            </w:r>
          </w:p>
        </w:tc>
        <w:tc>
          <w:tcPr>
            <w:tcW w:w="2410" w:type="dxa"/>
            <w:tcBorders>
              <w:top w:val="single" w:sz="4" w:space="0" w:color="auto"/>
              <w:left w:val="single" w:sz="4" w:space="0" w:color="auto"/>
              <w:bottom w:val="single" w:sz="4" w:space="0" w:color="auto"/>
              <w:right w:val="single" w:sz="4" w:space="0" w:color="auto"/>
            </w:tcBorders>
          </w:tcPr>
          <w:p w14:paraId="00B60E15" w14:textId="5BD69085" w:rsidR="003110AE" w:rsidRDefault="003110AE" w:rsidP="00B328C8">
            <w:pPr>
              <w:tabs>
                <w:tab w:val="left" w:pos="737"/>
              </w:tabs>
              <w:ind w:firstLine="122"/>
            </w:pPr>
            <w:r>
              <w:t>16 November 2016</w:t>
            </w:r>
          </w:p>
        </w:tc>
        <w:tc>
          <w:tcPr>
            <w:tcW w:w="3680" w:type="dxa"/>
            <w:tcBorders>
              <w:top w:val="single" w:sz="4" w:space="0" w:color="auto"/>
              <w:left w:val="single" w:sz="4" w:space="0" w:color="auto"/>
              <w:bottom w:val="single" w:sz="4" w:space="0" w:color="auto"/>
              <w:right w:val="single" w:sz="4" w:space="0" w:color="auto"/>
            </w:tcBorders>
          </w:tcPr>
          <w:p w14:paraId="51732E42" w14:textId="77777777" w:rsidR="003110AE" w:rsidRDefault="003110AE" w:rsidP="0025268B">
            <w:pPr>
              <w:tabs>
                <w:tab w:val="left" w:pos="737"/>
              </w:tabs>
              <w:ind w:left="136" w:hanging="20"/>
            </w:pPr>
            <w:r>
              <w:t>Baselined Version 1.0</w:t>
            </w:r>
          </w:p>
          <w:p w14:paraId="6346ED75" w14:textId="77777777" w:rsidR="003110AE" w:rsidRDefault="003110AE" w:rsidP="0025268B">
            <w:pPr>
              <w:tabs>
                <w:tab w:val="left" w:pos="737"/>
              </w:tabs>
              <w:ind w:left="136" w:hanging="20"/>
            </w:pPr>
          </w:p>
        </w:tc>
      </w:tr>
    </w:tbl>
    <w:p w14:paraId="1DEB0E7F" w14:textId="4AC2820D" w:rsidR="007934BF" w:rsidRDefault="007934BF" w:rsidP="007934BF">
      <w:pPr>
        <w:jc w:val="left"/>
      </w:pPr>
    </w:p>
    <w:p w14:paraId="5D97CF10" w14:textId="77777777" w:rsidR="007934BF" w:rsidRDefault="007934BF">
      <w:pPr>
        <w:jc w:val="left"/>
        <w:rPr>
          <w:b/>
        </w:rPr>
      </w:pPr>
      <w:r>
        <w:rPr>
          <w:b/>
        </w:rPr>
        <w:br w:type="page"/>
      </w:r>
      <w:bookmarkStart w:id="1" w:name="_GoBack"/>
      <w:bookmarkEnd w:id="1"/>
    </w:p>
    <w:p w14:paraId="23EF8A1B" w14:textId="77777777" w:rsidR="00AF6664" w:rsidRDefault="00AF6664" w:rsidP="005E0B9C">
      <w:pPr>
        <w:pStyle w:val="Body"/>
        <w:jc w:val="center"/>
        <w:rPr>
          <w:b/>
        </w:rPr>
      </w:pPr>
      <w:r w:rsidRPr="00AF6664">
        <w:rPr>
          <w:b/>
        </w:rPr>
        <w:lastRenderedPageBreak/>
        <w:t>CONTENTS</w:t>
      </w:r>
    </w:p>
    <w:bookmarkStart w:id="2" w:name="WDXFirstTOC"/>
    <w:bookmarkEnd w:id="2"/>
    <w:p w14:paraId="46A484D1" w14:textId="77777777" w:rsidR="008271C1" w:rsidRDefault="00D67290">
      <w:pPr>
        <w:pStyle w:val="TOC1"/>
        <w:rPr>
          <w:rFonts w:asciiTheme="minorHAnsi" w:eastAsiaTheme="minorEastAsia" w:hAnsiTheme="minorHAnsi" w:cstheme="minorBidi"/>
          <w:noProof/>
          <w:sz w:val="22"/>
          <w:szCs w:val="22"/>
        </w:rPr>
      </w:pPr>
      <w:r>
        <w:fldChar w:fldCharType="begin"/>
      </w:r>
      <w:r>
        <w:instrText xml:space="preserve">  TOC \f \h \z  </w:instrText>
      </w:r>
      <w:r>
        <w:fldChar w:fldCharType="separate"/>
      </w:r>
      <w:hyperlink w:anchor="_Toc460579817" w:history="1">
        <w:r w:rsidR="008271C1" w:rsidRPr="002C4C0B">
          <w:rPr>
            <w:rStyle w:val="Hyperlink"/>
            <w:noProof/>
          </w:rPr>
          <w:t>1</w:t>
        </w:r>
        <w:r w:rsidR="008271C1">
          <w:rPr>
            <w:rFonts w:asciiTheme="minorHAnsi" w:eastAsiaTheme="minorEastAsia" w:hAnsiTheme="minorHAnsi" w:cstheme="minorBidi"/>
            <w:noProof/>
            <w:sz w:val="22"/>
            <w:szCs w:val="22"/>
          </w:rPr>
          <w:tab/>
        </w:r>
        <w:r w:rsidR="008271C1" w:rsidRPr="002C4C0B">
          <w:rPr>
            <w:rStyle w:val="Hyperlink"/>
            <w:noProof/>
          </w:rPr>
          <w:t>BACKGROUND</w:t>
        </w:r>
        <w:r w:rsidR="008271C1">
          <w:rPr>
            <w:noProof/>
            <w:webHidden/>
          </w:rPr>
          <w:tab/>
        </w:r>
        <w:r w:rsidR="008271C1">
          <w:rPr>
            <w:noProof/>
            <w:webHidden/>
          </w:rPr>
          <w:fldChar w:fldCharType="begin"/>
        </w:r>
        <w:r w:rsidR="008271C1">
          <w:rPr>
            <w:noProof/>
            <w:webHidden/>
          </w:rPr>
          <w:instrText xml:space="preserve"> PAGEREF _Toc460579817 \h </w:instrText>
        </w:r>
        <w:r w:rsidR="008271C1">
          <w:rPr>
            <w:noProof/>
            <w:webHidden/>
          </w:rPr>
        </w:r>
        <w:r w:rsidR="008271C1">
          <w:rPr>
            <w:noProof/>
            <w:webHidden/>
          </w:rPr>
          <w:fldChar w:fldCharType="separate"/>
        </w:r>
        <w:r w:rsidR="008271C1">
          <w:rPr>
            <w:noProof/>
            <w:webHidden/>
          </w:rPr>
          <w:t>1</w:t>
        </w:r>
        <w:r w:rsidR="008271C1">
          <w:rPr>
            <w:noProof/>
            <w:webHidden/>
          </w:rPr>
          <w:fldChar w:fldCharType="end"/>
        </w:r>
      </w:hyperlink>
    </w:p>
    <w:p w14:paraId="30881F17" w14:textId="77777777" w:rsidR="008271C1" w:rsidRDefault="00676471">
      <w:pPr>
        <w:pStyle w:val="TOC1"/>
        <w:rPr>
          <w:rFonts w:asciiTheme="minorHAnsi" w:eastAsiaTheme="minorEastAsia" w:hAnsiTheme="minorHAnsi" w:cstheme="minorBidi"/>
          <w:noProof/>
          <w:sz w:val="22"/>
          <w:szCs w:val="22"/>
        </w:rPr>
      </w:pPr>
      <w:hyperlink w:anchor="_Toc460579818" w:history="1">
        <w:r w:rsidR="008271C1" w:rsidRPr="002C4C0B">
          <w:rPr>
            <w:rStyle w:val="Hyperlink"/>
            <w:noProof/>
          </w:rPr>
          <w:t>2</w:t>
        </w:r>
        <w:r w:rsidR="008271C1">
          <w:rPr>
            <w:rFonts w:asciiTheme="minorHAnsi" w:eastAsiaTheme="minorEastAsia" w:hAnsiTheme="minorHAnsi" w:cstheme="minorBidi"/>
            <w:noProof/>
            <w:sz w:val="22"/>
            <w:szCs w:val="22"/>
          </w:rPr>
          <w:tab/>
        </w:r>
        <w:r w:rsidR="008271C1" w:rsidRPr="002C4C0B">
          <w:rPr>
            <w:rStyle w:val="Hyperlink"/>
            <w:noProof/>
          </w:rPr>
          <w:t>COMMERCIALLY SENSITIVE INFORMATION</w:t>
        </w:r>
        <w:r w:rsidR="008271C1">
          <w:rPr>
            <w:noProof/>
            <w:webHidden/>
          </w:rPr>
          <w:tab/>
        </w:r>
        <w:r w:rsidR="008271C1">
          <w:rPr>
            <w:noProof/>
            <w:webHidden/>
          </w:rPr>
          <w:fldChar w:fldCharType="begin"/>
        </w:r>
        <w:r w:rsidR="008271C1">
          <w:rPr>
            <w:noProof/>
            <w:webHidden/>
          </w:rPr>
          <w:instrText xml:space="preserve"> PAGEREF _Toc460579818 \h </w:instrText>
        </w:r>
        <w:r w:rsidR="008271C1">
          <w:rPr>
            <w:noProof/>
            <w:webHidden/>
          </w:rPr>
        </w:r>
        <w:r w:rsidR="008271C1">
          <w:rPr>
            <w:noProof/>
            <w:webHidden/>
          </w:rPr>
          <w:fldChar w:fldCharType="separate"/>
        </w:r>
        <w:r w:rsidR="008271C1">
          <w:rPr>
            <w:noProof/>
            <w:webHidden/>
          </w:rPr>
          <w:t>2</w:t>
        </w:r>
        <w:r w:rsidR="008271C1">
          <w:rPr>
            <w:noProof/>
            <w:webHidden/>
          </w:rPr>
          <w:fldChar w:fldCharType="end"/>
        </w:r>
      </w:hyperlink>
    </w:p>
    <w:p w14:paraId="77600053" w14:textId="77777777" w:rsidR="00166F4D" w:rsidRDefault="00D67290" w:rsidP="00AF6664">
      <w:pPr>
        <w:pStyle w:val="Body"/>
        <w:jc w:val="center"/>
      </w:pPr>
      <w:r>
        <w:fldChar w:fldCharType="end"/>
      </w:r>
    </w:p>
    <w:p w14:paraId="38F96C9C" w14:textId="77777777" w:rsidR="00810B1A" w:rsidRDefault="00810B1A" w:rsidP="00F606E3">
      <w:pPr>
        <w:pStyle w:val="Body"/>
        <w:jc w:val="left"/>
        <w:sectPr w:rsidR="00810B1A" w:rsidSect="003F55AC">
          <w:headerReference w:type="default" r:id="rId11"/>
          <w:pgSz w:w="11907" w:h="16840" w:code="9"/>
          <w:pgMar w:top="1418" w:right="1701" w:bottom="1418" w:left="1701" w:header="709" w:footer="709" w:gutter="0"/>
          <w:paperSrc w:first="261" w:other="261"/>
          <w:pgNumType w:start="1"/>
          <w:cols w:space="720"/>
          <w:titlePg/>
          <w:docGrid w:linePitch="272"/>
        </w:sectPr>
      </w:pPr>
    </w:p>
    <w:p w14:paraId="53C86B45" w14:textId="77777777" w:rsidR="00BC4680" w:rsidRDefault="00196002" w:rsidP="00E30AB6">
      <w:pPr>
        <w:pStyle w:val="Body"/>
        <w:jc w:val="center"/>
        <w:rPr>
          <w:rStyle w:val="Level1asHeadingtext"/>
          <w:rFonts w:eastAsia="Arial"/>
        </w:rPr>
      </w:pPr>
      <w:r>
        <w:rPr>
          <w:b/>
        </w:rPr>
        <w:lastRenderedPageBreak/>
        <w:t>SCHEDULE 3.2</w:t>
      </w:r>
      <w:r w:rsidR="00E30AB6">
        <w:rPr>
          <w:b/>
        </w:rPr>
        <w:t xml:space="preserve"> – </w:t>
      </w:r>
      <w:r w:rsidR="003F55AC">
        <w:rPr>
          <w:b/>
        </w:rPr>
        <w:t>COMMERCIALLY SENSITIVE INFORMATION</w:t>
      </w:r>
    </w:p>
    <w:bookmarkStart w:id="3" w:name="_Ref407535676"/>
    <w:bookmarkStart w:id="4" w:name="_Ref407564959"/>
    <w:p w14:paraId="4AC824A9" w14:textId="77777777" w:rsidR="00166F4D" w:rsidRDefault="00D67290" w:rsidP="00D010F5">
      <w:pPr>
        <w:pStyle w:val="Level1"/>
      </w:pPr>
      <w:r>
        <w:rPr>
          <w:rStyle w:val="Level1asHeadingtext"/>
        </w:rPr>
        <w:fldChar w:fldCharType="begin"/>
      </w:r>
      <w:r w:rsidRPr="00D67290">
        <w:instrText xml:space="preserve">  TC "</w:instrText>
      </w:r>
      <w:r>
        <w:fldChar w:fldCharType="begin"/>
      </w:r>
      <w:r w:rsidRPr="00D67290">
        <w:instrText xml:space="preserve"> REF _Ref425778518 \r </w:instrText>
      </w:r>
      <w:r>
        <w:fldChar w:fldCharType="separate"/>
      </w:r>
      <w:bookmarkStart w:id="5" w:name="_Toc460579817"/>
      <w:r w:rsidR="008271C1">
        <w:instrText>1</w:instrText>
      </w:r>
      <w:r>
        <w:fldChar w:fldCharType="end"/>
      </w:r>
      <w:r>
        <w:tab/>
        <w:instrText>BACKGROUND</w:instrText>
      </w:r>
      <w:bookmarkEnd w:id="5"/>
      <w:r w:rsidRPr="00D67290">
        <w:instrText xml:space="preserve">" \l1 </w:instrText>
      </w:r>
      <w:r>
        <w:rPr>
          <w:rStyle w:val="Level1asHeadingtext"/>
        </w:rPr>
        <w:fldChar w:fldCharType="end"/>
      </w:r>
      <w:bookmarkStart w:id="6" w:name="_Ref425778518"/>
      <w:r w:rsidR="00D010F5" w:rsidRPr="00D010F5">
        <w:rPr>
          <w:rStyle w:val="Level1asHeadingtext"/>
        </w:rPr>
        <w:t>BACKGROUND</w:t>
      </w:r>
      <w:bookmarkEnd w:id="3"/>
      <w:bookmarkEnd w:id="4"/>
      <w:bookmarkEnd w:id="6"/>
    </w:p>
    <w:p w14:paraId="7B334520" w14:textId="77777777" w:rsidR="003F55AC" w:rsidRDefault="003F55AC" w:rsidP="00E90343">
      <w:pPr>
        <w:pStyle w:val="Level2"/>
        <w:numPr>
          <w:ilvl w:val="1"/>
          <w:numId w:val="6"/>
        </w:numPr>
      </w:pPr>
      <w:r>
        <w:t xml:space="preserve">This </w:t>
      </w:r>
      <w:r w:rsidR="00866230">
        <w:t>Schedu</w:t>
      </w:r>
      <w:r w:rsidR="00196002">
        <w:t>le 3.2</w:t>
      </w:r>
      <w:r w:rsidR="00C01E69">
        <w:t xml:space="preserve"> </w:t>
      </w:r>
      <w:r>
        <w:t>sets out the information that the Parties agree be treated as Commercially Sensitive Informatio</w:t>
      </w:r>
      <w:r w:rsidR="00A66608">
        <w:t xml:space="preserve">n for the </w:t>
      </w:r>
      <w:r w:rsidR="00EC6193">
        <w:t xml:space="preserve">corresponding </w:t>
      </w:r>
      <w:r w:rsidR="00A66608">
        <w:t>purpose</w:t>
      </w:r>
      <w:r w:rsidR="0097750C">
        <w:t>s</w:t>
      </w:r>
      <w:r w:rsidR="00A66608">
        <w:t xml:space="preserve"> </w:t>
      </w:r>
      <w:r w:rsidR="0097750C">
        <w:t>identified in</w:t>
      </w:r>
      <w:r w:rsidR="00A66608">
        <w:t xml:space="preserve"> Clause</w:t>
      </w:r>
      <w:r w:rsidR="0097750C">
        <w:t>s</w:t>
      </w:r>
      <w:r w:rsidR="00A66608">
        <w:t xml:space="preserve"> </w:t>
      </w:r>
      <w:r w:rsidR="00C830A4">
        <w:t>49</w:t>
      </w:r>
      <w:r w:rsidR="0097750C">
        <w:t xml:space="preserve"> and 50</w:t>
      </w:r>
      <w:r>
        <w:t>.</w:t>
      </w:r>
    </w:p>
    <w:p w14:paraId="78EFE5BE" w14:textId="77777777" w:rsidR="00E90343" w:rsidRDefault="00E90343" w:rsidP="00E90343">
      <w:pPr>
        <w:pStyle w:val="Level2"/>
        <w:numPr>
          <w:ilvl w:val="1"/>
          <w:numId w:val="6"/>
        </w:numPr>
      </w:pPr>
      <w:r>
        <w:t xml:space="preserve">For the avoidance of doubt, the content of the table below should not be construed so as to purportedly indicate any extension of the scope of the Authority's statutory obligations under FOIA </w:t>
      </w:r>
      <w:r w:rsidR="00E54ABB">
        <w:t xml:space="preserve">or the Environmental Information Regulations </w:t>
      </w:r>
      <w:r>
        <w:t>to disclose Information.</w:t>
      </w:r>
    </w:p>
    <w:p w14:paraId="264D9373" w14:textId="77777777" w:rsidR="00AB2D46" w:rsidRDefault="00AA6863" w:rsidP="003F6FC8">
      <w:pPr>
        <w:pStyle w:val="Level2"/>
        <w:numPr>
          <w:ilvl w:val="1"/>
          <w:numId w:val="6"/>
        </w:numPr>
      </w:pPr>
      <w:r w:rsidRPr="003F6FC8">
        <w:t xml:space="preserve">Subject to </w:t>
      </w:r>
      <w:r w:rsidR="00EC6193">
        <w:t>C</w:t>
      </w:r>
      <w:r w:rsidRPr="003F6FC8">
        <w:t>lause 49.3 and 50.3</w:t>
      </w:r>
      <w:r w:rsidR="0041375E">
        <w:t xml:space="preserve">, as well as any requirement </w:t>
      </w:r>
      <w:r w:rsidR="00EC6193">
        <w:t>of</w:t>
      </w:r>
      <w:r w:rsidR="0041375E">
        <w:t xml:space="preserve"> Law,</w:t>
      </w:r>
      <w:r w:rsidR="00E95E63" w:rsidRPr="003F6FC8">
        <w:t xml:space="preserve"> the Authority shall not disclose</w:t>
      </w:r>
      <w:r w:rsidRPr="003F6FC8">
        <w:t xml:space="preserve"> information </w:t>
      </w:r>
      <w:r w:rsidR="007809A9" w:rsidRPr="003F6FC8">
        <w:t>marked with a ‘Y’ in the final column of the following table</w:t>
      </w:r>
      <w:r w:rsidRPr="003F6FC8">
        <w:t xml:space="preserve"> to any other Local Body </w:t>
      </w:r>
      <w:r w:rsidR="00A14DB3" w:rsidRPr="003F6FC8">
        <w:t xml:space="preserve">(for the duration specified) </w:t>
      </w:r>
      <w:r w:rsidR="00B31C44">
        <w:t xml:space="preserve">for the purposes of </w:t>
      </w:r>
      <w:r w:rsidR="00EC6193">
        <w:t>C</w:t>
      </w:r>
      <w:r w:rsidRPr="003F6FC8">
        <w:t>lause 50.6.2</w:t>
      </w:r>
      <w:r w:rsidR="00974671" w:rsidRPr="003F6FC8">
        <w:t>.</w:t>
      </w:r>
    </w:p>
    <w:p w14:paraId="091E6C23" w14:textId="77777777" w:rsidR="00AB2D46" w:rsidRDefault="00AB2D46" w:rsidP="00E95E63">
      <w:pPr>
        <w:pStyle w:val="Level1"/>
        <w:numPr>
          <w:ilvl w:val="0"/>
          <w:numId w:val="0"/>
        </w:numPr>
        <w:ind w:left="851" w:hanging="851"/>
        <w:sectPr w:rsidR="00AB2D46" w:rsidSect="003F55AC">
          <w:footerReference w:type="default" r:id="rId12"/>
          <w:footerReference w:type="first" r:id="rId13"/>
          <w:pgSz w:w="11907" w:h="16840" w:code="9"/>
          <w:pgMar w:top="1418" w:right="1701" w:bottom="1418" w:left="1701" w:header="709" w:footer="709" w:gutter="0"/>
          <w:paperSrc w:first="261" w:other="261"/>
          <w:pgNumType w:start="1"/>
          <w:cols w:space="720"/>
          <w:titlePg/>
          <w:docGrid w:linePitch="272"/>
        </w:sectPr>
      </w:pPr>
    </w:p>
    <w:p w14:paraId="6F272785" w14:textId="77777777" w:rsidR="00D010F5" w:rsidRDefault="00D67290" w:rsidP="00D010F5">
      <w:pPr>
        <w:pStyle w:val="Level1"/>
        <w:rPr>
          <w:rStyle w:val="Level1asHeadingtext"/>
        </w:rPr>
      </w:pPr>
      <w:r>
        <w:rPr>
          <w:rStyle w:val="Level1asHeadingtext"/>
        </w:rPr>
        <w:lastRenderedPageBreak/>
        <w:fldChar w:fldCharType="begin"/>
      </w:r>
      <w:r w:rsidRPr="00D67290">
        <w:instrText xml:space="preserve">  TC "</w:instrText>
      </w:r>
      <w:r>
        <w:fldChar w:fldCharType="begin"/>
      </w:r>
      <w:r w:rsidRPr="00D67290">
        <w:instrText xml:space="preserve"> REF _Ref425778256 \r </w:instrText>
      </w:r>
      <w:r>
        <w:fldChar w:fldCharType="separate"/>
      </w:r>
      <w:bookmarkStart w:id="7" w:name="_Toc460579818"/>
      <w:r w:rsidR="008271C1">
        <w:instrText>2</w:instrText>
      </w:r>
      <w:r>
        <w:fldChar w:fldCharType="end"/>
      </w:r>
      <w:r>
        <w:tab/>
        <w:instrText>COMMERCIALLY SENSITIVE INFORMATION</w:instrText>
      </w:r>
      <w:bookmarkEnd w:id="7"/>
      <w:r w:rsidRPr="00D67290">
        <w:instrText xml:space="preserve">" \l1 </w:instrText>
      </w:r>
      <w:r>
        <w:rPr>
          <w:rStyle w:val="Level1asHeadingtext"/>
        </w:rPr>
        <w:fldChar w:fldCharType="end"/>
      </w:r>
      <w:bookmarkStart w:id="8" w:name="_Ref407564975"/>
      <w:bookmarkStart w:id="9" w:name="_Ref425778256"/>
      <w:r w:rsidR="003F55AC">
        <w:rPr>
          <w:rStyle w:val="Level1asHeadingtext"/>
        </w:rPr>
        <w:t>COMMERCIALLY SENSITIVE INFORMATION</w:t>
      </w:r>
      <w:bookmarkEnd w:id="8"/>
      <w:bookmarkEnd w:id="9"/>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3827"/>
        <w:gridCol w:w="2694"/>
        <w:gridCol w:w="2976"/>
      </w:tblGrid>
      <w:tr w:rsidR="00C93330" w:rsidRPr="00473B3F" w14:paraId="240D64A8" w14:textId="77777777" w:rsidTr="00C93330">
        <w:trPr>
          <w:tblHeader/>
        </w:trPr>
        <w:tc>
          <w:tcPr>
            <w:tcW w:w="4678" w:type="dxa"/>
            <w:shd w:val="clear" w:color="auto" w:fill="E0E0E0"/>
            <w:vAlign w:val="center"/>
          </w:tcPr>
          <w:bookmarkEnd w:id="0"/>
          <w:p w14:paraId="4C240AFB" w14:textId="77777777" w:rsidR="00895298" w:rsidRPr="00473B3F" w:rsidRDefault="00895298" w:rsidP="003268D8">
            <w:pPr>
              <w:pStyle w:val="Level1"/>
              <w:keepNext/>
              <w:numPr>
                <w:ilvl w:val="0"/>
                <w:numId w:val="0"/>
              </w:numPr>
              <w:spacing w:before="120" w:after="120"/>
              <w:jc w:val="center"/>
              <w:rPr>
                <w:b/>
                <w:sz w:val="16"/>
                <w:szCs w:val="16"/>
              </w:rPr>
            </w:pPr>
            <w:r w:rsidRPr="00473B3F">
              <w:rPr>
                <w:b/>
                <w:sz w:val="16"/>
                <w:szCs w:val="16"/>
              </w:rPr>
              <w:t>INFORMATION</w:t>
            </w:r>
          </w:p>
        </w:tc>
        <w:tc>
          <w:tcPr>
            <w:tcW w:w="3827" w:type="dxa"/>
            <w:shd w:val="clear" w:color="auto" w:fill="E0E0E0"/>
            <w:vAlign w:val="center"/>
          </w:tcPr>
          <w:p w14:paraId="1DC62E28" w14:textId="222662CD" w:rsidR="00895298" w:rsidRPr="00473B3F" w:rsidRDefault="00895298" w:rsidP="003268D8">
            <w:pPr>
              <w:pStyle w:val="Level1"/>
              <w:keepNext/>
              <w:numPr>
                <w:ilvl w:val="0"/>
                <w:numId w:val="0"/>
              </w:numPr>
              <w:spacing w:before="120" w:after="120"/>
              <w:jc w:val="center"/>
              <w:rPr>
                <w:b/>
                <w:sz w:val="16"/>
                <w:szCs w:val="16"/>
              </w:rPr>
            </w:pPr>
            <w:r w:rsidRPr="00473B3F">
              <w:rPr>
                <w:b/>
                <w:sz w:val="16"/>
                <w:szCs w:val="16"/>
              </w:rPr>
              <w:t>BASIS OF COMMERCIAL SENSITIVITY</w:t>
            </w:r>
            <w:r w:rsidR="00634BC7">
              <w:rPr>
                <w:b/>
                <w:sz w:val="16"/>
                <w:szCs w:val="16"/>
              </w:rPr>
              <w:t>*</w:t>
            </w:r>
          </w:p>
        </w:tc>
        <w:tc>
          <w:tcPr>
            <w:tcW w:w="2694" w:type="dxa"/>
            <w:shd w:val="clear" w:color="auto" w:fill="E0E0E0"/>
            <w:vAlign w:val="center"/>
          </w:tcPr>
          <w:p w14:paraId="56E56861" w14:textId="77777777" w:rsidR="00895298" w:rsidRPr="00473B3F" w:rsidRDefault="00895298" w:rsidP="00E54ABB">
            <w:pPr>
              <w:pStyle w:val="Level1"/>
              <w:keepNext/>
              <w:numPr>
                <w:ilvl w:val="0"/>
                <w:numId w:val="0"/>
              </w:numPr>
              <w:spacing w:before="120" w:after="120"/>
              <w:jc w:val="center"/>
              <w:rPr>
                <w:b/>
                <w:sz w:val="16"/>
                <w:szCs w:val="16"/>
              </w:rPr>
            </w:pPr>
            <w:r w:rsidRPr="00473B3F">
              <w:rPr>
                <w:b/>
                <w:sz w:val="16"/>
                <w:szCs w:val="16"/>
              </w:rPr>
              <w:t xml:space="preserve">PERIOD </w:t>
            </w:r>
            <w:r w:rsidR="00E54ABB">
              <w:rPr>
                <w:b/>
                <w:sz w:val="16"/>
                <w:szCs w:val="16"/>
              </w:rPr>
              <w:t>CLASSED AS COMMERCIALLY SENSITIVE INFORMATION</w:t>
            </w:r>
          </w:p>
        </w:tc>
        <w:tc>
          <w:tcPr>
            <w:tcW w:w="2976" w:type="dxa"/>
            <w:shd w:val="clear" w:color="auto" w:fill="E0E0E0"/>
            <w:vAlign w:val="center"/>
          </w:tcPr>
          <w:p w14:paraId="39E245C1" w14:textId="77777777" w:rsidR="00930A34" w:rsidRPr="00473B3F" w:rsidRDefault="00930A34" w:rsidP="003268D8">
            <w:pPr>
              <w:pStyle w:val="Level1"/>
              <w:keepNext/>
              <w:numPr>
                <w:ilvl w:val="0"/>
                <w:numId w:val="0"/>
              </w:numPr>
              <w:spacing w:before="120" w:after="120"/>
              <w:jc w:val="center"/>
              <w:rPr>
                <w:b/>
                <w:sz w:val="16"/>
                <w:szCs w:val="16"/>
              </w:rPr>
            </w:pPr>
            <w:r w:rsidRPr="00473B3F">
              <w:rPr>
                <w:b/>
                <w:sz w:val="16"/>
                <w:szCs w:val="16"/>
              </w:rPr>
              <w:t>RESTRICTION ON DISCLOSURE TO OTHER LOCAL BODIES (Cl. 50.6.4)</w:t>
            </w:r>
          </w:p>
          <w:p w14:paraId="389AC1E6" w14:textId="7EABF7BD" w:rsidR="00895298" w:rsidRPr="00473B3F" w:rsidRDefault="00930A34" w:rsidP="003268D8">
            <w:pPr>
              <w:pStyle w:val="Level1"/>
              <w:keepNext/>
              <w:numPr>
                <w:ilvl w:val="0"/>
                <w:numId w:val="0"/>
              </w:numPr>
              <w:spacing w:before="120" w:after="120"/>
              <w:jc w:val="center"/>
              <w:rPr>
                <w:b/>
                <w:sz w:val="16"/>
                <w:szCs w:val="16"/>
              </w:rPr>
            </w:pPr>
            <w:r w:rsidRPr="00473B3F">
              <w:rPr>
                <w:b/>
                <w:sz w:val="16"/>
                <w:szCs w:val="16"/>
              </w:rPr>
              <w:t>(Y/N plus time period)</w:t>
            </w:r>
          </w:p>
        </w:tc>
      </w:tr>
      <w:tr w:rsidR="00895298" w:rsidRPr="00473B3F" w14:paraId="35A596B0" w14:textId="77777777" w:rsidTr="00C93330">
        <w:tc>
          <w:tcPr>
            <w:tcW w:w="4678" w:type="dxa"/>
          </w:tcPr>
          <w:p w14:paraId="30DB3B2D" w14:textId="77777777" w:rsidR="00895298" w:rsidRPr="00E9289C" w:rsidRDefault="00895298" w:rsidP="00B84BAE">
            <w:pPr>
              <w:pStyle w:val="Level1"/>
              <w:numPr>
                <w:ilvl w:val="0"/>
                <w:numId w:val="0"/>
              </w:numPr>
              <w:tabs>
                <w:tab w:val="left" w:pos="720"/>
              </w:tabs>
              <w:spacing w:after="120"/>
              <w:rPr>
                <w:sz w:val="16"/>
                <w:szCs w:val="16"/>
                <w:highlight w:val="yellow"/>
              </w:rPr>
            </w:pPr>
            <w:r w:rsidRPr="00473B3F">
              <w:rPr>
                <w:sz w:val="16"/>
                <w:szCs w:val="16"/>
              </w:rPr>
              <w:t xml:space="preserve">1. Details of any </w:t>
            </w:r>
            <w:r w:rsidR="00B326AB">
              <w:rPr>
                <w:sz w:val="16"/>
                <w:szCs w:val="16"/>
              </w:rPr>
              <w:t xml:space="preserve">new or </w:t>
            </w:r>
            <w:r w:rsidRPr="00473B3F">
              <w:rPr>
                <w:sz w:val="16"/>
                <w:szCs w:val="16"/>
              </w:rPr>
              <w:t xml:space="preserve">anticipated Supplier or Sub-Contractor products and services </w:t>
            </w:r>
            <w:r w:rsidR="00B84BAE">
              <w:rPr>
                <w:sz w:val="16"/>
                <w:szCs w:val="16"/>
              </w:rPr>
              <w:t xml:space="preserve">received pursuant to this Contract </w:t>
            </w:r>
            <w:r w:rsidRPr="00473B3F">
              <w:rPr>
                <w:sz w:val="16"/>
                <w:szCs w:val="16"/>
              </w:rPr>
              <w:t>which are not launched</w:t>
            </w:r>
            <w:r w:rsidR="00B84BAE">
              <w:rPr>
                <w:sz w:val="16"/>
                <w:szCs w:val="16"/>
              </w:rPr>
              <w:t xml:space="preserve"> or</w:t>
            </w:r>
            <w:r w:rsidRPr="00473B3F">
              <w:rPr>
                <w:sz w:val="16"/>
                <w:szCs w:val="16"/>
              </w:rPr>
              <w:t xml:space="preserve"> otherwise in the public domain.</w:t>
            </w:r>
          </w:p>
        </w:tc>
        <w:tc>
          <w:tcPr>
            <w:tcW w:w="3827" w:type="dxa"/>
          </w:tcPr>
          <w:p w14:paraId="657A0563" w14:textId="77777777" w:rsidR="00895298" w:rsidRPr="00473B3F" w:rsidRDefault="00895298" w:rsidP="00B326AB">
            <w:pPr>
              <w:pStyle w:val="Level1"/>
              <w:numPr>
                <w:ilvl w:val="0"/>
                <w:numId w:val="0"/>
              </w:numPr>
              <w:spacing w:after="60"/>
              <w:rPr>
                <w:color w:val="000000"/>
                <w:sz w:val="16"/>
                <w:szCs w:val="16"/>
              </w:rPr>
            </w:pPr>
            <w:r w:rsidRPr="00473B3F">
              <w:rPr>
                <w:color w:val="000000"/>
                <w:sz w:val="16"/>
                <w:szCs w:val="16"/>
              </w:rPr>
              <w:t>This information if made public may:</w:t>
            </w:r>
          </w:p>
          <w:p w14:paraId="152D9137" w14:textId="77777777" w:rsidR="00895298" w:rsidRPr="00473B3F" w:rsidRDefault="00895298" w:rsidP="00B326AB">
            <w:pPr>
              <w:pStyle w:val="Level1"/>
              <w:numPr>
                <w:ilvl w:val="0"/>
                <w:numId w:val="0"/>
              </w:numPr>
              <w:spacing w:after="60"/>
              <w:rPr>
                <w:color w:val="000000"/>
                <w:sz w:val="16"/>
                <w:szCs w:val="16"/>
              </w:rPr>
            </w:pPr>
            <w:r w:rsidRPr="00473B3F">
              <w:rPr>
                <w:color w:val="000000"/>
                <w:sz w:val="16"/>
                <w:szCs w:val="16"/>
              </w:rPr>
              <w:t>(a) give a commercial advantage to competitors; and/or</w:t>
            </w:r>
          </w:p>
          <w:p w14:paraId="1028B430" w14:textId="77777777" w:rsidR="00895298" w:rsidRPr="00473B3F" w:rsidRDefault="00895298" w:rsidP="00B326AB">
            <w:pPr>
              <w:pStyle w:val="Level1"/>
              <w:numPr>
                <w:ilvl w:val="0"/>
                <w:numId w:val="0"/>
              </w:numPr>
              <w:spacing w:after="120"/>
              <w:rPr>
                <w:color w:val="000000"/>
                <w:sz w:val="16"/>
                <w:szCs w:val="16"/>
              </w:rPr>
            </w:pPr>
            <w:r w:rsidRPr="00473B3F">
              <w:rPr>
                <w:color w:val="000000"/>
                <w:sz w:val="16"/>
                <w:szCs w:val="16"/>
              </w:rPr>
              <w:t>(b) create unintended expectation/reliance by third parties.</w:t>
            </w:r>
          </w:p>
        </w:tc>
        <w:tc>
          <w:tcPr>
            <w:tcW w:w="2694" w:type="dxa"/>
          </w:tcPr>
          <w:p w14:paraId="04955AAD" w14:textId="77777777" w:rsidR="00895298" w:rsidRPr="00473B3F" w:rsidRDefault="00895298" w:rsidP="00EC6193">
            <w:pPr>
              <w:pStyle w:val="Body"/>
              <w:spacing w:after="120"/>
              <w:rPr>
                <w:sz w:val="16"/>
                <w:szCs w:val="16"/>
              </w:rPr>
            </w:pPr>
            <w:r w:rsidRPr="00473B3F">
              <w:rPr>
                <w:sz w:val="16"/>
                <w:szCs w:val="16"/>
              </w:rPr>
              <w:t>The period that the information remains confidential under the terms of this Contract</w:t>
            </w:r>
            <w:r w:rsidR="00EC6193">
              <w:rPr>
                <w:sz w:val="16"/>
                <w:szCs w:val="16"/>
              </w:rPr>
              <w:t xml:space="preserve"> (i.e. until it falls within Clause 50.2)</w:t>
            </w:r>
            <w:r w:rsidRPr="00473B3F">
              <w:rPr>
                <w:sz w:val="16"/>
                <w:szCs w:val="16"/>
              </w:rPr>
              <w:t>.</w:t>
            </w:r>
          </w:p>
        </w:tc>
        <w:tc>
          <w:tcPr>
            <w:tcW w:w="2976" w:type="dxa"/>
          </w:tcPr>
          <w:p w14:paraId="70C44C07" w14:textId="77777777" w:rsidR="00895298" w:rsidRPr="00473B3F" w:rsidRDefault="00AA7967" w:rsidP="00B84BAE">
            <w:pPr>
              <w:pStyle w:val="Body"/>
              <w:spacing w:after="120"/>
              <w:jc w:val="left"/>
              <w:rPr>
                <w:sz w:val="16"/>
                <w:szCs w:val="16"/>
              </w:rPr>
            </w:pPr>
            <w:r>
              <w:rPr>
                <w:sz w:val="16"/>
                <w:szCs w:val="16"/>
              </w:rPr>
              <w:t>N</w:t>
            </w:r>
          </w:p>
        </w:tc>
      </w:tr>
      <w:tr w:rsidR="00895298" w:rsidRPr="00473B3F" w14:paraId="53E0D5AD" w14:textId="77777777" w:rsidTr="00C93330">
        <w:tc>
          <w:tcPr>
            <w:tcW w:w="4678" w:type="dxa"/>
          </w:tcPr>
          <w:p w14:paraId="2C92B861" w14:textId="2322BA4B" w:rsidR="00895298" w:rsidRDefault="00E9289C" w:rsidP="000E2088">
            <w:pPr>
              <w:pStyle w:val="Body"/>
              <w:spacing w:after="120"/>
              <w:rPr>
                <w:sz w:val="16"/>
                <w:szCs w:val="16"/>
              </w:rPr>
            </w:pPr>
            <w:r>
              <w:rPr>
                <w:sz w:val="16"/>
                <w:szCs w:val="16"/>
              </w:rPr>
              <w:t>2</w:t>
            </w:r>
            <w:r w:rsidR="00895298" w:rsidRPr="00473B3F">
              <w:rPr>
                <w:sz w:val="16"/>
                <w:szCs w:val="16"/>
              </w:rPr>
              <w:t>.</w:t>
            </w:r>
            <w:r>
              <w:rPr>
                <w:sz w:val="16"/>
                <w:szCs w:val="16"/>
              </w:rPr>
              <w:t xml:space="preserve"> </w:t>
            </w:r>
            <w:r w:rsidR="00895298" w:rsidRPr="00473B3F">
              <w:rPr>
                <w:sz w:val="16"/>
                <w:szCs w:val="16"/>
              </w:rPr>
              <w:t>The Project Model</w:t>
            </w:r>
            <w:r w:rsidR="00D05B6F">
              <w:rPr>
                <w:sz w:val="16"/>
                <w:szCs w:val="16"/>
              </w:rPr>
              <w:t>, C6 Financial Reports</w:t>
            </w:r>
            <w:r w:rsidR="00895298" w:rsidRPr="00473B3F">
              <w:rPr>
                <w:sz w:val="16"/>
                <w:szCs w:val="16"/>
              </w:rPr>
              <w:t xml:space="preserve"> </w:t>
            </w:r>
            <w:r w:rsidR="00B326AB">
              <w:rPr>
                <w:sz w:val="16"/>
                <w:szCs w:val="16"/>
              </w:rPr>
              <w:t>and Project Accounts</w:t>
            </w:r>
            <w:r w:rsidR="00285FCA">
              <w:rPr>
                <w:sz w:val="16"/>
                <w:szCs w:val="16"/>
              </w:rPr>
              <w:t>.</w:t>
            </w:r>
          </w:p>
          <w:p w14:paraId="13B81DEF" w14:textId="77777777" w:rsidR="00754DE8" w:rsidRPr="00473B3F" w:rsidRDefault="003D4AB1" w:rsidP="003D4AB1">
            <w:pPr>
              <w:pStyle w:val="Body"/>
              <w:spacing w:after="0"/>
              <w:rPr>
                <w:sz w:val="16"/>
                <w:szCs w:val="16"/>
              </w:rPr>
            </w:pPr>
            <w:r>
              <w:rPr>
                <w:sz w:val="16"/>
                <w:szCs w:val="16"/>
              </w:rPr>
              <w:t>Except that</w:t>
            </w:r>
            <w:r w:rsidR="00EF6F55">
              <w:rPr>
                <w:sz w:val="16"/>
                <w:szCs w:val="16"/>
              </w:rPr>
              <w:t xml:space="preserve"> each of the following, whether modelled, actual or forecast for the Project (including for aggregated amounts, then current aggregate amounts at the time concerned, not just final totals), are</w:t>
            </w:r>
            <w:r w:rsidR="00EF6F55" w:rsidRPr="00473B3F">
              <w:rPr>
                <w:sz w:val="16"/>
                <w:szCs w:val="16"/>
              </w:rPr>
              <w:t xml:space="preserve"> </w:t>
            </w:r>
            <w:r w:rsidR="00EF6F55">
              <w:rPr>
                <w:sz w:val="16"/>
                <w:szCs w:val="16"/>
              </w:rPr>
              <w:t xml:space="preserve">not in any event </w:t>
            </w:r>
            <w:r w:rsidR="00EF6F55" w:rsidRPr="00473B3F">
              <w:rPr>
                <w:sz w:val="16"/>
                <w:szCs w:val="16"/>
              </w:rPr>
              <w:t>C</w:t>
            </w:r>
            <w:r w:rsidR="00EF6F55">
              <w:rPr>
                <w:sz w:val="16"/>
                <w:szCs w:val="16"/>
              </w:rPr>
              <w:t xml:space="preserve">ommercially </w:t>
            </w:r>
            <w:r w:rsidR="00EF6F55" w:rsidRPr="00473B3F">
              <w:rPr>
                <w:sz w:val="16"/>
                <w:szCs w:val="16"/>
              </w:rPr>
              <w:t>S</w:t>
            </w:r>
            <w:r w:rsidR="00EF6F55">
              <w:rPr>
                <w:sz w:val="16"/>
                <w:szCs w:val="16"/>
              </w:rPr>
              <w:t xml:space="preserve">ensitive </w:t>
            </w:r>
            <w:r w:rsidR="00EF6F55" w:rsidRPr="00473B3F">
              <w:rPr>
                <w:sz w:val="16"/>
                <w:szCs w:val="16"/>
              </w:rPr>
              <w:t>I</w:t>
            </w:r>
            <w:r w:rsidR="00EF6F55">
              <w:rPr>
                <w:sz w:val="16"/>
                <w:szCs w:val="16"/>
              </w:rPr>
              <w:t>nformation</w:t>
            </w:r>
            <w:r w:rsidR="00EF6F55" w:rsidRPr="00473B3F">
              <w:rPr>
                <w:sz w:val="16"/>
                <w:szCs w:val="16"/>
              </w:rPr>
              <w:t xml:space="preserve"> </w:t>
            </w:r>
            <w:r w:rsidR="00EF6F55">
              <w:rPr>
                <w:sz w:val="16"/>
                <w:szCs w:val="16"/>
              </w:rPr>
              <w:t>for the purposes of this table</w:t>
            </w:r>
            <w:r w:rsidR="00754DE8">
              <w:rPr>
                <w:sz w:val="16"/>
                <w:szCs w:val="16"/>
              </w:rPr>
              <w:t>:</w:t>
            </w:r>
          </w:p>
          <w:p w14:paraId="3C05CC1C" w14:textId="77777777" w:rsidR="00983A27" w:rsidRDefault="003D4AB1" w:rsidP="00A51E21">
            <w:pPr>
              <w:pStyle w:val="Body"/>
              <w:numPr>
                <w:ilvl w:val="0"/>
                <w:numId w:val="28"/>
              </w:numPr>
              <w:spacing w:after="0"/>
              <w:ind w:left="357" w:hanging="357"/>
              <w:rPr>
                <w:sz w:val="16"/>
                <w:szCs w:val="16"/>
              </w:rPr>
            </w:pPr>
            <w:r>
              <w:rPr>
                <w:sz w:val="16"/>
                <w:szCs w:val="16"/>
              </w:rPr>
              <w:t xml:space="preserve">The </w:t>
            </w:r>
            <w:r w:rsidR="00983A27">
              <w:rPr>
                <w:sz w:val="16"/>
                <w:szCs w:val="16"/>
              </w:rPr>
              <w:t>Milestone Payment</w:t>
            </w:r>
            <w:r>
              <w:rPr>
                <w:sz w:val="16"/>
                <w:szCs w:val="16"/>
              </w:rPr>
              <w:t>s</w:t>
            </w:r>
            <w:r w:rsidR="00983A27">
              <w:rPr>
                <w:sz w:val="16"/>
                <w:szCs w:val="16"/>
              </w:rPr>
              <w:t>;</w:t>
            </w:r>
          </w:p>
          <w:p w14:paraId="4574241D" w14:textId="77777777" w:rsidR="00B911B2" w:rsidRDefault="00B911B2" w:rsidP="00A51E21">
            <w:pPr>
              <w:pStyle w:val="Body"/>
              <w:numPr>
                <w:ilvl w:val="0"/>
                <w:numId w:val="28"/>
              </w:numPr>
              <w:spacing w:after="0"/>
              <w:ind w:left="357" w:hanging="357"/>
              <w:rPr>
                <w:sz w:val="16"/>
                <w:szCs w:val="16"/>
              </w:rPr>
            </w:pPr>
            <w:r>
              <w:rPr>
                <w:sz w:val="16"/>
                <w:szCs w:val="16"/>
              </w:rPr>
              <w:t xml:space="preserve">Aggregate </w:t>
            </w:r>
            <w:r w:rsidRPr="00B911B2">
              <w:rPr>
                <w:sz w:val="16"/>
                <w:szCs w:val="16"/>
              </w:rPr>
              <w:t>NGA Network Build Costs;</w:t>
            </w:r>
          </w:p>
          <w:p w14:paraId="2281ABEB" w14:textId="77777777" w:rsidR="00285FCA" w:rsidRDefault="00B911B2" w:rsidP="00A51E21">
            <w:pPr>
              <w:pStyle w:val="Body"/>
              <w:numPr>
                <w:ilvl w:val="0"/>
                <w:numId w:val="28"/>
              </w:numPr>
              <w:spacing w:after="0"/>
              <w:ind w:left="357" w:hanging="357"/>
              <w:rPr>
                <w:sz w:val="16"/>
                <w:szCs w:val="16"/>
              </w:rPr>
            </w:pPr>
            <w:r>
              <w:rPr>
                <w:sz w:val="16"/>
                <w:szCs w:val="16"/>
              </w:rPr>
              <w:t>Aggregate</w:t>
            </w:r>
            <w:r w:rsidR="00983A27">
              <w:rPr>
                <w:sz w:val="16"/>
                <w:szCs w:val="16"/>
              </w:rPr>
              <w:t xml:space="preserve"> </w:t>
            </w:r>
            <w:r w:rsidR="00285FCA" w:rsidRPr="00285FCA">
              <w:rPr>
                <w:sz w:val="16"/>
                <w:szCs w:val="16"/>
              </w:rPr>
              <w:t>Supplier NGA Network Build Investment</w:t>
            </w:r>
            <w:r w:rsidR="00285FCA">
              <w:rPr>
                <w:sz w:val="16"/>
                <w:szCs w:val="16"/>
              </w:rPr>
              <w:t>;</w:t>
            </w:r>
          </w:p>
          <w:p w14:paraId="63AD111D" w14:textId="7FAD13F5" w:rsidR="00694122" w:rsidRDefault="00B911B2" w:rsidP="00A51E21">
            <w:pPr>
              <w:pStyle w:val="Body"/>
              <w:numPr>
                <w:ilvl w:val="0"/>
                <w:numId w:val="28"/>
              </w:numPr>
              <w:spacing w:after="0"/>
              <w:ind w:left="357" w:hanging="357"/>
              <w:rPr>
                <w:sz w:val="16"/>
                <w:szCs w:val="16"/>
              </w:rPr>
            </w:pPr>
            <w:r>
              <w:rPr>
                <w:sz w:val="16"/>
                <w:szCs w:val="16"/>
              </w:rPr>
              <w:t>Aggregate</w:t>
            </w:r>
            <w:r w:rsidR="00694122">
              <w:rPr>
                <w:sz w:val="16"/>
                <w:szCs w:val="16"/>
              </w:rPr>
              <w:t xml:space="preserve"> Supplier investment;</w:t>
            </w:r>
          </w:p>
          <w:p w14:paraId="378B9CA6" w14:textId="77777777" w:rsidR="00A51E21" w:rsidRDefault="00B911B2" w:rsidP="00A51E21">
            <w:pPr>
              <w:pStyle w:val="Body"/>
              <w:numPr>
                <w:ilvl w:val="0"/>
                <w:numId w:val="28"/>
              </w:numPr>
              <w:spacing w:after="0"/>
              <w:ind w:left="357" w:hanging="357"/>
              <w:rPr>
                <w:sz w:val="16"/>
                <w:szCs w:val="16"/>
              </w:rPr>
            </w:pPr>
            <w:r>
              <w:rPr>
                <w:sz w:val="16"/>
                <w:szCs w:val="16"/>
              </w:rPr>
              <w:t>Aggregate</w:t>
            </w:r>
            <w:r w:rsidR="00754DE8">
              <w:rPr>
                <w:sz w:val="16"/>
                <w:szCs w:val="16"/>
              </w:rPr>
              <w:t xml:space="preserve"> </w:t>
            </w:r>
            <w:r w:rsidR="00A51E21">
              <w:rPr>
                <w:sz w:val="16"/>
                <w:szCs w:val="16"/>
              </w:rPr>
              <w:t>Clawback amounts;</w:t>
            </w:r>
          </w:p>
          <w:p w14:paraId="02055883" w14:textId="77777777" w:rsidR="00A02A2F" w:rsidRDefault="00B911B2" w:rsidP="00A51E21">
            <w:pPr>
              <w:pStyle w:val="Body"/>
              <w:numPr>
                <w:ilvl w:val="0"/>
                <w:numId w:val="28"/>
              </w:numPr>
              <w:spacing w:after="0"/>
              <w:ind w:left="357" w:hanging="357"/>
              <w:rPr>
                <w:sz w:val="16"/>
                <w:szCs w:val="16"/>
              </w:rPr>
            </w:pPr>
            <w:r>
              <w:rPr>
                <w:sz w:val="16"/>
                <w:szCs w:val="16"/>
              </w:rPr>
              <w:t>Aggregate</w:t>
            </w:r>
            <w:r w:rsidR="00754DE8">
              <w:rPr>
                <w:sz w:val="16"/>
                <w:szCs w:val="16"/>
              </w:rPr>
              <w:t xml:space="preserve"> </w:t>
            </w:r>
            <w:r>
              <w:rPr>
                <w:sz w:val="16"/>
                <w:szCs w:val="16"/>
              </w:rPr>
              <w:t>End User P</w:t>
            </w:r>
            <w:r w:rsidR="00694122">
              <w:rPr>
                <w:sz w:val="16"/>
                <w:szCs w:val="16"/>
              </w:rPr>
              <w:t>remises passed</w:t>
            </w:r>
            <w:r w:rsidR="00A02A2F">
              <w:rPr>
                <w:sz w:val="16"/>
                <w:szCs w:val="16"/>
              </w:rPr>
              <w:t>;</w:t>
            </w:r>
          </w:p>
          <w:p w14:paraId="2DF6C8CE" w14:textId="2A5DD303" w:rsidR="00692F51" w:rsidRDefault="00692F51" w:rsidP="00A51E21">
            <w:pPr>
              <w:pStyle w:val="Body"/>
              <w:numPr>
                <w:ilvl w:val="0"/>
                <w:numId w:val="28"/>
              </w:numPr>
              <w:spacing w:after="0"/>
              <w:ind w:left="357" w:hanging="357"/>
              <w:rPr>
                <w:sz w:val="16"/>
                <w:szCs w:val="16"/>
              </w:rPr>
            </w:pPr>
            <w:r>
              <w:rPr>
                <w:sz w:val="16"/>
                <w:szCs w:val="16"/>
              </w:rPr>
              <w:t xml:space="preserve">Aggregate </w:t>
            </w:r>
            <w:r w:rsidR="00E81661">
              <w:rPr>
                <w:sz w:val="16"/>
                <w:szCs w:val="16"/>
              </w:rPr>
              <w:t>S</w:t>
            </w:r>
            <w:r>
              <w:rPr>
                <w:sz w:val="16"/>
                <w:szCs w:val="16"/>
              </w:rPr>
              <w:t xml:space="preserve">tructures </w:t>
            </w:r>
            <w:r w:rsidR="00553D54">
              <w:rPr>
                <w:sz w:val="16"/>
                <w:szCs w:val="16"/>
              </w:rPr>
              <w:t>per</w:t>
            </w:r>
            <w:r>
              <w:rPr>
                <w:sz w:val="16"/>
                <w:szCs w:val="16"/>
              </w:rPr>
              <w:t xml:space="preserve"> Solution Component</w:t>
            </w:r>
          </w:p>
          <w:p w14:paraId="22214E1E" w14:textId="77777777" w:rsidR="00EF6F55" w:rsidRDefault="00A02A2F" w:rsidP="00EF6F55">
            <w:pPr>
              <w:pStyle w:val="Body"/>
              <w:numPr>
                <w:ilvl w:val="0"/>
                <w:numId w:val="28"/>
              </w:numPr>
              <w:spacing w:after="0"/>
              <w:ind w:left="357" w:hanging="357"/>
              <w:rPr>
                <w:sz w:val="16"/>
                <w:szCs w:val="16"/>
              </w:rPr>
            </w:pPr>
            <w:r>
              <w:rPr>
                <w:sz w:val="16"/>
                <w:szCs w:val="16"/>
              </w:rPr>
              <w:t>Aggregate End Users connected</w:t>
            </w:r>
            <w:r w:rsidR="00EF6F55">
              <w:rPr>
                <w:sz w:val="16"/>
                <w:szCs w:val="16"/>
              </w:rPr>
              <w:t>;</w:t>
            </w:r>
          </w:p>
          <w:p w14:paraId="72BE9509" w14:textId="77777777" w:rsidR="00EF6F55" w:rsidRDefault="00EF6F55" w:rsidP="00EF6F55">
            <w:pPr>
              <w:pStyle w:val="Body"/>
              <w:numPr>
                <w:ilvl w:val="0"/>
                <w:numId w:val="28"/>
              </w:numPr>
              <w:spacing w:after="0"/>
              <w:ind w:left="357" w:hanging="357"/>
              <w:rPr>
                <w:sz w:val="16"/>
                <w:szCs w:val="16"/>
              </w:rPr>
            </w:pPr>
            <w:r>
              <w:rPr>
                <w:sz w:val="16"/>
                <w:szCs w:val="16"/>
              </w:rPr>
              <w:t>Project Investment Ratios;</w:t>
            </w:r>
          </w:p>
          <w:p w14:paraId="07AAE039" w14:textId="64B5D171" w:rsidR="00895298" w:rsidRPr="009864A3" w:rsidRDefault="00EF6F55" w:rsidP="00325E6C">
            <w:pPr>
              <w:pStyle w:val="Body"/>
              <w:numPr>
                <w:ilvl w:val="0"/>
                <w:numId w:val="28"/>
              </w:numPr>
              <w:spacing w:after="120"/>
              <w:ind w:left="357" w:hanging="357"/>
              <w:rPr>
                <w:sz w:val="16"/>
                <w:szCs w:val="16"/>
              </w:rPr>
            </w:pPr>
            <w:r w:rsidRPr="00EF6F55">
              <w:rPr>
                <w:sz w:val="16"/>
                <w:szCs w:val="16"/>
              </w:rPr>
              <w:t>Outturn Investment Ratios.</w:t>
            </w:r>
          </w:p>
        </w:tc>
        <w:tc>
          <w:tcPr>
            <w:tcW w:w="3827" w:type="dxa"/>
          </w:tcPr>
          <w:p w14:paraId="416893EB" w14:textId="77777777" w:rsidR="00895298" w:rsidRPr="00473B3F" w:rsidRDefault="00895298" w:rsidP="00B326AB">
            <w:pPr>
              <w:pStyle w:val="Level1"/>
              <w:numPr>
                <w:ilvl w:val="0"/>
                <w:numId w:val="0"/>
              </w:numPr>
              <w:spacing w:after="60"/>
              <w:rPr>
                <w:color w:val="000000"/>
                <w:sz w:val="16"/>
                <w:szCs w:val="16"/>
              </w:rPr>
            </w:pPr>
            <w:r w:rsidRPr="00473B3F">
              <w:rPr>
                <w:color w:val="000000"/>
                <w:sz w:val="16"/>
                <w:szCs w:val="16"/>
              </w:rPr>
              <w:t>This information if made public may:</w:t>
            </w:r>
          </w:p>
          <w:p w14:paraId="63FF7476" w14:textId="77777777" w:rsidR="00895298" w:rsidRPr="00473B3F" w:rsidRDefault="00895298" w:rsidP="00B326AB">
            <w:pPr>
              <w:pStyle w:val="Level1"/>
              <w:numPr>
                <w:ilvl w:val="0"/>
                <w:numId w:val="0"/>
              </w:numPr>
              <w:spacing w:after="60"/>
              <w:rPr>
                <w:color w:val="000000"/>
                <w:sz w:val="16"/>
                <w:szCs w:val="16"/>
              </w:rPr>
            </w:pPr>
            <w:r w:rsidRPr="00473B3F">
              <w:rPr>
                <w:color w:val="000000"/>
                <w:sz w:val="16"/>
                <w:szCs w:val="16"/>
              </w:rPr>
              <w:t xml:space="preserve">(a) give a commercial advantage to the competitors of the </w:t>
            </w:r>
            <w:r w:rsidR="00754DE8">
              <w:rPr>
                <w:color w:val="000000"/>
                <w:sz w:val="16"/>
                <w:szCs w:val="16"/>
              </w:rPr>
              <w:t>Supplier</w:t>
            </w:r>
            <w:r w:rsidRPr="00473B3F">
              <w:rPr>
                <w:color w:val="000000"/>
                <w:sz w:val="16"/>
                <w:szCs w:val="16"/>
              </w:rPr>
              <w:t>; and/or</w:t>
            </w:r>
          </w:p>
          <w:p w14:paraId="5A23C7C1" w14:textId="77777777" w:rsidR="00895298" w:rsidRPr="00473B3F" w:rsidRDefault="00895298" w:rsidP="00B326AB">
            <w:pPr>
              <w:pStyle w:val="Level1"/>
              <w:numPr>
                <w:ilvl w:val="0"/>
                <w:numId w:val="0"/>
              </w:numPr>
              <w:spacing w:after="60"/>
              <w:rPr>
                <w:color w:val="000000"/>
                <w:sz w:val="16"/>
                <w:szCs w:val="16"/>
              </w:rPr>
            </w:pPr>
            <w:r w:rsidRPr="00473B3F">
              <w:rPr>
                <w:color w:val="000000"/>
                <w:sz w:val="16"/>
                <w:szCs w:val="16"/>
              </w:rPr>
              <w:t>(b) be damaging to Supplier’s</w:t>
            </w:r>
            <w:r w:rsidR="007E53F0" w:rsidRPr="00473B3F">
              <w:rPr>
                <w:color w:val="000000"/>
                <w:sz w:val="16"/>
                <w:szCs w:val="16"/>
              </w:rPr>
              <w:t xml:space="preserve"> </w:t>
            </w:r>
            <w:r w:rsidRPr="00473B3F">
              <w:rPr>
                <w:color w:val="000000"/>
                <w:sz w:val="16"/>
                <w:szCs w:val="16"/>
              </w:rPr>
              <w:t>business</w:t>
            </w:r>
            <w:r w:rsidR="002E3CA8" w:rsidRPr="00473B3F">
              <w:rPr>
                <w:color w:val="000000"/>
                <w:sz w:val="16"/>
                <w:szCs w:val="16"/>
              </w:rPr>
              <w:t>.</w:t>
            </w:r>
          </w:p>
        </w:tc>
        <w:tc>
          <w:tcPr>
            <w:tcW w:w="2694" w:type="dxa"/>
          </w:tcPr>
          <w:p w14:paraId="29B31EBE" w14:textId="77777777" w:rsidR="00895298" w:rsidRPr="00473B3F" w:rsidRDefault="00EC6193" w:rsidP="00EC6193">
            <w:pPr>
              <w:pStyle w:val="Body"/>
              <w:spacing w:after="120"/>
              <w:rPr>
                <w:sz w:val="16"/>
                <w:szCs w:val="16"/>
              </w:rPr>
            </w:pPr>
            <w:r w:rsidRPr="00473B3F">
              <w:rPr>
                <w:sz w:val="16"/>
                <w:szCs w:val="16"/>
              </w:rPr>
              <w:t>The period that the information remains confidential under the terms of this Contract</w:t>
            </w:r>
            <w:r>
              <w:rPr>
                <w:sz w:val="16"/>
                <w:szCs w:val="16"/>
              </w:rPr>
              <w:t xml:space="preserve"> (i.e. until it falls within Clause 50.2)</w:t>
            </w:r>
            <w:r w:rsidRPr="00473B3F">
              <w:rPr>
                <w:sz w:val="16"/>
                <w:szCs w:val="16"/>
              </w:rPr>
              <w:t>.</w:t>
            </w:r>
          </w:p>
        </w:tc>
        <w:tc>
          <w:tcPr>
            <w:tcW w:w="2976" w:type="dxa"/>
          </w:tcPr>
          <w:p w14:paraId="57AF1A84" w14:textId="77777777" w:rsidR="00895298" w:rsidRDefault="00A74D44" w:rsidP="00447E30">
            <w:pPr>
              <w:pStyle w:val="Body"/>
              <w:spacing w:after="120"/>
              <w:jc w:val="left"/>
              <w:rPr>
                <w:sz w:val="16"/>
                <w:szCs w:val="16"/>
              </w:rPr>
            </w:pPr>
            <w:r>
              <w:rPr>
                <w:sz w:val="16"/>
                <w:szCs w:val="16"/>
              </w:rPr>
              <w:t xml:space="preserve">Y - </w:t>
            </w:r>
            <w:r w:rsidR="005040B7" w:rsidRPr="00473B3F">
              <w:rPr>
                <w:sz w:val="16"/>
                <w:szCs w:val="16"/>
              </w:rPr>
              <w:t>The period that the information remains confidential under the terms of this Contract</w:t>
            </w:r>
            <w:r w:rsidR="005040B7">
              <w:rPr>
                <w:sz w:val="16"/>
                <w:szCs w:val="16"/>
              </w:rPr>
              <w:t xml:space="preserve"> (i.e. until it falls within Clause 50.2)</w:t>
            </w:r>
            <w:r w:rsidR="005040B7" w:rsidRPr="00473B3F">
              <w:rPr>
                <w:sz w:val="16"/>
                <w:szCs w:val="16"/>
              </w:rPr>
              <w:t>.</w:t>
            </w:r>
          </w:p>
          <w:p w14:paraId="73991C55" w14:textId="574B3736" w:rsidR="00A02A2F" w:rsidRPr="00473B3F" w:rsidRDefault="00A02A2F" w:rsidP="00447E30">
            <w:pPr>
              <w:pStyle w:val="Body"/>
              <w:spacing w:after="120"/>
              <w:jc w:val="left"/>
              <w:rPr>
                <w:sz w:val="16"/>
                <w:szCs w:val="16"/>
              </w:rPr>
            </w:pPr>
            <w:r>
              <w:rPr>
                <w:sz w:val="16"/>
                <w:szCs w:val="16"/>
              </w:rPr>
              <w:t>Note: The Programme Authority shall be permitted to collate and circulate to Local Bodies Project Model</w:t>
            </w:r>
            <w:r w:rsidR="002B491C">
              <w:rPr>
                <w:sz w:val="16"/>
                <w:szCs w:val="16"/>
              </w:rPr>
              <w:t>, C6 Financial Reports</w:t>
            </w:r>
            <w:r>
              <w:rPr>
                <w:sz w:val="16"/>
                <w:szCs w:val="16"/>
              </w:rPr>
              <w:t xml:space="preserve"> and Project Accounts data on an aggregated anonymised basis.</w:t>
            </w:r>
          </w:p>
        </w:tc>
      </w:tr>
      <w:tr w:rsidR="00B326AB" w:rsidRPr="00473B3F" w14:paraId="0E1F2C68" w14:textId="77777777" w:rsidTr="000E2088">
        <w:tc>
          <w:tcPr>
            <w:tcW w:w="4678" w:type="dxa"/>
          </w:tcPr>
          <w:p w14:paraId="73721DCB" w14:textId="3FDEC840" w:rsidR="00B326AB" w:rsidRPr="00473B3F" w:rsidRDefault="006D7473" w:rsidP="0007571A">
            <w:pPr>
              <w:rPr>
                <w:sz w:val="16"/>
                <w:szCs w:val="16"/>
              </w:rPr>
            </w:pPr>
            <w:r>
              <w:rPr>
                <w:rFonts w:eastAsia="Arial"/>
                <w:color w:val="000000"/>
                <w:sz w:val="16"/>
                <w:szCs w:val="16"/>
              </w:rPr>
              <w:t>3</w:t>
            </w:r>
            <w:r w:rsidR="00B326AB" w:rsidRPr="00473B3F">
              <w:rPr>
                <w:rFonts w:eastAsia="Arial"/>
                <w:color w:val="000000"/>
                <w:sz w:val="16"/>
                <w:szCs w:val="16"/>
              </w:rPr>
              <w:t>.</w:t>
            </w:r>
            <w:r w:rsidR="00E9289C">
              <w:rPr>
                <w:rFonts w:eastAsia="Arial"/>
                <w:color w:val="000000"/>
                <w:sz w:val="16"/>
                <w:szCs w:val="16"/>
              </w:rPr>
              <w:t xml:space="preserve"> </w:t>
            </w:r>
            <w:r w:rsidR="00B326AB" w:rsidRPr="00473B3F">
              <w:rPr>
                <w:rFonts w:eastAsia="Arial"/>
                <w:color w:val="000000"/>
                <w:sz w:val="16"/>
                <w:szCs w:val="16"/>
              </w:rPr>
              <w:t>Financial Distress Event information</w:t>
            </w:r>
          </w:p>
        </w:tc>
        <w:tc>
          <w:tcPr>
            <w:tcW w:w="3827" w:type="dxa"/>
          </w:tcPr>
          <w:p w14:paraId="7BEDEDAD" w14:textId="77777777" w:rsidR="00B326AB" w:rsidRPr="00473B3F" w:rsidRDefault="00B326AB" w:rsidP="000E2088">
            <w:pPr>
              <w:pStyle w:val="Level1"/>
              <w:numPr>
                <w:ilvl w:val="0"/>
                <w:numId w:val="0"/>
              </w:numPr>
              <w:spacing w:after="60"/>
              <w:rPr>
                <w:color w:val="000000"/>
                <w:sz w:val="16"/>
                <w:szCs w:val="16"/>
              </w:rPr>
            </w:pPr>
            <w:r w:rsidRPr="00473B3F">
              <w:rPr>
                <w:color w:val="000000"/>
                <w:sz w:val="16"/>
                <w:szCs w:val="16"/>
              </w:rPr>
              <w:t>This information if made public may</w:t>
            </w:r>
            <w:r w:rsidRPr="00473B3F">
              <w:rPr>
                <w:sz w:val="16"/>
                <w:szCs w:val="16"/>
              </w:rPr>
              <w:t xml:space="preserve"> be damaging to Supplier’s reputation/business</w:t>
            </w:r>
            <w:r>
              <w:rPr>
                <w:sz w:val="16"/>
                <w:szCs w:val="16"/>
              </w:rPr>
              <w:t xml:space="preserve"> </w:t>
            </w:r>
            <w:r w:rsidRPr="00473B3F">
              <w:rPr>
                <w:sz w:val="16"/>
                <w:szCs w:val="16"/>
              </w:rPr>
              <w:t>(</w:t>
            </w:r>
            <w:r>
              <w:rPr>
                <w:sz w:val="16"/>
                <w:szCs w:val="16"/>
              </w:rPr>
              <w:t>incl.</w:t>
            </w:r>
            <w:r w:rsidRPr="00473B3F">
              <w:rPr>
                <w:sz w:val="16"/>
                <w:szCs w:val="16"/>
              </w:rPr>
              <w:t xml:space="preserve"> share price)</w:t>
            </w:r>
            <w:r>
              <w:rPr>
                <w:sz w:val="16"/>
                <w:szCs w:val="16"/>
              </w:rPr>
              <w:t>.</w:t>
            </w:r>
          </w:p>
        </w:tc>
        <w:tc>
          <w:tcPr>
            <w:tcW w:w="2694" w:type="dxa"/>
          </w:tcPr>
          <w:p w14:paraId="71C40CA4" w14:textId="77777777" w:rsidR="00B326AB" w:rsidRPr="00473B3F" w:rsidRDefault="00EC6193" w:rsidP="000E2088">
            <w:pPr>
              <w:pStyle w:val="Body"/>
              <w:spacing w:after="120"/>
              <w:rPr>
                <w:sz w:val="16"/>
                <w:szCs w:val="16"/>
              </w:rPr>
            </w:pPr>
            <w:r w:rsidRPr="00473B3F">
              <w:rPr>
                <w:sz w:val="16"/>
                <w:szCs w:val="16"/>
              </w:rPr>
              <w:t>The period that the information remains confidential under the terms of this Contract</w:t>
            </w:r>
            <w:r>
              <w:rPr>
                <w:sz w:val="16"/>
                <w:szCs w:val="16"/>
              </w:rPr>
              <w:t xml:space="preserve"> (i.e. until it falls within Clause 50.2)</w:t>
            </w:r>
            <w:r w:rsidRPr="00473B3F">
              <w:rPr>
                <w:sz w:val="16"/>
                <w:szCs w:val="16"/>
              </w:rPr>
              <w:t>.</w:t>
            </w:r>
          </w:p>
        </w:tc>
        <w:tc>
          <w:tcPr>
            <w:tcW w:w="2976" w:type="dxa"/>
          </w:tcPr>
          <w:p w14:paraId="0925E718" w14:textId="77777777" w:rsidR="00B326AB" w:rsidRPr="00473B3F" w:rsidRDefault="00B326AB" w:rsidP="00B84BAE">
            <w:pPr>
              <w:pStyle w:val="Body"/>
              <w:spacing w:after="120"/>
              <w:jc w:val="left"/>
              <w:rPr>
                <w:sz w:val="16"/>
                <w:szCs w:val="16"/>
              </w:rPr>
            </w:pPr>
            <w:r>
              <w:rPr>
                <w:sz w:val="16"/>
                <w:szCs w:val="16"/>
              </w:rPr>
              <w:t>N</w:t>
            </w:r>
          </w:p>
        </w:tc>
      </w:tr>
      <w:tr w:rsidR="00FD6CE6" w:rsidRPr="00473B3F" w14:paraId="3308D5C2" w14:textId="77777777" w:rsidTr="00C93330">
        <w:tc>
          <w:tcPr>
            <w:tcW w:w="4678" w:type="dxa"/>
          </w:tcPr>
          <w:p w14:paraId="5CF75D75" w14:textId="345710BC" w:rsidR="00FD6CE6" w:rsidRDefault="00A35F4F" w:rsidP="00A35F4F">
            <w:pPr>
              <w:pStyle w:val="Body"/>
              <w:spacing w:after="0"/>
              <w:rPr>
                <w:sz w:val="16"/>
                <w:szCs w:val="16"/>
              </w:rPr>
            </w:pPr>
            <w:r>
              <w:rPr>
                <w:sz w:val="16"/>
                <w:szCs w:val="16"/>
              </w:rPr>
              <w:t>4</w:t>
            </w:r>
            <w:r w:rsidR="00A4168B">
              <w:rPr>
                <w:sz w:val="16"/>
                <w:szCs w:val="16"/>
              </w:rPr>
              <w:t xml:space="preserve">. </w:t>
            </w:r>
            <w:r w:rsidR="00FD6CE6">
              <w:rPr>
                <w:sz w:val="16"/>
                <w:szCs w:val="16"/>
              </w:rPr>
              <w:t xml:space="preserve">The Supplier Solution </w:t>
            </w:r>
            <w:r>
              <w:rPr>
                <w:sz w:val="16"/>
                <w:szCs w:val="16"/>
              </w:rPr>
              <w:t xml:space="preserve">as set out in Schedule 3.1 (excluding </w:t>
            </w:r>
            <w:r w:rsidR="005040B7">
              <w:rPr>
                <w:sz w:val="16"/>
                <w:szCs w:val="16"/>
              </w:rPr>
              <w:t>the Speed and Coverage Template</w:t>
            </w:r>
            <w:r>
              <w:rPr>
                <w:sz w:val="16"/>
                <w:szCs w:val="16"/>
              </w:rPr>
              <w:t xml:space="preserve"> and any other aspects otherwise specifically provided for within this table</w:t>
            </w:r>
            <w:r w:rsidR="005040B7">
              <w:rPr>
                <w:sz w:val="16"/>
                <w:szCs w:val="16"/>
              </w:rPr>
              <w:t>)</w:t>
            </w:r>
            <w:r>
              <w:rPr>
                <w:sz w:val="16"/>
                <w:szCs w:val="16"/>
              </w:rPr>
              <w:t>.</w:t>
            </w:r>
          </w:p>
          <w:p w14:paraId="464A10D8" w14:textId="77777777" w:rsidR="0007571A" w:rsidRDefault="0007571A" w:rsidP="00A35F4F">
            <w:pPr>
              <w:pStyle w:val="Body"/>
              <w:spacing w:after="0"/>
              <w:rPr>
                <w:sz w:val="16"/>
                <w:szCs w:val="16"/>
              </w:rPr>
            </w:pPr>
          </w:p>
          <w:p w14:paraId="6588B71D" w14:textId="403712F4" w:rsidR="0007571A" w:rsidRDefault="00FC1DE6" w:rsidP="00A35F4F">
            <w:pPr>
              <w:pStyle w:val="Body"/>
              <w:spacing w:after="0"/>
              <w:rPr>
                <w:sz w:val="16"/>
                <w:szCs w:val="16"/>
              </w:rPr>
            </w:pPr>
            <w:r>
              <w:rPr>
                <w:sz w:val="16"/>
                <w:szCs w:val="16"/>
              </w:rPr>
              <w:t>The Speed and Coverage Template is not Commercially Sensitive Information.</w:t>
            </w:r>
            <w:r w:rsidR="00211D1E">
              <w:rPr>
                <w:sz w:val="16"/>
                <w:szCs w:val="16"/>
              </w:rPr>
              <w:t xml:space="preserve"> If publishing the Speed and Coverage Template</w:t>
            </w:r>
            <w:r w:rsidR="00702716">
              <w:rPr>
                <w:sz w:val="16"/>
                <w:szCs w:val="16"/>
              </w:rPr>
              <w:t xml:space="preserve"> or its content</w:t>
            </w:r>
            <w:r w:rsidR="00211D1E">
              <w:rPr>
                <w:sz w:val="16"/>
                <w:szCs w:val="16"/>
              </w:rPr>
              <w:t xml:space="preserve">, </w:t>
            </w:r>
            <w:r w:rsidR="008F244E">
              <w:rPr>
                <w:sz w:val="16"/>
                <w:szCs w:val="16"/>
              </w:rPr>
              <w:t xml:space="preserve">where and to the extent planned roll-out is yet to be completed, </w:t>
            </w:r>
            <w:r w:rsidR="00211D1E">
              <w:rPr>
                <w:sz w:val="16"/>
                <w:szCs w:val="16"/>
              </w:rPr>
              <w:t xml:space="preserve">the Authority shall include a </w:t>
            </w:r>
            <w:r w:rsidR="004A40A0">
              <w:rPr>
                <w:sz w:val="16"/>
                <w:szCs w:val="16"/>
              </w:rPr>
              <w:lastRenderedPageBreak/>
              <w:t xml:space="preserve">suitable </w:t>
            </w:r>
            <w:r w:rsidR="007C1089">
              <w:rPr>
                <w:sz w:val="16"/>
                <w:szCs w:val="16"/>
              </w:rPr>
              <w:t>caveat</w:t>
            </w:r>
            <w:r w:rsidR="00211D1E">
              <w:rPr>
                <w:sz w:val="16"/>
                <w:szCs w:val="16"/>
              </w:rPr>
              <w:t xml:space="preserve"> acknowledging that </w:t>
            </w:r>
            <w:r w:rsidR="008F244E">
              <w:rPr>
                <w:sz w:val="16"/>
                <w:szCs w:val="16"/>
              </w:rPr>
              <w:t>this roll-out may be subject to change.</w:t>
            </w:r>
          </w:p>
          <w:p w14:paraId="18C93CE1" w14:textId="5EEB2126" w:rsidR="00301D17" w:rsidRDefault="00301D17" w:rsidP="00A35F4F">
            <w:pPr>
              <w:pStyle w:val="Body"/>
              <w:spacing w:after="0"/>
              <w:rPr>
                <w:sz w:val="16"/>
                <w:szCs w:val="16"/>
              </w:rPr>
            </w:pPr>
          </w:p>
        </w:tc>
        <w:tc>
          <w:tcPr>
            <w:tcW w:w="3827" w:type="dxa"/>
          </w:tcPr>
          <w:p w14:paraId="7B314260" w14:textId="77777777" w:rsidR="00FD6CE6" w:rsidRPr="001421D9" w:rsidRDefault="00FD6CE6" w:rsidP="005040B7">
            <w:pPr>
              <w:pStyle w:val="Level1"/>
              <w:numPr>
                <w:ilvl w:val="0"/>
                <w:numId w:val="0"/>
              </w:numPr>
              <w:spacing w:after="60"/>
              <w:rPr>
                <w:color w:val="000000"/>
                <w:sz w:val="16"/>
                <w:szCs w:val="16"/>
              </w:rPr>
            </w:pPr>
            <w:r w:rsidRPr="00473B3F">
              <w:rPr>
                <w:color w:val="000000"/>
                <w:sz w:val="16"/>
                <w:szCs w:val="16"/>
              </w:rPr>
              <w:lastRenderedPageBreak/>
              <w:t>This information if made public may</w:t>
            </w:r>
            <w:r w:rsidR="005040B7">
              <w:rPr>
                <w:color w:val="000000"/>
                <w:sz w:val="16"/>
                <w:szCs w:val="16"/>
              </w:rPr>
              <w:t xml:space="preserve"> </w:t>
            </w:r>
            <w:r w:rsidRPr="00473B3F">
              <w:rPr>
                <w:color w:val="000000"/>
                <w:sz w:val="16"/>
                <w:szCs w:val="16"/>
              </w:rPr>
              <w:t>give a commercial advantage to competitors</w:t>
            </w:r>
            <w:r w:rsidR="005040B7">
              <w:rPr>
                <w:color w:val="000000"/>
                <w:sz w:val="16"/>
                <w:szCs w:val="16"/>
              </w:rPr>
              <w:t>.</w:t>
            </w:r>
          </w:p>
        </w:tc>
        <w:tc>
          <w:tcPr>
            <w:tcW w:w="2694" w:type="dxa"/>
          </w:tcPr>
          <w:p w14:paraId="5428B51D" w14:textId="77777777" w:rsidR="002B491C" w:rsidRDefault="00FD6CE6" w:rsidP="002B491C">
            <w:pPr>
              <w:pStyle w:val="Body"/>
              <w:spacing w:after="0"/>
              <w:rPr>
                <w:sz w:val="16"/>
                <w:szCs w:val="16"/>
              </w:rPr>
            </w:pPr>
            <w:r>
              <w:rPr>
                <w:sz w:val="16"/>
                <w:szCs w:val="16"/>
              </w:rPr>
              <w:t>Until the expiry of the Commission Decision</w:t>
            </w:r>
            <w:r w:rsidR="00A35F4F">
              <w:rPr>
                <w:sz w:val="16"/>
                <w:szCs w:val="16"/>
              </w:rPr>
              <w:t>.</w:t>
            </w:r>
            <w:r w:rsidRPr="00473B3F">
              <w:rPr>
                <w:sz w:val="16"/>
                <w:szCs w:val="16"/>
              </w:rPr>
              <w:t xml:space="preserve"> </w:t>
            </w:r>
          </w:p>
          <w:p w14:paraId="2CFE1D49" w14:textId="77777777" w:rsidR="002B491C" w:rsidRDefault="002B491C" w:rsidP="002B491C">
            <w:pPr>
              <w:pStyle w:val="Body"/>
              <w:spacing w:after="0"/>
              <w:rPr>
                <w:sz w:val="16"/>
                <w:szCs w:val="16"/>
              </w:rPr>
            </w:pPr>
          </w:p>
          <w:p w14:paraId="38B904E8" w14:textId="77777777" w:rsidR="002B491C" w:rsidRDefault="002B491C" w:rsidP="002B491C">
            <w:pPr>
              <w:pStyle w:val="Body"/>
              <w:spacing w:after="0"/>
              <w:rPr>
                <w:sz w:val="16"/>
                <w:szCs w:val="16"/>
              </w:rPr>
            </w:pPr>
            <w:r>
              <w:rPr>
                <w:sz w:val="16"/>
                <w:szCs w:val="16"/>
              </w:rPr>
              <w:t>Information detailing the as-built Network for a Phase shall not be Commercially Sensitive Information from Achievement of the M2 Milestone for that Phase.</w:t>
            </w:r>
          </w:p>
          <w:p w14:paraId="2BCC5762" w14:textId="77777777" w:rsidR="00FD6CE6" w:rsidRPr="00473B3F" w:rsidRDefault="00FD6CE6" w:rsidP="00FD6CE6">
            <w:pPr>
              <w:rPr>
                <w:sz w:val="16"/>
                <w:szCs w:val="16"/>
              </w:rPr>
            </w:pPr>
          </w:p>
        </w:tc>
        <w:tc>
          <w:tcPr>
            <w:tcW w:w="2976" w:type="dxa"/>
          </w:tcPr>
          <w:p w14:paraId="594123D7" w14:textId="77777777" w:rsidR="00FD6CE6" w:rsidRDefault="00FD6CE6" w:rsidP="00FD6CE6">
            <w:pPr>
              <w:pStyle w:val="Level1"/>
              <w:numPr>
                <w:ilvl w:val="0"/>
                <w:numId w:val="0"/>
              </w:numPr>
              <w:spacing w:after="120"/>
              <w:jc w:val="left"/>
              <w:rPr>
                <w:color w:val="000000"/>
                <w:sz w:val="16"/>
                <w:szCs w:val="16"/>
              </w:rPr>
            </w:pPr>
            <w:r>
              <w:rPr>
                <w:sz w:val="16"/>
                <w:szCs w:val="16"/>
              </w:rPr>
              <w:lastRenderedPageBreak/>
              <w:t>Y - Until the expiry of the Commission Decision</w:t>
            </w:r>
          </w:p>
        </w:tc>
      </w:tr>
      <w:tr w:rsidR="00EE6870" w:rsidRPr="00473B3F" w14:paraId="3F89A24A" w14:textId="77777777" w:rsidTr="00C93330">
        <w:tc>
          <w:tcPr>
            <w:tcW w:w="4678" w:type="dxa"/>
          </w:tcPr>
          <w:p w14:paraId="74FD4778" w14:textId="77777777" w:rsidR="00EE6870" w:rsidRDefault="00A35F4F" w:rsidP="00EE6870">
            <w:pPr>
              <w:spacing w:after="120"/>
              <w:rPr>
                <w:sz w:val="16"/>
                <w:szCs w:val="16"/>
              </w:rPr>
            </w:pPr>
            <w:r>
              <w:rPr>
                <w:sz w:val="16"/>
                <w:szCs w:val="16"/>
              </w:rPr>
              <w:t>5</w:t>
            </w:r>
            <w:r w:rsidR="00A4168B">
              <w:rPr>
                <w:sz w:val="16"/>
                <w:szCs w:val="16"/>
              </w:rPr>
              <w:t xml:space="preserve">. </w:t>
            </w:r>
            <w:r w:rsidR="00EE6870" w:rsidRPr="001421D9">
              <w:rPr>
                <w:sz w:val="16"/>
                <w:szCs w:val="16"/>
              </w:rPr>
              <w:t xml:space="preserve">Appendix </w:t>
            </w:r>
            <w:r w:rsidR="00EE6870">
              <w:rPr>
                <w:sz w:val="16"/>
                <w:szCs w:val="16"/>
              </w:rPr>
              <w:t>4</w:t>
            </w:r>
            <w:r w:rsidR="00EE6870" w:rsidRPr="001421D9">
              <w:rPr>
                <w:sz w:val="16"/>
                <w:szCs w:val="16"/>
              </w:rPr>
              <w:t xml:space="preserve"> to Schedule</w:t>
            </w:r>
            <w:r w:rsidR="00EE6870">
              <w:rPr>
                <w:sz w:val="16"/>
                <w:szCs w:val="16"/>
              </w:rPr>
              <w:t xml:space="preserve"> 4</w:t>
            </w:r>
            <w:r w:rsidR="00EE6870" w:rsidRPr="001421D9">
              <w:rPr>
                <w:sz w:val="16"/>
                <w:szCs w:val="16"/>
              </w:rPr>
              <w:t>.1 - Survey Assumptions</w:t>
            </w:r>
          </w:p>
        </w:tc>
        <w:tc>
          <w:tcPr>
            <w:tcW w:w="3827" w:type="dxa"/>
          </w:tcPr>
          <w:p w14:paraId="33ABB830" w14:textId="77777777" w:rsidR="00EE6870" w:rsidRDefault="005040B7" w:rsidP="00EE6870">
            <w:pPr>
              <w:pStyle w:val="Level1"/>
              <w:numPr>
                <w:ilvl w:val="0"/>
                <w:numId w:val="0"/>
              </w:numPr>
              <w:spacing w:after="60"/>
              <w:rPr>
                <w:color w:val="000000"/>
                <w:sz w:val="16"/>
                <w:szCs w:val="16"/>
              </w:rPr>
            </w:pPr>
            <w:r w:rsidRPr="00473B3F">
              <w:rPr>
                <w:color w:val="000000"/>
                <w:sz w:val="16"/>
                <w:szCs w:val="16"/>
              </w:rPr>
              <w:t>This information if made public may</w:t>
            </w:r>
            <w:r>
              <w:rPr>
                <w:color w:val="000000"/>
                <w:sz w:val="16"/>
                <w:szCs w:val="16"/>
              </w:rPr>
              <w:t xml:space="preserve"> </w:t>
            </w:r>
            <w:r w:rsidRPr="00473B3F">
              <w:rPr>
                <w:color w:val="000000"/>
                <w:sz w:val="16"/>
                <w:szCs w:val="16"/>
              </w:rPr>
              <w:t>give a commercial advantage to competitors</w:t>
            </w:r>
            <w:r>
              <w:rPr>
                <w:color w:val="000000"/>
                <w:sz w:val="16"/>
                <w:szCs w:val="16"/>
              </w:rPr>
              <w:t>.</w:t>
            </w:r>
          </w:p>
        </w:tc>
        <w:tc>
          <w:tcPr>
            <w:tcW w:w="2694" w:type="dxa"/>
          </w:tcPr>
          <w:p w14:paraId="5DC5CB00" w14:textId="77777777" w:rsidR="00EE6870" w:rsidRDefault="00EC6193" w:rsidP="00EE6870">
            <w:pPr>
              <w:rPr>
                <w:sz w:val="16"/>
                <w:szCs w:val="16"/>
              </w:rPr>
            </w:pPr>
            <w:r w:rsidRPr="00EC6193">
              <w:rPr>
                <w:sz w:val="16"/>
                <w:szCs w:val="16"/>
              </w:rPr>
              <w:t>The period that the information remains confidential under the terms of this Contract (i.e. until it falls within Clause 50.2).</w:t>
            </w:r>
          </w:p>
          <w:p w14:paraId="0809965F" w14:textId="77777777" w:rsidR="005040B7" w:rsidRDefault="005040B7" w:rsidP="00EE6870">
            <w:pPr>
              <w:rPr>
                <w:color w:val="000000"/>
                <w:sz w:val="16"/>
                <w:szCs w:val="16"/>
              </w:rPr>
            </w:pPr>
          </w:p>
        </w:tc>
        <w:tc>
          <w:tcPr>
            <w:tcW w:w="2976" w:type="dxa"/>
          </w:tcPr>
          <w:p w14:paraId="72DA660B" w14:textId="41509A70" w:rsidR="00EE6870" w:rsidRDefault="002B491C" w:rsidP="00EE6870">
            <w:pPr>
              <w:pStyle w:val="Level1"/>
              <w:numPr>
                <w:ilvl w:val="0"/>
                <w:numId w:val="0"/>
              </w:numPr>
              <w:spacing w:after="120"/>
              <w:jc w:val="left"/>
              <w:rPr>
                <w:color w:val="000000"/>
                <w:sz w:val="16"/>
                <w:szCs w:val="16"/>
              </w:rPr>
            </w:pPr>
            <w:r>
              <w:rPr>
                <w:sz w:val="16"/>
                <w:szCs w:val="16"/>
              </w:rPr>
              <w:t>Y</w:t>
            </w:r>
            <w:r w:rsidR="00106572">
              <w:rPr>
                <w:sz w:val="16"/>
                <w:szCs w:val="16"/>
              </w:rPr>
              <w:t xml:space="preserve"> - Until the expiry of the Commission Decision</w:t>
            </w:r>
          </w:p>
        </w:tc>
      </w:tr>
      <w:tr w:rsidR="007E652D" w:rsidRPr="00473B3F" w14:paraId="16D64815" w14:textId="77777777" w:rsidTr="00C93330">
        <w:tc>
          <w:tcPr>
            <w:tcW w:w="4678" w:type="dxa"/>
          </w:tcPr>
          <w:p w14:paraId="1E23D91C" w14:textId="05417DD4" w:rsidR="00A35F4F" w:rsidRDefault="00F230DD" w:rsidP="007E652D">
            <w:pPr>
              <w:rPr>
                <w:sz w:val="16"/>
                <w:szCs w:val="16"/>
              </w:rPr>
            </w:pPr>
            <w:r>
              <w:rPr>
                <w:sz w:val="16"/>
                <w:szCs w:val="16"/>
              </w:rPr>
              <w:t>6</w:t>
            </w:r>
            <w:r w:rsidR="00A4168B">
              <w:rPr>
                <w:sz w:val="16"/>
                <w:szCs w:val="16"/>
              </w:rPr>
              <w:t xml:space="preserve">. </w:t>
            </w:r>
            <w:r w:rsidR="00A35F4F">
              <w:rPr>
                <w:sz w:val="16"/>
                <w:szCs w:val="16"/>
              </w:rPr>
              <w:t>The</w:t>
            </w:r>
            <w:r w:rsidR="007E652D">
              <w:rPr>
                <w:sz w:val="16"/>
                <w:szCs w:val="16"/>
              </w:rPr>
              <w:t xml:space="preserve"> Project Plan</w:t>
            </w:r>
            <w:r w:rsidR="00B821CE">
              <w:rPr>
                <w:sz w:val="16"/>
                <w:szCs w:val="16"/>
              </w:rPr>
              <w:t xml:space="preserve"> (not the Implementation Plan)</w:t>
            </w:r>
            <w:r w:rsidR="00A35F4F">
              <w:rPr>
                <w:sz w:val="16"/>
                <w:szCs w:val="16"/>
              </w:rPr>
              <w:t>.</w:t>
            </w:r>
          </w:p>
          <w:p w14:paraId="604CD40C" w14:textId="77777777" w:rsidR="00A35F4F" w:rsidRDefault="00A35F4F" w:rsidP="007E652D">
            <w:pPr>
              <w:rPr>
                <w:sz w:val="16"/>
                <w:szCs w:val="16"/>
              </w:rPr>
            </w:pPr>
          </w:p>
          <w:p w14:paraId="7E6FB822" w14:textId="7323C34A" w:rsidR="007E652D" w:rsidRDefault="00A35F4F" w:rsidP="00F230DD">
            <w:pPr>
              <w:rPr>
                <w:sz w:val="16"/>
                <w:szCs w:val="16"/>
              </w:rPr>
            </w:pPr>
            <w:r>
              <w:rPr>
                <w:sz w:val="16"/>
                <w:szCs w:val="16"/>
              </w:rPr>
              <w:t xml:space="preserve">This shall not restrain disclosure of </w:t>
            </w:r>
            <w:r w:rsidR="007E652D" w:rsidRPr="006C1101">
              <w:rPr>
                <w:sz w:val="16"/>
                <w:szCs w:val="16"/>
              </w:rPr>
              <w:t xml:space="preserve">any phased roll out </w:t>
            </w:r>
            <w:r w:rsidR="00B10D03">
              <w:rPr>
                <w:sz w:val="16"/>
                <w:szCs w:val="16"/>
              </w:rPr>
              <w:t xml:space="preserve">information </w:t>
            </w:r>
            <w:r w:rsidR="007E652D" w:rsidRPr="006C1101">
              <w:rPr>
                <w:sz w:val="16"/>
                <w:szCs w:val="16"/>
              </w:rPr>
              <w:t>to be publi</w:t>
            </w:r>
            <w:r w:rsidR="00B10D03">
              <w:rPr>
                <w:sz w:val="16"/>
                <w:szCs w:val="16"/>
              </w:rPr>
              <w:t xml:space="preserve">shed in </w:t>
            </w:r>
            <w:r w:rsidR="00D61027">
              <w:rPr>
                <w:sz w:val="16"/>
                <w:szCs w:val="16"/>
              </w:rPr>
              <w:t>coverage</w:t>
            </w:r>
            <w:r w:rsidR="00983A27" w:rsidRPr="00983A27">
              <w:rPr>
                <w:sz w:val="16"/>
                <w:szCs w:val="16"/>
              </w:rPr>
              <w:t xml:space="preserve"> </w:t>
            </w:r>
            <w:r w:rsidR="007E2821">
              <w:rPr>
                <w:sz w:val="16"/>
                <w:szCs w:val="16"/>
              </w:rPr>
              <w:t>m</w:t>
            </w:r>
            <w:r w:rsidR="00983A27" w:rsidRPr="00983A27">
              <w:rPr>
                <w:sz w:val="16"/>
                <w:szCs w:val="16"/>
              </w:rPr>
              <w:t>ap</w:t>
            </w:r>
            <w:r w:rsidR="007E2821">
              <w:rPr>
                <w:sz w:val="16"/>
                <w:szCs w:val="16"/>
              </w:rPr>
              <w:t>s, post code checkers or equivalent</w:t>
            </w:r>
            <w:r w:rsidR="007E652D" w:rsidRPr="006C1101">
              <w:rPr>
                <w:sz w:val="16"/>
                <w:szCs w:val="16"/>
              </w:rPr>
              <w:t>.</w:t>
            </w:r>
          </w:p>
          <w:p w14:paraId="1EF7E026" w14:textId="77777777" w:rsidR="00F230DD" w:rsidRDefault="00F230DD" w:rsidP="00F230DD">
            <w:pPr>
              <w:rPr>
                <w:sz w:val="16"/>
                <w:szCs w:val="16"/>
              </w:rPr>
            </w:pPr>
          </w:p>
        </w:tc>
        <w:tc>
          <w:tcPr>
            <w:tcW w:w="3827" w:type="dxa"/>
          </w:tcPr>
          <w:p w14:paraId="265EC595" w14:textId="4233A14B" w:rsidR="007E652D" w:rsidRPr="00473B3F" w:rsidRDefault="007E652D" w:rsidP="007E652D">
            <w:pPr>
              <w:pStyle w:val="Level1"/>
              <w:numPr>
                <w:ilvl w:val="0"/>
                <w:numId w:val="0"/>
              </w:numPr>
              <w:spacing w:after="60"/>
              <w:rPr>
                <w:color w:val="000000"/>
                <w:sz w:val="16"/>
                <w:szCs w:val="16"/>
              </w:rPr>
            </w:pPr>
            <w:r w:rsidRPr="00473B3F">
              <w:rPr>
                <w:color w:val="000000"/>
                <w:sz w:val="16"/>
                <w:szCs w:val="16"/>
              </w:rPr>
              <w:t>This information if made public may:</w:t>
            </w:r>
          </w:p>
          <w:p w14:paraId="1CCEAC50" w14:textId="77777777" w:rsidR="007E652D" w:rsidRPr="00473B3F" w:rsidRDefault="007E652D" w:rsidP="007E652D">
            <w:pPr>
              <w:pStyle w:val="Level1"/>
              <w:numPr>
                <w:ilvl w:val="0"/>
                <w:numId w:val="0"/>
              </w:numPr>
              <w:spacing w:after="60"/>
              <w:rPr>
                <w:color w:val="000000"/>
                <w:sz w:val="16"/>
                <w:szCs w:val="16"/>
              </w:rPr>
            </w:pPr>
            <w:r w:rsidRPr="00473B3F">
              <w:rPr>
                <w:color w:val="000000"/>
                <w:sz w:val="16"/>
                <w:szCs w:val="16"/>
              </w:rPr>
              <w:t>(a) give a commercial advantage to competitors; and/or</w:t>
            </w:r>
          </w:p>
          <w:p w14:paraId="27B096D2" w14:textId="05B577C1" w:rsidR="004100D5" w:rsidRPr="004100D5" w:rsidRDefault="007E652D" w:rsidP="00D02379">
            <w:pPr>
              <w:pStyle w:val="Level1"/>
              <w:numPr>
                <w:ilvl w:val="0"/>
                <w:numId w:val="0"/>
              </w:numPr>
              <w:spacing w:after="60"/>
              <w:rPr>
                <w:b/>
                <w:color w:val="000000"/>
                <w:sz w:val="16"/>
                <w:szCs w:val="16"/>
              </w:rPr>
            </w:pPr>
            <w:r w:rsidRPr="00473B3F">
              <w:rPr>
                <w:color w:val="000000"/>
                <w:sz w:val="16"/>
                <w:szCs w:val="16"/>
              </w:rPr>
              <w:t>(b) create unintended expectation/reliance by third parties.</w:t>
            </w:r>
          </w:p>
        </w:tc>
        <w:tc>
          <w:tcPr>
            <w:tcW w:w="2694" w:type="dxa"/>
          </w:tcPr>
          <w:p w14:paraId="3C96B3F5" w14:textId="77777777" w:rsidR="00C81C76" w:rsidRPr="00473B3F" w:rsidRDefault="008214EF" w:rsidP="00C81C76">
            <w:pPr>
              <w:pStyle w:val="Body"/>
              <w:spacing w:after="120"/>
              <w:rPr>
                <w:sz w:val="16"/>
                <w:szCs w:val="16"/>
              </w:rPr>
            </w:pPr>
            <w:r>
              <w:rPr>
                <w:sz w:val="16"/>
                <w:szCs w:val="16"/>
              </w:rPr>
              <w:t>U</w:t>
            </w:r>
            <w:r w:rsidR="00C81C76">
              <w:rPr>
                <w:sz w:val="16"/>
                <w:szCs w:val="16"/>
              </w:rPr>
              <w:t>p to the Full Service Commencement Date</w:t>
            </w:r>
            <w:r w:rsidR="00C81C76" w:rsidRPr="00473B3F">
              <w:rPr>
                <w:sz w:val="16"/>
                <w:szCs w:val="16"/>
              </w:rPr>
              <w:t>.</w:t>
            </w:r>
          </w:p>
          <w:p w14:paraId="7C828449" w14:textId="77777777" w:rsidR="007E652D" w:rsidRDefault="007E652D" w:rsidP="007E652D">
            <w:pPr>
              <w:rPr>
                <w:color w:val="000000"/>
                <w:sz w:val="16"/>
                <w:szCs w:val="16"/>
              </w:rPr>
            </w:pPr>
          </w:p>
        </w:tc>
        <w:tc>
          <w:tcPr>
            <w:tcW w:w="2976" w:type="dxa"/>
          </w:tcPr>
          <w:p w14:paraId="3619CCE5" w14:textId="77777777" w:rsidR="007E652D" w:rsidRDefault="007E652D" w:rsidP="007E652D">
            <w:pPr>
              <w:pStyle w:val="Level1"/>
              <w:numPr>
                <w:ilvl w:val="0"/>
                <w:numId w:val="0"/>
              </w:numPr>
              <w:spacing w:after="120"/>
              <w:jc w:val="left"/>
              <w:rPr>
                <w:color w:val="000000"/>
                <w:sz w:val="16"/>
                <w:szCs w:val="16"/>
              </w:rPr>
            </w:pPr>
            <w:r>
              <w:rPr>
                <w:sz w:val="16"/>
                <w:szCs w:val="16"/>
              </w:rPr>
              <w:t>Y - Up to the Full Service Commencement Date</w:t>
            </w:r>
            <w:r w:rsidRPr="00473B3F">
              <w:rPr>
                <w:sz w:val="16"/>
                <w:szCs w:val="16"/>
              </w:rPr>
              <w:t>.</w:t>
            </w:r>
          </w:p>
        </w:tc>
      </w:tr>
      <w:tr w:rsidR="00606DE1" w:rsidRPr="00473B3F" w14:paraId="3CA7FF17" w14:textId="77777777" w:rsidTr="00C93330">
        <w:tc>
          <w:tcPr>
            <w:tcW w:w="4678" w:type="dxa"/>
          </w:tcPr>
          <w:p w14:paraId="287B3A14" w14:textId="698FDFC3" w:rsidR="00606DE1" w:rsidRPr="00C1412B" w:rsidRDefault="009864A3" w:rsidP="00C1412B">
            <w:pPr>
              <w:spacing w:after="120"/>
              <w:rPr>
                <w:sz w:val="16"/>
                <w:szCs w:val="16"/>
              </w:rPr>
            </w:pPr>
            <w:r>
              <w:rPr>
                <w:sz w:val="16"/>
                <w:szCs w:val="16"/>
              </w:rPr>
              <w:t>7</w:t>
            </w:r>
            <w:r w:rsidR="00A4168B" w:rsidRPr="00C1412B">
              <w:rPr>
                <w:sz w:val="16"/>
                <w:szCs w:val="16"/>
              </w:rPr>
              <w:t xml:space="preserve">. </w:t>
            </w:r>
            <w:r w:rsidR="00606DE1" w:rsidRPr="00C1412B">
              <w:rPr>
                <w:sz w:val="16"/>
                <w:szCs w:val="16"/>
              </w:rPr>
              <w:t xml:space="preserve">Wholesale Access Prices Benchmarking </w:t>
            </w:r>
            <w:r w:rsidR="00C1412B" w:rsidRPr="00C1412B">
              <w:rPr>
                <w:sz w:val="16"/>
                <w:szCs w:val="16"/>
              </w:rPr>
              <w:t xml:space="preserve">data, </w:t>
            </w:r>
            <w:r w:rsidR="00606DE1" w:rsidRPr="00C1412B">
              <w:rPr>
                <w:sz w:val="16"/>
                <w:szCs w:val="16"/>
              </w:rPr>
              <w:t>including identifying which Benchmark Data has been identified against which Wholesale Access Products and Services in this Contract.</w:t>
            </w:r>
          </w:p>
          <w:p w14:paraId="1A6FD408" w14:textId="64E99C40" w:rsidR="00C1412B" w:rsidRPr="004100D5" w:rsidRDefault="00D02379" w:rsidP="00D02379">
            <w:pPr>
              <w:spacing w:after="120"/>
              <w:rPr>
                <w:sz w:val="16"/>
                <w:szCs w:val="16"/>
                <w:highlight w:val="yellow"/>
              </w:rPr>
            </w:pPr>
            <w:r>
              <w:rPr>
                <w:sz w:val="16"/>
                <w:szCs w:val="16"/>
              </w:rPr>
              <w:t xml:space="preserve">Unless and to the extent such information may need to be published to meet transparency requirements under the Commission Decision and/or </w:t>
            </w:r>
            <w:r w:rsidRPr="00C1412B">
              <w:rPr>
                <w:sz w:val="16"/>
                <w:szCs w:val="16"/>
              </w:rPr>
              <w:t>may need to be disclosed as part of responding to a formal State aid complaint</w:t>
            </w:r>
            <w:r>
              <w:rPr>
                <w:sz w:val="16"/>
                <w:szCs w:val="16"/>
              </w:rPr>
              <w:t>.</w:t>
            </w:r>
          </w:p>
        </w:tc>
        <w:tc>
          <w:tcPr>
            <w:tcW w:w="3827" w:type="dxa"/>
          </w:tcPr>
          <w:p w14:paraId="4F25E450" w14:textId="77777777" w:rsidR="00606DE1" w:rsidRPr="004100D5" w:rsidRDefault="00606DE1" w:rsidP="00606DE1">
            <w:pPr>
              <w:pStyle w:val="Level1"/>
              <w:numPr>
                <w:ilvl w:val="0"/>
                <w:numId w:val="0"/>
              </w:numPr>
              <w:spacing w:after="60"/>
              <w:rPr>
                <w:color w:val="000000"/>
                <w:sz w:val="16"/>
                <w:szCs w:val="16"/>
                <w:highlight w:val="yellow"/>
              </w:rPr>
            </w:pPr>
            <w:r w:rsidRPr="00C1412B">
              <w:rPr>
                <w:color w:val="000000"/>
                <w:sz w:val="16"/>
                <w:szCs w:val="16"/>
              </w:rPr>
              <w:t xml:space="preserve">This information if made public may give a commercial advantage to the competitors of the Supplier. </w:t>
            </w:r>
          </w:p>
        </w:tc>
        <w:tc>
          <w:tcPr>
            <w:tcW w:w="2694" w:type="dxa"/>
          </w:tcPr>
          <w:p w14:paraId="7BB4ADBF" w14:textId="77777777" w:rsidR="00606DE1" w:rsidRPr="00C1412B" w:rsidRDefault="00EC6193" w:rsidP="00606DE1">
            <w:pPr>
              <w:rPr>
                <w:color w:val="000000"/>
                <w:sz w:val="16"/>
                <w:szCs w:val="16"/>
              </w:rPr>
            </w:pPr>
            <w:r w:rsidRPr="00C1412B">
              <w:rPr>
                <w:sz w:val="16"/>
                <w:szCs w:val="16"/>
              </w:rPr>
              <w:t>The period that the information remains confidential under the terms of this Contract (i.e. until it falls within Clause 50.2).</w:t>
            </w:r>
          </w:p>
        </w:tc>
        <w:tc>
          <w:tcPr>
            <w:tcW w:w="2976" w:type="dxa"/>
          </w:tcPr>
          <w:p w14:paraId="5D7A6CAD" w14:textId="77777777" w:rsidR="00606DE1" w:rsidRPr="00C1412B" w:rsidRDefault="00606DE1" w:rsidP="00606DE1">
            <w:pPr>
              <w:pStyle w:val="Level1"/>
              <w:numPr>
                <w:ilvl w:val="0"/>
                <w:numId w:val="0"/>
              </w:numPr>
              <w:spacing w:after="120"/>
              <w:jc w:val="left"/>
              <w:rPr>
                <w:color w:val="000000"/>
                <w:sz w:val="16"/>
                <w:szCs w:val="16"/>
              </w:rPr>
            </w:pPr>
            <w:r w:rsidRPr="00C1412B">
              <w:rPr>
                <w:sz w:val="16"/>
                <w:szCs w:val="16"/>
              </w:rPr>
              <w:t>N</w:t>
            </w:r>
          </w:p>
        </w:tc>
      </w:tr>
      <w:tr w:rsidR="00B31C44" w:rsidRPr="00473B3F" w14:paraId="5753266F" w14:textId="77777777" w:rsidTr="00F20D89">
        <w:tc>
          <w:tcPr>
            <w:tcW w:w="4678" w:type="dxa"/>
          </w:tcPr>
          <w:p w14:paraId="13F1F1D2" w14:textId="711C216F" w:rsidR="00301D17" w:rsidRPr="00473B3F" w:rsidRDefault="009864A3" w:rsidP="00F20D89">
            <w:pPr>
              <w:spacing w:after="120"/>
              <w:rPr>
                <w:sz w:val="16"/>
                <w:szCs w:val="16"/>
              </w:rPr>
            </w:pPr>
            <w:r>
              <w:rPr>
                <w:sz w:val="16"/>
                <w:szCs w:val="16"/>
              </w:rPr>
              <w:t>8</w:t>
            </w:r>
            <w:r w:rsidR="00B31C44" w:rsidRPr="00473B3F">
              <w:rPr>
                <w:sz w:val="16"/>
                <w:szCs w:val="16"/>
              </w:rPr>
              <w:t>.</w:t>
            </w:r>
            <w:r w:rsidR="00B31C44">
              <w:rPr>
                <w:sz w:val="16"/>
                <w:szCs w:val="16"/>
              </w:rPr>
              <w:t xml:space="preserve"> The Supplier's ITT </w:t>
            </w:r>
            <w:r w:rsidR="00782D77">
              <w:rPr>
                <w:sz w:val="16"/>
                <w:szCs w:val="16"/>
              </w:rPr>
              <w:t>R</w:t>
            </w:r>
            <w:r w:rsidR="00B31C44">
              <w:rPr>
                <w:sz w:val="16"/>
                <w:szCs w:val="16"/>
              </w:rPr>
              <w:t>esponse to the extent falling within the classification of Commercially Sensitive Information identified in the above rows of this table.</w:t>
            </w:r>
          </w:p>
        </w:tc>
        <w:tc>
          <w:tcPr>
            <w:tcW w:w="3827" w:type="dxa"/>
          </w:tcPr>
          <w:p w14:paraId="43D6BE4F" w14:textId="77777777" w:rsidR="00B31C44" w:rsidRPr="00473B3F" w:rsidRDefault="00B31C44" w:rsidP="00F20D89">
            <w:pPr>
              <w:pStyle w:val="Level1"/>
              <w:numPr>
                <w:ilvl w:val="0"/>
                <w:numId w:val="0"/>
              </w:numPr>
              <w:spacing w:after="60"/>
              <w:rPr>
                <w:color w:val="000000"/>
                <w:sz w:val="16"/>
                <w:szCs w:val="16"/>
              </w:rPr>
            </w:pPr>
            <w:r>
              <w:rPr>
                <w:sz w:val="16"/>
                <w:szCs w:val="16"/>
              </w:rPr>
              <w:t>See applicable row(s) above.</w:t>
            </w:r>
          </w:p>
        </w:tc>
        <w:tc>
          <w:tcPr>
            <w:tcW w:w="2694" w:type="dxa"/>
          </w:tcPr>
          <w:p w14:paraId="204FBF4F" w14:textId="77777777" w:rsidR="00B31C44" w:rsidRPr="00473B3F" w:rsidRDefault="00B31C44" w:rsidP="00F20D89">
            <w:pPr>
              <w:rPr>
                <w:sz w:val="16"/>
                <w:szCs w:val="16"/>
              </w:rPr>
            </w:pPr>
            <w:r>
              <w:rPr>
                <w:sz w:val="16"/>
                <w:szCs w:val="16"/>
              </w:rPr>
              <w:t>See applicable row(s) above.</w:t>
            </w:r>
          </w:p>
        </w:tc>
        <w:tc>
          <w:tcPr>
            <w:tcW w:w="2976" w:type="dxa"/>
          </w:tcPr>
          <w:p w14:paraId="2E6AEEAD" w14:textId="77777777" w:rsidR="00B31C44" w:rsidRPr="00473B3F" w:rsidRDefault="00B31C44" w:rsidP="00F20D89">
            <w:pPr>
              <w:pStyle w:val="Level1"/>
              <w:numPr>
                <w:ilvl w:val="0"/>
                <w:numId w:val="0"/>
              </w:numPr>
              <w:spacing w:after="120"/>
              <w:jc w:val="left"/>
              <w:rPr>
                <w:sz w:val="16"/>
                <w:szCs w:val="16"/>
              </w:rPr>
            </w:pPr>
            <w:r>
              <w:rPr>
                <w:sz w:val="16"/>
                <w:szCs w:val="16"/>
              </w:rPr>
              <w:t>See applicable row(s) above.</w:t>
            </w:r>
          </w:p>
        </w:tc>
      </w:tr>
      <w:tr w:rsidR="00015491" w:rsidRPr="00473B3F" w14:paraId="46F8C4BB" w14:textId="77777777" w:rsidTr="00B31C44">
        <w:tc>
          <w:tcPr>
            <w:tcW w:w="4678" w:type="dxa"/>
            <w:tcBorders>
              <w:top w:val="single" w:sz="4" w:space="0" w:color="auto"/>
              <w:left w:val="single" w:sz="4" w:space="0" w:color="auto"/>
              <w:bottom w:val="single" w:sz="4" w:space="0" w:color="auto"/>
              <w:right w:val="single" w:sz="4" w:space="0" w:color="auto"/>
            </w:tcBorders>
          </w:tcPr>
          <w:p w14:paraId="2BF64405" w14:textId="6EC42DDD" w:rsidR="00015491" w:rsidRDefault="009864A3" w:rsidP="00015491">
            <w:pPr>
              <w:spacing w:after="120"/>
              <w:rPr>
                <w:rFonts w:eastAsia="Arial"/>
                <w:color w:val="000000"/>
                <w:sz w:val="16"/>
                <w:szCs w:val="16"/>
              </w:rPr>
            </w:pPr>
            <w:r>
              <w:rPr>
                <w:rFonts w:eastAsia="Arial"/>
                <w:color w:val="000000"/>
                <w:sz w:val="16"/>
                <w:szCs w:val="16"/>
              </w:rPr>
              <w:t>9</w:t>
            </w:r>
            <w:r w:rsidR="00015491">
              <w:rPr>
                <w:rFonts w:eastAsia="Arial"/>
                <w:color w:val="000000"/>
                <w:sz w:val="16"/>
                <w:szCs w:val="16"/>
              </w:rPr>
              <w:t xml:space="preserve">. Supplier information concerning </w:t>
            </w:r>
            <w:r w:rsidR="004100D5">
              <w:rPr>
                <w:rFonts w:eastAsia="Arial"/>
                <w:color w:val="000000"/>
                <w:sz w:val="16"/>
                <w:szCs w:val="16"/>
              </w:rPr>
              <w:t xml:space="preserve">its </w:t>
            </w:r>
            <w:r w:rsidR="00015491" w:rsidRPr="00015491">
              <w:rPr>
                <w:rFonts w:eastAsia="Arial"/>
                <w:color w:val="000000"/>
                <w:sz w:val="16"/>
                <w:szCs w:val="16"/>
              </w:rPr>
              <w:t>economic and financial standing, technical and professional ability and compliance with legislation and standards</w:t>
            </w:r>
            <w:r w:rsidR="0041375E">
              <w:rPr>
                <w:rFonts w:eastAsia="Arial"/>
                <w:color w:val="000000"/>
                <w:sz w:val="16"/>
                <w:szCs w:val="16"/>
              </w:rPr>
              <w:t xml:space="preserve">, as </w:t>
            </w:r>
            <w:r w:rsidR="00015491">
              <w:rPr>
                <w:rFonts w:eastAsia="Arial"/>
                <w:color w:val="000000"/>
                <w:sz w:val="16"/>
                <w:szCs w:val="16"/>
              </w:rPr>
              <w:t>provided as part of its ITT response</w:t>
            </w:r>
          </w:p>
        </w:tc>
        <w:tc>
          <w:tcPr>
            <w:tcW w:w="3827" w:type="dxa"/>
            <w:tcBorders>
              <w:top w:val="single" w:sz="4" w:space="0" w:color="auto"/>
              <w:left w:val="single" w:sz="4" w:space="0" w:color="auto"/>
              <w:bottom w:val="single" w:sz="4" w:space="0" w:color="auto"/>
              <w:right w:val="single" w:sz="4" w:space="0" w:color="auto"/>
            </w:tcBorders>
          </w:tcPr>
          <w:p w14:paraId="219C4989" w14:textId="77777777" w:rsidR="00015491" w:rsidRPr="00B31C44" w:rsidRDefault="0041375E" w:rsidP="00F20D89">
            <w:pPr>
              <w:pStyle w:val="Level1"/>
              <w:numPr>
                <w:ilvl w:val="0"/>
                <w:numId w:val="0"/>
              </w:numPr>
              <w:spacing w:after="60"/>
              <w:rPr>
                <w:color w:val="000000"/>
                <w:sz w:val="16"/>
                <w:szCs w:val="16"/>
              </w:rPr>
            </w:pPr>
            <w:r w:rsidRPr="00473B3F">
              <w:rPr>
                <w:color w:val="000000"/>
                <w:sz w:val="16"/>
                <w:szCs w:val="16"/>
              </w:rPr>
              <w:t>This information if made public may</w:t>
            </w:r>
            <w:r w:rsidRPr="00473B3F">
              <w:rPr>
                <w:sz w:val="16"/>
                <w:szCs w:val="16"/>
              </w:rPr>
              <w:t xml:space="preserve"> be damaging to Supplier’s reputation/business</w:t>
            </w:r>
            <w:r>
              <w:rPr>
                <w:sz w:val="16"/>
                <w:szCs w:val="16"/>
              </w:rPr>
              <w:t xml:space="preserve"> </w:t>
            </w:r>
            <w:r w:rsidRPr="00473B3F">
              <w:rPr>
                <w:sz w:val="16"/>
                <w:szCs w:val="16"/>
              </w:rPr>
              <w:t>(</w:t>
            </w:r>
            <w:r>
              <w:rPr>
                <w:sz w:val="16"/>
                <w:szCs w:val="16"/>
              </w:rPr>
              <w:t>incl.</w:t>
            </w:r>
            <w:r w:rsidRPr="00473B3F">
              <w:rPr>
                <w:sz w:val="16"/>
                <w:szCs w:val="16"/>
              </w:rPr>
              <w:t xml:space="preserve"> share price)</w:t>
            </w:r>
            <w:r>
              <w:rPr>
                <w:sz w:val="16"/>
                <w:szCs w:val="16"/>
              </w:rPr>
              <w:t>.</w:t>
            </w:r>
          </w:p>
        </w:tc>
        <w:tc>
          <w:tcPr>
            <w:tcW w:w="2694" w:type="dxa"/>
            <w:tcBorders>
              <w:top w:val="single" w:sz="4" w:space="0" w:color="auto"/>
              <w:left w:val="single" w:sz="4" w:space="0" w:color="auto"/>
              <w:bottom w:val="single" w:sz="4" w:space="0" w:color="auto"/>
              <w:right w:val="single" w:sz="4" w:space="0" w:color="auto"/>
            </w:tcBorders>
          </w:tcPr>
          <w:p w14:paraId="03BDDED2" w14:textId="4D5C5B31" w:rsidR="00015491" w:rsidRDefault="004100D5" w:rsidP="0041375E">
            <w:pPr>
              <w:pStyle w:val="Body"/>
              <w:spacing w:after="120"/>
              <w:rPr>
                <w:sz w:val="16"/>
                <w:szCs w:val="16"/>
              </w:rPr>
            </w:pPr>
            <w:r w:rsidRPr="00473B3F">
              <w:rPr>
                <w:sz w:val="16"/>
                <w:szCs w:val="16"/>
              </w:rPr>
              <w:t>The period that the information remains confidential under the terms of this Contract</w:t>
            </w:r>
            <w:r>
              <w:rPr>
                <w:sz w:val="16"/>
                <w:szCs w:val="16"/>
              </w:rPr>
              <w:t xml:space="preserve"> (i.e. until it falls within Clause 50.2)</w:t>
            </w:r>
            <w:r w:rsidRPr="00473B3F">
              <w:rPr>
                <w:sz w:val="16"/>
                <w:szCs w:val="16"/>
              </w:rPr>
              <w:t>.</w:t>
            </w:r>
          </w:p>
        </w:tc>
        <w:tc>
          <w:tcPr>
            <w:tcW w:w="2976" w:type="dxa"/>
            <w:tcBorders>
              <w:top w:val="single" w:sz="4" w:space="0" w:color="auto"/>
              <w:left w:val="single" w:sz="4" w:space="0" w:color="auto"/>
              <w:bottom w:val="single" w:sz="4" w:space="0" w:color="auto"/>
              <w:right w:val="single" w:sz="4" w:space="0" w:color="auto"/>
            </w:tcBorders>
          </w:tcPr>
          <w:p w14:paraId="2619CDCC" w14:textId="17C6E292" w:rsidR="00015491" w:rsidRDefault="001B6F4D" w:rsidP="00F20D89">
            <w:pPr>
              <w:pStyle w:val="Level1"/>
              <w:numPr>
                <w:ilvl w:val="0"/>
                <w:numId w:val="0"/>
              </w:numPr>
              <w:spacing w:after="120"/>
              <w:jc w:val="left"/>
              <w:rPr>
                <w:sz w:val="16"/>
                <w:szCs w:val="16"/>
              </w:rPr>
            </w:pPr>
            <w:r>
              <w:rPr>
                <w:sz w:val="16"/>
                <w:szCs w:val="16"/>
              </w:rPr>
              <w:t>Y</w:t>
            </w:r>
          </w:p>
        </w:tc>
      </w:tr>
      <w:tr w:rsidR="00010634" w:rsidRPr="00473B3F" w14:paraId="72D309E0" w14:textId="77777777" w:rsidTr="00B31C44">
        <w:tc>
          <w:tcPr>
            <w:tcW w:w="4678" w:type="dxa"/>
            <w:tcBorders>
              <w:top w:val="single" w:sz="4" w:space="0" w:color="auto"/>
              <w:left w:val="single" w:sz="4" w:space="0" w:color="auto"/>
              <w:bottom w:val="single" w:sz="4" w:space="0" w:color="auto"/>
              <w:right w:val="single" w:sz="4" w:space="0" w:color="auto"/>
            </w:tcBorders>
          </w:tcPr>
          <w:p w14:paraId="74705F16" w14:textId="52F12591" w:rsidR="00010634" w:rsidRDefault="00010634" w:rsidP="00010634">
            <w:pPr>
              <w:pStyle w:val="Body"/>
              <w:spacing w:after="0"/>
              <w:rPr>
                <w:rFonts w:eastAsia="Arial"/>
                <w:color w:val="000000"/>
                <w:sz w:val="16"/>
                <w:szCs w:val="16"/>
              </w:rPr>
            </w:pPr>
            <w:r>
              <w:rPr>
                <w:rFonts w:eastAsia="Arial"/>
                <w:color w:val="000000"/>
                <w:sz w:val="16"/>
                <w:szCs w:val="16"/>
              </w:rPr>
              <w:t xml:space="preserve">10. </w:t>
            </w:r>
            <w:r w:rsidR="0007571A">
              <w:rPr>
                <w:rFonts w:eastAsia="Arial"/>
                <w:color w:val="000000"/>
                <w:sz w:val="16"/>
                <w:szCs w:val="16"/>
              </w:rPr>
              <w:t xml:space="preserve">The </w:t>
            </w:r>
            <w:r>
              <w:rPr>
                <w:rFonts w:eastAsia="Arial"/>
                <w:color w:val="000000"/>
                <w:sz w:val="16"/>
                <w:szCs w:val="16"/>
              </w:rPr>
              <w:t>Schedule 6.4 reports</w:t>
            </w:r>
            <w:r w:rsidR="00325E6C">
              <w:rPr>
                <w:rFonts w:eastAsia="Arial"/>
                <w:color w:val="000000"/>
                <w:sz w:val="16"/>
                <w:szCs w:val="16"/>
              </w:rPr>
              <w:t>, subject to the following</w:t>
            </w:r>
            <w:r>
              <w:rPr>
                <w:rFonts w:eastAsia="Arial"/>
                <w:color w:val="000000"/>
                <w:sz w:val="16"/>
                <w:szCs w:val="16"/>
              </w:rPr>
              <w:t>:</w:t>
            </w:r>
          </w:p>
          <w:p w14:paraId="1F91384F" w14:textId="77777777" w:rsidR="00010634" w:rsidRDefault="00010634" w:rsidP="00010634">
            <w:pPr>
              <w:pStyle w:val="Body"/>
              <w:spacing w:after="0"/>
              <w:rPr>
                <w:rFonts w:eastAsia="Arial"/>
                <w:color w:val="000000"/>
                <w:sz w:val="16"/>
                <w:szCs w:val="16"/>
              </w:rPr>
            </w:pPr>
          </w:p>
          <w:p w14:paraId="541C4ADB" w14:textId="67804DEC" w:rsidR="00010634" w:rsidRDefault="00010634" w:rsidP="00010634">
            <w:pPr>
              <w:pStyle w:val="Body"/>
              <w:spacing w:after="0"/>
              <w:rPr>
                <w:sz w:val="16"/>
                <w:szCs w:val="16"/>
              </w:rPr>
            </w:pPr>
            <w:r>
              <w:rPr>
                <w:sz w:val="16"/>
                <w:szCs w:val="16"/>
              </w:rPr>
              <w:t xml:space="preserve">C1, C2 and C9 reports – </w:t>
            </w:r>
            <w:r w:rsidR="00B94D7E">
              <w:rPr>
                <w:sz w:val="16"/>
                <w:szCs w:val="16"/>
              </w:rPr>
              <w:t xml:space="preserve">Commercially Sensitive Information </w:t>
            </w:r>
            <w:r>
              <w:rPr>
                <w:sz w:val="16"/>
                <w:szCs w:val="16"/>
              </w:rPr>
              <w:t>except th</w:t>
            </w:r>
            <w:r w:rsidR="00CB0796">
              <w:rPr>
                <w:sz w:val="16"/>
                <w:szCs w:val="16"/>
              </w:rPr>
              <w:t>is</w:t>
            </w:r>
            <w:r>
              <w:rPr>
                <w:sz w:val="16"/>
                <w:szCs w:val="16"/>
              </w:rPr>
              <w:t xml:space="preserve"> shall not</w:t>
            </w:r>
            <w:r w:rsidR="00325E6C">
              <w:rPr>
                <w:sz w:val="16"/>
                <w:szCs w:val="16"/>
              </w:rPr>
              <w:t>, for the avoidance of doubt,</w:t>
            </w:r>
            <w:r>
              <w:rPr>
                <w:sz w:val="16"/>
                <w:szCs w:val="16"/>
              </w:rPr>
              <w:t xml:space="preserve"> </w:t>
            </w:r>
            <w:r w:rsidR="00325E6C">
              <w:rPr>
                <w:sz w:val="16"/>
                <w:szCs w:val="16"/>
              </w:rPr>
              <w:t xml:space="preserve">vary the classification status of </w:t>
            </w:r>
            <w:r>
              <w:rPr>
                <w:sz w:val="16"/>
                <w:szCs w:val="16"/>
              </w:rPr>
              <w:t>the Implementation Plan or any of the other matters specifically excluded from being Commercially Sensitive Information in this table</w:t>
            </w:r>
            <w:r w:rsidR="00D05B6F">
              <w:rPr>
                <w:sz w:val="16"/>
                <w:szCs w:val="16"/>
              </w:rPr>
              <w:t>;</w:t>
            </w:r>
          </w:p>
          <w:p w14:paraId="2C38DA56" w14:textId="535BFD8D" w:rsidR="00FB2762" w:rsidRDefault="00FB2762" w:rsidP="00010634">
            <w:pPr>
              <w:pStyle w:val="Body"/>
              <w:spacing w:after="0"/>
              <w:rPr>
                <w:sz w:val="16"/>
                <w:szCs w:val="16"/>
              </w:rPr>
            </w:pPr>
            <w:r w:rsidRPr="00FB2762">
              <w:rPr>
                <w:sz w:val="16"/>
                <w:szCs w:val="16"/>
              </w:rPr>
              <w:t xml:space="preserve">C3 report – not Commercially Sensitive Information save to the extent of </w:t>
            </w:r>
            <w:r w:rsidR="007336BD">
              <w:rPr>
                <w:sz w:val="16"/>
                <w:szCs w:val="16"/>
              </w:rPr>
              <w:t xml:space="preserve">(i) </w:t>
            </w:r>
            <w:r w:rsidRPr="00FB2762">
              <w:rPr>
                <w:sz w:val="16"/>
                <w:szCs w:val="16"/>
              </w:rPr>
              <w:t xml:space="preserve">take-up data specified to the level of individually </w:t>
            </w:r>
            <w:r w:rsidRPr="00FB2762">
              <w:rPr>
                <w:sz w:val="16"/>
                <w:szCs w:val="16"/>
              </w:rPr>
              <w:lastRenderedPageBreak/>
              <w:t>identified End User Premises</w:t>
            </w:r>
            <w:r w:rsidR="007336BD">
              <w:rPr>
                <w:sz w:val="16"/>
                <w:szCs w:val="16"/>
              </w:rPr>
              <w:t xml:space="preserve">; or (ii) fully comprehensive or other large scale release of take-up data identified against Structure for the Network (noting </w:t>
            </w:r>
            <w:r w:rsidR="002C7B61">
              <w:rPr>
                <w:sz w:val="16"/>
                <w:szCs w:val="16"/>
              </w:rPr>
              <w:t xml:space="preserve">that it is recognised that </w:t>
            </w:r>
            <w:r w:rsidR="007336BD">
              <w:rPr>
                <w:sz w:val="16"/>
                <w:szCs w:val="16"/>
              </w:rPr>
              <w:t>th</w:t>
            </w:r>
            <w:r w:rsidR="002C7B61">
              <w:rPr>
                <w:sz w:val="16"/>
                <w:szCs w:val="16"/>
              </w:rPr>
              <w:t>e</w:t>
            </w:r>
            <w:r w:rsidR="007336BD">
              <w:rPr>
                <w:sz w:val="16"/>
                <w:szCs w:val="16"/>
              </w:rPr>
              <w:t xml:space="preserve"> Authority </w:t>
            </w:r>
            <w:r w:rsidR="002C7B61">
              <w:rPr>
                <w:sz w:val="16"/>
                <w:szCs w:val="16"/>
              </w:rPr>
              <w:t xml:space="preserve">is likely to release </w:t>
            </w:r>
            <w:r w:rsidR="007336BD">
              <w:rPr>
                <w:sz w:val="16"/>
                <w:szCs w:val="16"/>
              </w:rPr>
              <w:t xml:space="preserve">ad hoc single or Structure cluster </w:t>
            </w:r>
            <w:r w:rsidR="002C7B61">
              <w:rPr>
                <w:sz w:val="16"/>
                <w:szCs w:val="16"/>
              </w:rPr>
              <w:t xml:space="preserve">take-up </w:t>
            </w:r>
            <w:r w:rsidR="007336BD">
              <w:rPr>
                <w:sz w:val="16"/>
                <w:szCs w:val="16"/>
              </w:rPr>
              <w:t>details as part of publicity or marketing efforts)</w:t>
            </w:r>
            <w:r w:rsidRPr="00FB2762">
              <w:rPr>
                <w:sz w:val="16"/>
                <w:szCs w:val="16"/>
              </w:rPr>
              <w:t>;</w:t>
            </w:r>
          </w:p>
          <w:p w14:paraId="5C793A18" w14:textId="1C1CE2A5" w:rsidR="00D05B6F" w:rsidRDefault="00D05B6F" w:rsidP="00010634">
            <w:pPr>
              <w:pStyle w:val="Body"/>
              <w:spacing w:after="0"/>
              <w:rPr>
                <w:sz w:val="16"/>
                <w:szCs w:val="16"/>
              </w:rPr>
            </w:pPr>
            <w:r>
              <w:rPr>
                <w:sz w:val="16"/>
                <w:szCs w:val="16"/>
              </w:rPr>
              <w:t>C4 report</w:t>
            </w:r>
            <w:r w:rsidR="00D02379">
              <w:rPr>
                <w:sz w:val="16"/>
                <w:szCs w:val="16"/>
              </w:rPr>
              <w:t xml:space="preserve"> </w:t>
            </w:r>
            <w:r w:rsidR="00017B6D">
              <w:rPr>
                <w:sz w:val="16"/>
                <w:szCs w:val="16"/>
              </w:rPr>
              <w:t>–</w:t>
            </w:r>
            <w:r w:rsidR="00D02379">
              <w:rPr>
                <w:sz w:val="16"/>
                <w:szCs w:val="16"/>
              </w:rPr>
              <w:t xml:space="preserve"> </w:t>
            </w:r>
            <w:r w:rsidR="00B94D7E">
              <w:rPr>
                <w:sz w:val="16"/>
                <w:szCs w:val="16"/>
              </w:rPr>
              <w:t xml:space="preserve">Commercially Sensitive Information unless and </w:t>
            </w:r>
            <w:r w:rsidR="00017B6D">
              <w:rPr>
                <w:sz w:val="16"/>
                <w:szCs w:val="16"/>
              </w:rPr>
              <w:t>to the extent that such activities are publically funded</w:t>
            </w:r>
            <w:r>
              <w:rPr>
                <w:sz w:val="16"/>
                <w:szCs w:val="16"/>
              </w:rPr>
              <w:t>;</w:t>
            </w:r>
          </w:p>
          <w:p w14:paraId="65CA309D" w14:textId="13B0A0DF" w:rsidR="00D05B6F" w:rsidRDefault="00D05B6F" w:rsidP="00010634">
            <w:pPr>
              <w:pStyle w:val="Body"/>
              <w:spacing w:after="0"/>
              <w:rPr>
                <w:sz w:val="16"/>
                <w:szCs w:val="16"/>
              </w:rPr>
            </w:pPr>
            <w:r>
              <w:rPr>
                <w:sz w:val="16"/>
                <w:szCs w:val="16"/>
              </w:rPr>
              <w:t>C5 report –</w:t>
            </w:r>
            <w:r w:rsidR="00664ACC">
              <w:rPr>
                <w:sz w:val="16"/>
                <w:szCs w:val="16"/>
              </w:rPr>
              <w:t xml:space="preserve"> </w:t>
            </w:r>
            <w:r w:rsidR="00B94D7E">
              <w:rPr>
                <w:sz w:val="16"/>
                <w:szCs w:val="16"/>
              </w:rPr>
              <w:t xml:space="preserve">Commercially Sensitive Information </w:t>
            </w:r>
            <w:r w:rsidR="002B491C">
              <w:rPr>
                <w:sz w:val="16"/>
                <w:szCs w:val="16"/>
              </w:rPr>
              <w:t>save to the extent</w:t>
            </w:r>
            <w:r w:rsidR="00F82C22">
              <w:rPr>
                <w:sz w:val="16"/>
                <w:szCs w:val="16"/>
              </w:rPr>
              <w:t xml:space="preserve"> </w:t>
            </w:r>
            <w:r w:rsidR="002B491C">
              <w:rPr>
                <w:sz w:val="16"/>
                <w:szCs w:val="16"/>
              </w:rPr>
              <w:t>of</w:t>
            </w:r>
            <w:r w:rsidR="00F82C22">
              <w:rPr>
                <w:sz w:val="16"/>
                <w:szCs w:val="16"/>
              </w:rPr>
              <w:t xml:space="preserve"> data included in this report </w:t>
            </w:r>
            <w:r w:rsidR="00017B6D">
              <w:rPr>
                <w:sz w:val="16"/>
                <w:szCs w:val="16"/>
              </w:rPr>
              <w:t xml:space="preserve">on </w:t>
            </w:r>
            <w:r w:rsidR="00E81661">
              <w:rPr>
                <w:sz w:val="16"/>
                <w:szCs w:val="16"/>
              </w:rPr>
              <w:t>S</w:t>
            </w:r>
            <w:r w:rsidR="00017B6D">
              <w:rPr>
                <w:sz w:val="16"/>
                <w:szCs w:val="16"/>
              </w:rPr>
              <w:t xml:space="preserve">tructures at capacity </w:t>
            </w:r>
            <w:r w:rsidR="00777528">
              <w:rPr>
                <w:sz w:val="16"/>
                <w:szCs w:val="16"/>
              </w:rPr>
              <w:t xml:space="preserve">that </w:t>
            </w:r>
            <w:r w:rsidR="002B491C">
              <w:rPr>
                <w:sz w:val="16"/>
                <w:szCs w:val="16"/>
              </w:rPr>
              <w:t xml:space="preserve">are causing </w:t>
            </w:r>
            <w:r w:rsidR="00777528">
              <w:rPr>
                <w:sz w:val="16"/>
                <w:szCs w:val="16"/>
              </w:rPr>
              <w:t xml:space="preserve">Service Levels </w:t>
            </w:r>
            <w:r w:rsidR="002B491C">
              <w:rPr>
                <w:sz w:val="16"/>
                <w:szCs w:val="16"/>
              </w:rPr>
              <w:t xml:space="preserve">to be exceeded </w:t>
            </w:r>
            <w:r w:rsidR="00777528">
              <w:rPr>
                <w:sz w:val="16"/>
                <w:szCs w:val="16"/>
              </w:rPr>
              <w:t>(along with timescales to add additional capacity)</w:t>
            </w:r>
            <w:r w:rsidR="00F82C22">
              <w:rPr>
                <w:sz w:val="16"/>
                <w:szCs w:val="16"/>
              </w:rPr>
              <w:t>;</w:t>
            </w:r>
          </w:p>
          <w:p w14:paraId="38574D82" w14:textId="688721A6" w:rsidR="00D05B6F" w:rsidRDefault="00D05B6F" w:rsidP="00010634">
            <w:pPr>
              <w:pStyle w:val="Body"/>
              <w:spacing w:after="0"/>
              <w:rPr>
                <w:sz w:val="16"/>
                <w:szCs w:val="16"/>
              </w:rPr>
            </w:pPr>
            <w:r>
              <w:rPr>
                <w:sz w:val="16"/>
                <w:szCs w:val="16"/>
              </w:rPr>
              <w:t>C6 – see row 2 above;</w:t>
            </w:r>
          </w:p>
          <w:p w14:paraId="3A4FDADD" w14:textId="13F69397" w:rsidR="00D05B6F" w:rsidRDefault="00D05B6F" w:rsidP="00010634">
            <w:pPr>
              <w:pStyle w:val="Body"/>
              <w:spacing w:after="0"/>
              <w:rPr>
                <w:sz w:val="16"/>
                <w:szCs w:val="16"/>
              </w:rPr>
            </w:pPr>
            <w:r>
              <w:rPr>
                <w:sz w:val="16"/>
                <w:szCs w:val="16"/>
              </w:rPr>
              <w:t xml:space="preserve">C7 – </w:t>
            </w:r>
            <w:r w:rsidR="00B94D7E">
              <w:rPr>
                <w:sz w:val="16"/>
                <w:szCs w:val="16"/>
              </w:rPr>
              <w:t xml:space="preserve">Commercially Sensitive Information </w:t>
            </w:r>
            <w:r w:rsidR="000619DE">
              <w:rPr>
                <w:sz w:val="16"/>
                <w:szCs w:val="16"/>
              </w:rPr>
              <w:t>unless</w:t>
            </w:r>
            <w:r>
              <w:rPr>
                <w:sz w:val="16"/>
                <w:szCs w:val="16"/>
              </w:rPr>
              <w:t xml:space="preserve"> </w:t>
            </w:r>
            <w:r w:rsidR="00D02379">
              <w:rPr>
                <w:sz w:val="16"/>
                <w:szCs w:val="16"/>
              </w:rPr>
              <w:t xml:space="preserve">and to the extent </w:t>
            </w:r>
            <w:r>
              <w:rPr>
                <w:sz w:val="16"/>
                <w:szCs w:val="16"/>
              </w:rPr>
              <w:t xml:space="preserve">such </w:t>
            </w:r>
            <w:r w:rsidR="00D02379">
              <w:rPr>
                <w:sz w:val="16"/>
                <w:szCs w:val="16"/>
              </w:rPr>
              <w:t>information</w:t>
            </w:r>
            <w:r>
              <w:rPr>
                <w:sz w:val="16"/>
                <w:szCs w:val="16"/>
              </w:rPr>
              <w:t xml:space="preserve"> </w:t>
            </w:r>
            <w:r w:rsidR="000619DE">
              <w:rPr>
                <w:sz w:val="16"/>
                <w:szCs w:val="16"/>
              </w:rPr>
              <w:t xml:space="preserve">may need to be published </w:t>
            </w:r>
            <w:r>
              <w:rPr>
                <w:sz w:val="16"/>
                <w:szCs w:val="16"/>
              </w:rPr>
              <w:t xml:space="preserve">to meet transparency requirements under the Commission Decision and/or </w:t>
            </w:r>
            <w:r w:rsidRPr="00C1412B">
              <w:rPr>
                <w:sz w:val="16"/>
                <w:szCs w:val="16"/>
              </w:rPr>
              <w:t>may need to be disclosed as part of responding to a formal State aid complaint</w:t>
            </w:r>
            <w:r>
              <w:rPr>
                <w:sz w:val="16"/>
                <w:szCs w:val="16"/>
              </w:rPr>
              <w:t>;</w:t>
            </w:r>
          </w:p>
          <w:p w14:paraId="0AFE71D2" w14:textId="2B9034CE" w:rsidR="000619DE" w:rsidRDefault="000619DE" w:rsidP="00010634">
            <w:pPr>
              <w:pStyle w:val="Body"/>
              <w:spacing w:after="0"/>
              <w:rPr>
                <w:sz w:val="16"/>
                <w:szCs w:val="16"/>
              </w:rPr>
            </w:pPr>
            <w:r>
              <w:rPr>
                <w:sz w:val="16"/>
                <w:szCs w:val="16"/>
              </w:rPr>
              <w:t>C8 – only the identities of the SMEs is treated as Commercially Sensitive Information;</w:t>
            </w:r>
          </w:p>
          <w:p w14:paraId="4E51FFC8" w14:textId="77777777" w:rsidR="000619DE" w:rsidRDefault="000619DE" w:rsidP="000619DE">
            <w:pPr>
              <w:pStyle w:val="Body"/>
              <w:spacing w:after="0"/>
              <w:rPr>
                <w:sz w:val="16"/>
                <w:szCs w:val="16"/>
              </w:rPr>
            </w:pPr>
            <w:r>
              <w:rPr>
                <w:sz w:val="16"/>
                <w:szCs w:val="16"/>
              </w:rPr>
              <w:t>C11 – see row 7 above.</w:t>
            </w:r>
          </w:p>
          <w:p w14:paraId="6578DBF5" w14:textId="3ACE883A" w:rsidR="00010634" w:rsidRDefault="00010634" w:rsidP="000619DE">
            <w:pPr>
              <w:pStyle w:val="Body"/>
              <w:spacing w:after="0"/>
              <w:rPr>
                <w:rFonts w:eastAsia="Arial"/>
                <w:color w:val="000000"/>
                <w:sz w:val="16"/>
                <w:szCs w:val="16"/>
              </w:rPr>
            </w:pPr>
            <w:r>
              <w:rPr>
                <w:rFonts w:eastAsia="Arial"/>
                <w:color w:val="000000"/>
                <w:sz w:val="16"/>
                <w:szCs w:val="16"/>
              </w:rPr>
              <w:t xml:space="preserve"> </w:t>
            </w:r>
          </w:p>
        </w:tc>
        <w:tc>
          <w:tcPr>
            <w:tcW w:w="3827" w:type="dxa"/>
            <w:tcBorders>
              <w:top w:val="single" w:sz="4" w:space="0" w:color="auto"/>
              <w:left w:val="single" w:sz="4" w:space="0" w:color="auto"/>
              <w:bottom w:val="single" w:sz="4" w:space="0" w:color="auto"/>
              <w:right w:val="single" w:sz="4" w:space="0" w:color="auto"/>
            </w:tcBorders>
          </w:tcPr>
          <w:p w14:paraId="46F0E099" w14:textId="4965F476" w:rsidR="000619DE" w:rsidRPr="00473B3F" w:rsidRDefault="000619DE" w:rsidP="000619DE">
            <w:pPr>
              <w:pStyle w:val="Level1"/>
              <w:numPr>
                <w:ilvl w:val="0"/>
                <w:numId w:val="0"/>
              </w:numPr>
              <w:spacing w:after="60"/>
              <w:rPr>
                <w:color w:val="000000"/>
                <w:sz w:val="16"/>
                <w:szCs w:val="16"/>
              </w:rPr>
            </w:pPr>
            <w:r w:rsidRPr="00473B3F">
              <w:rPr>
                <w:color w:val="000000"/>
                <w:sz w:val="16"/>
                <w:szCs w:val="16"/>
              </w:rPr>
              <w:lastRenderedPageBreak/>
              <w:t>This information if made public may:</w:t>
            </w:r>
          </w:p>
          <w:p w14:paraId="21E53AC1" w14:textId="77777777" w:rsidR="000619DE" w:rsidRPr="00473B3F" w:rsidRDefault="000619DE" w:rsidP="000619DE">
            <w:pPr>
              <w:pStyle w:val="Level1"/>
              <w:numPr>
                <w:ilvl w:val="0"/>
                <w:numId w:val="0"/>
              </w:numPr>
              <w:spacing w:after="60"/>
              <w:rPr>
                <w:color w:val="000000"/>
                <w:sz w:val="16"/>
                <w:szCs w:val="16"/>
              </w:rPr>
            </w:pPr>
            <w:r w:rsidRPr="00473B3F">
              <w:rPr>
                <w:color w:val="000000"/>
                <w:sz w:val="16"/>
                <w:szCs w:val="16"/>
              </w:rPr>
              <w:t>(a) give a commercial advantage to competitors; and/or</w:t>
            </w:r>
          </w:p>
          <w:p w14:paraId="720BCA8A" w14:textId="67603519" w:rsidR="000619DE" w:rsidRDefault="000619DE" w:rsidP="000619DE">
            <w:pPr>
              <w:pStyle w:val="Level1"/>
              <w:numPr>
                <w:ilvl w:val="0"/>
                <w:numId w:val="0"/>
              </w:numPr>
              <w:spacing w:after="60"/>
              <w:rPr>
                <w:color w:val="000000"/>
                <w:sz w:val="16"/>
                <w:szCs w:val="16"/>
              </w:rPr>
            </w:pPr>
            <w:r w:rsidRPr="00473B3F">
              <w:rPr>
                <w:color w:val="000000"/>
                <w:sz w:val="16"/>
                <w:szCs w:val="16"/>
              </w:rPr>
              <w:t>(b) create unintended expectation/reliance by third parties.</w:t>
            </w:r>
          </w:p>
          <w:p w14:paraId="689B3725" w14:textId="77777777" w:rsidR="00010634" w:rsidRPr="00B31C44" w:rsidRDefault="00010634" w:rsidP="00F20D89">
            <w:pPr>
              <w:pStyle w:val="Level1"/>
              <w:numPr>
                <w:ilvl w:val="0"/>
                <w:numId w:val="0"/>
              </w:numPr>
              <w:spacing w:after="60"/>
              <w:rPr>
                <w:color w:val="000000"/>
                <w:sz w:val="16"/>
                <w:szCs w:val="16"/>
              </w:rPr>
            </w:pPr>
          </w:p>
        </w:tc>
        <w:tc>
          <w:tcPr>
            <w:tcW w:w="2694" w:type="dxa"/>
            <w:tcBorders>
              <w:top w:val="single" w:sz="4" w:space="0" w:color="auto"/>
              <w:left w:val="single" w:sz="4" w:space="0" w:color="auto"/>
              <w:bottom w:val="single" w:sz="4" w:space="0" w:color="auto"/>
              <w:right w:val="single" w:sz="4" w:space="0" w:color="auto"/>
            </w:tcBorders>
          </w:tcPr>
          <w:p w14:paraId="259F6AEC" w14:textId="204CFA7B" w:rsidR="00010634" w:rsidRDefault="000619DE" w:rsidP="00B31C44">
            <w:pPr>
              <w:pStyle w:val="Body"/>
              <w:spacing w:after="120"/>
              <w:rPr>
                <w:sz w:val="16"/>
                <w:szCs w:val="16"/>
              </w:rPr>
            </w:pPr>
            <w:r>
              <w:rPr>
                <w:sz w:val="16"/>
                <w:szCs w:val="16"/>
              </w:rPr>
              <w:t>Term</w:t>
            </w:r>
          </w:p>
        </w:tc>
        <w:tc>
          <w:tcPr>
            <w:tcW w:w="2976" w:type="dxa"/>
            <w:tcBorders>
              <w:top w:val="single" w:sz="4" w:space="0" w:color="auto"/>
              <w:left w:val="single" w:sz="4" w:space="0" w:color="auto"/>
              <w:bottom w:val="single" w:sz="4" w:space="0" w:color="auto"/>
              <w:right w:val="single" w:sz="4" w:space="0" w:color="auto"/>
            </w:tcBorders>
          </w:tcPr>
          <w:p w14:paraId="6FD5A976" w14:textId="4431F941" w:rsidR="00010634" w:rsidRDefault="000619DE" w:rsidP="00F20D89">
            <w:pPr>
              <w:pStyle w:val="Level1"/>
              <w:numPr>
                <w:ilvl w:val="0"/>
                <w:numId w:val="0"/>
              </w:numPr>
              <w:spacing w:after="120"/>
              <w:jc w:val="left"/>
              <w:rPr>
                <w:sz w:val="16"/>
                <w:szCs w:val="16"/>
              </w:rPr>
            </w:pPr>
            <w:r>
              <w:rPr>
                <w:sz w:val="16"/>
                <w:szCs w:val="16"/>
              </w:rPr>
              <w:t>N</w:t>
            </w:r>
          </w:p>
        </w:tc>
      </w:tr>
      <w:tr w:rsidR="00B31C44" w:rsidRPr="00473B3F" w14:paraId="0E4FFC34" w14:textId="77777777" w:rsidTr="00B31C44">
        <w:tc>
          <w:tcPr>
            <w:tcW w:w="4678" w:type="dxa"/>
            <w:tcBorders>
              <w:top w:val="single" w:sz="4" w:space="0" w:color="auto"/>
              <w:left w:val="single" w:sz="4" w:space="0" w:color="auto"/>
              <w:bottom w:val="single" w:sz="4" w:space="0" w:color="auto"/>
              <w:right w:val="single" w:sz="4" w:space="0" w:color="auto"/>
            </w:tcBorders>
          </w:tcPr>
          <w:p w14:paraId="50A0078F" w14:textId="1082CEDB" w:rsidR="00B31C44" w:rsidRPr="00B31C44" w:rsidRDefault="0041375E" w:rsidP="007E1194">
            <w:pPr>
              <w:spacing w:after="120"/>
              <w:rPr>
                <w:rFonts w:eastAsia="Arial"/>
                <w:color w:val="000000"/>
                <w:sz w:val="16"/>
                <w:szCs w:val="16"/>
              </w:rPr>
            </w:pPr>
            <w:r>
              <w:rPr>
                <w:rFonts w:eastAsia="Arial"/>
                <w:color w:val="000000"/>
                <w:sz w:val="16"/>
                <w:szCs w:val="16"/>
              </w:rPr>
              <w:t>1</w:t>
            </w:r>
            <w:r w:rsidR="00B240A7">
              <w:rPr>
                <w:rFonts w:eastAsia="Arial"/>
                <w:color w:val="000000"/>
                <w:sz w:val="16"/>
                <w:szCs w:val="16"/>
              </w:rPr>
              <w:t>1</w:t>
            </w:r>
            <w:r w:rsidR="00B31C44" w:rsidRPr="00B31C44">
              <w:rPr>
                <w:rFonts w:eastAsia="Arial"/>
                <w:color w:val="000000"/>
                <w:sz w:val="16"/>
                <w:szCs w:val="16"/>
              </w:rPr>
              <w:t xml:space="preserve">. </w:t>
            </w:r>
            <w:r w:rsidR="00357B4C">
              <w:rPr>
                <w:rFonts w:eastAsia="Arial"/>
                <w:color w:val="000000"/>
                <w:sz w:val="16"/>
                <w:szCs w:val="16"/>
              </w:rPr>
              <w:t>Records of g</w:t>
            </w:r>
            <w:r w:rsidR="00357B4C" w:rsidRPr="00B31C44">
              <w:rPr>
                <w:rFonts w:eastAsia="Arial"/>
                <w:color w:val="000000"/>
                <w:sz w:val="16"/>
                <w:szCs w:val="16"/>
              </w:rPr>
              <w:t xml:space="preserve">overnance </w:t>
            </w:r>
            <w:r w:rsidR="00B31C44" w:rsidRPr="00B31C44">
              <w:rPr>
                <w:rFonts w:eastAsia="Arial"/>
                <w:color w:val="000000"/>
                <w:sz w:val="16"/>
                <w:szCs w:val="16"/>
              </w:rPr>
              <w:t xml:space="preserve">discussions and other </w:t>
            </w:r>
            <w:r w:rsidR="00357B4C">
              <w:rPr>
                <w:rFonts w:eastAsia="Arial"/>
                <w:color w:val="000000"/>
                <w:sz w:val="16"/>
                <w:szCs w:val="16"/>
              </w:rPr>
              <w:t xml:space="preserve">written </w:t>
            </w:r>
            <w:r w:rsidR="00B31C44" w:rsidRPr="00B31C44">
              <w:rPr>
                <w:rFonts w:eastAsia="Arial"/>
                <w:color w:val="000000"/>
                <w:sz w:val="16"/>
                <w:szCs w:val="16"/>
              </w:rPr>
              <w:t xml:space="preserve">information obtained by the Authority pursuant to the Contract </w:t>
            </w:r>
            <w:r w:rsidR="00634BC7">
              <w:rPr>
                <w:rFonts w:eastAsia="Arial"/>
                <w:color w:val="000000"/>
                <w:sz w:val="16"/>
                <w:szCs w:val="16"/>
              </w:rPr>
              <w:t xml:space="preserve">but </w:t>
            </w:r>
            <w:r w:rsidR="007E1194">
              <w:rPr>
                <w:rFonts w:eastAsia="Arial"/>
                <w:color w:val="000000"/>
                <w:sz w:val="16"/>
                <w:szCs w:val="16"/>
              </w:rPr>
              <w:t xml:space="preserve">only </w:t>
            </w:r>
            <w:r w:rsidR="00B31C44" w:rsidRPr="00B31C44">
              <w:rPr>
                <w:rFonts w:eastAsia="Arial"/>
                <w:color w:val="000000"/>
                <w:sz w:val="16"/>
                <w:szCs w:val="16"/>
              </w:rPr>
              <w:t xml:space="preserve">to the extent </w:t>
            </w:r>
            <w:r w:rsidR="007E1194">
              <w:rPr>
                <w:rFonts w:eastAsia="Arial"/>
                <w:color w:val="000000"/>
                <w:sz w:val="16"/>
                <w:szCs w:val="16"/>
              </w:rPr>
              <w:t xml:space="preserve">to which </w:t>
            </w:r>
            <w:r w:rsidR="00357B4C">
              <w:rPr>
                <w:rFonts w:eastAsia="Arial"/>
                <w:color w:val="000000"/>
                <w:sz w:val="16"/>
                <w:szCs w:val="16"/>
              </w:rPr>
              <w:t>they co</w:t>
            </w:r>
            <w:r w:rsidR="001254C2">
              <w:rPr>
                <w:rFonts w:eastAsia="Arial"/>
                <w:color w:val="000000"/>
                <w:sz w:val="16"/>
                <w:szCs w:val="16"/>
              </w:rPr>
              <w:t>mprise</w:t>
            </w:r>
            <w:r w:rsidR="007E1194">
              <w:rPr>
                <w:rFonts w:eastAsia="Arial"/>
                <w:color w:val="000000"/>
                <w:sz w:val="16"/>
                <w:szCs w:val="16"/>
              </w:rPr>
              <w:t xml:space="preserve"> (i.e. include)</w:t>
            </w:r>
            <w:r w:rsidR="00357B4C">
              <w:rPr>
                <w:rFonts w:eastAsia="Arial"/>
                <w:color w:val="000000"/>
                <w:sz w:val="16"/>
                <w:szCs w:val="16"/>
              </w:rPr>
              <w:t xml:space="preserve"> </w:t>
            </w:r>
            <w:r w:rsidR="007E1194">
              <w:rPr>
                <w:rFonts w:eastAsia="Arial"/>
                <w:color w:val="000000"/>
                <w:sz w:val="16"/>
                <w:szCs w:val="16"/>
              </w:rPr>
              <w:t>Commercially Sensitive I</w:t>
            </w:r>
            <w:r w:rsidR="00357B4C">
              <w:rPr>
                <w:rFonts w:eastAsia="Arial"/>
                <w:color w:val="000000"/>
                <w:sz w:val="16"/>
                <w:szCs w:val="16"/>
              </w:rPr>
              <w:t>nformation</w:t>
            </w:r>
            <w:r w:rsidR="00B31C44" w:rsidRPr="00B31C44">
              <w:rPr>
                <w:rFonts w:eastAsia="Arial"/>
                <w:color w:val="000000"/>
                <w:sz w:val="16"/>
                <w:szCs w:val="16"/>
              </w:rPr>
              <w:t xml:space="preserve"> identified in the above rows of this table.</w:t>
            </w:r>
          </w:p>
        </w:tc>
        <w:tc>
          <w:tcPr>
            <w:tcW w:w="3827" w:type="dxa"/>
            <w:tcBorders>
              <w:top w:val="single" w:sz="4" w:space="0" w:color="auto"/>
              <w:left w:val="single" w:sz="4" w:space="0" w:color="auto"/>
              <w:bottom w:val="single" w:sz="4" w:space="0" w:color="auto"/>
              <w:right w:val="single" w:sz="4" w:space="0" w:color="auto"/>
            </w:tcBorders>
          </w:tcPr>
          <w:p w14:paraId="264ED9AF" w14:textId="77777777" w:rsidR="00B31C44" w:rsidRPr="00473B3F" w:rsidRDefault="00B31C44" w:rsidP="00F20D89">
            <w:pPr>
              <w:pStyle w:val="Level1"/>
              <w:numPr>
                <w:ilvl w:val="0"/>
                <w:numId w:val="0"/>
              </w:numPr>
              <w:spacing w:after="60"/>
              <w:rPr>
                <w:color w:val="000000"/>
                <w:sz w:val="16"/>
                <w:szCs w:val="16"/>
              </w:rPr>
            </w:pPr>
            <w:r w:rsidRPr="00B31C44">
              <w:rPr>
                <w:color w:val="000000"/>
                <w:sz w:val="16"/>
                <w:szCs w:val="16"/>
              </w:rPr>
              <w:t>See applicable row(s) above.</w:t>
            </w:r>
          </w:p>
        </w:tc>
        <w:tc>
          <w:tcPr>
            <w:tcW w:w="2694" w:type="dxa"/>
            <w:tcBorders>
              <w:top w:val="single" w:sz="4" w:space="0" w:color="auto"/>
              <w:left w:val="single" w:sz="4" w:space="0" w:color="auto"/>
              <w:bottom w:val="single" w:sz="4" w:space="0" w:color="auto"/>
              <w:right w:val="single" w:sz="4" w:space="0" w:color="auto"/>
            </w:tcBorders>
          </w:tcPr>
          <w:p w14:paraId="3A01D528" w14:textId="77777777" w:rsidR="00B31C44" w:rsidRPr="00473B3F" w:rsidRDefault="00B31C44" w:rsidP="00B31C44">
            <w:pPr>
              <w:pStyle w:val="Body"/>
              <w:spacing w:after="120"/>
              <w:rPr>
                <w:sz w:val="16"/>
                <w:szCs w:val="16"/>
              </w:rPr>
            </w:pPr>
            <w:r>
              <w:rPr>
                <w:sz w:val="16"/>
                <w:szCs w:val="16"/>
              </w:rPr>
              <w:t>See applicable row(s) above.</w:t>
            </w:r>
          </w:p>
        </w:tc>
        <w:tc>
          <w:tcPr>
            <w:tcW w:w="2976" w:type="dxa"/>
            <w:tcBorders>
              <w:top w:val="single" w:sz="4" w:space="0" w:color="auto"/>
              <w:left w:val="single" w:sz="4" w:space="0" w:color="auto"/>
              <w:bottom w:val="single" w:sz="4" w:space="0" w:color="auto"/>
              <w:right w:val="single" w:sz="4" w:space="0" w:color="auto"/>
            </w:tcBorders>
          </w:tcPr>
          <w:p w14:paraId="735B3D6A" w14:textId="77777777" w:rsidR="00B31C44" w:rsidRPr="00473B3F" w:rsidRDefault="00B31C44" w:rsidP="00F20D89">
            <w:pPr>
              <w:pStyle w:val="Level1"/>
              <w:numPr>
                <w:ilvl w:val="0"/>
                <w:numId w:val="0"/>
              </w:numPr>
              <w:spacing w:after="120"/>
              <w:jc w:val="left"/>
              <w:rPr>
                <w:sz w:val="16"/>
                <w:szCs w:val="16"/>
              </w:rPr>
            </w:pPr>
            <w:r>
              <w:rPr>
                <w:sz w:val="16"/>
                <w:szCs w:val="16"/>
              </w:rPr>
              <w:t>See applicable row(s) above.</w:t>
            </w:r>
          </w:p>
        </w:tc>
      </w:tr>
    </w:tbl>
    <w:p w14:paraId="2D8B1190" w14:textId="5AF28189" w:rsidR="007E53F0" w:rsidRPr="003268D8" w:rsidRDefault="002844A9" w:rsidP="00F606E3">
      <w:pPr>
        <w:pStyle w:val="Body"/>
        <w:rPr>
          <w:sz w:val="18"/>
          <w:szCs w:val="18"/>
        </w:rPr>
      </w:pPr>
      <w:r w:rsidRPr="00634BC7">
        <w:rPr>
          <w:sz w:val="18"/>
          <w:szCs w:val="18"/>
        </w:rPr>
        <w:t>*</w:t>
      </w:r>
      <w:r w:rsidR="007E53F0" w:rsidRPr="00634BC7">
        <w:rPr>
          <w:sz w:val="18"/>
          <w:szCs w:val="18"/>
        </w:rPr>
        <w:t xml:space="preserve">Note: In the event that any information </w:t>
      </w:r>
      <w:r w:rsidR="00473B3F" w:rsidRPr="00634BC7">
        <w:rPr>
          <w:sz w:val="18"/>
          <w:szCs w:val="18"/>
        </w:rPr>
        <w:t xml:space="preserve">noted in this table </w:t>
      </w:r>
      <w:r w:rsidR="007E53F0" w:rsidRPr="00634BC7">
        <w:rPr>
          <w:sz w:val="18"/>
          <w:szCs w:val="18"/>
        </w:rPr>
        <w:t xml:space="preserve">enters the public domain, </w:t>
      </w:r>
      <w:r w:rsidR="00634BC7" w:rsidRPr="00634BC7">
        <w:rPr>
          <w:sz w:val="18"/>
          <w:szCs w:val="18"/>
        </w:rPr>
        <w:t xml:space="preserve">it will no longer represent Commercially Sensitive Information </w:t>
      </w:r>
      <w:r w:rsidR="003B341A">
        <w:rPr>
          <w:sz w:val="18"/>
          <w:szCs w:val="18"/>
        </w:rPr>
        <w:t xml:space="preserve">for the purposes of this Contract </w:t>
      </w:r>
      <w:r w:rsidR="00634BC7" w:rsidRPr="00634BC7">
        <w:rPr>
          <w:sz w:val="18"/>
          <w:szCs w:val="18"/>
        </w:rPr>
        <w:t>– accordingly the</w:t>
      </w:r>
      <w:r w:rsidR="007E53F0" w:rsidRPr="00634BC7">
        <w:rPr>
          <w:sz w:val="18"/>
          <w:szCs w:val="18"/>
        </w:rPr>
        <w:t xml:space="preserve"> </w:t>
      </w:r>
      <w:r w:rsidR="008E1B0B">
        <w:rPr>
          <w:sz w:val="18"/>
          <w:szCs w:val="18"/>
        </w:rPr>
        <w:t xml:space="preserve">classification </w:t>
      </w:r>
      <w:r w:rsidR="007E53F0" w:rsidRPr="00634BC7">
        <w:rPr>
          <w:sz w:val="18"/>
          <w:szCs w:val="18"/>
        </w:rPr>
        <w:t xml:space="preserve">period </w:t>
      </w:r>
      <w:r w:rsidR="00634BC7" w:rsidRPr="00634BC7">
        <w:rPr>
          <w:sz w:val="18"/>
          <w:szCs w:val="18"/>
        </w:rPr>
        <w:t>noted above would no longer apply</w:t>
      </w:r>
      <w:r w:rsidR="007E53F0" w:rsidRPr="00634BC7">
        <w:rPr>
          <w:sz w:val="18"/>
          <w:szCs w:val="18"/>
        </w:rPr>
        <w:t xml:space="preserve"> and there </w:t>
      </w:r>
      <w:r w:rsidR="00634BC7" w:rsidRPr="00634BC7">
        <w:rPr>
          <w:sz w:val="18"/>
          <w:szCs w:val="18"/>
        </w:rPr>
        <w:t>would</w:t>
      </w:r>
      <w:r w:rsidR="007E53F0" w:rsidRPr="00634BC7">
        <w:rPr>
          <w:sz w:val="18"/>
          <w:szCs w:val="18"/>
        </w:rPr>
        <w:t xml:space="preserve"> be no restriction o</w:t>
      </w:r>
      <w:r w:rsidR="00634BC7" w:rsidRPr="00634BC7">
        <w:rPr>
          <w:sz w:val="18"/>
          <w:szCs w:val="18"/>
        </w:rPr>
        <w:t>n</w:t>
      </w:r>
      <w:r w:rsidR="007E53F0" w:rsidRPr="00634BC7">
        <w:rPr>
          <w:sz w:val="18"/>
          <w:szCs w:val="18"/>
        </w:rPr>
        <w:t xml:space="preserve"> disclosure</w:t>
      </w:r>
      <w:r w:rsidR="003B341A">
        <w:rPr>
          <w:sz w:val="18"/>
          <w:szCs w:val="18"/>
        </w:rPr>
        <w:t xml:space="preserve"> to other Local Bodies</w:t>
      </w:r>
      <w:r w:rsidR="007E53F0" w:rsidRPr="00634BC7">
        <w:rPr>
          <w:sz w:val="18"/>
          <w:szCs w:val="18"/>
        </w:rPr>
        <w:t>.</w:t>
      </w:r>
    </w:p>
    <w:sectPr w:rsidR="007E53F0" w:rsidRPr="003268D8" w:rsidSect="0097750C">
      <w:pgSz w:w="16840" w:h="11907" w:orient="landscape" w:code="9"/>
      <w:pgMar w:top="1701" w:right="1418" w:bottom="1701" w:left="1418" w:header="709" w:footer="709" w:gutter="0"/>
      <w:paperSrc w:first="261" w:other="26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437AF" w14:textId="77777777" w:rsidR="00676471" w:rsidRDefault="00676471">
      <w:r>
        <w:separator/>
      </w:r>
    </w:p>
  </w:endnote>
  <w:endnote w:type="continuationSeparator" w:id="0">
    <w:p w14:paraId="274933F0" w14:textId="77777777" w:rsidR="00676471" w:rsidRDefault="0067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AF8A4" w14:textId="77777777" w:rsidR="00166F4D" w:rsidRPr="00166F4D" w:rsidRDefault="00166F4D" w:rsidP="00166F4D">
    <w:pPr>
      <w:pStyle w:val="Foo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ECF3D" w14:textId="77777777" w:rsidR="00B579E9" w:rsidRPr="00D010F5" w:rsidRDefault="00196002" w:rsidP="00B579E9">
    <w:pPr>
      <w:pStyle w:val="Footer"/>
      <w:pBdr>
        <w:top w:val="single" w:sz="4" w:space="1" w:color="auto"/>
      </w:pBdr>
      <w:tabs>
        <w:tab w:val="right" w:pos="9000"/>
      </w:tabs>
      <w:ind w:right="29"/>
      <w:jc w:val="left"/>
      <w:rPr>
        <w:iCs/>
        <w:szCs w:val="16"/>
      </w:rPr>
    </w:pPr>
    <w:r>
      <w:rPr>
        <w:iCs/>
        <w:szCs w:val="16"/>
      </w:rPr>
      <w:t>SCHEDULE 3.2</w:t>
    </w:r>
    <w:r w:rsidR="00E30AB6" w:rsidRPr="00D010F5">
      <w:rPr>
        <w:iCs/>
        <w:szCs w:val="16"/>
      </w:rPr>
      <w:t xml:space="preserve"> – </w:t>
    </w:r>
    <w:r w:rsidR="003F55AC">
      <w:rPr>
        <w:iCs/>
        <w:szCs w:val="16"/>
      </w:rPr>
      <w:t>COMMERCIALLY SENSITIVE INFORMATION</w:t>
    </w:r>
  </w:p>
  <w:p w14:paraId="08312311" w14:textId="77777777" w:rsidR="00B579E9" w:rsidRPr="00D010F5" w:rsidRDefault="00B579E9" w:rsidP="00B579E9">
    <w:pPr>
      <w:pStyle w:val="Footer"/>
      <w:jc w:val="center"/>
      <w:rPr>
        <w:rStyle w:val="PageNumber"/>
        <w:szCs w:val="16"/>
      </w:rPr>
    </w:pPr>
    <w:r w:rsidRPr="00D010F5">
      <w:rPr>
        <w:rStyle w:val="PageNumber"/>
        <w:szCs w:val="16"/>
      </w:rPr>
      <w:fldChar w:fldCharType="begin"/>
    </w:r>
    <w:r w:rsidRPr="00D010F5">
      <w:rPr>
        <w:rStyle w:val="PageNumber"/>
        <w:szCs w:val="16"/>
      </w:rPr>
      <w:instrText xml:space="preserve"> PAGE </w:instrText>
    </w:r>
    <w:r w:rsidRPr="00D010F5">
      <w:rPr>
        <w:rStyle w:val="PageNumber"/>
        <w:szCs w:val="16"/>
      </w:rPr>
      <w:fldChar w:fldCharType="separate"/>
    </w:r>
    <w:r w:rsidR="003110AE">
      <w:rPr>
        <w:rStyle w:val="PageNumber"/>
        <w:noProof/>
        <w:szCs w:val="16"/>
      </w:rPr>
      <w:t>1</w:t>
    </w:r>
    <w:r w:rsidRPr="00D010F5">
      <w:rPr>
        <w:rStyle w:val="PageNumber"/>
        <w:szCs w:val="16"/>
      </w:rPr>
      <w:fldChar w:fldCharType="end"/>
    </w:r>
  </w:p>
  <w:p w14:paraId="601AF6BA" w14:textId="77777777" w:rsidR="00B579E9" w:rsidRDefault="00B57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C2459" w14:textId="77777777" w:rsidR="00676471" w:rsidRDefault="00676471">
      <w:r>
        <w:separator/>
      </w:r>
    </w:p>
  </w:footnote>
  <w:footnote w:type="continuationSeparator" w:id="0">
    <w:p w14:paraId="317E41DE" w14:textId="77777777" w:rsidR="00676471" w:rsidRDefault="00676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0B133" w14:textId="72737780" w:rsidR="00BC4680" w:rsidRDefault="00BC4680" w:rsidP="00BC468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FFFFFF1D"/>
    <w:multiLevelType w:val="multilevel"/>
    <w:tmpl w:val="C6CADD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8E85FB8"/>
    <w:multiLevelType w:val="multilevel"/>
    <w:tmpl w:val="DAEC1898"/>
    <w:lvl w:ilvl="0">
      <w:start w:val="1"/>
      <w:numFmt w:val="decimal"/>
      <w:lvlText w:val="%1."/>
      <w:lvlJc w:val="left"/>
      <w:pPr>
        <w:tabs>
          <w:tab w:val="num" w:pos="850"/>
        </w:tabs>
        <w:ind w:left="850"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851"/>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1"/>
        </w:tabs>
        <w:ind w:left="2551"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2"/>
        </w:tabs>
        <w:ind w:left="3402" w:hanging="851"/>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2"/>
        </w:tabs>
        <w:ind w:left="4252"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83366BD"/>
    <w:multiLevelType w:val="hybridMultilevel"/>
    <w:tmpl w:val="4EAEB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3D21ED"/>
    <w:multiLevelType w:val="multilevel"/>
    <w:tmpl w:val="9836F16C"/>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2203B69"/>
    <w:multiLevelType w:val="hybridMultilevel"/>
    <w:tmpl w:val="DE02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7849E1"/>
    <w:multiLevelType w:val="multilevel"/>
    <w:tmpl w:val="00841DA6"/>
    <w:lvl w:ilvl="0">
      <w:start w:val="1"/>
      <w:numFmt w:val="none"/>
      <w:pStyle w:val="MainHeading"/>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CBE3A53"/>
    <w:multiLevelType w:val="multilevel"/>
    <w:tmpl w:val="70FAAD3E"/>
    <w:lvl w:ilvl="0">
      <w:start w:val="1"/>
      <w:numFmt w:val="decimal"/>
      <w:pStyle w:val="Schedule"/>
      <w:suff w:val="nothing"/>
      <w:lvlText w:val="Schedule %1"/>
      <w:lvlJc w:val="left"/>
      <w:pPr>
        <w:tabs>
          <w:tab w:val="num" w:pos="0"/>
        </w:tabs>
        <w:ind w:left="0" w:firstLine="0"/>
      </w:pPr>
      <w:rPr>
        <w:b/>
        <w:i w:val="0"/>
        <w:caps/>
        <w:smallCaps w:val="0"/>
        <w:u w:val="none"/>
      </w:rPr>
    </w:lvl>
    <w:lvl w:ilvl="1">
      <w:start w:val="1"/>
      <w:numFmt w:val="decimal"/>
      <w:lvlRestart w:val="0"/>
      <w:pStyle w:val="Appendix"/>
      <w:suff w:val="nothing"/>
      <w:lvlText w:val="Appendix %2"/>
      <w:lvlJc w:val="left"/>
      <w:pPr>
        <w:tabs>
          <w:tab w:val="num" w:pos="0"/>
        </w:tabs>
        <w:ind w:left="0" w:firstLine="0"/>
      </w:pPr>
      <w:rPr>
        <w:b/>
        <w:i w:val="0"/>
        <w:caps/>
        <w:smallCaps w:val="0"/>
        <w:u w:val="none"/>
      </w:rPr>
    </w:lvl>
    <w:lvl w:ilvl="2">
      <w:start w:val="1"/>
      <w:numFmt w:val="decimal"/>
      <w:pStyle w:val="Part"/>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9" w15:restartNumberingAfterBreak="0">
    <w:nsid w:val="6623215D"/>
    <w:multiLevelType w:val="hybridMultilevel"/>
    <w:tmpl w:val="2B36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225FB2"/>
    <w:multiLevelType w:val="multilevel"/>
    <w:tmpl w:val="EF36929C"/>
    <w:lvl w:ilvl="0">
      <w:start w:val="1"/>
      <w:numFmt w:val="none"/>
      <w:pStyle w:val="SubHeading"/>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7"/>
  </w:num>
  <w:num w:numId="3">
    <w:abstractNumId w:val="10"/>
  </w:num>
  <w:num w:numId="4">
    <w:abstractNumId w:val="3"/>
  </w:num>
  <w:num w:numId="5">
    <w:abstractNumId w:val="5"/>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0"/>
  </w:num>
  <w:num w:numId="14">
    <w:abstractNumId w:val="0"/>
  </w:num>
  <w:num w:numId="15">
    <w:abstractNumId w:val="0"/>
  </w:num>
  <w:num w:numId="16">
    <w:abstractNumId w:val="1"/>
  </w:num>
  <w:num w:numId="17">
    <w:abstractNumId w:val="1"/>
  </w:num>
  <w:num w:numId="18">
    <w:abstractNumId w:val="2"/>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4"/>
  </w:num>
  <w:num w:numId="29">
    <w:abstractNumId w:val="1"/>
  </w:num>
  <w:num w:numId="30">
    <w:abstractNumId w:val="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llet _Body" w:val="Bullet Body "/>
    <w:docVar w:name="Bullet _ChangeTime" w:val="38313.5"/>
    <w:docVar w:name="Bullet _HeadSuf" w:val=" as Heading (text)"/>
    <w:docVar w:name="Bullet _LongName" w:val="Pinsent Masons Bullets"/>
    <w:docVar w:name="Bullet _NumBodies" w:val="0"/>
    <w:docVar w:name="Level _Body" w:val="Body "/>
    <w:docVar w:name="Level _ChangeTime" w:val="38313.5"/>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D9"/>
  </w:docVars>
  <w:rsids>
    <w:rsidRoot w:val="00AF6664"/>
    <w:rsid w:val="00006847"/>
    <w:rsid w:val="00007236"/>
    <w:rsid w:val="00010634"/>
    <w:rsid w:val="00015491"/>
    <w:rsid w:val="00017B6D"/>
    <w:rsid w:val="00037844"/>
    <w:rsid w:val="00040E44"/>
    <w:rsid w:val="0004273F"/>
    <w:rsid w:val="00056E56"/>
    <w:rsid w:val="000619DE"/>
    <w:rsid w:val="00075377"/>
    <w:rsid w:val="0007571A"/>
    <w:rsid w:val="000808D2"/>
    <w:rsid w:val="000853C5"/>
    <w:rsid w:val="000B53F1"/>
    <w:rsid w:val="000B6821"/>
    <w:rsid w:val="000C3653"/>
    <w:rsid w:val="000C58D0"/>
    <w:rsid w:val="000D3D3E"/>
    <w:rsid w:val="000E6C79"/>
    <w:rsid w:val="00106290"/>
    <w:rsid w:val="00106572"/>
    <w:rsid w:val="001254C2"/>
    <w:rsid w:val="0014236F"/>
    <w:rsid w:val="00157426"/>
    <w:rsid w:val="00166F4D"/>
    <w:rsid w:val="00171A7D"/>
    <w:rsid w:val="00173DFB"/>
    <w:rsid w:val="00177C68"/>
    <w:rsid w:val="00183639"/>
    <w:rsid w:val="001872A6"/>
    <w:rsid w:val="00196002"/>
    <w:rsid w:val="001A6ACD"/>
    <w:rsid w:val="001B1725"/>
    <w:rsid w:val="001B6F4D"/>
    <w:rsid w:val="001C67FE"/>
    <w:rsid w:val="001E4766"/>
    <w:rsid w:val="001F3E6E"/>
    <w:rsid w:val="001F76ED"/>
    <w:rsid w:val="002015EA"/>
    <w:rsid w:val="00202F5A"/>
    <w:rsid w:val="00211D1E"/>
    <w:rsid w:val="00226DFF"/>
    <w:rsid w:val="00235609"/>
    <w:rsid w:val="00256839"/>
    <w:rsid w:val="002716DF"/>
    <w:rsid w:val="002729EA"/>
    <w:rsid w:val="00281500"/>
    <w:rsid w:val="0028411C"/>
    <w:rsid w:val="002844A9"/>
    <w:rsid w:val="00285FCA"/>
    <w:rsid w:val="002A23C6"/>
    <w:rsid w:val="002B0C6A"/>
    <w:rsid w:val="002B491C"/>
    <w:rsid w:val="002B7002"/>
    <w:rsid w:val="002C192C"/>
    <w:rsid w:val="002C7B61"/>
    <w:rsid w:val="002D0439"/>
    <w:rsid w:val="002D3B25"/>
    <w:rsid w:val="002D3B82"/>
    <w:rsid w:val="002E3CA8"/>
    <w:rsid w:val="002F3900"/>
    <w:rsid w:val="00301D17"/>
    <w:rsid w:val="00302977"/>
    <w:rsid w:val="003110AE"/>
    <w:rsid w:val="00315D8A"/>
    <w:rsid w:val="00316ABF"/>
    <w:rsid w:val="00325E6C"/>
    <w:rsid w:val="003268D8"/>
    <w:rsid w:val="00357B4C"/>
    <w:rsid w:val="003644EF"/>
    <w:rsid w:val="003739F2"/>
    <w:rsid w:val="00375A85"/>
    <w:rsid w:val="00382243"/>
    <w:rsid w:val="00391BE5"/>
    <w:rsid w:val="003A19CD"/>
    <w:rsid w:val="003A6DDA"/>
    <w:rsid w:val="003B341A"/>
    <w:rsid w:val="003C2A01"/>
    <w:rsid w:val="003D2B6D"/>
    <w:rsid w:val="003D4AB1"/>
    <w:rsid w:val="003D5C1E"/>
    <w:rsid w:val="003D6E62"/>
    <w:rsid w:val="003F55AC"/>
    <w:rsid w:val="003F6FC8"/>
    <w:rsid w:val="00402D93"/>
    <w:rsid w:val="004100D5"/>
    <w:rsid w:val="0041375E"/>
    <w:rsid w:val="0042103D"/>
    <w:rsid w:val="00426527"/>
    <w:rsid w:val="00440D5E"/>
    <w:rsid w:val="00440D92"/>
    <w:rsid w:val="00441FD2"/>
    <w:rsid w:val="004424FB"/>
    <w:rsid w:val="00447E30"/>
    <w:rsid w:val="004576CE"/>
    <w:rsid w:val="00457AF0"/>
    <w:rsid w:val="00473B3F"/>
    <w:rsid w:val="004A04D2"/>
    <w:rsid w:val="004A0939"/>
    <w:rsid w:val="004A1415"/>
    <w:rsid w:val="004A2017"/>
    <w:rsid w:val="004A2D46"/>
    <w:rsid w:val="004A40A0"/>
    <w:rsid w:val="004A7C70"/>
    <w:rsid w:val="004C2004"/>
    <w:rsid w:val="004C5C7E"/>
    <w:rsid w:val="004D08E2"/>
    <w:rsid w:val="004F222C"/>
    <w:rsid w:val="004F486E"/>
    <w:rsid w:val="00501E54"/>
    <w:rsid w:val="005040B7"/>
    <w:rsid w:val="00515247"/>
    <w:rsid w:val="00522DFC"/>
    <w:rsid w:val="005254E7"/>
    <w:rsid w:val="00535169"/>
    <w:rsid w:val="00536A9E"/>
    <w:rsid w:val="00536F92"/>
    <w:rsid w:val="0054649C"/>
    <w:rsid w:val="005474F6"/>
    <w:rsid w:val="0055006A"/>
    <w:rsid w:val="00553D54"/>
    <w:rsid w:val="00554132"/>
    <w:rsid w:val="00564693"/>
    <w:rsid w:val="00565C3C"/>
    <w:rsid w:val="00566434"/>
    <w:rsid w:val="005713A2"/>
    <w:rsid w:val="005A56F2"/>
    <w:rsid w:val="005A6EB2"/>
    <w:rsid w:val="005B3E32"/>
    <w:rsid w:val="005D1C13"/>
    <w:rsid w:val="005E0B9C"/>
    <w:rsid w:val="005E577C"/>
    <w:rsid w:val="00603C56"/>
    <w:rsid w:val="0060616A"/>
    <w:rsid w:val="00606DE1"/>
    <w:rsid w:val="00615536"/>
    <w:rsid w:val="00620D82"/>
    <w:rsid w:val="00622828"/>
    <w:rsid w:val="00624402"/>
    <w:rsid w:val="00634BC7"/>
    <w:rsid w:val="00635C77"/>
    <w:rsid w:val="00664ACC"/>
    <w:rsid w:val="00665F9A"/>
    <w:rsid w:val="00676471"/>
    <w:rsid w:val="00692F51"/>
    <w:rsid w:val="00694122"/>
    <w:rsid w:val="006969BB"/>
    <w:rsid w:val="006A266D"/>
    <w:rsid w:val="006A2BBC"/>
    <w:rsid w:val="006A3469"/>
    <w:rsid w:val="006D7473"/>
    <w:rsid w:val="006F47C1"/>
    <w:rsid w:val="00702716"/>
    <w:rsid w:val="007336BD"/>
    <w:rsid w:val="00736595"/>
    <w:rsid w:val="00740B2E"/>
    <w:rsid w:val="007421CC"/>
    <w:rsid w:val="007445A3"/>
    <w:rsid w:val="00752448"/>
    <w:rsid w:val="00754DE8"/>
    <w:rsid w:val="00763744"/>
    <w:rsid w:val="00764E41"/>
    <w:rsid w:val="00777528"/>
    <w:rsid w:val="007809A9"/>
    <w:rsid w:val="00782D77"/>
    <w:rsid w:val="00785D4A"/>
    <w:rsid w:val="007934BF"/>
    <w:rsid w:val="007B1DA4"/>
    <w:rsid w:val="007C1089"/>
    <w:rsid w:val="007D06AF"/>
    <w:rsid w:val="007D5CAB"/>
    <w:rsid w:val="007E1194"/>
    <w:rsid w:val="007E2821"/>
    <w:rsid w:val="007E53F0"/>
    <w:rsid w:val="007E652D"/>
    <w:rsid w:val="007E6ECB"/>
    <w:rsid w:val="0080327C"/>
    <w:rsid w:val="008074C1"/>
    <w:rsid w:val="00810B1A"/>
    <w:rsid w:val="008118DC"/>
    <w:rsid w:val="008214EF"/>
    <w:rsid w:val="008271C1"/>
    <w:rsid w:val="00834675"/>
    <w:rsid w:val="008412F0"/>
    <w:rsid w:val="008528CA"/>
    <w:rsid w:val="008556E0"/>
    <w:rsid w:val="008642C6"/>
    <w:rsid w:val="00866230"/>
    <w:rsid w:val="00881E0F"/>
    <w:rsid w:val="00887260"/>
    <w:rsid w:val="00893384"/>
    <w:rsid w:val="00895298"/>
    <w:rsid w:val="00897AF6"/>
    <w:rsid w:val="008A0E5D"/>
    <w:rsid w:val="008B0D28"/>
    <w:rsid w:val="008B15D9"/>
    <w:rsid w:val="008B5A8A"/>
    <w:rsid w:val="008B7CC8"/>
    <w:rsid w:val="008C2E98"/>
    <w:rsid w:val="008D0462"/>
    <w:rsid w:val="008D3A91"/>
    <w:rsid w:val="008D5334"/>
    <w:rsid w:val="008E1B0B"/>
    <w:rsid w:val="008E1B9D"/>
    <w:rsid w:val="008F244E"/>
    <w:rsid w:val="00902E97"/>
    <w:rsid w:val="009031ED"/>
    <w:rsid w:val="009033F9"/>
    <w:rsid w:val="0091646A"/>
    <w:rsid w:val="00916FC1"/>
    <w:rsid w:val="0091761E"/>
    <w:rsid w:val="009201B6"/>
    <w:rsid w:val="009208E8"/>
    <w:rsid w:val="00920C45"/>
    <w:rsid w:val="0093078B"/>
    <w:rsid w:val="00930A34"/>
    <w:rsid w:val="00930CAC"/>
    <w:rsid w:val="00942D54"/>
    <w:rsid w:val="00943000"/>
    <w:rsid w:val="00947572"/>
    <w:rsid w:val="00957B9A"/>
    <w:rsid w:val="009647E1"/>
    <w:rsid w:val="00974671"/>
    <w:rsid w:val="0097750C"/>
    <w:rsid w:val="00983A27"/>
    <w:rsid w:val="009843F8"/>
    <w:rsid w:val="009860D2"/>
    <w:rsid w:val="009864A3"/>
    <w:rsid w:val="009B0DF5"/>
    <w:rsid w:val="009B4CE4"/>
    <w:rsid w:val="009B6341"/>
    <w:rsid w:val="009B6F6C"/>
    <w:rsid w:val="009B7320"/>
    <w:rsid w:val="009F4338"/>
    <w:rsid w:val="00A02A2F"/>
    <w:rsid w:val="00A05DCF"/>
    <w:rsid w:val="00A1187F"/>
    <w:rsid w:val="00A12571"/>
    <w:rsid w:val="00A14DB3"/>
    <w:rsid w:val="00A20F63"/>
    <w:rsid w:val="00A35F4F"/>
    <w:rsid w:val="00A4168B"/>
    <w:rsid w:val="00A51E21"/>
    <w:rsid w:val="00A61E57"/>
    <w:rsid w:val="00A66608"/>
    <w:rsid w:val="00A71E59"/>
    <w:rsid w:val="00A74D44"/>
    <w:rsid w:val="00A81FA9"/>
    <w:rsid w:val="00A85653"/>
    <w:rsid w:val="00A90C64"/>
    <w:rsid w:val="00AA011F"/>
    <w:rsid w:val="00AA5FC5"/>
    <w:rsid w:val="00AA6863"/>
    <w:rsid w:val="00AA7967"/>
    <w:rsid w:val="00AB1525"/>
    <w:rsid w:val="00AB2D46"/>
    <w:rsid w:val="00AC5296"/>
    <w:rsid w:val="00AD5392"/>
    <w:rsid w:val="00AE73B8"/>
    <w:rsid w:val="00AF6664"/>
    <w:rsid w:val="00AF7662"/>
    <w:rsid w:val="00B10D03"/>
    <w:rsid w:val="00B2162A"/>
    <w:rsid w:val="00B240A7"/>
    <w:rsid w:val="00B24CD7"/>
    <w:rsid w:val="00B25B34"/>
    <w:rsid w:val="00B31C44"/>
    <w:rsid w:val="00B326AB"/>
    <w:rsid w:val="00B328C8"/>
    <w:rsid w:val="00B36FF6"/>
    <w:rsid w:val="00B37EA3"/>
    <w:rsid w:val="00B42373"/>
    <w:rsid w:val="00B45C4A"/>
    <w:rsid w:val="00B47745"/>
    <w:rsid w:val="00B51A14"/>
    <w:rsid w:val="00B51AB3"/>
    <w:rsid w:val="00B5310B"/>
    <w:rsid w:val="00B53595"/>
    <w:rsid w:val="00B579E9"/>
    <w:rsid w:val="00B57A32"/>
    <w:rsid w:val="00B67430"/>
    <w:rsid w:val="00B821CE"/>
    <w:rsid w:val="00B8437C"/>
    <w:rsid w:val="00B84BAE"/>
    <w:rsid w:val="00B911B2"/>
    <w:rsid w:val="00B94D7E"/>
    <w:rsid w:val="00BA05A7"/>
    <w:rsid w:val="00BA0A30"/>
    <w:rsid w:val="00BA4E8C"/>
    <w:rsid w:val="00BC4680"/>
    <w:rsid w:val="00BC5F75"/>
    <w:rsid w:val="00BF62D6"/>
    <w:rsid w:val="00C01E69"/>
    <w:rsid w:val="00C06A57"/>
    <w:rsid w:val="00C1412B"/>
    <w:rsid w:val="00C26889"/>
    <w:rsid w:val="00C333C8"/>
    <w:rsid w:val="00C36CDD"/>
    <w:rsid w:val="00C4007C"/>
    <w:rsid w:val="00C43164"/>
    <w:rsid w:val="00C4741E"/>
    <w:rsid w:val="00C642C2"/>
    <w:rsid w:val="00C81C76"/>
    <w:rsid w:val="00C830A4"/>
    <w:rsid w:val="00C92393"/>
    <w:rsid w:val="00C93330"/>
    <w:rsid w:val="00CA6AAB"/>
    <w:rsid w:val="00CB0796"/>
    <w:rsid w:val="00CC0144"/>
    <w:rsid w:val="00CE49D3"/>
    <w:rsid w:val="00CF63A4"/>
    <w:rsid w:val="00D010F5"/>
    <w:rsid w:val="00D02379"/>
    <w:rsid w:val="00D05B6F"/>
    <w:rsid w:val="00D15640"/>
    <w:rsid w:val="00D32D61"/>
    <w:rsid w:val="00D42855"/>
    <w:rsid w:val="00D430D9"/>
    <w:rsid w:val="00D61027"/>
    <w:rsid w:val="00D61075"/>
    <w:rsid w:val="00D620BA"/>
    <w:rsid w:val="00D67290"/>
    <w:rsid w:val="00D772F9"/>
    <w:rsid w:val="00D81A98"/>
    <w:rsid w:val="00D83189"/>
    <w:rsid w:val="00D867B7"/>
    <w:rsid w:val="00DA0616"/>
    <w:rsid w:val="00DA1412"/>
    <w:rsid w:val="00DA39A6"/>
    <w:rsid w:val="00DB19DC"/>
    <w:rsid w:val="00DB4D19"/>
    <w:rsid w:val="00DD198A"/>
    <w:rsid w:val="00DD2C85"/>
    <w:rsid w:val="00DD5E99"/>
    <w:rsid w:val="00DD71FC"/>
    <w:rsid w:val="00DE34A5"/>
    <w:rsid w:val="00E00C16"/>
    <w:rsid w:val="00E06D93"/>
    <w:rsid w:val="00E13A70"/>
    <w:rsid w:val="00E20093"/>
    <w:rsid w:val="00E21299"/>
    <w:rsid w:val="00E21F77"/>
    <w:rsid w:val="00E303D2"/>
    <w:rsid w:val="00E30AB6"/>
    <w:rsid w:val="00E336E0"/>
    <w:rsid w:val="00E349C8"/>
    <w:rsid w:val="00E446B9"/>
    <w:rsid w:val="00E45120"/>
    <w:rsid w:val="00E54ABB"/>
    <w:rsid w:val="00E73F39"/>
    <w:rsid w:val="00E75A33"/>
    <w:rsid w:val="00E81661"/>
    <w:rsid w:val="00E851B6"/>
    <w:rsid w:val="00E90343"/>
    <w:rsid w:val="00E9289C"/>
    <w:rsid w:val="00E93F87"/>
    <w:rsid w:val="00E95E63"/>
    <w:rsid w:val="00EA3A39"/>
    <w:rsid w:val="00EA77DD"/>
    <w:rsid w:val="00EB62A9"/>
    <w:rsid w:val="00EB70F0"/>
    <w:rsid w:val="00EC3E0A"/>
    <w:rsid w:val="00EC4920"/>
    <w:rsid w:val="00EC6193"/>
    <w:rsid w:val="00EE5D63"/>
    <w:rsid w:val="00EE6870"/>
    <w:rsid w:val="00EF6046"/>
    <w:rsid w:val="00EF6F55"/>
    <w:rsid w:val="00F050D7"/>
    <w:rsid w:val="00F21C4E"/>
    <w:rsid w:val="00F230DD"/>
    <w:rsid w:val="00F319E2"/>
    <w:rsid w:val="00F5662D"/>
    <w:rsid w:val="00F606E3"/>
    <w:rsid w:val="00F60F7E"/>
    <w:rsid w:val="00F66993"/>
    <w:rsid w:val="00F71A51"/>
    <w:rsid w:val="00F82C22"/>
    <w:rsid w:val="00F84D28"/>
    <w:rsid w:val="00F867CF"/>
    <w:rsid w:val="00F8772C"/>
    <w:rsid w:val="00F92D8C"/>
    <w:rsid w:val="00F93DFB"/>
    <w:rsid w:val="00FA0EED"/>
    <w:rsid w:val="00FA1DA7"/>
    <w:rsid w:val="00FA6F32"/>
    <w:rsid w:val="00FB2762"/>
    <w:rsid w:val="00FC0464"/>
    <w:rsid w:val="00FC1DE6"/>
    <w:rsid w:val="00FD05B4"/>
    <w:rsid w:val="00FD6CE6"/>
    <w:rsid w:val="00FF018B"/>
    <w:rsid w:val="00FF01A8"/>
    <w:rsid w:val="00FF0433"/>
    <w:rsid w:val="00FF3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995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C4920"/>
  </w:style>
  <w:style w:type="paragraph" w:customStyle="1" w:styleId="Body">
    <w:name w:val="Body"/>
    <w:aliases w:val="b"/>
    <w:basedOn w:val="Normal"/>
    <w:link w:val="BodyChar"/>
    <w:pPr>
      <w:spacing w:after="240"/>
    </w:pPr>
  </w:style>
  <w:style w:type="paragraph" w:customStyle="1" w:styleId="Body1">
    <w:name w:val="Body 1"/>
    <w:basedOn w:val="Body"/>
    <w:rsid w:val="00006847"/>
    <w:pPr>
      <w:adjustRightInd w:val="0"/>
      <w:ind w:left="851"/>
    </w:pPr>
    <w:rPr>
      <w:rFonts w:eastAsia="Arial"/>
    </w:rPr>
  </w:style>
  <w:style w:type="paragraph" w:customStyle="1" w:styleId="Body2">
    <w:name w:val="Body 2"/>
    <w:basedOn w:val="Body"/>
    <w:rsid w:val="00006847"/>
    <w:pPr>
      <w:adjustRightInd w:val="0"/>
      <w:ind w:left="851"/>
    </w:pPr>
    <w:rPr>
      <w:rFonts w:eastAsia="Arial"/>
    </w:rPr>
  </w:style>
  <w:style w:type="paragraph" w:customStyle="1" w:styleId="Body3">
    <w:name w:val="Body 3"/>
    <w:basedOn w:val="Body"/>
    <w:rsid w:val="00006847"/>
    <w:pPr>
      <w:adjustRightInd w:val="0"/>
      <w:ind w:left="1702"/>
    </w:pPr>
    <w:rPr>
      <w:rFonts w:eastAsia="Arial"/>
    </w:rPr>
  </w:style>
  <w:style w:type="paragraph" w:customStyle="1" w:styleId="Body4">
    <w:name w:val="Body 4"/>
    <w:basedOn w:val="Body"/>
    <w:rsid w:val="00006847"/>
    <w:pPr>
      <w:adjustRightInd w:val="0"/>
      <w:ind w:left="2553"/>
    </w:pPr>
    <w:rPr>
      <w:rFonts w:eastAsia="Arial"/>
    </w:rPr>
  </w:style>
  <w:style w:type="paragraph" w:customStyle="1" w:styleId="Body5">
    <w:name w:val="Body 5"/>
    <w:basedOn w:val="Body"/>
    <w:rsid w:val="00006847"/>
    <w:pPr>
      <w:adjustRightInd w:val="0"/>
      <w:ind w:left="3404"/>
    </w:pPr>
    <w:rPr>
      <w:rFonts w:eastAsia="Arial"/>
    </w:rPr>
  </w:style>
  <w:style w:type="paragraph" w:customStyle="1" w:styleId="Body6">
    <w:name w:val="Body 6"/>
    <w:basedOn w:val="Body"/>
    <w:rsid w:val="00006847"/>
    <w:pPr>
      <w:adjustRightInd w:val="0"/>
      <w:ind w:left="4255"/>
    </w:pPr>
    <w:rPr>
      <w:rFonts w:eastAsia="Arial"/>
    </w:rPr>
  </w:style>
  <w:style w:type="paragraph" w:customStyle="1" w:styleId="Bullet1">
    <w:name w:val="Bullet 1"/>
    <w:basedOn w:val="Body"/>
    <w:rsid w:val="00006847"/>
    <w:pPr>
      <w:numPr>
        <w:numId w:val="15"/>
      </w:numPr>
      <w:adjustRightInd w:val="0"/>
      <w:outlineLvl w:val="0"/>
    </w:pPr>
    <w:rPr>
      <w:rFonts w:eastAsia="Arial"/>
    </w:rPr>
  </w:style>
  <w:style w:type="paragraph" w:customStyle="1" w:styleId="Bullet2">
    <w:name w:val="Bullet 2"/>
    <w:basedOn w:val="Body"/>
    <w:rsid w:val="00006847"/>
    <w:pPr>
      <w:numPr>
        <w:ilvl w:val="1"/>
        <w:numId w:val="15"/>
      </w:numPr>
      <w:adjustRightInd w:val="0"/>
      <w:outlineLvl w:val="1"/>
    </w:pPr>
    <w:rPr>
      <w:rFonts w:eastAsia="Arial"/>
    </w:rPr>
  </w:style>
  <w:style w:type="paragraph" w:customStyle="1" w:styleId="Bullet3">
    <w:name w:val="Bullet 3"/>
    <w:basedOn w:val="Body"/>
    <w:rsid w:val="00006847"/>
    <w:pPr>
      <w:numPr>
        <w:ilvl w:val="2"/>
        <w:numId w:val="15"/>
      </w:numPr>
      <w:adjustRightInd w:val="0"/>
      <w:outlineLvl w:val="2"/>
    </w:pPr>
    <w:rPr>
      <w:rFonts w:eastAsia="Arial"/>
    </w:rPr>
  </w:style>
  <w:style w:type="paragraph" w:customStyle="1" w:styleId="Bullet4">
    <w:name w:val="Bullet 4"/>
    <w:basedOn w:val="Body"/>
    <w:rsid w:val="00006847"/>
    <w:pPr>
      <w:numPr>
        <w:ilvl w:val="3"/>
        <w:numId w:val="15"/>
      </w:numPr>
      <w:adjustRightInd w:val="0"/>
      <w:outlineLvl w:val="3"/>
    </w:pPr>
    <w:rPr>
      <w:rFonts w:eastAsia="Arial"/>
    </w:rPr>
  </w:style>
  <w:style w:type="paragraph" w:styleId="FootnoteText">
    <w:name w:val="footnote text"/>
    <w:basedOn w:val="Normal"/>
    <w:semiHidden/>
    <w:rPr>
      <w:sz w:val="16"/>
      <w:szCs w:val="16"/>
    </w:rPr>
  </w:style>
  <w:style w:type="paragraph" w:styleId="Header">
    <w:name w:val="header"/>
    <w:basedOn w:val="Normal"/>
    <w:pPr>
      <w:tabs>
        <w:tab w:val="center" w:pos="4320"/>
        <w:tab w:val="right" w:pos="8640"/>
      </w:tabs>
    </w:pPr>
    <w:rPr>
      <w:sz w:val="16"/>
    </w:rPr>
  </w:style>
  <w:style w:type="paragraph" w:customStyle="1" w:styleId="Level2">
    <w:name w:val="Level 2"/>
    <w:basedOn w:val="Body2"/>
    <w:rsid w:val="00006847"/>
    <w:pPr>
      <w:numPr>
        <w:ilvl w:val="1"/>
        <w:numId w:val="11"/>
      </w:numPr>
      <w:outlineLvl w:val="1"/>
    </w:pPr>
  </w:style>
  <w:style w:type="paragraph" w:customStyle="1" w:styleId="Level1">
    <w:name w:val="Level 1"/>
    <w:basedOn w:val="Body1"/>
    <w:rsid w:val="00006847"/>
    <w:pPr>
      <w:numPr>
        <w:numId w:val="11"/>
      </w:numPr>
      <w:outlineLvl w:val="0"/>
    </w:pPr>
  </w:style>
  <w:style w:type="paragraph" w:customStyle="1" w:styleId="Level3">
    <w:name w:val="Level 3"/>
    <w:basedOn w:val="Body3"/>
    <w:rsid w:val="00006847"/>
    <w:pPr>
      <w:numPr>
        <w:ilvl w:val="2"/>
        <w:numId w:val="11"/>
      </w:numPr>
      <w:outlineLvl w:val="2"/>
    </w:pPr>
  </w:style>
  <w:style w:type="paragraph" w:customStyle="1" w:styleId="Level4">
    <w:name w:val="Level 4"/>
    <w:basedOn w:val="Body4"/>
    <w:rsid w:val="00006847"/>
    <w:pPr>
      <w:numPr>
        <w:ilvl w:val="3"/>
        <w:numId w:val="11"/>
      </w:numPr>
      <w:outlineLvl w:val="3"/>
    </w:pPr>
  </w:style>
  <w:style w:type="paragraph" w:customStyle="1" w:styleId="Level5">
    <w:name w:val="Level 5"/>
    <w:basedOn w:val="Body5"/>
    <w:rsid w:val="00006847"/>
    <w:pPr>
      <w:numPr>
        <w:ilvl w:val="4"/>
        <w:numId w:val="11"/>
      </w:numPr>
      <w:outlineLvl w:val="4"/>
    </w:pPr>
  </w:style>
  <w:style w:type="paragraph" w:customStyle="1" w:styleId="Level6">
    <w:name w:val="Level 6"/>
    <w:basedOn w:val="Body6"/>
    <w:rsid w:val="00006847"/>
    <w:pPr>
      <w:numPr>
        <w:ilvl w:val="5"/>
        <w:numId w:val="11"/>
      </w:numPr>
      <w:outlineLvl w:val="5"/>
    </w:pPr>
  </w:style>
  <w:style w:type="character" w:customStyle="1" w:styleId="Level1asHeadingtext">
    <w:name w:val="Level 1 as Heading (text)"/>
    <w:rsid w:val="00006847"/>
    <w:rPr>
      <w:b/>
      <w:bCs/>
      <w:caps/>
    </w:rPr>
  </w:style>
  <w:style w:type="character" w:customStyle="1" w:styleId="Level2asHeadingtext">
    <w:name w:val="Level 2 as Heading (text)"/>
    <w:rsid w:val="00006847"/>
    <w:rPr>
      <w:b/>
      <w:bCs/>
    </w:rPr>
  </w:style>
  <w:style w:type="character" w:customStyle="1" w:styleId="Level3asHeadingtext">
    <w:name w:val="Level 3 as Heading (text)"/>
    <w:rsid w:val="00006847"/>
    <w:rPr>
      <w:b/>
      <w:bCs/>
    </w:rPr>
  </w:style>
  <w:style w:type="paragraph" w:customStyle="1" w:styleId="SubHeading">
    <w:name w:val="Sub Heading"/>
    <w:basedOn w:val="Body"/>
    <w:next w:val="Body"/>
    <w:rsid w:val="00C642C2"/>
    <w:pPr>
      <w:keepNext/>
      <w:keepLines/>
      <w:numPr>
        <w:numId w:val="3"/>
      </w:numPr>
      <w:tabs>
        <w:tab w:val="clear" w:pos="0"/>
      </w:tabs>
      <w:jc w:val="center"/>
    </w:pPr>
    <w:rPr>
      <w:b/>
      <w:caps/>
    </w:rPr>
  </w:style>
  <w:style w:type="paragraph" w:styleId="Footer">
    <w:name w:val="footer"/>
    <w:basedOn w:val="Normal"/>
    <w:link w:val="FooterChar"/>
    <w:pPr>
      <w:tabs>
        <w:tab w:val="center" w:pos="4320"/>
        <w:tab w:val="right" w:pos="8640"/>
      </w:tabs>
    </w:pPr>
    <w:rPr>
      <w:sz w:val="16"/>
    </w:rPr>
  </w:style>
  <w:style w:type="paragraph" w:customStyle="1" w:styleId="MainHeading">
    <w:name w:val="Main Heading"/>
    <w:basedOn w:val="Body"/>
    <w:rsid w:val="00C642C2"/>
    <w:pPr>
      <w:keepNext/>
      <w:keepLines/>
      <w:numPr>
        <w:numId w:val="2"/>
      </w:numPr>
      <w:tabs>
        <w:tab w:val="clear" w:pos="0"/>
      </w:tabs>
      <w:jc w:val="center"/>
      <w:outlineLvl w:val="0"/>
    </w:pPr>
    <w:rPr>
      <w:b/>
      <w:caps/>
      <w:sz w:val="24"/>
    </w:rPr>
  </w:style>
  <w:style w:type="paragraph" w:styleId="CommentText">
    <w:name w:val="annotation text"/>
    <w:basedOn w:val="Normal"/>
    <w:link w:val="CommentTextChar"/>
    <w:semiHidden/>
    <w:rsid w:val="00E45120"/>
  </w:style>
  <w:style w:type="paragraph" w:styleId="EndnoteText">
    <w:name w:val="endnote text"/>
    <w:basedOn w:val="Normal"/>
    <w:semiHidden/>
    <w:rsid w:val="00E45120"/>
  </w:style>
  <w:style w:type="paragraph" w:styleId="Index1">
    <w:name w:val="index 1"/>
    <w:basedOn w:val="Normal"/>
    <w:next w:val="Normal"/>
    <w:semiHidden/>
    <w:rsid w:val="00C642C2"/>
    <w:pPr>
      <w:ind w:left="200" w:hanging="200"/>
    </w:pPr>
  </w:style>
  <w:style w:type="paragraph" w:styleId="Index2">
    <w:name w:val="index 2"/>
    <w:basedOn w:val="Normal"/>
    <w:next w:val="Normal"/>
    <w:semiHidden/>
    <w:rsid w:val="00C642C2"/>
    <w:pPr>
      <w:ind w:left="400" w:hanging="200"/>
    </w:pPr>
  </w:style>
  <w:style w:type="paragraph" w:styleId="Index3">
    <w:name w:val="index 3"/>
    <w:basedOn w:val="Normal"/>
    <w:next w:val="Normal"/>
    <w:semiHidden/>
    <w:rsid w:val="00C642C2"/>
    <w:pPr>
      <w:ind w:left="600" w:hanging="200"/>
    </w:pPr>
  </w:style>
  <w:style w:type="paragraph" w:styleId="Index4">
    <w:name w:val="index 4"/>
    <w:basedOn w:val="Normal"/>
    <w:next w:val="Normal"/>
    <w:semiHidden/>
    <w:rsid w:val="00C642C2"/>
    <w:pPr>
      <w:ind w:left="800" w:hanging="200"/>
    </w:pPr>
  </w:style>
  <w:style w:type="paragraph" w:styleId="Index5">
    <w:name w:val="index 5"/>
    <w:basedOn w:val="Normal"/>
    <w:next w:val="Normal"/>
    <w:semiHidden/>
    <w:rsid w:val="00C642C2"/>
    <w:pPr>
      <w:ind w:left="1000" w:hanging="200"/>
    </w:pPr>
  </w:style>
  <w:style w:type="paragraph" w:styleId="Index6">
    <w:name w:val="index 6"/>
    <w:basedOn w:val="Normal"/>
    <w:next w:val="Normal"/>
    <w:semiHidden/>
    <w:rsid w:val="00C642C2"/>
    <w:pPr>
      <w:ind w:left="1200" w:hanging="200"/>
    </w:pPr>
  </w:style>
  <w:style w:type="paragraph" w:styleId="Index7">
    <w:name w:val="index 7"/>
    <w:basedOn w:val="Normal"/>
    <w:next w:val="Normal"/>
    <w:semiHidden/>
    <w:rsid w:val="00C642C2"/>
    <w:pPr>
      <w:ind w:left="1400" w:hanging="200"/>
    </w:pPr>
  </w:style>
  <w:style w:type="paragraph" w:styleId="Index8">
    <w:name w:val="index 8"/>
    <w:basedOn w:val="Normal"/>
    <w:next w:val="Normal"/>
    <w:semiHidden/>
    <w:rsid w:val="00C642C2"/>
    <w:pPr>
      <w:ind w:left="1600" w:hanging="200"/>
    </w:pPr>
  </w:style>
  <w:style w:type="paragraph" w:styleId="Index9">
    <w:name w:val="index 9"/>
    <w:basedOn w:val="Normal"/>
    <w:next w:val="Normal"/>
    <w:semiHidden/>
    <w:rsid w:val="00C642C2"/>
    <w:pPr>
      <w:ind w:left="1800" w:hanging="200"/>
    </w:pPr>
  </w:style>
  <w:style w:type="paragraph" w:styleId="TOC1">
    <w:name w:val="toc 1"/>
    <w:basedOn w:val="Body"/>
    <w:next w:val="Normal"/>
    <w:uiPriority w:val="39"/>
    <w:rsid w:val="00C642C2"/>
    <w:pPr>
      <w:tabs>
        <w:tab w:val="right" w:pos="8500"/>
      </w:tabs>
      <w:ind w:left="851" w:right="567" w:hanging="851"/>
    </w:pPr>
  </w:style>
  <w:style w:type="paragraph" w:styleId="TOC2">
    <w:name w:val="toc 2"/>
    <w:basedOn w:val="TOC1"/>
    <w:next w:val="Normal"/>
    <w:semiHidden/>
    <w:rsid w:val="00C642C2"/>
    <w:pPr>
      <w:ind w:left="1702"/>
    </w:pPr>
  </w:style>
  <w:style w:type="paragraph" w:styleId="TOC3">
    <w:name w:val="toc 3"/>
    <w:basedOn w:val="TOC1"/>
    <w:next w:val="Normal"/>
    <w:semiHidden/>
    <w:rsid w:val="00C642C2"/>
    <w:pPr>
      <w:ind w:left="2552"/>
    </w:pPr>
  </w:style>
  <w:style w:type="paragraph" w:styleId="TOC4">
    <w:name w:val="toc 4"/>
    <w:basedOn w:val="TOC1"/>
    <w:next w:val="Normal"/>
    <w:semiHidden/>
    <w:rsid w:val="00C642C2"/>
    <w:pPr>
      <w:ind w:left="0" w:firstLine="0"/>
    </w:pPr>
  </w:style>
  <w:style w:type="paragraph" w:styleId="TOC5">
    <w:name w:val="toc 5"/>
    <w:basedOn w:val="TOC1"/>
    <w:next w:val="Normal"/>
    <w:semiHidden/>
    <w:rsid w:val="00C642C2"/>
    <w:pPr>
      <w:ind w:firstLine="0"/>
    </w:pPr>
  </w:style>
  <w:style w:type="paragraph" w:styleId="TOC6">
    <w:name w:val="toc 6"/>
    <w:basedOn w:val="TOC1"/>
    <w:next w:val="Normal"/>
    <w:semiHidden/>
    <w:rsid w:val="00C642C2"/>
    <w:pPr>
      <w:ind w:left="1701" w:firstLine="0"/>
    </w:pPr>
  </w:style>
  <w:style w:type="paragraph" w:styleId="TOC7">
    <w:name w:val="toc 7"/>
    <w:basedOn w:val="Normal"/>
    <w:next w:val="Normal"/>
    <w:semiHidden/>
    <w:rsid w:val="00C642C2"/>
    <w:pPr>
      <w:ind w:left="1200"/>
    </w:pPr>
  </w:style>
  <w:style w:type="paragraph" w:styleId="TOC8">
    <w:name w:val="toc 8"/>
    <w:basedOn w:val="Normal"/>
    <w:next w:val="Normal"/>
    <w:semiHidden/>
    <w:rsid w:val="00C642C2"/>
    <w:pPr>
      <w:ind w:left="1400"/>
    </w:pPr>
  </w:style>
  <w:style w:type="paragraph" w:styleId="TOC9">
    <w:name w:val="toc 9"/>
    <w:basedOn w:val="Normal"/>
    <w:next w:val="Normal"/>
    <w:semiHidden/>
    <w:rsid w:val="00C642C2"/>
    <w:pPr>
      <w:ind w:left="1600"/>
    </w:pPr>
  </w:style>
  <w:style w:type="paragraph" w:customStyle="1" w:styleId="Appendix">
    <w:name w:val="Appendix #"/>
    <w:basedOn w:val="Body"/>
    <w:next w:val="SubHeading"/>
    <w:rsid w:val="00C642C2"/>
    <w:pPr>
      <w:keepNext/>
      <w:keepLines/>
      <w:numPr>
        <w:ilvl w:val="1"/>
        <w:numId w:val="1"/>
      </w:numPr>
      <w:tabs>
        <w:tab w:val="clear" w:pos="0"/>
      </w:tabs>
      <w:jc w:val="center"/>
    </w:pPr>
    <w:rPr>
      <w:b/>
    </w:rPr>
  </w:style>
  <w:style w:type="paragraph" w:customStyle="1" w:styleId="Part">
    <w:name w:val="Part #"/>
    <w:basedOn w:val="Body"/>
    <w:next w:val="SubHeading"/>
    <w:rsid w:val="00C642C2"/>
    <w:pPr>
      <w:keepNext/>
      <w:keepLines/>
      <w:numPr>
        <w:ilvl w:val="2"/>
        <w:numId w:val="1"/>
      </w:numPr>
      <w:tabs>
        <w:tab w:val="clear" w:pos="0"/>
      </w:tabs>
      <w:jc w:val="center"/>
    </w:pPr>
  </w:style>
  <w:style w:type="paragraph" w:customStyle="1" w:styleId="Schedule">
    <w:name w:val="Schedule #"/>
    <w:basedOn w:val="Body"/>
    <w:next w:val="SubHeading"/>
    <w:rsid w:val="00C642C2"/>
    <w:pPr>
      <w:keepNext/>
      <w:keepLines/>
      <w:numPr>
        <w:numId w:val="1"/>
      </w:numPr>
      <w:tabs>
        <w:tab w:val="clear" w:pos="0"/>
      </w:tabs>
      <w:jc w:val="center"/>
    </w:pPr>
    <w:rPr>
      <w:b/>
    </w:rPr>
  </w:style>
  <w:style w:type="character" w:styleId="EndnoteReference">
    <w:name w:val="endnote reference"/>
    <w:semiHidden/>
    <w:rsid w:val="00C642C2"/>
    <w:rPr>
      <w:vertAlign w:val="superscript"/>
    </w:rPr>
  </w:style>
  <w:style w:type="character" w:styleId="FootnoteReference">
    <w:name w:val="footnote reference"/>
    <w:semiHidden/>
    <w:rsid w:val="00C642C2"/>
    <w:rPr>
      <w:vertAlign w:val="superscript"/>
    </w:rPr>
  </w:style>
  <w:style w:type="character" w:customStyle="1" w:styleId="BodyChar">
    <w:name w:val="Body Char"/>
    <w:link w:val="Body"/>
    <w:rsid w:val="00BC4680"/>
    <w:rPr>
      <w:rFonts w:ascii="Arial" w:hAnsi="Arial" w:cs="Arial"/>
    </w:rPr>
  </w:style>
  <w:style w:type="character" w:customStyle="1" w:styleId="FooterChar">
    <w:name w:val="Footer Char"/>
    <w:link w:val="Footer"/>
    <w:rsid w:val="00BC4680"/>
    <w:rPr>
      <w:rFonts w:ascii="Arial" w:hAnsi="Arial" w:cs="Arial"/>
      <w:sz w:val="16"/>
    </w:rPr>
  </w:style>
  <w:style w:type="paragraph" w:styleId="Title">
    <w:name w:val="Title"/>
    <w:basedOn w:val="Normal"/>
    <w:link w:val="TitleChar"/>
    <w:qFormat/>
    <w:rsid w:val="00810B1A"/>
    <w:pPr>
      <w:spacing w:before="240" w:after="240"/>
      <w:jc w:val="center"/>
      <w:outlineLvl w:val="0"/>
    </w:pPr>
    <w:rPr>
      <w:rFonts w:ascii="Times New Roman" w:hAnsi="Times New Roman"/>
      <w:b/>
      <w:bCs/>
      <w:caps/>
      <w:kern w:val="28"/>
      <w:sz w:val="32"/>
      <w:szCs w:val="32"/>
      <w:lang w:val="en-US" w:eastAsia="en-US"/>
    </w:rPr>
  </w:style>
  <w:style w:type="character" w:customStyle="1" w:styleId="TitleChar">
    <w:name w:val="Title Char"/>
    <w:link w:val="Title"/>
    <w:rsid w:val="00810B1A"/>
    <w:rPr>
      <w:rFonts w:cs="Arial"/>
      <w:b/>
      <w:bCs/>
      <w:caps/>
      <w:kern w:val="28"/>
      <w:sz w:val="32"/>
      <w:szCs w:val="32"/>
      <w:lang w:val="en-US" w:eastAsia="en-US"/>
    </w:rPr>
  </w:style>
  <w:style w:type="character" w:styleId="Hyperlink">
    <w:name w:val="Hyperlink"/>
    <w:uiPriority w:val="99"/>
    <w:unhideWhenUsed/>
    <w:rsid w:val="00D010F5"/>
    <w:rPr>
      <w:color w:val="0000FF"/>
      <w:u w:val="single"/>
    </w:rPr>
  </w:style>
  <w:style w:type="paragraph" w:customStyle="1" w:styleId="CharCharCharCharCharCharCharCharCharCharChar">
    <w:name w:val="Char Char Char Char Char Char Char Char Char Char Char"/>
    <w:basedOn w:val="Normal"/>
    <w:rsid w:val="003F55AC"/>
    <w:pPr>
      <w:spacing w:after="160" w:line="240" w:lineRule="exact"/>
      <w:jc w:val="left"/>
    </w:pPr>
    <w:rPr>
      <w:rFonts w:ascii="Verdana" w:hAnsi="Verdana" w:cs="Times New Roman"/>
      <w:lang w:val="en-US" w:eastAsia="en-US"/>
    </w:rPr>
  </w:style>
  <w:style w:type="table" w:styleId="TableGrid">
    <w:name w:val="Table Grid"/>
    <w:basedOn w:val="TableNormal"/>
    <w:rsid w:val="003F55A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4236F"/>
    <w:rPr>
      <w:rFonts w:ascii="Tahoma" w:hAnsi="Tahoma" w:cs="Tahoma"/>
      <w:sz w:val="16"/>
      <w:szCs w:val="16"/>
    </w:rPr>
  </w:style>
  <w:style w:type="character" w:customStyle="1" w:styleId="BalloonTextChar">
    <w:name w:val="Balloon Text Char"/>
    <w:link w:val="BalloonText"/>
    <w:rsid w:val="0014236F"/>
    <w:rPr>
      <w:rFonts w:ascii="Tahoma" w:hAnsi="Tahoma" w:cs="Tahoma"/>
      <w:sz w:val="16"/>
      <w:szCs w:val="16"/>
    </w:rPr>
  </w:style>
  <w:style w:type="character" w:styleId="Emphasis">
    <w:name w:val="Emphasis"/>
    <w:uiPriority w:val="20"/>
    <w:qFormat/>
    <w:rsid w:val="00E349C8"/>
    <w:rPr>
      <w:i/>
      <w:iCs/>
    </w:rPr>
  </w:style>
  <w:style w:type="character" w:styleId="CommentReference">
    <w:name w:val="annotation reference"/>
    <w:basedOn w:val="DefaultParagraphFont"/>
    <w:semiHidden/>
    <w:unhideWhenUsed/>
    <w:rsid w:val="00754DE8"/>
    <w:rPr>
      <w:sz w:val="16"/>
      <w:szCs w:val="16"/>
    </w:rPr>
  </w:style>
  <w:style w:type="paragraph" w:styleId="CommentSubject">
    <w:name w:val="annotation subject"/>
    <w:basedOn w:val="CommentText"/>
    <w:next w:val="CommentText"/>
    <w:link w:val="CommentSubjectChar"/>
    <w:semiHidden/>
    <w:unhideWhenUsed/>
    <w:rsid w:val="00754DE8"/>
    <w:rPr>
      <w:b/>
      <w:bCs/>
    </w:rPr>
  </w:style>
  <w:style w:type="character" w:customStyle="1" w:styleId="CommentTextChar">
    <w:name w:val="Comment Text Char"/>
    <w:basedOn w:val="DefaultParagraphFont"/>
    <w:link w:val="CommentText"/>
    <w:semiHidden/>
    <w:rsid w:val="00754DE8"/>
    <w:rPr>
      <w:rFonts w:ascii="Arial" w:hAnsi="Arial" w:cs="Arial"/>
    </w:rPr>
  </w:style>
  <w:style w:type="character" w:customStyle="1" w:styleId="CommentSubjectChar">
    <w:name w:val="Comment Subject Char"/>
    <w:basedOn w:val="CommentTextChar"/>
    <w:link w:val="CommentSubject"/>
    <w:semiHidden/>
    <w:rsid w:val="00754DE8"/>
    <w:rPr>
      <w:rFonts w:ascii="Arial" w:hAnsi="Arial" w:cs="Arial"/>
      <w:b/>
      <w:bCs/>
    </w:rPr>
  </w:style>
  <w:style w:type="paragraph" w:styleId="NormalWeb">
    <w:name w:val="Normal (Web)"/>
    <w:basedOn w:val="Normal"/>
    <w:uiPriority w:val="99"/>
    <w:semiHidden/>
    <w:unhideWhenUsed/>
    <w:rsid w:val="00457AF0"/>
    <w:pPr>
      <w:spacing w:before="100" w:beforeAutospacing="1" w:after="100" w:afterAutospacing="1"/>
      <w:jc w:val="left"/>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563472">
      <w:bodyDiv w:val="1"/>
      <w:marLeft w:val="0"/>
      <w:marRight w:val="0"/>
      <w:marTop w:val="0"/>
      <w:marBottom w:val="0"/>
      <w:divBdr>
        <w:top w:val="none" w:sz="0" w:space="0" w:color="auto"/>
        <w:left w:val="none" w:sz="0" w:space="0" w:color="auto"/>
        <w:bottom w:val="none" w:sz="0" w:space="0" w:color="auto"/>
        <w:right w:val="none" w:sz="0" w:space="0" w:color="auto"/>
      </w:divBdr>
    </w:div>
    <w:div w:id="898325569">
      <w:bodyDiv w:val="1"/>
      <w:marLeft w:val="0"/>
      <w:marRight w:val="0"/>
      <w:marTop w:val="0"/>
      <w:marBottom w:val="0"/>
      <w:divBdr>
        <w:top w:val="none" w:sz="0" w:space="0" w:color="auto"/>
        <w:left w:val="none" w:sz="0" w:space="0" w:color="auto"/>
        <w:bottom w:val="none" w:sz="0" w:space="0" w:color="auto"/>
        <w:right w:val="none" w:sz="0" w:space="0" w:color="auto"/>
      </w:divBdr>
      <w:divsChild>
        <w:div w:id="1413040992">
          <w:marLeft w:val="0"/>
          <w:marRight w:val="0"/>
          <w:marTop w:val="0"/>
          <w:marBottom w:val="0"/>
          <w:divBdr>
            <w:top w:val="none" w:sz="0" w:space="0" w:color="auto"/>
            <w:left w:val="none" w:sz="0" w:space="0" w:color="auto"/>
            <w:bottom w:val="none" w:sz="0" w:space="0" w:color="auto"/>
            <w:right w:val="none" w:sz="0" w:space="0" w:color="auto"/>
          </w:divBdr>
        </w:div>
        <w:div w:id="963925944">
          <w:marLeft w:val="0"/>
          <w:marRight w:val="0"/>
          <w:marTop w:val="0"/>
          <w:marBottom w:val="0"/>
          <w:divBdr>
            <w:top w:val="none" w:sz="0" w:space="0" w:color="auto"/>
            <w:left w:val="none" w:sz="0" w:space="0" w:color="auto"/>
            <w:bottom w:val="none" w:sz="0" w:space="0" w:color="auto"/>
            <w:right w:val="none" w:sz="0" w:space="0" w:color="auto"/>
          </w:divBdr>
        </w:div>
        <w:div w:id="1598975669">
          <w:marLeft w:val="0"/>
          <w:marRight w:val="0"/>
          <w:marTop w:val="0"/>
          <w:marBottom w:val="0"/>
          <w:divBdr>
            <w:top w:val="none" w:sz="0" w:space="0" w:color="auto"/>
            <w:left w:val="none" w:sz="0" w:space="0" w:color="auto"/>
            <w:bottom w:val="none" w:sz="0" w:space="0" w:color="auto"/>
            <w:right w:val="none" w:sz="0" w:space="0" w:color="auto"/>
          </w:divBdr>
        </w:div>
      </w:divsChild>
    </w:div>
    <w:div w:id="129972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E876F0EB1B224B84B23895F5BF98C5" ma:contentTypeVersion="0" ma:contentTypeDescription="Create a new document." ma:contentTypeScope="" ma:versionID="80e9741bd243fa434dd04068bfc2508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68A91-E497-47A3-9D6A-16E51C58E1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02630C-DC1E-47FC-A86F-CAA690A0134E}">
  <ds:schemaRefs>
    <ds:schemaRef ds:uri="http://schemas.microsoft.com/sharepoint/v3/contenttype/forms"/>
  </ds:schemaRefs>
</ds:datastoreItem>
</file>

<file path=customXml/itemProps3.xml><?xml version="1.0" encoding="utf-8"?>
<ds:datastoreItem xmlns:ds="http://schemas.openxmlformats.org/officeDocument/2006/customXml" ds:itemID="{F5CDCE5C-2F33-43B0-A7A7-22DD15E96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B7BBDD3-E699-4864-9538-A9D6023D2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A4 Document.dot</Template>
  <TotalTime>0</TotalTime>
  <Pages>7</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8962</CharactersWithSpaces>
  <SharedDoc>false</SharedDoc>
  <HLinks>
    <vt:vector size="12" baseType="variant">
      <vt:variant>
        <vt:i4>1376310</vt:i4>
      </vt:variant>
      <vt:variant>
        <vt:i4>5</vt:i4>
      </vt:variant>
      <vt:variant>
        <vt:i4>0</vt:i4>
      </vt:variant>
      <vt:variant>
        <vt:i4>5</vt:i4>
      </vt:variant>
      <vt:variant>
        <vt:lpwstr/>
      </vt:variant>
      <vt:variant>
        <vt:lpwstr>_Toc303521463</vt:lpwstr>
      </vt:variant>
      <vt:variant>
        <vt:i4>1376310</vt:i4>
      </vt:variant>
      <vt:variant>
        <vt:i4>2</vt:i4>
      </vt:variant>
      <vt:variant>
        <vt:i4>0</vt:i4>
      </vt:variant>
      <vt:variant>
        <vt:i4>5</vt:i4>
      </vt:variant>
      <vt:variant>
        <vt:lpwstr/>
      </vt:variant>
      <vt:variant>
        <vt:lpwstr>_Toc303521462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2016-09-22T20:35:00Z</dcterms:created>
  <dcterms:modified xsi:type="dcterms:W3CDTF">2016-11-16T22:20:00Z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74408648.5\mwh</vt:lpwstr>
  </property>
  <property fmtid="{D5CDD505-2E9C-101B-9397-08002B2CF9AE}" pid="3" name="DocClass">
    <vt:lpwstr/>
  </property>
  <property fmtid="{D5CDD505-2E9C-101B-9397-08002B2CF9AE}" pid="4" name="ActionID">
    <vt:lpwstr>Blank</vt:lpwstr>
  </property>
  <property fmtid="{D5CDD505-2E9C-101B-9397-08002B2CF9AE}" pid="5" name="PrintMode">
    <vt:lpwstr>White</vt:lpwstr>
  </property>
  <property fmtid="{D5CDD505-2E9C-101B-9397-08002B2CF9AE}" pid="6" name="WSFooter">
    <vt:lpwstr>12858448v1</vt:lpwstr>
  </property>
</Properties>
</file>