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1A" w:rsidRDefault="00810B1A" w:rsidP="00810B1A">
      <w:pPr>
        <w:tabs>
          <w:tab w:val="center" w:pos="4820"/>
          <w:tab w:val="right" w:pos="9638"/>
        </w:tabs>
        <w:spacing w:after="240"/>
        <w:jc w:val="center"/>
        <w:rPr>
          <w:b/>
        </w:rPr>
      </w:pPr>
      <w:bookmarkStart w:id="0" w:name="TimeReverse"/>
    </w:p>
    <w:p w:rsidR="00810B1A" w:rsidRPr="0037622A" w:rsidRDefault="00810B1A" w:rsidP="00810B1A">
      <w:pPr>
        <w:tabs>
          <w:tab w:val="center" w:pos="4820"/>
          <w:tab w:val="right" w:pos="9638"/>
        </w:tabs>
        <w:spacing w:after="240"/>
        <w:jc w:val="center"/>
        <w:rPr>
          <w:b/>
        </w:rPr>
      </w:pPr>
    </w:p>
    <w:p w:rsidR="00810B1A" w:rsidRPr="000D7CA6" w:rsidRDefault="00810B1A" w:rsidP="00810B1A">
      <w:pPr>
        <w:pStyle w:val="Body"/>
      </w:pPr>
    </w:p>
    <w:p w:rsidR="00810B1A" w:rsidRPr="006D6DB0" w:rsidRDefault="002341BE" w:rsidP="00810B1A">
      <w:pPr>
        <w:pStyle w:val="Title"/>
        <w:rPr>
          <w:rFonts w:ascii="Arial" w:hAnsi="Arial"/>
          <w:sz w:val="22"/>
          <w:szCs w:val="22"/>
          <w:lang w:val="en-GB"/>
        </w:rPr>
      </w:pPr>
      <w:r>
        <w:rPr>
          <w:rFonts w:ascii="Arial" w:hAnsi="Arial"/>
          <w:sz w:val="22"/>
          <w:szCs w:val="22"/>
          <w:lang w:val="en-GB"/>
        </w:rPr>
        <w:t>SCHEDULE 4.3</w:t>
      </w:r>
    </w:p>
    <w:p w:rsidR="00810B1A" w:rsidRDefault="002341BE" w:rsidP="00810B1A">
      <w:pPr>
        <w:pStyle w:val="Title"/>
        <w:rPr>
          <w:rFonts w:ascii="Arial" w:hAnsi="Arial"/>
          <w:sz w:val="22"/>
          <w:szCs w:val="22"/>
          <w:lang w:val="en-GB"/>
        </w:rPr>
      </w:pPr>
      <w:r>
        <w:rPr>
          <w:rFonts w:ascii="Arial" w:hAnsi="Arial"/>
          <w:sz w:val="22"/>
          <w:szCs w:val="22"/>
          <w:lang w:val="en-GB"/>
        </w:rPr>
        <w:t>RELIEF EVENTS</w:t>
      </w:r>
    </w:p>
    <w:p w:rsidR="001F3E6E" w:rsidRDefault="001F3E6E" w:rsidP="00810B1A">
      <w:pPr>
        <w:pStyle w:val="Body"/>
        <w:jc w:val="center"/>
      </w:pPr>
    </w:p>
    <w:p w:rsidR="00BC4680" w:rsidRDefault="00BC4680" w:rsidP="00006847">
      <w:pPr>
        <w:pStyle w:val="Body"/>
      </w:pPr>
    </w:p>
    <w:p w:rsidR="00AF6664" w:rsidRDefault="00AF6664" w:rsidP="00BC4680">
      <w:pPr>
        <w:pStyle w:val="Body"/>
      </w:pPr>
    </w:p>
    <w:p w:rsidR="00CC60A2" w:rsidRPr="007C72DC" w:rsidRDefault="00810B1A" w:rsidP="00CC60A2">
      <w:pPr>
        <w:jc w:val="center"/>
      </w:pPr>
      <w:r>
        <w:br w:type="page"/>
      </w:r>
      <w:r w:rsidR="00CC60A2" w:rsidRPr="0034624F">
        <w:rPr>
          <w:b/>
        </w:rPr>
        <w:lastRenderedPageBreak/>
        <w:t>VERSION CONTROL</w:t>
      </w:r>
    </w:p>
    <w:p w:rsidR="00CC60A2" w:rsidRPr="0034624F" w:rsidRDefault="00CC60A2" w:rsidP="00CC60A2">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CC60A2" w:rsidRPr="0034624F" w:rsidTr="00041FAC">
        <w:tc>
          <w:tcPr>
            <w:tcW w:w="2410" w:type="dxa"/>
          </w:tcPr>
          <w:p w:rsidR="00CC60A2" w:rsidRPr="0034624F" w:rsidRDefault="00CC60A2" w:rsidP="00041FAC">
            <w:pPr>
              <w:tabs>
                <w:tab w:val="left" w:pos="737"/>
              </w:tabs>
              <w:jc w:val="center"/>
              <w:rPr>
                <w:b/>
              </w:rPr>
            </w:pPr>
            <w:r w:rsidRPr="0034624F">
              <w:rPr>
                <w:b/>
              </w:rPr>
              <w:t>VERSION NUMBER</w:t>
            </w:r>
          </w:p>
        </w:tc>
        <w:tc>
          <w:tcPr>
            <w:tcW w:w="2410" w:type="dxa"/>
          </w:tcPr>
          <w:p w:rsidR="00CC60A2" w:rsidRPr="0034624F" w:rsidRDefault="00CC60A2" w:rsidP="00041FAC">
            <w:pPr>
              <w:tabs>
                <w:tab w:val="left" w:pos="737"/>
              </w:tabs>
              <w:jc w:val="center"/>
              <w:rPr>
                <w:b/>
              </w:rPr>
            </w:pPr>
            <w:r w:rsidRPr="0034624F">
              <w:rPr>
                <w:b/>
              </w:rPr>
              <w:t>DATE</w:t>
            </w:r>
          </w:p>
          <w:p w:rsidR="00CC60A2" w:rsidRPr="0034624F" w:rsidRDefault="00CC60A2" w:rsidP="00041FAC">
            <w:pPr>
              <w:tabs>
                <w:tab w:val="left" w:pos="737"/>
              </w:tabs>
              <w:jc w:val="center"/>
              <w:rPr>
                <w:b/>
              </w:rPr>
            </w:pPr>
          </w:p>
        </w:tc>
        <w:tc>
          <w:tcPr>
            <w:tcW w:w="3680" w:type="dxa"/>
          </w:tcPr>
          <w:p w:rsidR="00CC60A2" w:rsidRPr="0034624F" w:rsidRDefault="00CC60A2" w:rsidP="00041FAC">
            <w:pPr>
              <w:tabs>
                <w:tab w:val="left" w:pos="737"/>
              </w:tabs>
              <w:jc w:val="center"/>
              <w:rPr>
                <w:b/>
              </w:rPr>
            </w:pPr>
            <w:r w:rsidRPr="0034624F">
              <w:rPr>
                <w:b/>
              </w:rPr>
              <w:t>COMMENT</w:t>
            </w:r>
          </w:p>
        </w:tc>
      </w:tr>
      <w:tr w:rsidR="00CC60A2" w:rsidRPr="006A4524" w:rsidTr="00041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CC60A2" w:rsidRPr="006A4524" w:rsidRDefault="00CC60A2" w:rsidP="00041FAC">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Pr>
          <w:p w:rsidR="00B86881" w:rsidRPr="002C4FA2" w:rsidRDefault="00212941" w:rsidP="00B86881">
            <w:pPr>
              <w:tabs>
                <w:tab w:val="left" w:pos="737"/>
              </w:tabs>
              <w:ind w:firstLine="122"/>
            </w:pPr>
            <w:r>
              <w:t>27</w:t>
            </w:r>
            <w:r w:rsidR="00B86881" w:rsidRPr="002C4FA2">
              <w:t xml:space="preserve"> July 2016</w:t>
            </w:r>
          </w:p>
          <w:p w:rsidR="00CC60A2" w:rsidRPr="006A4524" w:rsidRDefault="00CC60A2" w:rsidP="00041FAC">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rsidR="00CC60A2" w:rsidRPr="006A4524" w:rsidRDefault="00CC60A2" w:rsidP="00041FAC">
            <w:pPr>
              <w:tabs>
                <w:tab w:val="left" w:pos="737"/>
              </w:tabs>
              <w:ind w:left="136" w:hanging="20"/>
            </w:pPr>
            <w:r>
              <w:t xml:space="preserve">Preliminary </w:t>
            </w:r>
            <w:r w:rsidR="00212941">
              <w:t xml:space="preserve">draft </w:t>
            </w:r>
            <w:r>
              <w:t>template version made available for general comment</w:t>
            </w:r>
          </w:p>
        </w:tc>
      </w:tr>
      <w:tr w:rsidR="00E77A57" w:rsidRPr="006A4524"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E77A57" w:rsidRDefault="00E77A57" w:rsidP="009C5F85">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rsidR="00E77A57" w:rsidRDefault="00A23E9E" w:rsidP="009C5F85">
            <w:pPr>
              <w:tabs>
                <w:tab w:val="left" w:pos="737"/>
              </w:tabs>
              <w:ind w:firstLine="122"/>
            </w:pPr>
            <w:r w:rsidRPr="00A23E9E">
              <w:t>2 September 2016</w:t>
            </w:r>
          </w:p>
        </w:tc>
        <w:tc>
          <w:tcPr>
            <w:tcW w:w="3680" w:type="dxa"/>
            <w:tcBorders>
              <w:top w:val="single" w:sz="4" w:space="0" w:color="auto"/>
              <w:left w:val="single" w:sz="4" w:space="0" w:color="auto"/>
              <w:bottom w:val="single" w:sz="4" w:space="0" w:color="auto"/>
              <w:right w:val="single" w:sz="4" w:space="0" w:color="auto"/>
            </w:tcBorders>
          </w:tcPr>
          <w:p w:rsidR="00E77A57" w:rsidRDefault="00E77A57" w:rsidP="009C5F85">
            <w:pPr>
              <w:tabs>
                <w:tab w:val="left" w:pos="737"/>
              </w:tabs>
              <w:ind w:left="136" w:hanging="20"/>
            </w:pPr>
            <w:r>
              <w:t>Uplifted draft, following feedback, made available for final comment</w:t>
            </w:r>
          </w:p>
        </w:tc>
      </w:tr>
      <w:tr w:rsidR="005C37D6" w:rsidTr="005C3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5C37D6" w:rsidRPr="005C37D6" w:rsidRDefault="005C37D6">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rsidR="005C37D6" w:rsidRPr="005C37D6" w:rsidRDefault="009A155A" w:rsidP="00A74759">
            <w:pPr>
              <w:tabs>
                <w:tab w:val="left" w:pos="737"/>
              </w:tabs>
              <w:ind w:left="142" w:hanging="20"/>
            </w:pPr>
            <w:r>
              <w:t xml:space="preserve">25 </w:t>
            </w:r>
            <w:r w:rsidR="005C37D6">
              <w:t>October 2016</w:t>
            </w:r>
            <w:r w:rsidR="009F6E4F">
              <w:t xml:space="preserve"> plus 11 November 2016 minor edits</w:t>
            </w:r>
          </w:p>
        </w:tc>
        <w:tc>
          <w:tcPr>
            <w:tcW w:w="3680" w:type="dxa"/>
            <w:tcBorders>
              <w:top w:val="single" w:sz="4" w:space="0" w:color="auto"/>
              <w:left w:val="single" w:sz="4" w:space="0" w:color="auto"/>
              <w:bottom w:val="single" w:sz="4" w:space="0" w:color="auto"/>
              <w:right w:val="single" w:sz="4" w:space="0" w:color="auto"/>
            </w:tcBorders>
          </w:tcPr>
          <w:p w:rsidR="005C37D6" w:rsidRPr="005C37D6" w:rsidRDefault="005C37D6">
            <w:pPr>
              <w:tabs>
                <w:tab w:val="left" w:pos="737"/>
              </w:tabs>
              <w:ind w:left="136" w:hanging="20"/>
            </w:pPr>
            <w:r>
              <w:t xml:space="preserve">Uplifted following local body and supplier feedback </w:t>
            </w:r>
          </w:p>
        </w:tc>
      </w:tr>
      <w:tr w:rsidR="0072779B" w:rsidTr="005C3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72779B" w:rsidRDefault="0072779B">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rsidR="0072779B" w:rsidRDefault="0072779B" w:rsidP="00A74759">
            <w:pPr>
              <w:tabs>
                <w:tab w:val="left" w:pos="737"/>
              </w:tabs>
              <w:ind w:left="142" w:hanging="20"/>
            </w:pPr>
            <w:r>
              <w:t>16 November 2016</w:t>
            </w:r>
          </w:p>
        </w:tc>
        <w:tc>
          <w:tcPr>
            <w:tcW w:w="3680" w:type="dxa"/>
            <w:tcBorders>
              <w:top w:val="single" w:sz="4" w:space="0" w:color="auto"/>
              <w:left w:val="single" w:sz="4" w:space="0" w:color="auto"/>
              <w:bottom w:val="single" w:sz="4" w:space="0" w:color="auto"/>
              <w:right w:val="single" w:sz="4" w:space="0" w:color="auto"/>
            </w:tcBorders>
          </w:tcPr>
          <w:p w:rsidR="0072779B" w:rsidRDefault="0072779B">
            <w:pPr>
              <w:tabs>
                <w:tab w:val="left" w:pos="737"/>
              </w:tabs>
              <w:ind w:left="136" w:hanging="20"/>
            </w:pPr>
            <w:r>
              <w:t>Baselined Version 1.0</w:t>
            </w:r>
          </w:p>
          <w:p w:rsidR="0072779B" w:rsidRDefault="0072779B">
            <w:pPr>
              <w:tabs>
                <w:tab w:val="left" w:pos="737"/>
              </w:tabs>
              <w:ind w:left="136" w:hanging="20"/>
            </w:pPr>
          </w:p>
        </w:tc>
      </w:tr>
    </w:tbl>
    <w:p w:rsidR="00CC60A2" w:rsidRDefault="00CC60A2" w:rsidP="00CC60A2">
      <w:pPr>
        <w:jc w:val="left"/>
      </w:pPr>
    </w:p>
    <w:p w:rsidR="00CC60A2" w:rsidRDefault="00CC60A2" w:rsidP="00CC60A2">
      <w:pPr>
        <w:jc w:val="left"/>
        <w:rPr>
          <w:b/>
        </w:rPr>
      </w:pPr>
    </w:p>
    <w:p w:rsidR="00CC60A2" w:rsidRDefault="00CC60A2">
      <w:pPr>
        <w:jc w:val="left"/>
      </w:pPr>
    </w:p>
    <w:p w:rsidR="00CC60A2" w:rsidRDefault="00CC60A2">
      <w:pPr>
        <w:jc w:val="left"/>
        <w:rPr>
          <w:b/>
        </w:rPr>
      </w:pPr>
      <w:r>
        <w:rPr>
          <w:b/>
        </w:rPr>
        <w:br w:type="page"/>
      </w:r>
      <w:bookmarkStart w:id="1" w:name="_GoBack"/>
      <w:bookmarkEnd w:id="1"/>
    </w:p>
    <w:p w:rsidR="00166F4D" w:rsidRDefault="00AF6664" w:rsidP="00AF6664">
      <w:pPr>
        <w:pStyle w:val="Body"/>
        <w:jc w:val="center"/>
      </w:pPr>
      <w:r w:rsidRPr="00AF6664">
        <w:rPr>
          <w:b/>
        </w:rPr>
        <w:lastRenderedPageBreak/>
        <w:t>CONTENTS</w:t>
      </w:r>
    </w:p>
    <w:p w:rsidR="002027A1" w:rsidRDefault="0039578B" w:rsidP="002027A1">
      <w:pPr>
        <w:pStyle w:val="TOC1"/>
        <w:tabs>
          <w:tab w:val="clear" w:pos="8500"/>
        </w:tabs>
        <w:ind w:left="0" w:firstLine="0"/>
        <w:rPr>
          <w:noProof/>
        </w:rPr>
      </w:pPr>
      <w:bookmarkStart w:id="2" w:name="WDXFirstTOC"/>
      <w:bookmarkEnd w:id="2"/>
      <w:r>
        <w:rPr>
          <w:color w:val="000000"/>
          <w:sz w:val="19"/>
          <w:szCs w:val="19"/>
        </w:rPr>
        <w:br/>
      </w:r>
      <w:r w:rsidR="00E8496D">
        <w:rPr>
          <w:color w:val="000000"/>
          <w:sz w:val="19"/>
          <w:szCs w:val="19"/>
        </w:rPr>
        <w:fldChar w:fldCharType="begin"/>
      </w:r>
      <w:r w:rsidR="00E8496D">
        <w:rPr>
          <w:color w:val="000000"/>
          <w:sz w:val="19"/>
          <w:szCs w:val="19"/>
        </w:rPr>
        <w:instrText xml:space="preserve"> TOC \f </w:instrText>
      </w:r>
      <w:r w:rsidR="00E8496D">
        <w:rPr>
          <w:color w:val="000000"/>
          <w:sz w:val="19"/>
          <w:szCs w:val="19"/>
        </w:rPr>
        <w:fldChar w:fldCharType="separate"/>
      </w:r>
    </w:p>
    <w:p w:rsidR="002027A1" w:rsidRDefault="002027A1">
      <w:pPr>
        <w:pStyle w:val="TOC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_Toc467008466 \h </w:instrText>
      </w:r>
      <w:r>
        <w:rPr>
          <w:noProof/>
        </w:rPr>
      </w:r>
      <w:r>
        <w:rPr>
          <w:noProof/>
        </w:rPr>
        <w:fldChar w:fldCharType="separate"/>
      </w:r>
      <w:r>
        <w:rPr>
          <w:noProof/>
        </w:rPr>
        <w:t>1</w:t>
      </w:r>
      <w:r>
        <w:rPr>
          <w:noProof/>
        </w:rPr>
        <w:fldChar w:fldCharType="end"/>
      </w:r>
    </w:p>
    <w:p w:rsidR="002027A1" w:rsidRDefault="002027A1">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RELIEF EVENTS</w:t>
      </w:r>
      <w:r>
        <w:rPr>
          <w:noProof/>
        </w:rPr>
        <w:tab/>
      </w:r>
      <w:r>
        <w:rPr>
          <w:noProof/>
        </w:rPr>
        <w:fldChar w:fldCharType="begin"/>
      </w:r>
      <w:r>
        <w:rPr>
          <w:noProof/>
        </w:rPr>
        <w:instrText xml:space="preserve"> PAGEREF _Toc467008467 \h </w:instrText>
      </w:r>
      <w:r>
        <w:rPr>
          <w:noProof/>
        </w:rPr>
      </w:r>
      <w:r>
        <w:rPr>
          <w:noProof/>
        </w:rPr>
        <w:fldChar w:fldCharType="separate"/>
      </w:r>
      <w:r>
        <w:rPr>
          <w:noProof/>
        </w:rPr>
        <w:t>1</w:t>
      </w:r>
      <w:r>
        <w:rPr>
          <w:noProof/>
        </w:rPr>
        <w:fldChar w:fldCharType="end"/>
      </w:r>
    </w:p>
    <w:p w:rsidR="002027A1" w:rsidRDefault="002027A1">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QUALIFYING PERIOD</w:t>
      </w:r>
      <w:r>
        <w:rPr>
          <w:noProof/>
        </w:rPr>
        <w:tab/>
      </w:r>
      <w:r>
        <w:rPr>
          <w:noProof/>
        </w:rPr>
        <w:fldChar w:fldCharType="begin"/>
      </w:r>
      <w:r>
        <w:rPr>
          <w:noProof/>
        </w:rPr>
        <w:instrText xml:space="preserve"> PAGEREF _Toc467008468 \h </w:instrText>
      </w:r>
      <w:r>
        <w:rPr>
          <w:noProof/>
        </w:rPr>
      </w:r>
      <w:r>
        <w:rPr>
          <w:noProof/>
        </w:rPr>
        <w:fldChar w:fldCharType="separate"/>
      </w:r>
      <w:r>
        <w:rPr>
          <w:noProof/>
        </w:rPr>
        <w:t>1</w:t>
      </w:r>
      <w:r>
        <w:rPr>
          <w:noProof/>
        </w:rPr>
        <w:fldChar w:fldCharType="end"/>
      </w:r>
    </w:p>
    <w:p w:rsidR="002027A1" w:rsidRDefault="002027A1">
      <w:pPr>
        <w:pStyle w:val="TOC1"/>
        <w:rPr>
          <w:rFonts w:asciiTheme="minorHAnsi" w:eastAsiaTheme="minorEastAsia" w:hAnsiTheme="minorHAnsi" w:cstheme="minorBidi"/>
          <w:noProof/>
          <w:sz w:val="22"/>
          <w:szCs w:val="22"/>
        </w:rPr>
      </w:pPr>
      <w:r>
        <w:rPr>
          <w:noProof/>
        </w:rPr>
        <w:t>APPENDIX – RELIEF EVENTS</w:t>
      </w:r>
      <w:r>
        <w:rPr>
          <w:noProof/>
        </w:rPr>
        <w:tab/>
      </w:r>
      <w:r>
        <w:rPr>
          <w:noProof/>
        </w:rPr>
        <w:fldChar w:fldCharType="begin"/>
      </w:r>
      <w:r>
        <w:rPr>
          <w:noProof/>
        </w:rPr>
        <w:instrText xml:space="preserve"> PAGEREF _Toc467008469 \h </w:instrText>
      </w:r>
      <w:r>
        <w:rPr>
          <w:noProof/>
        </w:rPr>
      </w:r>
      <w:r>
        <w:rPr>
          <w:noProof/>
        </w:rPr>
        <w:fldChar w:fldCharType="separate"/>
      </w:r>
      <w:r>
        <w:rPr>
          <w:noProof/>
        </w:rPr>
        <w:t>2</w:t>
      </w:r>
      <w:r>
        <w:rPr>
          <w:noProof/>
        </w:rPr>
        <w:fldChar w:fldCharType="end"/>
      </w:r>
    </w:p>
    <w:p w:rsidR="00810B1A" w:rsidRDefault="00E8496D" w:rsidP="00E8496D">
      <w:pPr>
        <w:pStyle w:val="Body"/>
        <w:jc w:val="left"/>
        <w:sectPr w:rsidR="00810B1A" w:rsidSect="00471084">
          <w:headerReference w:type="default" r:id="rId8"/>
          <w:footerReference w:type="default" r:id="rId9"/>
          <w:headerReference w:type="first" r:id="rId10"/>
          <w:footerReference w:type="first" r:id="rId11"/>
          <w:pgSz w:w="11907" w:h="16840" w:code="9"/>
          <w:pgMar w:top="1418" w:right="1701" w:bottom="1418" w:left="1701" w:header="709" w:footer="709" w:gutter="0"/>
          <w:paperSrc w:first="261" w:other="261"/>
          <w:pgNumType w:start="1"/>
          <w:cols w:space="720"/>
          <w:titlePg/>
          <w:docGrid w:linePitch="272"/>
        </w:sectPr>
      </w:pPr>
      <w:r>
        <w:rPr>
          <w:color w:val="000000"/>
          <w:sz w:val="19"/>
          <w:szCs w:val="19"/>
        </w:rPr>
        <w:fldChar w:fldCharType="end"/>
      </w:r>
      <w:r w:rsidR="0039578B">
        <w:rPr>
          <w:color w:val="000000"/>
          <w:sz w:val="19"/>
          <w:szCs w:val="19"/>
        </w:rPr>
        <w:br/>
      </w:r>
      <w:r w:rsidR="0039578B">
        <w:rPr>
          <w:color w:val="000000"/>
          <w:sz w:val="19"/>
          <w:szCs w:val="19"/>
        </w:rPr>
        <w:br/>
      </w:r>
    </w:p>
    <w:p w:rsidR="00810B1A" w:rsidRDefault="00EB24FA" w:rsidP="00AF6664">
      <w:pPr>
        <w:pStyle w:val="Body"/>
        <w:jc w:val="center"/>
        <w:rPr>
          <w:b/>
        </w:rPr>
      </w:pPr>
      <w:r>
        <w:rPr>
          <w:b/>
        </w:rPr>
        <w:lastRenderedPageBreak/>
        <w:t xml:space="preserve">SCHEDULE </w:t>
      </w:r>
      <w:r w:rsidR="002341BE">
        <w:rPr>
          <w:b/>
        </w:rPr>
        <w:t>4.3</w:t>
      </w:r>
      <w:r w:rsidR="003F46C9">
        <w:rPr>
          <w:b/>
        </w:rPr>
        <w:t xml:space="preserve"> – </w:t>
      </w:r>
      <w:r w:rsidR="002341BE">
        <w:rPr>
          <w:b/>
        </w:rPr>
        <w:t>RELIEF EVENTS</w:t>
      </w:r>
    </w:p>
    <w:bookmarkStart w:id="3" w:name="_Ref407524842"/>
    <w:bookmarkStart w:id="4" w:name="_Ref407755735"/>
    <w:bookmarkStart w:id="5" w:name="_Ref425695409"/>
    <w:p w:rsidR="00BC4680" w:rsidRDefault="002027A1" w:rsidP="00BC4680">
      <w:pPr>
        <w:pStyle w:val="Level1"/>
        <w:keepNext/>
        <w:adjustRightInd/>
        <w:ind w:left="850" w:hanging="850"/>
        <w:rPr>
          <w:rStyle w:val="Level1asHeadingtext"/>
          <w:b w:val="0"/>
          <w:caps w:val="0"/>
        </w:rPr>
      </w:pPr>
      <w:r>
        <w:rPr>
          <w:b/>
        </w:rPr>
        <w:fldChar w:fldCharType="begin"/>
      </w:r>
      <w:r w:rsidRPr="00E8496D">
        <w:instrText xml:space="preserve">  TC "</w:instrText>
      </w:r>
      <w:r>
        <w:fldChar w:fldCharType="begin"/>
      </w:r>
      <w:r>
        <w:instrText xml:space="preserve"> REF _Ref467008447 \r \h </w:instrText>
      </w:r>
      <w:r>
        <w:fldChar w:fldCharType="separate"/>
      </w:r>
      <w:bookmarkStart w:id="6" w:name="_Toc467008466"/>
      <w:r>
        <w:instrText>1</w:instrText>
      </w:r>
      <w:r>
        <w:fldChar w:fldCharType="end"/>
      </w:r>
      <w:r>
        <w:tab/>
        <w:instrText>BACKGROUND</w:instrText>
      </w:r>
      <w:bookmarkEnd w:id="6"/>
      <w:r w:rsidRPr="00E8496D">
        <w:instrText xml:space="preserve">" \l1 </w:instrText>
      </w:r>
      <w:r>
        <w:rPr>
          <w:b/>
        </w:rPr>
        <w:fldChar w:fldCharType="end"/>
      </w:r>
      <w:bookmarkStart w:id="7" w:name="_Ref467008447"/>
      <w:r w:rsidR="00F606E3">
        <w:rPr>
          <w:rStyle w:val="Level1asHeadingtext"/>
        </w:rPr>
        <w:t>BACKGROUND</w:t>
      </w:r>
      <w:bookmarkEnd w:id="3"/>
      <w:bookmarkEnd w:id="4"/>
      <w:bookmarkEnd w:id="5"/>
      <w:bookmarkEnd w:id="7"/>
    </w:p>
    <w:p w:rsidR="00166F4D" w:rsidRDefault="007C0784" w:rsidP="007C0784">
      <w:pPr>
        <w:pStyle w:val="Body1"/>
      </w:pPr>
      <w:r>
        <w:t xml:space="preserve">This Schedule </w:t>
      </w:r>
      <w:r w:rsidR="002341BE">
        <w:t>4.3</w:t>
      </w:r>
      <w:r>
        <w:t xml:space="preserve"> sets out </w:t>
      </w:r>
      <w:r w:rsidR="0086609D">
        <w:t xml:space="preserve">details of </w:t>
      </w:r>
      <w:r>
        <w:t xml:space="preserve">the </w:t>
      </w:r>
      <w:r w:rsidR="002341BE">
        <w:t>Relief Events</w:t>
      </w:r>
      <w:r w:rsidR="006E23D0">
        <w:t xml:space="preserve"> and should be r</w:t>
      </w:r>
      <w:r w:rsidR="006D6DB0">
        <w:t xml:space="preserve">ead in conjunction with Clause </w:t>
      </w:r>
      <w:r w:rsidR="002341BE">
        <w:t>19</w:t>
      </w:r>
      <w:r w:rsidR="006E23D0">
        <w:t>.</w:t>
      </w:r>
    </w:p>
    <w:bookmarkStart w:id="8" w:name="_Ref409315333"/>
    <w:p w:rsidR="00BD5C2A" w:rsidRPr="00BD5C2A" w:rsidRDefault="00E8496D" w:rsidP="00BD5C2A">
      <w:pPr>
        <w:pStyle w:val="Level1"/>
        <w:keepNext/>
        <w:adjustRightInd/>
        <w:ind w:left="850" w:hanging="850"/>
        <w:rPr>
          <w:b/>
        </w:rPr>
      </w:pPr>
      <w:r>
        <w:rPr>
          <w:b/>
        </w:rPr>
        <w:fldChar w:fldCharType="begin"/>
      </w:r>
      <w:r w:rsidRPr="00E8496D">
        <w:instrText xml:space="preserve">  TC "</w:instrText>
      </w:r>
      <w:r>
        <w:fldChar w:fldCharType="begin"/>
      </w:r>
      <w:r w:rsidRPr="00E8496D">
        <w:instrText xml:space="preserve"> REF _Ref425695574 \r </w:instrText>
      </w:r>
      <w:r>
        <w:fldChar w:fldCharType="separate"/>
      </w:r>
      <w:bookmarkStart w:id="9" w:name="_Toc467008467"/>
      <w:r w:rsidR="00A74759">
        <w:instrText>2</w:instrText>
      </w:r>
      <w:r>
        <w:fldChar w:fldCharType="end"/>
      </w:r>
      <w:r>
        <w:tab/>
        <w:instrText>RELIEF EVENTS</w:instrText>
      </w:r>
      <w:bookmarkEnd w:id="9"/>
      <w:r w:rsidRPr="00E8496D">
        <w:instrText xml:space="preserve">" \l1 </w:instrText>
      </w:r>
      <w:r>
        <w:rPr>
          <w:b/>
        </w:rPr>
        <w:fldChar w:fldCharType="end"/>
      </w:r>
      <w:bookmarkStart w:id="10" w:name="_Ref425695574"/>
      <w:r w:rsidR="00BD5C2A" w:rsidRPr="00BD5C2A">
        <w:rPr>
          <w:b/>
        </w:rPr>
        <w:t>RELIEF EVENTS</w:t>
      </w:r>
      <w:bookmarkEnd w:id="8"/>
      <w:bookmarkEnd w:id="10"/>
    </w:p>
    <w:p w:rsidR="00220674" w:rsidRDefault="00BD5C2A" w:rsidP="00220674">
      <w:pPr>
        <w:pStyle w:val="Level2"/>
      </w:pPr>
      <w:r>
        <w:t xml:space="preserve">Subject to Clause 19, an event shall qualify as being a Relief Event only </w:t>
      </w:r>
      <w:r w:rsidR="00220674">
        <w:t>where and to the extent it both:</w:t>
      </w:r>
    </w:p>
    <w:p w:rsidR="00220674" w:rsidRDefault="008377EA" w:rsidP="00220674">
      <w:pPr>
        <w:pStyle w:val="Level3"/>
      </w:pPr>
      <w:r>
        <w:t>concerns an</w:t>
      </w:r>
      <w:r w:rsidR="00050693">
        <w:t xml:space="preserve"> </w:t>
      </w:r>
      <w:r w:rsidR="00BD5C2A">
        <w:t xml:space="preserve">Authority </w:t>
      </w:r>
      <w:r w:rsidR="0069484A">
        <w:t xml:space="preserve">activity or </w:t>
      </w:r>
      <w:r w:rsidR="00BD5C2A">
        <w:t xml:space="preserve">responsibility </w:t>
      </w:r>
      <w:r w:rsidR="0069484A">
        <w:t>relating to</w:t>
      </w:r>
      <w:r w:rsidR="00050693">
        <w:t xml:space="preserve"> this Contract </w:t>
      </w:r>
      <w:r w:rsidR="00BD5C2A">
        <w:t>upon which the Supplier is dependent in order to provide the Deployed Services</w:t>
      </w:r>
      <w:r w:rsidR="00A76AD8">
        <w:t xml:space="preserve"> </w:t>
      </w:r>
      <w:r w:rsidR="0069484A">
        <w:t>or which otherwise directly impacts the Deployed Services</w:t>
      </w:r>
      <w:r w:rsidR="00220674">
        <w:t>;</w:t>
      </w:r>
      <w:r w:rsidR="0069484A">
        <w:t xml:space="preserve"> </w:t>
      </w:r>
      <w:r w:rsidR="00EA5BDA">
        <w:t xml:space="preserve">and </w:t>
      </w:r>
    </w:p>
    <w:p w:rsidR="00EA5BDA" w:rsidRPr="00EA5BDA" w:rsidRDefault="00EA5BDA" w:rsidP="00220674">
      <w:pPr>
        <w:pStyle w:val="Level3"/>
      </w:pPr>
      <w:proofErr w:type="gramStart"/>
      <w:r>
        <w:t>is</w:t>
      </w:r>
      <w:proofErr w:type="gramEnd"/>
      <w:r>
        <w:t xml:space="preserve"> described in the Appendix</w:t>
      </w:r>
      <w:r w:rsidR="00F624EE">
        <w:t xml:space="preserve"> to this Schedule 4.3</w:t>
      </w:r>
      <w:r w:rsidR="00876520">
        <w:t xml:space="preserve"> or is otherwise</w:t>
      </w:r>
      <w:r w:rsidR="003373C1">
        <w:t xml:space="preserve"> expressly </w:t>
      </w:r>
      <w:r w:rsidR="00876520">
        <w:t xml:space="preserve"> identified as a Relief Event in the Contract</w:t>
      </w:r>
      <w:r w:rsidR="005572EE">
        <w:t xml:space="preserve"> (excluding any Relief Event only</w:t>
      </w:r>
      <w:r w:rsidR="0008512A">
        <w:t xml:space="preserve"> i</w:t>
      </w:r>
      <w:r w:rsidR="00140746">
        <w:t>dentified</w:t>
      </w:r>
      <w:r w:rsidR="005572EE">
        <w:t xml:space="preserve"> </w:t>
      </w:r>
      <w:r w:rsidR="0008512A">
        <w:t>with</w:t>
      </w:r>
      <w:r w:rsidR="005572EE">
        <w:t>in the Supplier Solution)</w:t>
      </w:r>
      <w:r>
        <w:t>.</w:t>
      </w:r>
    </w:p>
    <w:bookmarkStart w:id="11" w:name="_Ref409315880"/>
    <w:p w:rsidR="00E612EB" w:rsidRPr="00E612EB" w:rsidRDefault="00E8496D" w:rsidP="00E612EB">
      <w:pPr>
        <w:pStyle w:val="Level1"/>
        <w:rPr>
          <w:b/>
        </w:rPr>
      </w:pPr>
      <w:r>
        <w:rPr>
          <w:b/>
        </w:rPr>
        <w:fldChar w:fldCharType="begin"/>
      </w:r>
      <w:r w:rsidRPr="00E8496D">
        <w:instrText xml:space="preserve">  TC "</w:instrText>
      </w:r>
      <w:r>
        <w:fldChar w:fldCharType="begin"/>
      </w:r>
      <w:r w:rsidRPr="00E8496D">
        <w:instrText xml:space="preserve"> REF _Ref425695098 \r </w:instrText>
      </w:r>
      <w:r>
        <w:fldChar w:fldCharType="separate"/>
      </w:r>
      <w:bookmarkStart w:id="12" w:name="_Toc467008468"/>
      <w:r w:rsidR="00A74759">
        <w:instrText>3</w:instrText>
      </w:r>
      <w:r>
        <w:fldChar w:fldCharType="end"/>
      </w:r>
      <w:r>
        <w:tab/>
        <w:instrText>QUALIFYING PERIOD</w:instrText>
      </w:r>
      <w:bookmarkEnd w:id="12"/>
      <w:r w:rsidRPr="00E8496D">
        <w:instrText xml:space="preserve">" \l1 </w:instrText>
      </w:r>
      <w:r>
        <w:rPr>
          <w:b/>
        </w:rPr>
        <w:fldChar w:fldCharType="end"/>
      </w:r>
      <w:bookmarkStart w:id="13" w:name="_Ref425695098"/>
      <w:r w:rsidR="00E612EB" w:rsidRPr="00E612EB">
        <w:rPr>
          <w:b/>
        </w:rPr>
        <w:t>QUALIFYING PERIOD</w:t>
      </w:r>
      <w:bookmarkEnd w:id="11"/>
      <w:bookmarkEnd w:id="13"/>
    </w:p>
    <w:p w:rsidR="00E612EB" w:rsidRPr="00AB6155" w:rsidRDefault="002C3E39" w:rsidP="00E612EB">
      <w:pPr>
        <w:pStyle w:val="Body1"/>
      </w:pPr>
      <w:r>
        <w:t xml:space="preserve">The Supplier shall not be eligible to apply for relief in accordance with Clause 19 if </w:t>
      </w:r>
      <w:r w:rsidR="00A76AD8">
        <w:t xml:space="preserve">and to the extent </w:t>
      </w:r>
      <w:r>
        <w:t xml:space="preserve">the relevant Relief Event occurs outside of the relevant qualifying period </w:t>
      </w:r>
      <w:r w:rsidRPr="00AB6155">
        <w:t>set out in the table in the Appendix</w:t>
      </w:r>
      <w:r w:rsidR="00F624EE" w:rsidRPr="00AB6155">
        <w:t xml:space="preserve"> to this Schedule 4.3</w:t>
      </w:r>
      <w:r w:rsidRPr="00AB6155">
        <w:t>.</w:t>
      </w:r>
    </w:p>
    <w:p w:rsidR="005A76D7" w:rsidRDefault="005A76D7" w:rsidP="00885A01">
      <w:pPr>
        <w:pStyle w:val="Body1"/>
        <w:jc w:val="center"/>
      </w:pPr>
    </w:p>
    <w:p w:rsidR="007404E9" w:rsidRPr="007404E9" w:rsidRDefault="007404E9" w:rsidP="007404E9">
      <w:pPr>
        <w:pStyle w:val="Level1"/>
        <w:sectPr w:rsidR="007404E9" w:rsidRPr="007404E9" w:rsidSect="00471084">
          <w:footerReference w:type="default" r:id="rId12"/>
          <w:footerReference w:type="first" r:id="rId13"/>
          <w:pgSz w:w="11907" w:h="16840" w:code="9"/>
          <w:pgMar w:top="1418" w:right="1701" w:bottom="1418" w:left="1701" w:header="709" w:footer="709" w:gutter="0"/>
          <w:paperSrc w:first="261" w:other="261"/>
          <w:pgNumType w:start="1"/>
          <w:cols w:space="720"/>
          <w:titlePg/>
          <w:docGrid w:linePitch="272"/>
        </w:sectPr>
      </w:pPr>
    </w:p>
    <w:p w:rsidR="00AB6155" w:rsidRDefault="00E8496D" w:rsidP="00775883">
      <w:pPr>
        <w:pStyle w:val="Body1"/>
        <w:jc w:val="center"/>
        <w:rPr>
          <w:b/>
        </w:rPr>
      </w:pPr>
      <w:r>
        <w:rPr>
          <w:b/>
        </w:rPr>
        <w:lastRenderedPageBreak/>
        <w:fldChar w:fldCharType="begin"/>
      </w:r>
      <w:r w:rsidRPr="00E8496D">
        <w:instrText xml:space="preserve">  TC "</w:instrText>
      </w:r>
      <w:bookmarkStart w:id="14" w:name="_Toc467008469"/>
      <w:r>
        <w:instrText>APPENDIX – RELIEF EVENTS</w:instrText>
      </w:r>
      <w:bookmarkEnd w:id="14"/>
      <w:r w:rsidRPr="00E8496D">
        <w:instrText xml:space="preserve">" \l1 </w:instrText>
      </w:r>
      <w:r>
        <w:rPr>
          <w:b/>
        </w:rPr>
        <w:fldChar w:fldCharType="end"/>
      </w:r>
      <w:r w:rsidR="00885A01" w:rsidRPr="00885A01">
        <w:rPr>
          <w:b/>
        </w:rPr>
        <w:t xml:space="preserve">APPENDIX – </w:t>
      </w:r>
      <w:r w:rsidR="002341BE">
        <w:rPr>
          <w:b/>
        </w:rPr>
        <w:t>RELIEF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4317"/>
        <w:gridCol w:w="2417"/>
        <w:gridCol w:w="3362"/>
        <w:gridCol w:w="3368"/>
      </w:tblGrid>
      <w:tr w:rsidR="00F52B5A" w:rsidRPr="00C909AC" w:rsidTr="00531A9E">
        <w:tc>
          <w:tcPr>
            <w:tcW w:w="534" w:type="dxa"/>
            <w:shd w:val="pct12" w:color="auto" w:fill="auto"/>
          </w:tcPr>
          <w:p w:rsidR="00F52B5A" w:rsidRPr="00C909AC" w:rsidRDefault="000251B2" w:rsidP="00C909AC">
            <w:pPr>
              <w:pStyle w:val="Body"/>
              <w:jc w:val="center"/>
              <w:rPr>
                <w:b/>
              </w:rPr>
            </w:pPr>
            <w:r>
              <w:rPr>
                <w:b/>
              </w:rPr>
              <w:t>ID</w:t>
            </w:r>
          </w:p>
        </w:tc>
        <w:tc>
          <w:tcPr>
            <w:tcW w:w="4394" w:type="dxa"/>
            <w:shd w:val="pct12" w:color="auto" w:fill="auto"/>
          </w:tcPr>
          <w:p w:rsidR="00F52B5A" w:rsidRPr="00C909AC" w:rsidRDefault="00F52B5A" w:rsidP="00C909AC">
            <w:pPr>
              <w:pStyle w:val="Body"/>
              <w:jc w:val="center"/>
              <w:rPr>
                <w:b/>
              </w:rPr>
            </w:pPr>
            <w:r w:rsidRPr="00C909AC">
              <w:rPr>
                <w:b/>
              </w:rPr>
              <w:t>RELIEF EVENT DESCRIPTION</w:t>
            </w:r>
          </w:p>
        </w:tc>
        <w:tc>
          <w:tcPr>
            <w:tcW w:w="2449" w:type="dxa"/>
            <w:shd w:val="pct12" w:color="auto" w:fill="auto"/>
          </w:tcPr>
          <w:p w:rsidR="00F52B5A" w:rsidRPr="00C909AC" w:rsidRDefault="00F52B5A" w:rsidP="00C909AC">
            <w:pPr>
              <w:pStyle w:val="Body"/>
              <w:jc w:val="center"/>
              <w:rPr>
                <w:b/>
              </w:rPr>
            </w:pPr>
            <w:r w:rsidRPr="00C909AC">
              <w:rPr>
                <w:b/>
              </w:rPr>
              <w:t>QUALIFYING PERIOD (e.g. duration of Term, Network Deployment phase only)</w:t>
            </w:r>
          </w:p>
        </w:tc>
        <w:tc>
          <w:tcPr>
            <w:tcW w:w="3421" w:type="dxa"/>
            <w:shd w:val="pct12" w:color="auto" w:fill="auto"/>
          </w:tcPr>
          <w:p w:rsidR="00F52B5A" w:rsidRPr="00C909AC" w:rsidRDefault="00F52B5A" w:rsidP="00C909AC">
            <w:pPr>
              <w:pStyle w:val="Body"/>
              <w:jc w:val="center"/>
              <w:rPr>
                <w:b/>
              </w:rPr>
            </w:pPr>
            <w:r w:rsidRPr="00C909AC">
              <w:rPr>
                <w:b/>
              </w:rPr>
              <w:t>EXPECTED IMPACT OF RELIEF EVENT</w:t>
            </w:r>
          </w:p>
        </w:tc>
        <w:tc>
          <w:tcPr>
            <w:tcW w:w="3422" w:type="dxa"/>
            <w:shd w:val="pct12" w:color="auto" w:fill="auto"/>
          </w:tcPr>
          <w:p w:rsidR="00F52B5A" w:rsidRPr="00C909AC" w:rsidRDefault="00F52B5A" w:rsidP="00C909AC">
            <w:pPr>
              <w:pStyle w:val="Body"/>
              <w:jc w:val="center"/>
              <w:rPr>
                <w:b/>
              </w:rPr>
            </w:pPr>
            <w:r w:rsidRPr="00C909AC">
              <w:rPr>
                <w:b/>
              </w:rPr>
              <w:t>EXPECTED SUPPLIER MITIGATION / WORKAROUND (IF APPLICABLE)</w:t>
            </w:r>
          </w:p>
        </w:tc>
      </w:tr>
      <w:tr w:rsidR="00AB6155" w:rsidTr="00531A9E">
        <w:tc>
          <w:tcPr>
            <w:tcW w:w="534" w:type="dxa"/>
          </w:tcPr>
          <w:p w:rsidR="00AB6155" w:rsidRDefault="00AB6155" w:rsidP="003468AC">
            <w:pPr>
              <w:pStyle w:val="Body"/>
              <w:spacing w:before="120"/>
            </w:pPr>
            <w:r>
              <w:t>1</w:t>
            </w:r>
          </w:p>
        </w:tc>
        <w:tc>
          <w:tcPr>
            <w:tcW w:w="4394" w:type="dxa"/>
          </w:tcPr>
          <w:p w:rsidR="00AB6155" w:rsidRPr="00AB6155" w:rsidRDefault="001F02B3" w:rsidP="00155E55">
            <w:pPr>
              <w:adjustRightInd w:val="0"/>
              <w:spacing w:before="120"/>
            </w:pPr>
            <w:r>
              <w:t>Any l</w:t>
            </w:r>
            <w:r w:rsidR="00AB6155" w:rsidRPr="00AB6155">
              <w:t xml:space="preserve">egal </w:t>
            </w:r>
            <w:r w:rsidR="00221B2E">
              <w:t>c</w:t>
            </w:r>
            <w:r w:rsidR="00AB6155" w:rsidRPr="00AB6155">
              <w:t xml:space="preserve">hallenge, action and/or </w:t>
            </w:r>
            <w:r w:rsidR="0069484A">
              <w:t xml:space="preserve">formal </w:t>
            </w:r>
            <w:r w:rsidR="00AB6155" w:rsidRPr="00AB6155">
              <w:t>investigation</w:t>
            </w:r>
            <w:r>
              <w:t xml:space="preserve"> relating to the Network Deployment which is commenced and/or upheld prior to the completion of the Network Deployment and which is brought</w:t>
            </w:r>
            <w:r w:rsidR="00AB6155" w:rsidRPr="00AB6155">
              <w:t xml:space="preserve">: </w:t>
            </w:r>
          </w:p>
          <w:p w:rsidR="00AB6155" w:rsidRPr="00531A9E" w:rsidRDefault="00531A9E" w:rsidP="00531A9E">
            <w:pPr>
              <w:spacing w:before="120"/>
              <w:ind w:left="459" w:hanging="459"/>
              <w:rPr>
                <w:bCs/>
                <w:iCs/>
              </w:rPr>
            </w:pPr>
            <w:r>
              <w:rPr>
                <w:bCs/>
                <w:iCs/>
              </w:rPr>
              <w:t>(a)</w:t>
            </w:r>
            <w:r>
              <w:rPr>
                <w:bCs/>
                <w:iCs/>
              </w:rPr>
              <w:tab/>
            </w:r>
            <w:r w:rsidR="00AB6155" w:rsidRPr="00531A9E">
              <w:rPr>
                <w:bCs/>
                <w:iCs/>
              </w:rPr>
              <w:t>before the EU General Court or a national court or by the European Commission under the EU State aid rules including against the Authority;</w:t>
            </w:r>
            <w:r w:rsidR="00F431DF" w:rsidRPr="00531A9E">
              <w:rPr>
                <w:bCs/>
                <w:iCs/>
              </w:rPr>
              <w:t xml:space="preserve"> or</w:t>
            </w:r>
            <w:r w:rsidR="00AB6155" w:rsidRPr="00531A9E">
              <w:rPr>
                <w:bCs/>
                <w:iCs/>
              </w:rPr>
              <w:t xml:space="preserve"> </w:t>
            </w:r>
          </w:p>
          <w:p w:rsidR="00AB6155" w:rsidRPr="00531A9E" w:rsidRDefault="00531A9E" w:rsidP="00531A9E">
            <w:pPr>
              <w:spacing w:before="120"/>
              <w:ind w:left="459" w:hanging="459"/>
              <w:rPr>
                <w:bCs/>
                <w:iCs/>
              </w:rPr>
            </w:pPr>
            <w:r>
              <w:rPr>
                <w:bCs/>
                <w:iCs/>
              </w:rPr>
              <w:t>(b)</w:t>
            </w:r>
            <w:r>
              <w:rPr>
                <w:bCs/>
                <w:iCs/>
              </w:rPr>
              <w:tab/>
            </w:r>
            <w:r w:rsidR="00AB6155" w:rsidRPr="00531A9E">
              <w:rPr>
                <w:bCs/>
                <w:iCs/>
              </w:rPr>
              <w:t xml:space="preserve">against the Authority for breach of statutory duty including the duty owed under Regulation </w:t>
            </w:r>
            <w:r w:rsidR="005C37D6">
              <w:rPr>
                <w:bCs/>
                <w:iCs/>
              </w:rPr>
              <w:t>89</w:t>
            </w:r>
            <w:r w:rsidR="005C37D6" w:rsidRPr="00531A9E">
              <w:rPr>
                <w:bCs/>
                <w:iCs/>
              </w:rPr>
              <w:t xml:space="preserve"> </w:t>
            </w:r>
            <w:r w:rsidR="00AB6155" w:rsidRPr="00531A9E">
              <w:rPr>
                <w:bCs/>
                <w:iCs/>
              </w:rPr>
              <w:t>of the Public Contracts Regulations 20</w:t>
            </w:r>
            <w:r w:rsidR="004107D6" w:rsidRPr="00531A9E">
              <w:rPr>
                <w:bCs/>
                <w:iCs/>
              </w:rPr>
              <w:t>15</w:t>
            </w:r>
            <w:r w:rsidR="001F02B3" w:rsidRPr="00531A9E">
              <w:rPr>
                <w:bCs/>
                <w:iCs/>
              </w:rPr>
              <w:t>,</w:t>
            </w:r>
          </w:p>
          <w:p w:rsidR="00AB6155" w:rsidRPr="00AB6155" w:rsidRDefault="00AB6155" w:rsidP="00155E55">
            <w:pPr>
              <w:adjustRightInd w:val="0"/>
              <w:spacing w:before="120"/>
              <w:rPr>
                <w:rFonts w:eastAsia="Arial"/>
              </w:rPr>
            </w:pPr>
            <w:proofErr w:type="gramStart"/>
            <w:r w:rsidRPr="00AB6155">
              <w:t>which</w:t>
            </w:r>
            <w:proofErr w:type="gramEnd"/>
            <w:r w:rsidRPr="00AB6155">
              <w:t xml:space="preserve"> </w:t>
            </w:r>
            <w:r w:rsidR="00E055B9">
              <w:t xml:space="preserve">materially </w:t>
            </w:r>
            <w:r w:rsidRPr="00AB6155">
              <w:t>affects either the delivery of the project and/or the viability of the public funds</w:t>
            </w:r>
            <w:r w:rsidR="00F431DF">
              <w:t xml:space="preserve"> (in whole or part as appropriate)</w:t>
            </w:r>
            <w:r w:rsidRPr="00AB6155">
              <w:t xml:space="preserve"> used to help pay for delivery of the project</w:t>
            </w:r>
            <w:r w:rsidRPr="00AB6155">
              <w:rPr>
                <w:rFonts w:eastAsia="Arial"/>
              </w:rPr>
              <w:t>.</w:t>
            </w:r>
          </w:p>
          <w:p w:rsidR="00AB6155" w:rsidRDefault="00AB6155" w:rsidP="00155E55">
            <w:pPr>
              <w:pStyle w:val="Body"/>
              <w:spacing w:before="120" w:after="120"/>
              <w:rPr>
                <w:rFonts w:ascii="Calibri" w:eastAsia="Calibri" w:hAnsi="Calibri"/>
                <w:sz w:val="24"/>
                <w:szCs w:val="24"/>
              </w:rPr>
            </w:pPr>
            <w:r>
              <w:rPr>
                <w:rFonts w:ascii="Calibri" w:eastAsia="Calibri" w:hAnsi="Calibri"/>
                <w:sz w:val="24"/>
                <w:szCs w:val="24"/>
              </w:rPr>
              <w:t xml:space="preserve"> </w:t>
            </w:r>
          </w:p>
        </w:tc>
        <w:tc>
          <w:tcPr>
            <w:tcW w:w="2449" w:type="dxa"/>
          </w:tcPr>
          <w:p w:rsidR="00AB6155" w:rsidRDefault="00277780" w:rsidP="0015523B">
            <w:pPr>
              <w:pStyle w:val="Body"/>
              <w:spacing w:before="120" w:after="120"/>
              <w:rPr>
                <w:rFonts w:ascii="Calibri" w:eastAsia="Calibri" w:hAnsi="Calibri"/>
                <w:sz w:val="24"/>
                <w:szCs w:val="24"/>
              </w:rPr>
            </w:pPr>
            <w:r>
              <w:rPr>
                <w:rFonts w:cs="Calibri"/>
              </w:rPr>
              <w:t>Network Deployment</w:t>
            </w:r>
          </w:p>
        </w:tc>
        <w:tc>
          <w:tcPr>
            <w:tcW w:w="3421" w:type="dxa"/>
            <w:vAlign w:val="center"/>
          </w:tcPr>
          <w:p w:rsidR="007F656B" w:rsidRPr="006A0B3F" w:rsidRDefault="00AB6155" w:rsidP="00155E55">
            <w:pPr>
              <w:pStyle w:val="Body"/>
              <w:spacing w:before="120" w:after="120"/>
            </w:pPr>
            <w:r w:rsidRPr="006A0B3F">
              <w:t>Suspension of Network Deployment implementation</w:t>
            </w:r>
            <w:r w:rsidR="007F656B" w:rsidRPr="008A4954">
              <w:t xml:space="preserve"> </w:t>
            </w:r>
            <w:r w:rsidR="0015523B">
              <w:t xml:space="preserve">and provision of related Deployed Services </w:t>
            </w:r>
            <w:r w:rsidR="007F656B" w:rsidRPr="008A4954">
              <w:t>(in whole or part as appropriate)</w:t>
            </w:r>
            <w:r w:rsidRPr="00C51D17">
              <w:t xml:space="preserve"> by </w:t>
            </w:r>
            <w:r w:rsidR="00C8541B">
              <w:t xml:space="preserve">the </w:t>
            </w:r>
            <w:r w:rsidRPr="00C51D17">
              <w:t>Supplier</w:t>
            </w:r>
            <w:r w:rsidR="00221B2E" w:rsidRPr="00C51D17">
              <w:t xml:space="preserve"> for</w:t>
            </w:r>
            <w:r w:rsidR="00143D8B" w:rsidRPr="00C51D17">
              <w:t xml:space="preserve"> the</w:t>
            </w:r>
            <w:r w:rsidR="00221B2E" w:rsidRPr="00C51D17">
              <w:t xml:space="preserve"> Coverage Area </w:t>
            </w:r>
            <w:r w:rsidR="007F656B" w:rsidRPr="00B50886">
              <w:t xml:space="preserve">or </w:t>
            </w:r>
            <w:r w:rsidR="00C8541B">
              <w:t xml:space="preserve">the </w:t>
            </w:r>
            <w:r w:rsidR="007F656B" w:rsidRPr="00B50886">
              <w:t xml:space="preserve">part of the Coverage Area materially </w:t>
            </w:r>
            <w:r w:rsidR="005572EE">
              <w:t>a</w:t>
            </w:r>
            <w:r w:rsidR="00221B2E" w:rsidRPr="00BD245F">
              <w:t xml:space="preserve">ffected by such </w:t>
            </w:r>
            <w:r w:rsidR="00C8541B">
              <w:t>Relief Event</w:t>
            </w:r>
            <w:r w:rsidR="00550C95">
              <w:t xml:space="preserve">. 'Material </w:t>
            </w:r>
            <w:r w:rsidR="00140746">
              <w:t>a</w:t>
            </w:r>
            <w:r w:rsidR="007F656B" w:rsidRPr="00BE1A04">
              <w:t>ffect</w:t>
            </w:r>
            <w:r w:rsidR="00140746">
              <w:t>ed</w:t>
            </w:r>
            <w:r w:rsidR="00550C95">
              <w:t>' mean</w:t>
            </w:r>
            <w:r w:rsidR="00C8541B">
              <w:t>s</w:t>
            </w:r>
            <w:r w:rsidR="007F656B" w:rsidRPr="00BE1A04">
              <w:t xml:space="preserve"> any </w:t>
            </w:r>
            <w:r w:rsidR="006A0B3F">
              <w:t xml:space="preserve">risk </w:t>
            </w:r>
            <w:r w:rsidR="00140746">
              <w:t xml:space="preserve">arising </w:t>
            </w:r>
            <w:r w:rsidR="006A0B3F">
              <w:t xml:space="preserve">of </w:t>
            </w:r>
            <w:r w:rsidR="007F656B" w:rsidRPr="00BE1A04">
              <w:t xml:space="preserve">impact </w:t>
            </w:r>
            <w:r w:rsidR="00F431DF" w:rsidRPr="00C44582">
              <w:t xml:space="preserve">on the validity of payments for deploying the whole or part of the Network or undertaking other </w:t>
            </w:r>
            <w:r w:rsidR="0073705A">
              <w:t>Deployed Services</w:t>
            </w:r>
            <w:r w:rsidR="00336E7C">
              <w:t>.</w:t>
            </w:r>
          </w:p>
          <w:p w:rsidR="00AB6155" w:rsidRPr="008A4954" w:rsidRDefault="00AB6155" w:rsidP="00155E55">
            <w:pPr>
              <w:pStyle w:val="Body"/>
              <w:spacing w:before="120" w:after="120"/>
              <w:rPr>
                <w:rFonts w:ascii="Calibri" w:eastAsia="Calibri" w:hAnsi="Calibri"/>
                <w:color w:val="1F497D"/>
                <w:sz w:val="22"/>
                <w:szCs w:val="22"/>
              </w:rPr>
            </w:pPr>
          </w:p>
        </w:tc>
        <w:tc>
          <w:tcPr>
            <w:tcW w:w="3422" w:type="dxa"/>
          </w:tcPr>
          <w:p w:rsidR="00221B2E" w:rsidRDefault="00220674" w:rsidP="00155E55">
            <w:pPr>
              <w:pStyle w:val="Body"/>
              <w:spacing w:before="120" w:after="120"/>
            </w:pPr>
            <w:r>
              <w:t>T</w:t>
            </w:r>
            <w:r w:rsidR="00AB6155">
              <w:t>he Parties shall within three Working Days of becoming aware of such matter convene a Governance Board meeting to</w:t>
            </w:r>
            <w:r w:rsidR="009A782D">
              <w:t xml:space="preserve"> discuss</w:t>
            </w:r>
            <w:r w:rsidR="00221B2E">
              <w:t>:</w:t>
            </w:r>
            <w:r w:rsidR="00AB6155">
              <w:t xml:space="preserve"> </w:t>
            </w:r>
          </w:p>
          <w:p w:rsidR="00143D8B" w:rsidRDefault="009A782D" w:rsidP="00397BC9">
            <w:pPr>
              <w:pStyle w:val="Body"/>
              <w:numPr>
                <w:ilvl w:val="0"/>
                <w:numId w:val="35"/>
              </w:numPr>
              <w:spacing w:before="120" w:after="120"/>
              <w:ind w:left="259" w:hanging="259"/>
            </w:pPr>
            <w:r>
              <w:t xml:space="preserve">the potential materiality of such </w:t>
            </w:r>
            <w:r w:rsidR="0073705A">
              <w:t xml:space="preserve">legal </w:t>
            </w:r>
            <w:r>
              <w:t>challenge</w:t>
            </w:r>
            <w:r w:rsidR="002B020C">
              <w:t xml:space="preserve">, </w:t>
            </w:r>
            <w:r w:rsidR="002B020C" w:rsidRPr="00AB6155">
              <w:t>action and/or investigation</w:t>
            </w:r>
            <w:r>
              <w:t>;</w:t>
            </w:r>
          </w:p>
          <w:p w:rsidR="009A782D" w:rsidRDefault="009A782D" w:rsidP="00397BC9">
            <w:pPr>
              <w:pStyle w:val="Body"/>
              <w:numPr>
                <w:ilvl w:val="0"/>
                <w:numId w:val="35"/>
              </w:numPr>
              <w:spacing w:before="120" w:after="120"/>
              <w:ind w:left="259" w:hanging="259"/>
            </w:pPr>
            <w:r>
              <w:t xml:space="preserve">the potential impact </w:t>
            </w:r>
            <w:r w:rsidR="002B020C">
              <w:t>of the same</w:t>
            </w:r>
            <w:r>
              <w:t xml:space="preserve"> on the Contract; and</w:t>
            </w:r>
          </w:p>
          <w:p w:rsidR="009A782D" w:rsidRDefault="009A782D" w:rsidP="00397BC9">
            <w:pPr>
              <w:pStyle w:val="Body"/>
              <w:numPr>
                <w:ilvl w:val="0"/>
                <w:numId w:val="35"/>
              </w:numPr>
              <w:spacing w:before="120" w:after="120"/>
              <w:ind w:left="259" w:hanging="259"/>
            </w:pPr>
            <w:r>
              <w:t>likely relief options to be applied</w:t>
            </w:r>
            <w:r w:rsidR="001F02B3">
              <w:t xml:space="preserve"> (if any are available)</w:t>
            </w:r>
            <w:r w:rsidR="0073705A">
              <w:t>,</w:t>
            </w:r>
          </w:p>
          <w:p w:rsidR="00AB6155" w:rsidRDefault="00391B82" w:rsidP="00220674">
            <w:r>
              <w:t>following which a Relief Notice (if still required) will be provided by the Supplier to the Authority as soon as reasonably practicable (in accordance with the format set out in Clause 19.2). The Parties will then</w:t>
            </w:r>
            <w:r w:rsidR="0073705A">
              <w:t>, for the avoidance of doubt,</w:t>
            </w:r>
            <w:r>
              <w:t xml:space="preserve"> apply the process set out in Clause 19.3 to Clause 19.7 of the Contract.</w:t>
            </w:r>
          </w:p>
          <w:p w:rsidR="0073705A" w:rsidRPr="00391B82" w:rsidRDefault="0073705A" w:rsidP="00220674">
            <w:pPr>
              <w:rPr>
                <w:rFonts w:ascii="Times New Roman" w:hAnsi="Times New Roman" w:cs="Times New Roman"/>
                <w:sz w:val="24"/>
                <w:szCs w:val="24"/>
              </w:rPr>
            </w:pPr>
          </w:p>
        </w:tc>
      </w:tr>
      <w:tr w:rsidR="00AB6155" w:rsidTr="00531A9E">
        <w:tc>
          <w:tcPr>
            <w:tcW w:w="534" w:type="dxa"/>
          </w:tcPr>
          <w:p w:rsidR="00AB6155" w:rsidRDefault="00523211" w:rsidP="003468AC">
            <w:pPr>
              <w:pStyle w:val="Body"/>
              <w:spacing w:before="120"/>
            </w:pPr>
            <w:r>
              <w:t>2</w:t>
            </w:r>
          </w:p>
        </w:tc>
        <w:tc>
          <w:tcPr>
            <w:tcW w:w="4394" w:type="dxa"/>
          </w:tcPr>
          <w:p w:rsidR="00D81894" w:rsidRDefault="00D81894" w:rsidP="00155E55">
            <w:pPr>
              <w:spacing w:before="120"/>
              <w:rPr>
                <w:bCs/>
                <w:iCs/>
              </w:rPr>
            </w:pPr>
            <w:r>
              <w:rPr>
                <w:bCs/>
                <w:iCs/>
              </w:rPr>
              <w:t>Where:</w:t>
            </w:r>
          </w:p>
          <w:p w:rsidR="00D81894" w:rsidRDefault="00531A9E" w:rsidP="00531A9E">
            <w:pPr>
              <w:spacing w:before="120"/>
              <w:ind w:left="459" w:hanging="459"/>
              <w:rPr>
                <w:bCs/>
                <w:iCs/>
              </w:rPr>
            </w:pPr>
            <w:r>
              <w:rPr>
                <w:bCs/>
                <w:iCs/>
              </w:rPr>
              <w:t>(a)</w:t>
            </w:r>
            <w:r>
              <w:rPr>
                <w:bCs/>
                <w:iCs/>
              </w:rPr>
              <w:tab/>
            </w:r>
            <w:r w:rsidR="00D81894">
              <w:rPr>
                <w:bCs/>
                <w:iCs/>
              </w:rPr>
              <w:t xml:space="preserve">a Local Planning Authority or Local Highways Authority within the Coverage Area fails to provide any relevant consent, </w:t>
            </w:r>
            <w:r w:rsidR="00D81894">
              <w:rPr>
                <w:bCs/>
                <w:iCs/>
              </w:rPr>
              <w:lastRenderedPageBreak/>
              <w:t xml:space="preserve">decision or response within </w:t>
            </w:r>
            <w:r w:rsidR="00EE616A">
              <w:rPr>
                <w:bCs/>
                <w:iCs/>
              </w:rPr>
              <w:t>the</w:t>
            </w:r>
            <w:r w:rsidR="00D81894">
              <w:rPr>
                <w:bCs/>
                <w:iCs/>
              </w:rPr>
              <w:t xml:space="preserve"> statutory or published time period; </w:t>
            </w:r>
            <w:r w:rsidR="00EE616A">
              <w:rPr>
                <w:bCs/>
                <w:iCs/>
              </w:rPr>
              <w:t>and</w:t>
            </w:r>
          </w:p>
          <w:p w:rsidR="00D81894" w:rsidRPr="00531A9E" w:rsidRDefault="00531A9E" w:rsidP="00531A9E">
            <w:pPr>
              <w:spacing w:before="120"/>
              <w:ind w:left="459" w:hanging="459"/>
              <w:rPr>
                <w:bCs/>
                <w:iCs/>
              </w:rPr>
            </w:pPr>
            <w:r>
              <w:rPr>
                <w:bCs/>
                <w:iCs/>
              </w:rPr>
              <w:t>(b)</w:t>
            </w:r>
            <w:r>
              <w:rPr>
                <w:bCs/>
                <w:iCs/>
              </w:rPr>
              <w:tab/>
            </w:r>
            <w:r w:rsidR="00D81894">
              <w:rPr>
                <w:bCs/>
                <w:iCs/>
              </w:rPr>
              <w:t>the Authority has (and had at the relevant time) the ability to manage and control the processing of such consent, decision or response within such ti</w:t>
            </w:r>
            <w:r w:rsidR="00EE616A">
              <w:rPr>
                <w:bCs/>
                <w:iCs/>
              </w:rPr>
              <w:t xml:space="preserve">me period, </w:t>
            </w:r>
          </w:p>
          <w:p w:rsidR="00EE616A" w:rsidRPr="00EE616A" w:rsidRDefault="00D81894" w:rsidP="0073705A">
            <w:pPr>
              <w:spacing w:before="120" w:after="120"/>
              <w:rPr>
                <w:bCs/>
                <w:iCs/>
              </w:rPr>
            </w:pPr>
            <w:proofErr w:type="gramStart"/>
            <w:r>
              <w:rPr>
                <w:bCs/>
                <w:iCs/>
              </w:rPr>
              <w:t>provided</w:t>
            </w:r>
            <w:proofErr w:type="gramEnd"/>
            <w:r>
              <w:rPr>
                <w:bCs/>
                <w:iCs/>
              </w:rPr>
              <w:t xml:space="preserve"> </w:t>
            </w:r>
            <w:r w:rsidR="00EE616A">
              <w:rPr>
                <w:bCs/>
                <w:iCs/>
              </w:rPr>
              <w:t>that</w:t>
            </w:r>
            <w:r w:rsidR="003468AC">
              <w:rPr>
                <w:rFonts w:cs="Calibri"/>
              </w:rPr>
              <w:t xml:space="preserve"> </w:t>
            </w:r>
            <w:r w:rsidR="003468AC">
              <w:rPr>
                <w:bCs/>
                <w:iCs/>
              </w:rPr>
              <w:t xml:space="preserve">the Supplier </w:t>
            </w:r>
            <w:r w:rsidR="003468AC">
              <w:rPr>
                <w:rFonts w:cs="Calibri"/>
              </w:rPr>
              <w:t>ensured that the application</w:t>
            </w:r>
            <w:r w:rsidR="00EE616A">
              <w:rPr>
                <w:rFonts w:cs="Calibri"/>
              </w:rPr>
              <w:t xml:space="preserve"> </w:t>
            </w:r>
            <w:r w:rsidR="003468AC">
              <w:rPr>
                <w:rFonts w:cs="Calibri"/>
              </w:rPr>
              <w:t>was</w:t>
            </w:r>
            <w:r w:rsidR="00EE616A">
              <w:rPr>
                <w:rFonts w:cs="Calibri"/>
              </w:rPr>
              <w:t xml:space="preserve"> submitted in a timely fashion, </w:t>
            </w:r>
            <w:r w:rsidR="003468AC">
              <w:rPr>
                <w:rFonts w:cs="Calibri"/>
              </w:rPr>
              <w:t>was</w:t>
            </w:r>
            <w:r w:rsidR="00EE616A">
              <w:rPr>
                <w:rFonts w:cs="Calibri"/>
              </w:rPr>
              <w:t xml:space="preserve"> of an accura</w:t>
            </w:r>
            <w:r w:rsidR="003468AC">
              <w:rPr>
                <w:rFonts w:cs="Calibri"/>
              </w:rPr>
              <w:t>te and high standard</w:t>
            </w:r>
            <w:r w:rsidR="00EE616A">
              <w:rPr>
                <w:rFonts w:cs="Calibri"/>
              </w:rPr>
              <w:t xml:space="preserve"> and </w:t>
            </w:r>
            <w:r w:rsidR="006E0501">
              <w:rPr>
                <w:rFonts w:cs="Calibri"/>
              </w:rPr>
              <w:t>w</w:t>
            </w:r>
            <w:r w:rsidR="003468AC">
              <w:rPr>
                <w:rFonts w:cs="Calibri"/>
              </w:rPr>
              <w:t xml:space="preserve">as </w:t>
            </w:r>
            <w:r w:rsidR="00EE616A">
              <w:rPr>
                <w:rFonts w:cs="Calibri"/>
              </w:rPr>
              <w:t xml:space="preserve">presented in such a way </w:t>
            </w:r>
            <w:r w:rsidR="003468AC">
              <w:rPr>
                <w:rFonts w:cs="Calibri"/>
              </w:rPr>
              <w:t>as to</w:t>
            </w:r>
            <w:r w:rsidR="00EE616A">
              <w:rPr>
                <w:rFonts w:cs="Calibri"/>
              </w:rPr>
              <w:t xml:space="preserve"> allow </w:t>
            </w:r>
            <w:r w:rsidR="003468AC">
              <w:rPr>
                <w:rFonts w:cs="Calibri"/>
              </w:rPr>
              <w:t>prompt</w:t>
            </w:r>
            <w:r w:rsidR="00EE616A">
              <w:rPr>
                <w:rFonts w:cs="Calibri"/>
              </w:rPr>
              <w:t xml:space="preserve"> determination.</w:t>
            </w:r>
          </w:p>
        </w:tc>
        <w:tc>
          <w:tcPr>
            <w:tcW w:w="2449" w:type="dxa"/>
          </w:tcPr>
          <w:p w:rsidR="00AB6155" w:rsidRDefault="00DE3555" w:rsidP="00155E55">
            <w:pPr>
              <w:pStyle w:val="Body"/>
              <w:spacing w:before="120" w:after="120"/>
              <w:rPr>
                <w:rFonts w:cs="Calibri"/>
              </w:rPr>
            </w:pPr>
            <w:r>
              <w:rPr>
                <w:rFonts w:cs="Calibri"/>
              </w:rPr>
              <w:lastRenderedPageBreak/>
              <w:t>Term</w:t>
            </w:r>
          </w:p>
        </w:tc>
        <w:tc>
          <w:tcPr>
            <w:tcW w:w="3421" w:type="dxa"/>
          </w:tcPr>
          <w:p w:rsidR="00AB6155" w:rsidRDefault="00AB6155" w:rsidP="00155E55">
            <w:pPr>
              <w:pStyle w:val="Body"/>
              <w:spacing w:before="120" w:after="120"/>
              <w:rPr>
                <w:rFonts w:cs="Calibri"/>
              </w:rPr>
            </w:pPr>
            <w:r>
              <w:rPr>
                <w:rFonts w:cs="Calibri"/>
              </w:rPr>
              <w:t>Change in timescales</w:t>
            </w:r>
          </w:p>
          <w:p w:rsidR="00AB6155" w:rsidRDefault="00AB6155" w:rsidP="00155E55">
            <w:pPr>
              <w:pStyle w:val="Body"/>
              <w:spacing w:before="120" w:after="120"/>
              <w:rPr>
                <w:rFonts w:cs="Calibri"/>
              </w:rPr>
            </w:pPr>
            <w:r>
              <w:rPr>
                <w:rFonts w:cs="Calibri"/>
              </w:rPr>
              <w:t>Reduction in coverage</w:t>
            </w:r>
          </w:p>
          <w:p w:rsidR="00AB6155" w:rsidRDefault="00AB6155" w:rsidP="00155E55">
            <w:pPr>
              <w:pStyle w:val="Body"/>
              <w:spacing w:before="120" w:after="120"/>
              <w:rPr>
                <w:rFonts w:cs="Calibri"/>
              </w:rPr>
            </w:pPr>
            <w:r>
              <w:rPr>
                <w:rFonts w:cs="Calibri"/>
              </w:rPr>
              <w:t xml:space="preserve">Reduction in </w:t>
            </w:r>
            <w:r w:rsidR="00676CC6">
              <w:rPr>
                <w:rFonts w:cs="Calibri"/>
              </w:rPr>
              <w:t>broadband s</w:t>
            </w:r>
            <w:r>
              <w:rPr>
                <w:rFonts w:cs="Calibri"/>
              </w:rPr>
              <w:t>peed</w:t>
            </w:r>
          </w:p>
          <w:p w:rsidR="00AB6155" w:rsidRDefault="00AB6155" w:rsidP="00155E55">
            <w:pPr>
              <w:pStyle w:val="Body"/>
              <w:spacing w:before="120" w:after="120"/>
              <w:rPr>
                <w:rFonts w:cs="Calibri"/>
              </w:rPr>
            </w:pPr>
            <w:r>
              <w:rPr>
                <w:rFonts w:cs="Calibri"/>
              </w:rPr>
              <w:lastRenderedPageBreak/>
              <w:t>Increased cost</w:t>
            </w:r>
          </w:p>
        </w:tc>
        <w:tc>
          <w:tcPr>
            <w:tcW w:w="3422" w:type="dxa"/>
          </w:tcPr>
          <w:p w:rsidR="00AB6155" w:rsidRDefault="003468AC" w:rsidP="00155E55">
            <w:pPr>
              <w:pStyle w:val="Body"/>
              <w:spacing w:before="120" w:after="120"/>
              <w:rPr>
                <w:rFonts w:cs="Calibri"/>
              </w:rPr>
            </w:pPr>
            <w:r w:rsidRPr="00822B25">
              <w:rPr>
                <w:rFonts w:cs="Calibri"/>
              </w:rPr>
              <w:lastRenderedPageBreak/>
              <w:t xml:space="preserve">The actions </w:t>
            </w:r>
            <w:r w:rsidR="00391B82">
              <w:rPr>
                <w:rFonts w:cs="Calibri"/>
              </w:rPr>
              <w:t>set out in</w:t>
            </w:r>
            <w:r w:rsidRPr="00822B25">
              <w:rPr>
                <w:rFonts w:cs="Calibri"/>
              </w:rPr>
              <w:t xml:space="preserve"> Clause 19.3 of the Contract</w:t>
            </w:r>
            <w:r w:rsidR="00391B82">
              <w:rPr>
                <w:rFonts w:cs="Calibri"/>
              </w:rPr>
              <w:t xml:space="preserve">. Further steps to mitigate </w:t>
            </w:r>
            <w:r>
              <w:rPr>
                <w:rFonts w:cs="Calibri"/>
              </w:rPr>
              <w:t>in accordance with Good Industry Practice.</w:t>
            </w:r>
          </w:p>
        </w:tc>
      </w:tr>
      <w:tr w:rsidR="00AB6155" w:rsidTr="00531A9E">
        <w:tc>
          <w:tcPr>
            <w:tcW w:w="534" w:type="dxa"/>
          </w:tcPr>
          <w:p w:rsidR="00AB6155" w:rsidRDefault="00523211" w:rsidP="003468AC">
            <w:pPr>
              <w:pStyle w:val="Body"/>
              <w:spacing w:before="120"/>
            </w:pPr>
            <w:r>
              <w:t>3</w:t>
            </w:r>
          </w:p>
        </w:tc>
        <w:tc>
          <w:tcPr>
            <w:tcW w:w="4394" w:type="dxa"/>
          </w:tcPr>
          <w:p w:rsidR="00AB6155" w:rsidRPr="00775883" w:rsidRDefault="00775883" w:rsidP="00155E55">
            <w:pPr>
              <w:pStyle w:val="Body"/>
              <w:spacing w:before="120" w:after="120"/>
              <w:rPr>
                <w:rFonts w:cs="Calibri"/>
              </w:rPr>
            </w:pPr>
            <w:r w:rsidRPr="00775883">
              <w:rPr>
                <w:lang w:val="x-none"/>
              </w:rPr>
              <w:t>Strike by Authority</w:t>
            </w:r>
            <w:r w:rsidR="00ED1E22">
              <w:t xml:space="preserve"> and/or Other Beneficiary</w:t>
            </w:r>
            <w:r w:rsidRPr="00775883">
              <w:rPr>
                <w:lang w:val="x-none"/>
              </w:rPr>
              <w:t xml:space="preserve"> personnel, which </w:t>
            </w:r>
            <w:r w:rsidR="00050693">
              <w:t xml:space="preserve">directly </w:t>
            </w:r>
            <w:r w:rsidRPr="00775883">
              <w:rPr>
                <w:lang w:val="x-none"/>
              </w:rPr>
              <w:t xml:space="preserve">delays surveying, planning, or deployment.   </w:t>
            </w:r>
            <w:r w:rsidRPr="00775883">
              <w:t xml:space="preserve"> </w:t>
            </w:r>
            <w:r w:rsidRPr="00775883">
              <w:rPr>
                <w:lang w:val="x-none"/>
              </w:rPr>
              <w:t xml:space="preserve"> </w:t>
            </w:r>
          </w:p>
        </w:tc>
        <w:tc>
          <w:tcPr>
            <w:tcW w:w="2449" w:type="dxa"/>
          </w:tcPr>
          <w:p w:rsidR="00AB6155" w:rsidRDefault="00734146" w:rsidP="00155E55">
            <w:pPr>
              <w:pStyle w:val="Body"/>
              <w:spacing w:before="120" w:after="120"/>
              <w:rPr>
                <w:rFonts w:cs="Calibri"/>
              </w:rPr>
            </w:pPr>
            <w:r>
              <w:rPr>
                <w:rFonts w:cs="Calibri"/>
              </w:rPr>
              <w:t>Term</w:t>
            </w:r>
          </w:p>
        </w:tc>
        <w:tc>
          <w:tcPr>
            <w:tcW w:w="3421" w:type="dxa"/>
          </w:tcPr>
          <w:p w:rsidR="00AB6155" w:rsidRDefault="00AB6155" w:rsidP="00155E55">
            <w:pPr>
              <w:pStyle w:val="Body"/>
              <w:spacing w:before="120" w:after="120"/>
              <w:rPr>
                <w:rFonts w:cs="Calibri"/>
              </w:rPr>
            </w:pPr>
            <w:r>
              <w:rPr>
                <w:rFonts w:cs="Calibri"/>
              </w:rPr>
              <w:t>Change to timescales</w:t>
            </w:r>
          </w:p>
          <w:p w:rsidR="00AB6155" w:rsidRDefault="00D36890" w:rsidP="00155E55">
            <w:pPr>
              <w:pStyle w:val="Body"/>
              <w:spacing w:before="120" w:after="120"/>
              <w:rPr>
                <w:rFonts w:cs="Calibri"/>
              </w:rPr>
            </w:pPr>
            <w:r>
              <w:rPr>
                <w:rFonts w:cs="Calibri"/>
              </w:rPr>
              <w:t>I</w:t>
            </w:r>
            <w:r w:rsidR="00AB6155">
              <w:rPr>
                <w:rFonts w:cs="Calibri"/>
              </w:rPr>
              <w:t>ncreased cost</w:t>
            </w:r>
          </w:p>
        </w:tc>
        <w:tc>
          <w:tcPr>
            <w:tcW w:w="3422" w:type="dxa"/>
          </w:tcPr>
          <w:p w:rsidR="00AB6155" w:rsidRPr="00BE1A04" w:rsidRDefault="00391B82" w:rsidP="00155E55">
            <w:pPr>
              <w:pStyle w:val="Body"/>
              <w:spacing w:before="120" w:after="120"/>
              <w:rPr>
                <w:rFonts w:cs="Calibri"/>
                <w:b/>
                <w:highlight w:val="yellow"/>
              </w:rPr>
            </w:pPr>
            <w:r w:rsidRPr="00822B25">
              <w:rPr>
                <w:rFonts w:cs="Calibri"/>
              </w:rPr>
              <w:t xml:space="preserve">The actions </w:t>
            </w:r>
            <w:r>
              <w:rPr>
                <w:rFonts w:cs="Calibri"/>
              </w:rPr>
              <w:t>set out in</w:t>
            </w:r>
            <w:r w:rsidRPr="00822B25">
              <w:rPr>
                <w:rFonts w:cs="Calibri"/>
              </w:rPr>
              <w:t xml:space="preserve"> Clause 19.3 of the Contract</w:t>
            </w:r>
            <w:r>
              <w:rPr>
                <w:rFonts w:cs="Calibri"/>
              </w:rPr>
              <w:t>. Further steps to mitigate in accordance with Good Industry Practice.</w:t>
            </w:r>
          </w:p>
        </w:tc>
      </w:tr>
      <w:tr w:rsidR="003373C1" w:rsidRPr="00E90BB9" w:rsidTr="00531A9E">
        <w:tc>
          <w:tcPr>
            <w:tcW w:w="534" w:type="dxa"/>
          </w:tcPr>
          <w:p w:rsidR="003373C1" w:rsidRPr="003B496E" w:rsidRDefault="003373C1" w:rsidP="007430A4">
            <w:pPr>
              <w:pStyle w:val="Body"/>
              <w:spacing w:before="120"/>
              <w:rPr>
                <w:color w:val="000000"/>
              </w:rPr>
            </w:pPr>
            <w:r>
              <w:rPr>
                <w:color w:val="000000"/>
              </w:rPr>
              <w:t>4</w:t>
            </w:r>
          </w:p>
        </w:tc>
        <w:tc>
          <w:tcPr>
            <w:tcW w:w="4394" w:type="dxa"/>
          </w:tcPr>
          <w:p w:rsidR="003373C1" w:rsidRPr="003B496E" w:rsidRDefault="003373C1" w:rsidP="00531A9E">
            <w:pPr>
              <w:pStyle w:val="Body"/>
              <w:spacing w:before="120" w:after="120"/>
            </w:pPr>
            <w:r w:rsidRPr="003B496E">
              <w:t xml:space="preserve">Without prejudice to the operation of Clause 5, any requirement for permits, consents or notices from the Authority (or anyone acting on the Authority’s behalf) where details were provided </w:t>
            </w:r>
            <w:r w:rsidR="0048473B">
              <w:t xml:space="preserve">as part of the ITT </w:t>
            </w:r>
            <w:r w:rsidRPr="003B496E">
              <w:t>but have subsequently changed from what was provided including:</w:t>
            </w:r>
          </w:p>
          <w:p w:rsidR="003373C1" w:rsidRPr="00531A9E" w:rsidRDefault="00531A9E" w:rsidP="00531A9E">
            <w:pPr>
              <w:spacing w:before="120"/>
              <w:ind w:left="459" w:hanging="459"/>
              <w:rPr>
                <w:bCs/>
                <w:iCs/>
              </w:rPr>
            </w:pPr>
            <w:r>
              <w:rPr>
                <w:bCs/>
                <w:iCs/>
              </w:rPr>
              <w:t>(a)</w:t>
            </w:r>
            <w:r>
              <w:rPr>
                <w:bCs/>
                <w:iCs/>
              </w:rPr>
              <w:tab/>
            </w:r>
            <w:r w:rsidR="003373C1" w:rsidRPr="00531A9E">
              <w:rPr>
                <w:bCs/>
                <w:iCs/>
              </w:rPr>
              <w:t xml:space="preserve">any classification of works as major works under the </w:t>
            </w:r>
            <w:r w:rsidR="008E70A4" w:rsidRPr="008E70A4">
              <w:rPr>
                <w:bCs/>
                <w:iCs/>
              </w:rPr>
              <w:t>Construction (Design and Management) Regulations 2015</w:t>
            </w:r>
            <w:r w:rsidR="003373C1" w:rsidRPr="00531A9E">
              <w:rPr>
                <w:bCs/>
                <w:iCs/>
              </w:rPr>
              <w:t>; and/or</w:t>
            </w:r>
          </w:p>
          <w:p w:rsidR="00024811" w:rsidRPr="00531A9E" w:rsidRDefault="00531A9E" w:rsidP="00531A9E">
            <w:pPr>
              <w:spacing w:before="120"/>
              <w:ind w:left="459" w:hanging="459"/>
              <w:rPr>
                <w:bCs/>
                <w:iCs/>
              </w:rPr>
            </w:pPr>
            <w:r>
              <w:rPr>
                <w:bCs/>
                <w:iCs/>
              </w:rPr>
              <w:t>(b)</w:t>
            </w:r>
            <w:r>
              <w:rPr>
                <w:bCs/>
                <w:iCs/>
              </w:rPr>
              <w:tab/>
            </w:r>
            <w:r w:rsidR="003373C1" w:rsidRPr="00531A9E">
              <w:rPr>
                <w:bCs/>
                <w:iCs/>
              </w:rPr>
              <w:t>any classification as traffic sensitive, Road Category 0-2, or major works pursuant to any permit scheme under the Traffic Management Act</w:t>
            </w:r>
            <w:r w:rsidR="00F6498A">
              <w:rPr>
                <w:bCs/>
                <w:iCs/>
              </w:rPr>
              <w:t xml:space="preserve"> 2004</w:t>
            </w:r>
            <w:r w:rsidR="00024811" w:rsidRPr="00531A9E">
              <w:rPr>
                <w:bCs/>
                <w:iCs/>
              </w:rPr>
              <w:t>,</w:t>
            </w:r>
          </w:p>
          <w:p w:rsidR="003373C1" w:rsidRPr="003373C1" w:rsidRDefault="00024811" w:rsidP="00531A9E">
            <w:pPr>
              <w:pStyle w:val="Body"/>
              <w:spacing w:before="120" w:after="120"/>
              <w:ind w:left="33" w:hanging="33"/>
              <w:rPr>
                <w:color w:val="000000"/>
              </w:rPr>
            </w:pPr>
            <w:r>
              <w:rPr>
                <w:color w:val="000000"/>
              </w:rPr>
              <w:t xml:space="preserve">provided that the Supplier </w:t>
            </w:r>
            <w:r w:rsidR="00531A9E">
              <w:rPr>
                <w:color w:val="000000"/>
              </w:rPr>
              <w:t>has</w:t>
            </w:r>
            <w:r w:rsidRPr="00024811">
              <w:rPr>
                <w:color w:val="000000"/>
              </w:rPr>
              <w:t xml:space="preserve"> take</w:t>
            </w:r>
            <w:r w:rsidR="00531A9E">
              <w:rPr>
                <w:color w:val="000000"/>
              </w:rPr>
              <w:t>n</w:t>
            </w:r>
            <w:r w:rsidRPr="00024811">
              <w:rPr>
                <w:color w:val="000000"/>
              </w:rPr>
              <w:t xml:space="preserve"> reasonable steps to ensure that applications under the relevant permit, consent and/or </w:t>
            </w:r>
            <w:r w:rsidRPr="00024811">
              <w:rPr>
                <w:color w:val="000000"/>
              </w:rPr>
              <w:lastRenderedPageBreak/>
              <w:t xml:space="preserve">notice applications (as applicable) are submitted in a timely fashion, are of an accurate and high standard, and presented in such a way which will allow </w:t>
            </w:r>
            <w:r>
              <w:rPr>
                <w:color w:val="000000"/>
              </w:rPr>
              <w:t>prompt</w:t>
            </w:r>
            <w:r w:rsidRPr="00024811">
              <w:rPr>
                <w:color w:val="000000"/>
              </w:rPr>
              <w:t xml:space="preserve"> determination of the relevant application/request.</w:t>
            </w:r>
          </w:p>
        </w:tc>
        <w:tc>
          <w:tcPr>
            <w:tcW w:w="2449" w:type="dxa"/>
          </w:tcPr>
          <w:p w:rsidR="003373C1" w:rsidRPr="003B496E" w:rsidRDefault="003373C1" w:rsidP="003202AE">
            <w:pPr>
              <w:pStyle w:val="Body"/>
              <w:spacing w:before="120" w:after="120"/>
              <w:rPr>
                <w:rFonts w:cs="Calibri"/>
                <w:color w:val="000000"/>
              </w:rPr>
            </w:pPr>
            <w:r w:rsidRPr="003B496E">
              <w:rPr>
                <w:rFonts w:cs="Calibri"/>
                <w:color w:val="000000"/>
              </w:rPr>
              <w:lastRenderedPageBreak/>
              <w:t>Term</w:t>
            </w:r>
          </w:p>
        </w:tc>
        <w:tc>
          <w:tcPr>
            <w:tcW w:w="3421" w:type="dxa"/>
          </w:tcPr>
          <w:p w:rsidR="003373C1" w:rsidRPr="003B496E" w:rsidRDefault="003373C1" w:rsidP="003202AE">
            <w:pPr>
              <w:pStyle w:val="Body"/>
              <w:spacing w:before="120" w:after="120"/>
              <w:jc w:val="left"/>
              <w:rPr>
                <w:rFonts w:cs="Calibri"/>
                <w:color w:val="000000"/>
              </w:rPr>
            </w:pPr>
            <w:r w:rsidRPr="003B496E">
              <w:rPr>
                <w:rFonts w:cs="Calibri"/>
                <w:color w:val="000000"/>
              </w:rPr>
              <w:t>Change in timescales</w:t>
            </w:r>
          </w:p>
          <w:p w:rsidR="003373C1" w:rsidRPr="003B496E" w:rsidRDefault="003373C1" w:rsidP="003202AE">
            <w:pPr>
              <w:pStyle w:val="Body"/>
              <w:spacing w:before="120" w:after="120"/>
              <w:jc w:val="left"/>
              <w:rPr>
                <w:rFonts w:cs="Calibri"/>
                <w:color w:val="000000"/>
              </w:rPr>
            </w:pPr>
            <w:r w:rsidRPr="003B496E">
              <w:rPr>
                <w:rFonts w:cs="Calibri"/>
                <w:color w:val="000000"/>
              </w:rPr>
              <w:t>Reduction in coverage</w:t>
            </w:r>
          </w:p>
          <w:p w:rsidR="003373C1" w:rsidRPr="003B496E" w:rsidRDefault="003373C1" w:rsidP="003202AE">
            <w:pPr>
              <w:pStyle w:val="Body"/>
              <w:spacing w:before="120" w:after="120"/>
              <w:jc w:val="left"/>
              <w:rPr>
                <w:rFonts w:cs="Calibri"/>
                <w:color w:val="000000"/>
              </w:rPr>
            </w:pPr>
            <w:r w:rsidRPr="003B496E">
              <w:rPr>
                <w:rFonts w:cs="Calibri"/>
                <w:color w:val="000000"/>
              </w:rPr>
              <w:t>Reduction in Speed</w:t>
            </w:r>
          </w:p>
          <w:p w:rsidR="003373C1" w:rsidRPr="003B496E" w:rsidRDefault="003373C1" w:rsidP="003202AE">
            <w:pPr>
              <w:pStyle w:val="Body"/>
              <w:spacing w:before="120" w:after="120"/>
              <w:jc w:val="left"/>
              <w:rPr>
                <w:rFonts w:cs="Calibri"/>
                <w:color w:val="000000"/>
              </w:rPr>
            </w:pPr>
            <w:r w:rsidRPr="003B496E">
              <w:rPr>
                <w:rFonts w:cs="Calibri"/>
                <w:color w:val="000000"/>
              </w:rPr>
              <w:t>Increased cost</w:t>
            </w:r>
          </w:p>
        </w:tc>
        <w:tc>
          <w:tcPr>
            <w:tcW w:w="3422" w:type="dxa"/>
          </w:tcPr>
          <w:p w:rsidR="003373C1" w:rsidRPr="003B496E" w:rsidRDefault="00024811" w:rsidP="003202AE">
            <w:pPr>
              <w:pStyle w:val="Body"/>
              <w:spacing w:before="120" w:after="120"/>
              <w:rPr>
                <w:color w:val="000000"/>
              </w:rPr>
            </w:pPr>
            <w:r w:rsidRPr="00024811">
              <w:rPr>
                <w:color w:val="000000"/>
              </w:rPr>
              <w:t>The actions set out in Clause 19.3 of the Contract. Further steps to mitigate in accordance with Good Industry Practice.</w:t>
            </w:r>
          </w:p>
        </w:tc>
      </w:tr>
      <w:tr w:rsidR="00A911B9" w:rsidRPr="00E90BB9" w:rsidTr="00531A9E">
        <w:tc>
          <w:tcPr>
            <w:tcW w:w="534" w:type="dxa"/>
            <w:tcBorders>
              <w:top w:val="single" w:sz="4" w:space="0" w:color="000000"/>
              <w:left w:val="single" w:sz="4" w:space="0" w:color="000000"/>
              <w:bottom w:val="single" w:sz="4" w:space="0" w:color="000000"/>
              <w:right w:val="single" w:sz="4" w:space="0" w:color="000000"/>
            </w:tcBorders>
          </w:tcPr>
          <w:p w:rsidR="00A911B9" w:rsidRPr="003B496E" w:rsidRDefault="0048473B" w:rsidP="007430A4">
            <w:pPr>
              <w:pStyle w:val="Body"/>
              <w:spacing w:before="120"/>
              <w:rPr>
                <w:color w:val="000000"/>
              </w:rPr>
            </w:pPr>
            <w:r>
              <w:rPr>
                <w:color w:val="000000"/>
              </w:rPr>
              <w:t>5</w:t>
            </w:r>
          </w:p>
        </w:tc>
        <w:tc>
          <w:tcPr>
            <w:tcW w:w="4394" w:type="dxa"/>
            <w:tcBorders>
              <w:top w:val="single" w:sz="4" w:space="0" w:color="000000"/>
              <w:left w:val="single" w:sz="4" w:space="0" w:color="000000"/>
              <w:bottom w:val="single" w:sz="4" w:space="0" w:color="000000"/>
              <w:right w:val="single" w:sz="4" w:space="0" w:color="000000"/>
            </w:tcBorders>
          </w:tcPr>
          <w:p w:rsidR="00A911B9" w:rsidRPr="00A911B9" w:rsidRDefault="00A911B9" w:rsidP="00531A9E">
            <w:pPr>
              <w:pStyle w:val="Body"/>
              <w:spacing w:before="120" w:after="120"/>
            </w:pPr>
            <w:r w:rsidRPr="003B496E">
              <w:t xml:space="preserve">Authority delays and/or refusals in granting wayleaves on reasonable terms (being </w:t>
            </w:r>
            <w:r w:rsidR="0048473B">
              <w:t xml:space="preserve">consistent with </w:t>
            </w:r>
            <w:r w:rsidRPr="003B496E">
              <w:t xml:space="preserve">those terms the </w:t>
            </w:r>
            <w:r w:rsidR="0048473B">
              <w:t>Authority otherwise sets for</w:t>
            </w:r>
            <w:r w:rsidRPr="003B496E">
              <w:t xml:space="preserve"> commercial deployment</w:t>
            </w:r>
            <w:r w:rsidR="0048473B">
              <w:t>s</w:t>
            </w:r>
            <w:r w:rsidRPr="003B496E">
              <w:t xml:space="preserve">) where the wayleaves </w:t>
            </w:r>
            <w:r>
              <w:t>are required from the Authority, provided that t</w:t>
            </w:r>
            <w:r w:rsidRPr="003B496E">
              <w:rPr>
                <w:color w:val="000000"/>
              </w:rPr>
              <w:t xml:space="preserve">he Supplier </w:t>
            </w:r>
            <w:r>
              <w:rPr>
                <w:color w:val="000000"/>
              </w:rPr>
              <w:t>has</w:t>
            </w:r>
            <w:r w:rsidRPr="003B496E">
              <w:rPr>
                <w:color w:val="000000"/>
              </w:rPr>
              <w:t xml:space="preserve"> take</w:t>
            </w:r>
            <w:r>
              <w:rPr>
                <w:color w:val="000000"/>
              </w:rPr>
              <w:t>n</w:t>
            </w:r>
            <w:r w:rsidRPr="003B496E">
              <w:rPr>
                <w:color w:val="000000"/>
              </w:rPr>
              <w:t xml:space="preserve"> reasonable steps to ensure that requests for wayleaves are submitted in a timely fashion, are of an accurate and high standard, and presented in such a way which will allow </w:t>
            </w:r>
            <w:r>
              <w:rPr>
                <w:color w:val="000000"/>
              </w:rPr>
              <w:t>prompt</w:t>
            </w:r>
            <w:r w:rsidRPr="003B496E">
              <w:rPr>
                <w:color w:val="000000"/>
              </w:rPr>
              <w:t xml:space="preserve"> determination of the relevant request.</w:t>
            </w:r>
          </w:p>
        </w:tc>
        <w:tc>
          <w:tcPr>
            <w:tcW w:w="2449" w:type="dxa"/>
            <w:tcBorders>
              <w:top w:val="single" w:sz="4" w:space="0" w:color="000000"/>
              <w:left w:val="single" w:sz="4" w:space="0" w:color="000000"/>
              <w:bottom w:val="single" w:sz="4" w:space="0" w:color="000000"/>
              <w:right w:val="single" w:sz="4" w:space="0" w:color="000000"/>
            </w:tcBorders>
          </w:tcPr>
          <w:p w:rsidR="00A911B9" w:rsidRPr="003B496E" w:rsidRDefault="00A911B9" w:rsidP="003202AE">
            <w:pPr>
              <w:pStyle w:val="Body"/>
              <w:spacing w:before="120" w:after="120"/>
              <w:rPr>
                <w:rFonts w:cs="Calibri"/>
                <w:color w:val="000000"/>
              </w:rPr>
            </w:pPr>
            <w:r w:rsidRPr="003B496E">
              <w:rPr>
                <w:rFonts w:cs="Calibri"/>
                <w:color w:val="000000"/>
              </w:rPr>
              <w:t>Term</w:t>
            </w:r>
          </w:p>
        </w:tc>
        <w:tc>
          <w:tcPr>
            <w:tcW w:w="3421" w:type="dxa"/>
            <w:tcBorders>
              <w:top w:val="single" w:sz="4" w:space="0" w:color="000000"/>
              <w:left w:val="single" w:sz="4" w:space="0" w:color="000000"/>
              <w:bottom w:val="single" w:sz="4" w:space="0" w:color="000000"/>
              <w:right w:val="single" w:sz="4" w:space="0" w:color="000000"/>
            </w:tcBorders>
          </w:tcPr>
          <w:p w:rsidR="00A911B9" w:rsidRPr="003B496E" w:rsidRDefault="00A911B9" w:rsidP="003202AE">
            <w:pPr>
              <w:pStyle w:val="Body"/>
              <w:spacing w:before="120" w:after="120"/>
              <w:jc w:val="left"/>
              <w:rPr>
                <w:rFonts w:cs="Calibri"/>
                <w:color w:val="000000"/>
              </w:rPr>
            </w:pPr>
            <w:r w:rsidRPr="003B496E">
              <w:rPr>
                <w:rFonts w:cs="Calibri"/>
                <w:color w:val="000000"/>
              </w:rPr>
              <w:t>Change in timescales</w:t>
            </w:r>
          </w:p>
          <w:p w:rsidR="00A911B9" w:rsidRPr="003B496E" w:rsidRDefault="00A911B9" w:rsidP="003202AE">
            <w:pPr>
              <w:pStyle w:val="Body"/>
              <w:spacing w:before="120" w:after="120"/>
              <w:jc w:val="left"/>
              <w:rPr>
                <w:rFonts w:cs="Calibri"/>
                <w:color w:val="000000"/>
              </w:rPr>
            </w:pPr>
            <w:r w:rsidRPr="003B496E">
              <w:rPr>
                <w:rFonts w:cs="Calibri"/>
                <w:color w:val="000000"/>
              </w:rPr>
              <w:t>Reduction in coverage</w:t>
            </w:r>
          </w:p>
          <w:p w:rsidR="00A911B9" w:rsidRPr="003B496E" w:rsidRDefault="00A911B9" w:rsidP="003202AE">
            <w:pPr>
              <w:pStyle w:val="Body"/>
              <w:spacing w:before="120" w:after="120"/>
              <w:jc w:val="left"/>
              <w:rPr>
                <w:rFonts w:cs="Calibri"/>
                <w:color w:val="000000"/>
              </w:rPr>
            </w:pPr>
            <w:r w:rsidRPr="003B496E">
              <w:rPr>
                <w:rFonts w:cs="Calibri"/>
                <w:color w:val="000000"/>
              </w:rPr>
              <w:t>Reduction in Speed</w:t>
            </w:r>
          </w:p>
          <w:p w:rsidR="00A911B9" w:rsidRPr="003B496E" w:rsidRDefault="00A911B9" w:rsidP="003202AE">
            <w:pPr>
              <w:pStyle w:val="Body"/>
              <w:spacing w:before="120" w:after="120"/>
              <w:jc w:val="left"/>
              <w:rPr>
                <w:rFonts w:cs="Calibri"/>
                <w:color w:val="000000"/>
              </w:rPr>
            </w:pPr>
            <w:r w:rsidRPr="003B496E">
              <w:rPr>
                <w:rFonts w:cs="Calibri"/>
                <w:color w:val="000000"/>
              </w:rPr>
              <w:t>Increased cost</w:t>
            </w:r>
          </w:p>
        </w:tc>
        <w:tc>
          <w:tcPr>
            <w:tcW w:w="3422" w:type="dxa"/>
            <w:tcBorders>
              <w:top w:val="single" w:sz="4" w:space="0" w:color="000000"/>
              <w:left w:val="single" w:sz="4" w:space="0" w:color="000000"/>
              <w:bottom w:val="single" w:sz="4" w:space="0" w:color="000000"/>
              <w:right w:val="single" w:sz="4" w:space="0" w:color="000000"/>
            </w:tcBorders>
          </w:tcPr>
          <w:p w:rsidR="00A911B9" w:rsidRPr="003B496E" w:rsidRDefault="00A911B9" w:rsidP="003202AE">
            <w:pPr>
              <w:pStyle w:val="Body"/>
              <w:spacing w:before="120" w:after="120"/>
              <w:rPr>
                <w:color w:val="000000"/>
              </w:rPr>
            </w:pPr>
            <w:r w:rsidRPr="00A911B9">
              <w:rPr>
                <w:color w:val="000000"/>
              </w:rPr>
              <w:t>The actions set out in Clause 19.3 of the Contract. Further steps to mitigate in accordance with Good Industry Practice.</w:t>
            </w:r>
          </w:p>
        </w:tc>
      </w:tr>
      <w:tr w:rsidR="00AB6155" w:rsidTr="00531A9E">
        <w:tc>
          <w:tcPr>
            <w:tcW w:w="534" w:type="dxa"/>
          </w:tcPr>
          <w:p w:rsidR="00AB6155" w:rsidRDefault="0048473B" w:rsidP="003468AC">
            <w:pPr>
              <w:pStyle w:val="Body"/>
              <w:spacing w:before="120"/>
            </w:pPr>
            <w:r>
              <w:t>6</w:t>
            </w:r>
          </w:p>
        </w:tc>
        <w:tc>
          <w:tcPr>
            <w:tcW w:w="4394" w:type="dxa"/>
          </w:tcPr>
          <w:p w:rsidR="00AB6155" w:rsidRPr="00746403" w:rsidRDefault="00775883" w:rsidP="00676CC6">
            <w:pPr>
              <w:pStyle w:val="Body"/>
              <w:spacing w:before="120" w:after="120"/>
              <w:rPr>
                <w:rFonts w:cs="Calibri"/>
              </w:rPr>
            </w:pPr>
            <w:r w:rsidRPr="00775883">
              <w:t>A</w:t>
            </w:r>
            <w:r w:rsidRPr="00775883">
              <w:rPr>
                <w:lang w:val="x-none"/>
              </w:rPr>
              <w:t xml:space="preserve">cts or omissions of third parties </w:t>
            </w:r>
            <w:r w:rsidR="00050693">
              <w:t xml:space="preserve">directly </w:t>
            </w:r>
            <w:r w:rsidRPr="00775883">
              <w:rPr>
                <w:lang w:val="x-none"/>
              </w:rPr>
              <w:t>impacting delivery</w:t>
            </w:r>
            <w:r w:rsidR="00550C95">
              <w:t xml:space="preserve"> of the project</w:t>
            </w:r>
            <w:r w:rsidR="00C456A6">
              <w:t>,</w:t>
            </w:r>
            <w:r w:rsidRPr="00775883">
              <w:rPr>
                <w:lang w:val="x-none"/>
              </w:rPr>
              <w:t xml:space="preserve"> where</w:t>
            </w:r>
            <w:r w:rsidR="00746403">
              <w:t xml:space="preserve"> these are: (i) </w:t>
            </w:r>
            <w:r w:rsidRPr="00775883">
              <w:rPr>
                <w:lang w:val="x-none"/>
              </w:rPr>
              <w:t xml:space="preserve">under </w:t>
            </w:r>
            <w:r w:rsidR="00746403">
              <w:t xml:space="preserve">the direct </w:t>
            </w:r>
            <w:r w:rsidRPr="00775883">
              <w:rPr>
                <w:lang w:val="x-none"/>
              </w:rPr>
              <w:t xml:space="preserve">control of the </w:t>
            </w:r>
            <w:r w:rsidRPr="00775883">
              <w:t>Authority</w:t>
            </w:r>
            <w:r w:rsidR="00746403">
              <w:rPr>
                <w:rFonts w:eastAsia="Univers 45 Light"/>
                <w:szCs w:val="22"/>
                <w:lang w:eastAsia="en-US"/>
              </w:rPr>
              <w:t xml:space="preserve">; </w:t>
            </w:r>
            <w:r w:rsidR="00C456A6">
              <w:rPr>
                <w:rFonts w:eastAsia="Univers 45 Light"/>
                <w:szCs w:val="22"/>
                <w:lang w:eastAsia="en-US"/>
              </w:rPr>
              <w:t xml:space="preserve">and </w:t>
            </w:r>
            <w:r w:rsidR="00746403">
              <w:t>(ii)</w:t>
            </w:r>
            <w:r w:rsidR="00746403" w:rsidRPr="00775883">
              <w:rPr>
                <w:lang w:val="x-none"/>
              </w:rPr>
              <w:t xml:space="preserve"> not under </w:t>
            </w:r>
            <w:r w:rsidR="00C456A6">
              <w:t xml:space="preserve">the </w:t>
            </w:r>
            <w:r w:rsidR="00746403" w:rsidRPr="00775883">
              <w:rPr>
                <w:lang w:val="x-none"/>
              </w:rPr>
              <w:t xml:space="preserve">control of </w:t>
            </w:r>
            <w:r w:rsidR="00746403">
              <w:t xml:space="preserve">the </w:t>
            </w:r>
            <w:r w:rsidR="00746403" w:rsidRPr="00775883">
              <w:rPr>
                <w:lang w:val="x-none"/>
              </w:rPr>
              <w:t>Supplier</w:t>
            </w:r>
            <w:r w:rsidR="006E0501">
              <w:t>, save where</w:t>
            </w:r>
            <w:r w:rsidR="00C456A6">
              <w:t xml:space="preserve"> </w:t>
            </w:r>
            <w:r w:rsidR="00676CC6">
              <w:t xml:space="preserve">such acts or omissions reflect steps being taken by the </w:t>
            </w:r>
            <w:r w:rsidR="00C456A6">
              <w:t xml:space="preserve">Authority </w:t>
            </w:r>
            <w:r w:rsidR="00676CC6">
              <w:t>to comply with</w:t>
            </w:r>
            <w:r w:rsidR="00C456A6">
              <w:t xml:space="preserve"> </w:t>
            </w:r>
            <w:r w:rsidR="00676CC6">
              <w:t>L</w:t>
            </w:r>
            <w:r w:rsidR="00C456A6">
              <w:t>aw</w:t>
            </w:r>
            <w:r w:rsidR="00676CC6">
              <w:t xml:space="preserve"> and/or </w:t>
            </w:r>
            <w:r w:rsidR="00C456A6">
              <w:t>its duties as a public body.</w:t>
            </w:r>
          </w:p>
        </w:tc>
        <w:tc>
          <w:tcPr>
            <w:tcW w:w="2449" w:type="dxa"/>
          </w:tcPr>
          <w:p w:rsidR="00AB6155" w:rsidRDefault="00734146" w:rsidP="00155E55">
            <w:pPr>
              <w:pStyle w:val="Body"/>
              <w:spacing w:before="120" w:after="120"/>
              <w:rPr>
                <w:rFonts w:cs="Calibri"/>
              </w:rPr>
            </w:pPr>
            <w:r>
              <w:rPr>
                <w:rFonts w:cs="Calibri"/>
              </w:rPr>
              <w:t>Term</w:t>
            </w:r>
          </w:p>
        </w:tc>
        <w:tc>
          <w:tcPr>
            <w:tcW w:w="3421" w:type="dxa"/>
          </w:tcPr>
          <w:p w:rsidR="00AB6155" w:rsidRDefault="00AB6155" w:rsidP="00155E55">
            <w:pPr>
              <w:pStyle w:val="Body"/>
              <w:spacing w:before="120" w:after="120"/>
              <w:rPr>
                <w:rFonts w:cs="Calibri"/>
              </w:rPr>
            </w:pPr>
            <w:r>
              <w:rPr>
                <w:rFonts w:cs="Calibri"/>
              </w:rPr>
              <w:t>Increased cost</w:t>
            </w:r>
          </w:p>
          <w:p w:rsidR="00AB6155" w:rsidRDefault="00AB6155" w:rsidP="00155E55">
            <w:pPr>
              <w:pStyle w:val="Body"/>
              <w:spacing w:before="120" w:after="120"/>
              <w:rPr>
                <w:rFonts w:cs="Calibri"/>
              </w:rPr>
            </w:pPr>
            <w:r>
              <w:rPr>
                <w:rFonts w:cs="Calibri"/>
              </w:rPr>
              <w:t>Reduced coverage</w:t>
            </w:r>
          </w:p>
          <w:p w:rsidR="00AB6155" w:rsidRDefault="00AB6155" w:rsidP="00155E55">
            <w:pPr>
              <w:pStyle w:val="Body"/>
              <w:spacing w:before="120" w:after="120"/>
              <w:rPr>
                <w:rFonts w:cs="Calibri"/>
              </w:rPr>
            </w:pPr>
            <w:r>
              <w:rPr>
                <w:rFonts w:cs="Calibri"/>
              </w:rPr>
              <w:t xml:space="preserve">Reduced </w:t>
            </w:r>
            <w:r w:rsidR="00676CC6">
              <w:rPr>
                <w:rFonts w:cs="Calibri"/>
              </w:rPr>
              <w:t xml:space="preserve">broadband </w:t>
            </w:r>
            <w:r>
              <w:rPr>
                <w:rFonts w:cs="Calibri"/>
              </w:rPr>
              <w:t>speed</w:t>
            </w:r>
          </w:p>
          <w:p w:rsidR="00AB6155" w:rsidRDefault="00AB6155" w:rsidP="00155E55">
            <w:pPr>
              <w:pStyle w:val="Body"/>
              <w:spacing w:before="120" w:after="120"/>
              <w:rPr>
                <w:rFonts w:cs="Calibri"/>
              </w:rPr>
            </w:pPr>
            <w:r>
              <w:rPr>
                <w:rFonts w:cs="Calibri"/>
              </w:rPr>
              <w:t>Change to timescales</w:t>
            </w:r>
          </w:p>
        </w:tc>
        <w:tc>
          <w:tcPr>
            <w:tcW w:w="3422" w:type="dxa"/>
          </w:tcPr>
          <w:p w:rsidR="00AB6155" w:rsidRPr="00BE1A04" w:rsidRDefault="00391B82" w:rsidP="00155E55">
            <w:pPr>
              <w:pStyle w:val="Body"/>
              <w:spacing w:before="120" w:after="120"/>
              <w:rPr>
                <w:rFonts w:cs="Calibri"/>
                <w:b/>
                <w:highlight w:val="yellow"/>
              </w:rPr>
            </w:pPr>
            <w:r w:rsidRPr="00822B25">
              <w:rPr>
                <w:rFonts w:cs="Calibri"/>
              </w:rPr>
              <w:t xml:space="preserve">The actions </w:t>
            </w:r>
            <w:r>
              <w:rPr>
                <w:rFonts w:cs="Calibri"/>
              </w:rPr>
              <w:t>set out in</w:t>
            </w:r>
            <w:r w:rsidRPr="00822B25">
              <w:rPr>
                <w:rFonts w:cs="Calibri"/>
              </w:rPr>
              <w:t xml:space="preserve"> Clause 19.3 of the Contract</w:t>
            </w:r>
            <w:r>
              <w:rPr>
                <w:rFonts w:cs="Calibri"/>
              </w:rPr>
              <w:t>. Further steps to mitigate in accordance with Good Industry Practice.</w:t>
            </w:r>
          </w:p>
        </w:tc>
      </w:tr>
      <w:bookmarkEnd w:id="0"/>
    </w:tbl>
    <w:p w:rsidR="00D91209" w:rsidRPr="0057011F" w:rsidRDefault="00D91209" w:rsidP="00746403">
      <w:pPr>
        <w:pStyle w:val="Body1"/>
        <w:ind w:left="0"/>
        <w:rPr>
          <w:b/>
        </w:rPr>
      </w:pPr>
    </w:p>
    <w:sectPr w:rsidR="00D91209" w:rsidRPr="0057011F" w:rsidSect="001A5F1C">
      <w:pgSz w:w="16840" w:h="11907" w:orient="landscape" w:code="9"/>
      <w:pgMar w:top="1701" w:right="1418" w:bottom="1701" w:left="1418" w:header="709" w:footer="709" w:gutter="0"/>
      <w:paperSrc w:first="261" w:other="26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2A" w:rsidRDefault="00DC5C2A">
      <w:r>
        <w:separator/>
      </w:r>
    </w:p>
  </w:endnote>
  <w:endnote w:type="continuationSeparator" w:id="0">
    <w:p w:rsidR="00DC5C2A" w:rsidRDefault="00DC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11" w:rsidRDefault="0052321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11" w:rsidRPr="00523211" w:rsidRDefault="00523211" w:rsidP="0052321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9F" w:rsidRPr="00A91229" w:rsidRDefault="00407A9F" w:rsidP="00407A9F">
    <w:pPr>
      <w:pStyle w:val="Footer"/>
      <w:pBdr>
        <w:top w:val="single" w:sz="4" w:space="1" w:color="auto"/>
      </w:pBdr>
      <w:tabs>
        <w:tab w:val="right" w:pos="9000"/>
      </w:tabs>
      <w:ind w:right="29"/>
      <w:jc w:val="left"/>
      <w:rPr>
        <w:iCs/>
        <w:szCs w:val="16"/>
      </w:rPr>
    </w:pPr>
    <w:r w:rsidRPr="00A91229">
      <w:rPr>
        <w:iCs/>
        <w:szCs w:val="16"/>
      </w:rPr>
      <w:t xml:space="preserve">SCHEDULE </w:t>
    </w:r>
    <w:r w:rsidR="002341BE">
      <w:rPr>
        <w:iCs/>
        <w:szCs w:val="16"/>
      </w:rPr>
      <w:t>4.3 – RELIEF EVENTS</w:t>
    </w:r>
  </w:p>
  <w:p w:rsidR="00523211" w:rsidRPr="00A91229" w:rsidRDefault="00407A9F" w:rsidP="000361F2">
    <w:pPr>
      <w:pStyle w:val="Footer"/>
      <w:jc w:val="center"/>
      <w:rPr>
        <w:rStyle w:val="PageNumber"/>
        <w:szCs w:val="16"/>
      </w:rPr>
    </w:pPr>
    <w:r w:rsidRPr="00A91229">
      <w:rPr>
        <w:rStyle w:val="PageNumber"/>
        <w:szCs w:val="16"/>
      </w:rPr>
      <w:fldChar w:fldCharType="begin"/>
    </w:r>
    <w:r w:rsidRPr="00A91229">
      <w:rPr>
        <w:rStyle w:val="PageNumber"/>
        <w:szCs w:val="16"/>
      </w:rPr>
      <w:instrText xml:space="preserve"> PAGE </w:instrText>
    </w:r>
    <w:r w:rsidRPr="00A91229">
      <w:rPr>
        <w:rStyle w:val="PageNumber"/>
        <w:szCs w:val="16"/>
      </w:rPr>
      <w:fldChar w:fldCharType="separate"/>
    </w:r>
    <w:r w:rsidR="0072779B">
      <w:rPr>
        <w:rStyle w:val="PageNumber"/>
        <w:noProof/>
        <w:szCs w:val="16"/>
      </w:rPr>
      <w:t>4</w:t>
    </w:r>
    <w:r w:rsidRPr="00A91229">
      <w:rPr>
        <w:rStyle w:val="PageNumbe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E9" w:rsidRPr="00A91229" w:rsidRDefault="00EB24FA" w:rsidP="00B579E9">
    <w:pPr>
      <w:pStyle w:val="Footer"/>
      <w:pBdr>
        <w:top w:val="single" w:sz="4" w:space="1" w:color="auto"/>
      </w:pBdr>
      <w:tabs>
        <w:tab w:val="right" w:pos="9000"/>
      </w:tabs>
      <w:ind w:right="29"/>
      <w:jc w:val="left"/>
      <w:rPr>
        <w:iCs/>
        <w:szCs w:val="16"/>
      </w:rPr>
    </w:pPr>
    <w:r w:rsidRPr="00A91229">
      <w:rPr>
        <w:iCs/>
        <w:szCs w:val="16"/>
      </w:rPr>
      <w:t xml:space="preserve">SCHEDULE </w:t>
    </w:r>
    <w:r w:rsidR="002341BE">
      <w:rPr>
        <w:iCs/>
        <w:szCs w:val="16"/>
      </w:rPr>
      <w:t>4.3</w:t>
    </w:r>
    <w:r w:rsidRPr="00A91229">
      <w:rPr>
        <w:iCs/>
        <w:szCs w:val="16"/>
      </w:rPr>
      <w:t xml:space="preserve"> – </w:t>
    </w:r>
    <w:r w:rsidR="002341BE">
      <w:rPr>
        <w:iCs/>
        <w:szCs w:val="16"/>
      </w:rPr>
      <w:t>RELIEF EVENTS</w:t>
    </w:r>
  </w:p>
  <w:p w:rsidR="00523211" w:rsidRPr="00A91229" w:rsidRDefault="00B579E9" w:rsidP="00B579E9">
    <w:pPr>
      <w:pStyle w:val="Footer"/>
      <w:jc w:val="center"/>
      <w:rPr>
        <w:rStyle w:val="PageNumber"/>
        <w:szCs w:val="16"/>
      </w:rPr>
    </w:pPr>
    <w:r w:rsidRPr="00A91229">
      <w:rPr>
        <w:rStyle w:val="PageNumber"/>
        <w:szCs w:val="16"/>
      </w:rPr>
      <w:fldChar w:fldCharType="begin"/>
    </w:r>
    <w:r w:rsidRPr="00A91229">
      <w:rPr>
        <w:rStyle w:val="PageNumber"/>
        <w:szCs w:val="16"/>
      </w:rPr>
      <w:instrText xml:space="preserve"> PAGE </w:instrText>
    </w:r>
    <w:r w:rsidRPr="00A91229">
      <w:rPr>
        <w:rStyle w:val="PageNumber"/>
        <w:szCs w:val="16"/>
      </w:rPr>
      <w:fldChar w:fldCharType="separate"/>
    </w:r>
    <w:r w:rsidR="0072779B">
      <w:rPr>
        <w:rStyle w:val="PageNumber"/>
        <w:noProof/>
        <w:szCs w:val="16"/>
      </w:rPr>
      <w:t>2</w:t>
    </w:r>
    <w:r w:rsidRPr="00A91229">
      <w:rPr>
        <w:rStyle w:val="PageNumber"/>
        <w:szCs w:val="16"/>
      </w:rPr>
      <w:fldChar w:fldCharType="end"/>
    </w:r>
  </w:p>
  <w:p w:rsidR="00B579E9" w:rsidRDefault="00B57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2A" w:rsidRDefault="00DC5C2A">
      <w:r>
        <w:separator/>
      </w:r>
    </w:p>
  </w:footnote>
  <w:footnote w:type="continuationSeparator" w:id="0">
    <w:p w:rsidR="00DC5C2A" w:rsidRDefault="00DC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EED" w:rsidRPr="00BC4680" w:rsidRDefault="00FA0EED" w:rsidP="00BC4680">
    <w:pPr>
      <w:pStyle w:val="Header"/>
      <w:jc w:val="center"/>
      <w:rPr>
        <w:b/>
      </w:rPr>
    </w:pPr>
  </w:p>
  <w:p w:rsidR="00BC4680" w:rsidRDefault="00BC4680" w:rsidP="00BC468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24" w:rsidRDefault="00615224" w:rsidP="00615224">
    <w:pPr>
      <w:pStyle w:val="Header"/>
      <w:jc w:val="left"/>
      <w:rPr>
        <w:sz w:val="22"/>
        <w:szCs w:val="22"/>
      </w:rPr>
    </w:pPr>
  </w:p>
  <w:p w:rsidR="00523211" w:rsidRDefault="00523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5E4077"/>
    <w:multiLevelType w:val="hybridMultilevel"/>
    <w:tmpl w:val="E8267C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D21ED"/>
    <w:multiLevelType w:val="multilevel"/>
    <w:tmpl w:val="9836F16C"/>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1B070E2"/>
    <w:multiLevelType w:val="hybridMultilevel"/>
    <w:tmpl w:val="FBC2E0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5E49FB"/>
    <w:multiLevelType w:val="hybridMultilevel"/>
    <w:tmpl w:val="0F8A8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A3ED9"/>
    <w:multiLevelType w:val="hybridMultilevel"/>
    <w:tmpl w:val="8B4A0C20"/>
    <w:lvl w:ilvl="0" w:tplc="3A8EA766">
      <w:start w:val="1"/>
      <w:numFmt w:val="bullet"/>
      <w:lvlText w:val="•"/>
      <w:lvlJc w:val="left"/>
      <w:pPr>
        <w:ind w:left="1571" w:hanging="360"/>
      </w:pPr>
      <w:rPr>
        <w:rFonts w:ascii="Arial" w:hAnsi="Arial" w:hint="default"/>
      </w:rPr>
    </w:lvl>
    <w:lvl w:ilvl="1" w:tplc="9DDC8C80" w:tentative="1">
      <w:start w:val="1"/>
      <w:numFmt w:val="bullet"/>
      <w:lvlText w:val="o"/>
      <w:lvlJc w:val="left"/>
      <w:pPr>
        <w:ind w:left="2291" w:hanging="360"/>
      </w:pPr>
      <w:rPr>
        <w:rFonts w:ascii="Courier New" w:hAnsi="Courier New" w:cs="Courier New" w:hint="default"/>
      </w:rPr>
    </w:lvl>
    <w:lvl w:ilvl="2" w:tplc="7FD6D088" w:tentative="1">
      <w:start w:val="1"/>
      <w:numFmt w:val="bullet"/>
      <w:lvlText w:val=""/>
      <w:lvlJc w:val="left"/>
      <w:pPr>
        <w:ind w:left="3011" w:hanging="360"/>
      </w:pPr>
      <w:rPr>
        <w:rFonts w:ascii="Wingdings" w:hAnsi="Wingdings" w:hint="default"/>
      </w:rPr>
    </w:lvl>
    <w:lvl w:ilvl="3" w:tplc="73C60FFE" w:tentative="1">
      <w:start w:val="1"/>
      <w:numFmt w:val="bullet"/>
      <w:lvlText w:val=""/>
      <w:lvlJc w:val="left"/>
      <w:pPr>
        <w:ind w:left="3731" w:hanging="360"/>
      </w:pPr>
      <w:rPr>
        <w:rFonts w:ascii="Symbol" w:hAnsi="Symbol" w:hint="default"/>
      </w:rPr>
    </w:lvl>
    <w:lvl w:ilvl="4" w:tplc="F352206C" w:tentative="1">
      <w:start w:val="1"/>
      <w:numFmt w:val="bullet"/>
      <w:lvlText w:val="o"/>
      <w:lvlJc w:val="left"/>
      <w:pPr>
        <w:ind w:left="4451" w:hanging="360"/>
      </w:pPr>
      <w:rPr>
        <w:rFonts w:ascii="Courier New" w:hAnsi="Courier New" w:cs="Courier New" w:hint="default"/>
      </w:rPr>
    </w:lvl>
    <w:lvl w:ilvl="5" w:tplc="19C87D0C" w:tentative="1">
      <w:start w:val="1"/>
      <w:numFmt w:val="bullet"/>
      <w:lvlText w:val=""/>
      <w:lvlJc w:val="left"/>
      <w:pPr>
        <w:ind w:left="5171" w:hanging="360"/>
      </w:pPr>
      <w:rPr>
        <w:rFonts w:ascii="Wingdings" w:hAnsi="Wingdings" w:hint="default"/>
      </w:rPr>
    </w:lvl>
    <w:lvl w:ilvl="6" w:tplc="D66C7856" w:tentative="1">
      <w:start w:val="1"/>
      <w:numFmt w:val="bullet"/>
      <w:lvlText w:val=""/>
      <w:lvlJc w:val="left"/>
      <w:pPr>
        <w:ind w:left="5891" w:hanging="360"/>
      </w:pPr>
      <w:rPr>
        <w:rFonts w:ascii="Symbol" w:hAnsi="Symbol" w:hint="default"/>
      </w:rPr>
    </w:lvl>
    <w:lvl w:ilvl="7" w:tplc="F2740434" w:tentative="1">
      <w:start w:val="1"/>
      <w:numFmt w:val="bullet"/>
      <w:lvlText w:val="o"/>
      <w:lvlJc w:val="left"/>
      <w:pPr>
        <w:ind w:left="6611" w:hanging="360"/>
      </w:pPr>
      <w:rPr>
        <w:rFonts w:ascii="Courier New" w:hAnsi="Courier New" w:cs="Courier New" w:hint="default"/>
      </w:rPr>
    </w:lvl>
    <w:lvl w:ilvl="8" w:tplc="AE162CCE" w:tentative="1">
      <w:start w:val="1"/>
      <w:numFmt w:val="bullet"/>
      <w:lvlText w:val=""/>
      <w:lvlJc w:val="left"/>
      <w:pPr>
        <w:ind w:left="7331" w:hanging="360"/>
      </w:pPr>
      <w:rPr>
        <w:rFonts w:ascii="Wingdings" w:hAnsi="Wingdings" w:hint="default"/>
      </w:rPr>
    </w:lvl>
  </w:abstractNum>
  <w:abstractNum w:abstractNumId="8" w15:restartNumberingAfterBreak="0">
    <w:nsid w:val="359A07C1"/>
    <w:multiLevelType w:val="hybridMultilevel"/>
    <w:tmpl w:val="4DFC4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112ED9"/>
    <w:multiLevelType w:val="hybridMultilevel"/>
    <w:tmpl w:val="C81E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57CA2"/>
    <w:multiLevelType w:val="hybridMultilevel"/>
    <w:tmpl w:val="FBC2E0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9206231"/>
    <w:multiLevelType w:val="hybridMultilevel"/>
    <w:tmpl w:val="FBC2E0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716F77D3"/>
    <w:multiLevelType w:val="hybridMultilevel"/>
    <w:tmpl w:val="00645402"/>
    <w:lvl w:ilvl="0" w:tplc="7186942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11"/>
  </w:num>
  <w:num w:numId="3">
    <w:abstractNumId w:val="15"/>
  </w:num>
  <w:num w:numId="4">
    <w:abstractNumId w:val="2"/>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0"/>
  </w:num>
  <w:num w:numId="14">
    <w:abstractNumId w:val="0"/>
  </w:num>
  <w:num w:numId="15">
    <w:abstractNumId w:val="0"/>
  </w:num>
  <w:num w:numId="16">
    <w:abstractNumId w:val="1"/>
  </w:num>
  <w:num w:numId="17">
    <w:abstractNumId w:val="1"/>
  </w:num>
  <w:num w:numId="18">
    <w:abstractNumId w:val="1"/>
  </w:num>
  <w:num w:numId="19">
    <w:abstractNumId w:val="7"/>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9"/>
  </w:num>
  <w:num w:numId="34">
    <w:abstractNumId w:val="3"/>
  </w:num>
  <w:num w:numId="35">
    <w:abstractNumId w:val="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num>
  <w:num w:numId="39">
    <w:abstractNumId w:val="5"/>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InitialDocumentType" w:val="﻿&lt;?xml version=&quot;1.0&quot; encoding=&quot;utf-8&quot;?&gt;&lt;DocumentType&gt;Document&lt;/DocumentType&gt;"/>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MichelmoresPrinterSettings" w:val="﻿&lt;?xml version=&quot;1.0&quot; encoding=&quot;utf-8&quot;?&gt;&lt;MichelmoresPrinterSettings xmlns:xsi=&quot;http://www.w3.org/2001/XMLSchema-instance&quot; xmlns:xsd=&quot;http://www.w3.org/2001/XMLSchema&quot; xmlns=&quot;http://www.michelmores.com/PrinterConfigSchema.xsd&quot;&gt;&lt;Printer Name=&quot;Default&quot; Description=&quot;Standard printing queue: Q1 Duplex&quot; PrintServer=&quot;EXEVS12&quot; PrinterName=&quot;Q1&quot;&gt;&lt;Manual&gt;4&lt;/Manual&gt;&lt;Plain&gt;1&lt;/Plain&gt;&lt;Letterhead&gt;2&lt;/Letterhead&gt;&lt;Continuation&gt;3&lt;/Continuation&gt;&lt;Bill&gt;264&lt;/Bill&gt;&lt;/Printer&gt;&lt;Printer Name=&quot;Registry&quot; Description=&quot;Printer used by Registry for Exeter Diocese&quot; PrintServer=&quot;EXEVS12&quot; PrinterName=&quot;Registry&quot;&gt;&lt;Manual&gt;4&lt;/Manual&gt;&lt;Plain&gt;1&lt;/Plain&gt;&lt;Letterhead&gt;268&lt;/Letterhead&gt;&lt;Continuation&gt;269&lt;/Continuation&gt;&lt;Bill&gt;4&lt;/Bill&gt;&lt;/Printer&gt;&lt;Printer Name=&quot;RegistryTruro&quot; Description=&quot;Printer used by Registry for Truro Diocese&quot; PrintServer=&quot;EXEVS12&quot; PrinterName=&quot;Registry&quot;&gt;&lt;Manual&gt;4&lt;/Manual&gt;&lt;Plain&gt;1&lt;/Plain&gt;&lt;Letterhead&gt;270&lt;/Letterhead&gt;&lt;Continuation&gt;269&lt;/Continuation&gt;&lt;Bill&gt;4&lt;/Bill&gt;&lt;/Printer&gt;&lt;/MichelmoresPrinterSettings&gt;"/>
    <w:docVar w:name="PageNumberList" w:val="﻿&lt;?xml version=&quot;1.0&quot; encoding=&quot;utf-8&quot;?&gt;&lt;ArrayOfPageNumberComponent xmlns:xsi=&quot;http://www.w3.org/2001/XMLSchema-instance&quot; xmlns:xsd=&quot;http://www.w3.org/2001/XMLSchema&quot; /&gt;"/>
    <w:docVar w:name="PIM_Brand" w:val="D9"/>
    <w:docVar w:name="SelectedDocumentType" w:val="﻿&lt;?xml version=&quot;1.0&quot; encoding=&quot;utf-8&quot;?&gt;&lt;DocumentType&gt;Document&lt;/DocumentType&gt;"/>
    <w:docVar w:name="SelectedLetterhead" w:val="﻿&lt;?xml version=&quot;1.0&quot; encoding=&quot;utf-8&quot;?&gt;&lt;LetterheadType&gt;None&lt;/LetterheadType&gt;"/>
    <w:docVar w:name="SelectedPageCollation" w:val="﻿&lt;?xml version=&quot;1.0&quot; encoding=&quot;utf-8&quot;?&gt;&lt;PageCollation&gt;Collated&lt;/PageCollation&gt;"/>
    <w:docVar w:name="SelectedPageOrientation" w:val="﻿&lt;?xml version=&quot;1.0&quot; encoding=&quot;utf-8&quot;?&gt;&lt;PageOrientation&gt;Portrait&lt;/PageOrientation&gt;"/>
    <w:docVar w:name="SelectedPageRange" w:val="﻿&lt;?xml version=&quot;1.0&quot; encoding=&quot;utf-8&quot;?&gt;&lt;PageRange&gt;AllPages&lt;/PageRange&gt;"/>
    <w:docVar w:name="SelectedWatermark" w:val="﻿&lt;?xml version=&quot;1.0&quot; encoding=&quot;utf-8&quot;?&gt;&lt;Watermark&gt;None&lt;/Watermark&gt;"/>
  </w:docVars>
  <w:rsids>
    <w:rsidRoot w:val="00AF6664"/>
    <w:rsid w:val="0000573D"/>
    <w:rsid w:val="00006847"/>
    <w:rsid w:val="00024811"/>
    <w:rsid w:val="000251B2"/>
    <w:rsid w:val="00027ED1"/>
    <w:rsid w:val="000361F2"/>
    <w:rsid w:val="00044005"/>
    <w:rsid w:val="00046969"/>
    <w:rsid w:val="00050693"/>
    <w:rsid w:val="00050E59"/>
    <w:rsid w:val="00052CD5"/>
    <w:rsid w:val="00056E56"/>
    <w:rsid w:val="00063219"/>
    <w:rsid w:val="000649D3"/>
    <w:rsid w:val="0006539A"/>
    <w:rsid w:val="000700B9"/>
    <w:rsid w:val="000752E1"/>
    <w:rsid w:val="00075377"/>
    <w:rsid w:val="000808D2"/>
    <w:rsid w:val="000809E7"/>
    <w:rsid w:val="0008512A"/>
    <w:rsid w:val="0009692F"/>
    <w:rsid w:val="00097DE4"/>
    <w:rsid w:val="000A48AC"/>
    <w:rsid w:val="000A4E58"/>
    <w:rsid w:val="000C0DE3"/>
    <w:rsid w:val="000C2F04"/>
    <w:rsid w:val="000C6832"/>
    <w:rsid w:val="000D3D3E"/>
    <w:rsid w:val="000D4FC8"/>
    <w:rsid w:val="000E111E"/>
    <w:rsid w:val="00122158"/>
    <w:rsid w:val="00130807"/>
    <w:rsid w:val="001336DC"/>
    <w:rsid w:val="00134CD7"/>
    <w:rsid w:val="00140746"/>
    <w:rsid w:val="00141404"/>
    <w:rsid w:val="00143D8B"/>
    <w:rsid w:val="00153E95"/>
    <w:rsid w:val="0015523B"/>
    <w:rsid w:val="00155B48"/>
    <w:rsid w:val="00155E55"/>
    <w:rsid w:val="001605E6"/>
    <w:rsid w:val="00166F4D"/>
    <w:rsid w:val="00171A7D"/>
    <w:rsid w:val="00177DC5"/>
    <w:rsid w:val="00183639"/>
    <w:rsid w:val="001A5F1C"/>
    <w:rsid w:val="001C17D0"/>
    <w:rsid w:val="001C2E7F"/>
    <w:rsid w:val="001C4451"/>
    <w:rsid w:val="001E3062"/>
    <w:rsid w:val="001F02B3"/>
    <w:rsid w:val="001F3E6E"/>
    <w:rsid w:val="001F76ED"/>
    <w:rsid w:val="002015EA"/>
    <w:rsid w:val="002027A1"/>
    <w:rsid w:val="00202F5A"/>
    <w:rsid w:val="00212941"/>
    <w:rsid w:val="00213B70"/>
    <w:rsid w:val="00217B99"/>
    <w:rsid w:val="00220674"/>
    <w:rsid w:val="00221B2E"/>
    <w:rsid w:val="00226DFF"/>
    <w:rsid w:val="002321B9"/>
    <w:rsid w:val="002341BE"/>
    <w:rsid w:val="002356B1"/>
    <w:rsid w:val="00245284"/>
    <w:rsid w:val="00253F7B"/>
    <w:rsid w:val="002729EA"/>
    <w:rsid w:val="00277780"/>
    <w:rsid w:val="00281500"/>
    <w:rsid w:val="00294F6D"/>
    <w:rsid w:val="002A0E02"/>
    <w:rsid w:val="002B020C"/>
    <w:rsid w:val="002B1D4F"/>
    <w:rsid w:val="002C3E39"/>
    <w:rsid w:val="002D3B82"/>
    <w:rsid w:val="002D5B47"/>
    <w:rsid w:val="002D6758"/>
    <w:rsid w:val="0030630E"/>
    <w:rsid w:val="00315D8A"/>
    <w:rsid w:val="00316ABF"/>
    <w:rsid w:val="00336E7C"/>
    <w:rsid w:val="003373C1"/>
    <w:rsid w:val="00340415"/>
    <w:rsid w:val="00343ECF"/>
    <w:rsid w:val="003468AC"/>
    <w:rsid w:val="00362CC7"/>
    <w:rsid w:val="00382243"/>
    <w:rsid w:val="0038520A"/>
    <w:rsid w:val="00391B82"/>
    <w:rsid w:val="00391BE5"/>
    <w:rsid w:val="0039578B"/>
    <w:rsid w:val="00397BC9"/>
    <w:rsid w:val="003A6355"/>
    <w:rsid w:val="003A6DDA"/>
    <w:rsid w:val="003A7E60"/>
    <w:rsid w:val="003B2010"/>
    <w:rsid w:val="003B26BD"/>
    <w:rsid w:val="003C0201"/>
    <w:rsid w:val="003C2466"/>
    <w:rsid w:val="003C5BEC"/>
    <w:rsid w:val="003D6E62"/>
    <w:rsid w:val="003D7EC5"/>
    <w:rsid w:val="003E3F2B"/>
    <w:rsid w:val="003F104F"/>
    <w:rsid w:val="003F46C9"/>
    <w:rsid w:val="00407A9F"/>
    <w:rsid w:val="004107D6"/>
    <w:rsid w:val="004214CF"/>
    <w:rsid w:val="004339E9"/>
    <w:rsid w:val="00440D5E"/>
    <w:rsid w:val="00451FFF"/>
    <w:rsid w:val="004576CE"/>
    <w:rsid w:val="00461366"/>
    <w:rsid w:val="0046366A"/>
    <w:rsid w:val="00466CE7"/>
    <w:rsid w:val="0047083D"/>
    <w:rsid w:val="00471084"/>
    <w:rsid w:val="00474EC8"/>
    <w:rsid w:val="0048473B"/>
    <w:rsid w:val="0048719A"/>
    <w:rsid w:val="004A0939"/>
    <w:rsid w:val="004A1D08"/>
    <w:rsid w:val="004A2D46"/>
    <w:rsid w:val="004A773E"/>
    <w:rsid w:val="004C0169"/>
    <w:rsid w:val="004C5C7E"/>
    <w:rsid w:val="004D6302"/>
    <w:rsid w:val="004E693C"/>
    <w:rsid w:val="004F486E"/>
    <w:rsid w:val="004F4E58"/>
    <w:rsid w:val="00500838"/>
    <w:rsid w:val="00515247"/>
    <w:rsid w:val="005224AE"/>
    <w:rsid w:val="00523211"/>
    <w:rsid w:val="0052640D"/>
    <w:rsid w:val="00531A9E"/>
    <w:rsid w:val="00536A9E"/>
    <w:rsid w:val="0054649C"/>
    <w:rsid w:val="00550465"/>
    <w:rsid w:val="00550C95"/>
    <w:rsid w:val="005572EE"/>
    <w:rsid w:val="00566434"/>
    <w:rsid w:val="0057011F"/>
    <w:rsid w:val="00570C1E"/>
    <w:rsid w:val="005945E3"/>
    <w:rsid w:val="005A56F2"/>
    <w:rsid w:val="005A76D7"/>
    <w:rsid w:val="005B1964"/>
    <w:rsid w:val="005C26C2"/>
    <w:rsid w:val="005C37D6"/>
    <w:rsid w:val="005C6F11"/>
    <w:rsid w:val="005F00F8"/>
    <w:rsid w:val="00600358"/>
    <w:rsid w:val="00603A67"/>
    <w:rsid w:val="00603C56"/>
    <w:rsid w:val="0060508E"/>
    <w:rsid w:val="00610389"/>
    <w:rsid w:val="00615224"/>
    <w:rsid w:val="00615536"/>
    <w:rsid w:val="00641B17"/>
    <w:rsid w:val="00676CC6"/>
    <w:rsid w:val="006878DA"/>
    <w:rsid w:val="0069484A"/>
    <w:rsid w:val="0069520C"/>
    <w:rsid w:val="00696EE7"/>
    <w:rsid w:val="006A0B3F"/>
    <w:rsid w:val="006A113C"/>
    <w:rsid w:val="006A266D"/>
    <w:rsid w:val="006A2BBC"/>
    <w:rsid w:val="006D6DB0"/>
    <w:rsid w:val="006D6FAA"/>
    <w:rsid w:val="006E0501"/>
    <w:rsid w:val="006E23D0"/>
    <w:rsid w:val="006E2E8A"/>
    <w:rsid w:val="006F1F19"/>
    <w:rsid w:val="0072779B"/>
    <w:rsid w:val="00730BB7"/>
    <w:rsid w:val="00734146"/>
    <w:rsid w:val="0073705A"/>
    <w:rsid w:val="007404E9"/>
    <w:rsid w:val="00741CC6"/>
    <w:rsid w:val="007430A4"/>
    <w:rsid w:val="00746403"/>
    <w:rsid w:val="00752448"/>
    <w:rsid w:val="007655AA"/>
    <w:rsid w:val="00765865"/>
    <w:rsid w:val="00767D97"/>
    <w:rsid w:val="00775883"/>
    <w:rsid w:val="00776D59"/>
    <w:rsid w:val="0077758D"/>
    <w:rsid w:val="0078250B"/>
    <w:rsid w:val="00785D4A"/>
    <w:rsid w:val="007C0784"/>
    <w:rsid w:val="007D06AF"/>
    <w:rsid w:val="007D20F0"/>
    <w:rsid w:val="007D5759"/>
    <w:rsid w:val="007E7469"/>
    <w:rsid w:val="007F656B"/>
    <w:rsid w:val="007F7925"/>
    <w:rsid w:val="00802EA0"/>
    <w:rsid w:val="008074C1"/>
    <w:rsid w:val="00810B1A"/>
    <w:rsid w:val="00814B2C"/>
    <w:rsid w:val="00817F00"/>
    <w:rsid w:val="008224FE"/>
    <w:rsid w:val="00834675"/>
    <w:rsid w:val="008377EA"/>
    <w:rsid w:val="008474CD"/>
    <w:rsid w:val="0086609D"/>
    <w:rsid w:val="00876520"/>
    <w:rsid w:val="00877C98"/>
    <w:rsid w:val="00881E0F"/>
    <w:rsid w:val="00883EFD"/>
    <w:rsid w:val="00885A01"/>
    <w:rsid w:val="008A4954"/>
    <w:rsid w:val="008B7D1B"/>
    <w:rsid w:val="008C085B"/>
    <w:rsid w:val="008C5FB1"/>
    <w:rsid w:val="008E70A4"/>
    <w:rsid w:val="008F1A5E"/>
    <w:rsid w:val="009031ED"/>
    <w:rsid w:val="00903FE6"/>
    <w:rsid w:val="009045F2"/>
    <w:rsid w:val="00904DE1"/>
    <w:rsid w:val="00907D4E"/>
    <w:rsid w:val="00914CD1"/>
    <w:rsid w:val="00916FC1"/>
    <w:rsid w:val="00930CAC"/>
    <w:rsid w:val="00937220"/>
    <w:rsid w:val="0094257A"/>
    <w:rsid w:val="0094669F"/>
    <w:rsid w:val="009647E1"/>
    <w:rsid w:val="0097146C"/>
    <w:rsid w:val="009A155A"/>
    <w:rsid w:val="009A6261"/>
    <w:rsid w:val="009A7110"/>
    <w:rsid w:val="009A782D"/>
    <w:rsid w:val="009B3C83"/>
    <w:rsid w:val="009B6341"/>
    <w:rsid w:val="009B6F6C"/>
    <w:rsid w:val="009C5DC7"/>
    <w:rsid w:val="009D6361"/>
    <w:rsid w:val="009F4338"/>
    <w:rsid w:val="009F6850"/>
    <w:rsid w:val="009F6E4F"/>
    <w:rsid w:val="00A113C7"/>
    <w:rsid w:val="00A11891"/>
    <w:rsid w:val="00A14D36"/>
    <w:rsid w:val="00A16828"/>
    <w:rsid w:val="00A23E9E"/>
    <w:rsid w:val="00A24D4D"/>
    <w:rsid w:val="00A25274"/>
    <w:rsid w:val="00A31E37"/>
    <w:rsid w:val="00A4019C"/>
    <w:rsid w:val="00A601FF"/>
    <w:rsid w:val="00A610C2"/>
    <w:rsid w:val="00A71E59"/>
    <w:rsid w:val="00A74759"/>
    <w:rsid w:val="00A76AD8"/>
    <w:rsid w:val="00A806FC"/>
    <w:rsid w:val="00A911B9"/>
    <w:rsid w:val="00A91229"/>
    <w:rsid w:val="00A92102"/>
    <w:rsid w:val="00AB5703"/>
    <w:rsid w:val="00AB6155"/>
    <w:rsid w:val="00AC60DE"/>
    <w:rsid w:val="00AD2145"/>
    <w:rsid w:val="00AE2974"/>
    <w:rsid w:val="00AE5A45"/>
    <w:rsid w:val="00AF35B8"/>
    <w:rsid w:val="00AF6664"/>
    <w:rsid w:val="00AF7A19"/>
    <w:rsid w:val="00B42373"/>
    <w:rsid w:val="00B43066"/>
    <w:rsid w:val="00B50886"/>
    <w:rsid w:val="00B53595"/>
    <w:rsid w:val="00B57024"/>
    <w:rsid w:val="00B579E9"/>
    <w:rsid w:val="00B67430"/>
    <w:rsid w:val="00B67EFF"/>
    <w:rsid w:val="00B86881"/>
    <w:rsid w:val="00BA0A30"/>
    <w:rsid w:val="00BA1E67"/>
    <w:rsid w:val="00BA383F"/>
    <w:rsid w:val="00BA7A51"/>
    <w:rsid w:val="00BB0E6B"/>
    <w:rsid w:val="00BB26D4"/>
    <w:rsid w:val="00BC1E1D"/>
    <w:rsid w:val="00BC4680"/>
    <w:rsid w:val="00BC534E"/>
    <w:rsid w:val="00BC5F75"/>
    <w:rsid w:val="00BD245F"/>
    <w:rsid w:val="00BD5C2A"/>
    <w:rsid w:val="00BD7AB4"/>
    <w:rsid w:val="00BE1A04"/>
    <w:rsid w:val="00BE4571"/>
    <w:rsid w:val="00BE569A"/>
    <w:rsid w:val="00C025B3"/>
    <w:rsid w:val="00C0500D"/>
    <w:rsid w:val="00C12075"/>
    <w:rsid w:val="00C24381"/>
    <w:rsid w:val="00C315BC"/>
    <w:rsid w:val="00C43164"/>
    <w:rsid w:val="00C44582"/>
    <w:rsid w:val="00C44E9E"/>
    <w:rsid w:val="00C456A6"/>
    <w:rsid w:val="00C45A32"/>
    <w:rsid w:val="00C515C7"/>
    <w:rsid w:val="00C51D17"/>
    <w:rsid w:val="00C54E00"/>
    <w:rsid w:val="00C573C6"/>
    <w:rsid w:val="00C642C2"/>
    <w:rsid w:val="00C8541B"/>
    <w:rsid w:val="00C909AC"/>
    <w:rsid w:val="00C93B05"/>
    <w:rsid w:val="00CB1C17"/>
    <w:rsid w:val="00CC0144"/>
    <w:rsid w:val="00CC4294"/>
    <w:rsid w:val="00CC4B34"/>
    <w:rsid w:val="00CC60A2"/>
    <w:rsid w:val="00CD381F"/>
    <w:rsid w:val="00CF0919"/>
    <w:rsid w:val="00CF63A4"/>
    <w:rsid w:val="00CF693A"/>
    <w:rsid w:val="00D17B11"/>
    <w:rsid w:val="00D32D61"/>
    <w:rsid w:val="00D36890"/>
    <w:rsid w:val="00D42855"/>
    <w:rsid w:val="00D42BAF"/>
    <w:rsid w:val="00D55719"/>
    <w:rsid w:val="00D6162A"/>
    <w:rsid w:val="00D772F9"/>
    <w:rsid w:val="00D81894"/>
    <w:rsid w:val="00D9019C"/>
    <w:rsid w:val="00D91209"/>
    <w:rsid w:val="00DA03EF"/>
    <w:rsid w:val="00DA1412"/>
    <w:rsid w:val="00DB4434"/>
    <w:rsid w:val="00DB4D19"/>
    <w:rsid w:val="00DC2214"/>
    <w:rsid w:val="00DC5C2A"/>
    <w:rsid w:val="00DC6C35"/>
    <w:rsid w:val="00DC70A3"/>
    <w:rsid w:val="00DD3563"/>
    <w:rsid w:val="00DE1FDC"/>
    <w:rsid w:val="00DE3555"/>
    <w:rsid w:val="00DF5B05"/>
    <w:rsid w:val="00E055B9"/>
    <w:rsid w:val="00E05A83"/>
    <w:rsid w:val="00E06D93"/>
    <w:rsid w:val="00E13510"/>
    <w:rsid w:val="00E142DC"/>
    <w:rsid w:val="00E21299"/>
    <w:rsid w:val="00E336E0"/>
    <w:rsid w:val="00E40E83"/>
    <w:rsid w:val="00E446B9"/>
    <w:rsid w:val="00E45120"/>
    <w:rsid w:val="00E52FCE"/>
    <w:rsid w:val="00E612EB"/>
    <w:rsid w:val="00E624AB"/>
    <w:rsid w:val="00E71045"/>
    <w:rsid w:val="00E74401"/>
    <w:rsid w:val="00E77A57"/>
    <w:rsid w:val="00E81B46"/>
    <w:rsid w:val="00E8496D"/>
    <w:rsid w:val="00E87A20"/>
    <w:rsid w:val="00E92514"/>
    <w:rsid w:val="00E9388A"/>
    <w:rsid w:val="00EA5BDA"/>
    <w:rsid w:val="00EA7F93"/>
    <w:rsid w:val="00EB24FA"/>
    <w:rsid w:val="00EC01AC"/>
    <w:rsid w:val="00EC3E0A"/>
    <w:rsid w:val="00EC4920"/>
    <w:rsid w:val="00EC59A2"/>
    <w:rsid w:val="00EC7174"/>
    <w:rsid w:val="00ED1E22"/>
    <w:rsid w:val="00ED3E0C"/>
    <w:rsid w:val="00ED3F44"/>
    <w:rsid w:val="00ED45AD"/>
    <w:rsid w:val="00ED7A2A"/>
    <w:rsid w:val="00EE616A"/>
    <w:rsid w:val="00EF114A"/>
    <w:rsid w:val="00EF5DCA"/>
    <w:rsid w:val="00EF68F4"/>
    <w:rsid w:val="00F050D7"/>
    <w:rsid w:val="00F0656B"/>
    <w:rsid w:val="00F13CAD"/>
    <w:rsid w:val="00F16525"/>
    <w:rsid w:val="00F22B7A"/>
    <w:rsid w:val="00F23FDC"/>
    <w:rsid w:val="00F431DF"/>
    <w:rsid w:val="00F44E81"/>
    <w:rsid w:val="00F45DEF"/>
    <w:rsid w:val="00F52B5A"/>
    <w:rsid w:val="00F606E3"/>
    <w:rsid w:val="00F608CA"/>
    <w:rsid w:val="00F624EE"/>
    <w:rsid w:val="00F6498A"/>
    <w:rsid w:val="00F72221"/>
    <w:rsid w:val="00F84D28"/>
    <w:rsid w:val="00F87C50"/>
    <w:rsid w:val="00FA0EED"/>
    <w:rsid w:val="00FB35E8"/>
    <w:rsid w:val="00FB599F"/>
    <w:rsid w:val="00FC2FCB"/>
    <w:rsid w:val="00FC3D34"/>
    <w:rsid w:val="00FD09F9"/>
    <w:rsid w:val="00FD7745"/>
    <w:rsid w:val="00FE0D4B"/>
    <w:rsid w:val="00FF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006847"/>
    <w:pPr>
      <w:numPr>
        <w:numId w:val="15"/>
      </w:numPr>
      <w:adjustRightInd w:val="0"/>
      <w:outlineLvl w:val="0"/>
    </w:pPr>
    <w:rPr>
      <w:rFonts w:eastAsia="Arial"/>
    </w:rPr>
  </w:style>
  <w:style w:type="paragraph" w:customStyle="1" w:styleId="Bullet2">
    <w:name w:val="Bullet 2"/>
    <w:basedOn w:val="Body"/>
    <w:rsid w:val="00006847"/>
    <w:pPr>
      <w:numPr>
        <w:ilvl w:val="1"/>
        <w:numId w:val="15"/>
      </w:numPr>
      <w:adjustRightInd w:val="0"/>
      <w:outlineLvl w:val="1"/>
    </w:pPr>
    <w:rPr>
      <w:rFonts w:eastAsia="Arial"/>
    </w:rPr>
  </w:style>
  <w:style w:type="paragraph" w:customStyle="1" w:styleId="Bullet3">
    <w:name w:val="Bullet 3"/>
    <w:basedOn w:val="Body"/>
    <w:rsid w:val="00006847"/>
    <w:pPr>
      <w:numPr>
        <w:ilvl w:val="2"/>
        <w:numId w:val="15"/>
      </w:numPr>
      <w:adjustRightInd w:val="0"/>
      <w:outlineLvl w:val="2"/>
    </w:pPr>
    <w:rPr>
      <w:rFonts w:eastAsia="Arial"/>
    </w:rPr>
  </w:style>
  <w:style w:type="paragraph" w:customStyle="1" w:styleId="Bullet4">
    <w:name w:val="Bullet 4"/>
    <w:basedOn w:val="Body"/>
    <w:rsid w:val="00006847"/>
    <w:pPr>
      <w:numPr>
        <w:ilvl w:val="3"/>
        <w:numId w:val="1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link w:val="HeaderChar"/>
    <w:uiPriority w:val="99"/>
    <w:pPr>
      <w:tabs>
        <w:tab w:val="center" w:pos="4320"/>
        <w:tab w:val="right" w:pos="8640"/>
      </w:tabs>
    </w:pPr>
    <w:rPr>
      <w:sz w:val="16"/>
    </w:rPr>
  </w:style>
  <w:style w:type="paragraph" w:customStyle="1" w:styleId="Level2">
    <w:name w:val="Level 2"/>
    <w:basedOn w:val="Body2"/>
    <w:rsid w:val="00006847"/>
    <w:pPr>
      <w:numPr>
        <w:ilvl w:val="1"/>
        <w:numId w:val="11"/>
      </w:numPr>
      <w:outlineLvl w:val="1"/>
    </w:pPr>
  </w:style>
  <w:style w:type="paragraph" w:customStyle="1" w:styleId="Level1">
    <w:name w:val="Level 1"/>
    <w:basedOn w:val="Body1"/>
    <w:rsid w:val="00006847"/>
    <w:pPr>
      <w:numPr>
        <w:numId w:val="11"/>
      </w:numPr>
      <w:outlineLvl w:val="0"/>
    </w:pPr>
  </w:style>
  <w:style w:type="paragraph" w:customStyle="1" w:styleId="Level3">
    <w:name w:val="Level 3"/>
    <w:basedOn w:val="Body3"/>
    <w:rsid w:val="00006847"/>
    <w:pPr>
      <w:numPr>
        <w:ilvl w:val="2"/>
        <w:numId w:val="11"/>
      </w:numPr>
      <w:outlineLvl w:val="2"/>
    </w:pPr>
  </w:style>
  <w:style w:type="paragraph" w:customStyle="1" w:styleId="Level4">
    <w:name w:val="Level 4"/>
    <w:basedOn w:val="Body4"/>
    <w:rsid w:val="00006847"/>
    <w:pPr>
      <w:numPr>
        <w:ilvl w:val="3"/>
        <w:numId w:val="11"/>
      </w:numPr>
      <w:outlineLvl w:val="3"/>
    </w:pPr>
  </w:style>
  <w:style w:type="paragraph" w:customStyle="1" w:styleId="Level5">
    <w:name w:val="Level 5"/>
    <w:basedOn w:val="Body5"/>
    <w:rsid w:val="00006847"/>
    <w:pPr>
      <w:numPr>
        <w:ilvl w:val="4"/>
        <w:numId w:val="11"/>
      </w:numPr>
      <w:outlineLvl w:val="4"/>
    </w:pPr>
  </w:style>
  <w:style w:type="paragraph" w:customStyle="1" w:styleId="Level6">
    <w:name w:val="Level 6"/>
    <w:basedOn w:val="Body6"/>
    <w:rsid w:val="00006847"/>
    <w:pPr>
      <w:numPr>
        <w:ilvl w:val="5"/>
        <w:numId w:val="11"/>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C642C2"/>
    <w:pPr>
      <w:keepNext/>
      <w:keepLines/>
      <w:numPr>
        <w:numId w:val="3"/>
      </w:numPr>
      <w:tabs>
        <w:tab w:val="clear" w:pos="0"/>
      </w:tabs>
      <w:jc w:val="center"/>
    </w:pPr>
    <w:rPr>
      <w:b/>
      <w:caps/>
    </w:rPr>
  </w:style>
  <w:style w:type="paragraph" w:styleId="Footer">
    <w:name w:val="footer"/>
    <w:basedOn w:val="Normal"/>
    <w:link w:val="FooterChar"/>
    <w:uiPriority w:val="99"/>
    <w:pPr>
      <w:tabs>
        <w:tab w:val="center" w:pos="4320"/>
        <w:tab w:val="right" w:pos="8640"/>
      </w:tabs>
    </w:pPr>
    <w:rPr>
      <w:sz w:val="16"/>
    </w:rPr>
  </w:style>
  <w:style w:type="paragraph" w:customStyle="1" w:styleId="MainHeading">
    <w:name w:val="Main Heading"/>
    <w:basedOn w:val="Body"/>
    <w:rsid w:val="00C642C2"/>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C642C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C642C2"/>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C642C2"/>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uiPriority w:val="99"/>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1336DC"/>
    <w:rPr>
      <w:color w:val="0000FF"/>
      <w:u w:val="single"/>
    </w:rPr>
  </w:style>
  <w:style w:type="paragraph" w:customStyle="1" w:styleId="CharCharCharCharCharCharCharCharCharCharChar">
    <w:name w:val="Char Char Char Char Char Char Char Char Char Char Char"/>
    <w:basedOn w:val="Normal"/>
    <w:rsid w:val="008224FE"/>
    <w:pPr>
      <w:spacing w:after="160" w:line="240" w:lineRule="exact"/>
      <w:jc w:val="left"/>
    </w:pPr>
    <w:rPr>
      <w:rFonts w:ascii="Verdana" w:hAnsi="Verdana" w:cs="Times New Roman"/>
      <w:lang w:val="en-US" w:eastAsia="en-US"/>
    </w:rPr>
  </w:style>
  <w:style w:type="paragraph" w:styleId="BalloonText">
    <w:name w:val="Balloon Text"/>
    <w:basedOn w:val="Normal"/>
    <w:link w:val="BalloonTextChar"/>
    <w:rsid w:val="00BA1E67"/>
    <w:rPr>
      <w:rFonts w:ascii="Tahoma" w:hAnsi="Tahoma" w:cs="Tahoma"/>
      <w:sz w:val="16"/>
      <w:szCs w:val="16"/>
    </w:rPr>
  </w:style>
  <w:style w:type="character" w:customStyle="1" w:styleId="BalloonTextChar">
    <w:name w:val="Balloon Text Char"/>
    <w:link w:val="BalloonText"/>
    <w:rsid w:val="00BA1E67"/>
    <w:rPr>
      <w:rFonts w:ascii="Tahoma" w:hAnsi="Tahoma" w:cs="Tahoma"/>
      <w:sz w:val="16"/>
      <w:szCs w:val="16"/>
    </w:rPr>
  </w:style>
  <w:style w:type="table" w:styleId="TableGrid">
    <w:name w:val="Table Grid"/>
    <w:basedOn w:val="TableNormal"/>
    <w:rsid w:val="005B19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700B9"/>
    <w:rPr>
      <w:rFonts w:ascii="Arial" w:hAnsi="Arial" w:cs="Arial"/>
      <w:sz w:val="16"/>
    </w:rPr>
  </w:style>
  <w:style w:type="paragraph" w:styleId="ListParagraph">
    <w:name w:val="List Paragraph"/>
    <w:basedOn w:val="Normal"/>
    <w:uiPriority w:val="34"/>
    <w:qFormat/>
    <w:rsid w:val="00914CD1"/>
    <w:pPr>
      <w:ind w:left="720"/>
      <w:jc w:val="left"/>
    </w:pPr>
    <w:rPr>
      <w:rFonts w:ascii="Calibri" w:eastAsia="Calibri" w:hAnsi="Calibri" w:cs="Times New Roman"/>
      <w:sz w:val="22"/>
      <w:szCs w:val="22"/>
      <w:lang w:eastAsia="en-US"/>
    </w:rPr>
  </w:style>
  <w:style w:type="character" w:styleId="CommentReference">
    <w:name w:val="annotation reference"/>
    <w:basedOn w:val="DefaultParagraphFont"/>
    <w:rsid w:val="00050693"/>
    <w:rPr>
      <w:sz w:val="16"/>
      <w:szCs w:val="16"/>
    </w:rPr>
  </w:style>
  <w:style w:type="paragraph" w:styleId="CommentSubject">
    <w:name w:val="annotation subject"/>
    <w:basedOn w:val="CommentText"/>
    <w:next w:val="CommentText"/>
    <w:link w:val="CommentSubjectChar"/>
    <w:rsid w:val="00050693"/>
    <w:rPr>
      <w:b/>
      <w:bCs/>
    </w:rPr>
  </w:style>
  <w:style w:type="character" w:customStyle="1" w:styleId="CommentTextChar">
    <w:name w:val="Comment Text Char"/>
    <w:basedOn w:val="DefaultParagraphFont"/>
    <w:link w:val="CommentText"/>
    <w:semiHidden/>
    <w:rsid w:val="00050693"/>
    <w:rPr>
      <w:rFonts w:ascii="Arial" w:hAnsi="Arial" w:cs="Arial"/>
    </w:rPr>
  </w:style>
  <w:style w:type="character" w:customStyle="1" w:styleId="CommentSubjectChar">
    <w:name w:val="Comment Subject Char"/>
    <w:basedOn w:val="CommentTextChar"/>
    <w:link w:val="CommentSubject"/>
    <w:rsid w:val="000506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9031">
      <w:bodyDiv w:val="1"/>
      <w:marLeft w:val="0"/>
      <w:marRight w:val="0"/>
      <w:marTop w:val="0"/>
      <w:marBottom w:val="0"/>
      <w:divBdr>
        <w:top w:val="none" w:sz="0" w:space="0" w:color="auto"/>
        <w:left w:val="none" w:sz="0" w:space="0" w:color="auto"/>
        <w:bottom w:val="none" w:sz="0" w:space="0" w:color="auto"/>
        <w:right w:val="none" w:sz="0" w:space="0" w:color="auto"/>
      </w:divBdr>
    </w:div>
    <w:div w:id="564535939">
      <w:bodyDiv w:val="1"/>
      <w:marLeft w:val="0"/>
      <w:marRight w:val="0"/>
      <w:marTop w:val="0"/>
      <w:marBottom w:val="0"/>
      <w:divBdr>
        <w:top w:val="none" w:sz="0" w:space="0" w:color="auto"/>
        <w:left w:val="none" w:sz="0" w:space="0" w:color="auto"/>
        <w:bottom w:val="none" w:sz="0" w:space="0" w:color="auto"/>
        <w:right w:val="none" w:sz="0" w:space="0" w:color="auto"/>
      </w:divBdr>
    </w:div>
    <w:div w:id="737019645">
      <w:bodyDiv w:val="1"/>
      <w:marLeft w:val="0"/>
      <w:marRight w:val="0"/>
      <w:marTop w:val="0"/>
      <w:marBottom w:val="0"/>
      <w:divBdr>
        <w:top w:val="none" w:sz="0" w:space="0" w:color="auto"/>
        <w:left w:val="none" w:sz="0" w:space="0" w:color="auto"/>
        <w:bottom w:val="none" w:sz="0" w:space="0" w:color="auto"/>
        <w:right w:val="none" w:sz="0" w:space="0" w:color="auto"/>
      </w:divBdr>
    </w:div>
    <w:div w:id="1687290766">
      <w:bodyDiv w:val="1"/>
      <w:marLeft w:val="0"/>
      <w:marRight w:val="0"/>
      <w:marTop w:val="0"/>
      <w:marBottom w:val="0"/>
      <w:divBdr>
        <w:top w:val="none" w:sz="0" w:space="0" w:color="auto"/>
        <w:left w:val="none" w:sz="0" w:space="0" w:color="auto"/>
        <w:bottom w:val="none" w:sz="0" w:space="0" w:color="auto"/>
        <w:right w:val="none" w:sz="0" w:space="0" w:color="auto"/>
      </w:divBdr>
    </w:div>
    <w:div w:id="1728261551">
      <w:bodyDiv w:val="1"/>
      <w:marLeft w:val="0"/>
      <w:marRight w:val="0"/>
      <w:marTop w:val="0"/>
      <w:marBottom w:val="0"/>
      <w:divBdr>
        <w:top w:val="none" w:sz="0" w:space="0" w:color="auto"/>
        <w:left w:val="none" w:sz="0" w:space="0" w:color="auto"/>
        <w:bottom w:val="none" w:sz="0" w:space="0" w:color="auto"/>
        <w:right w:val="none" w:sz="0" w:space="0" w:color="auto"/>
      </w:divBdr>
    </w:div>
    <w:div w:id="17410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0BFD-1803-4D30-88DB-4C9AE065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0</TotalTime>
  <Pages>7</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Schedule 4.3 (Relief Events)</vt:lpstr>
    </vt:vector>
  </TitlesOfParts>
  <LinksUpToDate>false</LinksUpToDate>
  <CharactersWithSpaces>7084</CharactersWithSpaces>
  <SharedDoc>false</SharedDoc>
  <HLinks>
    <vt:vector size="18" baseType="variant">
      <vt:variant>
        <vt:i4>1114171</vt:i4>
      </vt:variant>
      <vt:variant>
        <vt:i4>14</vt:i4>
      </vt:variant>
      <vt:variant>
        <vt:i4>0</vt:i4>
      </vt:variant>
      <vt:variant>
        <vt:i4>5</vt:i4>
      </vt:variant>
      <vt:variant>
        <vt:lpwstr/>
      </vt:variant>
      <vt:variant>
        <vt:lpwstr>_Toc315085528</vt:lpwstr>
      </vt:variant>
      <vt:variant>
        <vt:i4>1114171</vt:i4>
      </vt:variant>
      <vt:variant>
        <vt:i4>8</vt:i4>
      </vt:variant>
      <vt:variant>
        <vt:i4>0</vt:i4>
      </vt:variant>
      <vt:variant>
        <vt:i4>5</vt:i4>
      </vt:variant>
      <vt:variant>
        <vt:lpwstr/>
      </vt:variant>
      <vt:variant>
        <vt:lpwstr>_Toc315085527</vt:lpwstr>
      </vt:variant>
      <vt:variant>
        <vt:i4>1114171</vt:i4>
      </vt:variant>
      <vt:variant>
        <vt:i4>2</vt:i4>
      </vt:variant>
      <vt:variant>
        <vt:i4>0</vt:i4>
      </vt:variant>
      <vt:variant>
        <vt:i4>5</vt:i4>
      </vt:variant>
      <vt:variant>
        <vt:lpwstr/>
      </vt:variant>
      <vt:variant>
        <vt:lpwstr>_Toc315085526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Schedule 4.3 (Relief Events)</dc:title>
  <dc:creator/>
  <cp:lastModifiedBy/>
  <cp:revision>1</cp:revision>
  <dcterms:created xsi:type="dcterms:W3CDTF">2016-11-16T07:21:00Z</dcterms:created>
  <dcterms:modified xsi:type="dcterms:W3CDTF">2016-11-16T22:24:00Z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74076070.3\at12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MatterNumber">
    <vt:lpwstr/>
  </property>
  <property fmtid="{D5CDD505-2E9C-101B-9397-08002B2CF9AE}" pid="7" name="ClientNumber">
    <vt:lpwstr/>
  </property>
  <property fmtid="{D5CDD505-2E9C-101B-9397-08002B2CF9AE}" pid="8" name="ManualTray">
    <vt:i4>0</vt:i4>
  </property>
  <property fmtid="{D5CDD505-2E9C-101B-9397-08002B2CF9AE}" pid="9" name="PlainTray">
    <vt:i4>0</vt:i4>
  </property>
  <property fmtid="{D5CDD505-2E9C-101B-9397-08002B2CF9AE}" pid="10" name="LetterheadTray">
    <vt:i4>0</vt:i4>
  </property>
  <property fmtid="{D5CDD505-2E9C-101B-9397-08002B2CF9AE}" pid="11" name="ContinuationTray">
    <vt:i4>0</vt:i4>
  </property>
  <property fmtid="{D5CDD505-2E9C-101B-9397-08002B2CF9AE}" pid="12" name="BillTray">
    <vt:i4>0</vt:i4>
  </property>
  <property fmtid="{D5CDD505-2E9C-101B-9397-08002B2CF9AE}" pid="13" name="FileCopies">
    <vt:lpwstr>1</vt:lpwstr>
  </property>
  <property fmtid="{D5CDD505-2E9C-101B-9397-08002B2CF9AE}" pid="14" name="ClientCopies">
    <vt:lpwstr>1</vt:lpwstr>
  </property>
  <property fmtid="{D5CDD505-2E9C-101B-9397-08002B2CF9AE}" pid="15" name="FileCopyDuplex">
    <vt:bool>true</vt:bool>
  </property>
  <property fmtid="{D5CDD505-2E9C-101B-9397-08002B2CF9AE}" pid="16" name="ClientCopyDuplex">
    <vt:bool>false</vt:bool>
  </property>
  <property fmtid="{D5CDD505-2E9C-101B-9397-08002B2CF9AE}" pid="17" name="CustomPageRange">
    <vt:lpwstr/>
  </property>
  <property fmtid="{D5CDD505-2E9C-101B-9397-08002B2CF9AE}" pid="18" name="WatermarkText">
    <vt:lpwstr/>
  </property>
  <property fmtid="{D5CDD505-2E9C-101B-9397-08002B2CF9AE}" pid="19" name="PagesFrom">
    <vt:lpwstr/>
  </property>
  <property fmtid="{D5CDD505-2E9C-101B-9397-08002B2CF9AE}" pid="20" name="PagesTo">
    <vt:lpwstr/>
  </property>
  <property fmtid="{D5CDD505-2E9C-101B-9397-08002B2CF9AE}" pid="21" name="TotalPages">
    <vt:i4>0</vt:i4>
  </property>
  <property fmtid="{D5CDD505-2E9C-101B-9397-08002B2CF9AE}" pid="22" name="FooterIncludeFilename">
    <vt:bool>true</vt:bool>
  </property>
  <property fmtid="{D5CDD505-2E9C-101B-9397-08002B2CF9AE}" pid="23" name="FooterIncludeDate">
    <vt:bool>true</vt:bool>
  </property>
  <property fmtid="{D5CDD505-2E9C-101B-9397-08002B2CF9AE}" pid="24" name="FooterIncludePageNumbers">
    <vt:bool>false</vt:bool>
  </property>
  <property fmtid="{D5CDD505-2E9C-101B-9397-08002B2CF9AE}" pid="25" name="FooterIncludeClientMatterRef">
    <vt:bool>false</vt:bool>
  </property>
  <property fmtid="{D5CDD505-2E9C-101B-9397-08002B2CF9AE}" pid="26" name="FooterIncludeVersion">
    <vt:bool>false</vt:bool>
  </property>
  <property fmtid="{D5CDD505-2E9C-101B-9397-08002B2CF9AE}" pid="27" name="StandardFooterOnThisDocument">
    <vt:bool>false</vt:bool>
  </property>
  <property fmtid="{D5CDD505-2E9C-101B-9397-08002B2CF9AE}" pid="28" name="PropertiesInitialised">
    <vt:bool>true</vt:bool>
  </property>
  <property fmtid="{D5CDD505-2E9C-101B-9397-08002B2CF9AE}" pid="29" name="WindowSwitched">
    <vt:bool>false</vt:bool>
  </property>
  <property fmtid="{D5CDD505-2E9C-101B-9397-08002B2CF9AE}" pid="30" name="BuildingBlockFolder">
    <vt:lpwstr>C:\Documents and Settings\ert\Application Data\Microsoft\Document Building Blocks\1033\14</vt:lpwstr>
  </property>
</Properties>
</file>