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C7B2C" w14:textId="77777777" w:rsidR="00810AB4" w:rsidRPr="00B82B3C" w:rsidRDefault="009773EA" w:rsidP="005808F7">
      <w:pPr>
        <w:jc w:val="left"/>
        <w:rPr>
          <w:rFonts w:cs="Tahoma"/>
          <w:color w:val="000000"/>
        </w:rPr>
      </w:pPr>
      <w:r>
        <w:rPr>
          <w:rFonts w:cs="Tahoma"/>
          <w:bCs/>
          <w:noProof/>
        </w:rPr>
        <mc:AlternateContent>
          <mc:Choice Requires="wps">
            <w:drawing>
              <wp:inline distT="0" distB="0" distL="0" distR="0" wp14:anchorId="716A917E" wp14:editId="205C95B9">
                <wp:extent cx="5720715" cy="2476500"/>
                <wp:effectExtent l="0" t="0" r="13335" b="19050"/>
                <wp:docPr id="3"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476500"/>
                        </a:xfrm>
                        <a:prstGeom prst="rect">
                          <a:avLst/>
                        </a:prstGeom>
                        <a:solidFill>
                          <a:srgbClr val="FFFFFF"/>
                        </a:solidFill>
                        <a:ln w="12700">
                          <a:solidFill>
                            <a:srgbClr val="000000"/>
                          </a:solidFill>
                          <a:miter lim="800000"/>
                          <a:headEnd/>
                          <a:tailEnd/>
                        </a:ln>
                      </wps:spPr>
                      <wps:txbx>
                        <w:txbxContent>
                          <w:p w14:paraId="467302A9" w14:textId="77777777" w:rsidR="000B383C" w:rsidRPr="00690C9D" w:rsidRDefault="000B383C" w:rsidP="00A64F98">
                            <w:pPr>
                              <w:pStyle w:val="NormalWeb"/>
                              <w:jc w:val="left"/>
                              <w:rPr>
                                <w:rFonts w:ascii="Calibri" w:hAnsi="Calibri"/>
                                <w:b/>
                                <w:bCs/>
                                <w:color w:val="000000"/>
                                <w:sz w:val="40"/>
                                <w:szCs w:val="28"/>
                              </w:rPr>
                            </w:pPr>
                            <w:r>
                              <w:rPr>
                                <w:b/>
                                <w:bCs/>
                                <w:color w:val="000000"/>
                                <w:sz w:val="40"/>
                                <w:szCs w:val="28"/>
                              </w:rPr>
                              <w:t>Serious Incident Notifications from local authority children’s services</w:t>
                            </w:r>
                          </w:p>
                          <w:p w14:paraId="4539E489" w14:textId="77777777" w:rsidR="000B383C" w:rsidRPr="00D04363" w:rsidRDefault="000B383C" w:rsidP="00B822DD">
                            <w:pPr>
                              <w:pStyle w:val="NormalWeb"/>
                              <w:jc w:val="left"/>
                              <w:rPr>
                                <w:sz w:val="4"/>
                                <w:szCs w:val="4"/>
                              </w:rPr>
                            </w:pPr>
                          </w:p>
                          <w:p w14:paraId="59013F20" w14:textId="77777777" w:rsidR="000B383C" w:rsidRDefault="000B383C" w:rsidP="00B822DD">
                            <w:pPr>
                              <w:jc w:val="left"/>
                              <w:rPr>
                                <w:color w:val="000000"/>
                                <w:sz w:val="20"/>
                                <w:szCs w:val="20"/>
                              </w:rPr>
                            </w:pPr>
                            <w:r w:rsidRPr="00771A3A">
                              <w:rPr>
                                <w:color w:val="000000"/>
                                <w:sz w:val="20"/>
                                <w:szCs w:val="20"/>
                              </w:rPr>
                              <w:t>This release contains:</w:t>
                            </w:r>
                          </w:p>
                          <w:p w14:paraId="1FDF82EC" w14:textId="77777777" w:rsidR="000B383C" w:rsidRPr="00526425" w:rsidRDefault="000B383C" w:rsidP="00710930">
                            <w:pPr>
                              <w:numPr>
                                <w:ilvl w:val="0"/>
                                <w:numId w:val="36"/>
                              </w:numPr>
                              <w:ind w:left="709" w:hanging="284"/>
                              <w:contextualSpacing/>
                              <w:jc w:val="left"/>
                              <w:rPr>
                                <w:rFonts w:ascii="Times New Roman" w:hAnsi="Times New Roman"/>
                                <w:sz w:val="20"/>
                                <w:szCs w:val="20"/>
                              </w:rPr>
                            </w:pPr>
                            <w:r>
                              <w:rPr>
                                <w:rFonts w:eastAsia="Tahoma"/>
                                <w:color w:val="000000"/>
                                <w:sz w:val="20"/>
                                <w:szCs w:val="20"/>
                              </w:rPr>
                              <w:t>Data on notifiable incidents involving the care of children aged under 18 years</w:t>
                            </w:r>
                          </w:p>
                          <w:p w14:paraId="5CAE5879" w14:textId="77777777" w:rsidR="000B383C" w:rsidRPr="00771A3A" w:rsidRDefault="000B383C" w:rsidP="00710930">
                            <w:pPr>
                              <w:numPr>
                                <w:ilvl w:val="0"/>
                                <w:numId w:val="36"/>
                              </w:numPr>
                              <w:ind w:left="709" w:hanging="284"/>
                              <w:contextualSpacing/>
                              <w:jc w:val="left"/>
                              <w:rPr>
                                <w:rFonts w:ascii="Times New Roman" w:hAnsi="Times New Roman"/>
                                <w:sz w:val="20"/>
                                <w:szCs w:val="20"/>
                              </w:rPr>
                            </w:pPr>
                            <w:r>
                              <w:rPr>
                                <w:rFonts w:eastAsia="Tahoma"/>
                                <w:color w:val="000000"/>
                                <w:sz w:val="20"/>
                                <w:szCs w:val="20"/>
                              </w:rPr>
                              <w:t>Notifiable incidents are those involving death or serious harm to a child where abuse or neglect is known or suspected, and also deaths of children looked after and children in regulated settings</w:t>
                            </w:r>
                          </w:p>
                          <w:p w14:paraId="2784F166" w14:textId="77777777" w:rsidR="000B383C" w:rsidRPr="00526425" w:rsidRDefault="000B383C" w:rsidP="00710930">
                            <w:pPr>
                              <w:numPr>
                                <w:ilvl w:val="0"/>
                                <w:numId w:val="36"/>
                              </w:numPr>
                              <w:ind w:left="709" w:hanging="284"/>
                              <w:contextualSpacing/>
                              <w:jc w:val="left"/>
                              <w:rPr>
                                <w:rFonts w:ascii="Times New Roman" w:hAnsi="Times New Roman"/>
                                <w:sz w:val="20"/>
                                <w:szCs w:val="20"/>
                              </w:rPr>
                            </w:pPr>
                            <w:r>
                              <w:rPr>
                                <w:color w:val="000000"/>
                                <w:sz w:val="20"/>
                                <w:szCs w:val="20"/>
                              </w:rPr>
                              <w:t>Data is for the period between 1 April 2015 and 31 March 2016</w:t>
                            </w:r>
                          </w:p>
                          <w:p w14:paraId="322DAEEC" w14:textId="77777777" w:rsidR="000B383C" w:rsidRPr="00526425" w:rsidRDefault="000B383C" w:rsidP="00710930">
                            <w:pPr>
                              <w:numPr>
                                <w:ilvl w:val="0"/>
                                <w:numId w:val="36"/>
                              </w:numPr>
                              <w:ind w:left="709" w:hanging="284"/>
                              <w:contextualSpacing/>
                              <w:jc w:val="left"/>
                              <w:rPr>
                                <w:rFonts w:ascii="Times New Roman" w:hAnsi="Times New Roman"/>
                                <w:sz w:val="20"/>
                                <w:szCs w:val="20"/>
                              </w:rPr>
                            </w:pPr>
                            <w:r w:rsidRPr="00B822DD">
                              <w:rPr>
                                <w:color w:val="000000"/>
                                <w:sz w:val="20"/>
                                <w:szCs w:val="20"/>
                              </w:rPr>
                              <w:t>The analysis is based on information provided to Ofsted by local authorities at the time of notification and in any further updates received from local authorities and Local Safeguarding Children Boards</w:t>
                            </w:r>
                          </w:p>
                          <w:p w14:paraId="1D9C578C" w14:textId="77777777" w:rsidR="000B383C" w:rsidRPr="00526425" w:rsidRDefault="000B383C" w:rsidP="00710930">
                            <w:pPr>
                              <w:numPr>
                                <w:ilvl w:val="0"/>
                                <w:numId w:val="36"/>
                              </w:numPr>
                              <w:ind w:left="709" w:hanging="284"/>
                              <w:contextualSpacing/>
                              <w:jc w:val="left"/>
                              <w:rPr>
                                <w:color w:val="000000"/>
                              </w:rPr>
                            </w:pPr>
                            <w:r w:rsidRPr="00B822DD">
                              <w:rPr>
                                <w:color w:val="000000"/>
                                <w:sz w:val="20"/>
                                <w:szCs w:val="20"/>
                              </w:rPr>
                              <w:t xml:space="preserve">The data </w:t>
                            </w:r>
                            <w:r>
                              <w:rPr>
                                <w:color w:val="000000"/>
                                <w:sz w:val="20"/>
                                <w:szCs w:val="20"/>
                              </w:rPr>
                              <w:t>is</w:t>
                            </w:r>
                            <w:r w:rsidRPr="00B822DD">
                              <w:rPr>
                                <w:color w:val="000000"/>
                                <w:sz w:val="20"/>
                                <w:szCs w:val="20"/>
                              </w:rPr>
                              <w:t xml:space="preserve"> experimental, because </w:t>
                            </w:r>
                            <w:r>
                              <w:rPr>
                                <w:color w:val="000000"/>
                                <w:sz w:val="20"/>
                                <w:szCs w:val="20"/>
                              </w:rPr>
                              <w:t xml:space="preserve">the </w:t>
                            </w:r>
                            <w:r w:rsidRPr="00B822DD">
                              <w:rPr>
                                <w:color w:val="000000"/>
                                <w:sz w:val="20"/>
                                <w:szCs w:val="20"/>
                              </w:rPr>
                              <w:t>statistics do not yet meet the rigorous quality standards of National Statistics</w:t>
                            </w:r>
                          </w:p>
                        </w:txbxContent>
                      </wps:txbx>
                      <wps:bodyPr rot="0" vert="horz" wrap="square" lIns="91440" tIns="45720" rIns="91440" bIns="45720" anchor="t" anchorCtr="0" upright="1">
                        <a:noAutofit/>
                      </wps:bodyPr>
                    </wps:wsp>
                  </a:graphicData>
                </a:graphic>
              </wp:inline>
            </w:drawing>
          </mc:Choice>
          <mc:Fallback>
            <w:pict>
              <v:shapetype w14:anchorId="716A917E" id="_x0000_t202" coordsize="21600,21600" o:spt="202" path="m,l,21600r21600,l21600,xe">
                <v:stroke joinstyle="miter"/>
                <v:path gradientshapeok="t" o:connecttype="rect"/>
              </v:shapetype>
              <v:shape id="TextBox 1" o:spid="_x0000_s1026" type="#_x0000_t202" style="width:450.4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" strokeweight="1pt">
                <v:textbox>
                  <w:txbxContent>
                    <w:p w14:paraId="467302A9" w14:textId="77777777" w:rsidR="000B383C" w:rsidRPr="00690C9D" w:rsidRDefault="000B383C" w:rsidP="00A64F98">
                      <w:pPr>
                        <w:pStyle w:val="NormalWeb"/>
                        <w:jc w:val="left"/>
                        <w:rPr>
                          <w:rFonts w:ascii="Calibri" w:hAnsi="Calibri"/>
                          <w:b/>
                          <w:bCs/>
                          <w:color w:val="000000"/>
                          <w:sz w:val="40"/>
                          <w:szCs w:val="28"/>
                        </w:rPr>
                      </w:pPr>
                      <w:r>
                        <w:rPr>
                          <w:b/>
                          <w:bCs/>
                          <w:color w:val="000000"/>
                          <w:sz w:val="40"/>
                          <w:szCs w:val="28"/>
                        </w:rPr>
                        <w:t>Serious Incident Notifications from local authority children’s services</w:t>
                      </w:r>
                    </w:p>
                    <w:p w14:paraId="4539E489" w14:textId="77777777" w:rsidR="000B383C" w:rsidRPr="00D04363" w:rsidRDefault="000B383C" w:rsidP="00B822DD">
                      <w:pPr>
                        <w:pStyle w:val="NormalWeb"/>
                        <w:jc w:val="left"/>
                        <w:rPr>
                          <w:sz w:val="4"/>
                          <w:szCs w:val="4"/>
                        </w:rPr>
                      </w:pPr>
                    </w:p>
                    <w:p w14:paraId="59013F20" w14:textId="77777777" w:rsidR="000B383C" w:rsidRDefault="000B383C" w:rsidP="00B822DD">
                      <w:pPr>
                        <w:jc w:val="left"/>
                        <w:rPr>
                          <w:color w:val="000000"/>
                          <w:sz w:val="20"/>
                          <w:szCs w:val="20"/>
                        </w:rPr>
                      </w:pPr>
                      <w:r w:rsidRPr="00771A3A">
                        <w:rPr>
                          <w:color w:val="000000"/>
                          <w:sz w:val="20"/>
                          <w:szCs w:val="20"/>
                        </w:rPr>
                        <w:t>This release contains:</w:t>
                      </w:r>
                    </w:p>
                    <w:p w14:paraId="1FDF82EC" w14:textId="77777777" w:rsidR="000B383C" w:rsidRPr="00526425" w:rsidRDefault="000B383C" w:rsidP="00710930">
                      <w:pPr>
                        <w:numPr>
                          <w:ilvl w:val="0"/>
                          <w:numId w:val="36"/>
                        </w:numPr>
                        <w:ind w:left="709" w:hanging="284"/>
                        <w:contextualSpacing/>
                        <w:jc w:val="left"/>
                        <w:rPr>
                          <w:rFonts w:ascii="Times New Roman" w:hAnsi="Times New Roman"/>
                          <w:sz w:val="20"/>
                          <w:szCs w:val="20"/>
                        </w:rPr>
                      </w:pPr>
                      <w:r>
                        <w:rPr>
                          <w:rFonts w:eastAsia="Tahoma"/>
                          <w:color w:val="000000"/>
                          <w:sz w:val="20"/>
                          <w:szCs w:val="20"/>
                        </w:rPr>
                        <w:t>Data on notifiable incidents involving the care of children aged under 18 years</w:t>
                      </w:r>
                    </w:p>
                    <w:p w14:paraId="5CAE5879" w14:textId="77777777" w:rsidR="000B383C" w:rsidRPr="00771A3A" w:rsidRDefault="000B383C" w:rsidP="00710930">
                      <w:pPr>
                        <w:numPr>
                          <w:ilvl w:val="0"/>
                          <w:numId w:val="36"/>
                        </w:numPr>
                        <w:ind w:left="709" w:hanging="284"/>
                        <w:contextualSpacing/>
                        <w:jc w:val="left"/>
                        <w:rPr>
                          <w:rFonts w:ascii="Times New Roman" w:hAnsi="Times New Roman"/>
                          <w:sz w:val="20"/>
                          <w:szCs w:val="20"/>
                        </w:rPr>
                      </w:pPr>
                      <w:r>
                        <w:rPr>
                          <w:rFonts w:eastAsia="Tahoma"/>
                          <w:color w:val="000000"/>
                          <w:sz w:val="20"/>
                          <w:szCs w:val="20"/>
                        </w:rPr>
                        <w:t>Notifiable incidents are those involving death or serious harm to a child where abuse or neglect is known or suspected, and also deaths of children looked after and children in regulated settings</w:t>
                      </w:r>
                    </w:p>
                    <w:p w14:paraId="2784F166" w14:textId="77777777" w:rsidR="000B383C" w:rsidRPr="00526425" w:rsidRDefault="000B383C" w:rsidP="00710930">
                      <w:pPr>
                        <w:numPr>
                          <w:ilvl w:val="0"/>
                          <w:numId w:val="36"/>
                        </w:numPr>
                        <w:ind w:left="709" w:hanging="284"/>
                        <w:contextualSpacing/>
                        <w:jc w:val="left"/>
                        <w:rPr>
                          <w:rFonts w:ascii="Times New Roman" w:hAnsi="Times New Roman"/>
                          <w:sz w:val="20"/>
                          <w:szCs w:val="20"/>
                        </w:rPr>
                      </w:pPr>
                      <w:r>
                        <w:rPr>
                          <w:color w:val="000000"/>
                          <w:sz w:val="20"/>
                          <w:szCs w:val="20"/>
                        </w:rPr>
                        <w:t>Data is for the period between 1 April 2015 and 31 March 2016</w:t>
                      </w:r>
                    </w:p>
                    <w:p w14:paraId="322DAEEC" w14:textId="77777777" w:rsidR="000B383C" w:rsidRPr="00526425" w:rsidRDefault="000B383C" w:rsidP="00710930">
                      <w:pPr>
                        <w:numPr>
                          <w:ilvl w:val="0"/>
                          <w:numId w:val="36"/>
                        </w:numPr>
                        <w:ind w:left="709" w:hanging="284"/>
                        <w:contextualSpacing/>
                        <w:jc w:val="left"/>
                        <w:rPr>
                          <w:rFonts w:ascii="Times New Roman" w:hAnsi="Times New Roman"/>
                          <w:sz w:val="20"/>
                          <w:szCs w:val="20"/>
                        </w:rPr>
                      </w:pPr>
                      <w:r w:rsidRPr="00B822DD">
                        <w:rPr>
                          <w:color w:val="000000"/>
                          <w:sz w:val="20"/>
                          <w:szCs w:val="20"/>
                        </w:rPr>
                        <w:t>The analysis is based on information provided to Ofsted by local authorities at the time of notification and in any further updates received from local authorities and Local Safeguarding Children Boards</w:t>
                      </w:r>
                    </w:p>
                    <w:p w14:paraId="1D9C578C" w14:textId="77777777" w:rsidR="000B383C" w:rsidRPr="00526425" w:rsidRDefault="000B383C" w:rsidP="00710930">
                      <w:pPr>
                        <w:numPr>
                          <w:ilvl w:val="0"/>
                          <w:numId w:val="36"/>
                        </w:numPr>
                        <w:ind w:left="709" w:hanging="284"/>
                        <w:contextualSpacing/>
                        <w:jc w:val="left"/>
                        <w:rPr>
                          <w:color w:val="000000"/>
                        </w:rPr>
                      </w:pPr>
                      <w:r w:rsidRPr="00B822DD">
                        <w:rPr>
                          <w:color w:val="000000"/>
                          <w:sz w:val="20"/>
                          <w:szCs w:val="20"/>
                        </w:rPr>
                        <w:t xml:space="preserve">The data </w:t>
                      </w:r>
                      <w:r>
                        <w:rPr>
                          <w:color w:val="000000"/>
                          <w:sz w:val="20"/>
                          <w:szCs w:val="20"/>
                        </w:rPr>
                        <w:t>is</w:t>
                      </w:r>
                      <w:r w:rsidRPr="00B822DD">
                        <w:rPr>
                          <w:color w:val="000000"/>
                          <w:sz w:val="20"/>
                          <w:szCs w:val="20"/>
                        </w:rPr>
                        <w:t xml:space="preserve"> experimental, because </w:t>
                      </w:r>
                      <w:r>
                        <w:rPr>
                          <w:color w:val="000000"/>
                          <w:sz w:val="20"/>
                          <w:szCs w:val="20"/>
                        </w:rPr>
                        <w:t xml:space="preserve">the </w:t>
                      </w:r>
                      <w:r w:rsidRPr="00B822DD">
                        <w:rPr>
                          <w:color w:val="000000"/>
                          <w:sz w:val="20"/>
                          <w:szCs w:val="20"/>
                        </w:rPr>
                        <w:t>statistics do not yet meet the rigorous quality standards of National Statistics</w:t>
                      </w:r>
                    </w:p>
                  </w:txbxContent>
                </v:textbox>
                <w10:anchorlock/>
              </v:shape>
            </w:pict>
          </mc:Fallback>
        </mc:AlternateContent>
      </w:r>
    </w:p>
    <w:p w14:paraId="13BDFE49" w14:textId="77777777" w:rsidR="00810AB4" w:rsidRPr="00B82B3C" w:rsidRDefault="00810AB4" w:rsidP="005808F7">
      <w:pPr>
        <w:jc w:val="left"/>
        <w:rPr>
          <w:rFonts w:cs="Tahoma"/>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4E201B" w:rsidRPr="00B82B3C" w14:paraId="2DEF962A" w14:textId="77777777" w:rsidTr="0086719C">
        <w:trPr>
          <w:trHeight w:val="1718"/>
        </w:trPr>
        <w:tc>
          <w:tcPr>
            <w:tcW w:w="2660" w:type="dxa"/>
            <w:tcBorders>
              <w:top w:val="single" w:sz="12" w:space="0" w:color="A6A6A6"/>
              <w:left w:val="single" w:sz="12" w:space="0" w:color="FFFFFF"/>
              <w:bottom w:val="single" w:sz="8" w:space="0" w:color="000000"/>
              <w:right w:val="single" w:sz="12" w:space="0" w:color="FFFFFF"/>
            </w:tcBorders>
            <w:shd w:val="clear" w:color="auto" w:fill="auto"/>
          </w:tcPr>
          <w:p w14:paraId="7AD0EBF1" w14:textId="77777777" w:rsidR="00FC5157" w:rsidRPr="00B82B3C" w:rsidRDefault="00FC5157" w:rsidP="005808F7">
            <w:pPr>
              <w:jc w:val="left"/>
              <w:rPr>
                <w:rFonts w:cs="Tahoma"/>
              </w:rPr>
            </w:pPr>
          </w:p>
          <w:p w14:paraId="3BF869F2" w14:textId="77777777" w:rsidR="005808F7" w:rsidRDefault="009260BD" w:rsidP="005808F7">
            <w:pPr>
              <w:jc w:val="left"/>
              <w:rPr>
                <w:rFonts w:cs="Tahoma"/>
              </w:rPr>
            </w:pPr>
            <w:r>
              <w:rPr>
                <w:rFonts w:cs="Tahoma"/>
              </w:rPr>
              <w:t>The number of serious incidents notified to Ofsted was almost the same as last year.</w:t>
            </w:r>
          </w:p>
          <w:p w14:paraId="44054A3F" w14:textId="77777777" w:rsidR="00FA3A01" w:rsidRPr="00B82B3C" w:rsidRDefault="00FA3A01" w:rsidP="005808F7">
            <w:pPr>
              <w:jc w:val="left"/>
              <w:rPr>
                <w:rFonts w:cs="Tahoma"/>
              </w:rPr>
            </w:pPr>
          </w:p>
        </w:tc>
        <w:tc>
          <w:tcPr>
            <w:tcW w:w="6662" w:type="dxa"/>
            <w:tcBorders>
              <w:top w:val="single" w:sz="12" w:space="0" w:color="A6A6A6"/>
              <w:left w:val="single" w:sz="12" w:space="0" w:color="FFFFFF"/>
              <w:bottom w:val="single" w:sz="8" w:space="0" w:color="000000"/>
              <w:right w:val="single" w:sz="12" w:space="0" w:color="FFFFFF"/>
            </w:tcBorders>
            <w:shd w:val="clear" w:color="auto" w:fill="auto"/>
          </w:tcPr>
          <w:p w14:paraId="19FE2ADB" w14:textId="77777777" w:rsidR="007E785D" w:rsidRPr="00B82B3C" w:rsidRDefault="007E785D" w:rsidP="005808F7">
            <w:pPr>
              <w:jc w:val="left"/>
              <w:rPr>
                <w:rFonts w:cs="Tahoma"/>
              </w:rPr>
            </w:pPr>
          </w:p>
          <w:p w14:paraId="46BED07A" w14:textId="77777777" w:rsidR="004E201B" w:rsidRPr="005808F7" w:rsidRDefault="009260BD" w:rsidP="005808F7">
            <w:pPr>
              <w:pStyle w:val="NoSpacing"/>
              <w:jc w:val="left"/>
              <w:rPr>
                <w:rFonts w:cs="Tahoma"/>
              </w:rPr>
            </w:pPr>
            <w:r w:rsidRPr="00710930">
              <w:rPr>
                <w:rFonts w:cs="Tahoma"/>
                <w:bCs/>
              </w:rPr>
              <w:t xml:space="preserve">From 1 April 2015 to 31 March 2016 Ofsted received 379 incident notifications. This </w:t>
            </w:r>
            <w:r>
              <w:rPr>
                <w:rFonts w:cs="Tahoma"/>
                <w:bCs/>
              </w:rPr>
              <w:t>was</w:t>
            </w:r>
            <w:r w:rsidRPr="00710930">
              <w:rPr>
                <w:rFonts w:cs="Tahoma"/>
                <w:bCs/>
              </w:rPr>
              <w:t xml:space="preserve"> a 2% decrease on the number of incidents in 2014-15 (385).</w:t>
            </w:r>
          </w:p>
          <w:p w14:paraId="2150A5A6" w14:textId="77777777" w:rsidR="00DC161D" w:rsidRPr="00B82B3C" w:rsidRDefault="00DC161D" w:rsidP="005808F7">
            <w:pPr>
              <w:jc w:val="left"/>
              <w:rPr>
                <w:rFonts w:cs="Tahoma"/>
              </w:rPr>
            </w:pPr>
          </w:p>
        </w:tc>
      </w:tr>
      <w:tr w:rsidR="00730187" w:rsidRPr="00B82B3C" w14:paraId="2ACFA39D" w14:textId="77777777" w:rsidTr="00710930">
        <w:trPr>
          <w:trHeight w:val="1578"/>
        </w:trPr>
        <w:tc>
          <w:tcPr>
            <w:tcW w:w="2660" w:type="dxa"/>
            <w:tcBorders>
              <w:top w:val="single" w:sz="8" w:space="0" w:color="000000"/>
              <w:left w:val="single" w:sz="12" w:space="0" w:color="FFFFFF"/>
              <w:bottom w:val="single" w:sz="12" w:space="0" w:color="A6A6A6"/>
              <w:right w:val="single" w:sz="12" w:space="0" w:color="FFFFFF"/>
            </w:tcBorders>
            <w:shd w:val="clear" w:color="auto" w:fill="auto"/>
          </w:tcPr>
          <w:p w14:paraId="5B60A053" w14:textId="77777777" w:rsidR="00730187" w:rsidRPr="00B82B3C" w:rsidRDefault="00730187" w:rsidP="005808F7">
            <w:pPr>
              <w:jc w:val="left"/>
              <w:rPr>
                <w:rFonts w:cs="Tahoma"/>
              </w:rPr>
            </w:pPr>
          </w:p>
          <w:p w14:paraId="24F36C8A" w14:textId="77777777" w:rsidR="00730187" w:rsidRPr="00B82B3C" w:rsidRDefault="005D2239" w:rsidP="000D7288">
            <w:pPr>
              <w:jc w:val="left"/>
              <w:rPr>
                <w:rFonts w:cs="Tahoma"/>
              </w:rPr>
            </w:pPr>
            <w:r>
              <w:rPr>
                <w:rFonts w:cs="Tahoma"/>
              </w:rPr>
              <w:t>T</w:t>
            </w:r>
            <w:r w:rsidR="00F76960">
              <w:rPr>
                <w:rFonts w:cs="Tahoma"/>
              </w:rPr>
              <w:t>he number of child deaths notified to Ofsted has fallen</w:t>
            </w:r>
            <w:r w:rsidR="005808F7">
              <w:rPr>
                <w:rFonts w:cs="Tahoma"/>
              </w:rPr>
              <w:t>.</w:t>
            </w:r>
          </w:p>
          <w:p w14:paraId="2997C28D" w14:textId="77777777" w:rsidR="00730187" w:rsidRPr="00B82B3C" w:rsidRDefault="00730187" w:rsidP="000D7288">
            <w:pPr>
              <w:jc w:val="left"/>
              <w:rPr>
                <w:rFonts w:cs="Tahoma"/>
              </w:rPr>
            </w:pPr>
            <w:r w:rsidRPr="00B82B3C">
              <w:rPr>
                <w:rFonts w:cs="Tahoma"/>
              </w:rPr>
              <w:t xml:space="preserve"> </w:t>
            </w:r>
          </w:p>
        </w:tc>
        <w:tc>
          <w:tcPr>
            <w:tcW w:w="6662" w:type="dxa"/>
            <w:tcBorders>
              <w:top w:val="single" w:sz="8" w:space="0" w:color="000000"/>
              <w:left w:val="single" w:sz="12" w:space="0" w:color="FFFFFF"/>
              <w:bottom w:val="single" w:sz="12" w:space="0" w:color="A6A6A6"/>
              <w:right w:val="single" w:sz="12" w:space="0" w:color="FFFFFF"/>
            </w:tcBorders>
            <w:shd w:val="clear" w:color="auto" w:fill="auto"/>
          </w:tcPr>
          <w:p w14:paraId="3E0F5B96" w14:textId="77777777" w:rsidR="00730187" w:rsidRPr="00B82B3C" w:rsidRDefault="00730187" w:rsidP="000D7288">
            <w:pPr>
              <w:jc w:val="left"/>
              <w:rPr>
                <w:rFonts w:cs="Tahoma"/>
              </w:rPr>
            </w:pPr>
          </w:p>
          <w:p w14:paraId="6E396474" w14:textId="77777777" w:rsidR="00730187" w:rsidRPr="00B82B3C" w:rsidRDefault="00F76960" w:rsidP="000D7288">
            <w:pPr>
              <w:pStyle w:val="NoSpacing"/>
              <w:jc w:val="left"/>
              <w:rPr>
                <w:rFonts w:cs="Tahoma"/>
              </w:rPr>
            </w:pPr>
            <w:r>
              <w:rPr>
                <w:rFonts w:cs="Tahoma"/>
              </w:rPr>
              <w:t>Fro</w:t>
            </w:r>
            <w:r w:rsidR="005808F7">
              <w:rPr>
                <w:rFonts w:cs="Tahoma"/>
              </w:rPr>
              <w:t>m</w:t>
            </w:r>
            <w:r>
              <w:rPr>
                <w:rFonts w:cs="Tahoma"/>
              </w:rPr>
              <w:t xml:space="preserve"> 1 April 2015 to 31 March 2016, 171 cases of child deaths were notified, compared with 190 in the previous year.</w:t>
            </w:r>
            <w:r w:rsidR="0072575C">
              <w:rPr>
                <w:rFonts w:cs="Tahoma"/>
              </w:rPr>
              <w:t xml:space="preserve"> This was a 10% decrease from the previous year.</w:t>
            </w:r>
          </w:p>
        </w:tc>
      </w:tr>
      <w:tr w:rsidR="00730187" w:rsidRPr="00B82B3C" w14:paraId="12F8A285" w14:textId="77777777" w:rsidTr="00DE3FB0">
        <w:trPr>
          <w:trHeight w:val="1600"/>
        </w:trPr>
        <w:tc>
          <w:tcPr>
            <w:tcW w:w="2660" w:type="dxa"/>
            <w:tcBorders>
              <w:top w:val="single" w:sz="12" w:space="0" w:color="A6A6A6"/>
              <w:left w:val="single" w:sz="12" w:space="0" w:color="FFFFFF"/>
              <w:bottom w:val="single" w:sz="12" w:space="0" w:color="FFFFFF"/>
              <w:right w:val="single" w:sz="12" w:space="0" w:color="FFFFFF"/>
            </w:tcBorders>
            <w:shd w:val="clear" w:color="auto" w:fill="auto"/>
          </w:tcPr>
          <w:p w14:paraId="7AC4800B" w14:textId="77777777" w:rsidR="0032496D" w:rsidRPr="00B82B3C" w:rsidRDefault="00D85156" w:rsidP="00637B99">
            <w:pPr>
              <w:jc w:val="left"/>
              <w:rPr>
                <w:rFonts w:cs="Tahoma"/>
              </w:rPr>
            </w:pPr>
            <w:r>
              <w:rPr>
                <w:rFonts w:cs="Tahoma"/>
              </w:rPr>
              <w:t xml:space="preserve">The number of child deaths </w:t>
            </w:r>
            <w:r w:rsidR="00A62809">
              <w:rPr>
                <w:rFonts w:cs="Tahoma"/>
              </w:rPr>
              <w:t xml:space="preserve">notified </w:t>
            </w:r>
            <w:r>
              <w:rPr>
                <w:rFonts w:cs="Tahoma"/>
              </w:rPr>
              <w:t xml:space="preserve">from killing or non-accidental injury </w:t>
            </w:r>
            <w:r w:rsidR="008D29B4">
              <w:rPr>
                <w:rFonts w:cs="Tahoma"/>
              </w:rPr>
              <w:t xml:space="preserve">by a parent or carer </w:t>
            </w:r>
            <w:r>
              <w:rPr>
                <w:rFonts w:cs="Tahoma"/>
              </w:rPr>
              <w:t>has fallen</w:t>
            </w:r>
          </w:p>
        </w:tc>
        <w:tc>
          <w:tcPr>
            <w:tcW w:w="6662" w:type="dxa"/>
            <w:tcBorders>
              <w:top w:val="single" w:sz="12" w:space="0" w:color="A6A6A6"/>
              <w:left w:val="single" w:sz="12" w:space="0" w:color="FFFFFF"/>
              <w:bottom w:val="single" w:sz="12" w:space="0" w:color="FFFFFF"/>
              <w:right w:val="single" w:sz="12" w:space="0" w:color="FFFFFF"/>
            </w:tcBorders>
            <w:shd w:val="clear" w:color="auto" w:fill="auto"/>
            <w:vAlign w:val="center"/>
          </w:tcPr>
          <w:p w14:paraId="5F71272C" w14:textId="77777777" w:rsidR="0032496D" w:rsidRPr="00B82B3C" w:rsidRDefault="008D29B4" w:rsidP="000712B1">
            <w:pPr>
              <w:pStyle w:val="NoSpacing"/>
              <w:jc w:val="left"/>
              <w:rPr>
                <w:rFonts w:cs="Tahoma"/>
              </w:rPr>
            </w:pPr>
            <w:r>
              <w:rPr>
                <w:rFonts w:cs="Tahoma"/>
              </w:rPr>
              <w:t xml:space="preserve">In the period 1 April 2015 to 31 March 2016 the number of </w:t>
            </w:r>
            <w:r w:rsidR="00A62809">
              <w:rPr>
                <w:rFonts w:cs="Tahoma"/>
              </w:rPr>
              <w:t xml:space="preserve">notifications of </w:t>
            </w:r>
            <w:r>
              <w:rPr>
                <w:rFonts w:cs="Tahoma"/>
              </w:rPr>
              <w:t xml:space="preserve">child deaths from killing or non-accidental injury by a parent or carer has dropped to 11% </w:t>
            </w:r>
            <w:r w:rsidR="002F3179">
              <w:rPr>
                <w:rFonts w:cs="Tahoma"/>
              </w:rPr>
              <w:t xml:space="preserve">of all child deaths </w:t>
            </w:r>
            <w:r>
              <w:rPr>
                <w:rFonts w:cs="Tahoma"/>
              </w:rPr>
              <w:t>compared with 21% in 2014-15.</w:t>
            </w:r>
          </w:p>
        </w:tc>
      </w:tr>
    </w:tbl>
    <w:p w14:paraId="677F927E" w14:textId="77777777" w:rsidR="00FF7143" w:rsidRDefault="00FF7143" w:rsidP="005808F7">
      <w:pPr>
        <w:spacing w:after="240"/>
        <w:jc w:val="left"/>
        <w:rPr>
          <w:rFonts w:cs="Tahoma"/>
          <w:b/>
          <w:noProof/>
          <w:color w:val="000000"/>
          <w:kern w:val="28"/>
          <w:lang w:eastAsia="en-US"/>
        </w:rPr>
      </w:pPr>
      <w:bookmarkStart w:id="0" w:name="_Toc280878080"/>
      <w:bookmarkStart w:id="1" w:name="_Toc296347484"/>
      <w:bookmarkStart w:id="2" w:name="_Toc327345065"/>
    </w:p>
    <w:p w14:paraId="2423E53C" w14:textId="77777777" w:rsidR="008C52D2" w:rsidRDefault="00FF7143" w:rsidP="000A1E48">
      <w:pPr>
        <w:spacing w:after="240"/>
        <w:jc w:val="left"/>
        <w:rPr>
          <w:rFonts w:cs="Tahoma"/>
          <w:b/>
          <w:noProof/>
          <w:color w:val="000000"/>
          <w:kern w:val="28"/>
          <w:lang w:eastAsia="en-US"/>
        </w:rPr>
      </w:pPr>
      <w:r>
        <w:rPr>
          <w:rFonts w:cs="Tahoma"/>
          <w:b/>
          <w:noProof/>
          <w:color w:val="000000"/>
          <w:kern w:val="28"/>
          <w:lang w:eastAsia="en-US"/>
        </w:rPr>
        <w:br w:type="page"/>
      </w:r>
    </w:p>
    <w:p w14:paraId="101DF322" w14:textId="77777777" w:rsidR="008C52D2" w:rsidRDefault="008C52D2" w:rsidP="000A1E48">
      <w:pPr>
        <w:spacing w:after="240"/>
        <w:jc w:val="left"/>
        <w:rPr>
          <w:rFonts w:cs="Tahoma"/>
          <w:b/>
          <w:noProof/>
          <w:color w:val="000000"/>
          <w:kern w:val="28"/>
          <w:lang w:eastAsia="en-US"/>
        </w:rPr>
      </w:pPr>
    </w:p>
    <w:p w14:paraId="68052C00" w14:textId="77777777" w:rsidR="008C52D2" w:rsidRDefault="008C52D2" w:rsidP="000A1E48">
      <w:pPr>
        <w:spacing w:after="240"/>
        <w:jc w:val="left"/>
        <w:rPr>
          <w:rFonts w:cs="Tahoma"/>
          <w:b/>
          <w:noProof/>
          <w:color w:val="000000"/>
          <w:kern w:val="28"/>
          <w:lang w:eastAsia="en-US"/>
        </w:rPr>
      </w:pPr>
    </w:p>
    <w:p w14:paraId="2975F53C" w14:textId="77777777" w:rsidR="002C192D" w:rsidRPr="00B82B3C" w:rsidRDefault="00CC5FEB" w:rsidP="000A1E48">
      <w:pPr>
        <w:spacing w:after="240"/>
        <w:jc w:val="left"/>
        <w:rPr>
          <w:rFonts w:cs="Tahoma"/>
          <w:b/>
          <w:noProof/>
          <w:color w:val="000000"/>
          <w:kern w:val="28"/>
          <w:lang w:eastAsia="en-US"/>
        </w:rPr>
      </w:pPr>
      <w:r w:rsidRPr="00B82B3C">
        <w:rPr>
          <w:rFonts w:cs="Tahoma"/>
          <w:b/>
          <w:noProof/>
          <w:color w:val="000000"/>
          <w:kern w:val="28"/>
          <w:lang w:eastAsia="en-US"/>
        </w:rPr>
        <w:t>Contents</w:t>
      </w:r>
    </w:p>
    <w:p w14:paraId="2D4DD497" w14:textId="77777777" w:rsidR="00C3558D" w:rsidRDefault="002C192D">
      <w:pPr>
        <w:pStyle w:val="TOC2"/>
        <w:rPr>
          <w:rFonts w:asciiTheme="minorHAnsi" w:eastAsiaTheme="minorEastAsia" w:hAnsiTheme="minorHAnsi" w:cstheme="minorBidi"/>
          <w:sz w:val="22"/>
          <w:szCs w:val="22"/>
          <w:lang w:val="en-GB" w:eastAsia="en-GB"/>
        </w:rPr>
      </w:pPr>
      <w:r w:rsidRPr="00B82B3C">
        <w:fldChar w:fldCharType="begin"/>
      </w:r>
      <w:r w:rsidRPr="00B82B3C">
        <w:instrText xml:space="preserve"> TOC \o "1-3" \h \z \u </w:instrText>
      </w:r>
      <w:r w:rsidRPr="00B82B3C">
        <w:fldChar w:fldCharType="separate"/>
      </w:r>
      <w:hyperlink w:anchor="_Toc464054170" w:history="1">
        <w:r w:rsidR="00C3558D" w:rsidRPr="00044EFC">
          <w:rPr>
            <w:rStyle w:val="Hyperlink"/>
          </w:rPr>
          <w:t>Key findings</w:t>
        </w:r>
        <w:r w:rsidR="00C3558D">
          <w:rPr>
            <w:webHidden/>
          </w:rPr>
          <w:tab/>
        </w:r>
        <w:r w:rsidR="00C3558D">
          <w:rPr>
            <w:webHidden/>
          </w:rPr>
          <w:fldChar w:fldCharType="begin"/>
        </w:r>
        <w:r w:rsidR="00C3558D">
          <w:rPr>
            <w:webHidden/>
          </w:rPr>
          <w:instrText xml:space="preserve"> PAGEREF _Toc464054170 \h </w:instrText>
        </w:r>
        <w:r w:rsidR="00C3558D">
          <w:rPr>
            <w:webHidden/>
          </w:rPr>
        </w:r>
        <w:r w:rsidR="00C3558D">
          <w:rPr>
            <w:webHidden/>
          </w:rPr>
          <w:fldChar w:fldCharType="separate"/>
        </w:r>
        <w:r w:rsidR="00FD1EBA">
          <w:rPr>
            <w:webHidden/>
          </w:rPr>
          <w:t>3</w:t>
        </w:r>
        <w:r w:rsidR="00C3558D">
          <w:rPr>
            <w:webHidden/>
          </w:rPr>
          <w:fldChar w:fldCharType="end"/>
        </w:r>
      </w:hyperlink>
    </w:p>
    <w:p w14:paraId="1DE17DDF" w14:textId="77777777" w:rsidR="00C3558D" w:rsidRDefault="00E40DB4">
      <w:pPr>
        <w:pStyle w:val="TOC2"/>
        <w:rPr>
          <w:rFonts w:asciiTheme="minorHAnsi" w:eastAsiaTheme="minorEastAsia" w:hAnsiTheme="minorHAnsi" w:cstheme="minorBidi"/>
          <w:sz w:val="22"/>
          <w:szCs w:val="22"/>
          <w:lang w:val="en-GB" w:eastAsia="en-GB"/>
        </w:rPr>
      </w:pPr>
      <w:hyperlink w:anchor="_Toc464054171" w:history="1">
        <w:r w:rsidR="00C3558D" w:rsidRPr="00044EFC">
          <w:rPr>
            <w:rStyle w:val="Hyperlink"/>
          </w:rPr>
          <w:t>Revisions to previous release</w:t>
        </w:r>
        <w:r w:rsidR="00C3558D">
          <w:rPr>
            <w:webHidden/>
          </w:rPr>
          <w:tab/>
        </w:r>
        <w:r w:rsidR="00C3558D">
          <w:rPr>
            <w:webHidden/>
          </w:rPr>
          <w:fldChar w:fldCharType="begin"/>
        </w:r>
        <w:r w:rsidR="00C3558D">
          <w:rPr>
            <w:webHidden/>
          </w:rPr>
          <w:instrText xml:space="preserve"> PAGEREF _Toc464054171 \h </w:instrText>
        </w:r>
        <w:r w:rsidR="00C3558D">
          <w:rPr>
            <w:webHidden/>
          </w:rPr>
        </w:r>
        <w:r w:rsidR="00C3558D">
          <w:rPr>
            <w:webHidden/>
          </w:rPr>
          <w:fldChar w:fldCharType="separate"/>
        </w:r>
        <w:r w:rsidR="00FD1EBA">
          <w:rPr>
            <w:webHidden/>
          </w:rPr>
          <w:t>8</w:t>
        </w:r>
        <w:r w:rsidR="00C3558D">
          <w:rPr>
            <w:webHidden/>
          </w:rPr>
          <w:fldChar w:fldCharType="end"/>
        </w:r>
      </w:hyperlink>
    </w:p>
    <w:p w14:paraId="6EA6A5C2" w14:textId="77777777" w:rsidR="00C3558D" w:rsidRDefault="00E40DB4">
      <w:pPr>
        <w:pStyle w:val="TOC2"/>
        <w:rPr>
          <w:rFonts w:asciiTheme="minorHAnsi" w:eastAsiaTheme="minorEastAsia" w:hAnsiTheme="minorHAnsi" w:cstheme="minorBidi"/>
          <w:sz w:val="22"/>
          <w:szCs w:val="22"/>
          <w:lang w:val="en-GB" w:eastAsia="en-GB"/>
        </w:rPr>
      </w:pPr>
      <w:hyperlink w:anchor="_Toc464054172" w:history="1">
        <w:r w:rsidR="00C3558D" w:rsidRPr="00044EFC">
          <w:rPr>
            <w:rStyle w:val="Hyperlink"/>
          </w:rPr>
          <w:t>Notes</w:t>
        </w:r>
        <w:r w:rsidR="00C3558D">
          <w:rPr>
            <w:webHidden/>
          </w:rPr>
          <w:tab/>
        </w:r>
        <w:r w:rsidR="00C3558D">
          <w:rPr>
            <w:webHidden/>
          </w:rPr>
          <w:fldChar w:fldCharType="begin"/>
        </w:r>
        <w:r w:rsidR="00C3558D">
          <w:rPr>
            <w:webHidden/>
          </w:rPr>
          <w:instrText xml:space="preserve"> PAGEREF _Toc464054172 \h </w:instrText>
        </w:r>
        <w:r w:rsidR="00C3558D">
          <w:rPr>
            <w:webHidden/>
          </w:rPr>
        </w:r>
        <w:r w:rsidR="00C3558D">
          <w:rPr>
            <w:webHidden/>
          </w:rPr>
          <w:fldChar w:fldCharType="separate"/>
        </w:r>
        <w:r w:rsidR="00FD1EBA">
          <w:rPr>
            <w:webHidden/>
          </w:rPr>
          <w:t>8</w:t>
        </w:r>
        <w:r w:rsidR="00C3558D">
          <w:rPr>
            <w:webHidden/>
          </w:rPr>
          <w:fldChar w:fldCharType="end"/>
        </w:r>
      </w:hyperlink>
    </w:p>
    <w:p w14:paraId="0A31E3D7" w14:textId="77777777" w:rsidR="00C3558D" w:rsidRDefault="00E40DB4">
      <w:pPr>
        <w:pStyle w:val="TOC2"/>
        <w:rPr>
          <w:rFonts w:asciiTheme="minorHAnsi" w:eastAsiaTheme="minorEastAsia" w:hAnsiTheme="minorHAnsi" w:cstheme="minorBidi"/>
          <w:sz w:val="22"/>
          <w:szCs w:val="22"/>
          <w:lang w:val="en-GB" w:eastAsia="en-GB"/>
        </w:rPr>
      </w:pPr>
      <w:hyperlink w:anchor="_Toc464054173" w:history="1">
        <w:r w:rsidR="00C3558D" w:rsidRPr="00044EFC">
          <w:rPr>
            <w:rStyle w:val="Hyperlink"/>
          </w:rPr>
          <w:t>Methodology</w:t>
        </w:r>
        <w:r w:rsidR="00C3558D">
          <w:rPr>
            <w:webHidden/>
          </w:rPr>
          <w:tab/>
        </w:r>
        <w:r w:rsidR="00C3558D">
          <w:rPr>
            <w:webHidden/>
          </w:rPr>
          <w:fldChar w:fldCharType="begin"/>
        </w:r>
        <w:r w:rsidR="00C3558D">
          <w:rPr>
            <w:webHidden/>
          </w:rPr>
          <w:instrText xml:space="preserve"> PAGEREF _Toc464054173 \h </w:instrText>
        </w:r>
        <w:r w:rsidR="00C3558D">
          <w:rPr>
            <w:webHidden/>
          </w:rPr>
        </w:r>
        <w:r w:rsidR="00C3558D">
          <w:rPr>
            <w:webHidden/>
          </w:rPr>
          <w:fldChar w:fldCharType="separate"/>
        </w:r>
        <w:r w:rsidR="00FD1EBA">
          <w:rPr>
            <w:webHidden/>
          </w:rPr>
          <w:t>9</w:t>
        </w:r>
        <w:r w:rsidR="00C3558D">
          <w:rPr>
            <w:webHidden/>
          </w:rPr>
          <w:fldChar w:fldCharType="end"/>
        </w:r>
      </w:hyperlink>
    </w:p>
    <w:p w14:paraId="36FE52FF" w14:textId="77777777" w:rsidR="00724D6B" w:rsidRPr="00B82B3C" w:rsidRDefault="002C192D" w:rsidP="00710930">
      <w:pPr>
        <w:spacing w:after="120"/>
        <w:jc w:val="left"/>
        <w:rPr>
          <w:rFonts w:cs="Tahoma"/>
          <w:noProof/>
        </w:rPr>
      </w:pPr>
      <w:r w:rsidRPr="00B82B3C">
        <w:rPr>
          <w:rFonts w:cs="Tahoma"/>
          <w:noProof/>
        </w:rPr>
        <w:fldChar w:fldCharType="end"/>
      </w:r>
      <w:bookmarkStart w:id="3" w:name="Key_findings"/>
      <w:bookmarkEnd w:id="0"/>
      <w:bookmarkEnd w:id="1"/>
      <w:bookmarkEnd w:id="2"/>
    </w:p>
    <w:p w14:paraId="55C2DAB3" w14:textId="77777777" w:rsidR="00724D6B" w:rsidRPr="00B82B3C" w:rsidRDefault="00724D6B" w:rsidP="00710930">
      <w:pPr>
        <w:spacing w:after="120"/>
        <w:jc w:val="left"/>
        <w:rPr>
          <w:rFonts w:cs="Tahoma"/>
          <w:noProof/>
        </w:rPr>
      </w:pPr>
    </w:p>
    <w:p w14:paraId="2F4CEB9B" w14:textId="77777777" w:rsidR="00724D6B" w:rsidRPr="00B82B3C" w:rsidRDefault="00724D6B" w:rsidP="00710930">
      <w:pPr>
        <w:spacing w:after="120"/>
        <w:jc w:val="left"/>
        <w:rPr>
          <w:rFonts w:cs="Tahoma"/>
          <w:noProof/>
        </w:rPr>
      </w:pPr>
    </w:p>
    <w:p w14:paraId="34F76656" w14:textId="77777777" w:rsidR="00724D6B" w:rsidRPr="00B82B3C" w:rsidRDefault="00724D6B" w:rsidP="00710930">
      <w:pPr>
        <w:spacing w:after="120"/>
        <w:jc w:val="left"/>
        <w:rPr>
          <w:rFonts w:cs="Tahoma"/>
          <w:noProof/>
        </w:rPr>
      </w:pPr>
    </w:p>
    <w:p w14:paraId="121DC098" w14:textId="77777777" w:rsidR="00724D6B" w:rsidRPr="00B82B3C" w:rsidRDefault="00724D6B" w:rsidP="00710930">
      <w:pPr>
        <w:spacing w:after="120"/>
        <w:jc w:val="left"/>
        <w:rPr>
          <w:rFonts w:cs="Tahoma"/>
          <w:noProof/>
        </w:rPr>
      </w:pPr>
    </w:p>
    <w:p w14:paraId="1A724869" w14:textId="77777777" w:rsidR="00724D6B" w:rsidRPr="00B82B3C" w:rsidRDefault="00724D6B" w:rsidP="00710930">
      <w:pPr>
        <w:spacing w:after="120"/>
        <w:jc w:val="left"/>
        <w:rPr>
          <w:rFonts w:cs="Tahoma"/>
          <w:noProof/>
        </w:rPr>
      </w:pPr>
    </w:p>
    <w:p w14:paraId="2D5098AC" w14:textId="77777777" w:rsidR="00724D6B" w:rsidRPr="00B82B3C" w:rsidRDefault="00724D6B" w:rsidP="00710930">
      <w:pPr>
        <w:spacing w:after="120"/>
        <w:jc w:val="left"/>
        <w:rPr>
          <w:rFonts w:cs="Tahoma"/>
          <w:noProof/>
        </w:rPr>
      </w:pPr>
    </w:p>
    <w:p w14:paraId="07FDBEA0" w14:textId="77777777" w:rsidR="00724D6B" w:rsidRPr="00B82B3C" w:rsidRDefault="00724D6B" w:rsidP="00710930">
      <w:pPr>
        <w:spacing w:after="120"/>
        <w:jc w:val="left"/>
        <w:rPr>
          <w:rFonts w:cs="Tahoma"/>
          <w:noProof/>
        </w:rPr>
      </w:pPr>
    </w:p>
    <w:p w14:paraId="2C86C62F" w14:textId="77777777" w:rsidR="00724D6B" w:rsidRPr="00B82B3C" w:rsidRDefault="00724D6B" w:rsidP="00710930">
      <w:pPr>
        <w:spacing w:after="120"/>
        <w:jc w:val="left"/>
        <w:rPr>
          <w:rFonts w:cs="Tahoma"/>
          <w:noProof/>
        </w:rPr>
      </w:pPr>
    </w:p>
    <w:p w14:paraId="496DCC8B" w14:textId="77777777" w:rsidR="00724D6B" w:rsidRDefault="00724D6B" w:rsidP="00710930">
      <w:pPr>
        <w:spacing w:after="120"/>
        <w:jc w:val="left"/>
        <w:rPr>
          <w:rFonts w:cs="Tahoma"/>
          <w:noProof/>
        </w:rPr>
      </w:pPr>
    </w:p>
    <w:p w14:paraId="144CD7AD" w14:textId="77777777" w:rsidR="0033425E" w:rsidRDefault="0033425E" w:rsidP="00710930">
      <w:pPr>
        <w:spacing w:after="120"/>
        <w:jc w:val="left"/>
        <w:rPr>
          <w:rFonts w:cs="Tahoma"/>
          <w:noProof/>
        </w:rPr>
      </w:pPr>
    </w:p>
    <w:p w14:paraId="62FABFE4" w14:textId="77777777" w:rsidR="0033425E" w:rsidRDefault="0033425E" w:rsidP="00710930">
      <w:pPr>
        <w:spacing w:after="120"/>
        <w:jc w:val="left"/>
        <w:rPr>
          <w:rFonts w:cs="Tahoma"/>
          <w:noProof/>
        </w:rPr>
      </w:pPr>
    </w:p>
    <w:p w14:paraId="48A088EF" w14:textId="77777777" w:rsidR="0033425E" w:rsidRDefault="0033425E" w:rsidP="00710930">
      <w:pPr>
        <w:spacing w:after="120"/>
        <w:jc w:val="left"/>
        <w:rPr>
          <w:rFonts w:cs="Tahoma"/>
          <w:noProof/>
        </w:rPr>
      </w:pPr>
    </w:p>
    <w:p w14:paraId="51B2235F" w14:textId="77777777" w:rsidR="0033425E" w:rsidRDefault="0033425E" w:rsidP="00710930">
      <w:pPr>
        <w:spacing w:after="120"/>
        <w:jc w:val="left"/>
        <w:rPr>
          <w:rFonts w:cs="Tahoma"/>
          <w:noProof/>
        </w:rPr>
      </w:pPr>
    </w:p>
    <w:p w14:paraId="3A03D897" w14:textId="77777777" w:rsidR="0033425E" w:rsidRDefault="0033425E" w:rsidP="00710930">
      <w:pPr>
        <w:spacing w:after="120"/>
        <w:jc w:val="left"/>
        <w:rPr>
          <w:rFonts w:cs="Tahoma"/>
          <w:noProof/>
        </w:rPr>
      </w:pPr>
    </w:p>
    <w:p w14:paraId="4098F3F8" w14:textId="77777777" w:rsidR="0033425E" w:rsidRDefault="0033425E" w:rsidP="00710930">
      <w:pPr>
        <w:spacing w:after="120"/>
        <w:jc w:val="left"/>
        <w:rPr>
          <w:rFonts w:cs="Tahoma"/>
          <w:noProof/>
        </w:rPr>
      </w:pPr>
    </w:p>
    <w:p w14:paraId="46D44623" w14:textId="77777777" w:rsidR="0033425E" w:rsidRDefault="0033425E" w:rsidP="00710930">
      <w:pPr>
        <w:spacing w:after="120"/>
        <w:jc w:val="left"/>
        <w:rPr>
          <w:rFonts w:cs="Tahoma"/>
          <w:noProof/>
        </w:rPr>
      </w:pPr>
    </w:p>
    <w:p w14:paraId="58938CC6" w14:textId="77777777" w:rsidR="0033425E" w:rsidRDefault="0033425E" w:rsidP="00710930">
      <w:pPr>
        <w:spacing w:after="120"/>
        <w:jc w:val="left"/>
        <w:rPr>
          <w:rFonts w:cs="Tahoma"/>
          <w:noProof/>
        </w:rPr>
      </w:pPr>
    </w:p>
    <w:p w14:paraId="2F8C5C86" w14:textId="77777777" w:rsidR="0033425E" w:rsidRPr="00B82B3C" w:rsidRDefault="0033425E" w:rsidP="00710930">
      <w:pPr>
        <w:spacing w:after="120"/>
        <w:jc w:val="left"/>
        <w:rPr>
          <w:rFonts w:cs="Tahoma"/>
          <w:noProof/>
        </w:rPr>
      </w:pPr>
    </w:p>
    <w:p w14:paraId="36C65D4B" w14:textId="77777777" w:rsidR="00724D6B" w:rsidRDefault="00724D6B" w:rsidP="00710930">
      <w:pPr>
        <w:spacing w:after="120"/>
        <w:jc w:val="left"/>
        <w:rPr>
          <w:rFonts w:cs="Tahoma"/>
          <w:noProof/>
        </w:rPr>
      </w:pPr>
    </w:p>
    <w:p w14:paraId="72F5CD33" w14:textId="77777777" w:rsidR="000E6517" w:rsidRDefault="000E6517" w:rsidP="00710930">
      <w:pPr>
        <w:spacing w:after="120"/>
        <w:jc w:val="left"/>
        <w:rPr>
          <w:rFonts w:cs="Tahoma"/>
          <w:noProof/>
        </w:rPr>
      </w:pPr>
    </w:p>
    <w:p w14:paraId="5ACE1E41" w14:textId="77777777" w:rsidR="000E6517" w:rsidRDefault="000E6517" w:rsidP="00710930">
      <w:pPr>
        <w:spacing w:after="120"/>
        <w:jc w:val="left"/>
        <w:rPr>
          <w:rFonts w:cs="Tahoma"/>
          <w:noProof/>
        </w:rPr>
      </w:pPr>
    </w:p>
    <w:p w14:paraId="306B7FDA" w14:textId="77777777" w:rsidR="000E6517" w:rsidRDefault="000E6517" w:rsidP="00710930">
      <w:pPr>
        <w:spacing w:after="120"/>
        <w:jc w:val="left"/>
        <w:rPr>
          <w:rFonts w:cs="Tahoma"/>
          <w:noProof/>
        </w:rPr>
      </w:pPr>
    </w:p>
    <w:p w14:paraId="271498AD" w14:textId="77777777" w:rsidR="000E6517" w:rsidRDefault="000E6517" w:rsidP="00710930">
      <w:pPr>
        <w:spacing w:after="120"/>
        <w:jc w:val="left"/>
        <w:rPr>
          <w:rFonts w:cs="Tahoma"/>
          <w:noProof/>
        </w:rPr>
      </w:pPr>
    </w:p>
    <w:p w14:paraId="5C31ED74" w14:textId="77777777" w:rsidR="000E6517" w:rsidRDefault="000E6517" w:rsidP="00710930">
      <w:pPr>
        <w:spacing w:after="120"/>
        <w:jc w:val="left"/>
        <w:rPr>
          <w:rFonts w:cs="Tahoma"/>
          <w:noProof/>
        </w:rPr>
      </w:pPr>
    </w:p>
    <w:p w14:paraId="026F555C" w14:textId="77777777" w:rsidR="009A6870" w:rsidRPr="00710930" w:rsidRDefault="00152301" w:rsidP="00710930">
      <w:pPr>
        <w:pStyle w:val="Heading4"/>
        <w:jc w:val="left"/>
        <w:rPr>
          <w:sz w:val="28"/>
          <w:szCs w:val="28"/>
        </w:rPr>
      </w:pPr>
      <w:r w:rsidRPr="00710930">
        <w:rPr>
          <w:sz w:val="28"/>
          <w:szCs w:val="28"/>
        </w:rPr>
        <w:t>A</w:t>
      </w:r>
      <w:r w:rsidR="009A6870" w:rsidRPr="00710930">
        <w:rPr>
          <w:sz w:val="28"/>
          <w:szCs w:val="28"/>
        </w:rPr>
        <w:t>cknowledgements</w:t>
      </w:r>
    </w:p>
    <w:p w14:paraId="042A5236" w14:textId="77777777" w:rsidR="00EA5DFF" w:rsidRDefault="00036288" w:rsidP="00710930">
      <w:pPr>
        <w:jc w:val="left"/>
        <w:rPr>
          <w:rFonts w:cs="Tahoma"/>
        </w:rPr>
      </w:pPr>
      <w:r w:rsidRPr="00B82B3C">
        <w:rPr>
          <w:rFonts w:cs="Tahoma"/>
        </w:rPr>
        <w:t xml:space="preserve">Thanks to the following for their contribution to this statistical release: </w:t>
      </w:r>
    </w:p>
    <w:p w14:paraId="66A0A667" w14:textId="77777777" w:rsidR="009A6870" w:rsidRPr="00B82B3C" w:rsidRDefault="00036288" w:rsidP="00710930">
      <w:pPr>
        <w:jc w:val="left"/>
        <w:rPr>
          <w:rFonts w:cs="Tahoma"/>
        </w:rPr>
      </w:pPr>
      <w:r w:rsidRPr="00B82B3C">
        <w:rPr>
          <w:rFonts w:cs="Tahoma"/>
        </w:rPr>
        <w:t>Stewart Hartshorne</w:t>
      </w:r>
      <w:r w:rsidR="001D5FDE">
        <w:rPr>
          <w:rFonts w:cs="Tahoma"/>
        </w:rPr>
        <w:t xml:space="preserve">, </w:t>
      </w:r>
      <w:r w:rsidRPr="00B82B3C">
        <w:rPr>
          <w:rFonts w:cs="Tahoma"/>
        </w:rPr>
        <w:t>Peter McLaughlin</w:t>
      </w:r>
      <w:r w:rsidR="001D5FDE">
        <w:rPr>
          <w:rFonts w:cs="Tahoma"/>
        </w:rPr>
        <w:t xml:space="preserve">, and </w:t>
      </w:r>
      <w:r w:rsidR="001D5FDE" w:rsidRPr="00B82B3C">
        <w:rPr>
          <w:rFonts w:cs="Tahoma"/>
        </w:rPr>
        <w:t>Anne Gair</w:t>
      </w:r>
      <w:r w:rsidR="001D5FDE">
        <w:rPr>
          <w:rFonts w:cs="Tahoma"/>
        </w:rPr>
        <w:t>.</w:t>
      </w:r>
      <w:r w:rsidR="008742A8">
        <w:rPr>
          <w:rFonts w:cs="Tahoma"/>
        </w:rPr>
        <w:t xml:space="preserve"> </w:t>
      </w:r>
    </w:p>
    <w:p w14:paraId="3C1CA483" w14:textId="77777777" w:rsidR="00F158AC" w:rsidRPr="0001753E" w:rsidRDefault="00416DE7" w:rsidP="005808F7">
      <w:pPr>
        <w:pStyle w:val="Heading2"/>
        <w:spacing w:after="120"/>
        <w:jc w:val="left"/>
        <w:rPr>
          <w:rFonts w:cs="Tahoma"/>
        </w:rPr>
      </w:pPr>
      <w:r w:rsidRPr="00B82B3C">
        <w:rPr>
          <w:rFonts w:cs="Tahoma"/>
          <w:sz w:val="24"/>
        </w:rPr>
        <w:br w:type="page"/>
      </w:r>
      <w:bookmarkStart w:id="4" w:name="_Toc464054170"/>
      <w:r w:rsidR="002C192D" w:rsidRPr="0001753E">
        <w:rPr>
          <w:rFonts w:cs="Tahoma"/>
        </w:rPr>
        <w:lastRenderedPageBreak/>
        <w:t>Key findings</w:t>
      </w:r>
      <w:bookmarkEnd w:id="4"/>
      <w:r w:rsidR="002C192D" w:rsidRPr="0001753E">
        <w:rPr>
          <w:rFonts w:cs="Tahoma"/>
        </w:rPr>
        <w:t xml:space="preserve"> </w:t>
      </w:r>
    </w:p>
    <w:p w14:paraId="31DFFDBF" w14:textId="77777777" w:rsidR="002228E0" w:rsidRPr="00585F95" w:rsidRDefault="0001753E" w:rsidP="00C35C33">
      <w:pPr>
        <w:pStyle w:val="Heading4"/>
      </w:pPr>
      <w:bookmarkStart w:id="5" w:name="_Toc433719520"/>
      <w:bookmarkEnd w:id="3"/>
      <w:r w:rsidRPr="00585F95">
        <w:t>Notifications</w:t>
      </w:r>
      <w:bookmarkEnd w:id="5"/>
    </w:p>
    <w:p w14:paraId="79165F27" w14:textId="77777777" w:rsidR="00134122" w:rsidRDefault="00134122" w:rsidP="00710930">
      <w:pPr>
        <w:widowControl w:val="0"/>
        <w:overflowPunct w:val="0"/>
        <w:autoSpaceDE w:val="0"/>
        <w:autoSpaceDN w:val="0"/>
        <w:adjustRightInd w:val="0"/>
        <w:jc w:val="left"/>
        <w:textAlignment w:val="baseline"/>
        <w:rPr>
          <w:rFonts w:ascii="Arial" w:hAnsi="Arial" w:cs="Arial"/>
          <w:color w:val="000000"/>
          <w:sz w:val="23"/>
          <w:szCs w:val="23"/>
        </w:rPr>
      </w:pPr>
      <w:r>
        <w:rPr>
          <w:rFonts w:cs="Tahoma"/>
        </w:rPr>
        <w:t>Under t</w:t>
      </w:r>
      <w:r w:rsidR="00F91EE2">
        <w:rPr>
          <w:rFonts w:cs="Tahoma"/>
        </w:rPr>
        <w:t xml:space="preserve">he statutory guidance </w:t>
      </w:r>
      <w:proofErr w:type="gramStart"/>
      <w:r w:rsidR="00F91EE2" w:rsidRPr="00710930">
        <w:rPr>
          <w:rFonts w:cs="Tahoma"/>
          <w:i/>
        </w:rPr>
        <w:t>Working</w:t>
      </w:r>
      <w:proofErr w:type="gramEnd"/>
      <w:r w:rsidR="00F91EE2" w:rsidRPr="00710930">
        <w:rPr>
          <w:rFonts w:cs="Tahoma"/>
          <w:i/>
        </w:rPr>
        <w:t xml:space="preserve"> together to safeguard children</w:t>
      </w:r>
      <w:r w:rsidR="00F91EE2">
        <w:rPr>
          <w:rFonts w:cs="Tahoma"/>
        </w:rPr>
        <w:t xml:space="preserve"> local authorities </w:t>
      </w:r>
      <w:r>
        <w:rPr>
          <w:rFonts w:cs="Tahoma"/>
        </w:rPr>
        <w:t>should</w:t>
      </w:r>
      <w:r w:rsidR="00F91EE2">
        <w:rPr>
          <w:rFonts w:cs="Tahoma"/>
        </w:rPr>
        <w:t xml:space="preserve"> notify Ofsted of incidents meeting the following criteria:</w:t>
      </w:r>
      <w:r w:rsidR="00F91EE2">
        <w:rPr>
          <w:rFonts w:cs="Tahoma"/>
        </w:rPr>
        <w:br/>
      </w:r>
    </w:p>
    <w:p w14:paraId="6A4D420B" w14:textId="77777777" w:rsidR="00F91EE2" w:rsidRPr="0033425E" w:rsidRDefault="00F91EE2" w:rsidP="0033425E">
      <w:pPr>
        <w:pStyle w:val="ListParagraph"/>
        <w:widowControl w:val="0"/>
        <w:numPr>
          <w:ilvl w:val="0"/>
          <w:numId w:val="47"/>
        </w:numPr>
        <w:overflowPunct w:val="0"/>
        <w:autoSpaceDE w:val="0"/>
        <w:autoSpaceDN w:val="0"/>
        <w:adjustRightInd w:val="0"/>
        <w:spacing w:after="120"/>
        <w:jc w:val="left"/>
        <w:textAlignment w:val="baseline"/>
        <w:rPr>
          <w:rFonts w:cs="Tahoma"/>
          <w:color w:val="000000"/>
          <w:sz w:val="23"/>
          <w:szCs w:val="23"/>
        </w:rPr>
      </w:pPr>
      <w:r w:rsidRPr="0033425E">
        <w:rPr>
          <w:rFonts w:cs="Tahoma"/>
          <w:color w:val="000000"/>
          <w:sz w:val="23"/>
          <w:szCs w:val="23"/>
        </w:rPr>
        <w:t xml:space="preserve">a child has died (including cases of suspected suicide), and abuse or neglect is known or suspected; </w:t>
      </w:r>
    </w:p>
    <w:p w14:paraId="30EB88F9" w14:textId="77777777" w:rsidR="00F91EE2" w:rsidRPr="0033425E" w:rsidRDefault="00F91EE2" w:rsidP="0033425E">
      <w:pPr>
        <w:pStyle w:val="ListParagraph"/>
        <w:numPr>
          <w:ilvl w:val="0"/>
          <w:numId w:val="47"/>
        </w:numPr>
        <w:autoSpaceDE w:val="0"/>
        <w:autoSpaceDN w:val="0"/>
        <w:adjustRightInd w:val="0"/>
        <w:spacing w:after="120"/>
        <w:jc w:val="left"/>
        <w:rPr>
          <w:rFonts w:cs="Tahoma"/>
          <w:color w:val="000000"/>
          <w:sz w:val="23"/>
          <w:szCs w:val="23"/>
        </w:rPr>
      </w:pPr>
      <w:r w:rsidRPr="0033425E">
        <w:rPr>
          <w:rFonts w:cs="Tahoma"/>
          <w:color w:val="000000"/>
          <w:sz w:val="23"/>
          <w:szCs w:val="23"/>
        </w:rPr>
        <w:t>a child has been seriously harmed and abuse or neglect is known or suspected;</w:t>
      </w:r>
    </w:p>
    <w:p w14:paraId="56F27E4A" w14:textId="77777777" w:rsidR="00134122" w:rsidRPr="0033425E" w:rsidRDefault="00134122" w:rsidP="0033425E">
      <w:pPr>
        <w:pStyle w:val="ListParagraph"/>
        <w:numPr>
          <w:ilvl w:val="0"/>
          <w:numId w:val="47"/>
        </w:numPr>
        <w:autoSpaceDE w:val="0"/>
        <w:autoSpaceDN w:val="0"/>
        <w:adjustRightInd w:val="0"/>
        <w:spacing w:after="120"/>
        <w:jc w:val="left"/>
        <w:rPr>
          <w:rFonts w:cs="Tahoma"/>
          <w:color w:val="000000"/>
          <w:sz w:val="23"/>
          <w:szCs w:val="23"/>
        </w:rPr>
      </w:pPr>
      <w:r w:rsidRPr="0033425E">
        <w:rPr>
          <w:rFonts w:cs="Tahoma"/>
          <w:color w:val="000000"/>
          <w:sz w:val="23"/>
          <w:szCs w:val="23"/>
        </w:rPr>
        <w:t xml:space="preserve">a looked after child has died (including cases where abuse or neglect is </w:t>
      </w:r>
      <w:r w:rsidRPr="001E02A4">
        <w:rPr>
          <w:rFonts w:cs="Tahoma"/>
          <w:bCs/>
          <w:color w:val="000000"/>
          <w:sz w:val="23"/>
          <w:szCs w:val="23"/>
        </w:rPr>
        <w:t>not</w:t>
      </w:r>
      <w:r w:rsidRPr="0033425E">
        <w:rPr>
          <w:rFonts w:cs="Tahoma"/>
          <w:b/>
          <w:bCs/>
          <w:color w:val="000000"/>
          <w:sz w:val="23"/>
          <w:szCs w:val="23"/>
        </w:rPr>
        <w:t xml:space="preserve"> </w:t>
      </w:r>
      <w:r w:rsidRPr="0033425E">
        <w:rPr>
          <w:rFonts w:cs="Tahoma"/>
          <w:color w:val="000000"/>
          <w:sz w:val="23"/>
          <w:szCs w:val="23"/>
        </w:rPr>
        <w:t xml:space="preserve">known or suspected); or </w:t>
      </w:r>
    </w:p>
    <w:p w14:paraId="2FE3C1D0" w14:textId="77777777" w:rsidR="00134122" w:rsidRPr="0033425E" w:rsidRDefault="00134122" w:rsidP="00710930">
      <w:pPr>
        <w:pStyle w:val="ListParagraph"/>
        <w:numPr>
          <w:ilvl w:val="0"/>
          <w:numId w:val="47"/>
        </w:numPr>
        <w:autoSpaceDE w:val="0"/>
        <w:autoSpaceDN w:val="0"/>
        <w:adjustRightInd w:val="0"/>
        <w:jc w:val="left"/>
        <w:rPr>
          <w:rFonts w:cs="Tahoma"/>
          <w:color w:val="000000"/>
          <w:sz w:val="23"/>
          <w:szCs w:val="23"/>
        </w:rPr>
      </w:pPr>
      <w:proofErr w:type="gramStart"/>
      <w:r w:rsidRPr="0033425E">
        <w:rPr>
          <w:rFonts w:cs="Tahoma"/>
          <w:color w:val="000000"/>
          <w:sz w:val="23"/>
          <w:szCs w:val="23"/>
        </w:rPr>
        <w:t>a</w:t>
      </w:r>
      <w:proofErr w:type="gramEnd"/>
      <w:r w:rsidRPr="0033425E">
        <w:rPr>
          <w:rFonts w:cs="Tahoma"/>
          <w:color w:val="000000"/>
          <w:sz w:val="23"/>
          <w:szCs w:val="23"/>
        </w:rPr>
        <w:t xml:space="preserve"> child in a regulated setting or service has died (including cases where abuse or neglect is </w:t>
      </w:r>
      <w:r w:rsidRPr="0033425E">
        <w:rPr>
          <w:rFonts w:cs="Tahoma"/>
          <w:bCs/>
          <w:color w:val="000000"/>
          <w:sz w:val="23"/>
          <w:szCs w:val="23"/>
        </w:rPr>
        <w:t>not</w:t>
      </w:r>
      <w:r w:rsidRPr="0033425E">
        <w:rPr>
          <w:rFonts w:cs="Tahoma"/>
          <w:b/>
          <w:bCs/>
          <w:color w:val="000000"/>
          <w:sz w:val="23"/>
          <w:szCs w:val="23"/>
        </w:rPr>
        <w:t xml:space="preserve"> </w:t>
      </w:r>
      <w:r w:rsidRPr="0033425E">
        <w:rPr>
          <w:rFonts w:cs="Tahoma"/>
          <w:color w:val="000000"/>
          <w:sz w:val="23"/>
          <w:szCs w:val="23"/>
        </w:rPr>
        <w:t>known or suspected).</w:t>
      </w:r>
    </w:p>
    <w:p w14:paraId="4F8F15BD" w14:textId="77777777" w:rsidR="00134122" w:rsidRPr="0033425E" w:rsidRDefault="00134122" w:rsidP="005808F7">
      <w:pPr>
        <w:autoSpaceDE w:val="0"/>
        <w:autoSpaceDN w:val="0"/>
        <w:adjustRightInd w:val="0"/>
        <w:jc w:val="left"/>
        <w:rPr>
          <w:rFonts w:cs="Tahoma"/>
          <w:color w:val="000000"/>
          <w:sz w:val="23"/>
          <w:szCs w:val="23"/>
        </w:rPr>
      </w:pPr>
    </w:p>
    <w:p w14:paraId="3F41D0F2" w14:textId="77777777" w:rsidR="00CB273B" w:rsidRPr="00452D4F" w:rsidRDefault="00134122" w:rsidP="00710930">
      <w:pPr>
        <w:spacing w:after="240"/>
        <w:jc w:val="left"/>
        <w:rPr>
          <w:rFonts w:cs="Tahoma"/>
        </w:rPr>
      </w:pPr>
      <w:r>
        <w:rPr>
          <w:rFonts w:cs="Tahoma"/>
        </w:rPr>
        <w:t xml:space="preserve">Ofsted received notification of </w:t>
      </w:r>
      <w:r w:rsidR="00CB273B" w:rsidRPr="00452D4F">
        <w:rPr>
          <w:rFonts w:cs="Tahoma"/>
        </w:rPr>
        <w:t>379</w:t>
      </w:r>
      <w:r w:rsidR="00CB273B">
        <w:rPr>
          <w:rFonts w:cs="Tahoma"/>
        </w:rPr>
        <w:t xml:space="preserve"> incidents</w:t>
      </w:r>
      <w:r w:rsidR="00CB273B" w:rsidRPr="00452D4F">
        <w:rPr>
          <w:rFonts w:cs="Tahoma"/>
        </w:rPr>
        <w:t xml:space="preserve"> </w:t>
      </w:r>
      <w:r w:rsidR="001E02A4">
        <w:rPr>
          <w:rFonts w:cs="Tahoma"/>
        </w:rPr>
        <w:t xml:space="preserve">between 1 April 2015 to 31 March </w:t>
      </w:r>
      <w:proofErr w:type="gramStart"/>
      <w:r w:rsidR="001E02A4">
        <w:rPr>
          <w:rFonts w:cs="Tahoma"/>
        </w:rPr>
        <w:t xml:space="preserve">2016, </w:t>
      </w:r>
      <w:r>
        <w:rPr>
          <w:rFonts w:cs="Tahoma"/>
        </w:rPr>
        <w:t>that</w:t>
      </w:r>
      <w:proofErr w:type="gramEnd"/>
      <w:r>
        <w:rPr>
          <w:rFonts w:cs="Tahoma"/>
        </w:rPr>
        <w:t xml:space="preserve"> met the criteria in statutory guidance. </w:t>
      </w:r>
      <w:r w:rsidR="0070711A">
        <w:rPr>
          <w:rFonts w:cs="Tahoma"/>
        </w:rPr>
        <w:t>This was</w:t>
      </w:r>
      <w:r w:rsidR="00CB273B">
        <w:rPr>
          <w:rFonts w:cs="Tahoma"/>
        </w:rPr>
        <w:t xml:space="preserve"> </w:t>
      </w:r>
      <w:r w:rsidR="001E02A4">
        <w:rPr>
          <w:rFonts w:cs="Tahoma"/>
        </w:rPr>
        <w:t>only a</w:t>
      </w:r>
      <w:r w:rsidR="00CB273B" w:rsidRPr="00452D4F">
        <w:rPr>
          <w:rFonts w:cs="Tahoma"/>
        </w:rPr>
        <w:t xml:space="preserve"> 2% decrease in the number from the previous year (385)</w:t>
      </w:r>
      <w:r w:rsidR="00CB273B">
        <w:rPr>
          <w:rFonts w:cs="Tahoma"/>
        </w:rPr>
        <w:t xml:space="preserve">, but </w:t>
      </w:r>
      <w:r w:rsidR="00CB273B" w:rsidRPr="00452D4F">
        <w:rPr>
          <w:rFonts w:cs="Tahoma"/>
        </w:rPr>
        <w:t>27% higher than 201</w:t>
      </w:r>
      <w:r w:rsidR="00576ED8">
        <w:rPr>
          <w:rFonts w:cs="Tahoma"/>
        </w:rPr>
        <w:t>3-1</w:t>
      </w:r>
      <w:r w:rsidR="001E02A4">
        <w:rPr>
          <w:rFonts w:cs="Tahoma"/>
        </w:rPr>
        <w:t xml:space="preserve">4 when </w:t>
      </w:r>
      <w:r w:rsidR="00CB273B" w:rsidRPr="00452D4F">
        <w:rPr>
          <w:rFonts w:cs="Tahoma"/>
        </w:rPr>
        <w:t xml:space="preserve">298 </w:t>
      </w:r>
      <w:r w:rsidR="00CB273B">
        <w:rPr>
          <w:rFonts w:cs="Tahoma"/>
        </w:rPr>
        <w:t>incidents</w:t>
      </w:r>
      <w:r w:rsidR="001E02A4">
        <w:rPr>
          <w:rFonts w:cs="Tahoma"/>
        </w:rPr>
        <w:t xml:space="preserve"> were notified</w:t>
      </w:r>
      <w:r w:rsidR="00CB273B">
        <w:rPr>
          <w:rFonts w:cs="Tahoma"/>
        </w:rPr>
        <w:t>, s</w:t>
      </w:r>
      <w:r w:rsidR="000D0086">
        <w:rPr>
          <w:rFonts w:cs="Tahoma"/>
        </w:rPr>
        <w:t>uggesting</w:t>
      </w:r>
      <w:r w:rsidR="00CB273B">
        <w:rPr>
          <w:rFonts w:cs="Tahoma"/>
        </w:rPr>
        <w:t xml:space="preserve"> that </w:t>
      </w:r>
      <w:r w:rsidR="000D0086">
        <w:rPr>
          <w:rFonts w:cs="Tahoma"/>
        </w:rPr>
        <w:t xml:space="preserve">the number of notifications </w:t>
      </w:r>
      <w:r w:rsidR="00CB273B">
        <w:rPr>
          <w:rFonts w:cs="Tahoma"/>
        </w:rPr>
        <w:t>may have plateaued</w:t>
      </w:r>
      <w:r w:rsidR="00CB273B" w:rsidRPr="00452D4F">
        <w:rPr>
          <w:rFonts w:cs="Tahoma"/>
        </w:rPr>
        <w:t>.</w:t>
      </w:r>
    </w:p>
    <w:p w14:paraId="5AF9B339" w14:textId="77777777" w:rsidR="00CB273B" w:rsidRPr="00452D4F" w:rsidRDefault="00CB273B" w:rsidP="00710930">
      <w:pPr>
        <w:spacing w:after="240"/>
        <w:jc w:val="left"/>
        <w:rPr>
          <w:rFonts w:cs="Tahoma"/>
        </w:rPr>
      </w:pPr>
      <w:r w:rsidRPr="00452D4F">
        <w:rPr>
          <w:rFonts w:cs="Tahoma"/>
        </w:rPr>
        <w:t xml:space="preserve">The number of </w:t>
      </w:r>
      <w:r w:rsidR="00A26216">
        <w:rPr>
          <w:rFonts w:cs="Tahoma"/>
        </w:rPr>
        <w:t>notifi</w:t>
      </w:r>
      <w:r w:rsidR="000D0086">
        <w:rPr>
          <w:rFonts w:cs="Tahoma"/>
        </w:rPr>
        <w:t>cations</w:t>
      </w:r>
      <w:r w:rsidRPr="00452D4F">
        <w:rPr>
          <w:rFonts w:cs="Tahoma"/>
        </w:rPr>
        <w:t xml:space="preserve"> during </w:t>
      </w:r>
      <w:r w:rsidR="00A26216" w:rsidRPr="00452D4F">
        <w:rPr>
          <w:rFonts w:cs="Tahoma"/>
        </w:rPr>
        <w:t>1 April 2015 to 31 March 2016</w:t>
      </w:r>
      <w:r w:rsidRPr="00452D4F">
        <w:rPr>
          <w:rFonts w:cs="Tahoma"/>
        </w:rPr>
        <w:t xml:space="preserve"> does not necessarily equate to the number of incidents </w:t>
      </w:r>
      <w:r w:rsidR="000D0086">
        <w:rPr>
          <w:rFonts w:cs="Tahoma"/>
        </w:rPr>
        <w:t>that</w:t>
      </w:r>
      <w:r w:rsidRPr="00452D4F">
        <w:rPr>
          <w:rFonts w:cs="Tahoma"/>
        </w:rPr>
        <w:t xml:space="preserve"> have occurred within that time period. Some notifications relate to incidents which occurred before 1 April 2015, but about which Ofsted was not notified until after 1 April 2015.</w:t>
      </w:r>
    </w:p>
    <w:p w14:paraId="385D6D58" w14:textId="77777777" w:rsidR="002228E0" w:rsidRDefault="001E02A4" w:rsidP="000A1E48">
      <w:pPr>
        <w:widowControl w:val="0"/>
        <w:overflowPunct w:val="0"/>
        <w:autoSpaceDE w:val="0"/>
        <w:autoSpaceDN w:val="0"/>
        <w:adjustRightInd w:val="0"/>
        <w:spacing w:after="240"/>
        <w:jc w:val="left"/>
        <w:textAlignment w:val="baseline"/>
        <w:rPr>
          <w:rFonts w:cs="Tahoma"/>
        </w:rPr>
      </w:pPr>
      <w:r>
        <w:rPr>
          <w:rFonts w:cs="Tahoma"/>
        </w:rPr>
        <w:t xml:space="preserve">Over the period of three years there has been a shift in balance between incident notifications of child deaths and serious harm. </w:t>
      </w:r>
      <w:r w:rsidR="001D5FDE">
        <w:rPr>
          <w:rFonts w:cs="Tahoma"/>
        </w:rPr>
        <w:t xml:space="preserve">Incidents notified relating to child death have reduced </w:t>
      </w:r>
      <w:r w:rsidR="00DE3FB0">
        <w:rPr>
          <w:rFonts w:cs="Tahoma"/>
        </w:rPr>
        <w:t>from the previous year</w:t>
      </w:r>
      <w:r w:rsidR="001D5FDE">
        <w:rPr>
          <w:rFonts w:cs="Tahoma"/>
        </w:rPr>
        <w:t>, while those relat</w:t>
      </w:r>
      <w:r w:rsidR="00976DFD">
        <w:rPr>
          <w:rFonts w:cs="Tahoma"/>
        </w:rPr>
        <w:t>ing</w:t>
      </w:r>
      <w:r w:rsidR="001D5FDE">
        <w:rPr>
          <w:rFonts w:cs="Tahoma"/>
        </w:rPr>
        <w:t xml:space="preserve"> to serious harm have increa</w:t>
      </w:r>
      <w:r w:rsidR="008E4DD4">
        <w:rPr>
          <w:rFonts w:cs="Tahoma"/>
        </w:rPr>
        <w:t>sed.</w:t>
      </w:r>
      <w:r w:rsidR="001D5FDE">
        <w:rPr>
          <w:rFonts w:cs="Tahoma"/>
        </w:rPr>
        <w:t xml:space="preserve"> </w:t>
      </w:r>
      <w:r w:rsidR="00B53B59">
        <w:rPr>
          <w:rFonts w:cs="Tahoma"/>
        </w:rPr>
        <w:t xml:space="preserve">Of all </w:t>
      </w:r>
      <w:r w:rsidR="005015CE">
        <w:rPr>
          <w:rFonts w:cs="Tahoma"/>
        </w:rPr>
        <w:t>incidents</w:t>
      </w:r>
      <w:r w:rsidR="005015CE" w:rsidRPr="00452D4F">
        <w:rPr>
          <w:rFonts w:cs="Tahoma"/>
        </w:rPr>
        <w:t xml:space="preserve"> </w:t>
      </w:r>
      <w:r w:rsidR="000D0086">
        <w:rPr>
          <w:rFonts w:cs="Tahoma"/>
        </w:rPr>
        <w:t>notified</w:t>
      </w:r>
      <w:r w:rsidR="00CB273B" w:rsidRPr="00A3025E">
        <w:rPr>
          <w:rFonts w:cs="Tahoma"/>
        </w:rPr>
        <w:t xml:space="preserve"> in the period</w:t>
      </w:r>
      <w:r w:rsidR="00B53B59">
        <w:rPr>
          <w:rFonts w:cs="Tahoma"/>
        </w:rPr>
        <w:t>, 45% (171)</w:t>
      </w:r>
      <w:r w:rsidR="00CB273B" w:rsidRPr="00A3025E">
        <w:rPr>
          <w:rFonts w:cs="Tahoma"/>
        </w:rPr>
        <w:t xml:space="preserve"> related to child deaths</w:t>
      </w:r>
      <w:r w:rsidR="000D0086">
        <w:rPr>
          <w:rFonts w:cs="Tahoma"/>
        </w:rPr>
        <w:t xml:space="preserve"> </w:t>
      </w:r>
      <w:r w:rsidR="00491412">
        <w:rPr>
          <w:rFonts w:cs="Tahoma"/>
        </w:rPr>
        <w:t xml:space="preserve">compared with </w:t>
      </w:r>
      <w:r w:rsidR="00CB273B">
        <w:rPr>
          <w:rFonts w:cs="Tahoma"/>
        </w:rPr>
        <w:t>49% in</w:t>
      </w:r>
      <w:r w:rsidR="00CB273B" w:rsidRPr="00A3025E">
        <w:rPr>
          <w:rFonts w:cs="Tahoma"/>
        </w:rPr>
        <w:t xml:space="preserve"> the previous year</w:t>
      </w:r>
      <w:r w:rsidR="00CB273B">
        <w:rPr>
          <w:rFonts w:cs="Tahoma"/>
        </w:rPr>
        <w:t xml:space="preserve">, and 55% </w:t>
      </w:r>
      <w:r w:rsidR="008918FD">
        <w:rPr>
          <w:rFonts w:cs="Tahoma"/>
        </w:rPr>
        <w:t>in 2013-14</w:t>
      </w:r>
      <w:r w:rsidR="008E4DD4">
        <w:rPr>
          <w:rFonts w:cs="Tahoma"/>
        </w:rPr>
        <w:t>.</w:t>
      </w:r>
    </w:p>
    <w:p w14:paraId="7338A86D" w14:textId="77777777" w:rsidR="0025670C" w:rsidRDefault="009E35E1" w:rsidP="000A1E48">
      <w:pPr>
        <w:widowControl w:val="0"/>
        <w:overflowPunct w:val="0"/>
        <w:autoSpaceDE w:val="0"/>
        <w:autoSpaceDN w:val="0"/>
        <w:adjustRightInd w:val="0"/>
        <w:spacing w:after="240"/>
        <w:jc w:val="left"/>
        <w:textAlignment w:val="baseline"/>
        <w:rPr>
          <w:rFonts w:cs="Tahoma"/>
        </w:rPr>
      </w:pPr>
      <w:r>
        <w:rPr>
          <w:rFonts w:cs="Tahoma"/>
        </w:rPr>
        <w:t>Of the 379 incident notifications</w:t>
      </w:r>
      <w:r w:rsidR="003339C5">
        <w:rPr>
          <w:rFonts w:cs="Tahoma"/>
        </w:rPr>
        <w:t>,</w:t>
      </w:r>
      <w:r>
        <w:rPr>
          <w:rFonts w:cs="Tahoma"/>
        </w:rPr>
        <w:t xml:space="preserve"> 211 (56%) related to boys and 168 (44%) related to girls</w:t>
      </w:r>
      <w:r w:rsidR="008B6746">
        <w:rPr>
          <w:rFonts w:cs="Tahoma"/>
        </w:rPr>
        <w:t>. This is</w:t>
      </w:r>
      <w:r>
        <w:rPr>
          <w:rFonts w:cs="Tahoma"/>
        </w:rPr>
        <w:t xml:space="preserve"> </w:t>
      </w:r>
      <w:r w:rsidR="00E00D3B">
        <w:rPr>
          <w:rFonts w:cs="Tahoma"/>
        </w:rPr>
        <w:t xml:space="preserve">very </w:t>
      </w:r>
      <w:r>
        <w:rPr>
          <w:rFonts w:cs="Tahoma"/>
        </w:rPr>
        <w:t>differen</w:t>
      </w:r>
      <w:r w:rsidR="00E00D3B">
        <w:rPr>
          <w:rFonts w:cs="Tahoma"/>
        </w:rPr>
        <w:t>t</w:t>
      </w:r>
      <w:r>
        <w:rPr>
          <w:rFonts w:cs="Tahoma"/>
        </w:rPr>
        <w:t xml:space="preserve"> to 2014-15 whe</w:t>
      </w:r>
      <w:r w:rsidR="008B6746">
        <w:rPr>
          <w:rFonts w:cs="Tahoma"/>
        </w:rPr>
        <w:t>n</w:t>
      </w:r>
      <w:r>
        <w:rPr>
          <w:rFonts w:cs="Tahoma"/>
        </w:rPr>
        <w:t xml:space="preserve"> 182 (47%) related to boys and </w:t>
      </w:r>
      <w:r w:rsidR="003339C5">
        <w:rPr>
          <w:rFonts w:cs="Tahoma"/>
        </w:rPr>
        <w:t xml:space="preserve">202 (53%) related to girls. </w:t>
      </w:r>
    </w:p>
    <w:p w14:paraId="5FA2472C" w14:textId="77777777" w:rsidR="005543DD" w:rsidRDefault="00E00D3B" w:rsidP="000A1E48">
      <w:pPr>
        <w:widowControl w:val="0"/>
        <w:overflowPunct w:val="0"/>
        <w:autoSpaceDE w:val="0"/>
        <w:autoSpaceDN w:val="0"/>
        <w:adjustRightInd w:val="0"/>
        <w:spacing w:after="240"/>
        <w:jc w:val="left"/>
        <w:textAlignment w:val="baseline"/>
        <w:rPr>
          <w:rFonts w:cs="Tahoma"/>
        </w:rPr>
      </w:pPr>
      <w:r>
        <w:rPr>
          <w:rFonts w:cs="Tahoma"/>
        </w:rPr>
        <w:t>C</w:t>
      </w:r>
      <w:r w:rsidR="003339C5">
        <w:rPr>
          <w:rFonts w:cs="Tahoma"/>
        </w:rPr>
        <w:t xml:space="preserve">hildren </w:t>
      </w:r>
      <w:r>
        <w:rPr>
          <w:rFonts w:cs="Tahoma"/>
        </w:rPr>
        <w:t xml:space="preserve">under </w:t>
      </w:r>
      <w:r w:rsidR="008B6746">
        <w:rPr>
          <w:rFonts w:cs="Tahoma"/>
        </w:rPr>
        <w:t xml:space="preserve">the age of </w:t>
      </w:r>
      <w:r w:rsidR="003339C5">
        <w:rPr>
          <w:rFonts w:cs="Tahoma"/>
        </w:rPr>
        <w:t xml:space="preserve">one </w:t>
      </w:r>
      <w:r w:rsidR="008B6746">
        <w:rPr>
          <w:rFonts w:cs="Tahoma"/>
        </w:rPr>
        <w:t xml:space="preserve">year were </w:t>
      </w:r>
      <w:r w:rsidR="000712B1">
        <w:rPr>
          <w:rFonts w:cs="Tahoma"/>
        </w:rPr>
        <w:t xml:space="preserve">the </w:t>
      </w:r>
      <w:r w:rsidR="008B6746">
        <w:rPr>
          <w:rFonts w:cs="Tahoma"/>
        </w:rPr>
        <w:t>subjects of</w:t>
      </w:r>
      <w:r>
        <w:rPr>
          <w:rFonts w:cs="Tahoma"/>
        </w:rPr>
        <w:t xml:space="preserve"> 32% (</w:t>
      </w:r>
      <w:r w:rsidR="003339C5">
        <w:rPr>
          <w:rFonts w:cs="Tahoma"/>
        </w:rPr>
        <w:t>123)</w:t>
      </w:r>
      <w:r w:rsidR="0025670C">
        <w:rPr>
          <w:rFonts w:cs="Tahoma"/>
        </w:rPr>
        <w:t xml:space="preserve"> </w:t>
      </w:r>
      <w:r>
        <w:rPr>
          <w:rFonts w:cs="Tahoma"/>
        </w:rPr>
        <w:t xml:space="preserve">of </w:t>
      </w:r>
      <w:r w:rsidR="00CB6097">
        <w:rPr>
          <w:rFonts w:cs="Tahoma"/>
        </w:rPr>
        <w:t xml:space="preserve">all incidents reported </w:t>
      </w:r>
      <w:r w:rsidR="0025670C">
        <w:rPr>
          <w:rFonts w:cs="Tahoma"/>
        </w:rPr>
        <w:t>in 2015-16</w:t>
      </w:r>
      <w:r>
        <w:rPr>
          <w:rFonts w:cs="Tahoma"/>
        </w:rPr>
        <w:t>.</w:t>
      </w:r>
      <w:r w:rsidR="008742A8">
        <w:rPr>
          <w:rFonts w:cs="Tahoma"/>
        </w:rPr>
        <w:t xml:space="preserve"> </w:t>
      </w:r>
      <w:r>
        <w:rPr>
          <w:rFonts w:cs="Tahoma"/>
        </w:rPr>
        <w:t xml:space="preserve">Just over two fifths </w:t>
      </w:r>
      <w:r w:rsidR="00530113">
        <w:rPr>
          <w:rFonts w:cs="Tahoma"/>
        </w:rPr>
        <w:t>of</w:t>
      </w:r>
      <w:r w:rsidR="002771CB">
        <w:rPr>
          <w:rFonts w:cs="Tahoma"/>
        </w:rPr>
        <w:t xml:space="preserve"> these</w:t>
      </w:r>
      <w:r w:rsidR="00530113">
        <w:rPr>
          <w:rFonts w:cs="Tahoma"/>
        </w:rPr>
        <w:t xml:space="preserve"> incidents (</w:t>
      </w:r>
      <w:r>
        <w:rPr>
          <w:rFonts w:cs="Tahoma"/>
        </w:rPr>
        <w:t xml:space="preserve">51 or </w:t>
      </w:r>
      <w:r w:rsidR="00530113">
        <w:rPr>
          <w:rFonts w:cs="Tahoma"/>
        </w:rPr>
        <w:t xml:space="preserve">41%) </w:t>
      </w:r>
      <w:r w:rsidR="0028691B">
        <w:rPr>
          <w:rFonts w:cs="Tahoma"/>
        </w:rPr>
        <w:t xml:space="preserve">had, as primary cause, </w:t>
      </w:r>
      <w:r w:rsidR="00530113">
        <w:rPr>
          <w:rFonts w:cs="Tahoma"/>
        </w:rPr>
        <w:t>non-accidental injury by parent or carer</w:t>
      </w:r>
      <w:r w:rsidR="008B2D35">
        <w:rPr>
          <w:rFonts w:cs="Tahoma"/>
        </w:rPr>
        <w:t>, which was the most common cause for this age group</w:t>
      </w:r>
      <w:r w:rsidR="00530113">
        <w:rPr>
          <w:rFonts w:cs="Tahoma"/>
        </w:rPr>
        <w:t>.</w:t>
      </w:r>
      <w:r w:rsidR="008742A8">
        <w:rPr>
          <w:rFonts w:cs="Tahoma"/>
        </w:rPr>
        <w:t xml:space="preserve"> </w:t>
      </w:r>
      <w:r w:rsidR="001E02A4">
        <w:rPr>
          <w:rFonts w:cs="Tahoma"/>
        </w:rPr>
        <w:t>This is a very similar picture to</w:t>
      </w:r>
      <w:r>
        <w:rPr>
          <w:rFonts w:cs="Tahoma"/>
        </w:rPr>
        <w:t xml:space="preserve"> </w:t>
      </w:r>
      <w:r w:rsidR="00530113">
        <w:rPr>
          <w:rFonts w:cs="Tahoma"/>
        </w:rPr>
        <w:t>2014-15</w:t>
      </w:r>
      <w:r>
        <w:rPr>
          <w:rFonts w:cs="Tahoma"/>
        </w:rPr>
        <w:t xml:space="preserve">, </w:t>
      </w:r>
      <w:r w:rsidR="006434E3">
        <w:rPr>
          <w:rFonts w:cs="Tahoma"/>
        </w:rPr>
        <w:t xml:space="preserve">when </w:t>
      </w:r>
      <w:r w:rsidR="00530113">
        <w:rPr>
          <w:rFonts w:cs="Tahoma"/>
        </w:rPr>
        <w:t xml:space="preserve">children </w:t>
      </w:r>
      <w:r>
        <w:rPr>
          <w:rFonts w:cs="Tahoma"/>
        </w:rPr>
        <w:t xml:space="preserve">under </w:t>
      </w:r>
      <w:r w:rsidR="008B6746">
        <w:rPr>
          <w:rFonts w:cs="Tahoma"/>
        </w:rPr>
        <w:t xml:space="preserve">the age of </w:t>
      </w:r>
      <w:r w:rsidR="00530113">
        <w:rPr>
          <w:rFonts w:cs="Tahoma"/>
        </w:rPr>
        <w:t>one</w:t>
      </w:r>
      <w:r>
        <w:rPr>
          <w:rFonts w:cs="Tahoma"/>
        </w:rPr>
        <w:t xml:space="preserve"> </w:t>
      </w:r>
      <w:r w:rsidR="008B6746">
        <w:rPr>
          <w:rFonts w:cs="Tahoma"/>
        </w:rPr>
        <w:t xml:space="preserve">year </w:t>
      </w:r>
      <w:r>
        <w:rPr>
          <w:rFonts w:cs="Tahoma"/>
        </w:rPr>
        <w:t xml:space="preserve">were </w:t>
      </w:r>
      <w:r w:rsidR="008B6746">
        <w:rPr>
          <w:rFonts w:cs="Tahoma"/>
        </w:rPr>
        <w:t xml:space="preserve">the subjects of </w:t>
      </w:r>
      <w:r>
        <w:rPr>
          <w:rFonts w:cs="Tahoma"/>
        </w:rPr>
        <w:t xml:space="preserve">30% </w:t>
      </w:r>
      <w:r w:rsidR="0028691B">
        <w:rPr>
          <w:rFonts w:cs="Tahoma"/>
        </w:rPr>
        <w:t xml:space="preserve">(115) </w:t>
      </w:r>
      <w:r>
        <w:rPr>
          <w:rFonts w:cs="Tahoma"/>
        </w:rPr>
        <w:t>of notifications</w:t>
      </w:r>
      <w:r w:rsidR="0028691B">
        <w:rPr>
          <w:rFonts w:cs="Tahoma"/>
        </w:rPr>
        <w:t xml:space="preserve"> and non-accidental injury by parent or carer </w:t>
      </w:r>
      <w:r w:rsidR="002771CB">
        <w:rPr>
          <w:rFonts w:cs="Tahoma"/>
        </w:rPr>
        <w:t xml:space="preserve">of incident </w:t>
      </w:r>
      <w:r w:rsidR="00530113">
        <w:rPr>
          <w:rFonts w:cs="Tahoma"/>
        </w:rPr>
        <w:t xml:space="preserve">was </w:t>
      </w:r>
      <w:r w:rsidR="002771CB">
        <w:rPr>
          <w:rFonts w:cs="Tahoma"/>
        </w:rPr>
        <w:t>also</w:t>
      </w:r>
      <w:r w:rsidR="0028691B">
        <w:rPr>
          <w:rFonts w:cs="Tahoma"/>
        </w:rPr>
        <w:t xml:space="preserve"> 30%, </w:t>
      </w:r>
      <w:r w:rsidR="00530113">
        <w:rPr>
          <w:rFonts w:cs="Tahoma"/>
        </w:rPr>
        <w:t xml:space="preserve">although relating to fewer </w:t>
      </w:r>
      <w:r w:rsidR="00CB6097">
        <w:rPr>
          <w:rFonts w:cs="Tahoma"/>
        </w:rPr>
        <w:t>incidents</w:t>
      </w:r>
      <w:r w:rsidR="00530113">
        <w:rPr>
          <w:rFonts w:cs="Tahoma"/>
        </w:rPr>
        <w:t xml:space="preserve"> </w:t>
      </w:r>
      <w:r w:rsidR="0028691B">
        <w:rPr>
          <w:rFonts w:cs="Tahoma"/>
        </w:rPr>
        <w:t>(</w:t>
      </w:r>
      <w:r w:rsidR="00530113">
        <w:rPr>
          <w:rFonts w:cs="Tahoma"/>
        </w:rPr>
        <w:t>35)</w:t>
      </w:r>
      <w:r w:rsidR="0028691B">
        <w:rPr>
          <w:rFonts w:cs="Tahoma"/>
        </w:rPr>
        <w:t>.</w:t>
      </w:r>
    </w:p>
    <w:p w14:paraId="6F913A46" w14:textId="0B34DEB7" w:rsidR="00C44375" w:rsidRDefault="001B0F4C" w:rsidP="000A1E48">
      <w:pPr>
        <w:widowControl w:val="0"/>
        <w:overflowPunct w:val="0"/>
        <w:autoSpaceDE w:val="0"/>
        <w:autoSpaceDN w:val="0"/>
        <w:adjustRightInd w:val="0"/>
        <w:spacing w:after="240"/>
        <w:jc w:val="left"/>
        <w:textAlignment w:val="baseline"/>
        <w:rPr>
          <w:rFonts w:cs="Tahoma"/>
        </w:rPr>
      </w:pPr>
      <w:r>
        <w:rPr>
          <w:rFonts w:cs="Tahoma"/>
        </w:rPr>
        <w:t>There were</w:t>
      </w:r>
      <w:r w:rsidR="008F47CC">
        <w:rPr>
          <w:rFonts w:cs="Tahoma"/>
        </w:rPr>
        <w:t xml:space="preserve"> </w:t>
      </w:r>
      <w:r w:rsidR="005543DD">
        <w:rPr>
          <w:rFonts w:cs="Tahoma"/>
        </w:rPr>
        <w:t>158</w:t>
      </w:r>
      <w:r w:rsidR="008F47CC">
        <w:rPr>
          <w:rFonts w:cs="Tahoma"/>
        </w:rPr>
        <w:t xml:space="preserve"> (</w:t>
      </w:r>
      <w:r w:rsidR="005543DD">
        <w:rPr>
          <w:rFonts w:cs="Tahoma"/>
        </w:rPr>
        <w:t>42</w:t>
      </w:r>
      <w:r w:rsidR="008F47CC">
        <w:rPr>
          <w:rFonts w:cs="Tahoma"/>
        </w:rPr>
        <w:t xml:space="preserve">%) </w:t>
      </w:r>
      <w:r w:rsidR="005543DD">
        <w:rPr>
          <w:rFonts w:cs="Tahoma"/>
        </w:rPr>
        <w:t>incidents</w:t>
      </w:r>
      <w:r w:rsidR="00D16310">
        <w:rPr>
          <w:rFonts w:cs="Tahoma"/>
        </w:rPr>
        <w:t xml:space="preserve"> of all types</w:t>
      </w:r>
      <w:r w:rsidR="005543DD">
        <w:rPr>
          <w:rFonts w:cs="Tahoma"/>
        </w:rPr>
        <w:t xml:space="preserve"> </w:t>
      </w:r>
      <w:r w:rsidR="00D361F9">
        <w:rPr>
          <w:rFonts w:cs="Tahoma"/>
        </w:rPr>
        <w:t xml:space="preserve">reported </w:t>
      </w:r>
      <w:r w:rsidR="00D16310">
        <w:rPr>
          <w:rFonts w:cs="Tahoma"/>
        </w:rPr>
        <w:t>o</w:t>
      </w:r>
      <w:r w:rsidR="00F542A1">
        <w:rPr>
          <w:rFonts w:cs="Tahoma"/>
        </w:rPr>
        <w:t>n</w:t>
      </w:r>
      <w:r w:rsidR="00D16310">
        <w:rPr>
          <w:rFonts w:cs="Tahoma"/>
        </w:rPr>
        <w:t xml:space="preserve"> </w:t>
      </w:r>
      <w:r w:rsidR="008F47CC">
        <w:rPr>
          <w:rFonts w:cs="Tahoma"/>
        </w:rPr>
        <w:t xml:space="preserve">young people </w:t>
      </w:r>
      <w:r w:rsidR="005543DD">
        <w:rPr>
          <w:rFonts w:cs="Tahoma"/>
        </w:rPr>
        <w:t xml:space="preserve">aged 11 </w:t>
      </w:r>
      <w:r w:rsidR="008F47CC">
        <w:rPr>
          <w:rFonts w:cs="Tahoma"/>
        </w:rPr>
        <w:t>years</w:t>
      </w:r>
      <w:r w:rsidR="004A6ABB">
        <w:rPr>
          <w:rFonts w:cs="Tahoma"/>
        </w:rPr>
        <w:t xml:space="preserve"> or older</w:t>
      </w:r>
      <w:r w:rsidR="008F47CC">
        <w:rPr>
          <w:rFonts w:cs="Tahoma"/>
        </w:rPr>
        <w:t xml:space="preserve"> </w:t>
      </w:r>
      <w:r w:rsidR="00D361F9">
        <w:rPr>
          <w:rFonts w:cs="Tahoma"/>
        </w:rPr>
        <w:t>in</w:t>
      </w:r>
      <w:r w:rsidR="005543DD">
        <w:rPr>
          <w:rFonts w:cs="Tahoma"/>
        </w:rPr>
        <w:t xml:space="preserve"> 2015-16</w:t>
      </w:r>
      <w:r w:rsidR="00F542A1">
        <w:rPr>
          <w:rFonts w:cs="Tahoma"/>
        </w:rPr>
        <w:t>. This is similar to the proportion of incidents affecting this age group in the previous year (43%). J</w:t>
      </w:r>
      <w:r w:rsidR="007D0354">
        <w:rPr>
          <w:rFonts w:cs="Tahoma"/>
        </w:rPr>
        <w:t>ust over a fifth of</w:t>
      </w:r>
      <w:r w:rsidR="008742A8">
        <w:rPr>
          <w:rFonts w:cs="Tahoma"/>
        </w:rPr>
        <w:t xml:space="preserve"> </w:t>
      </w:r>
      <w:r w:rsidR="002065F3">
        <w:rPr>
          <w:rFonts w:cs="Tahoma"/>
        </w:rPr>
        <w:t>incidents</w:t>
      </w:r>
      <w:r w:rsidR="00F542A1">
        <w:rPr>
          <w:rFonts w:cs="Tahoma"/>
        </w:rPr>
        <w:t xml:space="preserve"> affecting this age group in 2015-16</w:t>
      </w:r>
      <w:r w:rsidR="007D0354">
        <w:rPr>
          <w:rFonts w:cs="Tahoma"/>
        </w:rPr>
        <w:t xml:space="preserve"> related to</w:t>
      </w:r>
      <w:r w:rsidR="00000685">
        <w:rPr>
          <w:rFonts w:cs="Tahoma"/>
        </w:rPr>
        <w:t xml:space="preserve"> </w:t>
      </w:r>
      <w:r w:rsidR="008F47CC">
        <w:rPr>
          <w:rFonts w:cs="Tahoma"/>
        </w:rPr>
        <w:t>sexual abuse</w:t>
      </w:r>
      <w:r w:rsidR="008B6746">
        <w:rPr>
          <w:rFonts w:cs="Tahoma"/>
        </w:rPr>
        <w:t xml:space="preserve"> or child sexual exploitation</w:t>
      </w:r>
      <w:r w:rsidR="008F47CC">
        <w:rPr>
          <w:rFonts w:cs="Tahoma"/>
        </w:rPr>
        <w:t xml:space="preserve"> by an unrelated person</w:t>
      </w:r>
      <w:r w:rsidR="00000685">
        <w:rPr>
          <w:rFonts w:cs="Tahoma"/>
        </w:rPr>
        <w:t>.</w:t>
      </w:r>
      <w:r w:rsidR="008742A8">
        <w:rPr>
          <w:rFonts w:cs="Tahoma"/>
        </w:rPr>
        <w:t xml:space="preserve"> </w:t>
      </w:r>
      <w:r w:rsidR="00000685">
        <w:rPr>
          <w:rFonts w:cs="Tahoma"/>
        </w:rPr>
        <w:t>Th</w:t>
      </w:r>
      <w:r w:rsidR="008B6746">
        <w:rPr>
          <w:rFonts w:cs="Tahoma"/>
        </w:rPr>
        <w:t>ere were more notifications in this category for</w:t>
      </w:r>
      <w:r w:rsidR="00000685">
        <w:rPr>
          <w:rFonts w:cs="Tahoma"/>
        </w:rPr>
        <w:t xml:space="preserve"> </w:t>
      </w:r>
      <w:r>
        <w:rPr>
          <w:rFonts w:cs="Tahoma"/>
        </w:rPr>
        <w:t>girls</w:t>
      </w:r>
      <w:r w:rsidR="00000685">
        <w:rPr>
          <w:rFonts w:cs="Tahoma"/>
        </w:rPr>
        <w:t xml:space="preserve"> (</w:t>
      </w:r>
      <w:r w:rsidR="00D361F9">
        <w:rPr>
          <w:rFonts w:cs="Tahoma"/>
        </w:rPr>
        <w:t>28</w:t>
      </w:r>
      <w:r w:rsidR="00F542A1">
        <w:rPr>
          <w:rFonts w:cs="Tahoma"/>
        </w:rPr>
        <w:t>)</w:t>
      </w:r>
      <w:r>
        <w:rPr>
          <w:rFonts w:cs="Tahoma"/>
        </w:rPr>
        <w:t xml:space="preserve"> than </w:t>
      </w:r>
      <w:r w:rsidR="008B6746">
        <w:rPr>
          <w:rFonts w:cs="Tahoma"/>
        </w:rPr>
        <w:t xml:space="preserve">for </w:t>
      </w:r>
      <w:r>
        <w:rPr>
          <w:rFonts w:cs="Tahoma"/>
        </w:rPr>
        <w:t>boys</w:t>
      </w:r>
      <w:r w:rsidR="00000685">
        <w:rPr>
          <w:rFonts w:cs="Tahoma"/>
        </w:rPr>
        <w:t xml:space="preserve"> (</w:t>
      </w:r>
      <w:r>
        <w:rPr>
          <w:rFonts w:cs="Tahoma"/>
        </w:rPr>
        <w:t>5</w:t>
      </w:r>
      <w:r w:rsidR="00F542A1">
        <w:rPr>
          <w:rFonts w:cs="Tahoma"/>
        </w:rPr>
        <w:t>)</w:t>
      </w:r>
      <w:r>
        <w:rPr>
          <w:rFonts w:cs="Tahoma"/>
        </w:rPr>
        <w:t>.</w:t>
      </w:r>
      <w:r w:rsidR="00D361F9">
        <w:rPr>
          <w:rFonts w:cs="Tahoma"/>
        </w:rPr>
        <w:t xml:space="preserve"> </w:t>
      </w:r>
      <w:r w:rsidR="00103B30" w:rsidRPr="00103B30">
        <w:t xml:space="preserve"> </w:t>
      </w:r>
    </w:p>
    <w:p w14:paraId="39BB4577" w14:textId="4FC43563" w:rsidR="00347560" w:rsidRDefault="00347560" w:rsidP="00347560">
      <w:pPr>
        <w:jc w:val="left"/>
        <w:rPr>
          <w:rFonts w:ascii="Times New Roman" w:hAnsi="Times New Roman"/>
        </w:rPr>
      </w:pPr>
      <w:r>
        <w:lastRenderedPageBreak/>
        <w:t>During 2015-16, the majority of incidents notified, 274 (72%) were of children who were white. Census data shows that, across England, 79%</w:t>
      </w:r>
      <w:r w:rsidRPr="00F67125">
        <w:rPr>
          <w:rFonts w:cs="Tahoma"/>
          <w:vertAlign w:val="superscript"/>
        </w:rPr>
        <w:footnoteReference w:id="1"/>
      </w:r>
      <w:r>
        <w:t xml:space="preserve"> of children are white. Some 84 (22%) notified incidents related to children from a black or minority ethnic (BME) background (England 22%).</w:t>
      </w:r>
      <w:r w:rsidRPr="00F67125">
        <w:rPr>
          <w:rFonts w:cs="Tahoma"/>
          <w:vertAlign w:val="superscript"/>
        </w:rPr>
        <w:footnoteReference w:id="2"/>
      </w:r>
      <w:r>
        <w:t xml:space="preserve"> The picture was similar in 2014-15. There continues to be non-reporting of ethnicity information with 21 (6%) in 2015-16 and 39 (10%) in the previous year.</w:t>
      </w:r>
      <w:r>
        <w:rPr>
          <w:rFonts w:ascii="Times New Roman" w:hAnsi="Times New Roman"/>
        </w:rPr>
        <w:t xml:space="preserve"> </w:t>
      </w:r>
    </w:p>
    <w:p w14:paraId="5F0E54B4" w14:textId="77777777" w:rsidR="00347560" w:rsidRDefault="00347560" w:rsidP="00347560">
      <w:pPr>
        <w:widowControl w:val="0"/>
        <w:overflowPunct w:val="0"/>
        <w:autoSpaceDE w:val="0"/>
        <w:autoSpaceDN w:val="0"/>
        <w:adjustRightInd w:val="0"/>
        <w:jc w:val="left"/>
        <w:textAlignment w:val="baseline"/>
        <w:rPr>
          <w:rFonts w:cs="Tahoma"/>
        </w:rPr>
      </w:pPr>
    </w:p>
    <w:p w14:paraId="03D80543" w14:textId="71F9DC05" w:rsidR="00F67125" w:rsidRDefault="009A146A" w:rsidP="006453AA">
      <w:pPr>
        <w:pStyle w:val="Heading4"/>
        <w:jc w:val="left"/>
        <w:rPr>
          <w:rFonts w:cs="Tahoma"/>
          <w:b w:val="0"/>
        </w:rPr>
      </w:pPr>
      <w:r w:rsidRPr="009A146A">
        <w:rPr>
          <w:rFonts w:cs="Tahoma"/>
          <w:b w:val="0"/>
        </w:rPr>
        <w:t>One third of incidents involving BME children (28 or 33%) were reported with a cause of ‘unknown or unascertained’.  I</w:t>
      </w:r>
      <w:bookmarkStart w:id="6" w:name="_GoBack"/>
      <w:bookmarkEnd w:id="6"/>
      <w:r w:rsidRPr="009A146A">
        <w:rPr>
          <w:rFonts w:cs="Tahoma"/>
          <w:b w:val="0"/>
        </w:rPr>
        <w:t xml:space="preserve">n contrast, around one </w:t>
      </w:r>
      <w:r w:rsidR="002065F3">
        <w:rPr>
          <w:rFonts w:cs="Tahoma"/>
          <w:b w:val="0"/>
        </w:rPr>
        <w:t>six</w:t>
      </w:r>
      <w:r w:rsidRPr="009A146A">
        <w:rPr>
          <w:rFonts w:cs="Tahoma"/>
          <w:b w:val="0"/>
        </w:rPr>
        <w:t>th of incidents (</w:t>
      </w:r>
      <w:r w:rsidR="002065F3">
        <w:rPr>
          <w:rFonts w:cs="Tahoma"/>
          <w:b w:val="0"/>
        </w:rPr>
        <w:t>46</w:t>
      </w:r>
      <w:r w:rsidR="002065F3" w:rsidRPr="009A146A">
        <w:rPr>
          <w:rFonts w:cs="Tahoma"/>
          <w:b w:val="0"/>
        </w:rPr>
        <w:t xml:space="preserve"> </w:t>
      </w:r>
      <w:r w:rsidRPr="009A146A">
        <w:rPr>
          <w:rFonts w:cs="Tahoma"/>
          <w:b w:val="0"/>
        </w:rPr>
        <w:t xml:space="preserve">or </w:t>
      </w:r>
      <w:r w:rsidR="00A87CDF" w:rsidRPr="009A146A">
        <w:rPr>
          <w:rFonts w:cs="Tahoma"/>
          <w:b w:val="0"/>
        </w:rPr>
        <w:t>1</w:t>
      </w:r>
      <w:r w:rsidR="00A87CDF">
        <w:rPr>
          <w:rFonts w:cs="Tahoma"/>
          <w:b w:val="0"/>
        </w:rPr>
        <w:t>7</w:t>
      </w:r>
      <w:r w:rsidRPr="009A146A">
        <w:rPr>
          <w:rFonts w:cs="Tahoma"/>
          <w:b w:val="0"/>
        </w:rPr>
        <w:t>%) involving white children were reported with this classification</w:t>
      </w:r>
      <w:r w:rsidR="00EA5DFF">
        <w:rPr>
          <w:rFonts w:cs="Tahoma"/>
          <w:b w:val="0"/>
        </w:rPr>
        <w:t>.</w:t>
      </w:r>
      <w:r w:rsidR="002065F3">
        <w:rPr>
          <w:rFonts w:cs="Tahoma"/>
          <w:b w:val="0"/>
        </w:rPr>
        <w:t xml:space="preserve">  In part, this is because such classification is </w:t>
      </w:r>
      <w:r w:rsidR="00B3217C">
        <w:rPr>
          <w:rFonts w:cs="Tahoma"/>
          <w:b w:val="0"/>
        </w:rPr>
        <w:t xml:space="preserve">most often </w:t>
      </w:r>
      <w:r w:rsidR="002065F3">
        <w:rPr>
          <w:rFonts w:cs="Tahoma"/>
          <w:b w:val="0"/>
        </w:rPr>
        <w:t xml:space="preserve">used for those under one, </w:t>
      </w:r>
      <w:r w:rsidR="00FF019A">
        <w:rPr>
          <w:rFonts w:cs="Tahoma"/>
          <w:b w:val="0"/>
        </w:rPr>
        <w:t>where cause of death is less likely to be known than it is for older children. While t</w:t>
      </w:r>
      <w:r w:rsidR="002065F3">
        <w:rPr>
          <w:rFonts w:cs="Tahoma"/>
          <w:b w:val="0"/>
        </w:rPr>
        <w:t>he</w:t>
      </w:r>
      <w:r w:rsidR="00FF019A">
        <w:rPr>
          <w:rFonts w:cs="Tahoma"/>
          <w:b w:val="0"/>
        </w:rPr>
        <w:t xml:space="preserve">re </w:t>
      </w:r>
      <w:r w:rsidR="002065F3">
        <w:rPr>
          <w:rFonts w:cs="Tahoma"/>
          <w:b w:val="0"/>
        </w:rPr>
        <w:t xml:space="preserve">are </w:t>
      </w:r>
      <w:r w:rsidR="00FF019A">
        <w:rPr>
          <w:rFonts w:cs="Tahoma"/>
          <w:b w:val="0"/>
        </w:rPr>
        <w:t>proportionately more notifications for very young white children than</w:t>
      </w:r>
      <w:r w:rsidR="002014C1">
        <w:rPr>
          <w:rFonts w:cs="Tahoma"/>
          <w:b w:val="0"/>
        </w:rPr>
        <w:t xml:space="preserve"> young BME children</w:t>
      </w:r>
      <w:r w:rsidR="00FF019A">
        <w:rPr>
          <w:rFonts w:cs="Tahoma"/>
          <w:b w:val="0"/>
        </w:rPr>
        <w:t xml:space="preserve">, this </w:t>
      </w:r>
      <w:r w:rsidR="00C67CEC">
        <w:rPr>
          <w:rFonts w:cs="Tahoma"/>
          <w:b w:val="0"/>
        </w:rPr>
        <w:t xml:space="preserve">only </w:t>
      </w:r>
      <w:r w:rsidR="00E00E96">
        <w:rPr>
          <w:rFonts w:cs="Tahoma"/>
          <w:b w:val="0"/>
        </w:rPr>
        <w:t xml:space="preserve">partly explains </w:t>
      </w:r>
      <w:r w:rsidR="00C67CEC">
        <w:rPr>
          <w:rFonts w:cs="Tahoma"/>
          <w:b w:val="0"/>
        </w:rPr>
        <w:t>the difference.</w:t>
      </w:r>
    </w:p>
    <w:p w14:paraId="114E9CD5" w14:textId="77777777" w:rsidR="001575EC" w:rsidRPr="001575EC" w:rsidRDefault="001575EC" w:rsidP="001575EC"/>
    <w:p w14:paraId="1C515587" w14:textId="77777777" w:rsidR="005015CE" w:rsidRPr="005015CE" w:rsidRDefault="005015CE" w:rsidP="00C35C33">
      <w:pPr>
        <w:pStyle w:val="Heading4"/>
      </w:pPr>
      <w:r w:rsidRPr="005015CE">
        <w:t>Child deaths</w:t>
      </w:r>
    </w:p>
    <w:p w14:paraId="774AE399" w14:textId="77777777" w:rsidR="009550E2" w:rsidRDefault="000D0086" w:rsidP="00812ECF">
      <w:pPr>
        <w:spacing w:after="240"/>
        <w:jc w:val="left"/>
        <w:rPr>
          <w:rFonts w:cs="Tahoma"/>
        </w:rPr>
      </w:pPr>
      <w:r>
        <w:rPr>
          <w:rFonts w:cs="Tahoma"/>
        </w:rPr>
        <w:t>In 2015-16 Ofsted was notified of 171 deaths of children</w:t>
      </w:r>
      <w:r w:rsidR="005808F7">
        <w:rPr>
          <w:rFonts w:cs="Tahoma"/>
        </w:rPr>
        <w:t xml:space="preserve"> under the </w:t>
      </w:r>
      <w:r w:rsidR="005808F7" w:rsidRPr="0000714F">
        <w:rPr>
          <w:rFonts w:cs="Tahoma"/>
          <w:i/>
        </w:rPr>
        <w:t xml:space="preserve">Working </w:t>
      </w:r>
      <w:r w:rsidR="005D03C7">
        <w:rPr>
          <w:rFonts w:cs="Tahoma"/>
          <w:i/>
        </w:rPr>
        <w:t>T</w:t>
      </w:r>
      <w:r w:rsidR="005808F7" w:rsidRPr="0000714F">
        <w:rPr>
          <w:rFonts w:cs="Tahoma"/>
          <w:i/>
        </w:rPr>
        <w:t>ogether</w:t>
      </w:r>
      <w:r w:rsidR="005808F7">
        <w:rPr>
          <w:rFonts w:cs="Tahoma"/>
          <w:i/>
        </w:rPr>
        <w:t xml:space="preserve"> </w:t>
      </w:r>
      <w:r w:rsidR="005808F7" w:rsidRPr="005808F7">
        <w:rPr>
          <w:rFonts w:cs="Tahoma"/>
        </w:rPr>
        <w:t>cr</w:t>
      </w:r>
      <w:r w:rsidR="005808F7">
        <w:rPr>
          <w:rFonts w:cs="Tahoma"/>
        </w:rPr>
        <w:t>iteria</w:t>
      </w:r>
      <w:r>
        <w:rPr>
          <w:rFonts w:cs="Tahoma"/>
        </w:rPr>
        <w:t>. These have been categorised</w:t>
      </w:r>
      <w:r w:rsidR="005808F7">
        <w:rPr>
          <w:rFonts w:cs="Tahoma"/>
        </w:rPr>
        <w:t>,</w:t>
      </w:r>
      <w:r>
        <w:rPr>
          <w:rFonts w:cs="Tahoma"/>
        </w:rPr>
        <w:t xml:space="preserve"> below</w:t>
      </w:r>
      <w:r w:rsidR="005808F7">
        <w:rPr>
          <w:rFonts w:cs="Tahoma"/>
        </w:rPr>
        <w:t>,</w:t>
      </w:r>
      <w:r>
        <w:rPr>
          <w:rFonts w:cs="Tahoma"/>
        </w:rPr>
        <w:t xml:space="preserve"> according to information provided by the relevant local authority at the time of notification about the nature of the incident. Because incidents are notified to Ofsted within five days of occurring, information available to the local authority about the cause of a child’s death is often limited. </w:t>
      </w:r>
    </w:p>
    <w:p w14:paraId="0F0A5055" w14:textId="77777777" w:rsidR="009550E2" w:rsidRDefault="000D0086" w:rsidP="00812ECF">
      <w:pPr>
        <w:jc w:val="left"/>
        <w:rPr>
          <w:rFonts w:cs="Tahoma"/>
        </w:rPr>
      </w:pPr>
      <w:r>
        <w:rPr>
          <w:rFonts w:cs="Tahoma"/>
        </w:rPr>
        <w:t>There is no requirement in guidance for local authorities to provide further updates to Ofsted about the cause of a child’s death once it becomes known.</w:t>
      </w:r>
      <w:r w:rsidR="005015CE" w:rsidRPr="007003E6">
        <w:rPr>
          <w:rFonts w:cs="Tahoma"/>
        </w:rPr>
        <w:t xml:space="preserve"> Consequently, </w:t>
      </w:r>
      <w:r w:rsidR="005015CE">
        <w:rPr>
          <w:rFonts w:cs="Tahoma"/>
        </w:rPr>
        <w:t xml:space="preserve">the </w:t>
      </w:r>
      <w:r>
        <w:rPr>
          <w:rFonts w:cs="Tahoma"/>
        </w:rPr>
        <w:t xml:space="preserve">information held by Ofsted about the </w:t>
      </w:r>
      <w:r w:rsidR="005015CE">
        <w:rPr>
          <w:rFonts w:cs="Tahoma"/>
        </w:rPr>
        <w:t xml:space="preserve">cause of death </w:t>
      </w:r>
      <w:r>
        <w:rPr>
          <w:rFonts w:cs="Tahoma"/>
        </w:rPr>
        <w:t>may not be accurate.</w:t>
      </w:r>
      <w:r w:rsidR="005015CE">
        <w:rPr>
          <w:rFonts w:cs="Tahoma"/>
        </w:rPr>
        <w:t xml:space="preserve"> </w:t>
      </w:r>
      <w:r w:rsidR="00B55FE2">
        <w:rPr>
          <w:rFonts w:cs="Tahoma"/>
        </w:rPr>
        <w:t>W</w:t>
      </w:r>
      <w:r w:rsidR="005015CE" w:rsidRPr="007003E6">
        <w:rPr>
          <w:rFonts w:cs="Tahoma"/>
        </w:rPr>
        <w:t xml:space="preserve">here further information has been provided to Ofsted by the local authority, for example about post-mortem or </w:t>
      </w:r>
      <w:r w:rsidR="00087587">
        <w:rPr>
          <w:rFonts w:cs="Tahoma"/>
        </w:rPr>
        <w:t>criminal investigations</w:t>
      </w:r>
      <w:r w:rsidR="005015CE" w:rsidRPr="007003E6">
        <w:rPr>
          <w:rFonts w:cs="Tahoma"/>
        </w:rPr>
        <w:t xml:space="preserve">, Ofsted has used this information to inform the data in the tables below. </w:t>
      </w:r>
    </w:p>
    <w:p w14:paraId="19B88826" w14:textId="77777777" w:rsidR="005808F7" w:rsidRDefault="005808F7" w:rsidP="00812ECF">
      <w:pPr>
        <w:jc w:val="left"/>
        <w:rPr>
          <w:rFonts w:cs="Tahoma"/>
        </w:rPr>
      </w:pPr>
    </w:p>
    <w:p w14:paraId="574BE748" w14:textId="77777777" w:rsidR="005015CE" w:rsidRDefault="005015CE" w:rsidP="00812ECF">
      <w:pPr>
        <w:widowControl w:val="0"/>
        <w:overflowPunct w:val="0"/>
        <w:autoSpaceDE w:val="0"/>
        <w:autoSpaceDN w:val="0"/>
        <w:adjustRightInd w:val="0"/>
        <w:jc w:val="left"/>
        <w:textAlignment w:val="baseline"/>
        <w:rPr>
          <w:rFonts w:cs="Tahoma"/>
        </w:rPr>
      </w:pPr>
      <w:r w:rsidRPr="007003E6">
        <w:rPr>
          <w:rFonts w:cs="Tahoma"/>
        </w:rPr>
        <w:t xml:space="preserve">As stated </w:t>
      </w:r>
      <w:r>
        <w:rPr>
          <w:rFonts w:cs="Tahoma"/>
        </w:rPr>
        <w:t>previously</w:t>
      </w:r>
      <w:r w:rsidRPr="007003E6">
        <w:rPr>
          <w:rFonts w:cs="Tahoma"/>
        </w:rPr>
        <w:t xml:space="preserve">, the figures for child deaths </w:t>
      </w:r>
      <w:r>
        <w:rPr>
          <w:rFonts w:cs="Tahoma"/>
        </w:rPr>
        <w:t>may</w:t>
      </w:r>
      <w:r w:rsidRPr="007003E6">
        <w:rPr>
          <w:rFonts w:cs="Tahoma"/>
        </w:rPr>
        <w:t xml:space="preserve"> not all relate to deaths which occurred during the</w:t>
      </w:r>
      <w:r w:rsidR="00E71249">
        <w:rPr>
          <w:rFonts w:cs="Tahoma"/>
        </w:rPr>
        <w:t xml:space="preserve"> relevant</w:t>
      </w:r>
      <w:r w:rsidRPr="007003E6">
        <w:rPr>
          <w:rFonts w:cs="Tahoma"/>
        </w:rPr>
        <w:t xml:space="preserve"> period.</w:t>
      </w:r>
      <w:r w:rsidR="00087587">
        <w:rPr>
          <w:rFonts w:cs="Tahoma"/>
        </w:rPr>
        <w:t xml:space="preserve"> Child deaths in this statistical release relate to those</w:t>
      </w:r>
      <w:r w:rsidR="008742A8">
        <w:rPr>
          <w:rFonts w:cs="Tahoma"/>
        </w:rPr>
        <w:t xml:space="preserve"> </w:t>
      </w:r>
      <w:r w:rsidR="00087587">
        <w:rPr>
          <w:rFonts w:cs="Tahoma"/>
        </w:rPr>
        <w:t>notified to Ofsted during the period 1 April 2015 to 31 March 2016.</w:t>
      </w:r>
    </w:p>
    <w:p w14:paraId="15F487F4" w14:textId="77777777" w:rsidR="00A26216" w:rsidRPr="00A26216" w:rsidRDefault="00152301" w:rsidP="00C35C33">
      <w:pPr>
        <w:pStyle w:val="Heading4"/>
      </w:pPr>
      <w:r>
        <w:br w:type="page"/>
      </w:r>
      <w:r w:rsidR="00A26216" w:rsidRPr="00A26216">
        <w:lastRenderedPageBreak/>
        <w:t xml:space="preserve">Table 1: </w:t>
      </w:r>
      <w:r w:rsidR="00F1205D">
        <w:t>Priority cause of death for deaths notified to Ofsted between 1 April 2015 and 31 March 2016</w:t>
      </w:r>
    </w:p>
    <w:tbl>
      <w:tblPr>
        <w:tblW w:w="7193" w:type="dxa"/>
        <w:tblInd w:w="108" w:type="dxa"/>
        <w:tblLook w:val="04A0" w:firstRow="1" w:lastRow="0" w:firstColumn="1" w:lastColumn="0" w:noHBand="0" w:noVBand="1"/>
      </w:tblPr>
      <w:tblGrid>
        <w:gridCol w:w="4856"/>
        <w:gridCol w:w="1136"/>
        <w:gridCol w:w="1201"/>
      </w:tblGrid>
      <w:tr w:rsidR="00F1205D" w:rsidRPr="00D17017" w14:paraId="4AD69132" w14:textId="77777777" w:rsidTr="00041864">
        <w:trPr>
          <w:trHeight w:val="255"/>
        </w:trPr>
        <w:tc>
          <w:tcPr>
            <w:tcW w:w="4856" w:type="dxa"/>
            <w:tcBorders>
              <w:top w:val="single" w:sz="4" w:space="0" w:color="auto"/>
              <w:left w:val="nil"/>
              <w:bottom w:val="single" w:sz="4" w:space="0" w:color="auto"/>
              <w:right w:val="nil"/>
            </w:tcBorders>
            <w:shd w:val="clear" w:color="auto" w:fill="auto"/>
            <w:noWrap/>
            <w:vAlign w:val="bottom"/>
            <w:hideMark/>
          </w:tcPr>
          <w:p w14:paraId="61106A77" w14:textId="77777777" w:rsidR="00F1205D" w:rsidRPr="00D17017" w:rsidRDefault="00F1205D" w:rsidP="00812ECF">
            <w:pPr>
              <w:jc w:val="left"/>
              <w:rPr>
                <w:rFonts w:cs="Tahoma"/>
                <w:color w:val="000000"/>
                <w:sz w:val="20"/>
                <w:szCs w:val="20"/>
              </w:rPr>
            </w:pPr>
            <w:r w:rsidRPr="00D17017">
              <w:rPr>
                <w:rFonts w:cs="Tahoma"/>
                <w:color w:val="000000"/>
                <w:sz w:val="20"/>
                <w:szCs w:val="20"/>
              </w:rPr>
              <w:t>Priority Cause</w:t>
            </w:r>
          </w:p>
        </w:tc>
        <w:tc>
          <w:tcPr>
            <w:tcW w:w="1136" w:type="dxa"/>
            <w:tcBorders>
              <w:top w:val="single" w:sz="4" w:space="0" w:color="auto"/>
              <w:left w:val="nil"/>
              <w:bottom w:val="single" w:sz="4" w:space="0" w:color="auto"/>
              <w:right w:val="nil"/>
            </w:tcBorders>
            <w:shd w:val="clear" w:color="auto" w:fill="auto"/>
            <w:noWrap/>
            <w:vAlign w:val="center"/>
            <w:hideMark/>
          </w:tcPr>
          <w:p w14:paraId="4DD1345E" w14:textId="77777777" w:rsidR="00F1205D" w:rsidRPr="00D17017" w:rsidRDefault="00F1205D" w:rsidP="00BB01D5">
            <w:pPr>
              <w:jc w:val="center"/>
              <w:rPr>
                <w:rFonts w:cs="Tahoma"/>
                <w:color w:val="000000"/>
                <w:sz w:val="20"/>
                <w:szCs w:val="20"/>
              </w:rPr>
            </w:pPr>
            <w:r w:rsidRPr="00D17017">
              <w:rPr>
                <w:rFonts w:cs="Tahoma"/>
                <w:color w:val="000000"/>
                <w:sz w:val="20"/>
                <w:szCs w:val="20"/>
              </w:rPr>
              <w:t>Number</w:t>
            </w:r>
          </w:p>
        </w:tc>
        <w:tc>
          <w:tcPr>
            <w:tcW w:w="1201" w:type="dxa"/>
            <w:tcBorders>
              <w:top w:val="single" w:sz="4" w:space="0" w:color="auto"/>
              <w:left w:val="nil"/>
              <w:bottom w:val="single" w:sz="4" w:space="0" w:color="auto"/>
              <w:right w:val="nil"/>
            </w:tcBorders>
            <w:shd w:val="clear" w:color="auto" w:fill="auto"/>
            <w:noWrap/>
            <w:vAlign w:val="center"/>
            <w:hideMark/>
          </w:tcPr>
          <w:p w14:paraId="6DD2CB85" w14:textId="77777777" w:rsidR="00F1205D" w:rsidRPr="00D17017" w:rsidRDefault="00F1205D" w:rsidP="00BB01D5">
            <w:pPr>
              <w:jc w:val="center"/>
              <w:rPr>
                <w:rFonts w:cs="Tahoma"/>
                <w:color w:val="000000"/>
                <w:sz w:val="20"/>
                <w:szCs w:val="20"/>
              </w:rPr>
            </w:pPr>
            <w:r w:rsidRPr="00D17017">
              <w:rPr>
                <w:rFonts w:cs="Tahoma"/>
                <w:color w:val="000000"/>
                <w:sz w:val="20"/>
                <w:szCs w:val="20"/>
              </w:rPr>
              <w:t>Percentage</w:t>
            </w:r>
          </w:p>
        </w:tc>
      </w:tr>
      <w:tr w:rsidR="00F1205D" w:rsidRPr="00D17017" w14:paraId="3E56CA01" w14:textId="77777777" w:rsidTr="00041864">
        <w:trPr>
          <w:trHeight w:val="255"/>
        </w:trPr>
        <w:tc>
          <w:tcPr>
            <w:tcW w:w="4856" w:type="dxa"/>
            <w:tcBorders>
              <w:top w:val="nil"/>
              <w:left w:val="nil"/>
              <w:bottom w:val="nil"/>
              <w:right w:val="nil"/>
            </w:tcBorders>
            <w:shd w:val="clear" w:color="auto" w:fill="auto"/>
            <w:noWrap/>
            <w:vAlign w:val="bottom"/>
            <w:hideMark/>
          </w:tcPr>
          <w:p w14:paraId="248D09F3" w14:textId="77777777" w:rsidR="00F1205D" w:rsidRPr="00D17017" w:rsidRDefault="00F1205D" w:rsidP="00812ECF">
            <w:pPr>
              <w:jc w:val="left"/>
              <w:rPr>
                <w:rFonts w:cs="Tahoma"/>
                <w:color w:val="000000"/>
                <w:sz w:val="20"/>
                <w:szCs w:val="20"/>
              </w:rPr>
            </w:pPr>
            <w:r w:rsidRPr="00D17017">
              <w:rPr>
                <w:rFonts w:cs="Tahoma"/>
                <w:color w:val="000000"/>
                <w:sz w:val="20"/>
                <w:szCs w:val="20"/>
              </w:rPr>
              <w:t>Unknown or unascertained</w:t>
            </w:r>
          </w:p>
        </w:tc>
        <w:tc>
          <w:tcPr>
            <w:tcW w:w="1136" w:type="dxa"/>
            <w:tcBorders>
              <w:top w:val="nil"/>
              <w:left w:val="nil"/>
              <w:bottom w:val="nil"/>
              <w:right w:val="nil"/>
            </w:tcBorders>
            <w:shd w:val="clear" w:color="auto" w:fill="auto"/>
            <w:noWrap/>
            <w:vAlign w:val="center"/>
            <w:hideMark/>
          </w:tcPr>
          <w:p w14:paraId="51C38080" w14:textId="77777777" w:rsidR="00F1205D" w:rsidRPr="00D17017" w:rsidRDefault="00F1205D" w:rsidP="00E272D4">
            <w:pPr>
              <w:jc w:val="right"/>
              <w:rPr>
                <w:rFonts w:cs="Tahoma"/>
                <w:color w:val="000000"/>
                <w:sz w:val="20"/>
                <w:szCs w:val="20"/>
              </w:rPr>
            </w:pPr>
            <w:r w:rsidRPr="00D17017">
              <w:rPr>
                <w:rFonts w:cs="Tahoma"/>
                <w:color w:val="000000"/>
                <w:sz w:val="20"/>
                <w:szCs w:val="20"/>
              </w:rPr>
              <w:t>48</w:t>
            </w:r>
          </w:p>
        </w:tc>
        <w:tc>
          <w:tcPr>
            <w:tcW w:w="1201" w:type="dxa"/>
            <w:tcBorders>
              <w:top w:val="nil"/>
              <w:left w:val="nil"/>
              <w:bottom w:val="nil"/>
              <w:right w:val="nil"/>
            </w:tcBorders>
            <w:shd w:val="clear" w:color="auto" w:fill="auto"/>
            <w:noWrap/>
            <w:vAlign w:val="center"/>
            <w:hideMark/>
          </w:tcPr>
          <w:p w14:paraId="54258471" w14:textId="77777777" w:rsidR="00F1205D" w:rsidRPr="00D17017" w:rsidRDefault="00F1205D" w:rsidP="00E272D4">
            <w:pPr>
              <w:jc w:val="right"/>
              <w:rPr>
                <w:rFonts w:cs="Tahoma"/>
                <w:color w:val="000000"/>
                <w:sz w:val="20"/>
                <w:szCs w:val="20"/>
              </w:rPr>
            </w:pPr>
            <w:r w:rsidRPr="00D17017">
              <w:rPr>
                <w:rFonts w:cs="Tahoma"/>
                <w:color w:val="000000"/>
                <w:sz w:val="20"/>
                <w:szCs w:val="20"/>
              </w:rPr>
              <w:t>28</w:t>
            </w:r>
          </w:p>
        </w:tc>
      </w:tr>
      <w:tr w:rsidR="00F1205D" w:rsidRPr="00D17017" w14:paraId="61977A69" w14:textId="77777777" w:rsidTr="00041864">
        <w:trPr>
          <w:trHeight w:val="255"/>
        </w:trPr>
        <w:tc>
          <w:tcPr>
            <w:tcW w:w="4856" w:type="dxa"/>
            <w:tcBorders>
              <w:top w:val="nil"/>
              <w:left w:val="nil"/>
              <w:bottom w:val="nil"/>
              <w:right w:val="nil"/>
            </w:tcBorders>
            <w:shd w:val="clear" w:color="auto" w:fill="auto"/>
            <w:noWrap/>
            <w:vAlign w:val="bottom"/>
            <w:hideMark/>
          </w:tcPr>
          <w:p w14:paraId="229051DF" w14:textId="77777777" w:rsidR="00F1205D" w:rsidRPr="00D17017" w:rsidRDefault="00F1205D" w:rsidP="00812ECF">
            <w:pPr>
              <w:jc w:val="left"/>
              <w:rPr>
                <w:rFonts w:cs="Tahoma"/>
                <w:color w:val="000000"/>
                <w:sz w:val="20"/>
                <w:szCs w:val="20"/>
              </w:rPr>
            </w:pPr>
            <w:r w:rsidRPr="00D17017">
              <w:rPr>
                <w:rFonts w:cs="Tahoma"/>
                <w:color w:val="000000"/>
                <w:sz w:val="20"/>
                <w:szCs w:val="20"/>
              </w:rPr>
              <w:t>Natural causes (incl. life limiting disability and illness)</w:t>
            </w:r>
          </w:p>
        </w:tc>
        <w:tc>
          <w:tcPr>
            <w:tcW w:w="1136" w:type="dxa"/>
            <w:tcBorders>
              <w:top w:val="nil"/>
              <w:left w:val="nil"/>
              <w:bottom w:val="nil"/>
              <w:right w:val="nil"/>
            </w:tcBorders>
            <w:shd w:val="clear" w:color="auto" w:fill="auto"/>
            <w:noWrap/>
            <w:vAlign w:val="center"/>
            <w:hideMark/>
          </w:tcPr>
          <w:p w14:paraId="15A192C2" w14:textId="77777777" w:rsidR="00F1205D" w:rsidRPr="00D17017" w:rsidRDefault="00F1205D" w:rsidP="00E272D4">
            <w:pPr>
              <w:jc w:val="right"/>
              <w:rPr>
                <w:rFonts w:cs="Tahoma"/>
                <w:color w:val="000000"/>
                <w:sz w:val="20"/>
                <w:szCs w:val="20"/>
              </w:rPr>
            </w:pPr>
            <w:r w:rsidRPr="00D17017">
              <w:rPr>
                <w:rFonts w:cs="Tahoma"/>
                <w:color w:val="000000"/>
                <w:sz w:val="20"/>
                <w:szCs w:val="20"/>
              </w:rPr>
              <w:t>42</w:t>
            </w:r>
          </w:p>
        </w:tc>
        <w:tc>
          <w:tcPr>
            <w:tcW w:w="1201" w:type="dxa"/>
            <w:tcBorders>
              <w:top w:val="nil"/>
              <w:left w:val="nil"/>
              <w:bottom w:val="nil"/>
              <w:right w:val="nil"/>
            </w:tcBorders>
            <w:shd w:val="clear" w:color="auto" w:fill="auto"/>
            <w:noWrap/>
            <w:vAlign w:val="center"/>
            <w:hideMark/>
          </w:tcPr>
          <w:p w14:paraId="7287DF89" w14:textId="77777777" w:rsidR="00F1205D" w:rsidRPr="00D17017" w:rsidRDefault="00F1205D" w:rsidP="00E272D4">
            <w:pPr>
              <w:jc w:val="right"/>
              <w:rPr>
                <w:rFonts w:cs="Tahoma"/>
                <w:color w:val="000000"/>
                <w:sz w:val="20"/>
                <w:szCs w:val="20"/>
              </w:rPr>
            </w:pPr>
            <w:r w:rsidRPr="00D17017">
              <w:rPr>
                <w:rFonts w:cs="Tahoma"/>
                <w:color w:val="000000"/>
                <w:sz w:val="20"/>
                <w:szCs w:val="20"/>
              </w:rPr>
              <w:t>25</w:t>
            </w:r>
          </w:p>
        </w:tc>
      </w:tr>
      <w:tr w:rsidR="00F1205D" w:rsidRPr="00D17017" w14:paraId="4755A6D7" w14:textId="77777777" w:rsidTr="00041864">
        <w:trPr>
          <w:trHeight w:val="255"/>
        </w:trPr>
        <w:tc>
          <w:tcPr>
            <w:tcW w:w="4856" w:type="dxa"/>
            <w:tcBorders>
              <w:top w:val="nil"/>
              <w:left w:val="nil"/>
              <w:bottom w:val="nil"/>
              <w:right w:val="nil"/>
            </w:tcBorders>
            <w:shd w:val="clear" w:color="auto" w:fill="auto"/>
            <w:noWrap/>
            <w:vAlign w:val="bottom"/>
            <w:hideMark/>
          </w:tcPr>
          <w:p w14:paraId="0B4000DD" w14:textId="77777777" w:rsidR="00F1205D" w:rsidRPr="00D17017" w:rsidRDefault="00F1205D" w:rsidP="00812ECF">
            <w:pPr>
              <w:jc w:val="left"/>
              <w:rPr>
                <w:rFonts w:cs="Tahoma"/>
                <w:color w:val="000000"/>
                <w:sz w:val="20"/>
                <w:szCs w:val="20"/>
              </w:rPr>
            </w:pPr>
            <w:r w:rsidRPr="00D17017">
              <w:rPr>
                <w:rFonts w:cs="Tahoma"/>
                <w:color w:val="000000"/>
                <w:sz w:val="20"/>
                <w:szCs w:val="20"/>
              </w:rPr>
              <w:t>Dangerous behaviour</w:t>
            </w:r>
            <w:r w:rsidR="00EB580F">
              <w:rPr>
                <w:rStyle w:val="FootnoteReference"/>
                <w:rFonts w:cs="Tahoma"/>
                <w:color w:val="000000"/>
                <w:sz w:val="20"/>
                <w:szCs w:val="20"/>
              </w:rPr>
              <w:footnoteReference w:id="3"/>
            </w:r>
            <w:r w:rsidRPr="00D17017">
              <w:rPr>
                <w:rFonts w:cs="Tahoma"/>
                <w:color w:val="000000"/>
                <w:sz w:val="20"/>
                <w:szCs w:val="20"/>
              </w:rPr>
              <w:t xml:space="preserve"> (incl. substance misuse)</w:t>
            </w:r>
          </w:p>
        </w:tc>
        <w:tc>
          <w:tcPr>
            <w:tcW w:w="1136" w:type="dxa"/>
            <w:tcBorders>
              <w:top w:val="nil"/>
              <w:left w:val="nil"/>
              <w:bottom w:val="nil"/>
              <w:right w:val="nil"/>
            </w:tcBorders>
            <w:shd w:val="clear" w:color="auto" w:fill="auto"/>
            <w:noWrap/>
            <w:vAlign w:val="center"/>
            <w:hideMark/>
          </w:tcPr>
          <w:p w14:paraId="316DD549" w14:textId="77777777" w:rsidR="00F1205D" w:rsidRPr="00D17017" w:rsidRDefault="00F1205D" w:rsidP="00E272D4">
            <w:pPr>
              <w:jc w:val="right"/>
              <w:rPr>
                <w:rFonts w:cs="Tahoma"/>
                <w:color w:val="000000"/>
                <w:sz w:val="20"/>
                <w:szCs w:val="20"/>
              </w:rPr>
            </w:pPr>
            <w:r w:rsidRPr="00D17017">
              <w:rPr>
                <w:rFonts w:cs="Tahoma"/>
                <w:color w:val="000000"/>
                <w:sz w:val="20"/>
                <w:szCs w:val="20"/>
              </w:rPr>
              <w:t>28</w:t>
            </w:r>
          </w:p>
        </w:tc>
        <w:tc>
          <w:tcPr>
            <w:tcW w:w="1201" w:type="dxa"/>
            <w:tcBorders>
              <w:top w:val="nil"/>
              <w:left w:val="nil"/>
              <w:bottom w:val="nil"/>
              <w:right w:val="nil"/>
            </w:tcBorders>
            <w:shd w:val="clear" w:color="auto" w:fill="auto"/>
            <w:noWrap/>
            <w:vAlign w:val="center"/>
            <w:hideMark/>
          </w:tcPr>
          <w:p w14:paraId="5D9C116F" w14:textId="77777777" w:rsidR="00F1205D" w:rsidRPr="00D17017" w:rsidRDefault="00F1205D" w:rsidP="00E272D4">
            <w:pPr>
              <w:jc w:val="right"/>
              <w:rPr>
                <w:rFonts w:cs="Tahoma"/>
                <w:color w:val="000000"/>
                <w:sz w:val="20"/>
                <w:szCs w:val="20"/>
              </w:rPr>
            </w:pPr>
            <w:r w:rsidRPr="00D17017">
              <w:rPr>
                <w:rFonts w:cs="Tahoma"/>
                <w:color w:val="000000"/>
                <w:sz w:val="20"/>
                <w:szCs w:val="20"/>
              </w:rPr>
              <w:t>16</w:t>
            </w:r>
          </w:p>
        </w:tc>
      </w:tr>
      <w:tr w:rsidR="00F1205D" w:rsidRPr="00D17017" w14:paraId="31193B8D" w14:textId="77777777" w:rsidTr="00041864">
        <w:trPr>
          <w:trHeight w:val="255"/>
        </w:trPr>
        <w:tc>
          <w:tcPr>
            <w:tcW w:w="4856" w:type="dxa"/>
            <w:tcBorders>
              <w:top w:val="nil"/>
              <w:left w:val="nil"/>
              <w:bottom w:val="nil"/>
              <w:right w:val="nil"/>
            </w:tcBorders>
            <w:shd w:val="clear" w:color="auto" w:fill="auto"/>
            <w:noWrap/>
            <w:vAlign w:val="bottom"/>
            <w:hideMark/>
          </w:tcPr>
          <w:p w14:paraId="3BEE65F0" w14:textId="77777777" w:rsidR="00F1205D" w:rsidRPr="00D17017" w:rsidRDefault="00F1205D" w:rsidP="00812ECF">
            <w:pPr>
              <w:jc w:val="left"/>
              <w:rPr>
                <w:rFonts w:cs="Tahoma"/>
                <w:color w:val="000000"/>
                <w:sz w:val="20"/>
                <w:szCs w:val="20"/>
              </w:rPr>
            </w:pPr>
            <w:r w:rsidRPr="00D17017">
              <w:rPr>
                <w:rFonts w:cs="Tahoma"/>
                <w:color w:val="000000"/>
                <w:sz w:val="20"/>
                <w:szCs w:val="20"/>
              </w:rPr>
              <w:t>Killing/non-accidental injury by parent or carer</w:t>
            </w:r>
          </w:p>
        </w:tc>
        <w:tc>
          <w:tcPr>
            <w:tcW w:w="1136" w:type="dxa"/>
            <w:tcBorders>
              <w:top w:val="nil"/>
              <w:left w:val="nil"/>
              <w:bottom w:val="nil"/>
              <w:right w:val="nil"/>
            </w:tcBorders>
            <w:shd w:val="clear" w:color="auto" w:fill="auto"/>
            <w:noWrap/>
            <w:vAlign w:val="center"/>
            <w:hideMark/>
          </w:tcPr>
          <w:p w14:paraId="43C98E3D" w14:textId="77777777" w:rsidR="00F1205D" w:rsidRPr="00D17017" w:rsidRDefault="00F1205D" w:rsidP="00E272D4">
            <w:pPr>
              <w:jc w:val="right"/>
              <w:rPr>
                <w:rFonts w:cs="Tahoma"/>
                <w:color w:val="000000"/>
                <w:sz w:val="20"/>
                <w:szCs w:val="20"/>
              </w:rPr>
            </w:pPr>
            <w:r w:rsidRPr="00D17017">
              <w:rPr>
                <w:rFonts w:cs="Tahoma"/>
                <w:color w:val="000000"/>
                <w:sz w:val="20"/>
                <w:szCs w:val="20"/>
              </w:rPr>
              <w:t>19</w:t>
            </w:r>
          </w:p>
        </w:tc>
        <w:tc>
          <w:tcPr>
            <w:tcW w:w="1201" w:type="dxa"/>
            <w:tcBorders>
              <w:top w:val="nil"/>
              <w:left w:val="nil"/>
              <w:bottom w:val="nil"/>
              <w:right w:val="nil"/>
            </w:tcBorders>
            <w:shd w:val="clear" w:color="auto" w:fill="auto"/>
            <w:noWrap/>
            <w:vAlign w:val="center"/>
            <w:hideMark/>
          </w:tcPr>
          <w:p w14:paraId="2662A323" w14:textId="77777777" w:rsidR="00F1205D" w:rsidRPr="00D17017" w:rsidRDefault="00F1205D" w:rsidP="00E272D4">
            <w:pPr>
              <w:jc w:val="right"/>
              <w:rPr>
                <w:rFonts w:cs="Tahoma"/>
                <w:color w:val="000000"/>
                <w:sz w:val="20"/>
                <w:szCs w:val="20"/>
              </w:rPr>
            </w:pPr>
            <w:r w:rsidRPr="00D17017">
              <w:rPr>
                <w:rFonts w:cs="Tahoma"/>
                <w:color w:val="000000"/>
                <w:sz w:val="20"/>
                <w:szCs w:val="20"/>
              </w:rPr>
              <w:t>11</w:t>
            </w:r>
          </w:p>
        </w:tc>
      </w:tr>
      <w:tr w:rsidR="00F1205D" w:rsidRPr="00D17017" w14:paraId="03FFC41C" w14:textId="77777777" w:rsidTr="00041864">
        <w:trPr>
          <w:trHeight w:val="255"/>
        </w:trPr>
        <w:tc>
          <w:tcPr>
            <w:tcW w:w="4856" w:type="dxa"/>
            <w:tcBorders>
              <w:top w:val="nil"/>
              <w:left w:val="nil"/>
              <w:bottom w:val="nil"/>
              <w:right w:val="nil"/>
            </w:tcBorders>
            <w:shd w:val="clear" w:color="auto" w:fill="auto"/>
            <w:noWrap/>
            <w:vAlign w:val="bottom"/>
            <w:hideMark/>
          </w:tcPr>
          <w:p w14:paraId="300E4ECA" w14:textId="77777777" w:rsidR="00F1205D" w:rsidRPr="00D17017" w:rsidRDefault="00F1205D" w:rsidP="00812ECF">
            <w:pPr>
              <w:jc w:val="left"/>
              <w:rPr>
                <w:rFonts w:cs="Tahoma"/>
                <w:color w:val="000000"/>
                <w:sz w:val="20"/>
                <w:szCs w:val="20"/>
              </w:rPr>
            </w:pPr>
            <w:r w:rsidRPr="00D17017">
              <w:rPr>
                <w:rFonts w:cs="Tahoma"/>
                <w:color w:val="000000"/>
                <w:sz w:val="20"/>
                <w:szCs w:val="20"/>
              </w:rPr>
              <w:t>Accidents (including possible overlay)</w:t>
            </w:r>
          </w:p>
        </w:tc>
        <w:tc>
          <w:tcPr>
            <w:tcW w:w="1136" w:type="dxa"/>
            <w:tcBorders>
              <w:top w:val="nil"/>
              <w:left w:val="nil"/>
              <w:bottom w:val="nil"/>
              <w:right w:val="nil"/>
            </w:tcBorders>
            <w:shd w:val="clear" w:color="auto" w:fill="auto"/>
            <w:noWrap/>
            <w:vAlign w:val="center"/>
            <w:hideMark/>
          </w:tcPr>
          <w:p w14:paraId="2FF1688F" w14:textId="77777777" w:rsidR="00F1205D" w:rsidRPr="00D17017" w:rsidRDefault="00F1205D" w:rsidP="00E272D4">
            <w:pPr>
              <w:jc w:val="right"/>
              <w:rPr>
                <w:rFonts w:cs="Tahoma"/>
                <w:color w:val="000000"/>
                <w:sz w:val="20"/>
                <w:szCs w:val="20"/>
              </w:rPr>
            </w:pPr>
            <w:r w:rsidRPr="00D17017">
              <w:rPr>
                <w:rFonts w:cs="Tahoma"/>
                <w:color w:val="000000"/>
                <w:sz w:val="20"/>
                <w:szCs w:val="20"/>
              </w:rPr>
              <w:t>18</w:t>
            </w:r>
          </w:p>
        </w:tc>
        <w:tc>
          <w:tcPr>
            <w:tcW w:w="1201" w:type="dxa"/>
            <w:tcBorders>
              <w:top w:val="nil"/>
              <w:left w:val="nil"/>
              <w:bottom w:val="nil"/>
              <w:right w:val="nil"/>
            </w:tcBorders>
            <w:shd w:val="clear" w:color="auto" w:fill="auto"/>
            <w:noWrap/>
            <w:vAlign w:val="center"/>
            <w:hideMark/>
          </w:tcPr>
          <w:p w14:paraId="5B45133C" w14:textId="77777777" w:rsidR="00F1205D" w:rsidRPr="00D17017" w:rsidRDefault="00F1205D" w:rsidP="00E272D4">
            <w:pPr>
              <w:jc w:val="right"/>
              <w:rPr>
                <w:rFonts w:cs="Tahoma"/>
                <w:color w:val="000000"/>
                <w:sz w:val="20"/>
                <w:szCs w:val="20"/>
              </w:rPr>
            </w:pPr>
            <w:r w:rsidRPr="00D17017">
              <w:rPr>
                <w:rFonts w:cs="Tahoma"/>
                <w:color w:val="000000"/>
                <w:sz w:val="20"/>
                <w:szCs w:val="20"/>
              </w:rPr>
              <w:t>11</w:t>
            </w:r>
          </w:p>
        </w:tc>
      </w:tr>
      <w:tr w:rsidR="00F1205D" w:rsidRPr="00D17017" w14:paraId="1B8FF0B6" w14:textId="77777777" w:rsidTr="00041864">
        <w:trPr>
          <w:trHeight w:val="255"/>
        </w:trPr>
        <w:tc>
          <w:tcPr>
            <w:tcW w:w="4856" w:type="dxa"/>
            <w:tcBorders>
              <w:top w:val="nil"/>
              <w:left w:val="nil"/>
              <w:bottom w:val="nil"/>
              <w:right w:val="nil"/>
            </w:tcBorders>
            <w:shd w:val="clear" w:color="auto" w:fill="auto"/>
            <w:noWrap/>
            <w:vAlign w:val="bottom"/>
            <w:hideMark/>
          </w:tcPr>
          <w:p w14:paraId="06131B73" w14:textId="77777777" w:rsidR="00F1205D" w:rsidRPr="00D17017" w:rsidRDefault="00F1205D" w:rsidP="00812ECF">
            <w:pPr>
              <w:jc w:val="left"/>
              <w:rPr>
                <w:rFonts w:cs="Tahoma"/>
                <w:color w:val="000000"/>
                <w:sz w:val="20"/>
                <w:szCs w:val="20"/>
              </w:rPr>
            </w:pPr>
            <w:r w:rsidRPr="00D17017">
              <w:rPr>
                <w:rFonts w:cs="Tahoma"/>
                <w:color w:val="000000"/>
                <w:sz w:val="20"/>
                <w:szCs w:val="20"/>
              </w:rPr>
              <w:t>Killing/non-accidental injury by unrelated person</w:t>
            </w:r>
          </w:p>
        </w:tc>
        <w:tc>
          <w:tcPr>
            <w:tcW w:w="1136" w:type="dxa"/>
            <w:tcBorders>
              <w:top w:val="nil"/>
              <w:left w:val="nil"/>
              <w:bottom w:val="nil"/>
              <w:right w:val="nil"/>
            </w:tcBorders>
            <w:shd w:val="clear" w:color="auto" w:fill="auto"/>
            <w:noWrap/>
            <w:vAlign w:val="center"/>
            <w:hideMark/>
          </w:tcPr>
          <w:p w14:paraId="2610C3E0" w14:textId="77777777" w:rsidR="00F1205D" w:rsidRPr="00D17017" w:rsidRDefault="00F1205D" w:rsidP="00E272D4">
            <w:pPr>
              <w:jc w:val="right"/>
              <w:rPr>
                <w:rFonts w:cs="Tahoma"/>
                <w:color w:val="000000"/>
                <w:sz w:val="20"/>
                <w:szCs w:val="20"/>
              </w:rPr>
            </w:pPr>
            <w:r w:rsidRPr="00D17017">
              <w:rPr>
                <w:rFonts w:cs="Tahoma"/>
                <w:color w:val="000000"/>
                <w:sz w:val="20"/>
                <w:szCs w:val="20"/>
              </w:rPr>
              <w:t>8</w:t>
            </w:r>
          </w:p>
        </w:tc>
        <w:tc>
          <w:tcPr>
            <w:tcW w:w="1201" w:type="dxa"/>
            <w:tcBorders>
              <w:top w:val="nil"/>
              <w:left w:val="nil"/>
              <w:bottom w:val="nil"/>
              <w:right w:val="nil"/>
            </w:tcBorders>
            <w:shd w:val="clear" w:color="auto" w:fill="auto"/>
            <w:noWrap/>
            <w:vAlign w:val="center"/>
            <w:hideMark/>
          </w:tcPr>
          <w:p w14:paraId="6C372B95" w14:textId="77777777" w:rsidR="00F1205D" w:rsidRPr="00D17017" w:rsidRDefault="00F1205D" w:rsidP="00E272D4">
            <w:pPr>
              <w:jc w:val="right"/>
              <w:rPr>
                <w:rFonts w:cs="Tahoma"/>
                <w:color w:val="000000"/>
                <w:sz w:val="20"/>
                <w:szCs w:val="20"/>
              </w:rPr>
            </w:pPr>
            <w:r w:rsidRPr="00D17017">
              <w:rPr>
                <w:rFonts w:cs="Tahoma"/>
                <w:color w:val="000000"/>
                <w:sz w:val="20"/>
                <w:szCs w:val="20"/>
              </w:rPr>
              <w:t>5</w:t>
            </w:r>
          </w:p>
        </w:tc>
      </w:tr>
      <w:tr w:rsidR="00F1205D" w:rsidRPr="00D17017" w14:paraId="30E977EC" w14:textId="77777777" w:rsidTr="00041864">
        <w:trPr>
          <w:trHeight w:val="255"/>
        </w:trPr>
        <w:tc>
          <w:tcPr>
            <w:tcW w:w="4856" w:type="dxa"/>
            <w:tcBorders>
              <w:top w:val="nil"/>
              <w:left w:val="nil"/>
              <w:bottom w:val="nil"/>
              <w:right w:val="nil"/>
            </w:tcBorders>
            <w:shd w:val="clear" w:color="auto" w:fill="auto"/>
            <w:noWrap/>
            <w:vAlign w:val="bottom"/>
            <w:hideMark/>
          </w:tcPr>
          <w:p w14:paraId="7C123A13" w14:textId="77777777" w:rsidR="00F1205D" w:rsidRPr="00D17017" w:rsidRDefault="00F1205D" w:rsidP="00812ECF">
            <w:pPr>
              <w:jc w:val="left"/>
              <w:rPr>
                <w:rFonts w:cs="Tahoma"/>
                <w:color w:val="000000"/>
                <w:sz w:val="20"/>
                <w:szCs w:val="20"/>
              </w:rPr>
            </w:pPr>
            <w:r w:rsidRPr="00D17017">
              <w:rPr>
                <w:rFonts w:cs="Tahoma"/>
                <w:color w:val="000000"/>
                <w:sz w:val="20"/>
                <w:szCs w:val="20"/>
              </w:rPr>
              <w:t>Neglect</w:t>
            </w:r>
          </w:p>
        </w:tc>
        <w:tc>
          <w:tcPr>
            <w:tcW w:w="1136" w:type="dxa"/>
            <w:tcBorders>
              <w:top w:val="nil"/>
              <w:left w:val="nil"/>
              <w:bottom w:val="nil"/>
              <w:right w:val="nil"/>
            </w:tcBorders>
            <w:shd w:val="clear" w:color="auto" w:fill="auto"/>
            <w:noWrap/>
            <w:vAlign w:val="center"/>
            <w:hideMark/>
          </w:tcPr>
          <w:p w14:paraId="624AE170" w14:textId="77777777" w:rsidR="00F1205D" w:rsidRPr="00D17017" w:rsidRDefault="00F1205D" w:rsidP="00E272D4">
            <w:pPr>
              <w:jc w:val="right"/>
              <w:rPr>
                <w:rFonts w:cs="Tahoma"/>
                <w:color w:val="000000"/>
                <w:sz w:val="20"/>
                <w:szCs w:val="20"/>
              </w:rPr>
            </w:pPr>
            <w:r w:rsidRPr="00D17017">
              <w:rPr>
                <w:rFonts w:cs="Tahoma"/>
                <w:color w:val="000000"/>
                <w:sz w:val="20"/>
                <w:szCs w:val="20"/>
              </w:rPr>
              <w:t>8</w:t>
            </w:r>
          </w:p>
        </w:tc>
        <w:tc>
          <w:tcPr>
            <w:tcW w:w="1201" w:type="dxa"/>
            <w:tcBorders>
              <w:top w:val="nil"/>
              <w:left w:val="nil"/>
              <w:bottom w:val="nil"/>
              <w:right w:val="nil"/>
            </w:tcBorders>
            <w:shd w:val="clear" w:color="auto" w:fill="auto"/>
            <w:noWrap/>
            <w:vAlign w:val="center"/>
            <w:hideMark/>
          </w:tcPr>
          <w:p w14:paraId="6DB76D50" w14:textId="77777777" w:rsidR="00F1205D" w:rsidRPr="00D17017" w:rsidRDefault="00F1205D" w:rsidP="00E272D4">
            <w:pPr>
              <w:jc w:val="right"/>
              <w:rPr>
                <w:rFonts w:cs="Tahoma"/>
                <w:color w:val="000000"/>
                <w:sz w:val="20"/>
                <w:szCs w:val="20"/>
              </w:rPr>
            </w:pPr>
            <w:r w:rsidRPr="00D17017">
              <w:rPr>
                <w:rFonts w:cs="Tahoma"/>
                <w:color w:val="000000"/>
                <w:sz w:val="20"/>
                <w:szCs w:val="20"/>
              </w:rPr>
              <w:t>5</w:t>
            </w:r>
          </w:p>
        </w:tc>
      </w:tr>
      <w:tr w:rsidR="00F1205D" w:rsidRPr="00D17017" w14:paraId="5F21402D" w14:textId="77777777" w:rsidTr="00041864">
        <w:trPr>
          <w:trHeight w:val="255"/>
        </w:trPr>
        <w:tc>
          <w:tcPr>
            <w:tcW w:w="4856" w:type="dxa"/>
            <w:tcBorders>
              <w:top w:val="single" w:sz="4" w:space="0" w:color="auto"/>
              <w:left w:val="nil"/>
              <w:bottom w:val="single" w:sz="4" w:space="0" w:color="auto"/>
              <w:right w:val="nil"/>
            </w:tcBorders>
            <w:shd w:val="clear" w:color="auto" w:fill="auto"/>
            <w:noWrap/>
            <w:vAlign w:val="bottom"/>
            <w:hideMark/>
          </w:tcPr>
          <w:p w14:paraId="07AA54E8" w14:textId="77777777" w:rsidR="00F1205D" w:rsidRPr="00D17017" w:rsidRDefault="00F1205D" w:rsidP="00222B05">
            <w:pPr>
              <w:jc w:val="left"/>
              <w:rPr>
                <w:rFonts w:cs="Tahoma"/>
                <w:color w:val="000000"/>
                <w:sz w:val="20"/>
                <w:szCs w:val="20"/>
              </w:rPr>
            </w:pPr>
            <w:r w:rsidRPr="00D17017">
              <w:rPr>
                <w:rFonts w:cs="Tahoma"/>
                <w:color w:val="000000"/>
                <w:sz w:val="20"/>
                <w:szCs w:val="20"/>
              </w:rPr>
              <w:t xml:space="preserve">Total </w:t>
            </w:r>
          </w:p>
        </w:tc>
        <w:tc>
          <w:tcPr>
            <w:tcW w:w="1136" w:type="dxa"/>
            <w:tcBorders>
              <w:top w:val="single" w:sz="4" w:space="0" w:color="auto"/>
              <w:left w:val="nil"/>
              <w:bottom w:val="single" w:sz="4" w:space="0" w:color="auto"/>
              <w:right w:val="nil"/>
            </w:tcBorders>
            <w:shd w:val="clear" w:color="auto" w:fill="auto"/>
            <w:noWrap/>
            <w:vAlign w:val="center"/>
            <w:hideMark/>
          </w:tcPr>
          <w:p w14:paraId="2C87F64A" w14:textId="77777777" w:rsidR="00F1205D" w:rsidRPr="00D17017" w:rsidRDefault="00F1205D" w:rsidP="00E272D4">
            <w:pPr>
              <w:jc w:val="right"/>
              <w:rPr>
                <w:rFonts w:cs="Tahoma"/>
                <w:color w:val="000000"/>
                <w:sz w:val="20"/>
                <w:szCs w:val="20"/>
              </w:rPr>
            </w:pPr>
            <w:r w:rsidRPr="00D17017">
              <w:rPr>
                <w:rFonts w:cs="Tahoma"/>
                <w:color w:val="000000"/>
                <w:sz w:val="20"/>
                <w:szCs w:val="20"/>
              </w:rPr>
              <w:t>171</w:t>
            </w:r>
          </w:p>
        </w:tc>
        <w:tc>
          <w:tcPr>
            <w:tcW w:w="1201" w:type="dxa"/>
            <w:tcBorders>
              <w:top w:val="single" w:sz="4" w:space="0" w:color="auto"/>
              <w:left w:val="nil"/>
              <w:bottom w:val="single" w:sz="4" w:space="0" w:color="auto"/>
              <w:right w:val="nil"/>
            </w:tcBorders>
            <w:shd w:val="clear" w:color="auto" w:fill="auto"/>
            <w:noWrap/>
            <w:vAlign w:val="center"/>
            <w:hideMark/>
          </w:tcPr>
          <w:p w14:paraId="77003C96" w14:textId="77777777" w:rsidR="00F1205D" w:rsidRPr="00D17017" w:rsidRDefault="00F1205D" w:rsidP="00E272D4">
            <w:pPr>
              <w:jc w:val="right"/>
              <w:rPr>
                <w:rFonts w:cs="Tahoma"/>
                <w:color w:val="000000"/>
                <w:sz w:val="20"/>
                <w:szCs w:val="20"/>
              </w:rPr>
            </w:pPr>
            <w:r w:rsidRPr="00D17017">
              <w:rPr>
                <w:rFonts w:cs="Tahoma"/>
                <w:color w:val="000000"/>
                <w:sz w:val="20"/>
                <w:szCs w:val="20"/>
              </w:rPr>
              <w:t>100</w:t>
            </w:r>
          </w:p>
        </w:tc>
      </w:tr>
    </w:tbl>
    <w:p w14:paraId="19A7D797" w14:textId="77777777" w:rsidR="00EB580F" w:rsidRDefault="00EB580F" w:rsidP="005808F7">
      <w:pPr>
        <w:widowControl w:val="0"/>
        <w:overflowPunct w:val="0"/>
        <w:autoSpaceDE w:val="0"/>
        <w:autoSpaceDN w:val="0"/>
        <w:adjustRightInd w:val="0"/>
        <w:jc w:val="left"/>
        <w:textAlignment w:val="baseline"/>
        <w:rPr>
          <w:rFonts w:cs="Tahoma"/>
        </w:rPr>
      </w:pPr>
    </w:p>
    <w:p w14:paraId="57067C25" w14:textId="77777777" w:rsidR="00A26216" w:rsidRPr="002228E0" w:rsidRDefault="00EB580F" w:rsidP="005808F7">
      <w:pPr>
        <w:widowControl w:val="0"/>
        <w:overflowPunct w:val="0"/>
        <w:autoSpaceDE w:val="0"/>
        <w:autoSpaceDN w:val="0"/>
        <w:adjustRightInd w:val="0"/>
        <w:jc w:val="left"/>
        <w:textAlignment w:val="baseline"/>
        <w:rPr>
          <w:rFonts w:cs="Tahoma"/>
          <w:color w:val="00B050"/>
        </w:rPr>
      </w:pPr>
      <w:r>
        <w:rPr>
          <w:rFonts w:cs="Tahoma"/>
        </w:rPr>
        <w:t>The number of notified child deaths caused by killing/non accidental injury by a parent or carer has fallen in 2015-16: there were 19 cases (11% of the total deaths) compared with 39 (21%) in 2014-15.</w:t>
      </w:r>
    </w:p>
    <w:p w14:paraId="2ED56B70" w14:textId="77777777" w:rsidR="00EB580F" w:rsidRDefault="00EB580F" w:rsidP="00EB580F">
      <w:pPr>
        <w:jc w:val="left"/>
        <w:rPr>
          <w:rFonts w:cs="Tahoma"/>
        </w:rPr>
      </w:pPr>
    </w:p>
    <w:p w14:paraId="4C8772EA" w14:textId="77777777" w:rsidR="00D10AF9" w:rsidRDefault="00D10AF9" w:rsidP="005808F7">
      <w:pPr>
        <w:spacing w:after="240"/>
        <w:jc w:val="left"/>
        <w:rPr>
          <w:rFonts w:cs="Tahoma"/>
        </w:rPr>
      </w:pPr>
      <w:r>
        <w:rPr>
          <w:rFonts w:cs="Tahoma"/>
        </w:rPr>
        <w:t>Of the 171 reported child deaths, 29 (17%) were of children who were subject to a child protection plan. Almost half, 14 (48%) of these were cases where the cause of death was unknown or unascertained, with a further 10 (35%) who died through natural causes such as a life limiting disability or illness.</w:t>
      </w:r>
    </w:p>
    <w:p w14:paraId="035062F0" w14:textId="77777777" w:rsidR="00E665A3" w:rsidRPr="00EB580F" w:rsidRDefault="00E665A3" w:rsidP="005808F7">
      <w:pPr>
        <w:spacing w:after="240"/>
        <w:jc w:val="left"/>
        <w:rPr>
          <w:rFonts w:cs="Tahoma"/>
        </w:rPr>
      </w:pPr>
      <w:r w:rsidRPr="00EB580F">
        <w:rPr>
          <w:rFonts w:cs="Tahoma"/>
        </w:rPr>
        <w:t xml:space="preserve">Of the 42 children who were reported as dying from natural causes, 18 were children looked after, equating to 43% of the total. This figure was the same as the previous year of 18, but the proportion was higher </w:t>
      </w:r>
      <w:r w:rsidR="00EB580F" w:rsidRPr="00EB580F">
        <w:rPr>
          <w:rFonts w:cs="Tahoma"/>
        </w:rPr>
        <w:t>(</w:t>
      </w:r>
      <w:r w:rsidRPr="00EB580F">
        <w:rPr>
          <w:rFonts w:cs="Tahoma"/>
        </w:rPr>
        <w:t>58%</w:t>
      </w:r>
      <w:r w:rsidR="00EB580F" w:rsidRPr="00EB580F">
        <w:rPr>
          <w:rFonts w:cs="Tahoma"/>
        </w:rPr>
        <w:t>)</w:t>
      </w:r>
      <w:r w:rsidRPr="00EB580F">
        <w:rPr>
          <w:rFonts w:cs="Tahoma"/>
        </w:rPr>
        <w:t>.</w:t>
      </w:r>
    </w:p>
    <w:p w14:paraId="3DF04231" w14:textId="77777777" w:rsidR="00340FC4" w:rsidRDefault="00A863C2" w:rsidP="005808F7">
      <w:pPr>
        <w:spacing w:after="240"/>
        <w:jc w:val="left"/>
        <w:rPr>
          <w:rFonts w:cs="Tahoma"/>
        </w:rPr>
      </w:pPr>
      <w:r w:rsidRPr="00EB580F">
        <w:rPr>
          <w:rFonts w:cs="Tahoma"/>
        </w:rPr>
        <w:t xml:space="preserve">The </w:t>
      </w:r>
      <w:r w:rsidR="00AC2E5C" w:rsidRPr="00EB580F">
        <w:rPr>
          <w:rFonts w:cs="Tahoma"/>
        </w:rPr>
        <w:t xml:space="preserve">largest </w:t>
      </w:r>
      <w:r w:rsidRPr="00EB580F">
        <w:rPr>
          <w:rFonts w:cs="Tahoma"/>
        </w:rPr>
        <w:t xml:space="preserve">age group was children aged </w:t>
      </w:r>
      <w:r w:rsidR="00E87202" w:rsidRPr="00EB580F">
        <w:rPr>
          <w:rFonts w:cs="Tahoma"/>
        </w:rPr>
        <w:t xml:space="preserve">under </w:t>
      </w:r>
      <w:r w:rsidRPr="00EB580F">
        <w:rPr>
          <w:rFonts w:cs="Tahoma"/>
        </w:rPr>
        <w:t xml:space="preserve">one </w:t>
      </w:r>
      <w:r w:rsidR="00E87202" w:rsidRPr="00EB580F">
        <w:rPr>
          <w:rFonts w:cs="Tahoma"/>
        </w:rPr>
        <w:t>(64 or 37%)</w:t>
      </w:r>
      <w:r w:rsidR="00AC2E5C" w:rsidRPr="00EB580F">
        <w:rPr>
          <w:rFonts w:cs="Tahoma"/>
        </w:rPr>
        <w:t>, similar to t</w:t>
      </w:r>
      <w:r w:rsidR="00AC2E5C">
        <w:rPr>
          <w:rFonts w:cs="Tahoma"/>
        </w:rPr>
        <w:t>he picture in 2014-15 (66 or 35%)</w:t>
      </w:r>
      <w:r>
        <w:rPr>
          <w:rFonts w:cs="Tahoma"/>
        </w:rPr>
        <w:t>.</w:t>
      </w:r>
      <w:r w:rsidR="00032AB6">
        <w:rPr>
          <w:rFonts w:cs="Tahoma"/>
        </w:rPr>
        <w:t xml:space="preserve"> Twenty nine </w:t>
      </w:r>
      <w:r w:rsidR="000F31BC">
        <w:rPr>
          <w:rFonts w:cs="Tahoma"/>
        </w:rPr>
        <w:t xml:space="preserve">(45%) </w:t>
      </w:r>
      <w:r w:rsidR="00E87202">
        <w:rPr>
          <w:rFonts w:cs="Tahoma"/>
        </w:rPr>
        <w:t xml:space="preserve">children </w:t>
      </w:r>
      <w:r w:rsidR="00387B09">
        <w:rPr>
          <w:rFonts w:cs="Tahoma"/>
        </w:rPr>
        <w:t xml:space="preserve">in this age group </w:t>
      </w:r>
      <w:r w:rsidR="00E87202">
        <w:rPr>
          <w:rFonts w:cs="Tahoma"/>
        </w:rPr>
        <w:t>died with cause</w:t>
      </w:r>
      <w:r w:rsidR="00AC2E5C">
        <w:rPr>
          <w:rFonts w:cs="Tahoma"/>
        </w:rPr>
        <w:t xml:space="preserve"> of death</w:t>
      </w:r>
      <w:r w:rsidR="00E87202">
        <w:rPr>
          <w:rFonts w:cs="Tahoma"/>
        </w:rPr>
        <w:t xml:space="preserve"> </w:t>
      </w:r>
      <w:r w:rsidR="00032AB6">
        <w:rPr>
          <w:rFonts w:cs="Tahoma"/>
        </w:rPr>
        <w:t xml:space="preserve">unknown or unascertained, </w:t>
      </w:r>
      <w:r w:rsidR="00491412">
        <w:rPr>
          <w:rFonts w:cs="Tahoma"/>
        </w:rPr>
        <w:t xml:space="preserve">compared with </w:t>
      </w:r>
      <w:r w:rsidR="00AC2E5C">
        <w:rPr>
          <w:rFonts w:cs="Tahoma"/>
        </w:rPr>
        <w:t>21 (32%) the previous year.</w:t>
      </w:r>
      <w:r w:rsidR="008742A8">
        <w:rPr>
          <w:rFonts w:cs="Tahoma"/>
        </w:rPr>
        <w:t xml:space="preserve"> </w:t>
      </w:r>
      <w:r w:rsidR="00AC2E5C">
        <w:rPr>
          <w:rFonts w:cs="Tahoma"/>
        </w:rPr>
        <w:t xml:space="preserve">A </w:t>
      </w:r>
      <w:r w:rsidR="00032AB6">
        <w:rPr>
          <w:rFonts w:cs="Tahoma"/>
        </w:rPr>
        <w:t xml:space="preserve">further 13 (20%) </w:t>
      </w:r>
      <w:r w:rsidR="007E6CD2">
        <w:rPr>
          <w:rFonts w:cs="Tahoma"/>
        </w:rPr>
        <w:t xml:space="preserve">children in this age group are </w:t>
      </w:r>
      <w:r w:rsidR="00032AB6">
        <w:rPr>
          <w:rFonts w:cs="Tahoma"/>
        </w:rPr>
        <w:t xml:space="preserve">reported </w:t>
      </w:r>
      <w:r w:rsidR="007E6CD2">
        <w:rPr>
          <w:rFonts w:cs="Tahoma"/>
        </w:rPr>
        <w:t>to have died of</w:t>
      </w:r>
      <w:r w:rsidR="00E87202">
        <w:rPr>
          <w:rFonts w:cs="Tahoma"/>
        </w:rPr>
        <w:t xml:space="preserve"> </w:t>
      </w:r>
      <w:r w:rsidR="00032AB6">
        <w:rPr>
          <w:rFonts w:cs="Tahoma"/>
        </w:rPr>
        <w:t>natural cause</w:t>
      </w:r>
      <w:r w:rsidR="007E6CD2">
        <w:rPr>
          <w:rFonts w:cs="Tahoma"/>
        </w:rPr>
        <w:t>s</w:t>
      </w:r>
      <w:r w:rsidR="00032AB6">
        <w:rPr>
          <w:rFonts w:cs="Tahoma"/>
        </w:rPr>
        <w:t>, such as life limiting disabilities or illness</w:t>
      </w:r>
      <w:r w:rsidR="00AC2E5C">
        <w:rPr>
          <w:rFonts w:cs="Tahoma"/>
        </w:rPr>
        <w:t xml:space="preserve">, similar to the previous </w:t>
      </w:r>
      <w:r w:rsidR="00960FDF">
        <w:rPr>
          <w:rFonts w:cs="Tahoma"/>
        </w:rPr>
        <w:t>year (</w:t>
      </w:r>
      <w:r w:rsidR="00032AB6">
        <w:rPr>
          <w:rFonts w:cs="Tahoma"/>
        </w:rPr>
        <w:t xml:space="preserve">15 </w:t>
      </w:r>
      <w:r w:rsidR="00AC2E5C">
        <w:rPr>
          <w:rFonts w:cs="Tahoma"/>
        </w:rPr>
        <w:t xml:space="preserve">or </w:t>
      </w:r>
      <w:r w:rsidR="00032AB6">
        <w:rPr>
          <w:rFonts w:cs="Tahoma"/>
        </w:rPr>
        <w:t>23%).</w:t>
      </w:r>
    </w:p>
    <w:p w14:paraId="452823B3" w14:textId="77777777" w:rsidR="00B269EA" w:rsidRDefault="00B269EA" w:rsidP="00E2104B">
      <w:pPr>
        <w:spacing w:after="240"/>
        <w:jc w:val="left"/>
        <w:rPr>
          <w:rFonts w:cs="Tahoma"/>
        </w:rPr>
      </w:pPr>
      <w:r>
        <w:rPr>
          <w:rFonts w:cs="Tahoma"/>
        </w:rPr>
        <w:t xml:space="preserve">Of the 70 </w:t>
      </w:r>
      <w:r w:rsidR="000F31BC">
        <w:rPr>
          <w:rFonts w:cs="Tahoma"/>
        </w:rPr>
        <w:t xml:space="preserve">notified deaths of </w:t>
      </w:r>
      <w:r>
        <w:rPr>
          <w:rFonts w:cs="Tahoma"/>
        </w:rPr>
        <w:t xml:space="preserve">young people aged 11 years or older in 2015-16, </w:t>
      </w:r>
      <w:r w:rsidR="00E2104B">
        <w:rPr>
          <w:rFonts w:cs="Tahoma"/>
        </w:rPr>
        <w:t xml:space="preserve">or </w:t>
      </w:r>
      <w:r w:rsidR="00AC2E5C">
        <w:rPr>
          <w:rFonts w:cs="Tahoma"/>
        </w:rPr>
        <w:t>41% of the total</w:t>
      </w:r>
      <w:r w:rsidR="00E2104B">
        <w:rPr>
          <w:rFonts w:cs="Tahoma"/>
        </w:rPr>
        <w:t xml:space="preserve"> deaths reported</w:t>
      </w:r>
      <w:r w:rsidR="00AC2E5C">
        <w:rPr>
          <w:rFonts w:cs="Tahoma"/>
        </w:rPr>
        <w:t xml:space="preserve">, over one third died as a result of </w:t>
      </w:r>
      <w:r>
        <w:rPr>
          <w:rFonts w:cs="Tahoma"/>
        </w:rPr>
        <w:t>suicide</w:t>
      </w:r>
      <w:r w:rsidR="00E2104B">
        <w:rPr>
          <w:rFonts w:cs="Tahoma"/>
        </w:rPr>
        <w:t xml:space="preserve"> (</w:t>
      </w:r>
      <w:r w:rsidR="00AC2E5C">
        <w:rPr>
          <w:rFonts w:cs="Tahoma"/>
        </w:rPr>
        <w:t xml:space="preserve">26 </w:t>
      </w:r>
      <w:r w:rsidR="00E2104B">
        <w:rPr>
          <w:rFonts w:cs="Tahoma"/>
        </w:rPr>
        <w:t xml:space="preserve">or </w:t>
      </w:r>
      <w:r w:rsidR="00AC2E5C">
        <w:rPr>
          <w:rFonts w:cs="Tahoma"/>
        </w:rPr>
        <w:t>37%)</w:t>
      </w:r>
      <w:r w:rsidR="00E2104B">
        <w:rPr>
          <w:rFonts w:cs="Tahoma"/>
        </w:rPr>
        <w:t>.</w:t>
      </w:r>
      <w:r w:rsidR="008742A8">
        <w:rPr>
          <w:rFonts w:cs="Tahoma"/>
        </w:rPr>
        <w:t xml:space="preserve"> </w:t>
      </w:r>
      <w:r w:rsidR="007E6CD2">
        <w:rPr>
          <w:rFonts w:cs="Tahoma"/>
        </w:rPr>
        <w:t>Fifteen of these children were</w:t>
      </w:r>
      <w:r w:rsidR="00E2104B">
        <w:rPr>
          <w:rFonts w:cs="Tahoma"/>
        </w:rPr>
        <w:t xml:space="preserve"> boys</w:t>
      </w:r>
      <w:r w:rsidR="008742A8">
        <w:rPr>
          <w:rFonts w:cs="Tahoma"/>
        </w:rPr>
        <w:t xml:space="preserve"> </w:t>
      </w:r>
      <w:r>
        <w:rPr>
          <w:rFonts w:cs="Tahoma"/>
        </w:rPr>
        <w:t>and 11</w:t>
      </w:r>
      <w:r w:rsidR="008742A8">
        <w:rPr>
          <w:rFonts w:cs="Tahoma"/>
        </w:rPr>
        <w:t xml:space="preserve"> </w:t>
      </w:r>
      <w:r w:rsidR="007E6CD2">
        <w:rPr>
          <w:rFonts w:cs="Tahoma"/>
        </w:rPr>
        <w:t xml:space="preserve">were </w:t>
      </w:r>
      <w:r>
        <w:rPr>
          <w:rFonts w:cs="Tahoma"/>
        </w:rPr>
        <w:t>girls.</w:t>
      </w:r>
      <w:r w:rsidR="000A5747">
        <w:rPr>
          <w:rFonts w:cs="Tahoma"/>
        </w:rPr>
        <w:t xml:space="preserve"> Two of the children were looked after by the local authority at the time of the incident.</w:t>
      </w:r>
      <w:r>
        <w:rPr>
          <w:rFonts w:cs="Tahoma"/>
        </w:rPr>
        <w:t xml:space="preserve"> </w:t>
      </w:r>
      <w:r w:rsidR="00E2104B">
        <w:rPr>
          <w:rFonts w:cs="Tahoma"/>
        </w:rPr>
        <w:t xml:space="preserve">The numbers and percentages were very similar in </w:t>
      </w:r>
      <w:r>
        <w:rPr>
          <w:rFonts w:cs="Tahoma"/>
        </w:rPr>
        <w:t>2014-15</w:t>
      </w:r>
      <w:r w:rsidR="00E2104B">
        <w:rPr>
          <w:rFonts w:cs="Tahoma"/>
        </w:rPr>
        <w:t xml:space="preserve">, where </w:t>
      </w:r>
      <w:r>
        <w:rPr>
          <w:rFonts w:cs="Tahoma"/>
        </w:rPr>
        <w:t>there were 2</w:t>
      </w:r>
      <w:r w:rsidR="00912A8F">
        <w:rPr>
          <w:rFonts w:cs="Tahoma"/>
        </w:rPr>
        <w:t>9</w:t>
      </w:r>
      <w:r>
        <w:rPr>
          <w:rFonts w:cs="Tahoma"/>
        </w:rPr>
        <w:t xml:space="preserve"> </w:t>
      </w:r>
      <w:r w:rsidR="000A5747">
        <w:rPr>
          <w:rFonts w:cs="Tahoma"/>
        </w:rPr>
        <w:t xml:space="preserve">deaths by suicide </w:t>
      </w:r>
      <w:r w:rsidR="00E2104B">
        <w:rPr>
          <w:rFonts w:cs="Tahoma"/>
        </w:rPr>
        <w:t>in this age group (</w:t>
      </w:r>
      <w:r w:rsidR="000A5747">
        <w:rPr>
          <w:rFonts w:cs="Tahoma"/>
        </w:rPr>
        <w:t>38%</w:t>
      </w:r>
      <w:r w:rsidR="00E2104B">
        <w:rPr>
          <w:rFonts w:cs="Tahoma"/>
        </w:rPr>
        <w:t xml:space="preserve"> of 72</w:t>
      </w:r>
      <w:r w:rsidR="000A5747">
        <w:rPr>
          <w:rFonts w:cs="Tahoma"/>
        </w:rPr>
        <w:t>)</w:t>
      </w:r>
      <w:r w:rsidR="00E2104B">
        <w:rPr>
          <w:rFonts w:cs="Tahoma"/>
        </w:rPr>
        <w:t>.</w:t>
      </w:r>
      <w:r w:rsidR="008742A8">
        <w:rPr>
          <w:rFonts w:cs="Tahoma"/>
        </w:rPr>
        <w:t xml:space="preserve"> </w:t>
      </w:r>
      <w:r w:rsidR="00E2104B">
        <w:rPr>
          <w:rFonts w:cs="Tahoma"/>
        </w:rPr>
        <w:t xml:space="preserve">One difference was a </w:t>
      </w:r>
      <w:r w:rsidR="007E6CD2">
        <w:rPr>
          <w:rFonts w:cs="Tahoma"/>
        </w:rPr>
        <w:t>slightly higher number of girls</w:t>
      </w:r>
      <w:r w:rsidR="00E2104B">
        <w:rPr>
          <w:rFonts w:cs="Tahoma"/>
        </w:rPr>
        <w:t xml:space="preserve"> (</w:t>
      </w:r>
      <w:r w:rsidR="000A5747">
        <w:rPr>
          <w:rFonts w:cs="Tahoma"/>
        </w:rPr>
        <w:t xml:space="preserve">15) </w:t>
      </w:r>
      <w:r w:rsidR="00E2104B">
        <w:rPr>
          <w:rFonts w:cs="Tahoma"/>
        </w:rPr>
        <w:t>than boys (</w:t>
      </w:r>
      <w:r w:rsidR="000A5747">
        <w:rPr>
          <w:rFonts w:cs="Tahoma"/>
        </w:rPr>
        <w:t>14</w:t>
      </w:r>
      <w:r w:rsidR="007E6CD2">
        <w:rPr>
          <w:rFonts w:cs="Tahoma"/>
        </w:rPr>
        <w:t>)</w:t>
      </w:r>
      <w:r w:rsidR="000A5747">
        <w:rPr>
          <w:rFonts w:cs="Tahoma"/>
        </w:rPr>
        <w:t>.</w:t>
      </w:r>
    </w:p>
    <w:p w14:paraId="2FEE68F6" w14:textId="77777777" w:rsidR="00E665A3" w:rsidRPr="007A1B5D" w:rsidRDefault="00E665A3" w:rsidP="00E2104B">
      <w:pPr>
        <w:spacing w:after="240"/>
        <w:jc w:val="left"/>
        <w:rPr>
          <w:rFonts w:cs="Tahoma"/>
        </w:rPr>
      </w:pPr>
      <w:r w:rsidRPr="007A1B5D">
        <w:rPr>
          <w:rFonts w:cs="Tahoma"/>
        </w:rPr>
        <w:t>All information with respect to child deaths should be treated with caution</w:t>
      </w:r>
      <w:r w:rsidR="007A1B5D" w:rsidRPr="007A1B5D">
        <w:rPr>
          <w:rFonts w:cs="Tahoma"/>
        </w:rPr>
        <w:t>, because our knowledge is based on incomplete data. Th</w:t>
      </w:r>
      <w:r w:rsidR="00D81207" w:rsidRPr="007A1B5D">
        <w:rPr>
          <w:rFonts w:cs="Tahoma"/>
        </w:rPr>
        <w:t>ere may be still ongoing post mortems or criminal investigations, where the details may not be known to Ofsted. There are also some deaths</w:t>
      </w:r>
      <w:r w:rsidR="007A1B5D" w:rsidRPr="007A1B5D">
        <w:rPr>
          <w:rFonts w:cs="Tahoma"/>
        </w:rPr>
        <w:t>,</w:t>
      </w:r>
      <w:r w:rsidR="00D81207" w:rsidRPr="007A1B5D">
        <w:rPr>
          <w:rFonts w:cs="Tahoma"/>
        </w:rPr>
        <w:t xml:space="preserve"> </w:t>
      </w:r>
      <w:r w:rsidR="007A1B5D" w:rsidRPr="007A1B5D">
        <w:rPr>
          <w:rFonts w:cs="Tahoma"/>
        </w:rPr>
        <w:t xml:space="preserve">for example </w:t>
      </w:r>
      <w:r w:rsidR="00D81207" w:rsidRPr="007A1B5D">
        <w:rPr>
          <w:rFonts w:cs="Tahoma"/>
        </w:rPr>
        <w:t>that remain unexplained or where the cause of death is not known</w:t>
      </w:r>
      <w:r w:rsidR="007A1B5D" w:rsidRPr="007A1B5D">
        <w:rPr>
          <w:rFonts w:cs="Tahoma"/>
        </w:rPr>
        <w:t>, or</w:t>
      </w:r>
      <w:r w:rsidR="00D81207" w:rsidRPr="007A1B5D">
        <w:rPr>
          <w:rFonts w:cs="Tahoma"/>
        </w:rPr>
        <w:t xml:space="preserve"> it has not been possible for the agencies investigating the death to fully ascertain the circumstances.</w:t>
      </w:r>
    </w:p>
    <w:p w14:paraId="683D8486" w14:textId="77777777" w:rsidR="00152301" w:rsidRPr="00F614F6" w:rsidRDefault="00152301" w:rsidP="00C35C33">
      <w:pPr>
        <w:pStyle w:val="Heading4"/>
      </w:pPr>
      <w:bookmarkStart w:id="7" w:name="_Toc433719522"/>
      <w:r w:rsidRPr="00F614F6">
        <w:lastRenderedPageBreak/>
        <w:t xml:space="preserve">Serious </w:t>
      </w:r>
      <w:r>
        <w:t>harm</w:t>
      </w:r>
      <w:bookmarkEnd w:id="7"/>
    </w:p>
    <w:p w14:paraId="1B11FCBF" w14:textId="77777777" w:rsidR="00E2505B" w:rsidRDefault="00E2505B" w:rsidP="00222B05">
      <w:pPr>
        <w:jc w:val="left"/>
        <w:rPr>
          <w:rFonts w:cs="Tahoma"/>
        </w:rPr>
      </w:pPr>
      <w:r w:rsidRPr="00E2505B">
        <w:rPr>
          <w:rFonts w:cs="Tahoma"/>
        </w:rPr>
        <w:t>From 1 April 2015 to 31 March 2016, Ofsted received 208 notifi</w:t>
      </w:r>
      <w:r w:rsidR="003E75F1">
        <w:rPr>
          <w:rFonts w:cs="Tahoma"/>
        </w:rPr>
        <w:t xml:space="preserve">cations of </w:t>
      </w:r>
      <w:r w:rsidRPr="00E2505B">
        <w:rPr>
          <w:rFonts w:cs="Tahoma"/>
        </w:rPr>
        <w:t xml:space="preserve">incidents </w:t>
      </w:r>
      <w:r w:rsidR="003E75F1">
        <w:rPr>
          <w:rFonts w:cs="Tahoma"/>
        </w:rPr>
        <w:t>involving serious harm to</w:t>
      </w:r>
      <w:r>
        <w:rPr>
          <w:rFonts w:cs="Tahoma"/>
        </w:rPr>
        <w:t xml:space="preserve"> a child</w:t>
      </w:r>
      <w:r w:rsidRPr="00E2505B">
        <w:rPr>
          <w:rFonts w:cs="Tahoma"/>
        </w:rPr>
        <w:t>.</w:t>
      </w:r>
      <w:r>
        <w:rPr>
          <w:rFonts w:cs="Tahoma"/>
        </w:rPr>
        <w:t xml:space="preserve"> </w:t>
      </w:r>
      <w:r w:rsidR="003E75F1">
        <w:rPr>
          <w:rFonts w:cs="Tahoma"/>
        </w:rPr>
        <w:t>In some cases</w:t>
      </w:r>
      <w:r w:rsidR="00D33AA7">
        <w:rPr>
          <w:rFonts w:cs="Tahoma"/>
        </w:rPr>
        <w:t>,</w:t>
      </w:r>
      <w:r w:rsidR="003E75F1">
        <w:rPr>
          <w:rFonts w:cs="Tahoma"/>
        </w:rPr>
        <w:t xml:space="preserve"> the</w:t>
      </w:r>
      <w:r>
        <w:rPr>
          <w:rFonts w:cs="Tahoma"/>
        </w:rPr>
        <w:t xml:space="preserve"> incident </w:t>
      </w:r>
      <w:r w:rsidR="003E75F1">
        <w:rPr>
          <w:rFonts w:cs="Tahoma"/>
        </w:rPr>
        <w:t>involved harm to</w:t>
      </w:r>
      <w:r>
        <w:rPr>
          <w:rFonts w:cs="Tahoma"/>
        </w:rPr>
        <w:t xml:space="preserve"> more than one child, but the notification form only provide</w:t>
      </w:r>
      <w:r w:rsidR="003E75F1">
        <w:rPr>
          <w:rFonts w:cs="Tahoma"/>
        </w:rPr>
        <w:t>d</w:t>
      </w:r>
      <w:r>
        <w:rPr>
          <w:rFonts w:cs="Tahoma"/>
        </w:rPr>
        <w:t xml:space="preserve"> information </w:t>
      </w:r>
      <w:r w:rsidR="003E75F1">
        <w:rPr>
          <w:rFonts w:cs="Tahoma"/>
        </w:rPr>
        <w:t>about</w:t>
      </w:r>
      <w:r>
        <w:rPr>
          <w:rFonts w:cs="Tahoma"/>
        </w:rPr>
        <w:t xml:space="preserve"> the </w:t>
      </w:r>
      <w:r w:rsidR="00A17D76" w:rsidRPr="00DE050A">
        <w:rPr>
          <w:rFonts w:cs="Tahoma"/>
          <w:i/>
        </w:rPr>
        <w:t>first</w:t>
      </w:r>
      <w:r w:rsidR="00A17D76">
        <w:rPr>
          <w:rFonts w:cs="Tahoma"/>
        </w:rPr>
        <w:t xml:space="preserve"> child identified</w:t>
      </w:r>
      <w:r>
        <w:rPr>
          <w:rFonts w:cs="Tahoma"/>
        </w:rPr>
        <w:t xml:space="preserve">. All data in this </w:t>
      </w:r>
      <w:r w:rsidR="00A17D76">
        <w:rPr>
          <w:rFonts w:cs="Tahoma"/>
        </w:rPr>
        <w:t xml:space="preserve">report </w:t>
      </w:r>
      <w:r>
        <w:rPr>
          <w:rFonts w:cs="Tahoma"/>
        </w:rPr>
        <w:t xml:space="preserve">is based on </w:t>
      </w:r>
      <w:r w:rsidR="00DD7556">
        <w:rPr>
          <w:rFonts w:cs="Tahoma"/>
        </w:rPr>
        <w:t>single notifiable incident</w:t>
      </w:r>
      <w:r w:rsidR="00A17D76">
        <w:rPr>
          <w:rFonts w:cs="Tahoma"/>
        </w:rPr>
        <w:t>s</w:t>
      </w:r>
      <w:r>
        <w:rPr>
          <w:rFonts w:cs="Tahoma"/>
        </w:rPr>
        <w:t xml:space="preserve"> and </w:t>
      </w:r>
      <w:r w:rsidR="00455C28">
        <w:rPr>
          <w:rFonts w:cs="Tahoma"/>
        </w:rPr>
        <w:t xml:space="preserve">the </w:t>
      </w:r>
      <w:r w:rsidR="00A17D76">
        <w:rPr>
          <w:rFonts w:cs="Tahoma"/>
        </w:rPr>
        <w:t xml:space="preserve">information </w:t>
      </w:r>
      <w:r w:rsidR="00455C28">
        <w:rPr>
          <w:rFonts w:cs="Tahoma"/>
        </w:rPr>
        <w:t xml:space="preserve">is </w:t>
      </w:r>
      <w:r w:rsidR="00A17D76">
        <w:rPr>
          <w:rFonts w:cs="Tahoma"/>
        </w:rPr>
        <w:t xml:space="preserve">only on </w:t>
      </w:r>
      <w:r>
        <w:rPr>
          <w:rFonts w:cs="Tahoma"/>
        </w:rPr>
        <w:t xml:space="preserve">the </w:t>
      </w:r>
      <w:r w:rsidR="00A17D76">
        <w:rPr>
          <w:rFonts w:cs="Tahoma"/>
        </w:rPr>
        <w:t xml:space="preserve">first </w:t>
      </w:r>
      <w:r>
        <w:rPr>
          <w:rFonts w:cs="Tahoma"/>
        </w:rPr>
        <w:t xml:space="preserve">child </w:t>
      </w:r>
      <w:r w:rsidR="00A17D76">
        <w:rPr>
          <w:rFonts w:cs="Tahoma"/>
        </w:rPr>
        <w:t xml:space="preserve">identified </w:t>
      </w:r>
      <w:r w:rsidR="00077A1A">
        <w:rPr>
          <w:rFonts w:cs="Tahoma"/>
        </w:rPr>
        <w:t>on the incident form</w:t>
      </w:r>
      <w:r>
        <w:rPr>
          <w:rFonts w:cs="Tahoma"/>
        </w:rPr>
        <w:t>.</w:t>
      </w:r>
    </w:p>
    <w:p w14:paraId="1C19ECBA" w14:textId="77777777" w:rsidR="00D33AA7" w:rsidRPr="00E2505B" w:rsidRDefault="00D33AA7" w:rsidP="00222B05">
      <w:pPr>
        <w:jc w:val="left"/>
        <w:rPr>
          <w:rFonts w:cs="Tahoma"/>
        </w:rPr>
      </w:pPr>
    </w:p>
    <w:p w14:paraId="299B5E09" w14:textId="77777777" w:rsidR="00DD7556" w:rsidRDefault="00E2505B" w:rsidP="005808F7">
      <w:pPr>
        <w:spacing w:after="240"/>
        <w:jc w:val="left"/>
        <w:rPr>
          <w:rFonts w:cs="Tahoma"/>
        </w:rPr>
      </w:pPr>
      <w:r w:rsidRPr="00E2505B">
        <w:rPr>
          <w:rFonts w:cs="Tahoma"/>
        </w:rPr>
        <w:t xml:space="preserve">At the time of a notification being made to Ofsted, the local authority may not have had full information about the serious incident. </w:t>
      </w:r>
      <w:r w:rsidR="00DD7556">
        <w:rPr>
          <w:rFonts w:cs="Tahoma"/>
        </w:rPr>
        <w:t xml:space="preserve">It is not </w:t>
      </w:r>
      <w:r w:rsidR="003E75F1">
        <w:rPr>
          <w:rFonts w:cs="Tahoma"/>
        </w:rPr>
        <w:t>a requirement for</w:t>
      </w:r>
      <w:r w:rsidR="00DD7556">
        <w:rPr>
          <w:rFonts w:cs="Tahoma"/>
        </w:rPr>
        <w:t xml:space="preserve"> a local authority </w:t>
      </w:r>
      <w:r w:rsidR="004616ED">
        <w:rPr>
          <w:rFonts w:cs="Tahoma"/>
        </w:rPr>
        <w:t>to</w:t>
      </w:r>
      <w:r w:rsidR="00DD7556">
        <w:rPr>
          <w:rFonts w:cs="Tahoma"/>
        </w:rPr>
        <w:t xml:space="preserve"> update Ofsted of any new information.</w:t>
      </w:r>
    </w:p>
    <w:p w14:paraId="4873372A" w14:textId="77777777" w:rsidR="00E2505B" w:rsidRDefault="00E2505B" w:rsidP="005808F7">
      <w:pPr>
        <w:spacing w:after="240"/>
        <w:jc w:val="left"/>
        <w:rPr>
          <w:rFonts w:cs="Tahoma"/>
        </w:rPr>
      </w:pPr>
      <w:r w:rsidRPr="00E2505B">
        <w:rPr>
          <w:rFonts w:cs="Tahoma"/>
        </w:rPr>
        <w:t>Where information has become available subsequent to the notification being made, such as criminal convictions or further information from the local authority, Ofsted has used this to inf</w:t>
      </w:r>
      <w:r w:rsidR="00DD7556">
        <w:rPr>
          <w:rFonts w:cs="Tahoma"/>
        </w:rPr>
        <w:t>orm the data in the table below</w:t>
      </w:r>
      <w:r w:rsidRPr="00E2505B">
        <w:rPr>
          <w:rFonts w:cs="Tahoma"/>
        </w:rPr>
        <w:t>.</w:t>
      </w:r>
    </w:p>
    <w:p w14:paraId="0718336F" w14:textId="77777777" w:rsidR="00152301" w:rsidRPr="00152301" w:rsidRDefault="00152301" w:rsidP="00C35C33">
      <w:pPr>
        <w:pStyle w:val="Heading4"/>
      </w:pPr>
      <w:r w:rsidRPr="00152301">
        <w:t xml:space="preserve">Table 2: Priority cause of serious harm for incidents notified to </w:t>
      </w:r>
      <w:r w:rsidR="003E75F1">
        <w:t>O</w:t>
      </w:r>
      <w:r w:rsidRPr="00152301">
        <w:t xml:space="preserve">fsted between 1 </w:t>
      </w:r>
      <w:r w:rsidR="003E75F1">
        <w:t>A</w:t>
      </w:r>
      <w:r w:rsidRPr="00152301">
        <w:t xml:space="preserve">pril 2015 and 31 </w:t>
      </w:r>
      <w:r w:rsidR="003E75F1">
        <w:t>M</w:t>
      </w:r>
      <w:r w:rsidRPr="00152301">
        <w:t>arch 2016</w:t>
      </w:r>
    </w:p>
    <w:tbl>
      <w:tblPr>
        <w:tblW w:w="7128" w:type="dxa"/>
        <w:tblInd w:w="108" w:type="dxa"/>
        <w:tblLook w:val="04A0" w:firstRow="1" w:lastRow="0" w:firstColumn="1" w:lastColumn="0" w:noHBand="0" w:noVBand="1"/>
      </w:tblPr>
      <w:tblGrid>
        <w:gridCol w:w="4856"/>
        <w:gridCol w:w="1136"/>
        <w:gridCol w:w="1201"/>
      </w:tblGrid>
      <w:tr w:rsidR="00152301" w:rsidRPr="003935D6" w14:paraId="35A99F4F" w14:textId="77777777" w:rsidTr="00041864">
        <w:trPr>
          <w:trHeight w:val="255"/>
        </w:trPr>
        <w:tc>
          <w:tcPr>
            <w:tcW w:w="4856" w:type="dxa"/>
            <w:tcBorders>
              <w:top w:val="single" w:sz="4" w:space="0" w:color="auto"/>
              <w:left w:val="nil"/>
              <w:bottom w:val="single" w:sz="4" w:space="0" w:color="auto"/>
              <w:right w:val="nil"/>
            </w:tcBorders>
            <w:shd w:val="clear" w:color="auto" w:fill="auto"/>
            <w:noWrap/>
            <w:vAlign w:val="bottom"/>
            <w:hideMark/>
          </w:tcPr>
          <w:p w14:paraId="4679CF63" w14:textId="77777777" w:rsidR="00152301" w:rsidRPr="003935D6" w:rsidRDefault="00152301" w:rsidP="00222B05">
            <w:pPr>
              <w:jc w:val="left"/>
              <w:rPr>
                <w:rFonts w:cs="Tahoma"/>
                <w:color w:val="000000"/>
                <w:sz w:val="20"/>
                <w:szCs w:val="20"/>
              </w:rPr>
            </w:pPr>
            <w:r w:rsidRPr="003935D6">
              <w:rPr>
                <w:rFonts w:cs="Tahoma"/>
                <w:color w:val="000000"/>
                <w:sz w:val="20"/>
                <w:szCs w:val="20"/>
              </w:rPr>
              <w:t>Priority Cause</w:t>
            </w:r>
          </w:p>
        </w:tc>
        <w:tc>
          <w:tcPr>
            <w:tcW w:w="1136" w:type="dxa"/>
            <w:tcBorders>
              <w:top w:val="single" w:sz="4" w:space="0" w:color="auto"/>
              <w:left w:val="nil"/>
              <w:bottom w:val="single" w:sz="4" w:space="0" w:color="auto"/>
              <w:right w:val="nil"/>
            </w:tcBorders>
            <w:shd w:val="clear" w:color="auto" w:fill="auto"/>
            <w:noWrap/>
            <w:vAlign w:val="center"/>
            <w:hideMark/>
          </w:tcPr>
          <w:p w14:paraId="4A15ED4B" w14:textId="77777777" w:rsidR="00152301" w:rsidRPr="003935D6" w:rsidRDefault="00152301" w:rsidP="00BB01D5">
            <w:pPr>
              <w:jc w:val="center"/>
              <w:rPr>
                <w:rFonts w:cs="Tahoma"/>
                <w:color w:val="000000"/>
                <w:sz w:val="20"/>
                <w:szCs w:val="20"/>
              </w:rPr>
            </w:pPr>
            <w:r w:rsidRPr="003935D6">
              <w:rPr>
                <w:rFonts w:cs="Tahoma"/>
                <w:color w:val="000000"/>
                <w:sz w:val="20"/>
                <w:szCs w:val="20"/>
              </w:rPr>
              <w:t>Number</w:t>
            </w:r>
          </w:p>
        </w:tc>
        <w:tc>
          <w:tcPr>
            <w:tcW w:w="1136" w:type="dxa"/>
            <w:tcBorders>
              <w:top w:val="single" w:sz="4" w:space="0" w:color="auto"/>
              <w:left w:val="nil"/>
              <w:bottom w:val="single" w:sz="4" w:space="0" w:color="auto"/>
              <w:right w:val="nil"/>
            </w:tcBorders>
            <w:shd w:val="clear" w:color="auto" w:fill="auto"/>
            <w:noWrap/>
            <w:vAlign w:val="center"/>
            <w:hideMark/>
          </w:tcPr>
          <w:p w14:paraId="463D3867" w14:textId="77777777" w:rsidR="00152301" w:rsidRPr="003935D6" w:rsidRDefault="00152301" w:rsidP="00BB01D5">
            <w:pPr>
              <w:jc w:val="center"/>
              <w:rPr>
                <w:rFonts w:cs="Tahoma"/>
                <w:color w:val="000000"/>
                <w:sz w:val="20"/>
                <w:szCs w:val="20"/>
              </w:rPr>
            </w:pPr>
            <w:r w:rsidRPr="003935D6">
              <w:rPr>
                <w:rFonts w:cs="Tahoma"/>
                <w:color w:val="000000"/>
                <w:sz w:val="20"/>
                <w:szCs w:val="20"/>
              </w:rPr>
              <w:t>Percentage</w:t>
            </w:r>
          </w:p>
        </w:tc>
      </w:tr>
      <w:tr w:rsidR="00152301" w:rsidRPr="003935D6" w14:paraId="7C9CA3FC" w14:textId="77777777" w:rsidTr="00041864">
        <w:trPr>
          <w:trHeight w:val="255"/>
        </w:trPr>
        <w:tc>
          <w:tcPr>
            <w:tcW w:w="4856" w:type="dxa"/>
            <w:tcBorders>
              <w:top w:val="nil"/>
              <w:left w:val="nil"/>
              <w:bottom w:val="nil"/>
              <w:right w:val="nil"/>
            </w:tcBorders>
            <w:shd w:val="clear" w:color="auto" w:fill="auto"/>
            <w:noWrap/>
            <w:vAlign w:val="bottom"/>
            <w:hideMark/>
          </w:tcPr>
          <w:p w14:paraId="47517603" w14:textId="77777777" w:rsidR="00152301" w:rsidRPr="003935D6" w:rsidRDefault="00152301" w:rsidP="00222B05">
            <w:pPr>
              <w:jc w:val="left"/>
              <w:rPr>
                <w:rFonts w:cs="Tahoma"/>
                <w:color w:val="000000"/>
                <w:sz w:val="20"/>
                <w:szCs w:val="20"/>
              </w:rPr>
            </w:pPr>
            <w:r w:rsidRPr="003935D6">
              <w:rPr>
                <w:rFonts w:cs="Tahoma"/>
                <w:color w:val="000000"/>
                <w:sz w:val="20"/>
                <w:szCs w:val="20"/>
              </w:rPr>
              <w:t>Non-accidental injury by parent or carer</w:t>
            </w:r>
          </w:p>
        </w:tc>
        <w:tc>
          <w:tcPr>
            <w:tcW w:w="1136" w:type="dxa"/>
            <w:tcBorders>
              <w:top w:val="nil"/>
              <w:left w:val="nil"/>
              <w:bottom w:val="nil"/>
              <w:right w:val="nil"/>
            </w:tcBorders>
            <w:shd w:val="clear" w:color="auto" w:fill="auto"/>
            <w:noWrap/>
            <w:vAlign w:val="center"/>
            <w:hideMark/>
          </w:tcPr>
          <w:p w14:paraId="1B29228A" w14:textId="77777777" w:rsidR="00152301" w:rsidRPr="003935D6" w:rsidRDefault="00152301" w:rsidP="00E272D4">
            <w:pPr>
              <w:jc w:val="right"/>
              <w:rPr>
                <w:rFonts w:cs="Tahoma"/>
                <w:color w:val="000000"/>
                <w:sz w:val="20"/>
                <w:szCs w:val="20"/>
              </w:rPr>
            </w:pPr>
            <w:r w:rsidRPr="003935D6">
              <w:rPr>
                <w:rFonts w:cs="Tahoma"/>
                <w:color w:val="000000"/>
                <w:sz w:val="20"/>
                <w:szCs w:val="20"/>
              </w:rPr>
              <w:t>75</w:t>
            </w:r>
          </w:p>
        </w:tc>
        <w:tc>
          <w:tcPr>
            <w:tcW w:w="1136" w:type="dxa"/>
            <w:tcBorders>
              <w:top w:val="nil"/>
              <w:left w:val="nil"/>
              <w:bottom w:val="nil"/>
              <w:right w:val="nil"/>
            </w:tcBorders>
            <w:shd w:val="clear" w:color="auto" w:fill="auto"/>
            <w:noWrap/>
            <w:vAlign w:val="center"/>
            <w:hideMark/>
          </w:tcPr>
          <w:p w14:paraId="141ECC9F" w14:textId="77777777" w:rsidR="00152301" w:rsidRPr="003935D6" w:rsidRDefault="007454EB" w:rsidP="00E272D4">
            <w:pPr>
              <w:jc w:val="right"/>
              <w:rPr>
                <w:rFonts w:cs="Tahoma"/>
                <w:color w:val="000000"/>
                <w:sz w:val="20"/>
                <w:szCs w:val="20"/>
              </w:rPr>
            </w:pPr>
            <w:r>
              <w:rPr>
                <w:rFonts w:cs="Tahoma"/>
                <w:color w:val="000000"/>
                <w:sz w:val="20"/>
                <w:szCs w:val="20"/>
              </w:rPr>
              <w:t>36</w:t>
            </w:r>
          </w:p>
        </w:tc>
      </w:tr>
      <w:tr w:rsidR="00152301" w:rsidRPr="003935D6" w14:paraId="624B8830" w14:textId="77777777" w:rsidTr="00041864">
        <w:trPr>
          <w:trHeight w:val="255"/>
        </w:trPr>
        <w:tc>
          <w:tcPr>
            <w:tcW w:w="4856" w:type="dxa"/>
            <w:tcBorders>
              <w:top w:val="nil"/>
              <w:left w:val="nil"/>
              <w:bottom w:val="nil"/>
              <w:right w:val="nil"/>
            </w:tcBorders>
            <w:shd w:val="clear" w:color="auto" w:fill="auto"/>
            <w:noWrap/>
            <w:vAlign w:val="bottom"/>
            <w:hideMark/>
          </w:tcPr>
          <w:p w14:paraId="204BEB8A" w14:textId="77777777" w:rsidR="00152301" w:rsidRPr="003935D6" w:rsidRDefault="00152301" w:rsidP="00222B05">
            <w:pPr>
              <w:jc w:val="left"/>
              <w:rPr>
                <w:rFonts w:cs="Tahoma"/>
                <w:color w:val="000000"/>
                <w:sz w:val="20"/>
                <w:szCs w:val="20"/>
              </w:rPr>
            </w:pPr>
            <w:r w:rsidRPr="003935D6">
              <w:rPr>
                <w:rFonts w:cs="Tahoma"/>
                <w:color w:val="000000"/>
                <w:sz w:val="20"/>
                <w:szCs w:val="20"/>
              </w:rPr>
              <w:t>Sexual abuse/CSE by unrelated person</w:t>
            </w:r>
          </w:p>
        </w:tc>
        <w:tc>
          <w:tcPr>
            <w:tcW w:w="1136" w:type="dxa"/>
            <w:tcBorders>
              <w:top w:val="nil"/>
              <w:left w:val="nil"/>
              <w:bottom w:val="nil"/>
              <w:right w:val="nil"/>
            </w:tcBorders>
            <w:shd w:val="clear" w:color="auto" w:fill="auto"/>
            <w:noWrap/>
            <w:vAlign w:val="center"/>
            <w:hideMark/>
          </w:tcPr>
          <w:p w14:paraId="1B97E3AD" w14:textId="77777777" w:rsidR="00152301" w:rsidRPr="003935D6" w:rsidRDefault="00152301" w:rsidP="00E272D4">
            <w:pPr>
              <w:jc w:val="right"/>
              <w:rPr>
                <w:rFonts w:cs="Tahoma"/>
                <w:color w:val="000000"/>
                <w:sz w:val="20"/>
                <w:szCs w:val="20"/>
              </w:rPr>
            </w:pPr>
            <w:r w:rsidRPr="003935D6">
              <w:rPr>
                <w:rFonts w:cs="Tahoma"/>
                <w:color w:val="000000"/>
                <w:sz w:val="20"/>
                <w:szCs w:val="20"/>
              </w:rPr>
              <w:t>38</w:t>
            </w:r>
          </w:p>
        </w:tc>
        <w:tc>
          <w:tcPr>
            <w:tcW w:w="1136" w:type="dxa"/>
            <w:tcBorders>
              <w:top w:val="nil"/>
              <w:left w:val="nil"/>
              <w:bottom w:val="nil"/>
              <w:right w:val="nil"/>
            </w:tcBorders>
            <w:shd w:val="clear" w:color="auto" w:fill="auto"/>
            <w:noWrap/>
            <w:vAlign w:val="center"/>
            <w:hideMark/>
          </w:tcPr>
          <w:p w14:paraId="2D0635D2" w14:textId="77777777" w:rsidR="00152301" w:rsidRPr="003935D6" w:rsidRDefault="007454EB" w:rsidP="00E272D4">
            <w:pPr>
              <w:jc w:val="right"/>
              <w:rPr>
                <w:rFonts w:cs="Tahoma"/>
                <w:color w:val="000000"/>
                <w:sz w:val="20"/>
                <w:szCs w:val="20"/>
              </w:rPr>
            </w:pPr>
            <w:r>
              <w:rPr>
                <w:rFonts w:cs="Tahoma"/>
                <w:color w:val="000000"/>
                <w:sz w:val="20"/>
                <w:szCs w:val="20"/>
              </w:rPr>
              <w:t>18</w:t>
            </w:r>
          </w:p>
        </w:tc>
      </w:tr>
      <w:tr w:rsidR="00152301" w:rsidRPr="003935D6" w14:paraId="0D1EDFC5" w14:textId="77777777" w:rsidTr="00041864">
        <w:trPr>
          <w:trHeight w:val="255"/>
        </w:trPr>
        <w:tc>
          <w:tcPr>
            <w:tcW w:w="4856" w:type="dxa"/>
            <w:tcBorders>
              <w:top w:val="nil"/>
              <w:left w:val="nil"/>
              <w:bottom w:val="nil"/>
              <w:right w:val="nil"/>
            </w:tcBorders>
            <w:shd w:val="clear" w:color="auto" w:fill="auto"/>
            <w:noWrap/>
            <w:vAlign w:val="bottom"/>
            <w:hideMark/>
          </w:tcPr>
          <w:p w14:paraId="06B47D8C" w14:textId="77777777" w:rsidR="00152301" w:rsidRPr="003935D6" w:rsidRDefault="00152301" w:rsidP="00222B05">
            <w:pPr>
              <w:jc w:val="left"/>
              <w:rPr>
                <w:rFonts w:cs="Tahoma"/>
                <w:color w:val="000000"/>
                <w:sz w:val="20"/>
                <w:szCs w:val="20"/>
              </w:rPr>
            </w:pPr>
            <w:r w:rsidRPr="003935D6">
              <w:rPr>
                <w:rFonts w:cs="Tahoma"/>
                <w:color w:val="000000"/>
                <w:sz w:val="20"/>
                <w:szCs w:val="20"/>
              </w:rPr>
              <w:t>Other (incl. unknown or unascertained)</w:t>
            </w:r>
          </w:p>
        </w:tc>
        <w:tc>
          <w:tcPr>
            <w:tcW w:w="1136" w:type="dxa"/>
            <w:tcBorders>
              <w:top w:val="nil"/>
              <w:left w:val="nil"/>
              <w:bottom w:val="nil"/>
              <w:right w:val="nil"/>
            </w:tcBorders>
            <w:shd w:val="clear" w:color="auto" w:fill="auto"/>
            <w:noWrap/>
            <w:vAlign w:val="center"/>
            <w:hideMark/>
          </w:tcPr>
          <w:p w14:paraId="55410ABF" w14:textId="77777777" w:rsidR="00152301" w:rsidRPr="003935D6" w:rsidRDefault="00152301" w:rsidP="00E272D4">
            <w:pPr>
              <w:jc w:val="right"/>
              <w:rPr>
                <w:rFonts w:cs="Tahoma"/>
                <w:color w:val="000000"/>
                <w:sz w:val="20"/>
                <w:szCs w:val="20"/>
              </w:rPr>
            </w:pPr>
            <w:r w:rsidRPr="003935D6">
              <w:rPr>
                <w:rFonts w:cs="Tahoma"/>
                <w:color w:val="000000"/>
                <w:sz w:val="20"/>
                <w:szCs w:val="20"/>
              </w:rPr>
              <w:t>29</w:t>
            </w:r>
          </w:p>
        </w:tc>
        <w:tc>
          <w:tcPr>
            <w:tcW w:w="1136" w:type="dxa"/>
            <w:tcBorders>
              <w:top w:val="nil"/>
              <w:left w:val="nil"/>
              <w:bottom w:val="nil"/>
              <w:right w:val="nil"/>
            </w:tcBorders>
            <w:shd w:val="clear" w:color="auto" w:fill="auto"/>
            <w:noWrap/>
            <w:vAlign w:val="center"/>
            <w:hideMark/>
          </w:tcPr>
          <w:p w14:paraId="3B4625A4" w14:textId="77777777" w:rsidR="00152301" w:rsidRPr="003935D6" w:rsidRDefault="00152301" w:rsidP="00E272D4">
            <w:pPr>
              <w:jc w:val="right"/>
              <w:rPr>
                <w:rFonts w:cs="Tahoma"/>
                <w:color w:val="000000"/>
                <w:sz w:val="20"/>
                <w:szCs w:val="20"/>
              </w:rPr>
            </w:pPr>
            <w:r w:rsidRPr="003935D6">
              <w:rPr>
                <w:rFonts w:cs="Tahoma"/>
                <w:color w:val="000000"/>
                <w:sz w:val="20"/>
                <w:szCs w:val="20"/>
              </w:rPr>
              <w:t>1</w:t>
            </w:r>
            <w:r w:rsidR="007454EB">
              <w:rPr>
                <w:rFonts w:cs="Tahoma"/>
                <w:color w:val="000000"/>
                <w:sz w:val="20"/>
                <w:szCs w:val="20"/>
              </w:rPr>
              <w:t>4</w:t>
            </w:r>
          </w:p>
        </w:tc>
      </w:tr>
      <w:tr w:rsidR="00152301" w:rsidRPr="003935D6" w14:paraId="4436F591" w14:textId="77777777" w:rsidTr="00041864">
        <w:trPr>
          <w:trHeight w:val="255"/>
        </w:trPr>
        <w:tc>
          <w:tcPr>
            <w:tcW w:w="4856" w:type="dxa"/>
            <w:tcBorders>
              <w:top w:val="nil"/>
              <w:left w:val="nil"/>
              <w:bottom w:val="nil"/>
              <w:right w:val="nil"/>
            </w:tcBorders>
            <w:shd w:val="clear" w:color="auto" w:fill="auto"/>
            <w:noWrap/>
            <w:vAlign w:val="bottom"/>
            <w:hideMark/>
          </w:tcPr>
          <w:p w14:paraId="747B3E36" w14:textId="77777777" w:rsidR="00152301" w:rsidRPr="003935D6" w:rsidRDefault="00152301" w:rsidP="00222B05">
            <w:pPr>
              <w:jc w:val="left"/>
              <w:rPr>
                <w:rFonts w:cs="Tahoma"/>
                <w:color w:val="000000"/>
                <w:sz w:val="20"/>
                <w:szCs w:val="20"/>
              </w:rPr>
            </w:pPr>
            <w:r w:rsidRPr="003935D6">
              <w:rPr>
                <w:rFonts w:cs="Tahoma"/>
                <w:color w:val="000000"/>
                <w:sz w:val="20"/>
                <w:szCs w:val="20"/>
              </w:rPr>
              <w:t>Neglect by parent or carer</w:t>
            </w:r>
          </w:p>
        </w:tc>
        <w:tc>
          <w:tcPr>
            <w:tcW w:w="1136" w:type="dxa"/>
            <w:tcBorders>
              <w:top w:val="nil"/>
              <w:left w:val="nil"/>
              <w:bottom w:val="nil"/>
              <w:right w:val="nil"/>
            </w:tcBorders>
            <w:shd w:val="clear" w:color="auto" w:fill="auto"/>
            <w:noWrap/>
            <w:vAlign w:val="center"/>
            <w:hideMark/>
          </w:tcPr>
          <w:p w14:paraId="370E9FEB" w14:textId="77777777" w:rsidR="00152301" w:rsidRPr="003935D6" w:rsidRDefault="00152301" w:rsidP="00E272D4">
            <w:pPr>
              <w:jc w:val="right"/>
              <w:rPr>
                <w:rFonts w:cs="Tahoma"/>
                <w:color w:val="000000"/>
                <w:sz w:val="20"/>
                <w:szCs w:val="20"/>
              </w:rPr>
            </w:pPr>
            <w:r w:rsidRPr="003935D6">
              <w:rPr>
                <w:rFonts w:cs="Tahoma"/>
                <w:color w:val="000000"/>
                <w:sz w:val="20"/>
                <w:szCs w:val="20"/>
              </w:rPr>
              <w:t>26</w:t>
            </w:r>
          </w:p>
        </w:tc>
        <w:tc>
          <w:tcPr>
            <w:tcW w:w="1136" w:type="dxa"/>
            <w:tcBorders>
              <w:top w:val="nil"/>
              <w:left w:val="nil"/>
              <w:bottom w:val="nil"/>
              <w:right w:val="nil"/>
            </w:tcBorders>
            <w:shd w:val="clear" w:color="auto" w:fill="auto"/>
            <w:noWrap/>
            <w:vAlign w:val="center"/>
            <w:hideMark/>
          </w:tcPr>
          <w:p w14:paraId="4719CF6A" w14:textId="77777777" w:rsidR="00152301" w:rsidRPr="003935D6" w:rsidRDefault="00152301" w:rsidP="00E272D4">
            <w:pPr>
              <w:jc w:val="right"/>
              <w:rPr>
                <w:rFonts w:cs="Tahoma"/>
                <w:color w:val="000000"/>
                <w:sz w:val="20"/>
                <w:szCs w:val="20"/>
              </w:rPr>
            </w:pPr>
            <w:r w:rsidRPr="003935D6">
              <w:rPr>
                <w:rFonts w:cs="Tahoma"/>
                <w:color w:val="000000"/>
                <w:sz w:val="20"/>
                <w:szCs w:val="20"/>
              </w:rPr>
              <w:t>1</w:t>
            </w:r>
            <w:r w:rsidR="007454EB">
              <w:rPr>
                <w:rFonts w:cs="Tahoma"/>
                <w:color w:val="000000"/>
                <w:sz w:val="20"/>
                <w:szCs w:val="20"/>
              </w:rPr>
              <w:t>3</w:t>
            </w:r>
          </w:p>
        </w:tc>
      </w:tr>
      <w:tr w:rsidR="00152301" w:rsidRPr="003935D6" w14:paraId="014058FD" w14:textId="77777777" w:rsidTr="00041864">
        <w:trPr>
          <w:trHeight w:val="255"/>
        </w:trPr>
        <w:tc>
          <w:tcPr>
            <w:tcW w:w="4856" w:type="dxa"/>
            <w:tcBorders>
              <w:top w:val="nil"/>
              <w:left w:val="nil"/>
              <w:bottom w:val="nil"/>
              <w:right w:val="nil"/>
            </w:tcBorders>
            <w:shd w:val="clear" w:color="auto" w:fill="auto"/>
            <w:noWrap/>
            <w:vAlign w:val="bottom"/>
            <w:hideMark/>
          </w:tcPr>
          <w:p w14:paraId="0B779046" w14:textId="77777777" w:rsidR="00152301" w:rsidRPr="003935D6" w:rsidRDefault="00152301" w:rsidP="00222B05">
            <w:pPr>
              <w:jc w:val="left"/>
              <w:rPr>
                <w:rFonts w:cs="Tahoma"/>
                <w:color w:val="000000"/>
                <w:sz w:val="20"/>
                <w:szCs w:val="20"/>
              </w:rPr>
            </w:pPr>
            <w:r w:rsidRPr="003935D6">
              <w:rPr>
                <w:rFonts w:cs="Tahoma"/>
                <w:color w:val="000000"/>
                <w:sz w:val="20"/>
                <w:szCs w:val="20"/>
              </w:rPr>
              <w:t>Non-accidental injury by unrelated person</w:t>
            </w:r>
          </w:p>
        </w:tc>
        <w:tc>
          <w:tcPr>
            <w:tcW w:w="1136" w:type="dxa"/>
            <w:tcBorders>
              <w:top w:val="nil"/>
              <w:left w:val="nil"/>
              <w:bottom w:val="nil"/>
              <w:right w:val="nil"/>
            </w:tcBorders>
            <w:shd w:val="clear" w:color="auto" w:fill="auto"/>
            <w:noWrap/>
            <w:vAlign w:val="center"/>
            <w:hideMark/>
          </w:tcPr>
          <w:p w14:paraId="04E683AF" w14:textId="77777777" w:rsidR="00152301" w:rsidRPr="003935D6" w:rsidRDefault="00152301" w:rsidP="00E272D4">
            <w:pPr>
              <w:jc w:val="right"/>
              <w:rPr>
                <w:rFonts w:cs="Tahoma"/>
                <w:color w:val="000000"/>
                <w:sz w:val="20"/>
                <w:szCs w:val="20"/>
              </w:rPr>
            </w:pPr>
            <w:r w:rsidRPr="003935D6">
              <w:rPr>
                <w:rFonts w:cs="Tahoma"/>
                <w:color w:val="000000"/>
                <w:sz w:val="20"/>
                <w:szCs w:val="20"/>
              </w:rPr>
              <w:t>14</w:t>
            </w:r>
          </w:p>
        </w:tc>
        <w:tc>
          <w:tcPr>
            <w:tcW w:w="1136" w:type="dxa"/>
            <w:tcBorders>
              <w:top w:val="nil"/>
              <w:left w:val="nil"/>
              <w:bottom w:val="nil"/>
              <w:right w:val="nil"/>
            </w:tcBorders>
            <w:shd w:val="clear" w:color="auto" w:fill="auto"/>
            <w:noWrap/>
            <w:vAlign w:val="center"/>
            <w:hideMark/>
          </w:tcPr>
          <w:p w14:paraId="1A56712C" w14:textId="77777777" w:rsidR="00152301" w:rsidRPr="003935D6" w:rsidRDefault="007454EB" w:rsidP="00E272D4">
            <w:pPr>
              <w:jc w:val="right"/>
              <w:rPr>
                <w:rFonts w:cs="Tahoma"/>
                <w:color w:val="000000"/>
                <w:sz w:val="20"/>
                <w:szCs w:val="20"/>
              </w:rPr>
            </w:pPr>
            <w:r>
              <w:rPr>
                <w:rFonts w:cs="Tahoma"/>
                <w:color w:val="000000"/>
                <w:sz w:val="20"/>
                <w:szCs w:val="20"/>
              </w:rPr>
              <w:t>7</w:t>
            </w:r>
          </w:p>
        </w:tc>
      </w:tr>
      <w:tr w:rsidR="00152301" w:rsidRPr="003935D6" w14:paraId="135320C5" w14:textId="77777777" w:rsidTr="00041864">
        <w:trPr>
          <w:trHeight w:val="255"/>
        </w:trPr>
        <w:tc>
          <w:tcPr>
            <w:tcW w:w="4856" w:type="dxa"/>
            <w:tcBorders>
              <w:top w:val="nil"/>
              <w:left w:val="nil"/>
              <w:bottom w:val="nil"/>
              <w:right w:val="nil"/>
            </w:tcBorders>
            <w:shd w:val="clear" w:color="auto" w:fill="auto"/>
            <w:noWrap/>
            <w:vAlign w:val="bottom"/>
            <w:hideMark/>
          </w:tcPr>
          <w:p w14:paraId="1CA297A3" w14:textId="77777777" w:rsidR="00152301" w:rsidRPr="003935D6" w:rsidRDefault="00152301" w:rsidP="00222B05">
            <w:pPr>
              <w:jc w:val="left"/>
              <w:rPr>
                <w:rFonts w:cs="Tahoma"/>
                <w:color w:val="000000"/>
                <w:sz w:val="20"/>
                <w:szCs w:val="20"/>
              </w:rPr>
            </w:pPr>
            <w:r w:rsidRPr="003935D6">
              <w:rPr>
                <w:rFonts w:cs="Tahoma"/>
                <w:color w:val="000000"/>
                <w:sz w:val="20"/>
                <w:szCs w:val="20"/>
              </w:rPr>
              <w:t>Self-harm/Dangerous behaviour</w:t>
            </w:r>
          </w:p>
        </w:tc>
        <w:tc>
          <w:tcPr>
            <w:tcW w:w="1136" w:type="dxa"/>
            <w:tcBorders>
              <w:top w:val="nil"/>
              <w:left w:val="nil"/>
              <w:bottom w:val="nil"/>
              <w:right w:val="nil"/>
            </w:tcBorders>
            <w:shd w:val="clear" w:color="auto" w:fill="auto"/>
            <w:noWrap/>
            <w:vAlign w:val="center"/>
            <w:hideMark/>
          </w:tcPr>
          <w:p w14:paraId="24A004C3" w14:textId="77777777" w:rsidR="00152301" w:rsidRPr="003935D6" w:rsidRDefault="00152301" w:rsidP="00E272D4">
            <w:pPr>
              <w:jc w:val="right"/>
              <w:rPr>
                <w:rFonts w:cs="Tahoma"/>
                <w:color w:val="000000"/>
                <w:sz w:val="20"/>
                <w:szCs w:val="20"/>
              </w:rPr>
            </w:pPr>
            <w:r w:rsidRPr="003935D6">
              <w:rPr>
                <w:rFonts w:cs="Tahoma"/>
                <w:color w:val="000000"/>
                <w:sz w:val="20"/>
                <w:szCs w:val="20"/>
              </w:rPr>
              <w:t>12</w:t>
            </w:r>
          </w:p>
        </w:tc>
        <w:tc>
          <w:tcPr>
            <w:tcW w:w="1136" w:type="dxa"/>
            <w:tcBorders>
              <w:top w:val="nil"/>
              <w:left w:val="nil"/>
              <w:bottom w:val="nil"/>
              <w:right w:val="nil"/>
            </w:tcBorders>
            <w:shd w:val="clear" w:color="auto" w:fill="auto"/>
            <w:noWrap/>
            <w:vAlign w:val="center"/>
            <w:hideMark/>
          </w:tcPr>
          <w:p w14:paraId="29E362D4" w14:textId="77777777" w:rsidR="00152301" w:rsidRPr="003935D6" w:rsidRDefault="007454EB" w:rsidP="00E272D4">
            <w:pPr>
              <w:jc w:val="right"/>
              <w:rPr>
                <w:rFonts w:cs="Tahoma"/>
                <w:color w:val="000000"/>
                <w:sz w:val="20"/>
                <w:szCs w:val="20"/>
              </w:rPr>
            </w:pPr>
            <w:r>
              <w:rPr>
                <w:rFonts w:cs="Tahoma"/>
                <w:color w:val="000000"/>
                <w:sz w:val="20"/>
                <w:szCs w:val="20"/>
              </w:rPr>
              <w:t>6</w:t>
            </w:r>
          </w:p>
        </w:tc>
      </w:tr>
      <w:tr w:rsidR="00152301" w:rsidRPr="003935D6" w14:paraId="2108CD4C" w14:textId="77777777" w:rsidTr="00041864">
        <w:trPr>
          <w:trHeight w:val="255"/>
        </w:trPr>
        <w:tc>
          <w:tcPr>
            <w:tcW w:w="4856" w:type="dxa"/>
            <w:tcBorders>
              <w:top w:val="nil"/>
              <w:left w:val="nil"/>
              <w:bottom w:val="nil"/>
              <w:right w:val="nil"/>
            </w:tcBorders>
            <w:shd w:val="clear" w:color="auto" w:fill="auto"/>
            <w:noWrap/>
            <w:vAlign w:val="bottom"/>
            <w:hideMark/>
          </w:tcPr>
          <w:p w14:paraId="771CD4CE" w14:textId="77777777" w:rsidR="00152301" w:rsidRPr="003935D6" w:rsidRDefault="00152301" w:rsidP="00222B05">
            <w:pPr>
              <w:jc w:val="left"/>
              <w:rPr>
                <w:rFonts w:cs="Tahoma"/>
                <w:color w:val="000000"/>
                <w:sz w:val="20"/>
                <w:szCs w:val="20"/>
              </w:rPr>
            </w:pPr>
            <w:r w:rsidRPr="003935D6">
              <w:rPr>
                <w:rFonts w:cs="Tahoma"/>
                <w:color w:val="000000"/>
                <w:sz w:val="20"/>
                <w:szCs w:val="20"/>
              </w:rPr>
              <w:t>Sexual abuse by family member</w:t>
            </w:r>
          </w:p>
        </w:tc>
        <w:tc>
          <w:tcPr>
            <w:tcW w:w="1136" w:type="dxa"/>
            <w:tcBorders>
              <w:top w:val="nil"/>
              <w:left w:val="nil"/>
              <w:bottom w:val="nil"/>
              <w:right w:val="nil"/>
            </w:tcBorders>
            <w:shd w:val="clear" w:color="auto" w:fill="auto"/>
            <w:noWrap/>
            <w:vAlign w:val="center"/>
            <w:hideMark/>
          </w:tcPr>
          <w:p w14:paraId="281CE3FA" w14:textId="77777777" w:rsidR="00152301" w:rsidRPr="003935D6" w:rsidRDefault="00152301" w:rsidP="00E272D4">
            <w:pPr>
              <w:jc w:val="right"/>
              <w:rPr>
                <w:rFonts w:cs="Tahoma"/>
                <w:color w:val="000000"/>
                <w:sz w:val="20"/>
                <w:szCs w:val="20"/>
              </w:rPr>
            </w:pPr>
            <w:r w:rsidRPr="003935D6">
              <w:rPr>
                <w:rFonts w:cs="Tahoma"/>
                <w:color w:val="000000"/>
                <w:sz w:val="20"/>
                <w:szCs w:val="20"/>
              </w:rPr>
              <w:t>10</w:t>
            </w:r>
          </w:p>
        </w:tc>
        <w:tc>
          <w:tcPr>
            <w:tcW w:w="1136" w:type="dxa"/>
            <w:tcBorders>
              <w:top w:val="nil"/>
              <w:left w:val="nil"/>
              <w:bottom w:val="nil"/>
              <w:right w:val="nil"/>
            </w:tcBorders>
            <w:shd w:val="clear" w:color="auto" w:fill="auto"/>
            <w:noWrap/>
            <w:vAlign w:val="center"/>
            <w:hideMark/>
          </w:tcPr>
          <w:p w14:paraId="7762B6B9" w14:textId="77777777" w:rsidR="00152301" w:rsidRPr="003935D6" w:rsidRDefault="007454EB" w:rsidP="00E272D4">
            <w:pPr>
              <w:jc w:val="right"/>
              <w:rPr>
                <w:rFonts w:cs="Tahoma"/>
                <w:color w:val="000000"/>
                <w:sz w:val="20"/>
                <w:szCs w:val="20"/>
              </w:rPr>
            </w:pPr>
            <w:r>
              <w:rPr>
                <w:rFonts w:cs="Tahoma"/>
                <w:color w:val="000000"/>
                <w:sz w:val="20"/>
                <w:szCs w:val="20"/>
              </w:rPr>
              <w:t>5</w:t>
            </w:r>
          </w:p>
        </w:tc>
      </w:tr>
      <w:tr w:rsidR="00152301" w:rsidRPr="003935D6" w14:paraId="2205D79C" w14:textId="77777777" w:rsidTr="00041864">
        <w:trPr>
          <w:trHeight w:val="255"/>
        </w:trPr>
        <w:tc>
          <w:tcPr>
            <w:tcW w:w="4856" w:type="dxa"/>
            <w:tcBorders>
              <w:top w:val="nil"/>
              <w:left w:val="nil"/>
              <w:bottom w:val="nil"/>
              <w:right w:val="nil"/>
            </w:tcBorders>
            <w:shd w:val="clear" w:color="auto" w:fill="auto"/>
            <w:noWrap/>
            <w:vAlign w:val="bottom"/>
            <w:hideMark/>
          </w:tcPr>
          <w:p w14:paraId="69B89A46" w14:textId="77777777" w:rsidR="00152301" w:rsidRPr="003935D6" w:rsidRDefault="00152301" w:rsidP="00222B05">
            <w:pPr>
              <w:jc w:val="left"/>
              <w:rPr>
                <w:rFonts w:cs="Tahoma"/>
                <w:color w:val="000000"/>
                <w:sz w:val="20"/>
                <w:szCs w:val="20"/>
              </w:rPr>
            </w:pPr>
            <w:r w:rsidRPr="003935D6">
              <w:rPr>
                <w:rFonts w:cs="Tahoma"/>
                <w:color w:val="000000"/>
                <w:sz w:val="20"/>
                <w:szCs w:val="20"/>
              </w:rPr>
              <w:t>Accidents</w:t>
            </w:r>
          </w:p>
        </w:tc>
        <w:tc>
          <w:tcPr>
            <w:tcW w:w="1136" w:type="dxa"/>
            <w:tcBorders>
              <w:top w:val="nil"/>
              <w:left w:val="nil"/>
              <w:bottom w:val="nil"/>
              <w:right w:val="nil"/>
            </w:tcBorders>
            <w:shd w:val="clear" w:color="auto" w:fill="auto"/>
            <w:noWrap/>
            <w:vAlign w:val="center"/>
            <w:hideMark/>
          </w:tcPr>
          <w:p w14:paraId="6A035C13" w14:textId="77777777" w:rsidR="00152301" w:rsidRPr="003935D6" w:rsidRDefault="00152301" w:rsidP="00E272D4">
            <w:pPr>
              <w:jc w:val="right"/>
              <w:rPr>
                <w:rFonts w:cs="Tahoma"/>
                <w:color w:val="000000"/>
                <w:sz w:val="20"/>
                <w:szCs w:val="20"/>
              </w:rPr>
            </w:pPr>
            <w:r w:rsidRPr="003935D6">
              <w:rPr>
                <w:rFonts w:cs="Tahoma"/>
                <w:color w:val="000000"/>
                <w:sz w:val="20"/>
                <w:szCs w:val="20"/>
              </w:rPr>
              <w:t>4</w:t>
            </w:r>
          </w:p>
        </w:tc>
        <w:tc>
          <w:tcPr>
            <w:tcW w:w="1136" w:type="dxa"/>
            <w:tcBorders>
              <w:top w:val="nil"/>
              <w:left w:val="nil"/>
              <w:bottom w:val="nil"/>
              <w:right w:val="nil"/>
            </w:tcBorders>
            <w:shd w:val="clear" w:color="auto" w:fill="auto"/>
            <w:noWrap/>
            <w:vAlign w:val="center"/>
            <w:hideMark/>
          </w:tcPr>
          <w:p w14:paraId="1DF02D48" w14:textId="77777777" w:rsidR="00152301" w:rsidRPr="003935D6" w:rsidRDefault="007454EB" w:rsidP="00E272D4">
            <w:pPr>
              <w:jc w:val="right"/>
              <w:rPr>
                <w:rFonts w:cs="Tahoma"/>
                <w:color w:val="000000"/>
                <w:sz w:val="20"/>
                <w:szCs w:val="20"/>
              </w:rPr>
            </w:pPr>
            <w:r>
              <w:rPr>
                <w:rFonts w:cs="Tahoma"/>
                <w:color w:val="000000"/>
                <w:sz w:val="20"/>
                <w:szCs w:val="20"/>
              </w:rPr>
              <w:t>2</w:t>
            </w:r>
          </w:p>
        </w:tc>
      </w:tr>
      <w:tr w:rsidR="00152301" w:rsidRPr="003935D6" w14:paraId="6BDEA6C0" w14:textId="77777777" w:rsidTr="00041864">
        <w:trPr>
          <w:trHeight w:val="255"/>
        </w:trPr>
        <w:tc>
          <w:tcPr>
            <w:tcW w:w="4856" w:type="dxa"/>
            <w:tcBorders>
              <w:top w:val="single" w:sz="4" w:space="0" w:color="auto"/>
              <w:left w:val="nil"/>
              <w:bottom w:val="single" w:sz="4" w:space="0" w:color="auto"/>
              <w:right w:val="nil"/>
            </w:tcBorders>
            <w:shd w:val="clear" w:color="auto" w:fill="auto"/>
            <w:noWrap/>
            <w:vAlign w:val="bottom"/>
            <w:hideMark/>
          </w:tcPr>
          <w:p w14:paraId="552D34D7" w14:textId="77777777" w:rsidR="00152301" w:rsidRPr="003935D6" w:rsidRDefault="00152301" w:rsidP="00222B05">
            <w:pPr>
              <w:jc w:val="left"/>
              <w:rPr>
                <w:rFonts w:cs="Tahoma"/>
                <w:color w:val="000000"/>
                <w:sz w:val="20"/>
                <w:szCs w:val="20"/>
              </w:rPr>
            </w:pPr>
            <w:r w:rsidRPr="003935D6">
              <w:rPr>
                <w:rFonts w:cs="Tahoma"/>
                <w:color w:val="000000"/>
                <w:sz w:val="20"/>
                <w:szCs w:val="20"/>
              </w:rPr>
              <w:t xml:space="preserve">Total </w:t>
            </w:r>
          </w:p>
        </w:tc>
        <w:tc>
          <w:tcPr>
            <w:tcW w:w="1136" w:type="dxa"/>
            <w:tcBorders>
              <w:top w:val="single" w:sz="4" w:space="0" w:color="auto"/>
              <w:left w:val="nil"/>
              <w:bottom w:val="single" w:sz="4" w:space="0" w:color="auto"/>
              <w:right w:val="nil"/>
            </w:tcBorders>
            <w:shd w:val="clear" w:color="auto" w:fill="auto"/>
            <w:noWrap/>
            <w:vAlign w:val="center"/>
            <w:hideMark/>
          </w:tcPr>
          <w:p w14:paraId="42510CA6" w14:textId="77777777" w:rsidR="00152301" w:rsidRPr="003935D6" w:rsidRDefault="00152301" w:rsidP="00E272D4">
            <w:pPr>
              <w:jc w:val="right"/>
              <w:rPr>
                <w:rFonts w:cs="Tahoma"/>
                <w:color w:val="000000"/>
                <w:sz w:val="20"/>
                <w:szCs w:val="20"/>
              </w:rPr>
            </w:pPr>
            <w:r w:rsidRPr="003935D6">
              <w:rPr>
                <w:rFonts w:cs="Tahoma"/>
                <w:color w:val="000000"/>
                <w:sz w:val="20"/>
                <w:szCs w:val="20"/>
              </w:rPr>
              <w:t>208</w:t>
            </w:r>
          </w:p>
        </w:tc>
        <w:tc>
          <w:tcPr>
            <w:tcW w:w="1136" w:type="dxa"/>
            <w:tcBorders>
              <w:top w:val="single" w:sz="4" w:space="0" w:color="auto"/>
              <w:left w:val="nil"/>
              <w:bottom w:val="single" w:sz="4" w:space="0" w:color="auto"/>
              <w:right w:val="nil"/>
            </w:tcBorders>
            <w:shd w:val="clear" w:color="auto" w:fill="auto"/>
            <w:noWrap/>
            <w:vAlign w:val="center"/>
            <w:hideMark/>
          </w:tcPr>
          <w:p w14:paraId="3A5F0F67" w14:textId="77777777" w:rsidR="00152301" w:rsidRPr="003935D6" w:rsidRDefault="007454EB" w:rsidP="00E272D4">
            <w:pPr>
              <w:jc w:val="right"/>
              <w:rPr>
                <w:rFonts w:cs="Tahoma"/>
                <w:color w:val="000000"/>
                <w:sz w:val="20"/>
                <w:szCs w:val="20"/>
              </w:rPr>
            </w:pPr>
            <w:r>
              <w:rPr>
                <w:rFonts w:cs="Tahoma"/>
                <w:color w:val="000000"/>
                <w:sz w:val="20"/>
                <w:szCs w:val="20"/>
              </w:rPr>
              <w:t>100</w:t>
            </w:r>
          </w:p>
        </w:tc>
      </w:tr>
    </w:tbl>
    <w:p w14:paraId="57B006C4" w14:textId="77777777" w:rsidR="00152301" w:rsidRDefault="00152301" w:rsidP="005808F7">
      <w:pPr>
        <w:jc w:val="left"/>
        <w:rPr>
          <w:rFonts w:cs="Tahoma"/>
        </w:rPr>
      </w:pPr>
    </w:p>
    <w:p w14:paraId="17006027" w14:textId="77777777" w:rsidR="001F5E2F" w:rsidRDefault="001F5E2F" w:rsidP="001F5E2F">
      <w:pPr>
        <w:spacing w:after="240"/>
        <w:jc w:val="left"/>
        <w:rPr>
          <w:rFonts w:cs="Tahoma"/>
        </w:rPr>
      </w:pPr>
      <w:r>
        <w:rPr>
          <w:rFonts w:cs="Tahoma"/>
        </w:rPr>
        <w:t xml:space="preserve">The most frequent overall cause of serious harm was non-accidental injury by a parent or carer. This affected 75 (36%) children. The majority of incidents of this type affected children aged under 5 (68), of whom 48 were boys and 20 were girls. </w:t>
      </w:r>
    </w:p>
    <w:p w14:paraId="04756E92" w14:textId="77777777" w:rsidR="001F5E2F" w:rsidRDefault="001F5E2F" w:rsidP="001F5E2F">
      <w:pPr>
        <w:jc w:val="left"/>
        <w:rPr>
          <w:rFonts w:cs="Tahoma"/>
        </w:rPr>
      </w:pPr>
      <w:r>
        <w:rPr>
          <w:rFonts w:cs="Tahoma"/>
        </w:rPr>
        <w:t>The next highest category was incidents of sexual abuse or child sexual exploitation by an unrelated person (38 children). The majority of these incidents (33 or 87%) affected children aged 11 years or older, of whom 28 were girls and five were boys. Of these 38 young people, 17 (45%) were looked after by the local authority at the time of the incident and one young person was subject to a child protection plan at the time of the incident. No young person was subject to both.</w:t>
      </w:r>
    </w:p>
    <w:p w14:paraId="281F8592" w14:textId="77777777" w:rsidR="001F5E2F" w:rsidRDefault="001F5E2F" w:rsidP="001F5E2F">
      <w:pPr>
        <w:jc w:val="left"/>
        <w:rPr>
          <w:rFonts w:cs="Tahoma"/>
        </w:rPr>
      </w:pPr>
    </w:p>
    <w:p w14:paraId="5C540429" w14:textId="77777777" w:rsidR="00BD7125" w:rsidRDefault="00BD7125" w:rsidP="005808F7">
      <w:pPr>
        <w:spacing w:after="240"/>
        <w:jc w:val="left"/>
        <w:rPr>
          <w:rFonts w:cs="Tahoma"/>
        </w:rPr>
      </w:pPr>
      <w:r>
        <w:rPr>
          <w:rFonts w:cs="Tahoma"/>
        </w:rPr>
        <w:t>Of all children who suffered some form of serious harm, 28 (13%) were the subject of a child protection plan at the time of the serious incident</w:t>
      </w:r>
      <w:r w:rsidR="00B71AF4">
        <w:rPr>
          <w:rFonts w:cs="Tahoma"/>
        </w:rPr>
        <w:t xml:space="preserve"> and</w:t>
      </w:r>
      <w:r>
        <w:rPr>
          <w:rFonts w:cs="Tahoma"/>
        </w:rPr>
        <w:t xml:space="preserve"> 47 (23%) w</w:t>
      </w:r>
      <w:r w:rsidR="00455C28">
        <w:rPr>
          <w:rFonts w:cs="Tahoma"/>
        </w:rPr>
        <w:t xml:space="preserve">ere </w:t>
      </w:r>
      <w:r>
        <w:rPr>
          <w:rFonts w:cs="Tahoma"/>
        </w:rPr>
        <w:t xml:space="preserve">looked after by </w:t>
      </w:r>
      <w:r w:rsidR="00455C28">
        <w:rPr>
          <w:rFonts w:cs="Tahoma"/>
        </w:rPr>
        <w:t xml:space="preserve">a </w:t>
      </w:r>
      <w:r>
        <w:rPr>
          <w:rFonts w:cs="Tahoma"/>
        </w:rPr>
        <w:t>local authority at the time of the serious incident</w:t>
      </w:r>
      <w:r w:rsidR="00455C28">
        <w:rPr>
          <w:rFonts w:cs="Tahoma"/>
        </w:rPr>
        <w:t>.</w:t>
      </w:r>
      <w:r w:rsidR="008742A8">
        <w:rPr>
          <w:rFonts w:cs="Tahoma"/>
        </w:rPr>
        <w:t xml:space="preserve"> </w:t>
      </w:r>
      <w:r w:rsidR="00455C28">
        <w:rPr>
          <w:rFonts w:cs="Tahoma"/>
        </w:rPr>
        <w:t>T</w:t>
      </w:r>
      <w:r>
        <w:rPr>
          <w:rFonts w:cs="Tahoma"/>
        </w:rPr>
        <w:t xml:space="preserve">hree children </w:t>
      </w:r>
      <w:r w:rsidR="00B71AF4">
        <w:rPr>
          <w:rFonts w:cs="Tahoma"/>
        </w:rPr>
        <w:t xml:space="preserve">who suffered non-accidental injury by a parent or carer </w:t>
      </w:r>
      <w:r>
        <w:rPr>
          <w:rFonts w:cs="Tahoma"/>
        </w:rPr>
        <w:t xml:space="preserve">were </w:t>
      </w:r>
      <w:r w:rsidR="00455C28">
        <w:rPr>
          <w:rFonts w:cs="Tahoma"/>
        </w:rPr>
        <w:t xml:space="preserve">both </w:t>
      </w:r>
      <w:r>
        <w:rPr>
          <w:rFonts w:cs="Tahoma"/>
        </w:rPr>
        <w:t>subject to a child protection plan and looked after at the time of the incident.</w:t>
      </w:r>
    </w:p>
    <w:p w14:paraId="1E3075BC" w14:textId="77777777" w:rsidR="000A5747" w:rsidRDefault="00041864" w:rsidP="005808F7">
      <w:pPr>
        <w:spacing w:after="240"/>
        <w:jc w:val="left"/>
        <w:rPr>
          <w:rFonts w:cs="Tahoma"/>
        </w:rPr>
      </w:pPr>
      <w:r>
        <w:rPr>
          <w:rFonts w:cs="Tahoma"/>
        </w:rPr>
        <w:t>Of the incidents notified in 2015-16</w:t>
      </w:r>
      <w:r w:rsidR="00200909">
        <w:rPr>
          <w:rFonts w:cs="Tahoma"/>
        </w:rPr>
        <w:t xml:space="preserve"> concerning serious harm</w:t>
      </w:r>
      <w:r w:rsidR="00455C28">
        <w:rPr>
          <w:rFonts w:cs="Tahoma"/>
        </w:rPr>
        <w:t xml:space="preserve">, </w:t>
      </w:r>
      <w:r w:rsidR="00077A1A">
        <w:rPr>
          <w:rFonts w:cs="Tahoma"/>
        </w:rPr>
        <w:t>110 (53%)</w:t>
      </w:r>
      <w:r w:rsidR="00455C28">
        <w:rPr>
          <w:rFonts w:cs="Tahoma"/>
        </w:rPr>
        <w:t xml:space="preserve"> </w:t>
      </w:r>
      <w:r w:rsidR="00162985">
        <w:rPr>
          <w:rFonts w:cs="Tahoma"/>
        </w:rPr>
        <w:t xml:space="preserve">were boys </w:t>
      </w:r>
      <w:r w:rsidR="00455C28">
        <w:rPr>
          <w:rFonts w:cs="Tahoma"/>
        </w:rPr>
        <w:t xml:space="preserve">and </w:t>
      </w:r>
      <w:r w:rsidR="00077A1A">
        <w:rPr>
          <w:rFonts w:cs="Tahoma"/>
        </w:rPr>
        <w:t xml:space="preserve">98 (47%) </w:t>
      </w:r>
      <w:r w:rsidR="00162985">
        <w:rPr>
          <w:rFonts w:cs="Tahoma"/>
        </w:rPr>
        <w:t>girls</w:t>
      </w:r>
      <w:r w:rsidR="00455C28">
        <w:rPr>
          <w:rFonts w:cs="Tahoma"/>
        </w:rPr>
        <w:t>.</w:t>
      </w:r>
      <w:r w:rsidR="008742A8">
        <w:rPr>
          <w:rFonts w:cs="Tahoma"/>
        </w:rPr>
        <w:t xml:space="preserve"> </w:t>
      </w:r>
      <w:r w:rsidR="00455C28">
        <w:rPr>
          <w:rFonts w:cs="Tahoma"/>
        </w:rPr>
        <w:t xml:space="preserve">In contrast, </w:t>
      </w:r>
      <w:r w:rsidR="002E2FFA">
        <w:rPr>
          <w:rFonts w:cs="Tahoma"/>
        </w:rPr>
        <w:t>there were 114 (59%) girls in 2014-15 and 80 (41%) boys.</w:t>
      </w:r>
      <w:r w:rsidR="008742A8">
        <w:rPr>
          <w:rFonts w:cs="Tahoma"/>
        </w:rPr>
        <w:t xml:space="preserve"> </w:t>
      </w:r>
    </w:p>
    <w:p w14:paraId="442162CC" w14:textId="77777777" w:rsidR="00263145" w:rsidRDefault="00263145" w:rsidP="005808F7">
      <w:pPr>
        <w:spacing w:after="240"/>
        <w:jc w:val="left"/>
        <w:rPr>
          <w:rFonts w:cs="Tahoma"/>
        </w:rPr>
      </w:pPr>
      <w:r>
        <w:rPr>
          <w:rFonts w:cs="Tahoma"/>
        </w:rPr>
        <w:t>The age group with the highest number</w:t>
      </w:r>
      <w:r w:rsidR="00200909">
        <w:rPr>
          <w:rFonts w:cs="Tahoma"/>
        </w:rPr>
        <w:t xml:space="preserve"> of</w:t>
      </w:r>
      <w:r>
        <w:rPr>
          <w:rFonts w:cs="Tahoma"/>
        </w:rPr>
        <w:t xml:space="preserve"> </w:t>
      </w:r>
      <w:r w:rsidR="00455C28">
        <w:rPr>
          <w:rFonts w:cs="Tahoma"/>
        </w:rPr>
        <w:t>serious harm incidents w</w:t>
      </w:r>
      <w:r w:rsidR="00200909">
        <w:rPr>
          <w:rFonts w:cs="Tahoma"/>
        </w:rPr>
        <w:t>as children</w:t>
      </w:r>
      <w:r>
        <w:rPr>
          <w:rFonts w:cs="Tahoma"/>
        </w:rPr>
        <w:t xml:space="preserve"> aged </w:t>
      </w:r>
      <w:r w:rsidR="00455C28">
        <w:rPr>
          <w:rFonts w:cs="Tahoma"/>
        </w:rPr>
        <w:t xml:space="preserve">under </w:t>
      </w:r>
      <w:r w:rsidR="00200909">
        <w:rPr>
          <w:rFonts w:cs="Tahoma"/>
        </w:rPr>
        <w:t>one year</w:t>
      </w:r>
      <w:r w:rsidR="00455C28">
        <w:rPr>
          <w:rFonts w:cs="Tahoma"/>
        </w:rPr>
        <w:t xml:space="preserve"> (59 or 28%).</w:t>
      </w:r>
      <w:r w:rsidR="008742A8">
        <w:rPr>
          <w:rFonts w:cs="Tahoma"/>
        </w:rPr>
        <w:t xml:space="preserve"> </w:t>
      </w:r>
      <w:r w:rsidR="00455C28">
        <w:rPr>
          <w:rFonts w:cs="Tahoma"/>
        </w:rPr>
        <w:t xml:space="preserve">The vast majority of these children </w:t>
      </w:r>
      <w:r>
        <w:rPr>
          <w:rFonts w:cs="Tahoma"/>
        </w:rPr>
        <w:t>sustained non-</w:t>
      </w:r>
      <w:r>
        <w:rPr>
          <w:rFonts w:cs="Tahoma"/>
        </w:rPr>
        <w:lastRenderedPageBreak/>
        <w:t>accidental injuries by a parent or carer</w:t>
      </w:r>
      <w:r w:rsidR="00455C28">
        <w:rPr>
          <w:rFonts w:cs="Tahoma"/>
        </w:rPr>
        <w:t xml:space="preserve"> (51 or 86%)</w:t>
      </w:r>
      <w:r>
        <w:rPr>
          <w:rFonts w:cs="Tahoma"/>
        </w:rPr>
        <w:t>. This is v</w:t>
      </w:r>
      <w:r w:rsidR="00E16611">
        <w:rPr>
          <w:rFonts w:cs="Tahoma"/>
        </w:rPr>
        <w:t xml:space="preserve">ery </w:t>
      </w:r>
      <w:r>
        <w:rPr>
          <w:rFonts w:cs="Tahoma"/>
        </w:rPr>
        <w:t xml:space="preserve">different </w:t>
      </w:r>
      <w:r w:rsidR="00E16611">
        <w:rPr>
          <w:rFonts w:cs="Tahoma"/>
        </w:rPr>
        <w:t xml:space="preserve">from the picture in </w:t>
      </w:r>
      <w:r>
        <w:rPr>
          <w:rFonts w:cs="Tahoma"/>
        </w:rPr>
        <w:t>2014-15</w:t>
      </w:r>
      <w:r w:rsidR="00E16611">
        <w:rPr>
          <w:rFonts w:cs="Tahoma"/>
        </w:rPr>
        <w:t>,</w:t>
      </w:r>
      <w:r>
        <w:rPr>
          <w:rFonts w:cs="Tahoma"/>
        </w:rPr>
        <w:t xml:space="preserve"> where the largest single age group was 11 to 15 year olds </w:t>
      </w:r>
      <w:r w:rsidR="00E16611">
        <w:rPr>
          <w:rFonts w:cs="Tahoma"/>
        </w:rPr>
        <w:t>(</w:t>
      </w:r>
      <w:r>
        <w:rPr>
          <w:rFonts w:cs="Tahoma"/>
        </w:rPr>
        <w:t xml:space="preserve">71 </w:t>
      </w:r>
      <w:r w:rsidR="00E16611">
        <w:rPr>
          <w:rFonts w:cs="Tahoma"/>
        </w:rPr>
        <w:t xml:space="preserve">or </w:t>
      </w:r>
      <w:r>
        <w:rPr>
          <w:rFonts w:cs="Tahoma"/>
        </w:rPr>
        <w:t>36%) of wh</w:t>
      </w:r>
      <w:r w:rsidR="00200909">
        <w:rPr>
          <w:rFonts w:cs="Tahoma"/>
        </w:rPr>
        <w:t>om</w:t>
      </w:r>
      <w:r>
        <w:rPr>
          <w:rFonts w:cs="Tahoma"/>
        </w:rPr>
        <w:t xml:space="preserve"> 46 (65%) su</w:t>
      </w:r>
      <w:r w:rsidR="00200909">
        <w:rPr>
          <w:rFonts w:cs="Tahoma"/>
        </w:rPr>
        <w:t>ffered</w:t>
      </w:r>
      <w:r>
        <w:rPr>
          <w:rFonts w:cs="Tahoma"/>
        </w:rPr>
        <w:t xml:space="preserve"> sexual abuse</w:t>
      </w:r>
      <w:r w:rsidR="00200909">
        <w:rPr>
          <w:rFonts w:cs="Tahoma"/>
        </w:rPr>
        <w:t xml:space="preserve"> or child sexual exploitation</w:t>
      </w:r>
      <w:r w:rsidR="001F5E2F">
        <w:rPr>
          <w:rFonts w:cs="Tahoma"/>
        </w:rPr>
        <w:t xml:space="preserve"> by an unrelated person</w:t>
      </w:r>
      <w:r>
        <w:rPr>
          <w:rFonts w:cs="Tahoma"/>
        </w:rPr>
        <w:t>.</w:t>
      </w:r>
    </w:p>
    <w:p w14:paraId="4FD7FA1C" w14:textId="77777777" w:rsidR="00EA5DFF" w:rsidRDefault="00EA5DFF" w:rsidP="00EA5DFF">
      <w:pPr>
        <w:jc w:val="left"/>
        <w:rPr>
          <w:rFonts w:cs="Tahoma"/>
        </w:rPr>
      </w:pPr>
    </w:p>
    <w:p w14:paraId="2BA2E162" w14:textId="77777777" w:rsidR="00500CF4" w:rsidRPr="007D0D8A" w:rsidRDefault="00500CF4" w:rsidP="00EA5DFF">
      <w:pPr>
        <w:spacing w:after="240"/>
        <w:jc w:val="left"/>
        <w:rPr>
          <w:rFonts w:cs="Tahoma"/>
          <w:b/>
        </w:rPr>
      </w:pPr>
      <w:r w:rsidRPr="007D0D8A">
        <w:rPr>
          <w:rFonts w:cs="Tahoma"/>
          <w:b/>
        </w:rPr>
        <w:t>Serious case reviews</w:t>
      </w:r>
    </w:p>
    <w:p w14:paraId="22AD44F2" w14:textId="77777777" w:rsidR="00500CF4" w:rsidRPr="00A2354C" w:rsidRDefault="00500CF4" w:rsidP="00222B05">
      <w:pPr>
        <w:spacing w:after="240"/>
        <w:jc w:val="left"/>
        <w:rPr>
          <w:rFonts w:cs="Tahoma"/>
        </w:rPr>
      </w:pPr>
      <w:r w:rsidRPr="00A2354C">
        <w:rPr>
          <w:rFonts w:cs="Tahoma"/>
        </w:rPr>
        <w:t xml:space="preserve">The Local Safeguarding Children Board (LSCB) in a local authority area has the responsibility for deciding whether </w:t>
      </w:r>
      <w:r>
        <w:rPr>
          <w:rFonts w:cs="Tahoma"/>
        </w:rPr>
        <w:t xml:space="preserve">or not to initiate </w:t>
      </w:r>
      <w:r w:rsidRPr="00A2354C">
        <w:rPr>
          <w:rFonts w:cs="Tahoma"/>
        </w:rPr>
        <w:t xml:space="preserve">a serious case </w:t>
      </w:r>
      <w:r w:rsidR="00960FDF" w:rsidRPr="00A2354C">
        <w:rPr>
          <w:rFonts w:cs="Tahoma"/>
        </w:rPr>
        <w:t>review</w:t>
      </w:r>
      <w:r w:rsidR="00960FDF">
        <w:rPr>
          <w:rFonts w:cs="Tahoma"/>
        </w:rPr>
        <w:t xml:space="preserve"> in</w:t>
      </w:r>
      <w:r>
        <w:rPr>
          <w:rFonts w:cs="Tahoma"/>
        </w:rPr>
        <w:t xml:space="preserve"> response to an incident</w:t>
      </w:r>
      <w:r w:rsidRPr="00A2354C">
        <w:rPr>
          <w:rFonts w:cs="Tahoma"/>
        </w:rPr>
        <w:t xml:space="preserve">. </w:t>
      </w:r>
    </w:p>
    <w:p w14:paraId="6C3AB14F" w14:textId="77777777" w:rsidR="00500CF4" w:rsidRDefault="00500CF4" w:rsidP="00222B05">
      <w:pPr>
        <w:jc w:val="left"/>
        <w:rPr>
          <w:rFonts w:cs="Tahoma"/>
        </w:rPr>
      </w:pPr>
      <w:r w:rsidRPr="00A2354C">
        <w:rPr>
          <w:rFonts w:cs="Tahoma"/>
        </w:rPr>
        <w:t xml:space="preserve">For </w:t>
      </w:r>
      <w:r>
        <w:rPr>
          <w:rFonts w:cs="Tahoma"/>
        </w:rPr>
        <w:t>134</w:t>
      </w:r>
      <w:r w:rsidRPr="00A2354C">
        <w:rPr>
          <w:rFonts w:cs="Tahoma"/>
        </w:rPr>
        <w:t xml:space="preserve"> </w:t>
      </w:r>
      <w:r w:rsidR="00004E74">
        <w:rPr>
          <w:rFonts w:cs="Tahoma"/>
        </w:rPr>
        <w:t xml:space="preserve">(35%) </w:t>
      </w:r>
      <w:r w:rsidRPr="00A2354C">
        <w:rPr>
          <w:rFonts w:cs="Tahoma"/>
        </w:rPr>
        <w:t xml:space="preserve">of the </w:t>
      </w:r>
      <w:r>
        <w:rPr>
          <w:rFonts w:cs="Tahoma"/>
        </w:rPr>
        <w:t>379</w:t>
      </w:r>
      <w:r w:rsidRPr="00A2354C">
        <w:rPr>
          <w:rFonts w:cs="Tahoma"/>
        </w:rPr>
        <w:t xml:space="preserve"> incidents notified to Ofsted in 201</w:t>
      </w:r>
      <w:r>
        <w:rPr>
          <w:rFonts w:cs="Tahoma"/>
        </w:rPr>
        <w:t>5</w:t>
      </w:r>
      <w:r w:rsidRPr="00A2354C">
        <w:rPr>
          <w:rFonts w:cs="Tahoma"/>
        </w:rPr>
        <w:t>-1</w:t>
      </w:r>
      <w:r>
        <w:rPr>
          <w:rFonts w:cs="Tahoma"/>
        </w:rPr>
        <w:t>6</w:t>
      </w:r>
      <w:r w:rsidRPr="00A2354C">
        <w:rPr>
          <w:rFonts w:cs="Tahoma"/>
        </w:rPr>
        <w:t xml:space="preserve">, the relevant LSCB </w:t>
      </w:r>
      <w:r w:rsidR="00200909">
        <w:rPr>
          <w:rFonts w:cs="Tahoma"/>
        </w:rPr>
        <w:t xml:space="preserve">notified Ofsted that they had </w:t>
      </w:r>
      <w:r w:rsidRPr="00A2354C">
        <w:rPr>
          <w:rFonts w:cs="Tahoma"/>
        </w:rPr>
        <w:t xml:space="preserve">decided to initiate a serious case review. This compares to </w:t>
      </w:r>
      <w:r>
        <w:rPr>
          <w:rFonts w:cs="Tahoma"/>
        </w:rPr>
        <w:t>43%</w:t>
      </w:r>
      <w:r w:rsidRPr="00A2354C">
        <w:rPr>
          <w:rFonts w:cs="Tahoma"/>
        </w:rPr>
        <w:t xml:space="preserve"> in the previous year</w:t>
      </w:r>
      <w:r>
        <w:rPr>
          <w:rFonts w:cs="Tahoma"/>
        </w:rPr>
        <w:t>, and 48%</w:t>
      </w:r>
      <w:r w:rsidRPr="00656847">
        <w:rPr>
          <w:rFonts w:cs="Tahoma"/>
        </w:rPr>
        <w:t xml:space="preserve"> in 201</w:t>
      </w:r>
      <w:r w:rsidR="00576ED8">
        <w:rPr>
          <w:rFonts w:cs="Tahoma"/>
        </w:rPr>
        <w:t>3-14</w:t>
      </w:r>
      <w:r>
        <w:rPr>
          <w:rFonts w:cs="Tahoma"/>
        </w:rPr>
        <w:t>.</w:t>
      </w:r>
    </w:p>
    <w:p w14:paraId="22B102C9" w14:textId="77777777" w:rsidR="005B386D" w:rsidRDefault="005B386D" w:rsidP="00222B05">
      <w:pPr>
        <w:jc w:val="left"/>
        <w:rPr>
          <w:rFonts w:cs="Tahoma"/>
        </w:rPr>
      </w:pPr>
    </w:p>
    <w:p w14:paraId="7BC49FD3" w14:textId="77777777" w:rsidR="00D10AF9" w:rsidRDefault="00500CF4" w:rsidP="00D10AF9">
      <w:pPr>
        <w:spacing w:after="240"/>
        <w:jc w:val="left"/>
        <w:rPr>
          <w:rFonts w:cs="Tahoma"/>
        </w:rPr>
      </w:pPr>
      <w:r>
        <w:rPr>
          <w:rFonts w:cs="Tahoma"/>
        </w:rPr>
        <w:t>The</w:t>
      </w:r>
      <w:r w:rsidR="00200909">
        <w:rPr>
          <w:rFonts w:cs="Tahoma"/>
        </w:rPr>
        <w:t xml:space="preserve"> pattern of notifications to Ofsted suggests that the</w:t>
      </w:r>
      <w:r>
        <w:rPr>
          <w:rFonts w:cs="Tahoma"/>
        </w:rPr>
        <w:t xml:space="preserve">re has been a </w:t>
      </w:r>
      <w:r w:rsidR="005B386D">
        <w:rPr>
          <w:rFonts w:cs="Tahoma"/>
        </w:rPr>
        <w:t xml:space="preserve">considerable </w:t>
      </w:r>
      <w:r w:rsidR="000509DD">
        <w:rPr>
          <w:rFonts w:cs="Tahoma"/>
        </w:rPr>
        <w:t>reduction</w:t>
      </w:r>
      <w:r>
        <w:rPr>
          <w:rFonts w:cs="Tahoma"/>
        </w:rPr>
        <w:t xml:space="preserve"> in the </w:t>
      </w:r>
      <w:r w:rsidR="005B386D">
        <w:rPr>
          <w:rFonts w:cs="Tahoma"/>
        </w:rPr>
        <w:t xml:space="preserve">number and </w:t>
      </w:r>
      <w:r>
        <w:rPr>
          <w:rFonts w:cs="Tahoma"/>
        </w:rPr>
        <w:t xml:space="preserve">proportion of serious case reviews that relate to cases of child death. </w:t>
      </w:r>
      <w:r w:rsidRPr="00A2354C">
        <w:rPr>
          <w:rFonts w:cs="Tahoma"/>
        </w:rPr>
        <w:t>Of the</w:t>
      </w:r>
      <w:r w:rsidR="000509DD">
        <w:rPr>
          <w:rFonts w:cs="Tahoma"/>
        </w:rPr>
        <w:t xml:space="preserve"> 134</w:t>
      </w:r>
      <w:r w:rsidRPr="00A2354C">
        <w:rPr>
          <w:rFonts w:cs="Tahoma"/>
        </w:rPr>
        <w:t xml:space="preserve"> serious case reviews initiated </w:t>
      </w:r>
      <w:r w:rsidR="00C30AD8">
        <w:rPr>
          <w:rFonts w:cs="Tahoma"/>
        </w:rPr>
        <w:t xml:space="preserve">and notified to Ofsted </w:t>
      </w:r>
      <w:r w:rsidRPr="00A2354C">
        <w:rPr>
          <w:rFonts w:cs="Tahoma"/>
        </w:rPr>
        <w:t>in 201</w:t>
      </w:r>
      <w:r>
        <w:rPr>
          <w:rFonts w:cs="Tahoma"/>
        </w:rPr>
        <w:t>5</w:t>
      </w:r>
      <w:r w:rsidRPr="00A2354C">
        <w:rPr>
          <w:rFonts w:cs="Tahoma"/>
        </w:rPr>
        <w:t>-1</w:t>
      </w:r>
      <w:r>
        <w:rPr>
          <w:rFonts w:cs="Tahoma"/>
        </w:rPr>
        <w:t>6</w:t>
      </w:r>
      <w:r w:rsidRPr="00A2354C">
        <w:rPr>
          <w:rFonts w:cs="Tahoma"/>
        </w:rPr>
        <w:t xml:space="preserve">, </w:t>
      </w:r>
      <w:r>
        <w:rPr>
          <w:rFonts w:cs="Tahoma"/>
        </w:rPr>
        <w:t>60 (45%)</w:t>
      </w:r>
      <w:r w:rsidRPr="00A2354C">
        <w:rPr>
          <w:rFonts w:cs="Tahoma"/>
        </w:rPr>
        <w:t xml:space="preserve"> were initiated in response to the death of a child, </w:t>
      </w:r>
      <w:r w:rsidR="00491412">
        <w:rPr>
          <w:rFonts w:cs="Tahoma"/>
        </w:rPr>
        <w:t xml:space="preserve">compared with </w:t>
      </w:r>
      <w:r>
        <w:rPr>
          <w:rFonts w:cs="Tahoma"/>
        </w:rPr>
        <w:t>90 (54%)</w:t>
      </w:r>
      <w:r w:rsidRPr="00A2354C">
        <w:rPr>
          <w:rFonts w:cs="Tahoma"/>
        </w:rPr>
        <w:t xml:space="preserve"> in the previous year. The </w:t>
      </w:r>
      <w:r w:rsidR="00CD59D1">
        <w:rPr>
          <w:rFonts w:cs="Tahoma"/>
        </w:rPr>
        <w:t>number</w:t>
      </w:r>
      <w:r w:rsidRPr="00A2354C">
        <w:rPr>
          <w:rFonts w:cs="Tahoma"/>
        </w:rPr>
        <w:t xml:space="preserve"> of serious case reviews that were initiated concerning an incident of serious harm </w:t>
      </w:r>
      <w:r>
        <w:rPr>
          <w:rFonts w:cs="Tahoma"/>
        </w:rPr>
        <w:t xml:space="preserve">to a child </w:t>
      </w:r>
      <w:r w:rsidR="00CD59D1">
        <w:rPr>
          <w:rFonts w:cs="Tahoma"/>
        </w:rPr>
        <w:t>has reduced</w:t>
      </w:r>
      <w:r>
        <w:rPr>
          <w:rFonts w:cs="Tahoma"/>
        </w:rPr>
        <w:t xml:space="preserve"> slightly from </w:t>
      </w:r>
      <w:r w:rsidR="00CD59D1">
        <w:rPr>
          <w:rFonts w:cs="Tahoma"/>
        </w:rPr>
        <w:t xml:space="preserve">76 </w:t>
      </w:r>
      <w:r>
        <w:rPr>
          <w:rFonts w:cs="Tahoma"/>
        </w:rPr>
        <w:t>in 2014-15 to 74</w:t>
      </w:r>
      <w:r w:rsidR="00CD59D1">
        <w:rPr>
          <w:rFonts w:cs="Tahoma"/>
        </w:rPr>
        <w:t xml:space="preserve"> </w:t>
      </w:r>
      <w:r w:rsidR="003D7844">
        <w:rPr>
          <w:rFonts w:cs="Tahoma"/>
        </w:rPr>
        <w:t>in 2015-16</w:t>
      </w:r>
      <w:r w:rsidR="00A23220">
        <w:rPr>
          <w:rFonts w:cs="Tahoma"/>
        </w:rPr>
        <w:t>.</w:t>
      </w:r>
    </w:p>
    <w:p w14:paraId="41345471" w14:textId="77777777" w:rsidR="00D81207" w:rsidRDefault="0089023D" w:rsidP="00D10AF9">
      <w:pPr>
        <w:spacing w:after="240"/>
        <w:jc w:val="left"/>
        <w:rPr>
          <w:rFonts w:cs="Tahoma"/>
        </w:rPr>
      </w:pPr>
      <w:r>
        <w:rPr>
          <w:rFonts w:cs="Tahoma"/>
        </w:rPr>
        <w:t>Of the 134 serious case reviews</w:t>
      </w:r>
      <w:r w:rsidR="00D81207">
        <w:rPr>
          <w:rFonts w:cs="Tahoma"/>
        </w:rPr>
        <w:t>:</w:t>
      </w:r>
    </w:p>
    <w:p w14:paraId="0F985762" w14:textId="77777777" w:rsidR="00D81207" w:rsidRDefault="0089023D" w:rsidP="00480625">
      <w:pPr>
        <w:pStyle w:val="ListParagraph"/>
        <w:numPr>
          <w:ilvl w:val="0"/>
          <w:numId w:val="48"/>
        </w:numPr>
        <w:spacing w:after="240"/>
        <w:jc w:val="left"/>
        <w:rPr>
          <w:rFonts w:cs="Tahoma"/>
        </w:rPr>
      </w:pPr>
      <w:r w:rsidRPr="00D81207">
        <w:rPr>
          <w:rFonts w:cs="Tahoma"/>
        </w:rPr>
        <w:t>22 (16%)</w:t>
      </w:r>
      <w:r w:rsidR="0051602A" w:rsidRPr="00D81207">
        <w:rPr>
          <w:rFonts w:cs="Tahoma"/>
        </w:rPr>
        <w:t xml:space="preserve"> were initiated where a child was subject to a child protection plan at the time of the incident, and 10 (7%) were initiated where a child was looked after by the local authority at the time of t</w:t>
      </w:r>
      <w:r w:rsidR="00D81207" w:rsidRPr="00D81207">
        <w:rPr>
          <w:rFonts w:cs="Tahoma"/>
        </w:rPr>
        <w:t>he incident.</w:t>
      </w:r>
    </w:p>
    <w:p w14:paraId="625D0664" w14:textId="77777777" w:rsidR="00D81207" w:rsidRDefault="00C3558D" w:rsidP="00A72588">
      <w:pPr>
        <w:pStyle w:val="ListParagraph"/>
        <w:numPr>
          <w:ilvl w:val="0"/>
          <w:numId w:val="48"/>
        </w:numPr>
        <w:spacing w:after="240"/>
        <w:jc w:val="left"/>
        <w:rPr>
          <w:rFonts w:cs="Tahoma"/>
        </w:rPr>
      </w:pPr>
      <w:r w:rsidRPr="00D81207">
        <w:rPr>
          <w:rFonts w:cs="Tahoma"/>
        </w:rPr>
        <w:t>33 (25%) were initiated fo</w:t>
      </w:r>
      <w:r w:rsidR="00C30AD8" w:rsidRPr="00D81207">
        <w:rPr>
          <w:rFonts w:cs="Tahoma"/>
        </w:rPr>
        <w:t>llowing</w:t>
      </w:r>
      <w:r w:rsidRPr="00D81207">
        <w:rPr>
          <w:rFonts w:cs="Tahoma"/>
        </w:rPr>
        <w:t xml:space="preserve"> inciden</w:t>
      </w:r>
      <w:r w:rsidR="00C30AD8" w:rsidRPr="00D81207">
        <w:rPr>
          <w:rFonts w:cs="Tahoma"/>
        </w:rPr>
        <w:t>t</w:t>
      </w:r>
      <w:r w:rsidRPr="00D81207">
        <w:rPr>
          <w:rFonts w:cs="Tahoma"/>
        </w:rPr>
        <w:t>s of non-accidental injury by a parent or carer</w:t>
      </w:r>
      <w:r w:rsidR="00C30AD8" w:rsidRPr="00D81207">
        <w:rPr>
          <w:rFonts w:cs="Tahoma"/>
        </w:rPr>
        <w:t xml:space="preserve"> and</w:t>
      </w:r>
      <w:r w:rsidRPr="00D81207">
        <w:rPr>
          <w:rFonts w:cs="Tahoma"/>
        </w:rPr>
        <w:t xml:space="preserve"> 17 (13%) </w:t>
      </w:r>
      <w:r w:rsidR="00C30AD8" w:rsidRPr="00D81207">
        <w:rPr>
          <w:rFonts w:cs="Tahoma"/>
        </w:rPr>
        <w:t>followed incidents concerning</w:t>
      </w:r>
      <w:r w:rsidRPr="00D81207">
        <w:rPr>
          <w:rFonts w:cs="Tahoma"/>
        </w:rPr>
        <w:t xml:space="preserve"> neglect by a parent or carer.</w:t>
      </w:r>
    </w:p>
    <w:p w14:paraId="25CB2896" w14:textId="77777777" w:rsidR="0096463D" w:rsidRPr="00D81207" w:rsidRDefault="00C3558D" w:rsidP="00A72588">
      <w:pPr>
        <w:pStyle w:val="ListParagraph"/>
        <w:numPr>
          <w:ilvl w:val="0"/>
          <w:numId w:val="48"/>
        </w:numPr>
        <w:spacing w:after="240"/>
        <w:jc w:val="left"/>
        <w:rPr>
          <w:rFonts w:cs="Tahoma"/>
        </w:rPr>
      </w:pPr>
      <w:r w:rsidRPr="00D81207">
        <w:rPr>
          <w:rFonts w:cs="Tahoma"/>
        </w:rPr>
        <w:t>45 (34%) w</w:t>
      </w:r>
      <w:r w:rsidR="00CB4AA9" w:rsidRPr="00D81207">
        <w:rPr>
          <w:rFonts w:cs="Tahoma"/>
        </w:rPr>
        <w:t>ere</w:t>
      </w:r>
      <w:r w:rsidRPr="00D81207">
        <w:rPr>
          <w:rFonts w:cs="Tahoma"/>
        </w:rPr>
        <w:t xml:space="preserve"> for children who were aged less than one year old, and 36 (27%) were for young people aged between 11 and 15 years old. </w:t>
      </w:r>
    </w:p>
    <w:p w14:paraId="7DE0B870" w14:textId="77777777" w:rsidR="00C3558D" w:rsidRDefault="00C3558D" w:rsidP="00D10AF9">
      <w:pPr>
        <w:spacing w:after="240"/>
        <w:jc w:val="left"/>
        <w:rPr>
          <w:rFonts w:cs="Tahoma"/>
        </w:rPr>
      </w:pPr>
      <w:r>
        <w:rPr>
          <w:rFonts w:cs="Tahoma"/>
        </w:rPr>
        <w:t>The majority</w:t>
      </w:r>
      <w:r w:rsidR="0096463D">
        <w:rPr>
          <w:rFonts w:cs="Tahoma"/>
        </w:rPr>
        <w:t xml:space="preserve"> of serious case reviews</w:t>
      </w:r>
      <w:r w:rsidR="00F70C97">
        <w:rPr>
          <w:rFonts w:cs="Tahoma"/>
        </w:rPr>
        <w:t>,</w:t>
      </w:r>
      <w:r>
        <w:rPr>
          <w:rFonts w:cs="Tahoma"/>
        </w:rPr>
        <w:t xml:space="preserve"> </w:t>
      </w:r>
      <w:r w:rsidR="008C3E09">
        <w:rPr>
          <w:rFonts w:cs="Tahoma"/>
        </w:rPr>
        <w:t>(</w:t>
      </w:r>
      <w:r>
        <w:rPr>
          <w:rFonts w:cs="Tahoma"/>
        </w:rPr>
        <w:t xml:space="preserve">104 </w:t>
      </w:r>
      <w:r w:rsidR="0096463D">
        <w:rPr>
          <w:rFonts w:cs="Tahoma"/>
        </w:rPr>
        <w:t xml:space="preserve">or </w:t>
      </w:r>
      <w:r>
        <w:rPr>
          <w:rFonts w:cs="Tahoma"/>
        </w:rPr>
        <w:t>78%) were for children who were White.</w:t>
      </w:r>
      <w:r w:rsidR="00454E39">
        <w:rPr>
          <w:rFonts w:cs="Tahoma"/>
        </w:rPr>
        <w:t xml:space="preserve"> </w:t>
      </w:r>
      <w:r w:rsidR="00CB4AA9">
        <w:rPr>
          <w:rFonts w:cs="Tahoma"/>
        </w:rPr>
        <w:t>The triennial analysis of serious case reviews published by the Department for Education found that 79% of the</w:t>
      </w:r>
      <w:r w:rsidR="00454E39" w:rsidRPr="00454E39">
        <w:rPr>
          <w:rFonts w:cs="Tahoma"/>
        </w:rPr>
        <w:t xml:space="preserve"> children </w:t>
      </w:r>
      <w:r w:rsidR="00CB4AA9">
        <w:rPr>
          <w:rFonts w:cs="Tahoma"/>
        </w:rPr>
        <w:t xml:space="preserve">who were </w:t>
      </w:r>
      <w:r w:rsidR="00454E39" w:rsidRPr="00454E39">
        <w:rPr>
          <w:rFonts w:cs="Tahoma"/>
        </w:rPr>
        <w:t xml:space="preserve">at the centre of serious case reviews </w:t>
      </w:r>
      <w:r w:rsidR="00CB4AA9">
        <w:rPr>
          <w:rFonts w:cs="Tahoma"/>
        </w:rPr>
        <w:t xml:space="preserve">from 2011 to 2014 </w:t>
      </w:r>
      <w:r w:rsidR="00454E39" w:rsidRPr="00454E39">
        <w:rPr>
          <w:rFonts w:cs="Tahoma"/>
        </w:rPr>
        <w:t>were White.</w:t>
      </w:r>
      <w:r w:rsidR="003120D0">
        <w:rPr>
          <w:rStyle w:val="FootnoteReference"/>
          <w:rFonts w:cs="Tahoma"/>
        </w:rPr>
        <w:footnoteReference w:id="4"/>
      </w:r>
    </w:p>
    <w:p w14:paraId="31109880" w14:textId="77777777" w:rsidR="009A146A" w:rsidRDefault="009A146A">
      <w:pPr>
        <w:jc w:val="left"/>
        <w:rPr>
          <w:rFonts w:cs="Tahoma"/>
          <w:b/>
          <w:sz w:val="28"/>
        </w:rPr>
      </w:pPr>
      <w:bookmarkStart w:id="8" w:name="_Toc464054171"/>
      <w:r>
        <w:rPr>
          <w:rFonts w:cs="Tahoma"/>
        </w:rPr>
        <w:br w:type="page"/>
      </w:r>
    </w:p>
    <w:p w14:paraId="64B72B0F" w14:textId="77777777" w:rsidR="00416DE7" w:rsidRPr="0001753E" w:rsidRDefault="002E0506" w:rsidP="005808F7">
      <w:pPr>
        <w:pStyle w:val="Heading2"/>
        <w:spacing w:after="120"/>
        <w:jc w:val="left"/>
        <w:rPr>
          <w:rFonts w:cs="Tahoma"/>
        </w:rPr>
      </w:pPr>
      <w:r w:rsidRPr="0001753E">
        <w:rPr>
          <w:rFonts w:cs="Tahoma"/>
        </w:rPr>
        <w:lastRenderedPageBreak/>
        <w:t>Revisions to previous release</w:t>
      </w:r>
      <w:bookmarkEnd w:id="8"/>
      <w:r w:rsidRPr="0001753E">
        <w:rPr>
          <w:rFonts w:cs="Tahoma"/>
        </w:rPr>
        <w:t xml:space="preserve"> </w:t>
      </w:r>
    </w:p>
    <w:p w14:paraId="61FBC001" w14:textId="77777777" w:rsidR="00730187" w:rsidRPr="00B82B3C" w:rsidRDefault="00B82B3C" w:rsidP="00222B05">
      <w:pPr>
        <w:jc w:val="left"/>
        <w:rPr>
          <w:rFonts w:cs="Tahoma"/>
        </w:rPr>
      </w:pPr>
      <w:r w:rsidRPr="00B82B3C">
        <w:rPr>
          <w:rFonts w:cs="Tahoma"/>
        </w:rPr>
        <w:t xml:space="preserve">This is the first release of the data for the period 1 April 2015 </w:t>
      </w:r>
      <w:r w:rsidR="002374AD">
        <w:rPr>
          <w:rFonts w:cs="Tahoma"/>
        </w:rPr>
        <w:t xml:space="preserve">to </w:t>
      </w:r>
      <w:r w:rsidRPr="00B82B3C">
        <w:rPr>
          <w:rFonts w:cs="Tahoma"/>
        </w:rPr>
        <w:t>31 Mar</w:t>
      </w:r>
      <w:r w:rsidR="002374AD">
        <w:rPr>
          <w:rFonts w:cs="Tahoma"/>
        </w:rPr>
        <w:t>ch</w:t>
      </w:r>
      <w:r w:rsidRPr="00B82B3C">
        <w:rPr>
          <w:rFonts w:cs="Tahoma"/>
        </w:rPr>
        <w:t xml:space="preserve"> 2016</w:t>
      </w:r>
      <w:r w:rsidR="00041864">
        <w:rPr>
          <w:rFonts w:cs="Tahoma"/>
        </w:rPr>
        <w:t>.</w:t>
      </w:r>
    </w:p>
    <w:p w14:paraId="1201D33D" w14:textId="77777777" w:rsidR="008A6861" w:rsidRPr="00B82B3C" w:rsidRDefault="008A6861" w:rsidP="00222B05">
      <w:pPr>
        <w:ind w:left="360"/>
        <w:jc w:val="left"/>
        <w:rPr>
          <w:rFonts w:cs="Tahoma"/>
        </w:rPr>
      </w:pPr>
    </w:p>
    <w:p w14:paraId="6B117BB6" w14:textId="77777777" w:rsidR="009E6F79" w:rsidRPr="0001753E" w:rsidRDefault="00730187" w:rsidP="005808F7">
      <w:pPr>
        <w:pStyle w:val="Heading2"/>
        <w:spacing w:after="120"/>
        <w:jc w:val="left"/>
        <w:rPr>
          <w:rFonts w:cs="Tahoma"/>
        </w:rPr>
      </w:pPr>
      <w:bookmarkStart w:id="9" w:name="_Methodology"/>
      <w:bookmarkStart w:id="10" w:name="_Toc464054172"/>
      <w:bookmarkEnd w:id="9"/>
      <w:r w:rsidRPr="0001753E">
        <w:rPr>
          <w:rFonts w:cs="Tahoma"/>
        </w:rPr>
        <w:t>Notes</w:t>
      </w:r>
      <w:bookmarkEnd w:id="10"/>
    </w:p>
    <w:p w14:paraId="18C3E9EF" w14:textId="77777777" w:rsidR="00B82B3C" w:rsidRPr="0001753E" w:rsidRDefault="0001753E" w:rsidP="00C35C33">
      <w:pPr>
        <w:pStyle w:val="Heading4"/>
      </w:pPr>
      <w:bookmarkStart w:id="11" w:name="_Toc433719526"/>
      <w:bookmarkStart w:id="12" w:name="_Toc410906453"/>
      <w:bookmarkStart w:id="13" w:name="_Toc413415068"/>
      <w:r w:rsidRPr="0001753E">
        <w:t xml:space="preserve">Requirement for local authorities to notify </w:t>
      </w:r>
      <w:r w:rsidR="005B386D">
        <w:t>O</w:t>
      </w:r>
      <w:r w:rsidRPr="0001753E">
        <w:t>fsted</w:t>
      </w:r>
      <w:bookmarkEnd w:id="11"/>
    </w:p>
    <w:p w14:paraId="2EF23032" w14:textId="77777777" w:rsidR="00B82B3C" w:rsidRDefault="00041864" w:rsidP="000D7288">
      <w:pPr>
        <w:jc w:val="left"/>
      </w:pPr>
      <w:r>
        <w:t xml:space="preserve">The criteria for notifiable incidents are set out in </w:t>
      </w:r>
      <w:r w:rsidRPr="00222B05">
        <w:rPr>
          <w:i/>
        </w:rPr>
        <w:t>Working together to safeguard children</w:t>
      </w:r>
      <w:r>
        <w:t xml:space="preserve">, page 74, </w:t>
      </w:r>
      <w:proofErr w:type="gramStart"/>
      <w:r>
        <w:t>paragraph</w:t>
      </w:r>
      <w:proofErr w:type="gramEnd"/>
      <w:r>
        <w:t xml:space="preserve"> 13 onwards.</w:t>
      </w:r>
    </w:p>
    <w:p w14:paraId="1C2FB4C0" w14:textId="77777777" w:rsidR="00041864" w:rsidRPr="00DD4FB7" w:rsidRDefault="00041864" w:rsidP="000D7288">
      <w:pPr>
        <w:jc w:val="left"/>
      </w:pPr>
    </w:p>
    <w:p w14:paraId="6D35E145" w14:textId="77777777" w:rsidR="00B82B3C" w:rsidRPr="0019597E" w:rsidRDefault="00A64F98" w:rsidP="000D7288">
      <w:pPr>
        <w:jc w:val="left"/>
        <w:rPr>
          <w:i/>
        </w:rPr>
      </w:pPr>
      <w:r w:rsidRPr="0019597E">
        <w:rPr>
          <w:i/>
        </w:rPr>
        <w:t xml:space="preserve">13. A notifiable incident is an incident involving the care of a child which meets any of the following criteria: </w:t>
      </w:r>
    </w:p>
    <w:p w14:paraId="471004C2" w14:textId="77777777" w:rsidR="005B386D" w:rsidRPr="0019597E" w:rsidRDefault="005B386D" w:rsidP="000D7288">
      <w:pPr>
        <w:jc w:val="left"/>
        <w:rPr>
          <w:i/>
        </w:rPr>
      </w:pPr>
    </w:p>
    <w:p w14:paraId="4C936782" w14:textId="77777777" w:rsidR="00B82B3C" w:rsidRPr="0019597E" w:rsidRDefault="00B82B3C" w:rsidP="000D7288">
      <w:pPr>
        <w:numPr>
          <w:ilvl w:val="0"/>
          <w:numId w:val="46"/>
        </w:numPr>
        <w:jc w:val="left"/>
        <w:rPr>
          <w:i/>
          <w:sz w:val="23"/>
          <w:szCs w:val="23"/>
        </w:rPr>
      </w:pPr>
      <w:r w:rsidRPr="0019597E">
        <w:rPr>
          <w:i/>
          <w:sz w:val="23"/>
          <w:szCs w:val="23"/>
        </w:rPr>
        <w:t xml:space="preserve">a child has died (including cases of suspected suicide), and abuse or neglect is known or suspected; </w:t>
      </w:r>
    </w:p>
    <w:p w14:paraId="4DF6C8AF" w14:textId="77777777" w:rsidR="00B82B3C" w:rsidRPr="0019597E" w:rsidRDefault="00B82B3C" w:rsidP="000D7288">
      <w:pPr>
        <w:numPr>
          <w:ilvl w:val="0"/>
          <w:numId w:val="46"/>
        </w:numPr>
        <w:jc w:val="left"/>
        <w:rPr>
          <w:i/>
          <w:sz w:val="23"/>
          <w:szCs w:val="23"/>
        </w:rPr>
      </w:pPr>
      <w:r w:rsidRPr="0019597E">
        <w:rPr>
          <w:i/>
          <w:sz w:val="23"/>
          <w:szCs w:val="23"/>
        </w:rPr>
        <w:t>a child has been seriously harmed and abuse or neglect is known or suspected</w:t>
      </w:r>
    </w:p>
    <w:p w14:paraId="0F7DAEFA" w14:textId="77777777" w:rsidR="00B82B3C" w:rsidRPr="0019597E" w:rsidRDefault="00B82B3C" w:rsidP="000D7288">
      <w:pPr>
        <w:numPr>
          <w:ilvl w:val="0"/>
          <w:numId w:val="46"/>
        </w:numPr>
        <w:jc w:val="left"/>
        <w:rPr>
          <w:i/>
          <w:sz w:val="23"/>
          <w:szCs w:val="23"/>
        </w:rPr>
      </w:pPr>
      <w:r w:rsidRPr="0019597E">
        <w:rPr>
          <w:i/>
          <w:sz w:val="23"/>
          <w:szCs w:val="23"/>
        </w:rPr>
        <w:t xml:space="preserve">a looked after child has died (including cases where abuse or neglect is not known or suspected); or </w:t>
      </w:r>
    </w:p>
    <w:p w14:paraId="63AE78A5" w14:textId="77777777" w:rsidR="00041864" w:rsidRPr="0019597E" w:rsidRDefault="00B82B3C" w:rsidP="000D7288">
      <w:pPr>
        <w:numPr>
          <w:ilvl w:val="0"/>
          <w:numId w:val="46"/>
        </w:numPr>
        <w:jc w:val="left"/>
        <w:rPr>
          <w:i/>
        </w:rPr>
      </w:pPr>
      <w:proofErr w:type="gramStart"/>
      <w:r w:rsidRPr="0019597E">
        <w:rPr>
          <w:i/>
          <w:sz w:val="23"/>
          <w:szCs w:val="23"/>
        </w:rPr>
        <w:t>a</w:t>
      </w:r>
      <w:proofErr w:type="gramEnd"/>
      <w:r w:rsidRPr="0019597E">
        <w:rPr>
          <w:i/>
          <w:sz w:val="23"/>
          <w:szCs w:val="23"/>
        </w:rPr>
        <w:t xml:space="preserve"> child in a regulated setting or service has died (including cases where abuse or neglect is not known or suspected).</w:t>
      </w:r>
    </w:p>
    <w:p w14:paraId="37574B40" w14:textId="77777777" w:rsidR="00041864" w:rsidRPr="0019597E" w:rsidRDefault="00041864" w:rsidP="00222B05">
      <w:pPr>
        <w:ind w:left="720"/>
        <w:jc w:val="left"/>
        <w:rPr>
          <w:i/>
        </w:rPr>
      </w:pPr>
    </w:p>
    <w:p w14:paraId="2AEEB303" w14:textId="77777777" w:rsidR="00041864" w:rsidRPr="0019597E" w:rsidRDefault="00041864" w:rsidP="005808F7">
      <w:pPr>
        <w:autoSpaceDE w:val="0"/>
        <w:autoSpaceDN w:val="0"/>
        <w:adjustRightInd w:val="0"/>
        <w:spacing w:after="101"/>
        <w:jc w:val="left"/>
        <w:rPr>
          <w:rFonts w:cs="Arial"/>
          <w:i/>
          <w:color w:val="000000"/>
          <w:szCs w:val="16"/>
        </w:rPr>
      </w:pPr>
      <w:r w:rsidRPr="0019597E">
        <w:rPr>
          <w:rFonts w:cs="Arial"/>
          <w:i/>
          <w:color w:val="000000"/>
          <w:szCs w:val="23"/>
        </w:rPr>
        <w:t>14. The local authority should report any incident that meets the above criteria to Ofsted and the relevant LSCB or LSCBs promptly, and within five working days of becoming aware that the incident has occurred.</w:t>
      </w:r>
    </w:p>
    <w:p w14:paraId="22564EFC" w14:textId="77777777" w:rsidR="00041864" w:rsidRPr="0019597E" w:rsidRDefault="00041864" w:rsidP="005808F7">
      <w:pPr>
        <w:autoSpaceDE w:val="0"/>
        <w:autoSpaceDN w:val="0"/>
        <w:adjustRightInd w:val="0"/>
        <w:spacing w:after="101"/>
        <w:jc w:val="left"/>
        <w:rPr>
          <w:rFonts w:cs="Arial"/>
          <w:i/>
          <w:color w:val="000000"/>
          <w:szCs w:val="23"/>
        </w:rPr>
      </w:pPr>
      <w:r w:rsidRPr="0019597E">
        <w:rPr>
          <w:rFonts w:cs="Arial"/>
          <w:i/>
          <w:color w:val="000000"/>
          <w:szCs w:val="23"/>
        </w:rPr>
        <w:t xml:space="preserve">15. For the avoidance of doubt, if an incident meets the criteria for a Serious Case Review (see below) then it will also meet the criteria for a notifiable incident (above). There will, however, be notifiable incidents that do not proceed through to Serious Case Review. </w:t>
      </w:r>
    </w:p>
    <w:p w14:paraId="6420EBAB" w14:textId="77777777" w:rsidR="00041864" w:rsidRPr="0019597E" w:rsidRDefault="00041864" w:rsidP="005808F7">
      <w:pPr>
        <w:autoSpaceDE w:val="0"/>
        <w:autoSpaceDN w:val="0"/>
        <w:adjustRightInd w:val="0"/>
        <w:jc w:val="left"/>
        <w:rPr>
          <w:rFonts w:cs="Arial"/>
          <w:i/>
          <w:color w:val="000000"/>
          <w:szCs w:val="23"/>
        </w:rPr>
      </w:pPr>
      <w:r w:rsidRPr="0019597E">
        <w:rPr>
          <w:rFonts w:cs="Arial"/>
          <w:i/>
          <w:color w:val="000000"/>
          <w:szCs w:val="23"/>
        </w:rPr>
        <w:t xml:space="preserve">16. Contact details and notification forms for notifying incidents to Ofsted are available on Ofsted’s website. </w:t>
      </w:r>
    </w:p>
    <w:p w14:paraId="5DFDDBF5" w14:textId="77777777" w:rsidR="00B82B3C" w:rsidRPr="00DD4FB7" w:rsidRDefault="00B82B3C" w:rsidP="00222B05">
      <w:pPr>
        <w:jc w:val="left"/>
      </w:pPr>
    </w:p>
    <w:p w14:paraId="6EEC21DD" w14:textId="77777777" w:rsidR="00B82B3C" w:rsidRPr="000D7288" w:rsidRDefault="00B82B3C" w:rsidP="005808F7">
      <w:pPr>
        <w:jc w:val="left"/>
        <w:rPr>
          <w:rFonts w:cs="Tahoma"/>
        </w:rPr>
      </w:pPr>
    </w:p>
    <w:p w14:paraId="73DC0FA5" w14:textId="77777777" w:rsidR="00B82B3C" w:rsidRPr="000D7288" w:rsidRDefault="0001753E" w:rsidP="00C35C33">
      <w:pPr>
        <w:pStyle w:val="Heading4"/>
      </w:pPr>
      <w:bookmarkStart w:id="14" w:name="_Toc433719527"/>
      <w:r w:rsidRPr="000D7288">
        <w:t>Serious case reviews</w:t>
      </w:r>
      <w:bookmarkEnd w:id="14"/>
    </w:p>
    <w:p w14:paraId="5C513097" w14:textId="77777777" w:rsidR="00041864" w:rsidRDefault="00041864" w:rsidP="005808F7">
      <w:pPr>
        <w:jc w:val="left"/>
        <w:rPr>
          <w:rFonts w:cs="Tahoma"/>
        </w:rPr>
      </w:pPr>
      <w:r w:rsidRPr="00222B05">
        <w:rPr>
          <w:rFonts w:cs="Tahoma"/>
          <w:i/>
        </w:rPr>
        <w:t>Working together to safeguard children</w:t>
      </w:r>
      <w:r w:rsidRPr="000D7288">
        <w:rPr>
          <w:rFonts w:cs="Tahoma"/>
        </w:rPr>
        <w:t xml:space="preserve"> says on page 78:</w:t>
      </w:r>
    </w:p>
    <w:p w14:paraId="31C1F03E" w14:textId="77777777" w:rsidR="00DE050A" w:rsidRDefault="00DE050A" w:rsidP="005808F7">
      <w:pPr>
        <w:jc w:val="left"/>
        <w:rPr>
          <w:rFonts w:cs="Tahoma"/>
        </w:rPr>
      </w:pPr>
    </w:p>
    <w:p w14:paraId="782A36C3" w14:textId="77777777" w:rsidR="00DE050A" w:rsidRPr="0019597E" w:rsidRDefault="00DE050A" w:rsidP="00DE050A">
      <w:pPr>
        <w:jc w:val="left"/>
        <w:rPr>
          <w:rFonts w:cs="Tahoma"/>
          <w:i/>
          <w:u w:val="single"/>
        </w:rPr>
      </w:pPr>
      <w:r w:rsidRPr="0019597E">
        <w:rPr>
          <w:rFonts w:cs="Tahoma"/>
          <w:i/>
          <w:u w:val="single"/>
        </w:rPr>
        <w:t xml:space="preserve">Decisions whether to initiate an SCR </w:t>
      </w:r>
    </w:p>
    <w:p w14:paraId="0683D88B" w14:textId="77777777" w:rsidR="00DE050A" w:rsidRPr="0019597E" w:rsidRDefault="00DE050A" w:rsidP="00DE050A">
      <w:pPr>
        <w:jc w:val="left"/>
        <w:rPr>
          <w:rFonts w:cs="Tahoma"/>
          <w:i/>
        </w:rPr>
      </w:pPr>
    </w:p>
    <w:p w14:paraId="0B171029" w14:textId="77777777" w:rsidR="00DE050A" w:rsidRPr="0019597E" w:rsidRDefault="00DE050A" w:rsidP="00DE050A">
      <w:pPr>
        <w:jc w:val="left"/>
        <w:rPr>
          <w:rFonts w:cs="Tahoma"/>
          <w:i/>
        </w:rPr>
      </w:pPr>
      <w:r w:rsidRPr="0019597E">
        <w:rPr>
          <w:rFonts w:cs="Tahoma"/>
          <w:i/>
        </w:rPr>
        <w:t xml:space="preserve">The LSCB for the area in which the child is normally resident should decide whether an incident notified to them meets the criteria for an SCR. This decision should normally be made within one month of notification of the incident. The final decision rests with the Chair of the LSCB. The Chair may seek peer challenge from another LSCB Chair when considering this decision and also at other stages in the SCR process. </w:t>
      </w:r>
    </w:p>
    <w:p w14:paraId="0ED3A933" w14:textId="77777777" w:rsidR="00DE050A" w:rsidRPr="0019597E" w:rsidRDefault="00DE050A" w:rsidP="00DE050A">
      <w:pPr>
        <w:jc w:val="left"/>
        <w:rPr>
          <w:rFonts w:cs="Tahoma"/>
          <w:i/>
        </w:rPr>
      </w:pPr>
      <w:r w:rsidRPr="0019597E">
        <w:rPr>
          <w:rFonts w:cs="Tahoma"/>
          <w:i/>
        </w:rPr>
        <w:t>The LSCB should let Ofsted, DfE and the national panel of independent experts know their decision within five working days of the Chair’s decision</w:t>
      </w:r>
      <w:r w:rsidR="009C7533">
        <w:rPr>
          <w:rFonts w:cs="Tahoma"/>
          <w:i/>
        </w:rPr>
        <w:t>.</w:t>
      </w:r>
    </w:p>
    <w:p w14:paraId="690EB4C2" w14:textId="77777777" w:rsidR="00041864" w:rsidRPr="000D7288" w:rsidRDefault="00041864" w:rsidP="005808F7">
      <w:pPr>
        <w:jc w:val="left"/>
        <w:rPr>
          <w:rFonts w:cs="Tahoma"/>
        </w:rPr>
      </w:pPr>
    </w:p>
    <w:p w14:paraId="74396F42" w14:textId="77777777" w:rsidR="00B82B3C" w:rsidRDefault="00B82B3C" w:rsidP="00222B05">
      <w:pPr>
        <w:pStyle w:val="Heading2"/>
        <w:spacing w:after="0"/>
        <w:jc w:val="left"/>
      </w:pPr>
    </w:p>
    <w:p w14:paraId="5A6E2FAF" w14:textId="77777777" w:rsidR="00B82B3C" w:rsidRPr="009E6F79" w:rsidRDefault="00461473" w:rsidP="005808F7">
      <w:pPr>
        <w:pStyle w:val="Heading2"/>
        <w:spacing w:after="120"/>
        <w:jc w:val="left"/>
      </w:pPr>
      <w:bookmarkStart w:id="15" w:name="_Toc433719528"/>
      <w:r>
        <w:br w:type="page"/>
      </w:r>
      <w:bookmarkStart w:id="16" w:name="_Toc464054173"/>
      <w:r w:rsidR="00B82B3C">
        <w:lastRenderedPageBreak/>
        <w:t>Methodology</w:t>
      </w:r>
      <w:bookmarkEnd w:id="15"/>
      <w:bookmarkEnd w:id="16"/>
      <w:r w:rsidR="00B82B3C" w:rsidRPr="009E6F79">
        <w:t xml:space="preserve"> </w:t>
      </w:r>
    </w:p>
    <w:p w14:paraId="50283E64" w14:textId="77777777" w:rsidR="00B55FE2" w:rsidRDefault="00B55FE2" w:rsidP="005808F7">
      <w:pPr>
        <w:jc w:val="left"/>
        <w:rPr>
          <w:rStyle w:val="Hyperlink"/>
          <w:rFonts w:cs="Tahoma"/>
        </w:rPr>
      </w:pPr>
      <w:r w:rsidRPr="00AD4775">
        <w:rPr>
          <w:rFonts w:cs="Tahoma"/>
          <w:szCs w:val="20"/>
        </w:rPr>
        <w:t xml:space="preserve">Due to concerns about confidentiality, a decision has been made not to publish the underlying dataset for the Serious Incident Notifications SFR this year. Not publishing the underlying data allows us to provide users with a rich and detailed analysis of the data while minimising the risk of identification of individuals from the dataset. If you are a researcher with a need to access the underlying data please contact </w:t>
      </w:r>
      <w:hyperlink r:id="rId12" w:history="1">
        <w:r w:rsidR="005A1730" w:rsidRPr="00461473">
          <w:rPr>
            <w:rStyle w:val="Hyperlink"/>
            <w:rFonts w:cs="Tahoma"/>
          </w:rPr>
          <w:t>socialcaredata@ofsted.gov.uk</w:t>
        </w:r>
      </w:hyperlink>
    </w:p>
    <w:p w14:paraId="32EE58CC" w14:textId="77777777" w:rsidR="005A1730" w:rsidRDefault="005A1730" w:rsidP="005808F7">
      <w:pPr>
        <w:jc w:val="left"/>
        <w:rPr>
          <w:rFonts w:cs="Tahoma"/>
        </w:rPr>
      </w:pPr>
    </w:p>
    <w:p w14:paraId="7CD1551C" w14:textId="77777777" w:rsidR="00B82B3C" w:rsidRDefault="00B82B3C" w:rsidP="005808F7">
      <w:pPr>
        <w:jc w:val="left"/>
        <w:rPr>
          <w:rFonts w:cs="Tahoma"/>
        </w:rPr>
      </w:pPr>
      <w:r w:rsidRPr="00EE3ADA">
        <w:rPr>
          <w:rFonts w:cs="Tahoma"/>
        </w:rPr>
        <w:t xml:space="preserve">The data in the release </w:t>
      </w:r>
      <w:r w:rsidR="008742A8">
        <w:rPr>
          <w:rFonts w:cs="Tahoma"/>
        </w:rPr>
        <w:t>is</w:t>
      </w:r>
      <w:r w:rsidR="008742A8" w:rsidRPr="00EE3ADA">
        <w:rPr>
          <w:rFonts w:cs="Tahoma"/>
        </w:rPr>
        <w:t xml:space="preserve"> </w:t>
      </w:r>
      <w:r w:rsidRPr="00EE3ADA">
        <w:rPr>
          <w:rFonts w:cs="Tahoma"/>
        </w:rPr>
        <w:t xml:space="preserve">from serious incident </w:t>
      </w:r>
      <w:r w:rsidR="00B22ECC">
        <w:rPr>
          <w:rFonts w:cs="Tahoma"/>
        </w:rPr>
        <w:t>notifications</w:t>
      </w:r>
      <w:r w:rsidRPr="00EE3ADA">
        <w:rPr>
          <w:rFonts w:cs="Tahoma"/>
        </w:rPr>
        <w:t xml:space="preserve"> received by Ofsted between 1 April 201</w:t>
      </w:r>
      <w:r w:rsidR="00EE3ADA" w:rsidRPr="00EE3ADA">
        <w:rPr>
          <w:rFonts w:cs="Tahoma"/>
        </w:rPr>
        <w:t>5</w:t>
      </w:r>
      <w:r w:rsidRPr="00EE3ADA">
        <w:rPr>
          <w:rFonts w:cs="Tahoma"/>
        </w:rPr>
        <w:t xml:space="preserve"> and 31 March 201</w:t>
      </w:r>
      <w:r w:rsidR="00EE3ADA" w:rsidRPr="00EE3ADA">
        <w:rPr>
          <w:rFonts w:cs="Tahoma"/>
        </w:rPr>
        <w:t>6</w:t>
      </w:r>
      <w:r w:rsidRPr="00EE3ADA">
        <w:rPr>
          <w:rFonts w:cs="Tahoma"/>
        </w:rPr>
        <w:t>.</w:t>
      </w:r>
    </w:p>
    <w:p w14:paraId="05BB0C8F" w14:textId="77777777" w:rsidR="000D175C" w:rsidRDefault="000D175C" w:rsidP="005808F7">
      <w:pPr>
        <w:jc w:val="left"/>
        <w:rPr>
          <w:rFonts w:cs="Tahoma"/>
        </w:rPr>
      </w:pPr>
    </w:p>
    <w:p w14:paraId="73DD8750" w14:textId="77777777" w:rsidR="000D175C" w:rsidRDefault="000D175C" w:rsidP="005808F7">
      <w:pPr>
        <w:jc w:val="left"/>
        <w:rPr>
          <w:rFonts w:cs="Tahoma"/>
        </w:rPr>
      </w:pPr>
      <w:r w:rsidRPr="00452D4F">
        <w:rPr>
          <w:rFonts w:cs="Tahoma"/>
        </w:rPr>
        <w:t xml:space="preserve">From 1 April 2015 to 31 March 2016, </w:t>
      </w:r>
      <w:r>
        <w:rPr>
          <w:rFonts w:cs="Tahoma"/>
        </w:rPr>
        <w:t>Ofsted was notified of 396 incidents by local authorities using the online form on www.gov.uk</w:t>
      </w:r>
      <w:r w:rsidR="008742A8">
        <w:rPr>
          <w:rFonts w:cs="Tahoma"/>
        </w:rPr>
        <w:t>.</w:t>
      </w:r>
      <w:r>
        <w:rPr>
          <w:rStyle w:val="FootnoteReference"/>
          <w:rFonts w:cs="Tahoma"/>
        </w:rPr>
        <w:footnoteReference w:id="5"/>
      </w:r>
      <w:r>
        <w:rPr>
          <w:rFonts w:cs="Tahoma"/>
        </w:rPr>
        <w:t xml:space="preserve"> Out of these notifications, 17 did not meet the criteria in the statutory guidance so have not been counted in the data in this statistical release.</w:t>
      </w:r>
    </w:p>
    <w:p w14:paraId="149CFF34" w14:textId="77777777" w:rsidR="000D7288" w:rsidRPr="00EE3ADA" w:rsidRDefault="000D7288" w:rsidP="005808F7">
      <w:pPr>
        <w:jc w:val="left"/>
        <w:rPr>
          <w:rFonts w:cs="Tahoma"/>
        </w:rPr>
      </w:pPr>
    </w:p>
    <w:p w14:paraId="65F71A2C" w14:textId="77777777" w:rsidR="00B82B3C" w:rsidRDefault="00B82B3C" w:rsidP="00E71249">
      <w:pPr>
        <w:jc w:val="left"/>
        <w:rPr>
          <w:rFonts w:cs="Tahoma"/>
        </w:rPr>
      </w:pPr>
      <w:r w:rsidRPr="00B22ECC">
        <w:rPr>
          <w:rFonts w:cs="Tahoma"/>
        </w:rPr>
        <w:t xml:space="preserve">The numbers of </w:t>
      </w:r>
      <w:r w:rsidR="00B22ECC" w:rsidRPr="00B22ECC">
        <w:rPr>
          <w:rFonts w:cs="Tahoma"/>
        </w:rPr>
        <w:t>incident</w:t>
      </w:r>
      <w:r w:rsidR="00744D84">
        <w:rPr>
          <w:rFonts w:cs="Tahoma"/>
        </w:rPr>
        <w:t xml:space="preserve"> notifications</w:t>
      </w:r>
      <w:r w:rsidRPr="00B22ECC">
        <w:rPr>
          <w:rFonts w:cs="Tahoma"/>
        </w:rPr>
        <w:t xml:space="preserve"> received during the time period covered in this statistical release are not necessarily the number of incidents which have occurred during 1 April 201</w:t>
      </w:r>
      <w:r w:rsidR="00EE3ADA" w:rsidRPr="00B22ECC">
        <w:rPr>
          <w:rFonts w:cs="Tahoma"/>
        </w:rPr>
        <w:t>5</w:t>
      </w:r>
      <w:r w:rsidRPr="00B22ECC">
        <w:rPr>
          <w:rFonts w:cs="Tahoma"/>
        </w:rPr>
        <w:t xml:space="preserve"> and 31 March 201</w:t>
      </w:r>
      <w:r w:rsidR="00EE3ADA" w:rsidRPr="00B22ECC">
        <w:rPr>
          <w:rFonts w:cs="Tahoma"/>
        </w:rPr>
        <w:t>6</w:t>
      </w:r>
      <w:r w:rsidR="00B22ECC" w:rsidRPr="00B22ECC">
        <w:rPr>
          <w:rFonts w:cs="Tahoma"/>
        </w:rPr>
        <w:t>, where s</w:t>
      </w:r>
      <w:r w:rsidRPr="00B22ECC">
        <w:rPr>
          <w:rFonts w:cs="Tahoma"/>
        </w:rPr>
        <w:t xml:space="preserve">ome </w:t>
      </w:r>
      <w:r w:rsidR="00B22ECC" w:rsidRPr="00B22ECC">
        <w:rPr>
          <w:rFonts w:cs="Tahoma"/>
        </w:rPr>
        <w:t>notifiable incidents</w:t>
      </w:r>
      <w:r w:rsidRPr="00B22ECC">
        <w:rPr>
          <w:rFonts w:cs="Tahoma"/>
        </w:rPr>
        <w:t xml:space="preserve"> relate to </w:t>
      </w:r>
      <w:r w:rsidR="00B22ECC" w:rsidRPr="00B22ECC">
        <w:rPr>
          <w:rFonts w:cs="Tahoma"/>
        </w:rPr>
        <w:t>those</w:t>
      </w:r>
      <w:r w:rsidRPr="00B22ECC">
        <w:rPr>
          <w:rFonts w:cs="Tahoma"/>
        </w:rPr>
        <w:t xml:space="preserve"> which occurred before 1 April 201</w:t>
      </w:r>
      <w:r w:rsidR="00B22ECC" w:rsidRPr="00B22ECC">
        <w:rPr>
          <w:rFonts w:cs="Tahoma"/>
        </w:rPr>
        <w:t>5</w:t>
      </w:r>
      <w:r w:rsidRPr="00B22ECC">
        <w:rPr>
          <w:rFonts w:cs="Tahoma"/>
        </w:rPr>
        <w:t xml:space="preserve">, </w:t>
      </w:r>
      <w:r w:rsidR="00B22ECC" w:rsidRPr="00B22ECC">
        <w:rPr>
          <w:rFonts w:cs="Tahoma"/>
        </w:rPr>
        <w:t>and where</w:t>
      </w:r>
      <w:r w:rsidRPr="00B22ECC">
        <w:rPr>
          <w:rFonts w:cs="Tahoma"/>
        </w:rPr>
        <w:t xml:space="preserve"> Ofsted was not notified until after </w:t>
      </w:r>
      <w:r w:rsidR="00B22ECC" w:rsidRPr="00B22ECC">
        <w:rPr>
          <w:rFonts w:cs="Tahoma"/>
        </w:rPr>
        <w:t>this date</w:t>
      </w:r>
      <w:r w:rsidRPr="00B22ECC">
        <w:rPr>
          <w:rFonts w:cs="Tahoma"/>
        </w:rPr>
        <w:t>.</w:t>
      </w:r>
    </w:p>
    <w:p w14:paraId="53B3F13C" w14:textId="77777777" w:rsidR="0089023D" w:rsidRPr="00461473" w:rsidRDefault="0089023D" w:rsidP="005808F7">
      <w:pPr>
        <w:autoSpaceDE w:val="0"/>
        <w:autoSpaceDN w:val="0"/>
        <w:adjustRightInd w:val="0"/>
        <w:jc w:val="left"/>
        <w:rPr>
          <w:rFonts w:cs="Tahoma"/>
          <w:color w:val="000000"/>
        </w:rPr>
      </w:pPr>
    </w:p>
    <w:p w14:paraId="393A702D" w14:textId="77777777" w:rsidR="00AB02D3" w:rsidRPr="00461473" w:rsidRDefault="00AB02D3" w:rsidP="005808F7">
      <w:pPr>
        <w:jc w:val="left"/>
        <w:rPr>
          <w:rFonts w:cs="Tahoma"/>
        </w:rPr>
      </w:pPr>
      <w:r w:rsidRPr="00461473">
        <w:rPr>
          <w:rFonts w:cs="Tahoma"/>
        </w:rPr>
        <w:t xml:space="preserve">If you have any comments or feedback on this publication, please contact the Social Care Data Team on 03000 130020 or </w:t>
      </w:r>
      <w:hyperlink r:id="rId13" w:history="1">
        <w:r w:rsidRPr="00461473">
          <w:rPr>
            <w:rStyle w:val="Hyperlink"/>
            <w:rFonts w:cs="Tahoma"/>
          </w:rPr>
          <w:t>socialcaredata@ofsted.gov.uk</w:t>
        </w:r>
      </w:hyperlink>
    </w:p>
    <w:p w14:paraId="11EE3EF9" w14:textId="77777777" w:rsidR="00461473" w:rsidRDefault="00461473" w:rsidP="00E71249">
      <w:pPr>
        <w:jc w:val="left"/>
        <w:rPr>
          <w:rFonts w:cs="Tahoma"/>
        </w:rPr>
      </w:pPr>
    </w:p>
    <w:p w14:paraId="7BF29B03" w14:textId="77777777" w:rsidR="00461473" w:rsidRDefault="00461473" w:rsidP="00E71249">
      <w:pPr>
        <w:jc w:val="left"/>
        <w:rPr>
          <w:rFonts w:cs="Tahoma"/>
        </w:rPr>
      </w:pPr>
    </w:p>
    <w:p w14:paraId="2531CA03" w14:textId="77777777" w:rsidR="00461473" w:rsidRDefault="00461473" w:rsidP="00E71249">
      <w:pPr>
        <w:jc w:val="left"/>
        <w:rPr>
          <w:rFonts w:cs="Tahoma"/>
        </w:rPr>
      </w:pPr>
    </w:p>
    <w:p w14:paraId="021F9BC0" w14:textId="77777777" w:rsidR="00461473" w:rsidRDefault="00461473" w:rsidP="00D33AA7">
      <w:pPr>
        <w:jc w:val="left"/>
        <w:rPr>
          <w:rFonts w:cs="Tahoma"/>
        </w:rPr>
      </w:pPr>
    </w:p>
    <w:p w14:paraId="11A6D33E" w14:textId="77777777" w:rsidR="00461473" w:rsidRDefault="00461473" w:rsidP="00D33AA7">
      <w:pPr>
        <w:jc w:val="left"/>
        <w:rPr>
          <w:rFonts w:cs="Tahoma"/>
        </w:rPr>
      </w:pPr>
    </w:p>
    <w:p w14:paraId="4802B7BC" w14:textId="77777777" w:rsidR="00AB02D3" w:rsidRDefault="00AB02D3" w:rsidP="00A17D76">
      <w:pPr>
        <w:jc w:val="left"/>
        <w:rPr>
          <w:rFonts w:cs="Tahoma"/>
        </w:rPr>
      </w:pPr>
    </w:p>
    <w:p w14:paraId="2B4F7958" w14:textId="77777777" w:rsidR="00AB02D3" w:rsidRDefault="00AB02D3" w:rsidP="000A1E48">
      <w:pPr>
        <w:jc w:val="left"/>
        <w:rPr>
          <w:rFonts w:cs="Tahoma"/>
        </w:rPr>
      </w:pPr>
    </w:p>
    <w:p w14:paraId="22EEFAD7" w14:textId="77777777" w:rsidR="00AB02D3" w:rsidRDefault="00AB02D3" w:rsidP="000A1E48">
      <w:pPr>
        <w:jc w:val="left"/>
        <w:rPr>
          <w:rFonts w:cs="Tahoma"/>
        </w:rPr>
      </w:pPr>
    </w:p>
    <w:p w14:paraId="4519C3BA" w14:textId="77777777" w:rsidR="00461473" w:rsidRDefault="00461473" w:rsidP="005B386D">
      <w:pPr>
        <w:jc w:val="left"/>
        <w:rPr>
          <w:rFonts w:cs="Tahoma"/>
        </w:rPr>
      </w:pPr>
    </w:p>
    <w:p w14:paraId="08768433" w14:textId="77777777" w:rsidR="009A146A" w:rsidRDefault="009A146A" w:rsidP="005B386D">
      <w:pPr>
        <w:jc w:val="left"/>
        <w:rPr>
          <w:rFonts w:cs="Tahoma"/>
        </w:rPr>
      </w:pPr>
    </w:p>
    <w:p w14:paraId="45BA52E5" w14:textId="77777777" w:rsidR="009A146A" w:rsidRDefault="009A146A" w:rsidP="005B386D">
      <w:pPr>
        <w:jc w:val="left"/>
        <w:rPr>
          <w:rFonts w:cs="Tahoma"/>
        </w:rPr>
      </w:pPr>
    </w:p>
    <w:p w14:paraId="180B0824" w14:textId="77777777" w:rsidR="009A146A" w:rsidRDefault="009A146A" w:rsidP="005B386D">
      <w:pPr>
        <w:jc w:val="left"/>
        <w:rPr>
          <w:rFonts w:cs="Tahoma"/>
        </w:rPr>
      </w:pPr>
    </w:p>
    <w:p w14:paraId="7A440499" w14:textId="77777777" w:rsidR="009A146A" w:rsidRDefault="009A146A" w:rsidP="005B386D">
      <w:pPr>
        <w:jc w:val="left"/>
        <w:rPr>
          <w:rFonts w:cs="Tahoma"/>
        </w:rPr>
      </w:pPr>
    </w:p>
    <w:p w14:paraId="1E715247" w14:textId="77777777" w:rsidR="009A146A" w:rsidRDefault="009A146A" w:rsidP="005B386D">
      <w:pPr>
        <w:jc w:val="left"/>
        <w:rPr>
          <w:rFonts w:cs="Tahoma"/>
        </w:rPr>
      </w:pPr>
    </w:p>
    <w:p w14:paraId="7C6E2875" w14:textId="77777777" w:rsidR="009A146A" w:rsidRDefault="009A146A" w:rsidP="005B386D">
      <w:pPr>
        <w:jc w:val="left"/>
        <w:rPr>
          <w:rFonts w:cs="Tahoma"/>
        </w:rPr>
      </w:pPr>
    </w:p>
    <w:p w14:paraId="29131953" w14:textId="77777777" w:rsidR="00EA5DFF" w:rsidRDefault="00EA5DFF" w:rsidP="005B386D">
      <w:pPr>
        <w:jc w:val="left"/>
        <w:rPr>
          <w:rFonts w:cs="Tahoma"/>
        </w:rPr>
      </w:pPr>
    </w:p>
    <w:p w14:paraId="5CBF52B4" w14:textId="77777777" w:rsidR="009A146A" w:rsidRDefault="009A146A" w:rsidP="005B386D">
      <w:pPr>
        <w:jc w:val="left"/>
        <w:rPr>
          <w:rFonts w:cs="Tahoma"/>
        </w:rPr>
      </w:pPr>
    </w:p>
    <w:p w14:paraId="32D49D28" w14:textId="77777777" w:rsidR="00EA5DFF" w:rsidRDefault="00EA5DFF" w:rsidP="005B386D">
      <w:pPr>
        <w:jc w:val="left"/>
        <w:rPr>
          <w:rFonts w:cs="Tahoma"/>
        </w:rPr>
      </w:pPr>
    </w:p>
    <w:p w14:paraId="219DD23D" w14:textId="77777777" w:rsidR="00EA5DFF" w:rsidRDefault="00EA5DFF" w:rsidP="005B386D">
      <w:pPr>
        <w:jc w:val="left"/>
        <w:rPr>
          <w:rFonts w:cs="Tahoma"/>
        </w:rPr>
      </w:pPr>
    </w:p>
    <w:p w14:paraId="3E97254F" w14:textId="77777777" w:rsidR="00AB02D3" w:rsidRPr="00461473" w:rsidRDefault="00AB02D3" w:rsidP="000D7288">
      <w:pPr>
        <w:jc w:val="left"/>
        <w:rPr>
          <w:rFonts w:cs="Tahoma"/>
        </w:rPr>
      </w:pPr>
      <w:r w:rsidRPr="00461473">
        <w:rPr>
          <w:rFonts w:cs="Tahoma"/>
        </w:rPr>
        <w:t>© Crown copyright</w:t>
      </w:r>
    </w:p>
    <w:p w14:paraId="477F158D" w14:textId="77777777" w:rsidR="00985A2C" w:rsidRPr="00461473" w:rsidRDefault="00AB02D3" w:rsidP="006A1619">
      <w:pPr>
        <w:jc w:val="left"/>
        <w:rPr>
          <w:rFonts w:cs="Tahoma"/>
        </w:rPr>
      </w:pPr>
      <w:r w:rsidRPr="00461473">
        <w:rPr>
          <w:rFonts w:cs="Tahoma"/>
          <w:sz w:val="20"/>
        </w:rPr>
        <w:t>You may re-use this information (not including logos) free of charge in any format or medium, under the terms of the Open Government Licence. To view this licence, visit</w:t>
      </w:r>
      <w:r w:rsidRPr="00B82B3C">
        <w:rPr>
          <w:rFonts w:cs="Tahoma"/>
          <w:sz w:val="20"/>
        </w:rPr>
        <w:t xml:space="preserve"> </w:t>
      </w:r>
      <w:hyperlink r:id="rId14" w:history="1">
        <w:r w:rsidRPr="00B82B3C">
          <w:rPr>
            <w:rStyle w:val="Hyperlink"/>
            <w:rFonts w:cs="Tahoma"/>
            <w:sz w:val="20"/>
          </w:rPr>
          <w:t>http://www.nationalarchives.gov.uk/doc/open-government-licence/</w:t>
        </w:r>
      </w:hyperlink>
      <w:r w:rsidRPr="00B82B3C">
        <w:rPr>
          <w:rFonts w:cs="Tahoma"/>
          <w:sz w:val="20"/>
        </w:rPr>
        <w:t xml:space="preserve"> or write to the Information Policy Team, The National Archives, </w:t>
      </w:r>
      <w:proofErr w:type="gramStart"/>
      <w:r w:rsidRPr="00B82B3C">
        <w:rPr>
          <w:rFonts w:cs="Tahoma"/>
          <w:sz w:val="20"/>
        </w:rPr>
        <w:t>Kew</w:t>
      </w:r>
      <w:proofErr w:type="gramEnd"/>
      <w:r w:rsidRPr="00B82B3C">
        <w:rPr>
          <w:rFonts w:cs="Tahoma"/>
          <w:sz w:val="20"/>
        </w:rPr>
        <w:t xml:space="preserve">, London, TW9 4DU or e-mail: </w:t>
      </w:r>
      <w:hyperlink r:id="rId15" w:history="1">
        <w:r w:rsidRPr="00B82B3C">
          <w:rPr>
            <w:rStyle w:val="Hyperlink"/>
            <w:rFonts w:cs="Tahoma"/>
            <w:sz w:val="20"/>
          </w:rPr>
          <w:t>psi@nationalarchives.gsi.gov.uk</w:t>
        </w:r>
      </w:hyperlink>
      <w:bookmarkEnd w:id="12"/>
      <w:bookmarkEnd w:id="13"/>
    </w:p>
    <w:sectPr w:rsidR="00985A2C" w:rsidRPr="00461473" w:rsidSect="007376B3">
      <w:headerReference w:type="even" r:id="rId16"/>
      <w:headerReference w:type="default" r:id="rId17"/>
      <w:footerReference w:type="even" r:id="rId18"/>
      <w:footerReference w:type="default" r:id="rId19"/>
      <w:headerReference w:type="first" r:id="rId20"/>
      <w:footerReference w:type="first" r:id="rId21"/>
      <w:pgSz w:w="11906" w:h="16838" w:code="9"/>
      <w:pgMar w:top="356" w:right="1440"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E73C3" w14:textId="77777777" w:rsidR="00220B0B" w:rsidRDefault="00220B0B">
      <w:r>
        <w:separator/>
      </w:r>
    </w:p>
  </w:endnote>
  <w:endnote w:type="continuationSeparator" w:id="0">
    <w:p w14:paraId="51349EDF" w14:textId="77777777" w:rsidR="00220B0B" w:rsidRDefault="0022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28AAD" w14:textId="77777777" w:rsidR="00FD25B0" w:rsidRDefault="00FD2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27EAC" w14:textId="77777777" w:rsidR="000B383C" w:rsidRPr="001460CF" w:rsidRDefault="000B383C" w:rsidP="001460CF">
    <w:pPr>
      <w:pStyle w:val="Footer-RHSOdd"/>
      <w:tabs>
        <w:tab w:val="right" w:pos="8460"/>
      </w:tabs>
      <w:rPr>
        <w:b w:val="0"/>
        <w:sz w:val="20"/>
      </w:rPr>
    </w:pPr>
    <w:r w:rsidRPr="001460CF">
      <w:rPr>
        <w:b w:val="0"/>
        <w:sz w:val="20"/>
      </w:rPr>
      <w:t xml:space="preserve">Responsible Statistician: </w:t>
    </w:r>
    <w:r>
      <w:rPr>
        <w:b w:val="0"/>
        <w:sz w:val="20"/>
      </w:rPr>
      <w:t>Adam King</w:t>
    </w:r>
    <w:r w:rsidRPr="001460CF">
      <w:rPr>
        <w:b w:val="0"/>
        <w:sz w:val="20"/>
      </w:rPr>
      <w:t xml:space="preserve">, </w:t>
    </w:r>
    <w:r>
      <w:rPr>
        <w:b w:val="0"/>
        <w:color w:val="0000FF"/>
        <w:sz w:val="20"/>
        <w:u w:val="single"/>
      </w:rPr>
      <w:t>adam.king@ofsted.gov.uk</w:t>
    </w:r>
  </w:p>
  <w:p w14:paraId="7ED24D72" w14:textId="77777777" w:rsidR="000B383C" w:rsidRPr="001460CF" w:rsidRDefault="000B383C" w:rsidP="001460CF">
    <w:pPr>
      <w:pStyle w:val="Footer-RHSOdd"/>
      <w:tabs>
        <w:tab w:val="right" w:pos="8460"/>
      </w:tabs>
      <w:rPr>
        <w:b w:val="0"/>
        <w:sz w:val="20"/>
      </w:rPr>
    </w:pPr>
    <w:r w:rsidRPr="001460CF">
      <w:rPr>
        <w:b w:val="0"/>
        <w:sz w:val="20"/>
      </w:rPr>
      <w:t xml:space="preserve">Published on: </w:t>
    </w:r>
    <w:r>
      <w:rPr>
        <w:b w:val="0"/>
        <w:sz w:val="20"/>
      </w:rPr>
      <w:t xml:space="preserve">27 October 2016. </w:t>
    </w:r>
    <w:r w:rsidRPr="00DE3FB0">
      <w:rPr>
        <w:b w:val="0"/>
        <w:color w:val="auto"/>
        <w:sz w:val="20"/>
      </w:rPr>
      <w:t>Next publication: October 2017.</w:t>
    </w:r>
    <w:r>
      <w:rPr>
        <w:b w:val="0"/>
        <w:sz w:val="20"/>
      </w:rPr>
      <w:tab/>
    </w:r>
    <w:r w:rsidRPr="00243CDA">
      <w:rPr>
        <w:b w:val="0"/>
        <w:sz w:val="20"/>
      </w:rPr>
      <w:fldChar w:fldCharType="begin"/>
    </w:r>
    <w:r w:rsidRPr="00243CDA">
      <w:rPr>
        <w:b w:val="0"/>
        <w:sz w:val="20"/>
      </w:rPr>
      <w:instrText xml:space="preserve"> PAGE   \* MERGEFORMAT </w:instrText>
    </w:r>
    <w:r w:rsidRPr="00243CDA">
      <w:rPr>
        <w:b w:val="0"/>
        <w:sz w:val="20"/>
      </w:rPr>
      <w:fldChar w:fldCharType="separate"/>
    </w:r>
    <w:r w:rsidR="00E40DB4" w:rsidRPr="00E40DB4">
      <w:rPr>
        <w:b w:val="0"/>
        <w:bCs/>
        <w:noProof/>
        <w:sz w:val="20"/>
      </w:rPr>
      <w:t>5</w:t>
    </w:r>
    <w:r w:rsidRPr="00243CDA">
      <w:rPr>
        <w:b w:val="0"/>
        <w:bCs/>
        <w:noProof/>
        <w:sz w:val="20"/>
      </w:rPr>
      <w:fldChar w:fldCharType="end"/>
    </w:r>
    <w:r w:rsidRPr="00243CDA">
      <w:rPr>
        <w:b w:val="0"/>
        <w:bCs/>
        <w:sz w:val="20"/>
      </w:rPr>
      <w:t xml:space="preserve"> </w:t>
    </w:r>
    <w:r w:rsidRPr="00243CDA">
      <w:rPr>
        <w:b w:val="0"/>
        <w:sz w:val="20"/>
      </w:rPr>
      <w:t>|</w:t>
    </w:r>
    <w:r w:rsidRPr="00243CDA">
      <w:rPr>
        <w:b w:val="0"/>
        <w:bCs/>
        <w:sz w:val="20"/>
      </w:rPr>
      <w:t xml:space="preserve"> </w:t>
    </w:r>
    <w:r w:rsidRPr="00243CDA">
      <w:rPr>
        <w:b w:val="0"/>
        <w:color w:val="808080"/>
        <w:spacing w:val="60"/>
        <w:sz w:val="2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AC2BC" w14:textId="77777777" w:rsidR="00FD25B0" w:rsidRDefault="00FD2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8008C" w14:textId="77777777" w:rsidR="00220B0B" w:rsidRDefault="00220B0B">
      <w:r>
        <w:separator/>
      </w:r>
    </w:p>
  </w:footnote>
  <w:footnote w:type="continuationSeparator" w:id="0">
    <w:p w14:paraId="1F6401CA" w14:textId="77777777" w:rsidR="00220B0B" w:rsidRDefault="00220B0B">
      <w:r>
        <w:continuationSeparator/>
      </w:r>
    </w:p>
  </w:footnote>
  <w:footnote w:id="1">
    <w:p w14:paraId="4407949E" w14:textId="77777777" w:rsidR="00347560" w:rsidRPr="00A87CDF" w:rsidRDefault="00347560" w:rsidP="00347560">
      <w:pPr>
        <w:pStyle w:val="FootnoteText"/>
        <w:jc w:val="left"/>
        <w:rPr>
          <w:sz w:val="15"/>
          <w:szCs w:val="15"/>
        </w:rPr>
      </w:pPr>
      <w:r w:rsidRPr="00A87CDF">
        <w:rPr>
          <w:rStyle w:val="FootnoteReference"/>
          <w:sz w:val="15"/>
          <w:szCs w:val="15"/>
        </w:rPr>
        <w:footnoteRef/>
      </w:r>
      <w:r w:rsidRPr="00A87CDF">
        <w:rPr>
          <w:sz w:val="15"/>
          <w:szCs w:val="15"/>
        </w:rPr>
        <w:t xml:space="preserve"> England child ethnicity information is taken from the ONS 2011 census: </w:t>
      </w:r>
      <w:hyperlink r:id="rId1" w:history="1">
        <w:r w:rsidRPr="00A87CDF">
          <w:rPr>
            <w:rStyle w:val="Hyperlink"/>
            <w:sz w:val="15"/>
            <w:szCs w:val="15"/>
          </w:rPr>
          <w:t>https://www.nomisweb.co.uk/census/2011/dc2101ew</w:t>
        </w:r>
      </w:hyperlink>
    </w:p>
  </w:footnote>
  <w:footnote w:id="2">
    <w:p w14:paraId="3540F4B3" w14:textId="77777777" w:rsidR="00347560" w:rsidRPr="00A87CDF" w:rsidRDefault="00347560" w:rsidP="00347560">
      <w:pPr>
        <w:pStyle w:val="FootnoteText"/>
        <w:rPr>
          <w:sz w:val="15"/>
          <w:szCs w:val="15"/>
        </w:rPr>
      </w:pPr>
      <w:r w:rsidRPr="00A87CDF">
        <w:rPr>
          <w:rStyle w:val="FootnoteReference"/>
          <w:sz w:val="15"/>
          <w:szCs w:val="15"/>
        </w:rPr>
        <w:footnoteRef/>
      </w:r>
      <w:r w:rsidRPr="00A87CDF">
        <w:rPr>
          <w:sz w:val="15"/>
          <w:szCs w:val="15"/>
        </w:rPr>
        <w:t xml:space="preserve"> More than 100% due to rounding. (England 78.5% and BME 21.5%)</w:t>
      </w:r>
    </w:p>
  </w:footnote>
  <w:footnote w:id="3">
    <w:p w14:paraId="3B7EBF37" w14:textId="77777777" w:rsidR="00EB580F" w:rsidRPr="00A87CDF" w:rsidRDefault="00EB580F">
      <w:pPr>
        <w:pStyle w:val="FootnoteText"/>
        <w:rPr>
          <w:sz w:val="15"/>
          <w:szCs w:val="15"/>
        </w:rPr>
      </w:pPr>
      <w:r w:rsidRPr="00A87CDF">
        <w:rPr>
          <w:rStyle w:val="FootnoteReference"/>
          <w:sz w:val="15"/>
          <w:szCs w:val="15"/>
        </w:rPr>
        <w:footnoteRef/>
      </w:r>
      <w:r w:rsidRPr="00A87CDF">
        <w:rPr>
          <w:sz w:val="15"/>
          <w:szCs w:val="15"/>
        </w:rPr>
        <w:t xml:space="preserve"> </w:t>
      </w:r>
      <w:r w:rsidRPr="00A87CDF">
        <w:rPr>
          <w:rFonts w:cs="Tahoma"/>
          <w:sz w:val="15"/>
          <w:szCs w:val="15"/>
        </w:rPr>
        <w:t>The term ‘dangerous behaviour’ has been used to signify actions by a child or young person which put them at risk of injury or death, including suspected suicides</w:t>
      </w:r>
    </w:p>
  </w:footnote>
  <w:footnote w:id="4">
    <w:p w14:paraId="087A6971" w14:textId="77777777" w:rsidR="003120D0" w:rsidRPr="00A87CDF" w:rsidRDefault="003120D0" w:rsidP="000B0868">
      <w:pPr>
        <w:pStyle w:val="FootnoteText"/>
        <w:jc w:val="left"/>
        <w:rPr>
          <w:sz w:val="15"/>
          <w:szCs w:val="15"/>
        </w:rPr>
      </w:pPr>
      <w:r w:rsidRPr="00A87CDF">
        <w:rPr>
          <w:rStyle w:val="FootnoteReference"/>
          <w:sz w:val="15"/>
          <w:szCs w:val="15"/>
        </w:rPr>
        <w:footnoteRef/>
      </w:r>
      <w:r w:rsidRPr="00A87CDF">
        <w:rPr>
          <w:sz w:val="15"/>
          <w:szCs w:val="15"/>
        </w:rPr>
        <w:t xml:space="preserve"> </w:t>
      </w:r>
      <w:r w:rsidR="000B0868" w:rsidRPr="00A87CDF">
        <w:rPr>
          <w:sz w:val="15"/>
          <w:szCs w:val="15"/>
        </w:rPr>
        <w:t xml:space="preserve">Pathways to harm, pathways to protection: a triennial analysis of serious case reviews 2011 to 2014 Final report May 2016: </w:t>
      </w:r>
      <w:hyperlink r:id="rId2" w:history="1">
        <w:r w:rsidR="000B0868" w:rsidRPr="00A87CDF">
          <w:rPr>
            <w:rStyle w:val="Hyperlink"/>
            <w:sz w:val="15"/>
            <w:szCs w:val="15"/>
          </w:rPr>
          <w:t>https://www.gov.uk/government/uploads/system/uploads/attachment_data/file/533826/Triennial_Analysis_of_SCRs_2011-2014_-__Pathways_to_harm_and_protection.pdf</w:t>
        </w:r>
      </w:hyperlink>
    </w:p>
  </w:footnote>
  <w:footnote w:id="5">
    <w:p w14:paraId="5B2BB9F7" w14:textId="77777777" w:rsidR="000B383C" w:rsidRPr="00A87CDF" w:rsidRDefault="000B383C" w:rsidP="009A146A">
      <w:pPr>
        <w:pStyle w:val="FootnoteText"/>
        <w:jc w:val="left"/>
        <w:rPr>
          <w:sz w:val="15"/>
          <w:szCs w:val="15"/>
        </w:rPr>
      </w:pPr>
      <w:r w:rsidRPr="00A87CDF">
        <w:rPr>
          <w:rStyle w:val="FootnoteReference"/>
          <w:sz w:val="15"/>
          <w:szCs w:val="15"/>
        </w:rPr>
        <w:footnoteRef/>
      </w:r>
      <w:r w:rsidR="009A146A" w:rsidRPr="00A87CDF">
        <w:rPr>
          <w:sz w:val="15"/>
          <w:szCs w:val="15"/>
        </w:rPr>
        <w:t xml:space="preserve"> </w:t>
      </w:r>
      <w:hyperlink r:id="rId3" w:history="1">
        <w:r w:rsidRPr="00A87CDF">
          <w:rPr>
            <w:rStyle w:val="Hyperlink"/>
            <w:sz w:val="15"/>
            <w:szCs w:val="15"/>
          </w:rPr>
          <w:t>https://www.gov.uk/government/publications/notify-ofsted-of-serious-childcare-incident-form-for-local-authorities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0D202" w14:textId="77777777" w:rsidR="00FD25B0" w:rsidRDefault="00FD2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583D9" w14:textId="77777777" w:rsidR="00FD25B0" w:rsidRDefault="00FD25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DD77E" w14:textId="77777777" w:rsidR="00FD25B0" w:rsidRDefault="00FD2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840"/>
    <w:multiLevelType w:val="hybridMultilevel"/>
    <w:tmpl w:val="CFF8E974"/>
    <w:lvl w:ilvl="0" w:tplc="4B649690">
      <w:start w:val="1"/>
      <w:numFmt w:val="decimal"/>
      <w:lvlText w:val="%1."/>
      <w:lvlJc w:val="left"/>
      <w:pPr>
        <w:tabs>
          <w:tab w:val="num" w:pos="720"/>
        </w:tabs>
        <w:ind w:left="720" w:hanging="360"/>
      </w:pPr>
      <w:rPr>
        <w:rFonts w:ascii="Tahoma" w:hAnsi="Tahoma" w:cs="Tahoma"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802790"/>
    <w:multiLevelType w:val="hybridMultilevel"/>
    <w:tmpl w:val="559A782A"/>
    <w:lvl w:ilvl="0" w:tplc="20E0B4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984189"/>
    <w:multiLevelType w:val="hybridMultilevel"/>
    <w:tmpl w:val="F09E91C0"/>
    <w:lvl w:ilvl="0" w:tplc="AC5496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115AD0"/>
    <w:multiLevelType w:val="hybridMultilevel"/>
    <w:tmpl w:val="72440A72"/>
    <w:lvl w:ilvl="0" w:tplc="BA78210A">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994CEA"/>
    <w:multiLevelType w:val="hybridMultilevel"/>
    <w:tmpl w:val="7264F4FC"/>
    <w:lvl w:ilvl="0" w:tplc="8104ED0C">
      <w:start w:val="1"/>
      <w:numFmt w:val="decimal"/>
      <w:lvlText w:val="%1."/>
      <w:lvlJc w:val="left"/>
      <w:pPr>
        <w:tabs>
          <w:tab w:val="num" w:pos="720"/>
        </w:tabs>
        <w:ind w:left="720" w:hanging="360"/>
      </w:pPr>
      <w:rPr>
        <w:b w:val="0"/>
        <w:sz w:val="24"/>
        <w:szCs w:val="24"/>
      </w:rPr>
    </w:lvl>
    <w:lvl w:ilvl="1" w:tplc="0809000F">
      <w:start w:val="1"/>
      <w:numFmt w:val="decimal"/>
      <w:lvlText w:val="%2."/>
      <w:lvlJc w:val="left"/>
      <w:pPr>
        <w:tabs>
          <w:tab w:val="num" w:pos="1440"/>
        </w:tabs>
        <w:ind w:left="1440" w:hanging="360"/>
      </w:pPr>
      <w:rPr>
        <w:b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347885"/>
    <w:multiLevelType w:val="hybridMultilevel"/>
    <w:tmpl w:val="3B58EBE6"/>
    <w:lvl w:ilvl="0" w:tplc="6EFADFBC">
      <w:start w:val="1"/>
      <w:numFmt w:val="bullet"/>
      <w:pStyle w:val="Bulletsspaced"/>
      <w:lvlText w:val=""/>
      <w:lvlJc w:val="left"/>
      <w:pPr>
        <w:tabs>
          <w:tab w:val="num" w:pos="1386"/>
        </w:tabs>
        <w:ind w:left="1386" w:hanging="360"/>
      </w:pPr>
      <w:rPr>
        <w:rFonts w:ascii="Wingdings" w:hAnsi="Wingdings" w:hint="default"/>
      </w:rPr>
    </w:lvl>
    <w:lvl w:ilvl="1" w:tplc="08090003">
      <w:start w:val="1"/>
      <w:numFmt w:val="bullet"/>
      <w:lvlText w:val="o"/>
      <w:lvlJc w:val="left"/>
      <w:pPr>
        <w:tabs>
          <w:tab w:val="num" w:pos="1899"/>
        </w:tabs>
        <w:ind w:left="1899" w:hanging="360"/>
      </w:pPr>
      <w:rPr>
        <w:rFonts w:ascii="Courier New" w:hAnsi="Courier New" w:cs="Courier New" w:hint="default"/>
      </w:rPr>
    </w:lvl>
    <w:lvl w:ilvl="2" w:tplc="08090005">
      <w:start w:val="1"/>
      <w:numFmt w:val="bullet"/>
      <w:lvlText w:val=""/>
      <w:lvlJc w:val="left"/>
      <w:pPr>
        <w:tabs>
          <w:tab w:val="num" w:pos="2619"/>
        </w:tabs>
        <w:ind w:left="2619" w:hanging="360"/>
      </w:pPr>
      <w:rPr>
        <w:rFonts w:ascii="Wingdings" w:hAnsi="Wingdings" w:hint="default"/>
      </w:rPr>
    </w:lvl>
    <w:lvl w:ilvl="3" w:tplc="0809000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0814217A"/>
    <w:multiLevelType w:val="hybridMultilevel"/>
    <w:tmpl w:val="F632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1C3330"/>
    <w:multiLevelType w:val="hybridMultilevel"/>
    <w:tmpl w:val="603AFE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DEA0431"/>
    <w:multiLevelType w:val="hybridMultilevel"/>
    <w:tmpl w:val="16CCD28C"/>
    <w:lvl w:ilvl="0" w:tplc="E822DE34">
      <w:start w:val="1"/>
      <w:numFmt w:val="bullet"/>
      <w:lvlText w:val=""/>
      <w:lvlJc w:val="left"/>
      <w:pPr>
        <w:tabs>
          <w:tab w:val="num" w:pos="-790"/>
        </w:tabs>
        <w:ind w:left="-790" w:hanging="360"/>
      </w:pPr>
      <w:rPr>
        <w:rFonts w:ascii="Symbol" w:hAnsi="Symbol" w:hint="default"/>
      </w:rPr>
    </w:lvl>
    <w:lvl w:ilvl="1" w:tplc="024C9834">
      <w:start w:val="1"/>
      <w:numFmt w:val="bullet"/>
      <w:lvlText w:val=""/>
      <w:lvlJc w:val="left"/>
      <w:pPr>
        <w:tabs>
          <w:tab w:val="num" w:pos="-70"/>
        </w:tabs>
        <w:ind w:left="-70" w:hanging="360"/>
      </w:pPr>
      <w:rPr>
        <w:rFonts w:ascii="Symbol" w:hAnsi="Symbol" w:hint="default"/>
      </w:rPr>
    </w:lvl>
    <w:lvl w:ilvl="2" w:tplc="A1B64292">
      <w:start w:val="1"/>
      <w:numFmt w:val="bullet"/>
      <w:lvlText w:val=""/>
      <w:lvlJc w:val="left"/>
      <w:pPr>
        <w:tabs>
          <w:tab w:val="num" w:pos="650"/>
        </w:tabs>
        <w:ind w:left="650" w:hanging="360"/>
      </w:pPr>
      <w:rPr>
        <w:rFonts w:ascii="Symbol" w:hAnsi="Symbol" w:hint="default"/>
      </w:rPr>
    </w:lvl>
    <w:lvl w:ilvl="3" w:tplc="55841EB4">
      <w:start w:val="1"/>
      <w:numFmt w:val="bullet"/>
      <w:lvlText w:val=""/>
      <w:lvlJc w:val="left"/>
      <w:pPr>
        <w:tabs>
          <w:tab w:val="num" w:pos="1370"/>
        </w:tabs>
        <w:ind w:left="1370" w:hanging="360"/>
      </w:pPr>
      <w:rPr>
        <w:rFonts w:ascii="Symbol" w:hAnsi="Symbol" w:hint="default"/>
      </w:rPr>
    </w:lvl>
    <w:lvl w:ilvl="4" w:tplc="3D625440" w:tentative="1">
      <w:start w:val="1"/>
      <w:numFmt w:val="bullet"/>
      <w:lvlText w:val=""/>
      <w:lvlJc w:val="left"/>
      <w:pPr>
        <w:tabs>
          <w:tab w:val="num" w:pos="2090"/>
        </w:tabs>
        <w:ind w:left="2090" w:hanging="360"/>
      </w:pPr>
      <w:rPr>
        <w:rFonts w:ascii="Symbol" w:hAnsi="Symbol" w:hint="default"/>
      </w:rPr>
    </w:lvl>
    <w:lvl w:ilvl="5" w:tplc="A6FA6E18" w:tentative="1">
      <w:start w:val="1"/>
      <w:numFmt w:val="bullet"/>
      <w:lvlText w:val=""/>
      <w:lvlJc w:val="left"/>
      <w:pPr>
        <w:tabs>
          <w:tab w:val="num" w:pos="2810"/>
        </w:tabs>
        <w:ind w:left="2810" w:hanging="360"/>
      </w:pPr>
      <w:rPr>
        <w:rFonts w:ascii="Symbol" w:hAnsi="Symbol" w:hint="default"/>
      </w:rPr>
    </w:lvl>
    <w:lvl w:ilvl="6" w:tplc="070CD096" w:tentative="1">
      <w:start w:val="1"/>
      <w:numFmt w:val="bullet"/>
      <w:lvlText w:val=""/>
      <w:lvlJc w:val="left"/>
      <w:pPr>
        <w:tabs>
          <w:tab w:val="num" w:pos="3530"/>
        </w:tabs>
        <w:ind w:left="3530" w:hanging="360"/>
      </w:pPr>
      <w:rPr>
        <w:rFonts w:ascii="Symbol" w:hAnsi="Symbol" w:hint="default"/>
      </w:rPr>
    </w:lvl>
    <w:lvl w:ilvl="7" w:tplc="A76E90AA" w:tentative="1">
      <w:start w:val="1"/>
      <w:numFmt w:val="bullet"/>
      <w:lvlText w:val=""/>
      <w:lvlJc w:val="left"/>
      <w:pPr>
        <w:tabs>
          <w:tab w:val="num" w:pos="4250"/>
        </w:tabs>
        <w:ind w:left="4250" w:hanging="360"/>
      </w:pPr>
      <w:rPr>
        <w:rFonts w:ascii="Symbol" w:hAnsi="Symbol" w:hint="default"/>
      </w:rPr>
    </w:lvl>
    <w:lvl w:ilvl="8" w:tplc="6D3ABFBA" w:tentative="1">
      <w:start w:val="1"/>
      <w:numFmt w:val="bullet"/>
      <w:lvlText w:val=""/>
      <w:lvlJc w:val="left"/>
      <w:pPr>
        <w:tabs>
          <w:tab w:val="num" w:pos="4970"/>
        </w:tabs>
        <w:ind w:left="4970" w:hanging="360"/>
      </w:pPr>
      <w:rPr>
        <w:rFonts w:ascii="Symbol" w:hAnsi="Symbol" w:hint="default"/>
      </w:rPr>
    </w:lvl>
  </w:abstractNum>
  <w:abstractNum w:abstractNumId="9" w15:restartNumberingAfterBreak="0">
    <w:nsid w:val="10E2506A"/>
    <w:multiLevelType w:val="hybridMultilevel"/>
    <w:tmpl w:val="B2AA94E6"/>
    <w:lvl w:ilvl="0" w:tplc="DE1A0CA4">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C502A"/>
    <w:multiLevelType w:val="hybridMultilevel"/>
    <w:tmpl w:val="79BC91AA"/>
    <w:lvl w:ilvl="0" w:tplc="C5AA9008">
      <w:start w:val="1"/>
      <w:numFmt w:val="decimal"/>
      <w:pStyle w:val="Numberedparagraph"/>
      <w:lvlText w:val="%1."/>
      <w:lvlJc w:val="left"/>
      <w:pPr>
        <w:tabs>
          <w:tab w:val="num" w:pos="1107"/>
        </w:tabs>
        <w:ind w:left="540" w:firstLine="0"/>
      </w:pPr>
      <w:rPr>
        <w:rFonts w:ascii="Tahoma" w:hAnsi="Tahoma" w:hint="default"/>
        <w:b w:val="0"/>
        <w:i w:val="0"/>
        <w:color w:val="auto"/>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267288"/>
    <w:multiLevelType w:val="hybridMultilevel"/>
    <w:tmpl w:val="B2AE52A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9A1900"/>
    <w:multiLevelType w:val="hybridMultilevel"/>
    <w:tmpl w:val="B4E4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1711C"/>
    <w:multiLevelType w:val="hybridMultilevel"/>
    <w:tmpl w:val="268C513A"/>
    <w:lvl w:ilvl="0" w:tplc="8104ED0C">
      <w:start w:val="1"/>
      <w:numFmt w:val="decimal"/>
      <w:lvlText w:val="%1."/>
      <w:lvlJc w:val="left"/>
      <w:pPr>
        <w:tabs>
          <w:tab w:val="num" w:pos="720"/>
        </w:tabs>
        <w:ind w:left="720" w:hanging="360"/>
      </w:pPr>
      <w:rPr>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2333381"/>
    <w:multiLevelType w:val="hybridMultilevel"/>
    <w:tmpl w:val="0CB4CDA4"/>
    <w:lvl w:ilvl="0" w:tplc="348439EA">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3FB0FDF"/>
    <w:multiLevelType w:val="hybridMultilevel"/>
    <w:tmpl w:val="3F6EE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C5AA7"/>
    <w:multiLevelType w:val="hybridMultilevel"/>
    <w:tmpl w:val="B2AE52A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5F60CE"/>
    <w:multiLevelType w:val="hybridMultilevel"/>
    <w:tmpl w:val="F4527C6E"/>
    <w:lvl w:ilvl="0" w:tplc="43684072">
      <w:start w:val="1"/>
      <w:numFmt w:val="bullet"/>
      <w:lvlText w:val=""/>
      <w:lvlJc w:val="left"/>
      <w:pPr>
        <w:tabs>
          <w:tab w:val="num" w:pos="360"/>
        </w:tabs>
        <w:ind w:left="3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A26BFD"/>
    <w:multiLevelType w:val="hybridMultilevel"/>
    <w:tmpl w:val="5DBED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E7485"/>
    <w:multiLevelType w:val="hybridMultilevel"/>
    <w:tmpl w:val="9900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697217"/>
    <w:multiLevelType w:val="hybridMultilevel"/>
    <w:tmpl w:val="429A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8D7057"/>
    <w:multiLevelType w:val="hybridMultilevel"/>
    <w:tmpl w:val="2EACFB7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451BEB"/>
    <w:multiLevelType w:val="hybridMultilevel"/>
    <w:tmpl w:val="681A36DC"/>
    <w:lvl w:ilvl="0" w:tplc="08090005">
      <w:start w:val="1"/>
      <w:numFmt w:val="bullet"/>
      <w:lvlText w:val=""/>
      <w:lvlJc w:val="left"/>
      <w:pPr>
        <w:ind w:left="927" w:hanging="360"/>
      </w:pPr>
      <w:rPr>
        <w:rFonts w:ascii="Wingdings" w:hAnsi="Wingding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428366BE"/>
    <w:multiLevelType w:val="hybridMultilevel"/>
    <w:tmpl w:val="95241CCE"/>
    <w:lvl w:ilvl="0" w:tplc="20E0B478">
      <w:start w:val="1"/>
      <w:numFmt w:val="bullet"/>
      <w:lvlText w:val=""/>
      <w:lvlJc w:val="left"/>
      <w:pPr>
        <w:tabs>
          <w:tab w:val="num" w:pos="720"/>
        </w:tabs>
        <w:ind w:left="720" w:hanging="360"/>
      </w:pPr>
      <w:rPr>
        <w:rFonts w:ascii="Wingdings" w:hAnsi="Wingding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38F7DDB"/>
    <w:multiLevelType w:val="hybridMultilevel"/>
    <w:tmpl w:val="5992A6B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EF3FCB"/>
    <w:multiLevelType w:val="hybridMultilevel"/>
    <w:tmpl w:val="28360D7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D9F08B9"/>
    <w:multiLevelType w:val="hybridMultilevel"/>
    <w:tmpl w:val="9F60A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E665BCA"/>
    <w:multiLevelType w:val="hybridMultilevel"/>
    <w:tmpl w:val="579C6C62"/>
    <w:lvl w:ilvl="0" w:tplc="20E0B4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26411"/>
    <w:multiLevelType w:val="hybridMultilevel"/>
    <w:tmpl w:val="69521084"/>
    <w:lvl w:ilvl="0" w:tplc="8104ED0C">
      <w:start w:val="1"/>
      <w:numFmt w:val="decimal"/>
      <w:lvlText w:val="%1."/>
      <w:lvlJc w:val="left"/>
      <w:pPr>
        <w:tabs>
          <w:tab w:val="num" w:pos="720"/>
        </w:tabs>
        <w:ind w:left="720" w:hanging="360"/>
      </w:pPr>
      <w:rPr>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49110AF"/>
    <w:multiLevelType w:val="hybridMultilevel"/>
    <w:tmpl w:val="B2AE52A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9B2B62"/>
    <w:multiLevelType w:val="hybridMultilevel"/>
    <w:tmpl w:val="8CD2DFF2"/>
    <w:lvl w:ilvl="0" w:tplc="BEFE90C0">
      <w:start w:val="1"/>
      <w:numFmt w:val="bullet"/>
      <w:lvlText w:val="-"/>
      <w:lvlJc w:val="left"/>
      <w:pPr>
        <w:ind w:left="1353" w:hanging="360"/>
      </w:pPr>
      <w:rPr>
        <w:rFonts w:ascii="Tahoma" w:eastAsia="Times New Roman" w:hAnsi="Tahoma" w:cs="Tahoma"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1" w15:restartNumberingAfterBreak="0">
    <w:nsid w:val="59F01B87"/>
    <w:multiLevelType w:val="hybridMultilevel"/>
    <w:tmpl w:val="9BE8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A6FBC"/>
    <w:multiLevelType w:val="hybridMultilevel"/>
    <w:tmpl w:val="6514415E"/>
    <w:lvl w:ilvl="0" w:tplc="BB3699F2">
      <w:start w:val="1"/>
      <w:numFmt w:val="bullet"/>
      <w:lvlText w:val=""/>
      <w:lvlJc w:val="left"/>
      <w:pPr>
        <w:tabs>
          <w:tab w:val="num" w:pos="720"/>
        </w:tabs>
        <w:ind w:left="720" w:hanging="360"/>
      </w:pPr>
      <w:rPr>
        <w:rFonts w:ascii="Symbol" w:hAnsi="Symbol" w:hint="default"/>
      </w:rPr>
    </w:lvl>
    <w:lvl w:ilvl="1" w:tplc="BF2C6B10"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FC560A"/>
    <w:multiLevelType w:val="hybridMultilevel"/>
    <w:tmpl w:val="CE40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0D4661"/>
    <w:multiLevelType w:val="hybridMultilevel"/>
    <w:tmpl w:val="63506C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392267F"/>
    <w:multiLevelType w:val="multilevel"/>
    <w:tmpl w:val="2C0E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D05385"/>
    <w:multiLevelType w:val="hybridMultilevel"/>
    <w:tmpl w:val="9E7C84A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5CF1454"/>
    <w:multiLevelType w:val="hybridMultilevel"/>
    <w:tmpl w:val="7D1878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E69AA"/>
    <w:multiLevelType w:val="hybridMultilevel"/>
    <w:tmpl w:val="D708038A"/>
    <w:lvl w:ilvl="0" w:tplc="8104ED0C">
      <w:start w:val="1"/>
      <w:numFmt w:val="decimal"/>
      <w:lvlText w:val="%1."/>
      <w:lvlJc w:val="left"/>
      <w:pPr>
        <w:tabs>
          <w:tab w:val="num" w:pos="360"/>
        </w:tabs>
        <w:ind w:left="360" w:hanging="360"/>
      </w:pPr>
      <w:rPr>
        <w:b w:val="0"/>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6E2E3146"/>
    <w:multiLevelType w:val="hybridMultilevel"/>
    <w:tmpl w:val="A768BE48"/>
    <w:lvl w:ilvl="0" w:tplc="348439EA">
      <w:start w:val="1"/>
      <w:numFmt w:val="bullet"/>
      <w:lvlText w:val=""/>
      <w:lvlJc w:val="left"/>
      <w:pPr>
        <w:tabs>
          <w:tab w:val="num" w:pos="720"/>
        </w:tabs>
        <w:ind w:left="720" w:hanging="360"/>
      </w:pPr>
      <w:rPr>
        <w:rFonts w:ascii="Wingdings" w:hAnsi="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404AE0"/>
    <w:multiLevelType w:val="hybridMultilevel"/>
    <w:tmpl w:val="77989C42"/>
    <w:lvl w:ilvl="0" w:tplc="0809000F">
      <w:start w:val="1"/>
      <w:numFmt w:val="decimal"/>
      <w:lvlText w:val="%1."/>
      <w:lvlJc w:val="left"/>
      <w:pPr>
        <w:tabs>
          <w:tab w:val="num" w:pos="360"/>
        </w:tabs>
        <w:ind w:left="360" w:hanging="360"/>
      </w:pPr>
    </w:lvl>
    <w:lvl w:ilvl="1" w:tplc="AF5E58F2">
      <w:start w:val="1"/>
      <w:numFmt w:val="bullet"/>
      <w:lvlText w:val=""/>
      <w:lvlJc w:val="left"/>
      <w:pPr>
        <w:tabs>
          <w:tab w:val="num" w:pos="1080"/>
        </w:tabs>
        <w:ind w:left="1080" w:hanging="360"/>
      </w:pPr>
      <w:rPr>
        <w:rFonts w:ascii="Wingdings" w:hAnsi="Wingdings"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713F478E"/>
    <w:multiLevelType w:val="hybridMultilevel"/>
    <w:tmpl w:val="8D7C3A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49A7DC9"/>
    <w:multiLevelType w:val="hybridMultilevel"/>
    <w:tmpl w:val="A528892E"/>
    <w:lvl w:ilvl="0" w:tplc="20E0B4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F27C48"/>
    <w:multiLevelType w:val="hybridMultilevel"/>
    <w:tmpl w:val="99D640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D3C33B1"/>
    <w:multiLevelType w:val="hybridMultilevel"/>
    <w:tmpl w:val="AE744F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41"/>
  </w:num>
  <w:num w:numId="3">
    <w:abstractNumId w:val="36"/>
  </w:num>
  <w:num w:numId="4">
    <w:abstractNumId w:val="34"/>
  </w:num>
  <w:num w:numId="5">
    <w:abstractNumId w:val="26"/>
  </w:num>
  <w:num w:numId="6">
    <w:abstractNumId w:val="23"/>
  </w:num>
  <w:num w:numId="7">
    <w:abstractNumId w:val="3"/>
  </w:num>
  <w:num w:numId="8">
    <w:abstractNumId w:val="4"/>
  </w:num>
  <w:num w:numId="9">
    <w:abstractNumId w:val="0"/>
  </w:num>
  <w:num w:numId="10">
    <w:abstractNumId w:val="35"/>
  </w:num>
  <w:num w:numId="11">
    <w:abstractNumId w:val="38"/>
  </w:num>
  <w:num w:numId="12">
    <w:abstractNumId w:val="13"/>
  </w:num>
  <w:num w:numId="13">
    <w:abstractNumId w:val="28"/>
  </w:num>
  <w:num w:numId="14">
    <w:abstractNumId w:val="43"/>
  </w:num>
  <w:num w:numId="15">
    <w:abstractNumId w:val="7"/>
  </w:num>
  <w:num w:numId="16">
    <w:abstractNumId w:val="10"/>
  </w:num>
  <w:num w:numId="17">
    <w:abstractNumId w:val="5"/>
  </w:num>
  <w:num w:numId="18">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2"/>
  </w:num>
  <w:num w:numId="25">
    <w:abstractNumId w:val="17"/>
  </w:num>
  <w:num w:numId="26">
    <w:abstractNumId w:val="18"/>
  </w:num>
  <w:num w:numId="27">
    <w:abstractNumId w:val="15"/>
  </w:num>
  <w:num w:numId="28">
    <w:abstractNumId w:val="14"/>
  </w:num>
  <w:num w:numId="29">
    <w:abstractNumId w:val="39"/>
  </w:num>
  <w:num w:numId="30">
    <w:abstractNumId w:val="9"/>
  </w:num>
  <w:num w:numId="31">
    <w:abstractNumId w:val="30"/>
  </w:num>
  <w:num w:numId="32">
    <w:abstractNumId w:val="25"/>
  </w:num>
  <w:num w:numId="33">
    <w:abstractNumId w:val="37"/>
  </w:num>
  <w:num w:numId="34">
    <w:abstractNumId w:val="29"/>
  </w:num>
  <w:num w:numId="35">
    <w:abstractNumId w:val="19"/>
  </w:num>
  <w:num w:numId="36">
    <w:abstractNumId w:val="8"/>
  </w:num>
  <w:num w:numId="37">
    <w:abstractNumId w:val="44"/>
  </w:num>
  <w:num w:numId="38">
    <w:abstractNumId w:val="21"/>
  </w:num>
  <w:num w:numId="39">
    <w:abstractNumId w:val="32"/>
  </w:num>
  <w:num w:numId="40">
    <w:abstractNumId w:val="22"/>
  </w:num>
  <w:num w:numId="41">
    <w:abstractNumId w:val="16"/>
  </w:num>
  <w:num w:numId="42">
    <w:abstractNumId w:val="11"/>
  </w:num>
  <w:num w:numId="43">
    <w:abstractNumId w:val="20"/>
  </w:num>
  <w:num w:numId="44">
    <w:abstractNumId w:val="2"/>
  </w:num>
  <w:num w:numId="45">
    <w:abstractNumId w:val="12"/>
  </w:num>
  <w:num w:numId="46">
    <w:abstractNumId w:val="31"/>
  </w:num>
  <w:num w:numId="47">
    <w:abstractNumId w:val="3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9C"/>
    <w:rsid w:val="00000685"/>
    <w:rsid w:val="000019C5"/>
    <w:rsid w:val="00002335"/>
    <w:rsid w:val="000037E8"/>
    <w:rsid w:val="00003FC8"/>
    <w:rsid w:val="00004E74"/>
    <w:rsid w:val="0000509C"/>
    <w:rsid w:val="00007378"/>
    <w:rsid w:val="00007588"/>
    <w:rsid w:val="000101BB"/>
    <w:rsid w:val="00010456"/>
    <w:rsid w:val="00010F5F"/>
    <w:rsid w:val="0001126C"/>
    <w:rsid w:val="000124BD"/>
    <w:rsid w:val="00013403"/>
    <w:rsid w:val="000134CE"/>
    <w:rsid w:val="00013BD7"/>
    <w:rsid w:val="0001753E"/>
    <w:rsid w:val="00020412"/>
    <w:rsid w:val="000206B1"/>
    <w:rsid w:val="00022E6C"/>
    <w:rsid w:val="00023D41"/>
    <w:rsid w:val="000246BA"/>
    <w:rsid w:val="00026F4E"/>
    <w:rsid w:val="00032234"/>
    <w:rsid w:val="00032AB6"/>
    <w:rsid w:val="00032C49"/>
    <w:rsid w:val="000339BC"/>
    <w:rsid w:val="00033E4E"/>
    <w:rsid w:val="00034A89"/>
    <w:rsid w:val="00035B5F"/>
    <w:rsid w:val="00036288"/>
    <w:rsid w:val="00036C7B"/>
    <w:rsid w:val="00037A56"/>
    <w:rsid w:val="00040A8F"/>
    <w:rsid w:val="000414E0"/>
    <w:rsid w:val="00041864"/>
    <w:rsid w:val="00042B8B"/>
    <w:rsid w:val="000431F4"/>
    <w:rsid w:val="0004366A"/>
    <w:rsid w:val="00045B29"/>
    <w:rsid w:val="000509DD"/>
    <w:rsid w:val="00050AB1"/>
    <w:rsid w:val="0005636C"/>
    <w:rsid w:val="000576BF"/>
    <w:rsid w:val="000620CB"/>
    <w:rsid w:val="00062188"/>
    <w:rsid w:val="000635E4"/>
    <w:rsid w:val="00064279"/>
    <w:rsid w:val="0006764D"/>
    <w:rsid w:val="000678F1"/>
    <w:rsid w:val="000704DC"/>
    <w:rsid w:val="000704E8"/>
    <w:rsid w:val="000712B1"/>
    <w:rsid w:val="0007232D"/>
    <w:rsid w:val="0007240C"/>
    <w:rsid w:val="00072772"/>
    <w:rsid w:val="0007380E"/>
    <w:rsid w:val="00074F2D"/>
    <w:rsid w:val="00076AAF"/>
    <w:rsid w:val="000773D9"/>
    <w:rsid w:val="00077A1A"/>
    <w:rsid w:val="00077CA7"/>
    <w:rsid w:val="00082CA3"/>
    <w:rsid w:val="00082E77"/>
    <w:rsid w:val="000830D8"/>
    <w:rsid w:val="00083898"/>
    <w:rsid w:val="00083D53"/>
    <w:rsid w:val="00084C4F"/>
    <w:rsid w:val="00085784"/>
    <w:rsid w:val="00085DBB"/>
    <w:rsid w:val="00087587"/>
    <w:rsid w:val="00087CCE"/>
    <w:rsid w:val="0009188C"/>
    <w:rsid w:val="000930D3"/>
    <w:rsid w:val="00094070"/>
    <w:rsid w:val="00094BA6"/>
    <w:rsid w:val="00096AC8"/>
    <w:rsid w:val="0009754B"/>
    <w:rsid w:val="000A1E48"/>
    <w:rsid w:val="000A288A"/>
    <w:rsid w:val="000A4824"/>
    <w:rsid w:val="000A543D"/>
    <w:rsid w:val="000A5747"/>
    <w:rsid w:val="000A5A02"/>
    <w:rsid w:val="000A6AA9"/>
    <w:rsid w:val="000A742E"/>
    <w:rsid w:val="000A7EFC"/>
    <w:rsid w:val="000B0868"/>
    <w:rsid w:val="000B3535"/>
    <w:rsid w:val="000B383C"/>
    <w:rsid w:val="000B6B87"/>
    <w:rsid w:val="000B6C5F"/>
    <w:rsid w:val="000B73F3"/>
    <w:rsid w:val="000B7802"/>
    <w:rsid w:val="000C019F"/>
    <w:rsid w:val="000C0259"/>
    <w:rsid w:val="000C2291"/>
    <w:rsid w:val="000C2B36"/>
    <w:rsid w:val="000C35DE"/>
    <w:rsid w:val="000C3C23"/>
    <w:rsid w:val="000C5360"/>
    <w:rsid w:val="000C5FDC"/>
    <w:rsid w:val="000D0086"/>
    <w:rsid w:val="000D0BC9"/>
    <w:rsid w:val="000D10C5"/>
    <w:rsid w:val="000D16D5"/>
    <w:rsid w:val="000D175C"/>
    <w:rsid w:val="000D47EB"/>
    <w:rsid w:val="000D69B3"/>
    <w:rsid w:val="000D6FA8"/>
    <w:rsid w:val="000D7288"/>
    <w:rsid w:val="000E1171"/>
    <w:rsid w:val="000E131D"/>
    <w:rsid w:val="000E2E01"/>
    <w:rsid w:val="000E3D6F"/>
    <w:rsid w:val="000E3FBC"/>
    <w:rsid w:val="000E4290"/>
    <w:rsid w:val="000E5040"/>
    <w:rsid w:val="000E5A94"/>
    <w:rsid w:val="000E5D39"/>
    <w:rsid w:val="000E6517"/>
    <w:rsid w:val="000F12C7"/>
    <w:rsid w:val="000F31BC"/>
    <w:rsid w:val="000F5070"/>
    <w:rsid w:val="000F60FF"/>
    <w:rsid w:val="000F7D0F"/>
    <w:rsid w:val="001023CB"/>
    <w:rsid w:val="001029FB"/>
    <w:rsid w:val="00103AB3"/>
    <w:rsid w:val="00103B30"/>
    <w:rsid w:val="00105CB4"/>
    <w:rsid w:val="001062A0"/>
    <w:rsid w:val="00106622"/>
    <w:rsid w:val="001103E0"/>
    <w:rsid w:val="0011080D"/>
    <w:rsid w:val="001116EF"/>
    <w:rsid w:val="00111EC2"/>
    <w:rsid w:val="001123ED"/>
    <w:rsid w:val="00114E22"/>
    <w:rsid w:val="00115671"/>
    <w:rsid w:val="00116FD0"/>
    <w:rsid w:val="00121519"/>
    <w:rsid w:val="00124843"/>
    <w:rsid w:val="00125D2E"/>
    <w:rsid w:val="00126A7B"/>
    <w:rsid w:val="00127728"/>
    <w:rsid w:val="00127B18"/>
    <w:rsid w:val="00127D02"/>
    <w:rsid w:val="00130347"/>
    <w:rsid w:val="00131A47"/>
    <w:rsid w:val="00133288"/>
    <w:rsid w:val="00133EBC"/>
    <w:rsid w:val="00134122"/>
    <w:rsid w:val="001344F0"/>
    <w:rsid w:val="00134FB2"/>
    <w:rsid w:val="0013565B"/>
    <w:rsid w:val="001361F5"/>
    <w:rsid w:val="0013726E"/>
    <w:rsid w:val="00142792"/>
    <w:rsid w:val="00142CEA"/>
    <w:rsid w:val="00145C08"/>
    <w:rsid w:val="001460CF"/>
    <w:rsid w:val="00146CB5"/>
    <w:rsid w:val="00147CE0"/>
    <w:rsid w:val="00147F03"/>
    <w:rsid w:val="0015055C"/>
    <w:rsid w:val="00150815"/>
    <w:rsid w:val="00152301"/>
    <w:rsid w:val="001523BE"/>
    <w:rsid w:val="0015345F"/>
    <w:rsid w:val="00153DAC"/>
    <w:rsid w:val="001575EC"/>
    <w:rsid w:val="0016186A"/>
    <w:rsid w:val="00162985"/>
    <w:rsid w:val="0016524B"/>
    <w:rsid w:val="0016772A"/>
    <w:rsid w:val="00172324"/>
    <w:rsid w:val="00172D55"/>
    <w:rsid w:val="00174E1B"/>
    <w:rsid w:val="00174F0C"/>
    <w:rsid w:val="001750E1"/>
    <w:rsid w:val="00175D17"/>
    <w:rsid w:val="00176843"/>
    <w:rsid w:val="00177114"/>
    <w:rsid w:val="00177AB6"/>
    <w:rsid w:val="00182A1C"/>
    <w:rsid w:val="00184023"/>
    <w:rsid w:val="00184562"/>
    <w:rsid w:val="00184B1F"/>
    <w:rsid w:val="00184B5B"/>
    <w:rsid w:val="00186741"/>
    <w:rsid w:val="00186FD8"/>
    <w:rsid w:val="00187EA8"/>
    <w:rsid w:val="001949D7"/>
    <w:rsid w:val="00194D27"/>
    <w:rsid w:val="00194EDD"/>
    <w:rsid w:val="0019565E"/>
    <w:rsid w:val="0019597E"/>
    <w:rsid w:val="00197915"/>
    <w:rsid w:val="001A1D68"/>
    <w:rsid w:val="001A4C55"/>
    <w:rsid w:val="001A5174"/>
    <w:rsid w:val="001B0D18"/>
    <w:rsid w:val="001B0F4C"/>
    <w:rsid w:val="001B2C55"/>
    <w:rsid w:val="001B2EF8"/>
    <w:rsid w:val="001B3DD8"/>
    <w:rsid w:val="001B3F8F"/>
    <w:rsid w:val="001B566E"/>
    <w:rsid w:val="001B5791"/>
    <w:rsid w:val="001B599A"/>
    <w:rsid w:val="001B6F28"/>
    <w:rsid w:val="001C139B"/>
    <w:rsid w:val="001C3B27"/>
    <w:rsid w:val="001C3C2F"/>
    <w:rsid w:val="001C5127"/>
    <w:rsid w:val="001C5A46"/>
    <w:rsid w:val="001C5FE4"/>
    <w:rsid w:val="001D158C"/>
    <w:rsid w:val="001D19C8"/>
    <w:rsid w:val="001D22E5"/>
    <w:rsid w:val="001D2B19"/>
    <w:rsid w:val="001D5791"/>
    <w:rsid w:val="001D5FDE"/>
    <w:rsid w:val="001D6D90"/>
    <w:rsid w:val="001E02A4"/>
    <w:rsid w:val="001E0617"/>
    <w:rsid w:val="001E500B"/>
    <w:rsid w:val="001E5D6B"/>
    <w:rsid w:val="001F0F18"/>
    <w:rsid w:val="001F31DF"/>
    <w:rsid w:val="001F33E2"/>
    <w:rsid w:val="001F364D"/>
    <w:rsid w:val="001F433B"/>
    <w:rsid w:val="001F556F"/>
    <w:rsid w:val="001F5E2F"/>
    <w:rsid w:val="001F6922"/>
    <w:rsid w:val="00200909"/>
    <w:rsid w:val="00200B9E"/>
    <w:rsid w:val="002014C1"/>
    <w:rsid w:val="00202CF3"/>
    <w:rsid w:val="0020413B"/>
    <w:rsid w:val="00204609"/>
    <w:rsid w:val="00204997"/>
    <w:rsid w:val="002049F0"/>
    <w:rsid w:val="0020650B"/>
    <w:rsid w:val="002065F3"/>
    <w:rsid w:val="00206FF7"/>
    <w:rsid w:val="00207B0C"/>
    <w:rsid w:val="00210AF8"/>
    <w:rsid w:val="00212A16"/>
    <w:rsid w:val="002131E4"/>
    <w:rsid w:val="0021438C"/>
    <w:rsid w:val="00215142"/>
    <w:rsid w:val="00220B0B"/>
    <w:rsid w:val="002228E0"/>
    <w:rsid w:val="00222B05"/>
    <w:rsid w:val="00223F0C"/>
    <w:rsid w:val="002314EB"/>
    <w:rsid w:val="00231CC7"/>
    <w:rsid w:val="00234E46"/>
    <w:rsid w:val="00234E8F"/>
    <w:rsid w:val="00235C76"/>
    <w:rsid w:val="00236F6A"/>
    <w:rsid w:val="002374AD"/>
    <w:rsid w:val="00237AF7"/>
    <w:rsid w:val="002400F1"/>
    <w:rsid w:val="00242A1E"/>
    <w:rsid w:val="00243709"/>
    <w:rsid w:val="00243CDA"/>
    <w:rsid w:val="00244BC8"/>
    <w:rsid w:val="00244F1A"/>
    <w:rsid w:val="00245FE3"/>
    <w:rsid w:val="00246C22"/>
    <w:rsid w:val="00246CCB"/>
    <w:rsid w:val="00247A8E"/>
    <w:rsid w:val="00247AE3"/>
    <w:rsid w:val="00250C3C"/>
    <w:rsid w:val="00252421"/>
    <w:rsid w:val="00252D8E"/>
    <w:rsid w:val="00254E34"/>
    <w:rsid w:val="0025609B"/>
    <w:rsid w:val="0025670C"/>
    <w:rsid w:val="00256A42"/>
    <w:rsid w:val="00256F63"/>
    <w:rsid w:val="002603E0"/>
    <w:rsid w:val="0026135E"/>
    <w:rsid w:val="002615FD"/>
    <w:rsid w:val="0026196E"/>
    <w:rsid w:val="00263145"/>
    <w:rsid w:val="00263D0B"/>
    <w:rsid w:val="00267AAE"/>
    <w:rsid w:val="0027116D"/>
    <w:rsid w:val="00271BE7"/>
    <w:rsid w:val="00272AC7"/>
    <w:rsid w:val="00273B53"/>
    <w:rsid w:val="00274DF6"/>
    <w:rsid w:val="0027523F"/>
    <w:rsid w:val="0027593C"/>
    <w:rsid w:val="00275EC6"/>
    <w:rsid w:val="002765DF"/>
    <w:rsid w:val="002771CB"/>
    <w:rsid w:val="0028013D"/>
    <w:rsid w:val="002801CF"/>
    <w:rsid w:val="00280C2E"/>
    <w:rsid w:val="002817B1"/>
    <w:rsid w:val="00282AD7"/>
    <w:rsid w:val="00282E8F"/>
    <w:rsid w:val="00284183"/>
    <w:rsid w:val="00285C51"/>
    <w:rsid w:val="0028691B"/>
    <w:rsid w:val="00286E47"/>
    <w:rsid w:val="00290F2B"/>
    <w:rsid w:val="002913EB"/>
    <w:rsid w:val="00291D8A"/>
    <w:rsid w:val="0029399E"/>
    <w:rsid w:val="002978A6"/>
    <w:rsid w:val="002A1F22"/>
    <w:rsid w:val="002A2129"/>
    <w:rsid w:val="002A2E83"/>
    <w:rsid w:val="002A33E7"/>
    <w:rsid w:val="002A3C45"/>
    <w:rsid w:val="002A57E8"/>
    <w:rsid w:val="002A5AAF"/>
    <w:rsid w:val="002A6D1E"/>
    <w:rsid w:val="002B0E60"/>
    <w:rsid w:val="002B318F"/>
    <w:rsid w:val="002B343A"/>
    <w:rsid w:val="002B358D"/>
    <w:rsid w:val="002B3783"/>
    <w:rsid w:val="002C05CF"/>
    <w:rsid w:val="002C192D"/>
    <w:rsid w:val="002C3210"/>
    <w:rsid w:val="002C3534"/>
    <w:rsid w:val="002C36B5"/>
    <w:rsid w:val="002C4A9F"/>
    <w:rsid w:val="002C5989"/>
    <w:rsid w:val="002C79E2"/>
    <w:rsid w:val="002C7E75"/>
    <w:rsid w:val="002D229D"/>
    <w:rsid w:val="002D2911"/>
    <w:rsid w:val="002D2CC6"/>
    <w:rsid w:val="002E032E"/>
    <w:rsid w:val="002E0506"/>
    <w:rsid w:val="002E0928"/>
    <w:rsid w:val="002E2FFA"/>
    <w:rsid w:val="002E31C7"/>
    <w:rsid w:val="002E3925"/>
    <w:rsid w:val="002E3AC4"/>
    <w:rsid w:val="002F1240"/>
    <w:rsid w:val="002F1622"/>
    <w:rsid w:val="002F2D93"/>
    <w:rsid w:val="002F3179"/>
    <w:rsid w:val="002F32C5"/>
    <w:rsid w:val="002F379E"/>
    <w:rsid w:val="002F4945"/>
    <w:rsid w:val="002F6CFF"/>
    <w:rsid w:val="002F6F16"/>
    <w:rsid w:val="002F7BBC"/>
    <w:rsid w:val="003004E6"/>
    <w:rsid w:val="00300F12"/>
    <w:rsid w:val="00302780"/>
    <w:rsid w:val="003032DC"/>
    <w:rsid w:val="003042DA"/>
    <w:rsid w:val="003068F4"/>
    <w:rsid w:val="003113C0"/>
    <w:rsid w:val="00311C80"/>
    <w:rsid w:val="003120D0"/>
    <w:rsid w:val="00314FF6"/>
    <w:rsid w:val="003164EF"/>
    <w:rsid w:val="00322350"/>
    <w:rsid w:val="00322A08"/>
    <w:rsid w:val="0032496D"/>
    <w:rsid w:val="00325C6F"/>
    <w:rsid w:val="0032720F"/>
    <w:rsid w:val="00327517"/>
    <w:rsid w:val="00327717"/>
    <w:rsid w:val="003304E1"/>
    <w:rsid w:val="00331C35"/>
    <w:rsid w:val="00332E10"/>
    <w:rsid w:val="00332F3B"/>
    <w:rsid w:val="003339C5"/>
    <w:rsid w:val="0033425E"/>
    <w:rsid w:val="003359EC"/>
    <w:rsid w:val="00335DBD"/>
    <w:rsid w:val="003364FF"/>
    <w:rsid w:val="00340AD1"/>
    <w:rsid w:val="00340FC4"/>
    <w:rsid w:val="00341410"/>
    <w:rsid w:val="0034233F"/>
    <w:rsid w:val="0034236A"/>
    <w:rsid w:val="00342603"/>
    <w:rsid w:val="00342FA0"/>
    <w:rsid w:val="00343E72"/>
    <w:rsid w:val="00344E78"/>
    <w:rsid w:val="00347560"/>
    <w:rsid w:val="00347676"/>
    <w:rsid w:val="003512D5"/>
    <w:rsid w:val="00351690"/>
    <w:rsid w:val="003526EC"/>
    <w:rsid w:val="0035544D"/>
    <w:rsid w:val="003559FA"/>
    <w:rsid w:val="00356B62"/>
    <w:rsid w:val="00356C3D"/>
    <w:rsid w:val="00360C9A"/>
    <w:rsid w:val="00362B4A"/>
    <w:rsid w:val="0036371C"/>
    <w:rsid w:val="00363E91"/>
    <w:rsid w:val="00365276"/>
    <w:rsid w:val="0036632F"/>
    <w:rsid w:val="003668C1"/>
    <w:rsid w:val="00366F95"/>
    <w:rsid w:val="0036704B"/>
    <w:rsid w:val="00367AC5"/>
    <w:rsid w:val="0037094D"/>
    <w:rsid w:val="00371365"/>
    <w:rsid w:val="00371B1F"/>
    <w:rsid w:val="003736F1"/>
    <w:rsid w:val="00376E24"/>
    <w:rsid w:val="00381A18"/>
    <w:rsid w:val="0038214B"/>
    <w:rsid w:val="00382389"/>
    <w:rsid w:val="003846CB"/>
    <w:rsid w:val="00385A09"/>
    <w:rsid w:val="00385BA5"/>
    <w:rsid w:val="00387B09"/>
    <w:rsid w:val="00387F6C"/>
    <w:rsid w:val="00390ED8"/>
    <w:rsid w:val="0039108E"/>
    <w:rsid w:val="00392BBF"/>
    <w:rsid w:val="00393494"/>
    <w:rsid w:val="00393CE6"/>
    <w:rsid w:val="00395794"/>
    <w:rsid w:val="00395A74"/>
    <w:rsid w:val="00395AA4"/>
    <w:rsid w:val="00397807"/>
    <w:rsid w:val="003978C9"/>
    <w:rsid w:val="003A03C1"/>
    <w:rsid w:val="003A454F"/>
    <w:rsid w:val="003A6923"/>
    <w:rsid w:val="003A6D78"/>
    <w:rsid w:val="003B0C1C"/>
    <w:rsid w:val="003B32DF"/>
    <w:rsid w:val="003B3526"/>
    <w:rsid w:val="003B3E99"/>
    <w:rsid w:val="003B44F5"/>
    <w:rsid w:val="003B5D6A"/>
    <w:rsid w:val="003C2154"/>
    <w:rsid w:val="003C4824"/>
    <w:rsid w:val="003D2CB7"/>
    <w:rsid w:val="003D7808"/>
    <w:rsid w:val="003D7844"/>
    <w:rsid w:val="003E0B75"/>
    <w:rsid w:val="003E186F"/>
    <w:rsid w:val="003E18D5"/>
    <w:rsid w:val="003E1D72"/>
    <w:rsid w:val="003E34BF"/>
    <w:rsid w:val="003E4731"/>
    <w:rsid w:val="003E4982"/>
    <w:rsid w:val="003E5DE8"/>
    <w:rsid w:val="003E6BB4"/>
    <w:rsid w:val="003E7013"/>
    <w:rsid w:val="003E75F1"/>
    <w:rsid w:val="003F14A0"/>
    <w:rsid w:val="003F4E20"/>
    <w:rsid w:val="003F56A6"/>
    <w:rsid w:val="003F6F13"/>
    <w:rsid w:val="00402E62"/>
    <w:rsid w:val="00403FB9"/>
    <w:rsid w:val="00404E1B"/>
    <w:rsid w:val="00405382"/>
    <w:rsid w:val="00406D07"/>
    <w:rsid w:val="00410C0B"/>
    <w:rsid w:val="0041316F"/>
    <w:rsid w:val="0041459B"/>
    <w:rsid w:val="004154DE"/>
    <w:rsid w:val="00415EC4"/>
    <w:rsid w:val="00416733"/>
    <w:rsid w:val="00416DE7"/>
    <w:rsid w:val="00417D99"/>
    <w:rsid w:val="00423E30"/>
    <w:rsid w:val="004244EA"/>
    <w:rsid w:val="00424FCF"/>
    <w:rsid w:val="0042733D"/>
    <w:rsid w:val="004307DE"/>
    <w:rsid w:val="00432031"/>
    <w:rsid w:val="00432B4F"/>
    <w:rsid w:val="004336D5"/>
    <w:rsid w:val="00435B07"/>
    <w:rsid w:val="0043683B"/>
    <w:rsid w:val="00437192"/>
    <w:rsid w:val="004430AF"/>
    <w:rsid w:val="0044350F"/>
    <w:rsid w:val="00443696"/>
    <w:rsid w:val="00443B8E"/>
    <w:rsid w:val="004472FD"/>
    <w:rsid w:val="0044746B"/>
    <w:rsid w:val="00447F2C"/>
    <w:rsid w:val="0045047C"/>
    <w:rsid w:val="00452D8E"/>
    <w:rsid w:val="00453023"/>
    <w:rsid w:val="00453403"/>
    <w:rsid w:val="0045384D"/>
    <w:rsid w:val="004549E0"/>
    <w:rsid w:val="00454E39"/>
    <w:rsid w:val="00455C28"/>
    <w:rsid w:val="0045600A"/>
    <w:rsid w:val="00461473"/>
    <w:rsid w:val="004616ED"/>
    <w:rsid w:val="004629C0"/>
    <w:rsid w:val="004632F4"/>
    <w:rsid w:val="004639F7"/>
    <w:rsid w:val="00463B81"/>
    <w:rsid w:val="00465A7E"/>
    <w:rsid w:val="00466288"/>
    <w:rsid w:val="00467B2F"/>
    <w:rsid w:val="00470674"/>
    <w:rsid w:val="00471BC2"/>
    <w:rsid w:val="0047236D"/>
    <w:rsid w:val="00472FC3"/>
    <w:rsid w:val="0047347C"/>
    <w:rsid w:val="00474C84"/>
    <w:rsid w:val="00474D2E"/>
    <w:rsid w:val="0047544D"/>
    <w:rsid w:val="00475C7E"/>
    <w:rsid w:val="0047797E"/>
    <w:rsid w:val="00481827"/>
    <w:rsid w:val="00482720"/>
    <w:rsid w:val="00482DAF"/>
    <w:rsid w:val="004830B8"/>
    <w:rsid w:val="00483B3E"/>
    <w:rsid w:val="004857FD"/>
    <w:rsid w:val="00485FB1"/>
    <w:rsid w:val="00490F9F"/>
    <w:rsid w:val="00491412"/>
    <w:rsid w:val="00495258"/>
    <w:rsid w:val="00495D21"/>
    <w:rsid w:val="004970A8"/>
    <w:rsid w:val="00497819"/>
    <w:rsid w:val="004A00C2"/>
    <w:rsid w:val="004A1543"/>
    <w:rsid w:val="004A1577"/>
    <w:rsid w:val="004A2BC9"/>
    <w:rsid w:val="004A3B89"/>
    <w:rsid w:val="004A5E5F"/>
    <w:rsid w:val="004A670B"/>
    <w:rsid w:val="004A6ABB"/>
    <w:rsid w:val="004A794B"/>
    <w:rsid w:val="004B14AF"/>
    <w:rsid w:val="004B2983"/>
    <w:rsid w:val="004B3FB5"/>
    <w:rsid w:val="004B4861"/>
    <w:rsid w:val="004B76A3"/>
    <w:rsid w:val="004B7EB4"/>
    <w:rsid w:val="004B7F5C"/>
    <w:rsid w:val="004C0A95"/>
    <w:rsid w:val="004C2B28"/>
    <w:rsid w:val="004C2E83"/>
    <w:rsid w:val="004C52C0"/>
    <w:rsid w:val="004C55FB"/>
    <w:rsid w:val="004C5D93"/>
    <w:rsid w:val="004C5EAA"/>
    <w:rsid w:val="004C6A05"/>
    <w:rsid w:val="004C7D8C"/>
    <w:rsid w:val="004D0224"/>
    <w:rsid w:val="004D0821"/>
    <w:rsid w:val="004D25C0"/>
    <w:rsid w:val="004D3E64"/>
    <w:rsid w:val="004D4E9D"/>
    <w:rsid w:val="004D513C"/>
    <w:rsid w:val="004D5885"/>
    <w:rsid w:val="004D5D82"/>
    <w:rsid w:val="004D6195"/>
    <w:rsid w:val="004D785F"/>
    <w:rsid w:val="004E066E"/>
    <w:rsid w:val="004E0B53"/>
    <w:rsid w:val="004E1B55"/>
    <w:rsid w:val="004E1FAF"/>
    <w:rsid w:val="004E201B"/>
    <w:rsid w:val="004E441B"/>
    <w:rsid w:val="004E447A"/>
    <w:rsid w:val="004E48C7"/>
    <w:rsid w:val="004E4B81"/>
    <w:rsid w:val="004E6F29"/>
    <w:rsid w:val="004F001B"/>
    <w:rsid w:val="004F074E"/>
    <w:rsid w:val="004F083A"/>
    <w:rsid w:val="004F1A79"/>
    <w:rsid w:val="004F4942"/>
    <w:rsid w:val="004F648B"/>
    <w:rsid w:val="004F7098"/>
    <w:rsid w:val="004F7501"/>
    <w:rsid w:val="00500601"/>
    <w:rsid w:val="00500CF4"/>
    <w:rsid w:val="005015CE"/>
    <w:rsid w:val="0050337D"/>
    <w:rsid w:val="00503E09"/>
    <w:rsid w:val="005052F1"/>
    <w:rsid w:val="00505C59"/>
    <w:rsid w:val="005069A1"/>
    <w:rsid w:val="005070BA"/>
    <w:rsid w:val="00512197"/>
    <w:rsid w:val="005124B5"/>
    <w:rsid w:val="00512643"/>
    <w:rsid w:val="005126FE"/>
    <w:rsid w:val="00512A25"/>
    <w:rsid w:val="00512E51"/>
    <w:rsid w:val="00513C1E"/>
    <w:rsid w:val="0051602A"/>
    <w:rsid w:val="00516975"/>
    <w:rsid w:val="00516A3B"/>
    <w:rsid w:val="005178F7"/>
    <w:rsid w:val="00520EF8"/>
    <w:rsid w:val="00521A76"/>
    <w:rsid w:val="00521B38"/>
    <w:rsid w:val="00522454"/>
    <w:rsid w:val="00526425"/>
    <w:rsid w:val="00530113"/>
    <w:rsid w:val="00530E00"/>
    <w:rsid w:val="005310D8"/>
    <w:rsid w:val="0053177F"/>
    <w:rsid w:val="005328AE"/>
    <w:rsid w:val="0053336C"/>
    <w:rsid w:val="00535C7E"/>
    <w:rsid w:val="00536FE8"/>
    <w:rsid w:val="0053700F"/>
    <w:rsid w:val="005374F0"/>
    <w:rsid w:val="00541383"/>
    <w:rsid w:val="005437C7"/>
    <w:rsid w:val="00545689"/>
    <w:rsid w:val="00547442"/>
    <w:rsid w:val="005515CB"/>
    <w:rsid w:val="00552A96"/>
    <w:rsid w:val="005543DD"/>
    <w:rsid w:val="00554985"/>
    <w:rsid w:val="00554AED"/>
    <w:rsid w:val="00555249"/>
    <w:rsid w:val="0055612F"/>
    <w:rsid w:val="00557BD0"/>
    <w:rsid w:val="005603E9"/>
    <w:rsid w:val="00561737"/>
    <w:rsid w:val="00561A20"/>
    <w:rsid w:val="00562BB4"/>
    <w:rsid w:val="005630E9"/>
    <w:rsid w:val="00563345"/>
    <w:rsid w:val="00564B76"/>
    <w:rsid w:val="005655A1"/>
    <w:rsid w:val="00565CC2"/>
    <w:rsid w:val="00566A95"/>
    <w:rsid w:val="00567939"/>
    <w:rsid w:val="005707C5"/>
    <w:rsid w:val="00573E4E"/>
    <w:rsid w:val="00575757"/>
    <w:rsid w:val="005757BA"/>
    <w:rsid w:val="00576ED8"/>
    <w:rsid w:val="00577040"/>
    <w:rsid w:val="005808F7"/>
    <w:rsid w:val="00581849"/>
    <w:rsid w:val="00581898"/>
    <w:rsid w:val="00581D6D"/>
    <w:rsid w:val="00583980"/>
    <w:rsid w:val="00584292"/>
    <w:rsid w:val="005849AD"/>
    <w:rsid w:val="00585C7D"/>
    <w:rsid w:val="005879F7"/>
    <w:rsid w:val="005904B9"/>
    <w:rsid w:val="0059662E"/>
    <w:rsid w:val="00597FC9"/>
    <w:rsid w:val="005A119E"/>
    <w:rsid w:val="005A1730"/>
    <w:rsid w:val="005A3B90"/>
    <w:rsid w:val="005A5C17"/>
    <w:rsid w:val="005A5C72"/>
    <w:rsid w:val="005A7185"/>
    <w:rsid w:val="005B1ED3"/>
    <w:rsid w:val="005B1F2C"/>
    <w:rsid w:val="005B362D"/>
    <w:rsid w:val="005B386D"/>
    <w:rsid w:val="005B5FD5"/>
    <w:rsid w:val="005B6BBA"/>
    <w:rsid w:val="005B7350"/>
    <w:rsid w:val="005B7DF8"/>
    <w:rsid w:val="005C0FD3"/>
    <w:rsid w:val="005C1268"/>
    <w:rsid w:val="005C2D27"/>
    <w:rsid w:val="005C4383"/>
    <w:rsid w:val="005C6230"/>
    <w:rsid w:val="005D03C7"/>
    <w:rsid w:val="005D1966"/>
    <w:rsid w:val="005D2239"/>
    <w:rsid w:val="005D2461"/>
    <w:rsid w:val="005D3F81"/>
    <w:rsid w:val="005D559F"/>
    <w:rsid w:val="005D7036"/>
    <w:rsid w:val="005D7322"/>
    <w:rsid w:val="005D7B09"/>
    <w:rsid w:val="005D7FFE"/>
    <w:rsid w:val="005E16A3"/>
    <w:rsid w:val="005E18A9"/>
    <w:rsid w:val="005E1FDD"/>
    <w:rsid w:val="005E2BE4"/>
    <w:rsid w:val="005E3FB2"/>
    <w:rsid w:val="005E4D08"/>
    <w:rsid w:val="005E66ED"/>
    <w:rsid w:val="005E6AA8"/>
    <w:rsid w:val="005F0D41"/>
    <w:rsid w:val="005F1461"/>
    <w:rsid w:val="005F3821"/>
    <w:rsid w:val="005F515D"/>
    <w:rsid w:val="005F600A"/>
    <w:rsid w:val="005F6E1E"/>
    <w:rsid w:val="005F7F36"/>
    <w:rsid w:val="005F7F5A"/>
    <w:rsid w:val="00602D25"/>
    <w:rsid w:val="00606F80"/>
    <w:rsid w:val="006104EA"/>
    <w:rsid w:val="00610BEB"/>
    <w:rsid w:val="0061232C"/>
    <w:rsid w:val="00614DFB"/>
    <w:rsid w:val="006162F6"/>
    <w:rsid w:val="0061764E"/>
    <w:rsid w:val="00620960"/>
    <w:rsid w:val="006215F6"/>
    <w:rsid w:val="0062509D"/>
    <w:rsid w:val="00626FB0"/>
    <w:rsid w:val="00627184"/>
    <w:rsid w:val="00627B79"/>
    <w:rsid w:val="00630B20"/>
    <w:rsid w:val="00631DF7"/>
    <w:rsid w:val="00632760"/>
    <w:rsid w:val="00632C37"/>
    <w:rsid w:val="006352E6"/>
    <w:rsid w:val="006357CD"/>
    <w:rsid w:val="00636CC5"/>
    <w:rsid w:val="00637B99"/>
    <w:rsid w:val="00641C2A"/>
    <w:rsid w:val="006428E7"/>
    <w:rsid w:val="006434E3"/>
    <w:rsid w:val="006453AA"/>
    <w:rsid w:val="006463F0"/>
    <w:rsid w:val="00652159"/>
    <w:rsid w:val="00652231"/>
    <w:rsid w:val="006526E0"/>
    <w:rsid w:val="00652845"/>
    <w:rsid w:val="006530B6"/>
    <w:rsid w:val="00654ECA"/>
    <w:rsid w:val="006551CC"/>
    <w:rsid w:val="006574E6"/>
    <w:rsid w:val="0066436B"/>
    <w:rsid w:val="00665833"/>
    <w:rsid w:val="00671A97"/>
    <w:rsid w:val="00671F4D"/>
    <w:rsid w:val="00676FBD"/>
    <w:rsid w:val="006776B2"/>
    <w:rsid w:val="00681244"/>
    <w:rsid w:val="006848F2"/>
    <w:rsid w:val="0068529E"/>
    <w:rsid w:val="006869E8"/>
    <w:rsid w:val="00690C9D"/>
    <w:rsid w:val="00691127"/>
    <w:rsid w:val="00691658"/>
    <w:rsid w:val="00692591"/>
    <w:rsid w:val="006927D0"/>
    <w:rsid w:val="00693812"/>
    <w:rsid w:val="00693AA1"/>
    <w:rsid w:val="00697681"/>
    <w:rsid w:val="0069785B"/>
    <w:rsid w:val="006A1619"/>
    <w:rsid w:val="006A1805"/>
    <w:rsid w:val="006A2B7B"/>
    <w:rsid w:val="006A3E73"/>
    <w:rsid w:val="006A63FF"/>
    <w:rsid w:val="006A77AE"/>
    <w:rsid w:val="006A78D7"/>
    <w:rsid w:val="006B0305"/>
    <w:rsid w:val="006B2A15"/>
    <w:rsid w:val="006B4AB2"/>
    <w:rsid w:val="006B4D10"/>
    <w:rsid w:val="006B5561"/>
    <w:rsid w:val="006B61D1"/>
    <w:rsid w:val="006C0232"/>
    <w:rsid w:val="006C21D9"/>
    <w:rsid w:val="006C3BE6"/>
    <w:rsid w:val="006C415B"/>
    <w:rsid w:val="006C555E"/>
    <w:rsid w:val="006C6608"/>
    <w:rsid w:val="006C6C3A"/>
    <w:rsid w:val="006C7620"/>
    <w:rsid w:val="006C79C2"/>
    <w:rsid w:val="006C7A94"/>
    <w:rsid w:val="006C7AB2"/>
    <w:rsid w:val="006D03D5"/>
    <w:rsid w:val="006D1752"/>
    <w:rsid w:val="006D23A6"/>
    <w:rsid w:val="006D4F90"/>
    <w:rsid w:val="006D5B18"/>
    <w:rsid w:val="006D665A"/>
    <w:rsid w:val="006D67CC"/>
    <w:rsid w:val="006E05D6"/>
    <w:rsid w:val="006E2030"/>
    <w:rsid w:val="006E3A59"/>
    <w:rsid w:val="006E40C4"/>
    <w:rsid w:val="006E79C6"/>
    <w:rsid w:val="006F18B4"/>
    <w:rsid w:val="006F1DF6"/>
    <w:rsid w:val="006F23FB"/>
    <w:rsid w:val="006F27B7"/>
    <w:rsid w:val="006F2973"/>
    <w:rsid w:val="006F30C7"/>
    <w:rsid w:val="006F3779"/>
    <w:rsid w:val="006F3B6D"/>
    <w:rsid w:val="006F6824"/>
    <w:rsid w:val="006F7641"/>
    <w:rsid w:val="006F76ED"/>
    <w:rsid w:val="006F7AA8"/>
    <w:rsid w:val="006F7B15"/>
    <w:rsid w:val="00700E3F"/>
    <w:rsid w:val="00702379"/>
    <w:rsid w:val="0070258A"/>
    <w:rsid w:val="00702ACA"/>
    <w:rsid w:val="00703E3E"/>
    <w:rsid w:val="007045C1"/>
    <w:rsid w:val="00705F74"/>
    <w:rsid w:val="00706452"/>
    <w:rsid w:val="007064D6"/>
    <w:rsid w:val="007067E3"/>
    <w:rsid w:val="0070711A"/>
    <w:rsid w:val="00710930"/>
    <w:rsid w:val="00710A77"/>
    <w:rsid w:val="007136DA"/>
    <w:rsid w:val="00713B61"/>
    <w:rsid w:val="00717A4A"/>
    <w:rsid w:val="00724519"/>
    <w:rsid w:val="00724CAB"/>
    <w:rsid w:val="00724D6B"/>
    <w:rsid w:val="00724FD8"/>
    <w:rsid w:val="0072575C"/>
    <w:rsid w:val="00726708"/>
    <w:rsid w:val="00730187"/>
    <w:rsid w:val="00732BF2"/>
    <w:rsid w:val="007333C8"/>
    <w:rsid w:val="007346E3"/>
    <w:rsid w:val="0073487C"/>
    <w:rsid w:val="0073565A"/>
    <w:rsid w:val="007376B3"/>
    <w:rsid w:val="007441CE"/>
    <w:rsid w:val="00744D84"/>
    <w:rsid w:val="007454EB"/>
    <w:rsid w:val="007465FB"/>
    <w:rsid w:val="0074669A"/>
    <w:rsid w:val="00750A3B"/>
    <w:rsid w:val="00751881"/>
    <w:rsid w:val="00751A37"/>
    <w:rsid w:val="00752502"/>
    <w:rsid w:val="0075695E"/>
    <w:rsid w:val="0076052E"/>
    <w:rsid w:val="00762ED2"/>
    <w:rsid w:val="0076510C"/>
    <w:rsid w:val="0076792C"/>
    <w:rsid w:val="00770D25"/>
    <w:rsid w:val="0077198C"/>
    <w:rsid w:val="00771A3A"/>
    <w:rsid w:val="00771CE6"/>
    <w:rsid w:val="00771E6A"/>
    <w:rsid w:val="0077251E"/>
    <w:rsid w:val="007728DF"/>
    <w:rsid w:val="00772CAD"/>
    <w:rsid w:val="00772CB9"/>
    <w:rsid w:val="00773095"/>
    <w:rsid w:val="007733C6"/>
    <w:rsid w:val="0077483D"/>
    <w:rsid w:val="00775812"/>
    <w:rsid w:val="00776932"/>
    <w:rsid w:val="00777701"/>
    <w:rsid w:val="00777815"/>
    <w:rsid w:val="00781776"/>
    <w:rsid w:val="00781F86"/>
    <w:rsid w:val="00782A21"/>
    <w:rsid w:val="00783D42"/>
    <w:rsid w:val="00783FBE"/>
    <w:rsid w:val="007851D2"/>
    <w:rsid w:val="0078569A"/>
    <w:rsid w:val="0078678C"/>
    <w:rsid w:val="007872E3"/>
    <w:rsid w:val="00787CFC"/>
    <w:rsid w:val="00790BD4"/>
    <w:rsid w:val="00791299"/>
    <w:rsid w:val="00791575"/>
    <w:rsid w:val="007926F7"/>
    <w:rsid w:val="0079430F"/>
    <w:rsid w:val="00794C4A"/>
    <w:rsid w:val="007977B6"/>
    <w:rsid w:val="007A102E"/>
    <w:rsid w:val="007A1B5D"/>
    <w:rsid w:val="007A492E"/>
    <w:rsid w:val="007A54D2"/>
    <w:rsid w:val="007A6344"/>
    <w:rsid w:val="007A6507"/>
    <w:rsid w:val="007A7707"/>
    <w:rsid w:val="007B0B83"/>
    <w:rsid w:val="007B26FA"/>
    <w:rsid w:val="007B33DD"/>
    <w:rsid w:val="007B42A8"/>
    <w:rsid w:val="007B4B1B"/>
    <w:rsid w:val="007B76F7"/>
    <w:rsid w:val="007C2A22"/>
    <w:rsid w:val="007C3391"/>
    <w:rsid w:val="007C3735"/>
    <w:rsid w:val="007C57EA"/>
    <w:rsid w:val="007C6692"/>
    <w:rsid w:val="007D0354"/>
    <w:rsid w:val="007D0B46"/>
    <w:rsid w:val="007D3046"/>
    <w:rsid w:val="007D4B7E"/>
    <w:rsid w:val="007E239E"/>
    <w:rsid w:val="007E4402"/>
    <w:rsid w:val="007E4EFA"/>
    <w:rsid w:val="007E4F49"/>
    <w:rsid w:val="007E6CD2"/>
    <w:rsid w:val="007E6F05"/>
    <w:rsid w:val="007E785D"/>
    <w:rsid w:val="007F3651"/>
    <w:rsid w:val="007F486B"/>
    <w:rsid w:val="007F756B"/>
    <w:rsid w:val="00800A8C"/>
    <w:rsid w:val="008031C1"/>
    <w:rsid w:val="0080348C"/>
    <w:rsid w:val="00803CA7"/>
    <w:rsid w:val="008056ED"/>
    <w:rsid w:val="00806C05"/>
    <w:rsid w:val="008071CA"/>
    <w:rsid w:val="00807D3D"/>
    <w:rsid w:val="008103C9"/>
    <w:rsid w:val="00810AB4"/>
    <w:rsid w:val="00812948"/>
    <w:rsid w:val="00812ECF"/>
    <w:rsid w:val="008154B9"/>
    <w:rsid w:val="00816124"/>
    <w:rsid w:val="0081716B"/>
    <w:rsid w:val="008174B0"/>
    <w:rsid w:val="00817730"/>
    <w:rsid w:val="0082227C"/>
    <w:rsid w:val="00822EE5"/>
    <w:rsid w:val="00823022"/>
    <w:rsid w:val="008239A6"/>
    <w:rsid w:val="00825DC2"/>
    <w:rsid w:val="00826611"/>
    <w:rsid w:val="00827653"/>
    <w:rsid w:val="00830565"/>
    <w:rsid w:val="00832099"/>
    <w:rsid w:val="00832E0A"/>
    <w:rsid w:val="0083475B"/>
    <w:rsid w:val="00835B13"/>
    <w:rsid w:val="00835F0A"/>
    <w:rsid w:val="00836627"/>
    <w:rsid w:val="00836778"/>
    <w:rsid w:val="00840C53"/>
    <w:rsid w:val="008414CE"/>
    <w:rsid w:val="0084225B"/>
    <w:rsid w:val="008429BE"/>
    <w:rsid w:val="00842CD2"/>
    <w:rsid w:val="00843F01"/>
    <w:rsid w:val="00845750"/>
    <w:rsid w:val="00846660"/>
    <w:rsid w:val="008501FF"/>
    <w:rsid w:val="00851441"/>
    <w:rsid w:val="00851EBC"/>
    <w:rsid w:val="00851FA3"/>
    <w:rsid w:val="008538AB"/>
    <w:rsid w:val="0085471B"/>
    <w:rsid w:val="0086024F"/>
    <w:rsid w:val="00861330"/>
    <w:rsid w:val="0086166B"/>
    <w:rsid w:val="008626BF"/>
    <w:rsid w:val="00864842"/>
    <w:rsid w:val="0086719C"/>
    <w:rsid w:val="00870373"/>
    <w:rsid w:val="008715E1"/>
    <w:rsid w:val="00871E22"/>
    <w:rsid w:val="00872459"/>
    <w:rsid w:val="00873330"/>
    <w:rsid w:val="008742A8"/>
    <w:rsid w:val="00874F95"/>
    <w:rsid w:val="00874FA6"/>
    <w:rsid w:val="00876290"/>
    <w:rsid w:val="00876AAD"/>
    <w:rsid w:val="00876DF6"/>
    <w:rsid w:val="00880114"/>
    <w:rsid w:val="00880A47"/>
    <w:rsid w:val="00880D85"/>
    <w:rsid w:val="00881F08"/>
    <w:rsid w:val="00883D10"/>
    <w:rsid w:val="00884AF0"/>
    <w:rsid w:val="0089023D"/>
    <w:rsid w:val="00891255"/>
    <w:rsid w:val="008916D5"/>
    <w:rsid w:val="008918FD"/>
    <w:rsid w:val="00892019"/>
    <w:rsid w:val="00892C78"/>
    <w:rsid w:val="00895882"/>
    <w:rsid w:val="008960CD"/>
    <w:rsid w:val="008A1126"/>
    <w:rsid w:val="008A5D0B"/>
    <w:rsid w:val="008A6861"/>
    <w:rsid w:val="008A74DB"/>
    <w:rsid w:val="008A7E63"/>
    <w:rsid w:val="008B2D35"/>
    <w:rsid w:val="008B2D70"/>
    <w:rsid w:val="008B2F00"/>
    <w:rsid w:val="008B6403"/>
    <w:rsid w:val="008B6746"/>
    <w:rsid w:val="008B6A94"/>
    <w:rsid w:val="008B7872"/>
    <w:rsid w:val="008C076F"/>
    <w:rsid w:val="008C109D"/>
    <w:rsid w:val="008C12E4"/>
    <w:rsid w:val="008C3327"/>
    <w:rsid w:val="008C34B4"/>
    <w:rsid w:val="008C3E09"/>
    <w:rsid w:val="008C4DB0"/>
    <w:rsid w:val="008C52D2"/>
    <w:rsid w:val="008C7274"/>
    <w:rsid w:val="008C73BC"/>
    <w:rsid w:val="008C7454"/>
    <w:rsid w:val="008C77C2"/>
    <w:rsid w:val="008D014D"/>
    <w:rsid w:val="008D0657"/>
    <w:rsid w:val="008D29B4"/>
    <w:rsid w:val="008D38EF"/>
    <w:rsid w:val="008D5116"/>
    <w:rsid w:val="008D51D3"/>
    <w:rsid w:val="008D64EB"/>
    <w:rsid w:val="008E16EA"/>
    <w:rsid w:val="008E24F6"/>
    <w:rsid w:val="008E4DD4"/>
    <w:rsid w:val="008E5D72"/>
    <w:rsid w:val="008F1079"/>
    <w:rsid w:val="008F2833"/>
    <w:rsid w:val="008F47CC"/>
    <w:rsid w:val="00900E74"/>
    <w:rsid w:val="00904101"/>
    <w:rsid w:val="009073CC"/>
    <w:rsid w:val="00910D2E"/>
    <w:rsid w:val="00910ECA"/>
    <w:rsid w:val="00911305"/>
    <w:rsid w:val="00911676"/>
    <w:rsid w:val="009118E4"/>
    <w:rsid w:val="00912A8F"/>
    <w:rsid w:val="00914E09"/>
    <w:rsid w:val="00916E97"/>
    <w:rsid w:val="009204AC"/>
    <w:rsid w:val="009205FF"/>
    <w:rsid w:val="0092126C"/>
    <w:rsid w:val="00921C69"/>
    <w:rsid w:val="00923560"/>
    <w:rsid w:val="00924393"/>
    <w:rsid w:val="009252F2"/>
    <w:rsid w:val="0092552C"/>
    <w:rsid w:val="009260BD"/>
    <w:rsid w:val="00927EAF"/>
    <w:rsid w:val="009310B3"/>
    <w:rsid w:val="00931913"/>
    <w:rsid w:val="00934303"/>
    <w:rsid w:val="0093463E"/>
    <w:rsid w:val="00935ABA"/>
    <w:rsid w:val="0093763A"/>
    <w:rsid w:val="00941AAC"/>
    <w:rsid w:val="00941D13"/>
    <w:rsid w:val="00941D37"/>
    <w:rsid w:val="00943248"/>
    <w:rsid w:val="00943E45"/>
    <w:rsid w:val="00945ADB"/>
    <w:rsid w:val="00945E01"/>
    <w:rsid w:val="009467C9"/>
    <w:rsid w:val="00947B90"/>
    <w:rsid w:val="00951450"/>
    <w:rsid w:val="0095259B"/>
    <w:rsid w:val="0095456A"/>
    <w:rsid w:val="009547B0"/>
    <w:rsid w:val="009550E2"/>
    <w:rsid w:val="00955BD3"/>
    <w:rsid w:val="00955D0D"/>
    <w:rsid w:val="009577E0"/>
    <w:rsid w:val="00957DED"/>
    <w:rsid w:val="009607BA"/>
    <w:rsid w:val="009608B7"/>
    <w:rsid w:val="00960FDF"/>
    <w:rsid w:val="0096463D"/>
    <w:rsid w:val="00965478"/>
    <w:rsid w:val="00966FD6"/>
    <w:rsid w:val="009671F0"/>
    <w:rsid w:val="0097215C"/>
    <w:rsid w:val="00975C28"/>
    <w:rsid w:val="00976DFD"/>
    <w:rsid w:val="00976FC1"/>
    <w:rsid w:val="009773EA"/>
    <w:rsid w:val="0097764C"/>
    <w:rsid w:val="0098031A"/>
    <w:rsid w:val="0098137A"/>
    <w:rsid w:val="009834D1"/>
    <w:rsid w:val="00984C52"/>
    <w:rsid w:val="00985A2C"/>
    <w:rsid w:val="00985A4A"/>
    <w:rsid w:val="0098689D"/>
    <w:rsid w:val="00986AA5"/>
    <w:rsid w:val="00987F15"/>
    <w:rsid w:val="009906BD"/>
    <w:rsid w:val="00992663"/>
    <w:rsid w:val="00994C2C"/>
    <w:rsid w:val="009A0C27"/>
    <w:rsid w:val="009A0DD3"/>
    <w:rsid w:val="009A1321"/>
    <w:rsid w:val="009A146A"/>
    <w:rsid w:val="009A208E"/>
    <w:rsid w:val="009A26F2"/>
    <w:rsid w:val="009A285E"/>
    <w:rsid w:val="009A29ED"/>
    <w:rsid w:val="009A3DAB"/>
    <w:rsid w:val="009A4000"/>
    <w:rsid w:val="009A6708"/>
    <w:rsid w:val="009A6870"/>
    <w:rsid w:val="009B0037"/>
    <w:rsid w:val="009B0284"/>
    <w:rsid w:val="009B194F"/>
    <w:rsid w:val="009B1AD4"/>
    <w:rsid w:val="009B2435"/>
    <w:rsid w:val="009B291A"/>
    <w:rsid w:val="009C00D0"/>
    <w:rsid w:val="009C0A83"/>
    <w:rsid w:val="009C1770"/>
    <w:rsid w:val="009C18CC"/>
    <w:rsid w:val="009C2323"/>
    <w:rsid w:val="009C678A"/>
    <w:rsid w:val="009C67C0"/>
    <w:rsid w:val="009C7533"/>
    <w:rsid w:val="009D0533"/>
    <w:rsid w:val="009D18CC"/>
    <w:rsid w:val="009D1F2D"/>
    <w:rsid w:val="009D43EF"/>
    <w:rsid w:val="009D60F3"/>
    <w:rsid w:val="009D6172"/>
    <w:rsid w:val="009E11B8"/>
    <w:rsid w:val="009E2368"/>
    <w:rsid w:val="009E35E1"/>
    <w:rsid w:val="009E3979"/>
    <w:rsid w:val="009E412F"/>
    <w:rsid w:val="009E4A75"/>
    <w:rsid w:val="009E50FE"/>
    <w:rsid w:val="009E5674"/>
    <w:rsid w:val="009E60E4"/>
    <w:rsid w:val="009E6893"/>
    <w:rsid w:val="009E6F79"/>
    <w:rsid w:val="009E7825"/>
    <w:rsid w:val="009F0E10"/>
    <w:rsid w:val="009F130C"/>
    <w:rsid w:val="009F66D4"/>
    <w:rsid w:val="009F74B1"/>
    <w:rsid w:val="00A00BB9"/>
    <w:rsid w:val="00A01941"/>
    <w:rsid w:val="00A021A7"/>
    <w:rsid w:val="00A0303C"/>
    <w:rsid w:val="00A05039"/>
    <w:rsid w:val="00A0522A"/>
    <w:rsid w:val="00A06B33"/>
    <w:rsid w:val="00A07972"/>
    <w:rsid w:val="00A10434"/>
    <w:rsid w:val="00A106AE"/>
    <w:rsid w:val="00A11415"/>
    <w:rsid w:val="00A11E27"/>
    <w:rsid w:val="00A17710"/>
    <w:rsid w:val="00A177B8"/>
    <w:rsid w:val="00A17971"/>
    <w:rsid w:val="00A17D76"/>
    <w:rsid w:val="00A20534"/>
    <w:rsid w:val="00A23220"/>
    <w:rsid w:val="00A2346A"/>
    <w:rsid w:val="00A23A35"/>
    <w:rsid w:val="00A2566A"/>
    <w:rsid w:val="00A26216"/>
    <w:rsid w:val="00A26E93"/>
    <w:rsid w:val="00A26F99"/>
    <w:rsid w:val="00A27CE6"/>
    <w:rsid w:val="00A30828"/>
    <w:rsid w:val="00A30A4F"/>
    <w:rsid w:val="00A30EDC"/>
    <w:rsid w:val="00A31B57"/>
    <w:rsid w:val="00A32CEF"/>
    <w:rsid w:val="00A33E71"/>
    <w:rsid w:val="00A3400B"/>
    <w:rsid w:val="00A34576"/>
    <w:rsid w:val="00A416B9"/>
    <w:rsid w:val="00A41CDA"/>
    <w:rsid w:val="00A42291"/>
    <w:rsid w:val="00A43A70"/>
    <w:rsid w:val="00A45687"/>
    <w:rsid w:val="00A5059B"/>
    <w:rsid w:val="00A51694"/>
    <w:rsid w:val="00A529BF"/>
    <w:rsid w:val="00A551C0"/>
    <w:rsid w:val="00A566D6"/>
    <w:rsid w:val="00A56DA3"/>
    <w:rsid w:val="00A56E19"/>
    <w:rsid w:val="00A573AE"/>
    <w:rsid w:val="00A57DED"/>
    <w:rsid w:val="00A6125B"/>
    <w:rsid w:val="00A613AB"/>
    <w:rsid w:val="00A61622"/>
    <w:rsid w:val="00A62809"/>
    <w:rsid w:val="00A64F98"/>
    <w:rsid w:val="00A6549C"/>
    <w:rsid w:val="00A657C4"/>
    <w:rsid w:val="00A6591F"/>
    <w:rsid w:val="00A65F5A"/>
    <w:rsid w:val="00A66441"/>
    <w:rsid w:val="00A706FB"/>
    <w:rsid w:val="00A70DB1"/>
    <w:rsid w:val="00A73FDB"/>
    <w:rsid w:val="00A74FD6"/>
    <w:rsid w:val="00A753F1"/>
    <w:rsid w:val="00A75537"/>
    <w:rsid w:val="00A778BC"/>
    <w:rsid w:val="00A81920"/>
    <w:rsid w:val="00A81BA6"/>
    <w:rsid w:val="00A84EA8"/>
    <w:rsid w:val="00A863C2"/>
    <w:rsid w:val="00A87CDF"/>
    <w:rsid w:val="00A90112"/>
    <w:rsid w:val="00A90E67"/>
    <w:rsid w:val="00A90EA0"/>
    <w:rsid w:val="00A93D27"/>
    <w:rsid w:val="00A94A89"/>
    <w:rsid w:val="00A94AB4"/>
    <w:rsid w:val="00A94BF4"/>
    <w:rsid w:val="00A96900"/>
    <w:rsid w:val="00A97664"/>
    <w:rsid w:val="00A978C2"/>
    <w:rsid w:val="00AA05C2"/>
    <w:rsid w:val="00AA21D4"/>
    <w:rsid w:val="00AA6CD8"/>
    <w:rsid w:val="00AB02D3"/>
    <w:rsid w:val="00AB0572"/>
    <w:rsid w:val="00AB1190"/>
    <w:rsid w:val="00AB315F"/>
    <w:rsid w:val="00AB4A1A"/>
    <w:rsid w:val="00AB507F"/>
    <w:rsid w:val="00AB7FCC"/>
    <w:rsid w:val="00AC1D8A"/>
    <w:rsid w:val="00AC2B49"/>
    <w:rsid w:val="00AC2C10"/>
    <w:rsid w:val="00AC2E5C"/>
    <w:rsid w:val="00AC2E94"/>
    <w:rsid w:val="00AC3770"/>
    <w:rsid w:val="00AC4091"/>
    <w:rsid w:val="00AC4C46"/>
    <w:rsid w:val="00AC5171"/>
    <w:rsid w:val="00AC57F9"/>
    <w:rsid w:val="00AC7BD8"/>
    <w:rsid w:val="00AD0250"/>
    <w:rsid w:val="00AD1DC3"/>
    <w:rsid w:val="00AD3A62"/>
    <w:rsid w:val="00AD55D3"/>
    <w:rsid w:val="00AE14E2"/>
    <w:rsid w:val="00AE2E8D"/>
    <w:rsid w:val="00AE2EB4"/>
    <w:rsid w:val="00AE3260"/>
    <w:rsid w:val="00AE3A96"/>
    <w:rsid w:val="00AE5077"/>
    <w:rsid w:val="00AE5581"/>
    <w:rsid w:val="00AF0293"/>
    <w:rsid w:val="00AF0C19"/>
    <w:rsid w:val="00AF0E6E"/>
    <w:rsid w:val="00AF205E"/>
    <w:rsid w:val="00AF25AA"/>
    <w:rsid w:val="00AF27A4"/>
    <w:rsid w:val="00AF3F2C"/>
    <w:rsid w:val="00AF4AEB"/>
    <w:rsid w:val="00AF5235"/>
    <w:rsid w:val="00AF5707"/>
    <w:rsid w:val="00AF5AAE"/>
    <w:rsid w:val="00AF74C0"/>
    <w:rsid w:val="00B00BAD"/>
    <w:rsid w:val="00B02298"/>
    <w:rsid w:val="00B03F46"/>
    <w:rsid w:val="00B03F5E"/>
    <w:rsid w:val="00B0420E"/>
    <w:rsid w:val="00B057D2"/>
    <w:rsid w:val="00B05A0B"/>
    <w:rsid w:val="00B0728F"/>
    <w:rsid w:val="00B07683"/>
    <w:rsid w:val="00B104A2"/>
    <w:rsid w:val="00B108CC"/>
    <w:rsid w:val="00B109E2"/>
    <w:rsid w:val="00B12D63"/>
    <w:rsid w:val="00B156C1"/>
    <w:rsid w:val="00B173E7"/>
    <w:rsid w:val="00B177D5"/>
    <w:rsid w:val="00B1786A"/>
    <w:rsid w:val="00B20861"/>
    <w:rsid w:val="00B20CC7"/>
    <w:rsid w:val="00B211F3"/>
    <w:rsid w:val="00B21294"/>
    <w:rsid w:val="00B22ECC"/>
    <w:rsid w:val="00B243D9"/>
    <w:rsid w:val="00B248B4"/>
    <w:rsid w:val="00B25DF5"/>
    <w:rsid w:val="00B269EA"/>
    <w:rsid w:val="00B3217C"/>
    <w:rsid w:val="00B326E5"/>
    <w:rsid w:val="00B32C8C"/>
    <w:rsid w:val="00B32E41"/>
    <w:rsid w:val="00B33291"/>
    <w:rsid w:val="00B334AC"/>
    <w:rsid w:val="00B33C11"/>
    <w:rsid w:val="00B345C2"/>
    <w:rsid w:val="00B34910"/>
    <w:rsid w:val="00B36BFA"/>
    <w:rsid w:val="00B42D18"/>
    <w:rsid w:val="00B451AF"/>
    <w:rsid w:val="00B46327"/>
    <w:rsid w:val="00B46442"/>
    <w:rsid w:val="00B47AF9"/>
    <w:rsid w:val="00B502FF"/>
    <w:rsid w:val="00B525D5"/>
    <w:rsid w:val="00B53040"/>
    <w:rsid w:val="00B537CE"/>
    <w:rsid w:val="00B53B59"/>
    <w:rsid w:val="00B54332"/>
    <w:rsid w:val="00B54763"/>
    <w:rsid w:val="00B55FE2"/>
    <w:rsid w:val="00B56A3B"/>
    <w:rsid w:val="00B56F6A"/>
    <w:rsid w:val="00B602AC"/>
    <w:rsid w:val="00B604A2"/>
    <w:rsid w:val="00B61FFD"/>
    <w:rsid w:val="00B63213"/>
    <w:rsid w:val="00B633D1"/>
    <w:rsid w:val="00B63986"/>
    <w:rsid w:val="00B63D8C"/>
    <w:rsid w:val="00B6472F"/>
    <w:rsid w:val="00B65164"/>
    <w:rsid w:val="00B656F5"/>
    <w:rsid w:val="00B70196"/>
    <w:rsid w:val="00B71AF4"/>
    <w:rsid w:val="00B7213F"/>
    <w:rsid w:val="00B727A6"/>
    <w:rsid w:val="00B74DB3"/>
    <w:rsid w:val="00B757B4"/>
    <w:rsid w:val="00B75F3D"/>
    <w:rsid w:val="00B76E00"/>
    <w:rsid w:val="00B7730A"/>
    <w:rsid w:val="00B77A46"/>
    <w:rsid w:val="00B81E56"/>
    <w:rsid w:val="00B822DD"/>
    <w:rsid w:val="00B82B3C"/>
    <w:rsid w:val="00B843DB"/>
    <w:rsid w:val="00B844DE"/>
    <w:rsid w:val="00B8468E"/>
    <w:rsid w:val="00B84ABA"/>
    <w:rsid w:val="00B85062"/>
    <w:rsid w:val="00B871FD"/>
    <w:rsid w:val="00B914A1"/>
    <w:rsid w:val="00B939D5"/>
    <w:rsid w:val="00B941BA"/>
    <w:rsid w:val="00B9567A"/>
    <w:rsid w:val="00B9738E"/>
    <w:rsid w:val="00B974BE"/>
    <w:rsid w:val="00BA0C1A"/>
    <w:rsid w:val="00BA13F3"/>
    <w:rsid w:val="00BA2429"/>
    <w:rsid w:val="00BA2767"/>
    <w:rsid w:val="00BA283F"/>
    <w:rsid w:val="00BA628A"/>
    <w:rsid w:val="00BB01D5"/>
    <w:rsid w:val="00BB09CD"/>
    <w:rsid w:val="00BB2904"/>
    <w:rsid w:val="00BB3E06"/>
    <w:rsid w:val="00BB4251"/>
    <w:rsid w:val="00BB427D"/>
    <w:rsid w:val="00BB548C"/>
    <w:rsid w:val="00BB5710"/>
    <w:rsid w:val="00BB6EED"/>
    <w:rsid w:val="00BB7452"/>
    <w:rsid w:val="00BB7E81"/>
    <w:rsid w:val="00BC075F"/>
    <w:rsid w:val="00BC0DFD"/>
    <w:rsid w:val="00BC23E8"/>
    <w:rsid w:val="00BC274B"/>
    <w:rsid w:val="00BC299B"/>
    <w:rsid w:val="00BC370A"/>
    <w:rsid w:val="00BC4F01"/>
    <w:rsid w:val="00BC63D9"/>
    <w:rsid w:val="00BC6575"/>
    <w:rsid w:val="00BD0C49"/>
    <w:rsid w:val="00BD29E2"/>
    <w:rsid w:val="00BD4574"/>
    <w:rsid w:val="00BD6C6C"/>
    <w:rsid w:val="00BD7125"/>
    <w:rsid w:val="00BE1168"/>
    <w:rsid w:val="00BE1C8B"/>
    <w:rsid w:val="00BE4B65"/>
    <w:rsid w:val="00BE56E3"/>
    <w:rsid w:val="00BF3E43"/>
    <w:rsid w:val="00BF452A"/>
    <w:rsid w:val="00BF4825"/>
    <w:rsid w:val="00BF5865"/>
    <w:rsid w:val="00BF5FA7"/>
    <w:rsid w:val="00C009EB"/>
    <w:rsid w:val="00C00FCB"/>
    <w:rsid w:val="00C048BC"/>
    <w:rsid w:val="00C06748"/>
    <w:rsid w:val="00C108E0"/>
    <w:rsid w:val="00C10C10"/>
    <w:rsid w:val="00C126FE"/>
    <w:rsid w:val="00C133A4"/>
    <w:rsid w:val="00C16FD9"/>
    <w:rsid w:val="00C17C32"/>
    <w:rsid w:val="00C2029A"/>
    <w:rsid w:val="00C20594"/>
    <w:rsid w:val="00C20896"/>
    <w:rsid w:val="00C209E8"/>
    <w:rsid w:val="00C21211"/>
    <w:rsid w:val="00C22375"/>
    <w:rsid w:val="00C24294"/>
    <w:rsid w:val="00C243D5"/>
    <w:rsid w:val="00C278FE"/>
    <w:rsid w:val="00C27A6E"/>
    <w:rsid w:val="00C30AD8"/>
    <w:rsid w:val="00C31064"/>
    <w:rsid w:val="00C31F17"/>
    <w:rsid w:val="00C32705"/>
    <w:rsid w:val="00C330BD"/>
    <w:rsid w:val="00C344FF"/>
    <w:rsid w:val="00C345D5"/>
    <w:rsid w:val="00C3558D"/>
    <w:rsid w:val="00C35C33"/>
    <w:rsid w:val="00C361E1"/>
    <w:rsid w:val="00C3630B"/>
    <w:rsid w:val="00C36C4F"/>
    <w:rsid w:val="00C37796"/>
    <w:rsid w:val="00C40840"/>
    <w:rsid w:val="00C41091"/>
    <w:rsid w:val="00C411F5"/>
    <w:rsid w:val="00C4149D"/>
    <w:rsid w:val="00C41EBE"/>
    <w:rsid w:val="00C430B7"/>
    <w:rsid w:val="00C44375"/>
    <w:rsid w:val="00C45682"/>
    <w:rsid w:val="00C45757"/>
    <w:rsid w:val="00C45CEC"/>
    <w:rsid w:val="00C4628A"/>
    <w:rsid w:val="00C47920"/>
    <w:rsid w:val="00C502E7"/>
    <w:rsid w:val="00C503C2"/>
    <w:rsid w:val="00C515D2"/>
    <w:rsid w:val="00C52321"/>
    <w:rsid w:val="00C5509E"/>
    <w:rsid w:val="00C55E33"/>
    <w:rsid w:val="00C5624C"/>
    <w:rsid w:val="00C60AD6"/>
    <w:rsid w:val="00C646CA"/>
    <w:rsid w:val="00C67436"/>
    <w:rsid w:val="00C67C40"/>
    <w:rsid w:val="00C67CEC"/>
    <w:rsid w:val="00C70F5A"/>
    <w:rsid w:val="00C71B99"/>
    <w:rsid w:val="00C71DAF"/>
    <w:rsid w:val="00C71FB7"/>
    <w:rsid w:val="00C721C7"/>
    <w:rsid w:val="00C74033"/>
    <w:rsid w:val="00C741D6"/>
    <w:rsid w:val="00C74212"/>
    <w:rsid w:val="00C80481"/>
    <w:rsid w:val="00C81434"/>
    <w:rsid w:val="00C8148F"/>
    <w:rsid w:val="00C82F80"/>
    <w:rsid w:val="00C86799"/>
    <w:rsid w:val="00C8733B"/>
    <w:rsid w:val="00C87593"/>
    <w:rsid w:val="00C9320B"/>
    <w:rsid w:val="00C9392A"/>
    <w:rsid w:val="00C94D24"/>
    <w:rsid w:val="00C955E8"/>
    <w:rsid w:val="00C95DDD"/>
    <w:rsid w:val="00C96603"/>
    <w:rsid w:val="00C971F6"/>
    <w:rsid w:val="00CA122D"/>
    <w:rsid w:val="00CA20F0"/>
    <w:rsid w:val="00CA2987"/>
    <w:rsid w:val="00CA329A"/>
    <w:rsid w:val="00CA3A59"/>
    <w:rsid w:val="00CA3F22"/>
    <w:rsid w:val="00CA4D72"/>
    <w:rsid w:val="00CA528B"/>
    <w:rsid w:val="00CA5F65"/>
    <w:rsid w:val="00CA6BC0"/>
    <w:rsid w:val="00CA70E1"/>
    <w:rsid w:val="00CB011B"/>
    <w:rsid w:val="00CB0352"/>
    <w:rsid w:val="00CB1A55"/>
    <w:rsid w:val="00CB1CEA"/>
    <w:rsid w:val="00CB273B"/>
    <w:rsid w:val="00CB2C78"/>
    <w:rsid w:val="00CB3E0A"/>
    <w:rsid w:val="00CB4AA9"/>
    <w:rsid w:val="00CB6097"/>
    <w:rsid w:val="00CB7249"/>
    <w:rsid w:val="00CB7D65"/>
    <w:rsid w:val="00CC051A"/>
    <w:rsid w:val="00CC18FC"/>
    <w:rsid w:val="00CC1B00"/>
    <w:rsid w:val="00CC2F61"/>
    <w:rsid w:val="00CC5FEB"/>
    <w:rsid w:val="00CC6154"/>
    <w:rsid w:val="00CC7F28"/>
    <w:rsid w:val="00CD0AA4"/>
    <w:rsid w:val="00CD53F8"/>
    <w:rsid w:val="00CD59D1"/>
    <w:rsid w:val="00CE082B"/>
    <w:rsid w:val="00CE2521"/>
    <w:rsid w:val="00CE416D"/>
    <w:rsid w:val="00CE431B"/>
    <w:rsid w:val="00CE6459"/>
    <w:rsid w:val="00CE7328"/>
    <w:rsid w:val="00CF139D"/>
    <w:rsid w:val="00CF33F4"/>
    <w:rsid w:val="00CF33F7"/>
    <w:rsid w:val="00CF409F"/>
    <w:rsid w:val="00CF4975"/>
    <w:rsid w:val="00CF669C"/>
    <w:rsid w:val="00CF7602"/>
    <w:rsid w:val="00CF7E3E"/>
    <w:rsid w:val="00D04363"/>
    <w:rsid w:val="00D045D2"/>
    <w:rsid w:val="00D05B41"/>
    <w:rsid w:val="00D06CF6"/>
    <w:rsid w:val="00D07515"/>
    <w:rsid w:val="00D07737"/>
    <w:rsid w:val="00D1089B"/>
    <w:rsid w:val="00D10AF9"/>
    <w:rsid w:val="00D10FB6"/>
    <w:rsid w:val="00D11E41"/>
    <w:rsid w:val="00D132AB"/>
    <w:rsid w:val="00D15472"/>
    <w:rsid w:val="00D16310"/>
    <w:rsid w:val="00D16D9B"/>
    <w:rsid w:val="00D20FDA"/>
    <w:rsid w:val="00D214B1"/>
    <w:rsid w:val="00D223B8"/>
    <w:rsid w:val="00D22936"/>
    <w:rsid w:val="00D23F2C"/>
    <w:rsid w:val="00D24880"/>
    <w:rsid w:val="00D24C0E"/>
    <w:rsid w:val="00D258E2"/>
    <w:rsid w:val="00D25EF9"/>
    <w:rsid w:val="00D261F5"/>
    <w:rsid w:val="00D2720C"/>
    <w:rsid w:val="00D278B5"/>
    <w:rsid w:val="00D31586"/>
    <w:rsid w:val="00D32673"/>
    <w:rsid w:val="00D333D5"/>
    <w:rsid w:val="00D33AA7"/>
    <w:rsid w:val="00D34402"/>
    <w:rsid w:val="00D361F9"/>
    <w:rsid w:val="00D36F92"/>
    <w:rsid w:val="00D41060"/>
    <w:rsid w:val="00D428C6"/>
    <w:rsid w:val="00D44071"/>
    <w:rsid w:val="00D444E3"/>
    <w:rsid w:val="00D44711"/>
    <w:rsid w:val="00D449F5"/>
    <w:rsid w:val="00D44F6C"/>
    <w:rsid w:val="00D463B3"/>
    <w:rsid w:val="00D46C14"/>
    <w:rsid w:val="00D47381"/>
    <w:rsid w:val="00D502C6"/>
    <w:rsid w:val="00D51CCB"/>
    <w:rsid w:val="00D521BE"/>
    <w:rsid w:val="00D541ED"/>
    <w:rsid w:val="00D54B53"/>
    <w:rsid w:val="00D56FFB"/>
    <w:rsid w:val="00D615EF"/>
    <w:rsid w:val="00D62DB6"/>
    <w:rsid w:val="00D63D80"/>
    <w:rsid w:val="00D64ABF"/>
    <w:rsid w:val="00D662FF"/>
    <w:rsid w:val="00D66906"/>
    <w:rsid w:val="00D676DD"/>
    <w:rsid w:val="00D7362C"/>
    <w:rsid w:val="00D736CC"/>
    <w:rsid w:val="00D74128"/>
    <w:rsid w:val="00D74CA6"/>
    <w:rsid w:val="00D75127"/>
    <w:rsid w:val="00D8053C"/>
    <w:rsid w:val="00D81207"/>
    <w:rsid w:val="00D825A3"/>
    <w:rsid w:val="00D83A99"/>
    <w:rsid w:val="00D84949"/>
    <w:rsid w:val="00D85156"/>
    <w:rsid w:val="00D853C3"/>
    <w:rsid w:val="00D87EE7"/>
    <w:rsid w:val="00D900DE"/>
    <w:rsid w:val="00D90D85"/>
    <w:rsid w:val="00D91D47"/>
    <w:rsid w:val="00D92C43"/>
    <w:rsid w:val="00D94108"/>
    <w:rsid w:val="00D94E62"/>
    <w:rsid w:val="00D957AC"/>
    <w:rsid w:val="00D96325"/>
    <w:rsid w:val="00D965F8"/>
    <w:rsid w:val="00DA17A8"/>
    <w:rsid w:val="00DA1EA2"/>
    <w:rsid w:val="00DA28A9"/>
    <w:rsid w:val="00DA3CEB"/>
    <w:rsid w:val="00DA47F5"/>
    <w:rsid w:val="00DA6143"/>
    <w:rsid w:val="00DA7F7F"/>
    <w:rsid w:val="00DB1BBF"/>
    <w:rsid w:val="00DB2D35"/>
    <w:rsid w:val="00DB42C3"/>
    <w:rsid w:val="00DB48B3"/>
    <w:rsid w:val="00DB4B20"/>
    <w:rsid w:val="00DB6404"/>
    <w:rsid w:val="00DB6FD1"/>
    <w:rsid w:val="00DC161D"/>
    <w:rsid w:val="00DC3215"/>
    <w:rsid w:val="00DC3506"/>
    <w:rsid w:val="00DC45A4"/>
    <w:rsid w:val="00DC576F"/>
    <w:rsid w:val="00DC688C"/>
    <w:rsid w:val="00DD3DCD"/>
    <w:rsid w:val="00DD4FB7"/>
    <w:rsid w:val="00DD6358"/>
    <w:rsid w:val="00DD63F0"/>
    <w:rsid w:val="00DD6724"/>
    <w:rsid w:val="00DD7556"/>
    <w:rsid w:val="00DD7AC6"/>
    <w:rsid w:val="00DE050A"/>
    <w:rsid w:val="00DE123A"/>
    <w:rsid w:val="00DE1F0B"/>
    <w:rsid w:val="00DE20D5"/>
    <w:rsid w:val="00DE31FC"/>
    <w:rsid w:val="00DE3FB0"/>
    <w:rsid w:val="00DE598F"/>
    <w:rsid w:val="00DE633E"/>
    <w:rsid w:val="00DF0A66"/>
    <w:rsid w:val="00DF0B58"/>
    <w:rsid w:val="00DF1304"/>
    <w:rsid w:val="00DF297D"/>
    <w:rsid w:val="00DF3180"/>
    <w:rsid w:val="00DF3314"/>
    <w:rsid w:val="00DF37D9"/>
    <w:rsid w:val="00DF6FB8"/>
    <w:rsid w:val="00DF7DD9"/>
    <w:rsid w:val="00E004D4"/>
    <w:rsid w:val="00E00D3B"/>
    <w:rsid w:val="00E00E96"/>
    <w:rsid w:val="00E00FEC"/>
    <w:rsid w:val="00E02E2E"/>
    <w:rsid w:val="00E05E03"/>
    <w:rsid w:val="00E10010"/>
    <w:rsid w:val="00E104B0"/>
    <w:rsid w:val="00E12A65"/>
    <w:rsid w:val="00E12FA9"/>
    <w:rsid w:val="00E138DB"/>
    <w:rsid w:val="00E15F98"/>
    <w:rsid w:val="00E15FCD"/>
    <w:rsid w:val="00E16611"/>
    <w:rsid w:val="00E16EAD"/>
    <w:rsid w:val="00E20606"/>
    <w:rsid w:val="00E208FF"/>
    <w:rsid w:val="00E20E64"/>
    <w:rsid w:val="00E2104B"/>
    <w:rsid w:val="00E2505B"/>
    <w:rsid w:val="00E252A2"/>
    <w:rsid w:val="00E272D4"/>
    <w:rsid w:val="00E30D9A"/>
    <w:rsid w:val="00E318B7"/>
    <w:rsid w:val="00E327BE"/>
    <w:rsid w:val="00E33126"/>
    <w:rsid w:val="00E34CE1"/>
    <w:rsid w:val="00E37881"/>
    <w:rsid w:val="00E40747"/>
    <w:rsid w:val="00E40DB4"/>
    <w:rsid w:val="00E42AED"/>
    <w:rsid w:val="00E45451"/>
    <w:rsid w:val="00E46748"/>
    <w:rsid w:val="00E473C3"/>
    <w:rsid w:val="00E4788A"/>
    <w:rsid w:val="00E50124"/>
    <w:rsid w:val="00E50292"/>
    <w:rsid w:val="00E502B1"/>
    <w:rsid w:val="00E516FC"/>
    <w:rsid w:val="00E51997"/>
    <w:rsid w:val="00E52497"/>
    <w:rsid w:val="00E524A6"/>
    <w:rsid w:val="00E52E8D"/>
    <w:rsid w:val="00E54284"/>
    <w:rsid w:val="00E54E12"/>
    <w:rsid w:val="00E556AE"/>
    <w:rsid w:val="00E55C10"/>
    <w:rsid w:val="00E56087"/>
    <w:rsid w:val="00E56BA1"/>
    <w:rsid w:val="00E57127"/>
    <w:rsid w:val="00E5748F"/>
    <w:rsid w:val="00E57E36"/>
    <w:rsid w:val="00E63218"/>
    <w:rsid w:val="00E64065"/>
    <w:rsid w:val="00E665A3"/>
    <w:rsid w:val="00E66F6A"/>
    <w:rsid w:val="00E67F1C"/>
    <w:rsid w:val="00E7016C"/>
    <w:rsid w:val="00E704F7"/>
    <w:rsid w:val="00E71249"/>
    <w:rsid w:val="00E71319"/>
    <w:rsid w:val="00E73399"/>
    <w:rsid w:val="00E74939"/>
    <w:rsid w:val="00E80BF6"/>
    <w:rsid w:val="00E80E6D"/>
    <w:rsid w:val="00E81486"/>
    <w:rsid w:val="00E81588"/>
    <w:rsid w:val="00E8237F"/>
    <w:rsid w:val="00E82F22"/>
    <w:rsid w:val="00E83CDF"/>
    <w:rsid w:val="00E85108"/>
    <w:rsid w:val="00E851D8"/>
    <w:rsid w:val="00E87202"/>
    <w:rsid w:val="00E90452"/>
    <w:rsid w:val="00E909A6"/>
    <w:rsid w:val="00E90C9F"/>
    <w:rsid w:val="00E911D9"/>
    <w:rsid w:val="00E9125E"/>
    <w:rsid w:val="00E91580"/>
    <w:rsid w:val="00E91A73"/>
    <w:rsid w:val="00E927FF"/>
    <w:rsid w:val="00E92BF0"/>
    <w:rsid w:val="00E92C48"/>
    <w:rsid w:val="00E938C0"/>
    <w:rsid w:val="00E94091"/>
    <w:rsid w:val="00E941AE"/>
    <w:rsid w:val="00E968BE"/>
    <w:rsid w:val="00E97D64"/>
    <w:rsid w:val="00EA4840"/>
    <w:rsid w:val="00EA5DFF"/>
    <w:rsid w:val="00EA60AF"/>
    <w:rsid w:val="00EA7677"/>
    <w:rsid w:val="00EB31E8"/>
    <w:rsid w:val="00EB44C4"/>
    <w:rsid w:val="00EB568C"/>
    <w:rsid w:val="00EB580F"/>
    <w:rsid w:val="00EB6336"/>
    <w:rsid w:val="00EB700B"/>
    <w:rsid w:val="00EB7FD4"/>
    <w:rsid w:val="00EC0484"/>
    <w:rsid w:val="00EC0549"/>
    <w:rsid w:val="00EC1956"/>
    <w:rsid w:val="00EC1B4F"/>
    <w:rsid w:val="00EC3425"/>
    <w:rsid w:val="00EC39F4"/>
    <w:rsid w:val="00EC4FB6"/>
    <w:rsid w:val="00EC6243"/>
    <w:rsid w:val="00EC6311"/>
    <w:rsid w:val="00EC773B"/>
    <w:rsid w:val="00ED13A1"/>
    <w:rsid w:val="00ED14A9"/>
    <w:rsid w:val="00ED20D9"/>
    <w:rsid w:val="00ED28ED"/>
    <w:rsid w:val="00ED418B"/>
    <w:rsid w:val="00ED4598"/>
    <w:rsid w:val="00ED5E89"/>
    <w:rsid w:val="00ED68BC"/>
    <w:rsid w:val="00ED75A7"/>
    <w:rsid w:val="00ED7D7E"/>
    <w:rsid w:val="00EE15B4"/>
    <w:rsid w:val="00EE1CCE"/>
    <w:rsid w:val="00EE207F"/>
    <w:rsid w:val="00EE3860"/>
    <w:rsid w:val="00EE3ADA"/>
    <w:rsid w:val="00EE5ABE"/>
    <w:rsid w:val="00EE5F06"/>
    <w:rsid w:val="00EF1FF1"/>
    <w:rsid w:val="00EF20EA"/>
    <w:rsid w:val="00EF3633"/>
    <w:rsid w:val="00EF4710"/>
    <w:rsid w:val="00EF64DD"/>
    <w:rsid w:val="00EF6C3E"/>
    <w:rsid w:val="00EF7C9A"/>
    <w:rsid w:val="00F03940"/>
    <w:rsid w:val="00F05610"/>
    <w:rsid w:val="00F0598C"/>
    <w:rsid w:val="00F10985"/>
    <w:rsid w:val="00F10B44"/>
    <w:rsid w:val="00F1205D"/>
    <w:rsid w:val="00F15248"/>
    <w:rsid w:val="00F158AC"/>
    <w:rsid w:val="00F1766B"/>
    <w:rsid w:val="00F2020F"/>
    <w:rsid w:val="00F2142E"/>
    <w:rsid w:val="00F2486D"/>
    <w:rsid w:val="00F270BF"/>
    <w:rsid w:val="00F27609"/>
    <w:rsid w:val="00F302C2"/>
    <w:rsid w:val="00F313DD"/>
    <w:rsid w:val="00F31734"/>
    <w:rsid w:val="00F321F6"/>
    <w:rsid w:val="00F330B2"/>
    <w:rsid w:val="00F3349C"/>
    <w:rsid w:val="00F34DE2"/>
    <w:rsid w:val="00F37244"/>
    <w:rsid w:val="00F43FD4"/>
    <w:rsid w:val="00F457C7"/>
    <w:rsid w:val="00F46C77"/>
    <w:rsid w:val="00F479EF"/>
    <w:rsid w:val="00F532B3"/>
    <w:rsid w:val="00F53D08"/>
    <w:rsid w:val="00F542A1"/>
    <w:rsid w:val="00F55B4E"/>
    <w:rsid w:val="00F57228"/>
    <w:rsid w:val="00F62911"/>
    <w:rsid w:val="00F649FB"/>
    <w:rsid w:val="00F65CC4"/>
    <w:rsid w:val="00F65CCB"/>
    <w:rsid w:val="00F661F4"/>
    <w:rsid w:val="00F67125"/>
    <w:rsid w:val="00F67D9F"/>
    <w:rsid w:val="00F70C97"/>
    <w:rsid w:val="00F70E71"/>
    <w:rsid w:val="00F71D3C"/>
    <w:rsid w:val="00F72C44"/>
    <w:rsid w:val="00F73237"/>
    <w:rsid w:val="00F73A5A"/>
    <w:rsid w:val="00F73E9A"/>
    <w:rsid w:val="00F73F0D"/>
    <w:rsid w:val="00F747E6"/>
    <w:rsid w:val="00F75B3F"/>
    <w:rsid w:val="00F763AB"/>
    <w:rsid w:val="00F76960"/>
    <w:rsid w:val="00F76F7D"/>
    <w:rsid w:val="00F770F8"/>
    <w:rsid w:val="00F770FA"/>
    <w:rsid w:val="00F779A5"/>
    <w:rsid w:val="00F8109E"/>
    <w:rsid w:val="00F83151"/>
    <w:rsid w:val="00F83897"/>
    <w:rsid w:val="00F8501C"/>
    <w:rsid w:val="00F854B3"/>
    <w:rsid w:val="00F85C94"/>
    <w:rsid w:val="00F8683E"/>
    <w:rsid w:val="00F869E3"/>
    <w:rsid w:val="00F8736C"/>
    <w:rsid w:val="00F8749C"/>
    <w:rsid w:val="00F87983"/>
    <w:rsid w:val="00F90F48"/>
    <w:rsid w:val="00F916BB"/>
    <w:rsid w:val="00F91AFF"/>
    <w:rsid w:val="00F91EE2"/>
    <w:rsid w:val="00F937DF"/>
    <w:rsid w:val="00F953E2"/>
    <w:rsid w:val="00F955EE"/>
    <w:rsid w:val="00F9571D"/>
    <w:rsid w:val="00F957D0"/>
    <w:rsid w:val="00F964E6"/>
    <w:rsid w:val="00F97890"/>
    <w:rsid w:val="00FA2C80"/>
    <w:rsid w:val="00FA2CEC"/>
    <w:rsid w:val="00FA3A01"/>
    <w:rsid w:val="00FA43E7"/>
    <w:rsid w:val="00FA52C0"/>
    <w:rsid w:val="00FA52FB"/>
    <w:rsid w:val="00FA532D"/>
    <w:rsid w:val="00FA6AE5"/>
    <w:rsid w:val="00FA7641"/>
    <w:rsid w:val="00FB06F9"/>
    <w:rsid w:val="00FB5CF8"/>
    <w:rsid w:val="00FB6013"/>
    <w:rsid w:val="00FB78F1"/>
    <w:rsid w:val="00FC0815"/>
    <w:rsid w:val="00FC0B63"/>
    <w:rsid w:val="00FC0CB7"/>
    <w:rsid w:val="00FC1F87"/>
    <w:rsid w:val="00FC4238"/>
    <w:rsid w:val="00FC49B8"/>
    <w:rsid w:val="00FC5157"/>
    <w:rsid w:val="00FC6369"/>
    <w:rsid w:val="00FC7CA3"/>
    <w:rsid w:val="00FD0EB4"/>
    <w:rsid w:val="00FD1EBA"/>
    <w:rsid w:val="00FD25B0"/>
    <w:rsid w:val="00FD788F"/>
    <w:rsid w:val="00FE12D2"/>
    <w:rsid w:val="00FE1504"/>
    <w:rsid w:val="00FE4B22"/>
    <w:rsid w:val="00FE5DCB"/>
    <w:rsid w:val="00FE63A6"/>
    <w:rsid w:val="00FE67F3"/>
    <w:rsid w:val="00FE7595"/>
    <w:rsid w:val="00FE7EBF"/>
    <w:rsid w:val="00FF019A"/>
    <w:rsid w:val="00FF07D4"/>
    <w:rsid w:val="00FF0FCD"/>
    <w:rsid w:val="00FF60C9"/>
    <w:rsid w:val="00FF7053"/>
    <w:rsid w:val="00FF7119"/>
    <w:rsid w:val="00FF7143"/>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489239"/>
  <w15:docId w15:val="{0CE6C188-A2BE-4A82-97ED-3871BE16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9D5"/>
    <w:pPr>
      <w:jc w:val="both"/>
    </w:pPr>
    <w:rPr>
      <w:rFonts w:ascii="Tahoma" w:hAnsi="Tahoma"/>
      <w:sz w:val="24"/>
      <w:szCs w:val="24"/>
    </w:rPr>
  </w:style>
  <w:style w:type="paragraph" w:styleId="Heading1">
    <w:name w:val="heading 1"/>
    <w:basedOn w:val="Normal"/>
    <w:next w:val="Normal"/>
    <w:qFormat/>
    <w:rsid w:val="007B26FA"/>
    <w:pPr>
      <w:keepNext/>
      <w:spacing w:after="240"/>
      <w:jc w:val="left"/>
      <w:outlineLvl w:val="0"/>
    </w:pPr>
    <w:rPr>
      <w:b/>
      <w:kern w:val="28"/>
      <w:sz w:val="32"/>
    </w:rPr>
  </w:style>
  <w:style w:type="paragraph" w:styleId="Heading2">
    <w:name w:val="heading 2"/>
    <w:basedOn w:val="Normal"/>
    <w:next w:val="Normal"/>
    <w:qFormat/>
    <w:rsid w:val="002C192D"/>
    <w:pPr>
      <w:keepNext/>
      <w:spacing w:after="240"/>
      <w:outlineLvl w:val="1"/>
    </w:pPr>
    <w:rPr>
      <w:b/>
      <w:sz w:val="28"/>
    </w:rPr>
  </w:style>
  <w:style w:type="paragraph" w:styleId="Heading3">
    <w:name w:val="heading 3"/>
    <w:basedOn w:val="Normal"/>
    <w:next w:val="Normal"/>
    <w:qFormat/>
    <w:rsid w:val="00B0728F"/>
    <w:pPr>
      <w:keepNext/>
      <w:spacing w:after="240"/>
      <w:outlineLvl w:val="2"/>
    </w:pPr>
    <w:rPr>
      <w:b/>
      <w:caps/>
    </w:rPr>
  </w:style>
  <w:style w:type="paragraph" w:styleId="Heading4">
    <w:name w:val="heading 4"/>
    <w:basedOn w:val="Normal"/>
    <w:next w:val="Normal"/>
    <w:qFormat/>
    <w:rsid w:val="00B0728F"/>
    <w:pPr>
      <w:keepNext/>
      <w:spacing w:after="240"/>
      <w:outlineLvl w:val="3"/>
    </w:pPr>
    <w:rPr>
      <w:b/>
    </w:rPr>
  </w:style>
  <w:style w:type="paragraph" w:styleId="Heading5">
    <w:name w:val="heading 5"/>
    <w:basedOn w:val="Normal"/>
    <w:next w:val="Normal"/>
    <w:qFormat/>
    <w:rsid w:val="00B0728F"/>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8F"/>
    <w:pPr>
      <w:tabs>
        <w:tab w:val="center" w:pos="4320"/>
        <w:tab w:val="right" w:pos="8640"/>
      </w:tabs>
    </w:pPr>
  </w:style>
  <w:style w:type="paragraph" w:styleId="Footer">
    <w:name w:val="footer"/>
    <w:basedOn w:val="Normal"/>
    <w:link w:val="FooterChar"/>
    <w:uiPriority w:val="99"/>
    <w:rsid w:val="00B0728F"/>
    <w:pPr>
      <w:tabs>
        <w:tab w:val="center" w:pos="4320"/>
        <w:tab w:val="right" w:pos="8640"/>
      </w:tabs>
    </w:pPr>
  </w:style>
  <w:style w:type="table" w:styleId="TableGrid">
    <w:name w:val="Table Grid"/>
    <w:basedOn w:val="TableNormal"/>
    <w:rsid w:val="0000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link w:val="Heading1SFRChar"/>
    <w:rsid w:val="0000509C"/>
    <w:pPr>
      <w:outlineLvl w:val="0"/>
    </w:pPr>
    <w:rPr>
      <w:bCs/>
    </w:rPr>
  </w:style>
  <w:style w:type="paragraph" w:styleId="TOC1">
    <w:name w:val="toc 1"/>
    <w:basedOn w:val="Normal"/>
    <w:next w:val="Normal"/>
    <w:autoRedefine/>
    <w:uiPriority w:val="39"/>
    <w:qFormat/>
    <w:rsid w:val="0078569A"/>
    <w:pPr>
      <w:tabs>
        <w:tab w:val="right" w:pos="9016"/>
      </w:tabs>
    </w:p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character" w:styleId="CommentReference">
    <w:name w:val="annotation reference"/>
    <w:uiPriority w:val="99"/>
    <w:semiHidden/>
    <w:rsid w:val="00C87593"/>
    <w:rPr>
      <w:sz w:val="16"/>
      <w:szCs w:val="16"/>
    </w:rPr>
  </w:style>
  <w:style w:type="paragraph" w:styleId="CommentText">
    <w:name w:val="annotation text"/>
    <w:basedOn w:val="Normal"/>
    <w:link w:val="CommentTextChar"/>
    <w:uiPriority w:val="99"/>
    <w:semiHidden/>
    <w:rsid w:val="00C87593"/>
    <w:rPr>
      <w:sz w:val="20"/>
      <w:szCs w:val="20"/>
    </w:rPr>
  </w:style>
  <w:style w:type="paragraph" w:styleId="CommentSubject">
    <w:name w:val="annotation subject"/>
    <w:basedOn w:val="CommentText"/>
    <w:next w:val="CommentText"/>
    <w:semiHidden/>
    <w:rsid w:val="00C87593"/>
    <w:rPr>
      <w:b/>
      <w:bCs/>
    </w:rPr>
  </w:style>
  <w:style w:type="paragraph" w:styleId="BalloonText">
    <w:name w:val="Balloon Text"/>
    <w:basedOn w:val="Normal"/>
    <w:semiHidden/>
    <w:rsid w:val="00C87593"/>
    <w:rPr>
      <w:rFonts w:cs="Tahoma"/>
      <w:sz w:val="16"/>
      <w:szCs w:val="16"/>
    </w:rPr>
  </w:style>
  <w:style w:type="paragraph" w:styleId="NormalWeb">
    <w:name w:val="Normal (Web)"/>
    <w:basedOn w:val="Normal"/>
    <w:uiPriority w:val="99"/>
    <w:rsid w:val="00512A25"/>
  </w:style>
  <w:style w:type="paragraph" w:styleId="Title">
    <w:name w:val="Title"/>
    <w:basedOn w:val="Normal"/>
    <w:qFormat/>
    <w:rsid w:val="002C3210"/>
    <w:pPr>
      <w:spacing w:before="240" w:after="60"/>
      <w:jc w:val="center"/>
      <w:outlineLvl w:val="0"/>
    </w:pPr>
    <w:rPr>
      <w:rFonts w:ascii="Arial" w:hAnsi="Arial" w:cs="Arial"/>
      <w:b/>
      <w:bCs/>
      <w:kern w:val="28"/>
      <w:sz w:val="32"/>
      <w:szCs w:val="32"/>
    </w:rPr>
  </w:style>
  <w:style w:type="character" w:styleId="FootnoteReference">
    <w:name w:val="footnote reference"/>
    <w:uiPriority w:val="99"/>
    <w:rsid w:val="002C3210"/>
    <w:rPr>
      <w:vertAlign w:val="superscript"/>
    </w:rPr>
  </w:style>
  <w:style w:type="paragraph" w:styleId="FootnoteText">
    <w:name w:val="footnote text"/>
    <w:basedOn w:val="Normal"/>
    <w:link w:val="FootnoteTextChar"/>
    <w:uiPriority w:val="99"/>
    <w:semiHidden/>
    <w:rsid w:val="007B42A8"/>
    <w:rPr>
      <w:sz w:val="20"/>
      <w:szCs w:val="20"/>
    </w:rPr>
  </w:style>
  <w:style w:type="character" w:customStyle="1" w:styleId="NumberedparagraphChar">
    <w:name w:val="Numbered paragraph Char"/>
    <w:link w:val="Numberedparagraph"/>
    <w:locked/>
    <w:rsid w:val="007B42A8"/>
    <w:rPr>
      <w:rFonts w:ascii="Tahoma" w:hAnsi="Tahoma"/>
      <w:color w:val="000000"/>
      <w:sz w:val="24"/>
      <w:szCs w:val="24"/>
      <w:lang w:val="en-GB" w:eastAsia="en-US" w:bidi="ar-SA"/>
    </w:rPr>
  </w:style>
  <w:style w:type="paragraph" w:customStyle="1" w:styleId="Bulletsspaced">
    <w:name w:val="Bullets (spaced)"/>
    <w:basedOn w:val="Normal"/>
    <w:link w:val="BulletsspacedChar"/>
    <w:autoRedefine/>
    <w:rsid w:val="00231CC7"/>
    <w:pPr>
      <w:numPr>
        <w:numId w:val="17"/>
      </w:numPr>
      <w:tabs>
        <w:tab w:val="clear" w:pos="1386"/>
        <w:tab w:val="left" w:pos="709"/>
        <w:tab w:val="num" w:pos="993"/>
      </w:tabs>
      <w:spacing w:after="120"/>
      <w:ind w:left="993" w:hanging="284"/>
      <w:jc w:val="left"/>
    </w:pPr>
    <w:rPr>
      <w:color w:val="000000"/>
      <w:lang w:eastAsia="en-US"/>
    </w:rPr>
  </w:style>
  <w:style w:type="paragraph" w:customStyle="1" w:styleId="Bulletsspaced-lastbullet">
    <w:name w:val="Bullets (spaced) - last bullet"/>
    <w:basedOn w:val="Bulletsspaced"/>
    <w:next w:val="Numberedparagraph"/>
    <w:link w:val="Bulletsspaced-lastbulletChar"/>
    <w:rsid w:val="007B42A8"/>
    <w:pPr>
      <w:spacing w:after="240"/>
    </w:pPr>
  </w:style>
  <w:style w:type="paragraph" w:customStyle="1" w:styleId="Numberedparagraph">
    <w:name w:val="Numbered paragraph"/>
    <w:basedOn w:val="Normal"/>
    <w:link w:val="NumberedparagraphChar"/>
    <w:rsid w:val="007B42A8"/>
    <w:pPr>
      <w:numPr>
        <w:numId w:val="16"/>
      </w:numPr>
      <w:spacing w:after="240"/>
    </w:pPr>
    <w:rPr>
      <w:color w:val="000000"/>
      <w:lang w:eastAsia="en-US"/>
    </w:rPr>
  </w:style>
  <w:style w:type="character" w:customStyle="1" w:styleId="BulletsspacedChar">
    <w:name w:val="Bullets (spaced) Char"/>
    <w:link w:val="Bulletsspaced"/>
    <w:rsid w:val="00231CC7"/>
    <w:rPr>
      <w:rFonts w:ascii="Tahoma" w:hAnsi="Tahoma"/>
      <w:color w:val="000000"/>
      <w:sz w:val="24"/>
      <w:szCs w:val="24"/>
      <w:lang w:eastAsia="en-US"/>
    </w:rPr>
  </w:style>
  <w:style w:type="character" w:customStyle="1" w:styleId="Bulletsspaced-lastbulletChar">
    <w:name w:val="Bullets (spaced) - last bullet Char"/>
    <w:basedOn w:val="BulletsspacedChar"/>
    <w:link w:val="Bulletsspaced-lastbullet"/>
    <w:rsid w:val="007B42A8"/>
    <w:rPr>
      <w:rFonts w:ascii="Tahoma" w:hAnsi="Tahoma"/>
      <w:color w:val="000000"/>
      <w:sz w:val="24"/>
      <w:szCs w:val="24"/>
      <w:lang w:eastAsia="en-US"/>
    </w:rPr>
  </w:style>
  <w:style w:type="paragraph" w:styleId="BodyText">
    <w:name w:val="Body Text"/>
    <w:basedOn w:val="Normal"/>
    <w:rsid w:val="00B0728F"/>
    <w:pPr>
      <w:spacing w:after="120"/>
    </w:pPr>
  </w:style>
  <w:style w:type="paragraph" w:styleId="TOC9">
    <w:name w:val="toc 9"/>
    <w:basedOn w:val="Normal"/>
    <w:next w:val="Normal"/>
    <w:autoRedefine/>
    <w:semiHidden/>
    <w:rsid w:val="004336D5"/>
    <w:pPr>
      <w:ind w:left="1920"/>
    </w:pPr>
  </w:style>
  <w:style w:type="paragraph" w:customStyle="1" w:styleId="LetterBodyText">
    <w:name w:val="Letter Body Text"/>
    <w:basedOn w:val="LetterText"/>
    <w:rsid w:val="00B0728F"/>
    <w:pPr>
      <w:spacing w:after="120"/>
    </w:pPr>
  </w:style>
  <w:style w:type="paragraph" w:customStyle="1" w:styleId="LetterText">
    <w:name w:val="Letter Text"/>
    <w:basedOn w:val="Normal"/>
    <w:rsid w:val="00B0728F"/>
  </w:style>
  <w:style w:type="paragraph" w:styleId="PlainText">
    <w:name w:val="Plain Text"/>
    <w:basedOn w:val="Normal"/>
    <w:rsid w:val="00B0728F"/>
    <w:rPr>
      <w:rFonts w:ascii="Courier New" w:hAnsi="Courier New"/>
    </w:rPr>
  </w:style>
  <w:style w:type="paragraph" w:customStyle="1" w:styleId="Unnumberedparagraph">
    <w:name w:val="Unnumbered paragraph"/>
    <w:basedOn w:val="Normal"/>
    <w:link w:val="UnnumberedparagraphChar"/>
    <w:rsid w:val="00F10985"/>
    <w:pPr>
      <w:spacing w:after="240"/>
      <w:jc w:val="left"/>
    </w:pPr>
    <w:rPr>
      <w:color w:val="000000"/>
      <w:lang w:eastAsia="en-US"/>
    </w:rPr>
  </w:style>
  <w:style w:type="character" w:customStyle="1" w:styleId="UnnumberedparagraphChar">
    <w:name w:val="Unnumbered paragraph Char"/>
    <w:link w:val="Unnumberedparagraph"/>
    <w:rsid w:val="00F10985"/>
    <w:rPr>
      <w:rFonts w:ascii="Tahoma" w:hAnsi="Tahoma"/>
      <w:color w:val="000000"/>
      <w:sz w:val="24"/>
      <w:szCs w:val="24"/>
      <w:lang w:val="en-GB" w:eastAsia="en-US" w:bidi="ar-SA"/>
    </w:rPr>
  </w:style>
  <w:style w:type="character" w:styleId="PageNumber">
    <w:name w:val="page number"/>
    <w:basedOn w:val="DefaultParagraphFont"/>
    <w:rsid w:val="00CB7D65"/>
  </w:style>
  <w:style w:type="character" w:customStyle="1" w:styleId="Heading1SFRChar">
    <w:name w:val="Heading 1 SFR Char"/>
    <w:link w:val="Heading1SFR"/>
    <w:rsid w:val="00F43FD4"/>
    <w:rPr>
      <w:rFonts w:ascii="Tahoma" w:hAnsi="Tahoma"/>
      <w:b/>
      <w:bCs/>
      <w:caps/>
      <w:sz w:val="24"/>
      <w:szCs w:val="24"/>
      <w:lang w:val="en-GB" w:eastAsia="en-GB" w:bidi="ar-SA"/>
    </w:rPr>
  </w:style>
  <w:style w:type="paragraph" w:customStyle="1" w:styleId="Default">
    <w:name w:val="Default"/>
    <w:rsid w:val="003526EC"/>
    <w:pPr>
      <w:autoSpaceDE w:val="0"/>
      <w:autoSpaceDN w:val="0"/>
      <w:adjustRightInd w:val="0"/>
    </w:pPr>
    <w:rPr>
      <w:rFonts w:ascii="Tahoma" w:hAnsi="Tahoma" w:cs="Tahoma"/>
      <w:color w:val="000000"/>
      <w:sz w:val="24"/>
      <w:szCs w:val="24"/>
    </w:rPr>
  </w:style>
  <w:style w:type="paragraph" w:customStyle="1" w:styleId="xmsonormal">
    <w:name w:val="x_msonormal"/>
    <w:basedOn w:val="Normal"/>
    <w:rsid w:val="009F66D4"/>
    <w:pPr>
      <w:spacing w:before="100" w:beforeAutospacing="1" w:after="100" w:afterAutospacing="1"/>
      <w:jc w:val="left"/>
    </w:pPr>
    <w:rPr>
      <w:rFonts w:ascii="Times New Roman" w:hAnsi="Times New Roman"/>
    </w:rPr>
  </w:style>
  <w:style w:type="paragraph" w:customStyle="1" w:styleId="xbulletsspaced">
    <w:name w:val="x_bulletsspaced"/>
    <w:basedOn w:val="Normal"/>
    <w:rsid w:val="009F66D4"/>
    <w:pPr>
      <w:spacing w:before="100" w:beforeAutospacing="1" w:after="100" w:afterAutospacing="1"/>
      <w:jc w:val="left"/>
    </w:pPr>
    <w:rPr>
      <w:rFonts w:ascii="Times New Roman" w:hAnsi="Times New Roman"/>
    </w:rPr>
  </w:style>
  <w:style w:type="character" w:styleId="Emphasis">
    <w:name w:val="Emphasis"/>
    <w:qFormat/>
    <w:rsid w:val="009F66D4"/>
    <w:rPr>
      <w:i/>
      <w:iCs/>
    </w:rPr>
  </w:style>
  <w:style w:type="paragraph" w:styleId="ListParagraph">
    <w:name w:val="List Paragraph"/>
    <w:basedOn w:val="Normal"/>
    <w:uiPriority w:val="34"/>
    <w:qFormat/>
    <w:rsid w:val="00F8749C"/>
    <w:pPr>
      <w:ind w:left="720"/>
    </w:pPr>
  </w:style>
  <w:style w:type="character" w:customStyle="1" w:styleId="FootnoteTextChar">
    <w:name w:val="Footnote Text Char"/>
    <w:link w:val="FootnoteText"/>
    <w:uiPriority w:val="99"/>
    <w:semiHidden/>
    <w:rsid w:val="008538AB"/>
    <w:rPr>
      <w:rFonts w:ascii="Tahoma" w:hAnsi="Tahoma"/>
    </w:rPr>
  </w:style>
  <w:style w:type="paragraph" w:styleId="Revision">
    <w:name w:val="Revision"/>
    <w:hidden/>
    <w:uiPriority w:val="99"/>
    <w:semiHidden/>
    <w:rsid w:val="00545689"/>
    <w:rPr>
      <w:rFonts w:ascii="Tahoma" w:hAnsi="Tahoma"/>
      <w:sz w:val="24"/>
      <w:szCs w:val="24"/>
    </w:rPr>
  </w:style>
  <w:style w:type="paragraph" w:styleId="NoSpacing">
    <w:name w:val="No Spacing"/>
    <w:uiPriority w:val="1"/>
    <w:qFormat/>
    <w:rsid w:val="00690C9D"/>
    <w:pPr>
      <w:jc w:val="both"/>
    </w:pPr>
    <w:rPr>
      <w:rFonts w:ascii="Tahoma" w:hAnsi="Tahoma"/>
      <w:sz w:val="24"/>
      <w:szCs w:val="24"/>
    </w:rPr>
  </w:style>
  <w:style w:type="paragraph" w:customStyle="1" w:styleId="Footer-RHSOdd">
    <w:name w:val="Footer - RHS Odd"/>
    <w:basedOn w:val="Normal"/>
    <w:rsid w:val="001460CF"/>
    <w:pPr>
      <w:pBdr>
        <w:top w:val="single" w:sz="4" w:space="6" w:color="auto"/>
      </w:pBdr>
      <w:tabs>
        <w:tab w:val="left" w:pos="567"/>
      </w:tabs>
      <w:jc w:val="left"/>
    </w:pPr>
    <w:rPr>
      <w:b/>
      <w:color w:val="000000"/>
      <w:sz w:val="16"/>
      <w:szCs w:val="20"/>
      <w:lang w:eastAsia="en-US"/>
    </w:rPr>
  </w:style>
  <w:style w:type="character" w:customStyle="1" w:styleId="FooterChar">
    <w:name w:val="Footer Char"/>
    <w:link w:val="Footer"/>
    <w:uiPriority w:val="99"/>
    <w:rsid w:val="00243CDA"/>
    <w:rPr>
      <w:rFonts w:ascii="Tahoma" w:hAnsi="Tahoma"/>
      <w:sz w:val="24"/>
      <w:szCs w:val="24"/>
    </w:rPr>
  </w:style>
  <w:style w:type="paragraph" w:styleId="TOCHeading">
    <w:name w:val="TOC Heading"/>
    <w:basedOn w:val="Heading1"/>
    <w:next w:val="Normal"/>
    <w:uiPriority w:val="39"/>
    <w:semiHidden/>
    <w:unhideWhenUsed/>
    <w:qFormat/>
    <w:rsid w:val="00B109E2"/>
    <w:pPr>
      <w:keepLines/>
      <w:spacing w:before="480" w:after="0" w:line="276" w:lineRule="auto"/>
      <w:outlineLvl w:val="9"/>
    </w:pPr>
    <w:rPr>
      <w:rFonts w:ascii="Cambria" w:eastAsia="MS Gothic" w:hAnsi="Cambria"/>
      <w:bCs/>
      <w:color w:val="365F91"/>
      <w:kern w:val="0"/>
      <w:sz w:val="28"/>
      <w:szCs w:val="28"/>
      <w:lang w:val="en-US" w:eastAsia="ja-JP"/>
    </w:rPr>
  </w:style>
  <w:style w:type="paragraph" w:styleId="TOC2">
    <w:name w:val="toc 2"/>
    <w:basedOn w:val="Normal"/>
    <w:next w:val="Normal"/>
    <w:autoRedefine/>
    <w:uiPriority w:val="39"/>
    <w:unhideWhenUsed/>
    <w:qFormat/>
    <w:rsid w:val="00DF6FB8"/>
    <w:pPr>
      <w:tabs>
        <w:tab w:val="right" w:leader="dot" w:pos="9016"/>
      </w:tabs>
      <w:spacing w:after="100" w:line="276" w:lineRule="auto"/>
      <w:ind w:left="220"/>
      <w:jc w:val="left"/>
    </w:pPr>
    <w:rPr>
      <w:rFonts w:eastAsia="MS Mincho" w:cs="Tahoma"/>
      <w:noProof/>
      <w:lang w:val="en-US" w:eastAsia="ja-JP"/>
    </w:rPr>
  </w:style>
  <w:style w:type="paragraph" w:styleId="TOC3">
    <w:name w:val="toc 3"/>
    <w:basedOn w:val="Normal"/>
    <w:next w:val="Normal"/>
    <w:autoRedefine/>
    <w:uiPriority w:val="39"/>
    <w:unhideWhenUsed/>
    <w:qFormat/>
    <w:rsid w:val="00466288"/>
    <w:pPr>
      <w:tabs>
        <w:tab w:val="right" w:leader="dot" w:pos="9016"/>
      </w:tabs>
      <w:spacing w:after="100" w:line="276" w:lineRule="auto"/>
      <w:ind w:left="440"/>
      <w:jc w:val="left"/>
    </w:pPr>
    <w:rPr>
      <w:rFonts w:eastAsia="MS Mincho" w:cs="Tahoma"/>
      <w:noProof/>
      <w:sz w:val="22"/>
      <w:szCs w:val="22"/>
      <w:lang w:val="en-US" w:eastAsia="ja-JP"/>
    </w:rPr>
  </w:style>
  <w:style w:type="character" w:customStyle="1" w:styleId="CommentTextChar">
    <w:name w:val="Comment Text Char"/>
    <w:link w:val="CommentText"/>
    <w:uiPriority w:val="99"/>
    <w:semiHidden/>
    <w:rsid w:val="00CB273B"/>
    <w:rPr>
      <w:rFonts w:ascii="Tahoma" w:hAnsi="Tahoma"/>
    </w:rPr>
  </w:style>
  <w:style w:type="paragraph" w:styleId="Subtitle">
    <w:name w:val="Subtitle"/>
    <w:basedOn w:val="Normal"/>
    <w:next w:val="Normal"/>
    <w:link w:val="SubtitleChar"/>
    <w:qFormat/>
    <w:rsid w:val="00152301"/>
    <w:pPr>
      <w:jc w:val="left"/>
    </w:pPr>
    <w:rPr>
      <w:rFonts w:cs="Tahoma"/>
      <w:b/>
    </w:rPr>
  </w:style>
  <w:style w:type="character" w:customStyle="1" w:styleId="SubtitleChar">
    <w:name w:val="Subtitle Char"/>
    <w:basedOn w:val="DefaultParagraphFont"/>
    <w:link w:val="Subtitle"/>
    <w:rsid w:val="00152301"/>
    <w:rPr>
      <w:rFonts w:ascii="Tahoma" w:hAnsi="Tahoma" w:cs="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849">
      <w:bodyDiv w:val="1"/>
      <w:marLeft w:val="0"/>
      <w:marRight w:val="0"/>
      <w:marTop w:val="0"/>
      <w:marBottom w:val="0"/>
      <w:divBdr>
        <w:top w:val="none" w:sz="0" w:space="0" w:color="auto"/>
        <w:left w:val="none" w:sz="0" w:space="0" w:color="auto"/>
        <w:bottom w:val="none" w:sz="0" w:space="0" w:color="auto"/>
        <w:right w:val="none" w:sz="0" w:space="0" w:color="auto"/>
      </w:divBdr>
    </w:div>
    <w:div w:id="18825559">
      <w:bodyDiv w:val="1"/>
      <w:marLeft w:val="0"/>
      <w:marRight w:val="0"/>
      <w:marTop w:val="0"/>
      <w:marBottom w:val="0"/>
      <w:divBdr>
        <w:top w:val="none" w:sz="0" w:space="0" w:color="auto"/>
        <w:left w:val="none" w:sz="0" w:space="0" w:color="auto"/>
        <w:bottom w:val="none" w:sz="0" w:space="0" w:color="auto"/>
        <w:right w:val="none" w:sz="0" w:space="0" w:color="auto"/>
      </w:divBdr>
    </w:div>
    <w:div w:id="30543941">
      <w:bodyDiv w:val="1"/>
      <w:marLeft w:val="0"/>
      <w:marRight w:val="0"/>
      <w:marTop w:val="0"/>
      <w:marBottom w:val="0"/>
      <w:divBdr>
        <w:top w:val="none" w:sz="0" w:space="0" w:color="auto"/>
        <w:left w:val="none" w:sz="0" w:space="0" w:color="auto"/>
        <w:bottom w:val="none" w:sz="0" w:space="0" w:color="auto"/>
        <w:right w:val="none" w:sz="0" w:space="0" w:color="auto"/>
      </w:divBdr>
    </w:div>
    <w:div w:id="60711335">
      <w:bodyDiv w:val="1"/>
      <w:marLeft w:val="0"/>
      <w:marRight w:val="0"/>
      <w:marTop w:val="0"/>
      <w:marBottom w:val="0"/>
      <w:divBdr>
        <w:top w:val="none" w:sz="0" w:space="0" w:color="auto"/>
        <w:left w:val="none" w:sz="0" w:space="0" w:color="auto"/>
        <w:bottom w:val="none" w:sz="0" w:space="0" w:color="auto"/>
        <w:right w:val="none" w:sz="0" w:space="0" w:color="auto"/>
      </w:divBdr>
    </w:div>
    <w:div w:id="88817126">
      <w:bodyDiv w:val="1"/>
      <w:marLeft w:val="0"/>
      <w:marRight w:val="0"/>
      <w:marTop w:val="0"/>
      <w:marBottom w:val="0"/>
      <w:divBdr>
        <w:top w:val="none" w:sz="0" w:space="0" w:color="auto"/>
        <w:left w:val="none" w:sz="0" w:space="0" w:color="auto"/>
        <w:bottom w:val="none" w:sz="0" w:space="0" w:color="auto"/>
        <w:right w:val="none" w:sz="0" w:space="0" w:color="auto"/>
      </w:divBdr>
    </w:div>
    <w:div w:id="100734219">
      <w:bodyDiv w:val="1"/>
      <w:marLeft w:val="0"/>
      <w:marRight w:val="0"/>
      <w:marTop w:val="0"/>
      <w:marBottom w:val="0"/>
      <w:divBdr>
        <w:top w:val="none" w:sz="0" w:space="0" w:color="auto"/>
        <w:left w:val="none" w:sz="0" w:space="0" w:color="auto"/>
        <w:bottom w:val="none" w:sz="0" w:space="0" w:color="auto"/>
        <w:right w:val="none" w:sz="0" w:space="0" w:color="auto"/>
      </w:divBdr>
    </w:div>
    <w:div w:id="127018654">
      <w:bodyDiv w:val="1"/>
      <w:marLeft w:val="0"/>
      <w:marRight w:val="0"/>
      <w:marTop w:val="0"/>
      <w:marBottom w:val="0"/>
      <w:divBdr>
        <w:top w:val="none" w:sz="0" w:space="0" w:color="auto"/>
        <w:left w:val="none" w:sz="0" w:space="0" w:color="auto"/>
        <w:bottom w:val="none" w:sz="0" w:space="0" w:color="auto"/>
        <w:right w:val="none" w:sz="0" w:space="0" w:color="auto"/>
      </w:divBdr>
    </w:div>
    <w:div w:id="146361949">
      <w:bodyDiv w:val="1"/>
      <w:marLeft w:val="0"/>
      <w:marRight w:val="0"/>
      <w:marTop w:val="0"/>
      <w:marBottom w:val="0"/>
      <w:divBdr>
        <w:top w:val="none" w:sz="0" w:space="0" w:color="auto"/>
        <w:left w:val="none" w:sz="0" w:space="0" w:color="auto"/>
        <w:bottom w:val="none" w:sz="0" w:space="0" w:color="auto"/>
        <w:right w:val="none" w:sz="0" w:space="0" w:color="auto"/>
      </w:divBdr>
    </w:div>
    <w:div w:id="219749313">
      <w:bodyDiv w:val="1"/>
      <w:marLeft w:val="0"/>
      <w:marRight w:val="0"/>
      <w:marTop w:val="0"/>
      <w:marBottom w:val="0"/>
      <w:divBdr>
        <w:top w:val="none" w:sz="0" w:space="0" w:color="auto"/>
        <w:left w:val="none" w:sz="0" w:space="0" w:color="auto"/>
        <w:bottom w:val="none" w:sz="0" w:space="0" w:color="auto"/>
        <w:right w:val="none" w:sz="0" w:space="0" w:color="auto"/>
      </w:divBdr>
    </w:div>
    <w:div w:id="248200340">
      <w:bodyDiv w:val="1"/>
      <w:marLeft w:val="0"/>
      <w:marRight w:val="0"/>
      <w:marTop w:val="0"/>
      <w:marBottom w:val="0"/>
      <w:divBdr>
        <w:top w:val="none" w:sz="0" w:space="0" w:color="auto"/>
        <w:left w:val="none" w:sz="0" w:space="0" w:color="auto"/>
        <w:bottom w:val="none" w:sz="0" w:space="0" w:color="auto"/>
        <w:right w:val="none" w:sz="0" w:space="0" w:color="auto"/>
      </w:divBdr>
    </w:div>
    <w:div w:id="256184175">
      <w:bodyDiv w:val="1"/>
      <w:marLeft w:val="0"/>
      <w:marRight w:val="0"/>
      <w:marTop w:val="0"/>
      <w:marBottom w:val="0"/>
      <w:divBdr>
        <w:top w:val="none" w:sz="0" w:space="0" w:color="auto"/>
        <w:left w:val="none" w:sz="0" w:space="0" w:color="auto"/>
        <w:bottom w:val="none" w:sz="0" w:space="0" w:color="auto"/>
        <w:right w:val="none" w:sz="0" w:space="0" w:color="auto"/>
      </w:divBdr>
    </w:div>
    <w:div w:id="274168492">
      <w:bodyDiv w:val="1"/>
      <w:marLeft w:val="0"/>
      <w:marRight w:val="0"/>
      <w:marTop w:val="0"/>
      <w:marBottom w:val="0"/>
      <w:divBdr>
        <w:top w:val="none" w:sz="0" w:space="0" w:color="auto"/>
        <w:left w:val="none" w:sz="0" w:space="0" w:color="auto"/>
        <w:bottom w:val="none" w:sz="0" w:space="0" w:color="auto"/>
        <w:right w:val="none" w:sz="0" w:space="0" w:color="auto"/>
      </w:divBdr>
    </w:div>
    <w:div w:id="283272970">
      <w:bodyDiv w:val="1"/>
      <w:marLeft w:val="0"/>
      <w:marRight w:val="0"/>
      <w:marTop w:val="0"/>
      <w:marBottom w:val="0"/>
      <w:divBdr>
        <w:top w:val="none" w:sz="0" w:space="0" w:color="auto"/>
        <w:left w:val="none" w:sz="0" w:space="0" w:color="auto"/>
        <w:bottom w:val="none" w:sz="0" w:space="0" w:color="auto"/>
        <w:right w:val="none" w:sz="0" w:space="0" w:color="auto"/>
      </w:divBdr>
    </w:div>
    <w:div w:id="300886813">
      <w:bodyDiv w:val="1"/>
      <w:marLeft w:val="0"/>
      <w:marRight w:val="0"/>
      <w:marTop w:val="0"/>
      <w:marBottom w:val="0"/>
      <w:divBdr>
        <w:top w:val="none" w:sz="0" w:space="0" w:color="auto"/>
        <w:left w:val="none" w:sz="0" w:space="0" w:color="auto"/>
        <w:bottom w:val="none" w:sz="0" w:space="0" w:color="auto"/>
        <w:right w:val="none" w:sz="0" w:space="0" w:color="auto"/>
      </w:divBdr>
    </w:div>
    <w:div w:id="310788621">
      <w:bodyDiv w:val="1"/>
      <w:marLeft w:val="0"/>
      <w:marRight w:val="0"/>
      <w:marTop w:val="0"/>
      <w:marBottom w:val="0"/>
      <w:divBdr>
        <w:top w:val="none" w:sz="0" w:space="0" w:color="auto"/>
        <w:left w:val="none" w:sz="0" w:space="0" w:color="auto"/>
        <w:bottom w:val="none" w:sz="0" w:space="0" w:color="auto"/>
        <w:right w:val="none" w:sz="0" w:space="0" w:color="auto"/>
      </w:divBdr>
    </w:div>
    <w:div w:id="314991378">
      <w:bodyDiv w:val="1"/>
      <w:marLeft w:val="0"/>
      <w:marRight w:val="0"/>
      <w:marTop w:val="0"/>
      <w:marBottom w:val="0"/>
      <w:divBdr>
        <w:top w:val="none" w:sz="0" w:space="0" w:color="auto"/>
        <w:left w:val="none" w:sz="0" w:space="0" w:color="auto"/>
        <w:bottom w:val="none" w:sz="0" w:space="0" w:color="auto"/>
        <w:right w:val="none" w:sz="0" w:space="0" w:color="auto"/>
      </w:divBdr>
    </w:div>
    <w:div w:id="315842134">
      <w:bodyDiv w:val="1"/>
      <w:marLeft w:val="0"/>
      <w:marRight w:val="0"/>
      <w:marTop w:val="0"/>
      <w:marBottom w:val="0"/>
      <w:divBdr>
        <w:top w:val="none" w:sz="0" w:space="0" w:color="auto"/>
        <w:left w:val="none" w:sz="0" w:space="0" w:color="auto"/>
        <w:bottom w:val="none" w:sz="0" w:space="0" w:color="auto"/>
        <w:right w:val="none" w:sz="0" w:space="0" w:color="auto"/>
      </w:divBdr>
    </w:div>
    <w:div w:id="326330372">
      <w:bodyDiv w:val="1"/>
      <w:marLeft w:val="0"/>
      <w:marRight w:val="0"/>
      <w:marTop w:val="0"/>
      <w:marBottom w:val="0"/>
      <w:divBdr>
        <w:top w:val="none" w:sz="0" w:space="0" w:color="auto"/>
        <w:left w:val="none" w:sz="0" w:space="0" w:color="auto"/>
        <w:bottom w:val="none" w:sz="0" w:space="0" w:color="auto"/>
        <w:right w:val="none" w:sz="0" w:space="0" w:color="auto"/>
      </w:divBdr>
    </w:div>
    <w:div w:id="340620846">
      <w:bodyDiv w:val="1"/>
      <w:marLeft w:val="0"/>
      <w:marRight w:val="0"/>
      <w:marTop w:val="0"/>
      <w:marBottom w:val="0"/>
      <w:divBdr>
        <w:top w:val="none" w:sz="0" w:space="0" w:color="auto"/>
        <w:left w:val="none" w:sz="0" w:space="0" w:color="auto"/>
        <w:bottom w:val="none" w:sz="0" w:space="0" w:color="auto"/>
        <w:right w:val="none" w:sz="0" w:space="0" w:color="auto"/>
      </w:divBdr>
    </w:div>
    <w:div w:id="387997311">
      <w:bodyDiv w:val="1"/>
      <w:marLeft w:val="0"/>
      <w:marRight w:val="0"/>
      <w:marTop w:val="0"/>
      <w:marBottom w:val="0"/>
      <w:divBdr>
        <w:top w:val="none" w:sz="0" w:space="0" w:color="auto"/>
        <w:left w:val="none" w:sz="0" w:space="0" w:color="auto"/>
        <w:bottom w:val="none" w:sz="0" w:space="0" w:color="auto"/>
        <w:right w:val="none" w:sz="0" w:space="0" w:color="auto"/>
      </w:divBdr>
    </w:div>
    <w:div w:id="391004890">
      <w:bodyDiv w:val="1"/>
      <w:marLeft w:val="0"/>
      <w:marRight w:val="0"/>
      <w:marTop w:val="0"/>
      <w:marBottom w:val="0"/>
      <w:divBdr>
        <w:top w:val="none" w:sz="0" w:space="0" w:color="auto"/>
        <w:left w:val="none" w:sz="0" w:space="0" w:color="auto"/>
        <w:bottom w:val="none" w:sz="0" w:space="0" w:color="auto"/>
        <w:right w:val="none" w:sz="0" w:space="0" w:color="auto"/>
      </w:divBdr>
    </w:div>
    <w:div w:id="418864901">
      <w:bodyDiv w:val="1"/>
      <w:marLeft w:val="0"/>
      <w:marRight w:val="0"/>
      <w:marTop w:val="0"/>
      <w:marBottom w:val="0"/>
      <w:divBdr>
        <w:top w:val="none" w:sz="0" w:space="0" w:color="auto"/>
        <w:left w:val="none" w:sz="0" w:space="0" w:color="auto"/>
        <w:bottom w:val="none" w:sz="0" w:space="0" w:color="auto"/>
        <w:right w:val="none" w:sz="0" w:space="0" w:color="auto"/>
      </w:divBdr>
    </w:div>
    <w:div w:id="446004394">
      <w:bodyDiv w:val="1"/>
      <w:marLeft w:val="0"/>
      <w:marRight w:val="0"/>
      <w:marTop w:val="0"/>
      <w:marBottom w:val="0"/>
      <w:divBdr>
        <w:top w:val="none" w:sz="0" w:space="0" w:color="auto"/>
        <w:left w:val="none" w:sz="0" w:space="0" w:color="auto"/>
        <w:bottom w:val="none" w:sz="0" w:space="0" w:color="auto"/>
        <w:right w:val="none" w:sz="0" w:space="0" w:color="auto"/>
      </w:divBdr>
    </w:div>
    <w:div w:id="446042314">
      <w:bodyDiv w:val="1"/>
      <w:marLeft w:val="0"/>
      <w:marRight w:val="0"/>
      <w:marTop w:val="0"/>
      <w:marBottom w:val="0"/>
      <w:divBdr>
        <w:top w:val="none" w:sz="0" w:space="0" w:color="auto"/>
        <w:left w:val="none" w:sz="0" w:space="0" w:color="auto"/>
        <w:bottom w:val="none" w:sz="0" w:space="0" w:color="auto"/>
        <w:right w:val="none" w:sz="0" w:space="0" w:color="auto"/>
      </w:divBdr>
    </w:div>
    <w:div w:id="453259616">
      <w:bodyDiv w:val="1"/>
      <w:marLeft w:val="0"/>
      <w:marRight w:val="0"/>
      <w:marTop w:val="0"/>
      <w:marBottom w:val="0"/>
      <w:divBdr>
        <w:top w:val="none" w:sz="0" w:space="0" w:color="auto"/>
        <w:left w:val="none" w:sz="0" w:space="0" w:color="auto"/>
        <w:bottom w:val="none" w:sz="0" w:space="0" w:color="auto"/>
        <w:right w:val="none" w:sz="0" w:space="0" w:color="auto"/>
      </w:divBdr>
    </w:div>
    <w:div w:id="490685099">
      <w:bodyDiv w:val="1"/>
      <w:marLeft w:val="0"/>
      <w:marRight w:val="0"/>
      <w:marTop w:val="0"/>
      <w:marBottom w:val="0"/>
      <w:divBdr>
        <w:top w:val="none" w:sz="0" w:space="0" w:color="auto"/>
        <w:left w:val="none" w:sz="0" w:space="0" w:color="auto"/>
        <w:bottom w:val="none" w:sz="0" w:space="0" w:color="auto"/>
        <w:right w:val="none" w:sz="0" w:space="0" w:color="auto"/>
      </w:divBdr>
    </w:div>
    <w:div w:id="506335059">
      <w:bodyDiv w:val="1"/>
      <w:marLeft w:val="0"/>
      <w:marRight w:val="0"/>
      <w:marTop w:val="0"/>
      <w:marBottom w:val="0"/>
      <w:divBdr>
        <w:top w:val="none" w:sz="0" w:space="0" w:color="auto"/>
        <w:left w:val="none" w:sz="0" w:space="0" w:color="auto"/>
        <w:bottom w:val="none" w:sz="0" w:space="0" w:color="auto"/>
        <w:right w:val="none" w:sz="0" w:space="0" w:color="auto"/>
      </w:divBdr>
    </w:div>
    <w:div w:id="522206620">
      <w:bodyDiv w:val="1"/>
      <w:marLeft w:val="0"/>
      <w:marRight w:val="0"/>
      <w:marTop w:val="0"/>
      <w:marBottom w:val="0"/>
      <w:divBdr>
        <w:top w:val="none" w:sz="0" w:space="0" w:color="auto"/>
        <w:left w:val="none" w:sz="0" w:space="0" w:color="auto"/>
        <w:bottom w:val="none" w:sz="0" w:space="0" w:color="auto"/>
        <w:right w:val="none" w:sz="0" w:space="0" w:color="auto"/>
      </w:divBdr>
    </w:div>
    <w:div w:id="531115818">
      <w:bodyDiv w:val="1"/>
      <w:marLeft w:val="0"/>
      <w:marRight w:val="0"/>
      <w:marTop w:val="0"/>
      <w:marBottom w:val="0"/>
      <w:divBdr>
        <w:top w:val="none" w:sz="0" w:space="0" w:color="auto"/>
        <w:left w:val="none" w:sz="0" w:space="0" w:color="auto"/>
        <w:bottom w:val="none" w:sz="0" w:space="0" w:color="auto"/>
        <w:right w:val="none" w:sz="0" w:space="0" w:color="auto"/>
      </w:divBdr>
    </w:div>
    <w:div w:id="543446553">
      <w:bodyDiv w:val="1"/>
      <w:marLeft w:val="0"/>
      <w:marRight w:val="0"/>
      <w:marTop w:val="0"/>
      <w:marBottom w:val="0"/>
      <w:divBdr>
        <w:top w:val="none" w:sz="0" w:space="0" w:color="auto"/>
        <w:left w:val="none" w:sz="0" w:space="0" w:color="auto"/>
        <w:bottom w:val="none" w:sz="0" w:space="0" w:color="auto"/>
        <w:right w:val="none" w:sz="0" w:space="0" w:color="auto"/>
      </w:divBdr>
    </w:div>
    <w:div w:id="587233708">
      <w:bodyDiv w:val="1"/>
      <w:marLeft w:val="0"/>
      <w:marRight w:val="0"/>
      <w:marTop w:val="0"/>
      <w:marBottom w:val="0"/>
      <w:divBdr>
        <w:top w:val="none" w:sz="0" w:space="0" w:color="auto"/>
        <w:left w:val="none" w:sz="0" w:space="0" w:color="auto"/>
        <w:bottom w:val="none" w:sz="0" w:space="0" w:color="auto"/>
        <w:right w:val="none" w:sz="0" w:space="0" w:color="auto"/>
      </w:divBdr>
    </w:div>
    <w:div w:id="629634967">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671493627">
      <w:bodyDiv w:val="1"/>
      <w:marLeft w:val="0"/>
      <w:marRight w:val="0"/>
      <w:marTop w:val="0"/>
      <w:marBottom w:val="0"/>
      <w:divBdr>
        <w:top w:val="none" w:sz="0" w:space="0" w:color="auto"/>
        <w:left w:val="none" w:sz="0" w:space="0" w:color="auto"/>
        <w:bottom w:val="none" w:sz="0" w:space="0" w:color="auto"/>
        <w:right w:val="none" w:sz="0" w:space="0" w:color="auto"/>
      </w:divBdr>
    </w:div>
    <w:div w:id="675109712">
      <w:bodyDiv w:val="1"/>
      <w:marLeft w:val="0"/>
      <w:marRight w:val="0"/>
      <w:marTop w:val="0"/>
      <w:marBottom w:val="0"/>
      <w:divBdr>
        <w:top w:val="none" w:sz="0" w:space="0" w:color="auto"/>
        <w:left w:val="none" w:sz="0" w:space="0" w:color="auto"/>
        <w:bottom w:val="none" w:sz="0" w:space="0" w:color="auto"/>
        <w:right w:val="none" w:sz="0" w:space="0" w:color="auto"/>
      </w:divBdr>
    </w:div>
    <w:div w:id="679087218">
      <w:bodyDiv w:val="1"/>
      <w:marLeft w:val="0"/>
      <w:marRight w:val="0"/>
      <w:marTop w:val="0"/>
      <w:marBottom w:val="0"/>
      <w:divBdr>
        <w:top w:val="none" w:sz="0" w:space="0" w:color="auto"/>
        <w:left w:val="none" w:sz="0" w:space="0" w:color="auto"/>
        <w:bottom w:val="none" w:sz="0" w:space="0" w:color="auto"/>
        <w:right w:val="none" w:sz="0" w:space="0" w:color="auto"/>
      </w:divBdr>
    </w:div>
    <w:div w:id="682171733">
      <w:bodyDiv w:val="1"/>
      <w:marLeft w:val="0"/>
      <w:marRight w:val="0"/>
      <w:marTop w:val="0"/>
      <w:marBottom w:val="0"/>
      <w:divBdr>
        <w:top w:val="none" w:sz="0" w:space="0" w:color="auto"/>
        <w:left w:val="none" w:sz="0" w:space="0" w:color="auto"/>
        <w:bottom w:val="none" w:sz="0" w:space="0" w:color="auto"/>
        <w:right w:val="none" w:sz="0" w:space="0" w:color="auto"/>
      </w:divBdr>
    </w:div>
    <w:div w:id="682518674">
      <w:bodyDiv w:val="1"/>
      <w:marLeft w:val="0"/>
      <w:marRight w:val="0"/>
      <w:marTop w:val="0"/>
      <w:marBottom w:val="0"/>
      <w:divBdr>
        <w:top w:val="none" w:sz="0" w:space="0" w:color="auto"/>
        <w:left w:val="none" w:sz="0" w:space="0" w:color="auto"/>
        <w:bottom w:val="none" w:sz="0" w:space="0" w:color="auto"/>
        <w:right w:val="none" w:sz="0" w:space="0" w:color="auto"/>
      </w:divBdr>
    </w:div>
    <w:div w:id="697000497">
      <w:bodyDiv w:val="1"/>
      <w:marLeft w:val="0"/>
      <w:marRight w:val="0"/>
      <w:marTop w:val="0"/>
      <w:marBottom w:val="0"/>
      <w:divBdr>
        <w:top w:val="none" w:sz="0" w:space="0" w:color="auto"/>
        <w:left w:val="none" w:sz="0" w:space="0" w:color="auto"/>
        <w:bottom w:val="none" w:sz="0" w:space="0" w:color="auto"/>
        <w:right w:val="none" w:sz="0" w:space="0" w:color="auto"/>
      </w:divBdr>
    </w:div>
    <w:div w:id="698356553">
      <w:bodyDiv w:val="1"/>
      <w:marLeft w:val="0"/>
      <w:marRight w:val="0"/>
      <w:marTop w:val="0"/>
      <w:marBottom w:val="0"/>
      <w:divBdr>
        <w:top w:val="none" w:sz="0" w:space="0" w:color="auto"/>
        <w:left w:val="none" w:sz="0" w:space="0" w:color="auto"/>
        <w:bottom w:val="none" w:sz="0" w:space="0" w:color="auto"/>
        <w:right w:val="none" w:sz="0" w:space="0" w:color="auto"/>
      </w:divBdr>
    </w:div>
    <w:div w:id="710500951">
      <w:bodyDiv w:val="1"/>
      <w:marLeft w:val="0"/>
      <w:marRight w:val="0"/>
      <w:marTop w:val="0"/>
      <w:marBottom w:val="0"/>
      <w:divBdr>
        <w:top w:val="none" w:sz="0" w:space="0" w:color="auto"/>
        <w:left w:val="none" w:sz="0" w:space="0" w:color="auto"/>
        <w:bottom w:val="none" w:sz="0" w:space="0" w:color="auto"/>
        <w:right w:val="none" w:sz="0" w:space="0" w:color="auto"/>
      </w:divBdr>
    </w:div>
    <w:div w:id="742945761">
      <w:bodyDiv w:val="1"/>
      <w:marLeft w:val="0"/>
      <w:marRight w:val="0"/>
      <w:marTop w:val="0"/>
      <w:marBottom w:val="0"/>
      <w:divBdr>
        <w:top w:val="none" w:sz="0" w:space="0" w:color="auto"/>
        <w:left w:val="none" w:sz="0" w:space="0" w:color="auto"/>
        <w:bottom w:val="none" w:sz="0" w:space="0" w:color="auto"/>
        <w:right w:val="none" w:sz="0" w:space="0" w:color="auto"/>
      </w:divBdr>
    </w:div>
    <w:div w:id="753284088">
      <w:bodyDiv w:val="1"/>
      <w:marLeft w:val="0"/>
      <w:marRight w:val="0"/>
      <w:marTop w:val="0"/>
      <w:marBottom w:val="0"/>
      <w:divBdr>
        <w:top w:val="none" w:sz="0" w:space="0" w:color="auto"/>
        <w:left w:val="none" w:sz="0" w:space="0" w:color="auto"/>
        <w:bottom w:val="none" w:sz="0" w:space="0" w:color="auto"/>
        <w:right w:val="none" w:sz="0" w:space="0" w:color="auto"/>
      </w:divBdr>
    </w:div>
    <w:div w:id="767966479">
      <w:bodyDiv w:val="1"/>
      <w:marLeft w:val="0"/>
      <w:marRight w:val="0"/>
      <w:marTop w:val="0"/>
      <w:marBottom w:val="0"/>
      <w:divBdr>
        <w:top w:val="none" w:sz="0" w:space="0" w:color="auto"/>
        <w:left w:val="none" w:sz="0" w:space="0" w:color="auto"/>
        <w:bottom w:val="none" w:sz="0" w:space="0" w:color="auto"/>
        <w:right w:val="none" w:sz="0" w:space="0" w:color="auto"/>
      </w:divBdr>
    </w:div>
    <w:div w:id="815099890">
      <w:bodyDiv w:val="1"/>
      <w:marLeft w:val="0"/>
      <w:marRight w:val="0"/>
      <w:marTop w:val="0"/>
      <w:marBottom w:val="0"/>
      <w:divBdr>
        <w:top w:val="none" w:sz="0" w:space="0" w:color="auto"/>
        <w:left w:val="none" w:sz="0" w:space="0" w:color="auto"/>
        <w:bottom w:val="none" w:sz="0" w:space="0" w:color="auto"/>
        <w:right w:val="none" w:sz="0" w:space="0" w:color="auto"/>
      </w:divBdr>
    </w:div>
    <w:div w:id="840588518">
      <w:bodyDiv w:val="1"/>
      <w:marLeft w:val="0"/>
      <w:marRight w:val="0"/>
      <w:marTop w:val="0"/>
      <w:marBottom w:val="0"/>
      <w:divBdr>
        <w:top w:val="none" w:sz="0" w:space="0" w:color="auto"/>
        <w:left w:val="none" w:sz="0" w:space="0" w:color="auto"/>
        <w:bottom w:val="none" w:sz="0" w:space="0" w:color="auto"/>
        <w:right w:val="none" w:sz="0" w:space="0" w:color="auto"/>
      </w:divBdr>
    </w:div>
    <w:div w:id="845094289">
      <w:bodyDiv w:val="1"/>
      <w:marLeft w:val="0"/>
      <w:marRight w:val="0"/>
      <w:marTop w:val="0"/>
      <w:marBottom w:val="0"/>
      <w:divBdr>
        <w:top w:val="none" w:sz="0" w:space="0" w:color="auto"/>
        <w:left w:val="none" w:sz="0" w:space="0" w:color="auto"/>
        <w:bottom w:val="none" w:sz="0" w:space="0" w:color="auto"/>
        <w:right w:val="none" w:sz="0" w:space="0" w:color="auto"/>
      </w:divBdr>
    </w:div>
    <w:div w:id="876743931">
      <w:bodyDiv w:val="1"/>
      <w:marLeft w:val="0"/>
      <w:marRight w:val="0"/>
      <w:marTop w:val="0"/>
      <w:marBottom w:val="0"/>
      <w:divBdr>
        <w:top w:val="none" w:sz="0" w:space="0" w:color="auto"/>
        <w:left w:val="none" w:sz="0" w:space="0" w:color="auto"/>
        <w:bottom w:val="none" w:sz="0" w:space="0" w:color="auto"/>
        <w:right w:val="none" w:sz="0" w:space="0" w:color="auto"/>
      </w:divBdr>
    </w:div>
    <w:div w:id="897322513">
      <w:bodyDiv w:val="1"/>
      <w:marLeft w:val="0"/>
      <w:marRight w:val="0"/>
      <w:marTop w:val="0"/>
      <w:marBottom w:val="0"/>
      <w:divBdr>
        <w:top w:val="none" w:sz="0" w:space="0" w:color="auto"/>
        <w:left w:val="none" w:sz="0" w:space="0" w:color="auto"/>
        <w:bottom w:val="none" w:sz="0" w:space="0" w:color="auto"/>
        <w:right w:val="none" w:sz="0" w:space="0" w:color="auto"/>
      </w:divBdr>
    </w:div>
    <w:div w:id="929971280">
      <w:bodyDiv w:val="1"/>
      <w:marLeft w:val="0"/>
      <w:marRight w:val="0"/>
      <w:marTop w:val="0"/>
      <w:marBottom w:val="0"/>
      <w:divBdr>
        <w:top w:val="none" w:sz="0" w:space="0" w:color="auto"/>
        <w:left w:val="none" w:sz="0" w:space="0" w:color="auto"/>
        <w:bottom w:val="none" w:sz="0" w:space="0" w:color="auto"/>
        <w:right w:val="none" w:sz="0" w:space="0" w:color="auto"/>
      </w:divBdr>
    </w:div>
    <w:div w:id="962539678">
      <w:bodyDiv w:val="1"/>
      <w:marLeft w:val="0"/>
      <w:marRight w:val="0"/>
      <w:marTop w:val="0"/>
      <w:marBottom w:val="0"/>
      <w:divBdr>
        <w:top w:val="none" w:sz="0" w:space="0" w:color="auto"/>
        <w:left w:val="none" w:sz="0" w:space="0" w:color="auto"/>
        <w:bottom w:val="none" w:sz="0" w:space="0" w:color="auto"/>
        <w:right w:val="none" w:sz="0" w:space="0" w:color="auto"/>
      </w:divBdr>
    </w:div>
    <w:div w:id="971135273">
      <w:bodyDiv w:val="1"/>
      <w:marLeft w:val="0"/>
      <w:marRight w:val="0"/>
      <w:marTop w:val="0"/>
      <w:marBottom w:val="0"/>
      <w:divBdr>
        <w:top w:val="none" w:sz="0" w:space="0" w:color="auto"/>
        <w:left w:val="none" w:sz="0" w:space="0" w:color="auto"/>
        <w:bottom w:val="none" w:sz="0" w:space="0" w:color="auto"/>
        <w:right w:val="none" w:sz="0" w:space="0" w:color="auto"/>
      </w:divBdr>
    </w:div>
    <w:div w:id="983120263">
      <w:bodyDiv w:val="1"/>
      <w:marLeft w:val="0"/>
      <w:marRight w:val="0"/>
      <w:marTop w:val="0"/>
      <w:marBottom w:val="0"/>
      <w:divBdr>
        <w:top w:val="none" w:sz="0" w:space="0" w:color="auto"/>
        <w:left w:val="none" w:sz="0" w:space="0" w:color="auto"/>
        <w:bottom w:val="none" w:sz="0" w:space="0" w:color="auto"/>
        <w:right w:val="none" w:sz="0" w:space="0" w:color="auto"/>
      </w:divBdr>
    </w:div>
    <w:div w:id="983924011">
      <w:bodyDiv w:val="1"/>
      <w:marLeft w:val="0"/>
      <w:marRight w:val="0"/>
      <w:marTop w:val="0"/>
      <w:marBottom w:val="0"/>
      <w:divBdr>
        <w:top w:val="none" w:sz="0" w:space="0" w:color="auto"/>
        <w:left w:val="none" w:sz="0" w:space="0" w:color="auto"/>
        <w:bottom w:val="none" w:sz="0" w:space="0" w:color="auto"/>
        <w:right w:val="none" w:sz="0" w:space="0" w:color="auto"/>
      </w:divBdr>
    </w:div>
    <w:div w:id="1001084795">
      <w:bodyDiv w:val="1"/>
      <w:marLeft w:val="0"/>
      <w:marRight w:val="0"/>
      <w:marTop w:val="0"/>
      <w:marBottom w:val="0"/>
      <w:divBdr>
        <w:top w:val="none" w:sz="0" w:space="0" w:color="auto"/>
        <w:left w:val="none" w:sz="0" w:space="0" w:color="auto"/>
        <w:bottom w:val="none" w:sz="0" w:space="0" w:color="auto"/>
        <w:right w:val="none" w:sz="0" w:space="0" w:color="auto"/>
      </w:divBdr>
    </w:div>
    <w:div w:id="1027146149">
      <w:bodyDiv w:val="1"/>
      <w:marLeft w:val="0"/>
      <w:marRight w:val="0"/>
      <w:marTop w:val="0"/>
      <w:marBottom w:val="0"/>
      <w:divBdr>
        <w:top w:val="none" w:sz="0" w:space="0" w:color="auto"/>
        <w:left w:val="none" w:sz="0" w:space="0" w:color="auto"/>
        <w:bottom w:val="none" w:sz="0" w:space="0" w:color="auto"/>
        <w:right w:val="none" w:sz="0" w:space="0" w:color="auto"/>
      </w:divBdr>
    </w:div>
    <w:div w:id="1030758711">
      <w:bodyDiv w:val="1"/>
      <w:marLeft w:val="0"/>
      <w:marRight w:val="0"/>
      <w:marTop w:val="0"/>
      <w:marBottom w:val="0"/>
      <w:divBdr>
        <w:top w:val="none" w:sz="0" w:space="0" w:color="auto"/>
        <w:left w:val="none" w:sz="0" w:space="0" w:color="auto"/>
        <w:bottom w:val="none" w:sz="0" w:space="0" w:color="auto"/>
        <w:right w:val="none" w:sz="0" w:space="0" w:color="auto"/>
      </w:divBdr>
    </w:div>
    <w:div w:id="1037782650">
      <w:bodyDiv w:val="1"/>
      <w:marLeft w:val="0"/>
      <w:marRight w:val="0"/>
      <w:marTop w:val="0"/>
      <w:marBottom w:val="0"/>
      <w:divBdr>
        <w:top w:val="none" w:sz="0" w:space="0" w:color="auto"/>
        <w:left w:val="none" w:sz="0" w:space="0" w:color="auto"/>
        <w:bottom w:val="none" w:sz="0" w:space="0" w:color="auto"/>
        <w:right w:val="none" w:sz="0" w:space="0" w:color="auto"/>
      </w:divBdr>
    </w:div>
    <w:div w:id="1075787770">
      <w:bodyDiv w:val="1"/>
      <w:marLeft w:val="0"/>
      <w:marRight w:val="0"/>
      <w:marTop w:val="0"/>
      <w:marBottom w:val="0"/>
      <w:divBdr>
        <w:top w:val="none" w:sz="0" w:space="0" w:color="auto"/>
        <w:left w:val="none" w:sz="0" w:space="0" w:color="auto"/>
        <w:bottom w:val="none" w:sz="0" w:space="0" w:color="auto"/>
        <w:right w:val="none" w:sz="0" w:space="0" w:color="auto"/>
      </w:divBdr>
    </w:div>
    <w:div w:id="1101222890">
      <w:bodyDiv w:val="1"/>
      <w:marLeft w:val="0"/>
      <w:marRight w:val="0"/>
      <w:marTop w:val="0"/>
      <w:marBottom w:val="0"/>
      <w:divBdr>
        <w:top w:val="none" w:sz="0" w:space="0" w:color="auto"/>
        <w:left w:val="none" w:sz="0" w:space="0" w:color="auto"/>
        <w:bottom w:val="none" w:sz="0" w:space="0" w:color="auto"/>
        <w:right w:val="none" w:sz="0" w:space="0" w:color="auto"/>
      </w:divBdr>
    </w:div>
    <w:div w:id="1105033807">
      <w:bodyDiv w:val="1"/>
      <w:marLeft w:val="0"/>
      <w:marRight w:val="0"/>
      <w:marTop w:val="0"/>
      <w:marBottom w:val="0"/>
      <w:divBdr>
        <w:top w:val="none" w:sz="0" w:space="0" w:color="auto"/>
        <w:left w:val="none" w:sz="0" w:space="0" w:color="auto"/>
        <w:bottom w:val="none" w:sz="0" w:space="0" w:color="auto"/>
        <w:right w:val="none" w:sz="0" w:space="0" w:color="auto"/>
      </w:divBdr>
    </w:div>
    <w:div w:id="1107848673">
      <w:bodyDiv w:val="1"/>
      <w:marLeft w:val="0"/>
      <w:marRight w:val="0"/>
      <w:marTop w:val="0"/>
      <w:marBottom w:val="0"/>
      <w:divBdr>
        <w:top w:val="none" w:sz="0" w:space="0" w:color="auto"/>
        <w:left w:val="none" w:sz="0" w:space="0" w:color="auto"/>
        <w:bottom w:val="none" w:sz="0" w:space="0" w:color="auto"/>
        <w:right w:val="none" w:sz="0" w:space="0" w:color="auto"/>
      </w:divBdr>
    </w:div>
    <w:div w:id="1123690090">
      <w:bodyDiv w:val="1"/>
      <w:marLeft w:val="0"/>
      <w:marRight w:val="0"/>
      <w:marTop w:val="0"/>
      <w:marBottom w:val="0"/>
      <w:divBdr>
        <w:top w:val="none" w:sz="0" w:space="0" w:color="auto"/>
        <w:left w:val="none" w:sz="0" w:space="0" w:color="auto"/>
        <w:bottom w:val="none" w:sz="0" w:space="0" w:color="auto"/>
        <w:right w:val="none" w:sz="0" w:space="0" w:color="auto"/>
      </w:divBdr>
    </w:div>
    <w:div w:id="1127821390">
      <w:bodyDiv w:val="1"/>
      <w:marLeft w:val="0"/>
      <w:marRight w:val="0"/>
      <w:marTop w:val="0"/>
      <w:marBottom w:val="0"/>
      <w:divBdr>
        <w:top w:val="none" w:sz="0" w:space="0" w:color="auto"/>
        <w:left w:val="none" w:sz="0" w:space="0" w:color="auto"/>
        <w:bottom w:val="none" w:sz="0" w:space="0" w:color="auto"/>
        <w:right w:val="none" w:sz="0" w:space="0" w:color="auto"/>
      </w:divBdr>
    </w:div>
    <w:div w:id="1131902339">
      <w:bodyDiv w:val="1"/>
      <w:marLeft w:val="0"/>
      <w:marRight w:val="0"/>
      <w:marTop w:val="0"/>
      <w:marBottom w:val="0"/>
      <w:divBdr>
        <w:top w:val="none" w:sz="0" w:space="0" w:color="auto"/>
        <w:left w:val="none" w:sz="0" w:space="0" w:color="auto"/>
        <w:bottom w:val="none" w:sz="0" w:space="0" w:color="auto"/>
        <w:right w:val="none" w:sz="0" w:space="0" w:color="auto"/>
      </w:divBdr>
    </w:div>
    <w:div w:id="1132864241">
      <w:bodyDiv w:val="1"/>
      <w:marLeft w:val="0"/>
      <w:marRight w:val="0"/>
      <w:marTop w:val="0"/>
      <w:marBottom w:val="0"/>
      <w:divBdr>
        <w:top w:val="none" w:sz="0" w:space="0" w:color="auto"/>
        <w:left w:val="none" w:sz="0" w:space="0" w:color="auto"/>
        <w:bottom w:val="none" w:sz="0" w:space="0" w:color="auto"/>
        <w:right w:val="none" w:sz="0" w:space="0" w:color="auto"/>
      </w:divBdr>
    </w:div>
    <w:div w:id="1153446285">
      <w:bodyDiv w:val="1"/>
      <w:marLeft w:val="0"/>
      <w:marRight w:val="0"/>
      <w:marTop w:val="0"/>
      <w:marBottom w:val="0"/>
      <w:divBdr>
        <w:top w:val="none" w:sz="0" w:space="0" w:color="auto"/>
        <w:left w:val="none" w:sz="0" w:space="0" w:color="auto"/>
        <w:bottom w:val="none" w:sz="0" w:space="0" w:color="auto"/>
        <w:right w:val="none" w:sz="0" w:space="0" w:color="auto"/>
      </w:divBdr>
    </w:div>
    <w:div w:id="1155880794">
      <w:bodyDiv w:val="1"/>
      <w:marLeft w:val="0"/>
      <w:marRight w:val="0"/>
      <w:marTop w:val="0"/>
      <w:marBottom w:val="0"/>
      <w:divBdr>
        <w:top w:val="none" w:sz="0" w:space="0" w:color="auto"/>
        <w:left w:val="none" w:sz="0" w:space="0" w:color="auto"/>
        <w:bottom w:val="none" w:sz="0" w:space="0" w:color="auto"/>
        <w:right w:val="none" w:sz="0" w:space="0" w:color="auto"/>
      </w:divBdr>
    </w:div>
    <w:div w:id="1171263282">
      <w:bodyDiv w:val="1"/>
      <w:marLeft w:val="0"/>
      <w:marRight w:val="0"/>
      <w:marTop w:val="0"/>
      <w:marBottom w:val="0"/>
      <w:divBdr>
        <w:top w:val="none" w:sz="0" w:space="0" w:color="auto"/>
        <w:left w:val="none" w:sz="0" w:space="0" w:color="auto"/>
        <w:bottom w:val="none" w:sz="0" w:space="0" w:color="auto"/>
        <w:right w:val="none" w:sz="0" w:space="0" w:color="auto"/>
      </w:divBdr>
    </w:div>
    <w:div w:id="1185053841">
      <w:bodyDiv w:val="1"/>
      <w:marLeft w:val="0"/>
      <w:marRight w:val="0"/>
      <w:marTop w:val="0"/>
      <w:marBottom w:val="0"/>
      <w:divBdr>
        <w:top w:val="none" w:sz="0" w:space="0" w:color="auto"/>
        <w:left w:val="none" w:sz="0" w:space="0" w:color="auto"/>
        <w:bottom w:val="none" w:sz="0" w:space="0" w:color="auto"/>
        <w:right w:val="none" w:sz="0" w:space="0" w:color="auto"/>
      </w:divBdr>
    </w:div>
    <w:div w:id="1223516602">
      <w:bodyDiv w:val="1"/>
      <w:marLeft w:val="0"/>
      <w:marRight w:val="0"/>
      <w:marTop w:val="0"/>
      <w:marBottom w:val="0"/>
      <w:divBdr>
        <w:top w:val="none" w:sz="0" w:space="0" w:color="auto"/>
        <w:left w:val="none" w:sz="0" w:space="0" w:color="auto"/>
        <w:bottom w:val="none" w:sz="0" w:space="0" w:color="auto"/>
        <w:right w:val="none" w:sz="0" w:space="0" w:color="auto"/>
      </w:divBdr>
    </w:div>
    <w:div w:id="1225531361">
      <w:bodyDiv w:val="1"/>
      <w:marLeft w:val="0"/>
      <w:marRight w:val="0"/>
      <w:marTop w:val="0"/>
      <w:marBottom w:val="0"/>
      <w:divBdr>
        <w:top w:val="none" w:sz="0" w:space="0" w:color="auto"/>
        <w:left w:val="none" w:sz="0" w:space="0" w:color="auto"/>
        <w:bottom w:val="none" w:sz="0" w:space="0" w:color="auto"/>
        <w:right w:val="none" w:sz="0" w:space="0" w:color="auto"/>
      </w:divBdr>
    </w:div>
    <w:div w:id="1236815921">
      <w:bodyDiv w:val="1"/>
      <w:marLeft w:val="0"/>
      <w:marRight w:val="0"/>
      <w:marTop w:val="0"/>
      <w:marBottom w:val="0"/>
      <w:divBdr>
        <w:top w:val="none" w:sz="0" w:space="0" w:color="auto"/>
        <w:left w:val="none" w:sz="0" w:space="0" w:color="auto"/>
        <w:bottom w:val="none" w:sz="0" w:space="0" w:color="auto"/>
        <w:right w:val="none" w:sz="0" w:space="0" w:color="auto"/>
      </w:divBdr>
    </w:div>
    <w:div w:id="1258096695">
      <w:bodyDiv w:val="1"/>
      <w:marLeft w:val="0"/>
      <w:marRight w:val="0"/>
      <w:marTop w:val="0"/>
      <w:marBottom w:val="0"/>
      <w:divBdr>
        <w:top w:val="none" w:sz="0" w:space="0" w:color="auto"/>
        <w:left w:val="none" w:sz="0" w:space="0" w:color="auto"/>
        <w:bottom w:val="none" w:sz="0" w:space="0" w:color="auto"/>
        <w:right w:val="none" w:sz="0" w:space="0" w:color="auto"/>
      </w:divBdr>
    </w:div>
    <w:div w:id="1279406613">
      <w:bodyDiv w:val="1"/>
      <w:marLeft w:val="0"/>
      <w:marRight w:val="0"/>
      <w:marTop w:val="0"/>
      <w:marBottom w:val="0"/>
      <w:divBdr>
        <w:top w:val="none" w:sz="0" w:space="0" w:color="auto"/>
        <w:left w:val="none" w:sz="0" w:space="0" w:color="auto"/>
        <w:bottom w:val="none" w:sz="0" w:space="0" w:color="auto"/>
        <w:right w:val="none" w:sz="0" w:space="0" w:color="auto"/>
      </w:divBdr>
    </w:div>
    <w:div w:id="1296714149">
      <w:bodyDiv w:val="1"/>
      <w:marLeft w:val="0"/>
      <w:marRight w:val="0"/>
      <w:marTop w:val="0"/>
      <w:marBottom w:val="0"/>
      <w:divBdr>
        <w:top w:val="none" w:sz="0" w:space="0" w:color="auto"/>
        <w:left w:val="none" w:sz="0" w:space="0" w:color="auto"/>
        <w:bottom w:val="none" w:sz="0" w:space="0" w:color="auto"/>
        <w:right w:val="none" w:sz="0" w:space="0" w:color="auto"/>
      </w:divBdr>
    </w:div>
    <w:div w:id="1320160316">
      <w:bodyDiv w:val="1"/>
      <w:marLeft w:val="0"/>
      <w:marRight w:val="0"/>
      <w:marTop w:val="0"/>
      <w:marBottom w:val="0"/>
      <w:divBdr>
        <w:top w:val="none" w:sz="0" w:space="0" w:color="auto"/>
        <w:left w:val="none" w:sz="0" w:space="0" w:color="auto"/>
        <w:bottom w:val="none" w:sz="0" w:space="0" w:color="auto"/>
        <w:right w:val="none" w:sz="0" w:space="0" w:color="auto"/>
      </w:divBdr>
    </w:div>
    <w:div w:id="1381707409">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34086872">
      <w:bodyDiv w:val="1"/>
      <w:marLeft w:val="0"/>
      <w:marRight w:val="0"/>
      <w:marTop w:val="0"/>
      <w:marBottom w:val="0"/>
      <w:divBdr>
        <w:top w:val="none" w:sz="0" w:space="0" w:color="auto"/>
        <w:left w:val="none" w:sz="0" w:space="0" w:color="auto"/>
        <w:bottom w:val="none" w:sz="0" w:space="0" w:color="auto"/>
        <w:right w:val="none" w:sz="0" w:space="0" w:color="auto"/>
      </w:divBdr>
    </w:div>
    <w:div w:id="1442608445">
      <w:bodyDiv w:val="1"/>
      <w:marLeft w:val="0"/>
      <w:marRight w:val="0"/>
      <w:marTop w:val="0"/>
      <w:marBottom w:val="0"/>
      <w:divBdr>
        <w:top w:val="none" w:sz="0" w:space="0" w:color="auto"/>
        <w:left w:val="none" w:sz="0" w:space="0" w:color="auto"/>
        <w:bottom w:val="none" w:sz="0" w:space="0" w:color="auto"/>
        <w:right w:val="none" w:sz="0" w:space="0" w:color="auto"/>
      </w:divBdr>
    </w:div>
    <w:div w:id="1458254180">
      <w:bodyDiv w:val="1"/>
      <w:marLeft w:val="0"/>
      <w:marRight w:val="0"/>
      <w:marTop w:val="0"/>
      <w:marBottom w:val="0"/>
      <w:divBdr>
        <w:top w:val="none" w:sz="0" w:space="0" w:color="auto"/>
        <w:left w:val="none" w:sz="0" w:space="0" w:color="auto"/>
        <w:bottom w:val="none" w:sz="0" w:space="0" w:color="auto"/>
        <w:right w:val="none" w:sz="0" w:space="0" w:color="auto"/>
      </w:divBdr>
    </w:div>
    <w:div w:id="1509055880">
      <w:bodyDiv w:val="1"/>
      <w:marLeft w:val="0"/>
      <w:marRight w:val="0"/>
      <w:marTop w:val="0"/>
      <w:marBottom w:val="0"/>
      <w:divBdr>
        <w:top w:val="none" w:sz="0" w:space="0" w:color="auto"/>
        <w:left w:val="none" w:sz="0" w:space="0" w:color="auto"/>
        <w:bottom w:val="none" w:sz="0" w:space="0" w:color="auto"/>
        <w:right w:val="none" w:sz="0" w:space="0" w:color="auto"/>
      </w:divBdr>
    </w:div>
    <w:div w:id="1554776092">
      <w:bodyDiv w:val="1"/>
      <w:marLeft w:val="0"/>
      <w:marRight w:val="0"/>
      <w:marTop w:val="0"/>
      <w:marBottom w:val="0"/>
      <w:divBdr>
        <w:top w:val="none" w:sz="0" w:space="0" w:color="auto"/>
        <w:left w:val="none" w:sz="0" w:space="0" w:color="auto"/>
        <w:bottom w:val="none" w:sz="0" w:space="0" w:color="auto"/>
        <w:right w:val="none" w:sz="0" w:space="0" w:color="auto"/>
      </w:divBdr>
    </w:div>
    <w:div w:id="1571887699">
      <w:bodyDiv w:val="1"/>
      <w:marLeft w:val="0"/>
      <w:marRight w:val="0"/>
      <w:marTop w:val="0"/>
      <w:marBottom w:val="0"/>
      <w:divBdr>
        <w:top w:val="none" w:sz="0" w:space="0" w:color="auto"/>
        <w:left w:val="none" w:sz="0" w:space="0" w:color="auto"/>
        <w:bottom w:val="none" w:sz="0" w:space="0" w:color="auto"/>
        <w:right w:val="none" w:sz="0" w:space="0" w:color="auto"/>
      </w:divBdr>
    </w:div>
    <w:div w:id="1575511891">
      <w:bodyDiv w:val="1"/>
      <w:marLeft w:val="0"/>
      <w:marRight w:val="0"/>
      <w:marTop w:val="0"/>
      <w:marBottom w:val="0"/>
      <w:divBdr>
        <w:top w:val="none" w:sz="0" w:space="0" w:color="auto"/>
        <w:left w:val="none" w:sz="0" w:space="0" w:color="auto"/>
        <w:bottom w:val="none" w:sz="0" w:space="0" w:color="auto"/>
        <w:right w:val="none" w:sz="0" w:space="0" w:color="auto"/>
      </w:divBdr>
    </w:div>
    <w:div w:id="1577200739">
      <w:bodyDiv w:val="1"/>
      <w:marLeft w:val="0"/>
      <w:marRight w:val="0"/>
      <w:marTop w:val="0"/>
      <w:marBottom w:val="0"/>
      <w:divBdr>
        <w:top w:val="none" w:sz="0" w:space="0" w:color="auto"/>
        <w:left w:val="none" w:sz="0" w:space="0" w:color="auto"/>
        <w:bottom w:val="none" w:sz="0" w:space="0" w:color="auto"/>
        <w:right w:val="none" w:sz="0" w:space="0" w:color="auto"/>
      </w:divBdr>
    </w:div>
    <w:div w:id="1615138947">
      <w:bodyDiv w:val="1"/>
      <w:marLeft w:val="0"/>
      <w:marRight w:val="0"/>
      <w:marTop w:val="0"/>
      <w:marBottom w:val="0"/>
      <w:divBdr>
        <w:top w:val="none" w:sz="0" w:space="0" w:color="auto"/>
        <w:left w:val="none" w:sz="0" w:space="0" w:color="auto"/>
        <w:bottom w:val="none" w:sz="0" w:space="0" w:color="auto"/>
        <w:right w:val="none" w:sz="0" w:space="0" w:color="auto"/>
      </w:divBdr>
    </w:div>
    <w:div w:id="1620650435">
      <w:bodyDiv w:val="1"/>
      <w:marLeft w:val="0"/>
      <w:marRight w:val="0"/>
      <w:marTop w:val="0"/>
      <w:marBottom w:val="0"/>
      <w:divBdr>
        <w:top w:val="none" w:sz="0" w:space="0" w:color="auto"/>
        <w:left w:val="none" w:sz="0" w:space="0" w:color="auto"/>
        <w:bottom w:val="none" w:sz="0" w:space="0" w:color="auto"/>
        <w:right w:val="none" w:sz="0" w:space="0" w:color="auto"/>
      </w:divBdr>
    </w:div>
    <w:div w:id="1629898123">
      <w:bodyDiv w:val="1"/>
      <w:marLeft w:val="0"/>
      <w:marRight w:val="0"/>
      <w:marTop w:val="0"/>
      <w:marBottom w:val="0"/>
      <w:divBdr>
        <w:top w:val="none" w:sz="0" w:space="0" w:color="auto"/>
        <w:left w:val="none" w:sz="0" w:space="0" w:color="auto"/>
        <w:bottom w:val="none" w:sz="0" w:space="0" w:color="auto"/>
        <w:right w:val="none" w:sz="0" w:space="0" w:color="auto"/>
      </w:divBdr>
    </w:div>
    <w:div w:id="1630011631">
      <w:bodyDiv w:val="1"/>
      <w:marLeft w:val="0"/>
      <w:marRight w:val="0"/>
      <w:marTop w:val="0"/>
      <w:marBottom w:val="0"/>
      <w:divBdr>
        <w:top w:val="none" w:sz="0" w:space="0" w:color="auto"/>
        <w:left w:val="none" w:sz="0" w:space="0" w:color="auto"/>
        <w:bottom w:val="none" w:sz="0" w:space="0" w:color="auto"/>
        <w:right w:val="none" w:sz="0" w:space="0" w:color="auto"/>
      </w:divBdr>
    </w:div>
    <w:div w:id="1654406951">
      <w:bodyDiv w:val="1"/>
      <w:marLeft w:val="0"/>
      <w:marRight w:val="0"/>
      <w:marTop w:val="0"/>
      <w:marBottom w:val="0"/>
      <w:divBdr>
        <w:top w:val="none" w:sz="0" w:space="0" w:color="auto"/>
        <w:left w:val="none" w:sz="0" w:space="0" w:color="auto"/>
        <w:bottom w:val="none" w:sz="0" w:space="0" w:color="auto"/>
        <w:right w:val="none" w:sz="0" w:space="0" w:color="auto"/>
      </w:divBdr>
    </w:div>
    <w:div w:id="1661736571">
      <w:bodyDiv w:val="1"/>
      <w:marLeft w:val="0"/>
      <w:marRight w:val="0"/>
      <w:marTop w:val="0"/>
      <w:marBottom w:val="0"/>
      <w:divBdr>
        <w:top w:val="none" w:sz="0" w:space="0" w:color="auto"/>
        <w:left w:val="none" w:sz="0" w:space="0" w:color="auto"/>
        <w:bottom w:val="none" w:sz="0" w:space="0" w:color="auto"/>
        <w:right w:val="none" w:sz="0" w:space="0" w:color="auto"/>
      </w:divBdr>
    </w:div>
    <w:div w:id="1676151716">
      <w:bodyDiv w:val="1"/>
      <w:marLeft w:val="0"/>
      <w:marRight w:val="0"/>
      <w:marTop w:val="0"/>
      <w:marBottom w:val="0"/>
      <w:divBdr>
        <w:top w:val="none" w:sz="0" w:space="0" w:color="auto"/>
        <w:left w:val="none" w:sz="0" w:space="0" w:color="auto"/>
        <w:bottom w:val="none" w:sz="0" w:space="0" w:color="auto"/>
        <w:right w:val="none" w:sz="0" w:space="0" w:color="auto"/>
      </w:divBdr>
    </w:div>
    <w:div w:id="1721975846">
      <w:bodyDiv w:val="1"/>
      <w:marLeft w:val="0"/>
      <w:marRight w:val="0"/>
      <w:marTop w:val="0"/>
      <w:marBottom w:val="0"/>
      <w:divBdr>
        <w:top w:val="none" w:sz="0" w:space="0" w:color="auto"/>
        <w:left w:val="none" w:sz="0" w:space="0" w:color="auto"/>
        <w:bottom w:val="none" w:sz="0" w:space="0" w:color="auto"/>
        <w:right w:val="none" w:sz="0" w:space="0" w:color="auto"/>
      </w:divBdr>
    </w:div>
    <w:div w:id="1750805336">
      <w:bodyDiv w:val="1"/>
      <w:marLeft w:val="0"/>
      <w:marRight w:val="0"/>
      <w:marTop w:val="0"/>
      <w:marBottom w:val="0"/>
      <w:divBdr>
        <w:top w:val="none" w:sz="0" w:space="0" w:color="auto"/>
        <w:left w:val="none" w:sz="0" w:space="0" w:color="auto"/>
        <w:bottom w:val="none" w:sz="0" w:space="0" w:color="auto"/>
        <w:right w:val="none" w:sz="0" w:space="0" w:color="auto"/>
      </w:divBdr>
      <w:divsChild>
        <w:div w:id="557865873">
          <w:marLeft w:val="0"/>
          <w:marRight w:val="0"/>
          <w:marTop w:val="0"/>
          <w:marBottom w:val="0"/>
          <w:divBdr>
            <w:top w:val="none" w:sz="0" w:space="0" w:color="auto"/>
            <w:left w:val="none" w:sz="0" w:space="0" w:color="auto"/>
            <w:bottom w:val="none" w:sz="0" w:space="0" w:color="auto"/>
            <w:right w:val="none" w:sz="0" w:space="0" w:color="auto"/>
          </w:divBdr>
          <w:divsChild>
            <w:div w:id="775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6895">
      <w:bodyDiv w:val="1"/>
      <w:marLeft w:val="0"/>
      <w:marRight w:val="0"/>
      <w:marTop w:val="0"/>
      <w:marBottom w:val="0"/>
      <w:divBdr>
        <w:top w:val="none" w:sz="0" w:space="0" w:color="auto"/>
        <w:left w:val="none" w:sz="0" w:space="0" w:color="auto"/>
        <w:bottom w:val="none" w:sz="0" w:space="0" w:color="auto"/>
        <w:right w:val="none" w:sz="0" w:space="0" w:color="auto"/>
      </w:divBdr>
      <w:divsChild>
        <w:div w:id="700864364">
          <w:marLeft w:val="0"/>
          <w:marRight w:val="0"/>
          <w:marTop w:val="0"/>
          <w:marBottom w:val="0"/>
          <w:divBdr>
            <w:top w:val="none" w:sz="0" w:space="0" w:color="auto"/>
            <w:left w:val="none" w:sz="0" w:space="0" w:color="auto"/>
            <w:bottom w:val="none" w:sz="0" w:space="0" w:color="auto"/>
            <w:right w:val="none" w:sz="0" w:space="0" w:color="auto"/>
          </w:divBdr>
          <w:divsChild>
            <w:div w:id="75321184">
              <w:marLeft w:val="0"/>
              <w:marRight w:val="0"/>
              <w:marTop w:val="0"/>
              <w:marBottom w:val="0"/>
              <w:divBdr>
                <w:top w:val="none" w:sz="0" w:space="0" w:color="auto"/>
                <w:left w:val="none" w:sz="0" w:space="0" w:color="auto"/>
                <w:bottom w:val="none" w:sz="0" w:space="0" w:color="auto"/>
                <w:right w:val="none" w:sz="0" w:space="0" w:color="auto"/>
              </w:divBdr>
              <w:divsChild>
                <w:div w:id="1589462141">
                  <w:marLeft w:val="0"/>
                  <w:marRight w:val="0"/>
                  <w:marTop w:val="0"/>
                  <w:marBottom w:val="300"/>
                  <w:divBdr>
                    <w:top w:val="none" w:sz="0" w:space="0" w:color="auto"/>
                    <w:left w:val="none" w:sz="0" w:space="0" w:color="auto"/>
                    <w:bottom w:val="none" w:sz="0" w:space="0" w:color="auto"/>
                    <w:right w:val="none" w:sz="0" w:space="0" w:color="auto"/>
                  </w:divBdr>
                  <w:divsChild>
                    <w:div w:id="7863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35559">
      <w:bodyDiv w:val="1"/>
      <w:marLeft w:val="0"/>
      <w:marRight w:val="0"/>
      <w:marTop w:val="0"/>
      <w:marBottom w:val="0"/>
      <w:divBdr>
        <w:top w:val="none" w:sz="0" w:space="0" w:color="auto"/>
        <w:left w:val="none" w:sz="0" w:space="0" w:color="auto"/>
        <w:bottom w:val="none" w:sz="0" w:space="0" w:color="auto"/>
        <w:right w:val="none" w:sz="0" w:space="0" w:color="auto"/>
      </w:divBdr>
    </w:div>
    <w:div w:id="1770003221">
      <w:bodyDiv w:val="1"/>
      <w:marLeft w:val="0"/>
      <w:marRight w:val="0"/>
      <w:marTop w:val="0"/>
      <w:marBottom w:val="0"/>
      <w:divBdr>
        <w:top w:val="none" w:sz="0" w:space="0" w:color="auto"/>
        <w:left w:val="none" w:sz="0" w:space="0" w:color="auto"/>
        <w:bottom w:val="none" w:sz="0" w:space="0" w:color="auto"/>
        <w:right w:val="none" w:sz="0" w:space="0" w:color="auto"/>
      </w:divBdr>
    </w:div>
    <w:div w:id="1772621712">
      <w:bodyDiv w:val="1"/>
      <w:marLeft w:val="0"/>
      <w:marRight w:val="0"/>
      <w:marTop w:val="0"/>
      <w:marBottom w:val="0"/>
      <w:divBdr>
        <w:top w:val="none" w:sz="0" w:space="0" w:color="auto"/>
        <w:left w:val="none" w:sz="0" w:space="0" w:color="auto"/>
        <w:bottom w:val="none" w:sz="0" w:space="0" w:color="auto"/>
        <w:right w:val="none" w:sz="0" w:space="0" w:color="auto"/>
      </w:divBdr>
    </w:div>
    <w:div w:id="1791782574">
      <w:bodyDiv w:val="1"/>
      <w:marLeft w:val="0"/>
      <w:marRight w:val="0"/>
      <w:marTop w:val="0"/>
      <w:marBottom w:val="0"/>
      <w:divBdr>
        <w:top w:val="none" w:sz="0" w:space="0" w:color="auto"/>
        <w:left w:val="none" w:sz="0" w:space="0" w:color="auto"/>
        <w:bottom w:val="none" w:sz="0" w:space="0" w:color="auto"/>
        <w:right w:val="none" w:sz="0" w:space="0" w:color="auto"/>
      </w:divBdr>
    </w:div>
    <w:div w:id="1803301560">
      <w:bodyDiv w:val="1"/>
      <w:marLeft w:val="0"/>
      <w:marRight w:val="0"/>
      <w:marTop w:val="0"/>
      <w:marBottom w:val="0"/>
      <w:divBdr>
        <w:top w:val="none" w:sz="0" w:space="0" w:color="auto"/>
        <w:left w:val="none" w:sz="0" w:space="0" w:color="auto"/>
        <w:bottom w:val="none" w:sz="0" w:space="0" w:color="auto"/>
        <w:right w:val="none" w:sz="0" w:space="0" w:color="auto"/>
      </w:divBdr>
    </w:div>
    <w:div w:id="1870677011">
      <w:bodyDiv w:val="1"/>
      <w:marLeft w:val="0"/>
      <w:marRight w:val="0"/>
      <w:marTop w:val="0"/>
      <w:marBottom w:val="0"/>
      <w:divBdr>
        <w:top w:val="none" w:sz="0" w:space="0" w:color="auto"/>
        <w:left w:val="none" w:sz="0" w:space="0" w:color="auto"/>
        <w:bottom w:val="none" w:sz="0" w:space="0" w:color="auto"/>
        <w:right w:val="none" w:sz="0" w:space="0" w:color="auto"/>
      </w:divBdr>
    </w:div>
    <w:div w:id="1877236617">
      <w:bodyDiv w:val="1"/>
      <w:marLeft w:val="0"/>
      <w:marRight w:val="0"/>
      <w:marTop w:val="0"/>
      <w:marBottom w:val="0"/>
      <w:divBdr>
        <w:top w:val="none" w:sz="0" w:space="0" w:color="auto"/>
        <w:left w:val="none" w:sz="0" w:space="0" w:color="auto"/>
        <w:bottom w:val="none" w:sz="0" w:space="0" w:color="auto"/>
        <w:right w:val="none" w:sz="0" w:space="0" w:color="auto"/>
      </w:divBdr>
    </w:div>
    <w:div w:id="1879732433">
      <w:bodyDiv w:val="1"/>
      <w:marLeft w:val="0"/>
      <w:marRight w:val="0"/>
      <w:marTop w:val="0"/>
      <w:marBottom w:val="0"/>
      <w:divBdr>
        <w:top w:val="none" w:sz="0" w:space="0" w:color="auto"/>
        <w:left w:val="none" w:sz="0" w:space="0" w:color="auto"/>
        <w:bottom w:val="none" w:sz="0" w:space="0" w:color="auto"/>
        <w:right w:val="none" w:sz="0" w:space="0" w:color="auto"/>
      </w:divBdr>
    </w:div>
    <w:div w:id="1880702920">
      <w:bodyDiv w:val="1"/>
      <w:marLeft w:val="0"/>
      <w:marRight w:val="0"/>
      <w:marTop w:val="0"/>
      <w:marBottom w:val="0"/>
      <w:divBdr>
        <w:top w:val="none" w:sz="0" w:space="0" w:color="auto"/>
        <w:left w:val="none" w:sz="0" w:space="0" w:color="auto"/>
        <w:bottom w:val="none" w:sz="0" w:space="0" w:color="auto"/>
        <w:right w:val="none" w:sz="0" w:space="0" w:color="auto"/>
      </w:divBdr>
    </w:div>
    <w:div w:id="1886136587">
      <w:bodyDiv w:val="1"/>
      <w:marLeft w:val="0"/>
      <w:marRight w:val="0"/>
      <w:marTop w:val="0"/>
      <w:marBottom w:val="0"/>
      <w:divBdr>
        <w:top w:val="none" w:sz="0" w:space="0" w:color="auto"/>
        <w:left w:val="none" w:sz="0" w:space="0" w:color="auto"/>
        <w:bottom w:val="none" w:sz="0" w:space="0" w:color="auto"/>
        <w:right w:val="none" w:sz="0" w:space="0" w:color="auto"/>
      </w:divBdr>
      <w:divsChild>
        <w:div w:id="646669712">
          <w:marLeft w:val="547"/>
          <w:marRight w:val="0"/>
          <w:marTop w:val="0"/>
          <w:marBottom w:val="0"/>
          <w:divBdr>
            <w:top w:val="none" w:sz="0" w:space="0" w:color="auto"/>
            <w:left w:val="none" w:sz="0" w:space="0" w:color="auto"/>
            <w:bottom w:val="none" w:sz="0" w:space="0" w:color="auto"/>
            <w:right w:val="none" w:sz="0" w:space="0" w:color="auto"/>
          </w:divBdr>
        </w:div>
        <w:div w:id="829054688">
          <w:marLeft w:val="547"/>
          <w:marRight w:val="0"/>
          <w:marTop w:val="0"/>
          <w:marBottom w:val="0"/>
          <w:divBdr>
            <w:top w:val="none" w:sz="0" w:space="0" w:color="auto"/>
            <w:left w:val="none" w:sz="0" w:space="0" w:color="auto"/>
            <w:bottom w:val="none" w:sz="0" w:space="0" w:color="auto"/>
            <w:right w:val="none" w:sz="0" w:space="0" w:color="auto"/>
          </w:divBdr>
        </w:div>
        <w:div w:id="1239897844">
          <w:marLeft w:val="547"/>
          <w:marRight w:val="0"/>
          <w:marTop w:val="0"/>
          <w:marBottom w:val="0"/>
          <w:divBdr>
            <w:top w:val="none" w:sz="0" w:space="0" w:color="auto"/>
            <w:left w:val="none" w:sz="0" w:space="0" w:color="auto"/>
            <w:bottom w:val="none" w:sz="0" w:space="0" w:color="auto"/>
            <w:right w:val="none" w:sz="0" w:space="0" w:color="auto"/>
          </w:divBdr>
        </w:div>
      </w:divsChild>
    </w:div>
    <w:div w:id="1904487882">
      <w:bodyDiv w:val="1"/>
      <w:marLeft w:val="0"/>
      <w:marRight w:val="0"/>
      <w:marTop w:val="0"/>
      <w:marBottom w:val="0"/>
      <w:divBdr>
        <w:top w:val="none" w:sz="0" w:space="0" w:color="auto"/>
        <w:left w:val="none" w:sz="0" w:space="0" w:color="auto"/>
        <w:bottom w:val="none" w:sz="0" w:space="0" w:color="auto"/>
        <w:right w:val="none" w:sz="0" w:space="0" w:color="auto"/>
      </w:divBdr>
    </w:div>
    <w:div w:id="1915818021">
      <w:bodyDiv w:val="1"/>
      <w:marLeft w:val="0"/>
      <w:marRight w:val="0"/>
      <w:marTop w:val="0"/>
      <w:marBottom w:val="0"/>
      <w:divBdr>
        <w:top w:val="none" w:sz="0" w:space="0" w:color="auto"/>
        <w:left w:val="none" w:sz="0" w:space="0" w:color="auto"/>
        <w:bottom w:val="none" w:sz="0" w:space="0" w:color="auto"/>
        <w:right w:val="none" w:sz="0" w:space="0" w:color="auto"/>
      </w:divBdr>
    </w:div>
    <w:div w:id="1926262016">
      <w:bodyDiv w:val="1"/>
      <w:marLeft w:val="0"/>
      <w:marRight w:val="0"/>
      <w:marTop w:val="0"/>
      <w:marBottom w:val="0"/>
      <w:divBdr>
        <w:top w:val="none" w:sz="0" w:space="0" w:color="auto"/>
        <w:left w:val="none" w:sz="0" w:space="0" w:color="auto"/>
        <w:bottom w:val="none" w:sz="0" w:space="0" w:color="auto"/>
        <w:right w:val="none" w:sz="0" w:space="0" w:color="auto"/>
      </w:divBdr>
    </w:div>
    <w:div w:id="2007321998">
      <w:bodyDiv w:val="1"/>
      <w:marLeft w:val="0"/>
      <w:marRight w:val="0"/>
      <w:marTop w:val="0"/>
      <w:marBottom w:val="0"/>
      <w:divBdr>
        <w:top w:val="none" w:sz="0" w:space="0" w:color="auto"/>
        <w:left w:val="none" w:sz="0" w:space="0" w:color="auto"/>
        <w:bottom w:val="none" w:sz="0" w:space="0" w:color="auto"/>
        <w:right w:val="none" w:sz="0" w:space="0" w:color="auto"/>
      </w:divBdr>
    </w:div>
    <w:div w:id="2008483306">
      <w:bodyDiv w:val="1"/>
      <w:marLeft w:val="0"/>
      <w:marRight w:val="0"/>
      <w:marTop w:val="0"/>
      <w:marBottom w:val="0"/>
      <w:divBdr>
        <w:top w:val="none" w:sz="0" w:space="0" w:color="auto"/>
        <w:left w:val="none" w:sz="0" w:space="0" w:color="auto"/>
        <w:bottom w:val="none" w:sz="0" w:space="0" w:color="auto"/>
        <w:right w:val="none" w:sz="0" w:space="0" w:color="auto"/>
      </w:divBdr>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11635278">
      <w:bodyDiv w:val="1"/>
      <w:marLeft w:val="0"/>
      <w:marRight w:val="0"/>
      <w:marTop w:val="0"/>
      <w:marBottom w:val="0"/>
      <w:divBdr>
        <w:top w:val="none" w:sz="0" w:space="0" w:color="auto"/>
        <w:left w:val="none" w:sz="0" w:space="0" w:color="auto"/>
        <w:bottom w:val="none" w:sz="0" w:space="0" w:color="auto"/>
        <w:right w:val="none" w:sz="0" w:space="0" w:color="auto"/>
      </w:divBdr>
    </w:div>
    <w:div w:id="2023706041">
      <w:bodyDiv w:val="1"/>
      <w:marLeft w:val="0"/>
      <w:marRight w:val="0"/>
      <w:marTop w:val="0"/>
      <w:marBottom w:val="0"/>
      <w:divBdr>
        <w:top w:val="none" w:sz="0" w:space="0" w:color="auto"/>
        <w:left w:val="none" w:sz="0" w:space="0" w:color="auto"/>
        <w:bottom w:val="none" w:sz="0" w:space="0" w:color="auto"/>
        <w:right w:val="none" w:sz="0" w:space="0" w:color="auto"/>
      </w:divBdr>
      <w:divsChild>
        <w:div w:id="332268327">
          <w:marLeft w:val="0"/>
          <w:marRight w:val="0"/>
          <w:marTop w:val="0"/>
          <w:marBottom w:val="0"/>
          <w:divBdr>
            <w:top w:val="none" w:sz="0" w:space="0" w:color="auto"/>
            <w:left w:val="none" w:sz="0" w:space="0" w:color="auto"/>
            <w:bottom w:val="none" w:sz="0" w:space="0" w:color="auto"/>
            <w:right w:val="none" w:sz="0" w:space="0" w:color="auto"/>
          </w:divBdr>
          <w:divsChild>
            <w:div w:id="8447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5882">
      <w:bodyDiv w:val="1"/>
      <w:marLeft w:val="0"/>
      <w:marRight w:val="0"/>
      <w:marTop w:val="0"/>
      <w:marBottom w:val="0"/>
      <w:divBdr>
        <w:top w:val="none" w:sz="0" w:space="0" w:color="auto"/>
        <w:left w:val="none" w:sz="0" w:space="0" w:color="auto"/>
        <w:bottom w:val="none" w:sz="0" w:space="0" w:color="auto"/>
        <w:right w:val="none" w:sz="0" w:space="0" w:color="auto"/>
      </w:divBdr>
    </w:div>
    <w:div w:id="2026201144">
      <w:bodyDiv w:val="1"/>
      <w:marLeft w:val="0"/>
      <w:marRight w:val="0"/>
      <w:marTop w:val="0"/>
      <w:marBottom w:val="0"/>
      <w:divBdr>
        <w:top w:val="none" w:sz="0" w:space="0" w:color="auto"/>
        <w:left w:val="none" w:sz="0" w:space="0" w:color="auto"/>
        <w:bottom w:val="none" w:sz="0" w:space="0" w:color="auto"/>
        <w:right w:val="none" w:sz="0" w:space="0" w:color="auto"/>
      </w:divBdr>
    </w:div>
    <w:div w:id="2034068946">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059815377">
      <w:bodyDiv w:val="1"/>
      <w:marLeft w:val="0"/>
      <w:marRight w:val="0"/>
      <w:marTop w:val="0"/>
      <w:marBottom w:val="0"/>
      <w:divBdr>
        <w:top w:val="none" w:sz="0" w:space="0" w:color="auto"/>
        <w:left w:val="none" w:sz="0" w:space="0" w:color="auto"/>
        <w:bottom w:val="none" w:sz="0" w:space="0" w:color="auto"/>
        <w:right w:val="none" w:sz="0" w:space="0" w:color="auto"/>
      </w:divBdr>
    </w:div>
    <w:div w:id="2077362707">
      <w:bodyDiv w:val="1"/>
      <w:marLeft w:val="0"/>
      <w:marRight w:val="0"/>
      <w:marTop w:val="0"/>
      <w:marBottom w:val="0"/>
      <w:divBdr>
        <w:top w:val="none" w:sz="0" w:space="0" w:color="auto"/>
        <w:left w:val="none" w:sz="0" w:space="0" w:color="auto"/>
        <w:bottom w:val="none" w:sz="0" w:space="0" w:color="auto"/>
        <w:right w:val="none" w:sz="0" w:space="0" w:color="auto"/>
      </w:divBdr>
    </w:div>
    <w:div w:id="2079277795">
      <w:bodyDiv w:val="1"/>
      <w:marLeft w:val="0"/>
      <w:marRight w:val="0"/>
      <w:marTop w:val="0"/>
      <w:marBottom w:val="0"/>
      <w:divBdr>
        <w:top w:val="none" w:sz="0" w:space="0" w:color="auto"/>
        <w:left w:val="none" w:sz="0" w:space="0" w:color="auto"/>
        <w:bottom w:val="none" w:sz="0" w:space="0" w:color="auto"/>
        <w:right w:val="none" w:sz="0" w:space="0" w:color="auto"/>
      </w:divBdr>
    </w:div>
    <w:div w:id="2101634344">
      <w:bodyDiv w:val="1"/>
      <w:marLeft w:val="0"/>
      <w:marRight w:val="0"/>
      <w:marTop w:val="0"/>
      <w:marBottom w:val="0"/>
      <w:divBdr>
        <w:top w:val="none" w:sz="0" w:space="0" w:color="auto"/>
        <w:left w:val="none" w:sz="0" w:space="0" w:color="auto"/>
        <w:bottom w:val="none" w:sz="0" w:space="0" w:color="auto"/>
        <w:right w:val="none" w:sz="0" w:space="0" w:color="auto"/>
      </w:divBdr>
    </w:div>
    <w:div w:id="2103404601">
      <w:bodyDiv w:val="1"/>
      <w:marLeft w:val="0"/>
      <w:marRight w:val="0"/>
      <w:marTop w:val="0"/>
      <w:marBottom w:val="0"/>
      <w:divBdr>
        <w:top w:val="none" w:sz="0" w:space="0" w:color="auto"/>
        <w:left w:val="none" w:sz="0" w:space="0" w:color="auto"/>
        <w:bottom w:val="none" w:sz="0" w:space="0" w:color="auto"/>
        <w:right w:val="none" w:sz="0" w:space="0" w:color="auto"/>
      </w:divBdr>
    </w:div>
    <w:div w:id="2117869220">
      <w:bodyDiv w:val="1"/>
      <w:marLeft w:val="0"/>
      <w:marRight w:val="0"/>
      <w:marTop w:val="0"/>
      <w:marBottom w:val="0"/>
      <w:divBdr>
        <w:top w:val="none" w:sz="0" w:space="0" w:color="auto"/>
        <w:left w:val="none" w:sz="0" w:space="0" w:color="auto"/>
        <w:bottom w:val="none" w:sz="0" w:space="0" w:color="auto"/>
        <w:right w:val="none" w:sz="0" w:space="0" w:color="auto"/>
      </w:divBdr>
    </w:div>
    <w:div w:id="2129160174">
      <w:bodyDiv w:val="1"/>
      <w:marLeft w:val="0"/>
      <w:marRight w:val="0"/>
      <w:marTop w:val="0"/>
      <w:marBottom w:val="0"/>
      <w:divBdr>
        <w:top w:val="none" w:sz="0" w:space="0" w:color="auto"/>
        <w:left w:val="none" w:sz="0" w:space="0" w:color="auto"/>
        <w:bottom w:val="none" w:sz="0" w:space="0" w:color="auto"/>
        <w:right w:val="none" w:sz="0" w:space="0" w:color="auto"/>
      </w:divBdr>
    </w:div>
    <w:div w:id="2141192321">
      <w:bodyDiv w:val="1"/>
      <w:marLeft w:val="0"/>
      <w:marRight w:val="0"/>
      <w:marTop w:val="0"/>
      <w:marBottom w:val="0"/>
      <w:divBdr>
        <w:top w:val="none" w:sz="0" w:space="0" w:color="auto"/>
        <w:left w:val="none" w:sz="0" w:space="0" w:color="auto"/>
        <w:bottom w:val="none" w:sz="0" w:space="0" w:color="auto"/>
        <w:right w:val="none" w:sz="0" w:space="0" w:color="auto"/>
      </w:divBdr>
    </w:div>
    <w:div w:id="21458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cialcaredata@ofsted.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socialcaredata@ofsted.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si@nationalarchives.gsi.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ionalarchives.gov.uk/doc/open-government-licenc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notify-ofsted-of-serious-childcare-incident-form-for-local-authorities" TargetMode="External"/><Relationship Id="rId2" Type="http://schemas.openxmlformats.org/officeDocument/2006/relationships/hyperlink" Target="https://www.gov.uk/government/uploads/system/uploads/attachment_data/file/533826/Triennial_Analysis_of_SCRs_2011-2014_-__Pathways_to_harm_and_protection.pdf" TargetMode="External"/><Relationship Id="rId1" Type="http://schemas.openxmlformats.org/officeDocument/2006/relationships/hyperlink" Target="https://www.nomisweb.co.uk/census/2011/dc2101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82e30443-e738-45d7-be93-4e56ed5da66c">Official Statistics</Section>
    <Date_x0020_next_x0020_update_x0020_due xmlns="82e30443-e738-45d7-be93-4e56ed5da66c">2017-03-30T23:00:00+00:00</Date_x0020_next_x0020_update_x0020_due>
    <Date_x0020_last_x0020_updated xmlns="82e30443-e738-45d7-be93-4e56ed5da66c">2015-12-11T00:00:00+00:00</Date_x0020_last_x0020_upd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4A3CE4FBE6E640B97C2EF975045949" ma:contentTypeVersion="3" ma:contentTypeDescription="Create a new document." ma:contentTypeScope="" ma:versionID="cc38c5c70ccb91210c921340a01f7ed6">
  <xsd:schema xmlns:xsd="http://www.w3.org/2001/XMLSchema" xmlns:p="http://schemas.microsoft.com/office/2006/metadata/properties" xmlns:ns2="82e30443-e738-45d7-be93-4e56ed5da66c" targetNamespace="http://schemas.microsoft.com/office/2006/metadata/properties" ma:root="true" ma:fieldsID="d0b9af0f08c680cf12a2fc973f3784df" ns2:_="">
    <xsd:import namespace="82e30443-e738-45d7-be93-4e56ed5da66c"/>
    <xsd:element name="properties">
      <xsd:complexType>
        <xsd:sequence>
          <xsd:element name="documentManagement">
            <xsd:complexType>
              <xsd:all>
                <xsd:element ref="ns2:Section"/>
                <xsd:element ref="ns2:Date_x0020_last_x0020_updated"/>
                <xsd:element ref="ns2:Date_x0020_next_x0020_update_x0020_due"/>
              </xsd:all>
            </xsd:complexType>
          </xsd:element>
        </xsd:sequence>
      </xsd:complexType>
    </xsd:element>
  </xsd:schema>
  <xsd:schema xmlns:xsd="http://www.w3.org/2001/XMLSchema" xmlns:dms="http://schemas.microsoft.com/office/2006/documentManagement/types" targetNamespace="82e30443-e738-45d7-be93-4e56ed5da66c" elementFormDefault="qualified">
    <xsd:import namespace="http://schemas.microsoft.com/office/2006/documentManagement/types"/>
    <xsd:element name="Section" ma:index="8" ma:displayName="Section" ma:default="Please select:" ma:format="Dropdown" ma:internalName="Section">
      <xsd:simpleType>
        <xsd:restriction base="dms:Choice">
          <xsd:enumeration value="Please select:"/>
          <xsd:enumeration value="Software"/>
          <xsd:enumeration value="Authorisation and Sign off"/>
          <xsd:enumeration value="User Engagement"/>
          <xsd:enumeration value="Confidentiality and Disclosure"/>
          <xsd:enumeration value="Accessing sensitive data"/>
          <xsd:enumeration value="Lessons Learned"/>
          <xsd:enumeration value="Version control"/>
          <xsd:enumeration value="Official Statistics"/>
          <xsd:enumeration value="Recording Risks, Actions, Issues, Dependencies"/>
          <xsd:enumeration value="Internal Data Audits"/>
          <xsd:enumeration value="Briefings/PQs/Lilac Covers/FOIs"/>
          <xsd:enumeration value="Annual Report Production"/>
          <xsd:enumeration value="Quality Assurance"/>
          <xsd:enumeration value="Projects"/>
          <xsd:enumeration value="Data requests"/>
          <xsd:enumeration value="Desk instructions"/>
          <xsd:enumeration value="Standards for presenting data"/>
        </xsd:restriction>
      </xsd:simpleType>
    </xsd:element>
    <xsd:element name="Date_x0020_last_x0020_updated" ma:index="9" ma:displayName="Date last updated" ma:default="[today]" ma:format="DateOnly" ma:internalName="Date_x0020_last_x0020_updated">
      <xsd:simpleType>
        <xsd:restriction base="dms:DateTime"/>
      </xsd:simpleType>
    </xsd:element>
    <xsd:element name="Date_x0020_next_x0020_update_x0020_due" ma:index="10" ma:displayName="Date next review due" ma:format="DateOnly" ma:internalName="Date_x0020_next_x0020_update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633C0-9F29-4CF9-A5DB-9E360957A4E5}">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82e30443-e738-45d7-be93-4e56ed5da66c"/>
    <ds:schemaRef ds:uri="http://www.w3.org/XML/1998/namespace"/>
  </ds:schemaRefs>
</ds:datastoreItem>
</file>

<file path=customXml/itemProps2.xml><?xml version="1.0" encoding="utf-8"?>
<ds:datastoreItem xmlns:ds="http://schemas.openxmlformats.org/officeDocument/2006/customXml" ds:itemID="{B530257B-9BFE-4DE9-8564-BC6E3EDA0F12}">
  <ds:schemaRefs>
    <ds:schemaRef ds:uri="http://schemas.microsoft.com/sharepoint/v3/contenttype/forms"/>
  </ds:schemaRefs>
</ds:datastoreItem>
</file>

<file path=customXml/itemProps3.xml><?xml version="1.0" encoding="utf-8"?>
<ds:datastoreItem xmlns:ds="http://schemas.openxmlformats.org/officeDocument/2006/customXml" ds:itemID="{09AD6E5F-F098-4143-8D80-1590E9B2014B}">
  <ds:schemaRefs>
    <ds:schemaRef ds:uri="http://schemas.microsoft.com/office/2006/metadata/longProperties"/>
  </ds:schemaRefs>
</ds:datastoreItem>
</file>

<file path=customXml/itemProps4.xml><?xml version="1.0" encoding="utf-8"?>
<ds:datastoreItem xmlns:ds="http://schemas.openxmlformats.org/officeDocument/2006/customXml" ds:itemID="{96EAEA84-41AB-4A0C-BB3F-83E99546A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30443-e738-45d7-be93-4e56ed5da6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BE6252D-7DB4-4FE0-9166-56953F0E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2889</Words>
  <Characters>14887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Official statistics - SFR release template</vt:lpstr>
    </vt:vector>
  </TitlesOfParts>
  <Company>Ofsted</Company>
  <LinksUpToDate>false</LinksUpToDate>
  <CharactersWithSpaces>17741</CharactersWithSpaces>
  <SharedDoc>false</SharedDoc>
  <HLinks>
    <vt:vector size="36" baseType="variant">
      <vt:variant>
        <vt:i4>3670022</vt:i4>
      </vt:variant>
      <vt:variant>
        <vt:i4>33</vt:i4>
      </vt:variant>
      <vt:variant>
        <vt:i4>0</vt:i4>
      </vt:variant>
      <vt:variant>
        <vt:i4>5</vt:i4>
      </vt:variant>
      <vt:variant>
        <vt:lpwstr>mailto:psi@nationalarchives.gsi.gov.uk</vt:lpwstr>
      </vt:variant>
      <vt:variant>
        <vt:lpwstr/>
      </vt:variant>
      <vt:variant>
        <vt:i4>6553714</vt:i4>
      </vt:variant>
      <vt:variant>
        <vt:i4>30</vt:i4>
      </vt:variant>
      <vt:variant>
        <vt:i4>0</vt:i4>
      </vt:variant>
      <vt:variant>
        <vt:i4>5</vt:i4>
      </vt:variant>
      <vt:variant>
        <vt:lpwstr>http://www.nationalarchives.gov.uk/doc/open-government-licence/</vt:lpwstr>
      </vt:variant>
      <vt:variant>
        <vt:lpwstr/>
      </vt:variant>
      <vt:variant>
        <vt:i4>1835060</vt:i4>
      </vt:variant>
      <vt:variant>
        <vt:i4>23</vt:i4>
      </vt:variant>
      <vt:variant>
        <vt:i4>0</vt:i4>
      </vt:variant>
      <vt:variant>
        <vt:i4>5</vt:i4>
      </vt:variant>
      <vt:variant>
        <vt:lpwstr/>
      </vt:variant>
      <vt:variant>
        <vt:lpwstr>_Toc417301788</vt:lpwstr>
      </vt:variant>
      <vt:variant>
        <vt:i4>1835060</vt:i4>
      </vt:variant>
      <vt:variant>
        <vt:i4>17</vt:i4>
      </vt:variant>
      <vt:variant>
        <vt:i4>0</vt:i4>
      </vt:variant>
      <vt:variant>
        <vt:i4>5</vt:i4>
      </vt:variant>
      <vt:variant>
        <vt:lpwstr/>
      </vt:variant>
      <vt:variant>
        <vt:lpwstr>_Toc417301787</vt:lpwstr>
      </vt:variant>
      <vt:variant>
        <vt:i4>1835060</vt:i4>
      </vt:variant>
      <vt:variant>
        <vt:i4>11</vt:i4>
      </vt:variant>
      <vt:variant>
        <vt:i4>0</vt:i4>
      </vt:variant>
      <vt:variant>
        <vt:i4>5</vt:i4>
      </vt:variant>
      <vt:variant>
        <vt:lpwstr/>
      </vt:variant>
      <vt:variant>
        <vt:lpwstr>_Toc417301786</vt:lpwstr>
      </vt:variant>
      <vt:variant>
        <vt:i4>1835060</vt:i4>
      </vt:variant>
      <vt:variant>
        <vt:i4>5</vt:i4>
      </vt:variant>
      <vt:variant>
        <vt:i4>0</vt:i4>
      </vt:variant>
      <vt:variant>
        <vt:i4>5</vt:i4>
      </vt:variant>
      <vt:variant>
        <vt:lpwstr/>
      </vt:variant>
      <vt:variant>
        <vt:lpwstr>_Toc417301785</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statistics - SFR release template</dc:title>
  <dc:creator>Alison Edwards (London)</dc:creator>
  <cp:lastModifiedBy>Stewart Hartshorne</cp:lastModifiedBy>
  <cp:revision>6</cp:revision>
  <cp:lastPrinted>2016-10-26T09:15:00Z</cp:lastPrinted>
  <dcterms:created xsi:type="dcterms:W3CDTF">2016-10-25T14:33:00Z</dcterms:created>
  <dcterms:modified xsi:type="dcterms:W3CDTF">2016-10-26T09:41:00Z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
  </property>
  <property fmtid="{D5CDD505-2E9C-101B-9397-08002B2CF9AE}" pid="3" name="OfstedESD">
    <vt:lpwstr/>
  </property>
  <property fmtid="{D5CDD505-2E9C-101B-9397-08002B2CF9AE}" pid="4" name="ContentType">
    <vt:lpwstr>Document</vt:lpwstr>
  </property>
  <property fmtid="{D5CDD505-2E9C-101B-9397-08002B2CF9AE}" pid="5" name="DatePublished">
    <vt:lpwstr>2012-06-01T18:00:00Z</vt:lpwstr>
  </property>
  <property fmtid="{D5CDD505-2E9C-101B-9397-08002B2CF9AE}" pid="6" name="RetentionPolicy">
    <vt:lpwstr>3</vt:lpwstr>
  </property>
  <property fmtid="{D5CDD505-2E9C-101B-9397-08002B2CF9AE}" pid="7" name="RightsManagementText">
    <vt:lpwstr>NOT PROTECTIVELY MARKED</vt:lpwstr>
  </property>
  <property fmtid="{D5CDD505-2E9C-101B-9397-08002B2CF9AE}" pid="8" name="Language">
    <vt:lpwstr>English</vt:lpwstr>
  </property>
  <property fmtid="{D5CDD505-2E9C-101B-9397-08002B2CF9AE}" pid="9" name="Subject">
    <vt:lpwstr/>
  </property>
  <property fmtid="{D5CDD505-2E9C-101B-9397-08002B2CF9AE}" pid="10" name="Keywords">
    <vt:lpwstr/>
  </property>
  <property fmtid="{D5CDD505-2E9C-101B-9397-08002B2CF9AE}" pid="11" name="_Author">
    <vt:lpwstr>opapps</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tistical content">
    <vt:lpwstr>Children's centres</vt:lpwstr>
  </property>
  <property fmtid="{D5CDD505-2E9C-101B-9397-08002B2CF9AE}" pid="18" name="Quarter">
    <vt:lpwstr>31 March 2012</vt:lpwstr>
  </property>
  <property fmtid="{D5CDD505-2E9C-101B-9397-08002B2CF9AE}" pid="19" name="Document type">
    <vt:lpwstr>Pre-release data</vt:lpwstr>
  </property>
  <property fmtid="{D5CDD505-2E9C-101B-9397-08002B2CF9AE}" pid="20" name="_DCDateModified">
    <vt:lpwstr/>
  </property>
  <property fmtid="{D5CDD505-2E9C-101B-9397-08002B2CF9AE}" pid="21" name="_DCDateCreated">
    <vt:lpwstr/>
  </property>
  <property fmtid="{D5CDD505-2E9C-101B-9397-08002B2CF9AE}" pid="22" name="_DocHome">
    <vt:lpwstr/>
  </property>
</Properties>
</file>