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48" w:rsidRPr="00655622" w:rsidRDefault="00AB16AB" w:rsidP="00121C30">
      <w:pPr>
        <w:tabs>
          <w:tab w:val="center" w:pos="4513"/>
          <w:tab w:val="right" w:pos="9026"/>
        </w:tabs>
        <w:spacing w:after="0" w:line="240" w:lineRule="auto"/>
        <w:rPr>
          <w:rFonts w:eastAsia="Times New Roman" w:cs="Arial"/>
          <w:b/>
          <w:sz w:val="24"/>
          <w:szCs w:val="24"/>
          <w:lang w:eastAsia="en-GB"/>
        </w:rPr>
      </w:pPr>
      <w:r w:rsidRPr="00655622">
        <w:rPr>
          <w:rFonts w:eastAsia="Times New Roman" w:cs="Arial"/>
          <w:b/>
          <w:noProof/>
          <w:color w:val="FF0000"/>
          <w:sz w:val="24"/>
          <w:szCs w:val="24"/>
          <w:lang w:val="en-US"/>
        </w:rPr>
        <mc:AlternateContent>
          <mc:Choice Requires="wps">
            <w:drawing>
              <wp:anchor distT="91440" distB="91440" distL="114300" distR="114300" simplePos="0" relativeHeight="251660288" behindDoc="0" locked="0" layoutInCell="0" allowOverlap="1" wp14:anchorId="48A83082" wp14:editId="7759B747">
                <wp:simplePos x="0" y="0"/>
                <wp:positionH relativeFrom="margin">
                  <wp:posOffset>3962400</wp:posOffset>
                </wp:positionH>
                <wp:positionV relativeFrom="page">
                  <wp:posOffset>-47625</wp:posOffset>
                </wp:positionV>
                <wp:extent cx="1857375" cy="243840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4384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45734E" w:rsidRDefault="0045734E" w:rsidP="00AB16AB">
                            <w:pPr>
                              <w:rPr>
                                <w:b/>
                                <w:color w:val="FFFFFF"/>
                                <w:sz w:val="8"/>
                                <w:szCs w:val="8"/>
                              </w:rPr>
                            </w:pPr>
                          </w:p>
                          <w:p w:rsidR="0045734E" w:rsidRDefault="0045734E" w:rsidP="00AB16AB">
                            <w:pPr>
                              <w:rPr>
                                <w:b/>
                                <w:color w:val="FFFFFF"/>
                                <w:sz w:val="4"/>
                                <w:szCs w:val="4"/>
                              </w:rPr>
                            </w:pPr>
                          </w:p>
                          <w:p w:rsidR="0045734E" w:rsidRPr="009230A0" w:rsidRDefault="0045734E" w:rsidP="00AB16AB">
                            <w:pPr>
                              <w:rPr>
                                <w:b/>
                                <w:color w:val="FFFFFF"/>
                                <w:sz w:val="30"/>
                                <w:szCs w:val="30"/>
                              </w:rPr>
                            </w:pPr>
                            <w:r w:rsidRPr="009230A0">
                              <w:rPr>
                                <w:b/>
                                <w:color w:val="FFFFFF"/>
                                <w:sz w:val="30"/>
                                <w:szCs w:val="30"/>
                              </w:rPr>
                              <w:t>Committee on Standards in Public Life</w:t>
                            </w:r>
                          </w:p>
                          <w:p w:rsidR="0045734E" w:rsidRPr="009230A0" w:rsidRDefault="0045734E" w:rsidP="00AB16AB">
                            <w:pPr>
                              <w:rPr>
                                <w:rFonts w:ascii="Calibri" w:hAnsi="Calibri"/>
                                <w:b/>
                                <w:color w:val="FFFFFF"/>
                              </w:rPr>
                            </w:pPr>
                          </w:p>
                          <w:p w:rsidR="0045734E" w:rsidRPr="009230A0" w:rsidRDefault="0045734E" w:rsidP="00AB16AB">
                            <w:pPr>
                              <w:rPr>
                                <w:rFonts w:ascii="Calibri" w:hAnsi="Calibri"/>
                                <w:b/>
                                <w:color w:val="3B4D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312pt;margin-top:-3.75pt;width:146.25pt;height:19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" o:allowincell="f" fillcolor="#8b1007" stroked="f" strokecolor="#f2f2f2" strokeweight="3pt">
                <v:shadow color="#622423" opacity=".5" offset="1pt"/>
                <v:textbox inset="21.6pt,21.6pt,21.6pt,21.6pt">
                  <w:txbxContent>
                    <w:p w:rsidR="00D633B6" w:rsidRDefault="00D633B6" w:rsidP="00AB16AB">
                      <w:pPr>
                        <w:rPr>
                          <w:b/>
                          <w:color w:val="FFFFFF"/>
                          <w:sz w:val="8"/>
                          <w:szCs w:val="8"/>
                        </w:rPr>
                      </w:pPr>
                    </w:p>
                    <w:p w:rsidR="00D633B6" w:rsidRDefault="00D633B6" w:rsidP="00AB16AB">
                      <w:pPr>
                        <w:rPr>
                          <w:b/>
                          <w:color w:val="FFFFFF"/>
                          <w:sz w:val="4"/>
                          <w:szCs w:val="4"/>
                        </w:rPr>
                      </w:pPr>
                    </w:p>
                    <w:p w:rsidR="00D633B6" w:rsidRPr="009230A0" w:rsidRDefault="00D633B6" w:rsidP="00AB16AB">
                      <w:pPr>
                        <w:rPr>
                          <w:b/>
                          <w:color w:val="FFFFFF"/>
                          <w:sz w:val="30"/>
                          <w:szCs w:val="30"/>
                        </w:rPr>
                      </w:pPr>
                      <w:r w:rsidRPr="009230A0">
                        <w:rPr>
                          <w:b/>
                          <w:color w:val="FFFFFF"/>
                          <w:sz w:val="30"/>
                          <w:szCs w:val="30"/>
                        </w:rPr>
                        <w:t>Committee on Standards in Public Life</w:t>
                      </w:r>
                    </w:p>
                    <w:p w:rsidR="00D633B6" w:rsidRPr="009230A0" w:rsidRDefault="00D633B6" w:rsidP="00AB16AB">
                      <w:pPr>
                        <w:rPr>
                          <w:rFonts w:ascii="Calibri" w:hAnsi="Calibri"/>
                          <w:b/>
                          <w:color w:val="FFFFFF"/>
                        </w:rPr>
                      </w:pPr>
                    </w:p>
                    <w:p w:rsidR="00D633B6" w:rsidRPr="009230A0" w:rsidRDefault="00D633B6" w:rsidP="00AB16AB">
                      <w:pPr>
                        <w:rPr>
                          <w:rFonts w:ascii="Calibri" w:hAnsi="Calibri"/>
                          <w:b/>
                          <w:color w:val="3B4DD1"/>
                        </w:rPr>
                      </w:pPr>
                    </w:p>
                  </w:txbxContent>
                </v:textbox>
                <w10:wrap type="square" anchorx="margin" anchory="page"/>
              </v:rect>
            </w:pict>
          </mc:Fallback>
        </mc:AlternateContent>
      </w:r>
      <w:r w:rsidRPr="00655622">
        <w:rPr>
          <w:rFonts w:eastAsia="Times New Roman" w:cs="Arial"/>
          <w:b/>
          <w:noProof/>
          <w:color w:val="FF0000"/>
          <w:sz w:val="24"/>
          <w:szCs w:val="24"/>
          <w:lang w:val="en-US"/>
        </w:rPr>
        <mc:AlternateContent>
          <mc:Choice Requires="wps">
            <w:drawing>
              <wp:anchor distT="91440" distB="91440" distL="114300" distR="114300" simplePos="0" relativeHeight="251659264" behindDoc="0" locked="0" layoutInCell="0" allowOverlap="1" wp14:anchorId="47D906A5" wp14:editId="6BE0B87D">
                <wp:simplePos x="0" y="0"/>
                <wp:positionH relativeFrom="margin">
                  <wp:posOffset>3962400</wp:posOffset>
                </wp:positionH>
                <wp:positionV relativeFrom="page">
                  <wp:posOffset>-47625</wp:posOffset>
                </wp:positionV>
                <wp:extent cx="1752600" cy="243840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color w:val="FFFFFF"/>
                                <w:sz w:val="18"/>
                                <w:szCs w:val="18"/>
                              </w:rPr>
                            </w:pPr>
                          </w:p>
                          <w:p w:rsidR="0045734E" w:rsidRPr="002D588D" w:rsidRDefault="0045734E" w:rsidP="00AB16AB">
                            <w:pPr>
                              <w:rPr>
                                <w:rFonts w:ascii="Calibri" w:hAnsi="Calibri"/>
                                <w:b/>
                                <w:color w:val="FFFFFF"/>
                                <w:sz w:val="36"/>
                                <w:szCs w:val="36"/>
                              </w:rPr>
                            </w:pPr>
                          </w:p>
                          <w:p w:rsidR="0045734E" w:rsidRPr="00596099" w:rsidRDefault="0045734E" w:rsidP="00AB16AB">
                            <w:pPr>
                              <w:rPr>
                                <w:rFonts w:ascii="Calibri" w:hAnsi="Calibri"/>
                                <w:b/>
                                <w:color w:val="943634"/>
                                <w:sz w:val="16"/>
                                <w:szCs w:val="16"/>
                              </w:rPr>
                            </w:pPr>
                          </w:p>
                          <w:p w:rsidR="0045734E" w:rsidRDefault="0045734E" w:rsidP="00AB16AB">
                            <w:pPr>
                              <w:rPr>
                                <w:rFonts w:ascii="Calibri" w:hAnsi="Calibri"/>
                                <w:b/>
                                <w:color w:val="FFFFFF"/>
                                <w:sz w:val="4"/>
                                <w:szCs w:val="4"/>
                              </w:rPr>
                            </w:pPr>
                          </w:p>
                          <w:p w:rsidR="0045734E" w:rsidRDefault="0045734E" w:rsidP="00AB16AB">
                            <w:pPr>
                              <w:rPr>
                                <w:rFonts w:ascii="Calibri" w:hAnsi="Calibri"/>
                                <w:b/>
                                <w:color w:val="FFFFFF"/>
                                <w:sz w:val="8"/>
                                <w:szCs w:val="8"/>
                              </w:rPr>
                            </w:pPr>
                          </w:p>
                          <w:p w:rsidR="0045734E" w:rsidRPr="005C5DD7" w:rsidRDefault="0045734E" w:rsidP="00AB16AB">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rsidR="0045734E" w:rsidRDefault="0045734E" w:rsidP="00AB16AB">
                            <w:pPr>
                              <w:rPr>
                                <w:rFonts w:ascii="Calibri" w:hAnsi="Calibri"/>
                                <w:b/>
                                <w:color w:val="FFFFFF"/>
                                <w:sz w:val="16"/>
                                <w:szCs w:val="16"/>
                              </w:rPr>
                            </w:pPr>
                          </w:p>
                          <w:p w:rsidR="0045734E" w:rsidRPr="001D5BD1" w:rsidRDefault="0045734E" w:rsidP="00AB16AB">
                            <w:pPr>
                              <w:rPr>
                                <w:rFonts w:ascii="Calibri" w:hAnsi="Calibri"/>
                                <w:b/>
                                <w:color w:val="3B4DD1"/>
                                <w:sz w:val="16"/>
                                <w:szCs w:val="16"/>
                              </w:rPr>
                            </w:pPr>
                            <w:r>
                              <w:rPr>
                                <w:rFonts w:ascii="Calibri" w:hAnsi="Calibri"/>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312pt;margin-top:-3.75pt;width:138pt;height:19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" o:allowincell="f" fillcolor="#700e06" stroked="f" strokecolor="#f2f2f2" strokeweight="3pt">
                <v:shadow color="#622423" opacity=".5" offset="1pt"/>
                <v:textbox inset="21.6pt,21.6pt,21.6pt,21.6pt">
                  <w:txbxContent>
                    <w:p w:rsidR="00D633B6" w:rsidRPr="002D588D" w:rsidRDefault="00D633B6" w:rsidP="00AB16AB">
                      <w:pPr>
                        <w:rPr>
                          <w:color w:val="FFFFFF"/>
                          <w:sz w:val="18"/>
                          <w:szCs w:val="18"/>
                        </w:rPr>
                      </w:pPr>
                    </w:p>
                    <w:p w:rsidR="00D633B6" w:rsidRPr="002D588D" w:rsidRDefault="00D633B6" w:rsidP="00AB16AB">
                      <w:pPr>
                        <w:rPr>
                          <w:color w:val="FFFFFF"/>
                          <w:sz w:val="18"/>
                          <w:szCs w:val="18"/>
                        </w:rPr>
                      </w:pPr>
                    </w:p>
                    <w:p w:rsidR="00D633B6" w:rsidRPr="002D588D" w:rsidRDefault="00D633B6" w:rsidP="00AB16AB">
                      <w:pPr>
                        <w:rPr>
                          <w:color w:val="FFFFFF"/>
                          <w:sz w:val="18"/>
                          <w:szCs w:val="18"/>
                        </w:rPr>
                      </w:pPr>
                    </w:p>
                    <w:p w:rsidR="00D633B6" w:rsidRPr="002D588D" w:rsidRDefault="00D633B6" w:rsidP="00AB16AB">
                      <w:pPr>
                        <w:rPr>
                          <w:color w:val="FFFFFF"/>
                          <w:sz w:val="18"/>
                          <w:szCs w:val="18"/>
                        </w:rPr>
                      </w:pPr>
                    </w:p>
                    <w:p w:rsidR="00D633B6" w:rsidRPr="002D588D" w:rsidRDefault="00D633B6" w:rsidP="00AB16AB">
                      <w:pPr>
                        <w:rPr>
                          <w:rFonts w:ascii="Calibri" w:hAnsi="Calibri"/>
                          <w:b/>
                          <w:color w:val="FFFFFF"/>
                          <w:sz w:val="36"/>
                          <w:szCs w:val="36"/>
                        </w:rPr>
                      </w:pPr>
                    </w:p>
                    <w:p w:rsidR="00D633B6" w:rsidRPr="00596099" w:rsidRDefault="00D633B6" w:rsidP="00AB16AB">
                      <w:pPr>
                        <w:rPr>
                          <w:rFonts w:ascii="Calibri" w:hAnsi="Calibri"/>
                          <w:b/>
                          <w:color w:val="943634"/>
                          <w:sz w:val="16"/>
                          <w:szCs w:val="16"/>
                        </w:rPr>
                      </w:pPr>
                    </w:p>
                    <w:p w:rsidR="00D633B6" w:rsidRDefault="00D633B6" w:rsidP="00AB16AB">
                      <w:pPr>
                        <w:rPr>
                          <w:rFonts w:ascii="Calibri" w:hAnsi="Calibri"/>
                          <w:b/>
                          <w:color w:val="FFFFFF"/>
                          <w:sz w:val="4"/>
                          <w:szCs w:val="4"/>
                        </w:rPr>
                      </w:pPr>
                    </w:p>
                    <w:p w:rsidR="00D633B6" w:rsidRDefault="00D633B6" w:rsidP="00AB16AB">
                      <w:pPr>
                        <w:rPr>
                          <w:rFonts w:ascii="Calibri" w:hAnsi="Calibri"/>
                          <w:b/>
                          <w:color w:val="FFFFFF"/>
                          <w:sz w:val="8"/>
                          <w:szCs w:val="8"/>
                        </w:rPr>
                      </w:pPr>
                    </w:p>
                    <w:p w:rsidR="00D633B6" w:rsidRPr="005C5DD7" w:rsidRDefault="00D633B6" w:rsidP="00AB16AB">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rsidR="00D633B6" w:rsidRDefault="00D633B6" w:rsidP="00AB16AB">
                      <w:pPr>
                        <w:rPr>
                          <w:rFonts w:ascii="Calibri" w:hAnsi="Calibri"/>
                          <w:b/>
                          <w:color w:val="FFFFFF"/>
                          <w:sz w:val="16"/>
                          <w:szCs w:val="16"/>
                        </w:rPr>
                      </w:pPr>
                    </w:p>
                    <w:p w:rsidR="00D633B6" w:rsidRPr="001D5BD1" w:rsidRDefault="00D633B6" w:rsidP="00AB16AB">
                      <w:pPr>
                        <w:rPr>
                          <w:rFonts w:ascii="Calibri" w:hAnsi="Calibri"/>
                          <w:b/>
                          <w:color w:val="3B4DD1"/>
                          <w:sz w:val="16"/>
                          <w:szCs w:val="16"/>
                        </w:rPr>
                      </w:pPr>
                      <w:r>
                        <w:rPr>
                          <w:rFonts w:ascii="Calibri" w:hAnsi="Calibri"/>
                          <w:b/>
                          <w:color w:val="FFFFFF"/>
                          <w:sz w:val="16"/>
                          <w:szCs w:val="16"/>
                        </w:rPr>
                        <w:t>Chair:</w:t>
                      </w:r>
                    </w:p>
                  </w:txbxContent>
                </v:textbox>
                <w10:wrap type="square" anchorx="margin" anchory="page"/>
              </v:rect>
            </w:pict>
          </mc:Fallback>
        </mc:AlternateContent>
      </w:r>
      <w:r w:rsidR="00121C30" w:rsidRPr="00655622">
        <w:rPr>
          <w:rFonts w:eastAsia="Times New Roman" w:cs="Arial"/>
          <w:b/>
          <w:sz w:val="24"/>
          <w:szCs w:val="24"/>
          <w:lang w:eastAsia="en-GB"/>
        </w:rPr>
        <w:t>PRESS NOTICE</w:t>
      </w:r>
    </w:p>
    <w:p w:rsidR="00AB16AB" w:rsidRPr="00655622" w:rsidRDefault="00AB16AB" w:rsidP="00AB16AB">
      <w:pPr>
        <w:tabs>
          <w:tab w:val="center" w:pos="4513"/>
          <w:tab w:val="right" w:pos="9026"/>
        </w:tabs>
        <w:spacing w:after="0" w:line="240" w:lineRule="auto"/>
        <w:rPr>
          <w:rFonts w:eastAsia="Times New Roman" w:cs="Arial"/>
          <w:b/>
          <w:sz w:val="24"/>
          <w:szCs w:val="24"/>
          <w:lang w:eastAsia="en-GB"/>
        </w:rPr>
      </w:pPr>
    </w:p>
    <w:p w:rsidR="00AB16AB" w:rsidRPr="00655622" w:rsidRDefault="0045734E" w:rsidP="00AB16AB">
      <w:pPr>
        <w:tabs>
          <w:tab w:val="center" w:pos="4513"/>
          <w:tab w:val="right" w:pos="9026"/>
        </w:tabs>
        <w:spacing w:after="0" w:line="240" w:lineRule="auto"/>
        <w:rPr>
          <w:rFonts w:eastAsia="Times New Roman" w:cs="Arial"/>
          <w:b/>
          <w:sz w:val="24"/>
          <w:szCs w:val="24"/>
          <w:lang w:eastAsia="en-GB"/>
        </w:rPr>
      </w:pPr>
      <w:r>
        <w:rPr>
          <w:rFonts w:eastAsia="Times New Roman" w:cs="Arial"/>
          <w:b/>
          <w:sz w:val="24"/>
          <w:szCs w:val="24"/>
          <w:lang w:eastAsia="en-GB"/>
        </w:rPr>
        <w:t>15</w:t>
      </w:r>
      <w:r w:rsidR="002270FB" w:rsidRPr="00655622">
        <w:rPr>
          <w:rFonts w:eastAsia="Times New Roman" w:cs="Arial"/>
          <w:b/>
          <w:sz w:val="24"/>
          <w:szCs w:val="24"/>
          <w:lang w:eastAsia="en-GB"/>
        </w:rPr>
        <w:t xml:space="preserve"> September 2016</w:t>
      </w:r>
    </w:p>
    <w:p w:rsidR="003637C3" w:rsidRPr="00655622" w:rsidRDefault="003637C3" w:rsidP="00AB16AB">
      <w:pPr>
        <w:tabs>
          <w:tab w:val="center" w:pos="4513"/>
          <w:tab w:val="right" w:pos="9026"/>
        </w:tabs>
        <w:spacing w:after="0" w:line="240" w:lineRule="auto"/>
        <w:rPr>
          <w:rFonts w:eastAsia="Times New Roman" w:cs="Arial"/>
          <w:b/>
          <w:sz w:val="24"/>
          <w:szCs w:val="24"/>
          <w:lang w:eastAsia="en-GB"/>
        </w:rPr>
      </w:pPr>
    </w:p>
    <w:p w:rsidR="00AB16AB" w:rsidRPr="00655622" w:rsidRDefault="00AB16AB" w:rsidP="00AB16AB">
      <w:pPr>
        <w:pStyle w:val="NormalWeb"/>
        <w:shd w:val="clear" w:color="auto" w:fill="FFFFFF"/>
        <w:spacing w:before="0" w:beforeAutospacing="0" w:after="0" w:afterAutospacing="0"/>
        <w:textAlignment w:val="top"/>
        <w:rPr>
          <w:rStyle w:val="Strong"/>
          <w:rFonts w:asciiTheme="minorHAnsi" w:hAnsiTheme="minorHAnsi" w:cs="Arial"/>
          <w:bdr w:val="none" w:sz="0" w:space="0" w:color="auto" w:frame="1"/>
        </w:rPr>
      </w:pPr>
    </w:p>
    <w:p w:rsidR="003637C3" w:rsidRPr="00655622" w:rsidRDefault="003637C3" w:rsidP="00AB16AB">
      <w:pPr>
        <w:pStyle w:val="NormalWeb"/>
        <w:shd w:val="clear" w:color="auto" w:fill="FFFFFF"/>
        <w:spacing w:before="0" w:beforeAutospacing="0" w:after="0" w:afterAutospacing="0"/>
        <w:textAlignment w:val="top"/>
        <w:rPr>
          <w:rStyle w:val="Strong"/>
          <w:rFonts w:asciiTheme="minorHAnsi" w:hAnsiTheme="minorHAnsi" w:cs="Arial"/>
          <w:bdr w:val="none" w:sz="0" w:space="0" w:color="auto" w:frame="1"/>
        </w:rPr>
      </w:pPr>
    </w:p>
    <w:p w:rsidR="00D91DF8" w:rsidRPr="00655622" w:rsidRDefault="00D91DF8" w:rsidP="00D91DF8">
      <w:pPr>
        <w:rPr>
          <w:rFonts w:cs="Arial"/>
          <w:b/>
          <w:sz w:val="24"/>
          <w:szCs w:val="24"/>
        </w:rPr>
      </w:pPr>
    </w:p>
    <w:p w:rsidR="007A2C52" w:rsidRPr="00655622" w:rsidRDefault="007A2C52" w:rsidP="007A2C52">
      <w:pPr>
        <w:rPr>
          <w:sz w:val="24"/>
          <w:szCs w:val="24"/>
        </w:rPr>
      </w:pPr>
    </w:p>
    <w:p w:rsidR="007A2C52" w:rsidRPr="00A026C0" w:rsidRDefault="007A2C52" w:rsidP="007A2C52">
      <w:pPr>
        <w:rPr>
          <w:b/>
          <w:sz w:val="24"/>
          <w:szCs w:val="24"/>
        </w:rPr>
      </w:pPr>
      <w:r w:rsidRPr="00A026C0">
        <w:rPr>
          <w:b/>
          <w:sz w:val="24"/>
          <w:szCs w:val="24"/>
        </w:rPr>
        <w:t xml:space="preserve">COMMITTEE ON STANDARDS IN PUBLIC LIFE PUBLISHES ETHICS  ‘HEALTH CHECK’ FOR REGULATORS </w:t>
      </w:r>
    </w:p>
    <w:p w:rsidR="007A2C52" w:rsidRPr="00A026C0" w:rsidRDefault="007A2C52" w:rsidP="00A026C0">
      <w:pPr>
        <w:spacing w:line="360" w:lineRule="auto"/>
        <w:rPr>
          <w:sz w:val="24"/>
          <w:szCs w:val="24"/>
        </w:rPr>
      </w:pPr>
      <w:r w:rsidRPr="00A026C0">
        <w:rPr>
          <w:sz w:val="24"/>
          <w:szCs w:val="24"/>
        </w:rPr>
        <w:t>Under a third of regulators</w:t>
      </w:r>
      <w:r w:rsidR="00A026C0" w:rsidRPr="00A026C0">
        <w:rPr>
          <w:sz w:val="24"/>
          <w:szCs w:val="24"/>
        </w:rPr>
        <w:t xml:space="preserve"> surveyed for a new </w:t>
      </w:r>
      <w:hyperlink r:id="rId8" w:history="1">
        <w:r w:rsidR="00A026C0" w:rsidRPr="0085181E">
          <w:rPr>
            <w:rStyle w:val="Hyperlink"/>
            <w:sz w:val="24"/>
            <w:szCs w:val="24"/>
          </w:rPr>
          <w:t>report</w:t>
        </w:r>
      </w:hyperlink>
      <w:r w:rsidR="00A026C0" w:rsidRPr="00A026C0">
        <w:rPr>
          <w:sz w:val="24"/>
          <w:szCs w:val="24"/>
        </w:rPr>
        <w:t xml:space="preserve"> by the Committee </w:t>
      </w:r>
      <w:r w:rsidRPr="00A026C0">
        <w:rPr>
          <w:sz w:val="24"/>
          <w:szCs w:val="24"/>
        </w:rPr>
        <w:t xml:space="preserve">on Standards in Public </w:t>
      </w:r>
      <w:r w:rsidR="00A026C0" w:rsidRPr="00A026C0">
        <w:rPr>
          <w:sz w:val="24"/>
          <w:szCs w:val="24"/>
        </w:rPr>
        <w:t>Life had policies in place to deal with revolving door issues</w:t>
      </w:r>
    </w:p>
    <w:p w:rsidR="007A2C52" w:rsidRPr="00A026C0" w:rsidRDefault="007A2C52" w:rsidP="00A026C0">
      <w:pPr>
        <w:spacing w:line="360" w:lineRule="auto"/>
        <w:rPr>
          <w:sz w:val="24"/>
          <w:szCs w:val="24"/>
        </w:rPr>
      </w:pPr>
      <w:r w:rsidRPr="00A026C0">
        <w:rPr>
          <w:sz w:val="24"/>
          <w:szCs w:val="24"/>
        </w:rPr>
        <w:t>Publishing its ‘health check’ of how a range of regulatory bodies live up to the seven principles of public life, Lord (Paul) Bew, Chair of the Committee said:</w:t>
      </w:r>
    </w:p>
    <w:p w:rsidR="007A2C52" w:rsidRPr="00A026C0" w:rsidRDefault="007A2C52" w:rsidP="00477C71">
      <w:pPr>
        <w:spacing w:line="360" w:lineRule="auto"/>
        <w:ind w:firstLine="720"/>
        <w:rPr>
          <w:sz w:val="24"/>
          <w:szCs w:val="24"/>
        </w:rPr>
      </w:pPr>
      <w:r w:rsidRPr="00A026C0">
        <w:rPr>
          <w:sz w:val="24"/>
          <w:szCs w:val="24"/>
        </w:rPr>
        <w:t>“</w:t>
      </w:r>
      <w:r w:rsidR="00A026C0" w:rsidRPr="00A026C0">
        <w:rPr>
          <w:rFonts w:eastAsia="Times New Roman"/>
          <w:sz w:val="24"/>
          <w:szCs w:val="24"/>
        </w:rPr>
        <w:t>Regulators play a distinctive and powerful role in public life. The integrity, objectivity and other ethical standards of a regulatory body are a vital part of its overall effectiveness. Regulation is all about striking the balance: </w:t>
      </w:r>
      <w:r w:rsidR="00A026C0" w:rsidRPr="00A026C0">
        <w:rPr>
          <w:rFonts w:eastAsia="Times New Roman"/>
          <w:sz w:val="24"/>
          <w:szCs w:val="24"/>
          <w:lang w:eastAsia="en-GB"/>
        </w:rPr>
        <w:t>between engagement and capture, transparency and necessary confidentiality and between independence – both from government and those they regulate – and accountability.</w:t>
      </w:r>
    </w:p>
    <w:p w:rsidR="007A2C52" w:rsidRPr="00A026C0" w:rsidRDefault="007A2C52" w:rsidP="007A2C52">
      <w:pPr>
        <w:spacing w:line="360" w:lineRule="auto"/>
        <w:ind w:firstLine="720"/>
        <w:rPr>
          <w:sz w:val="24"/>
          <w:szCs w:val="24"/>
        </w:rPr>
      </w:pPr>
      <w:r w:rsidRPr="00A026C0">
        <w:rPr>
          <w:sz w:val="24"/>
          <w:szCs w:val="24"/>
        </w:rPr>
        <w:t xml:space="preserve">“The evidence we collected shows that in broad terms regulatory bodies are committed to maintaining high standards of conduct, but there have been instances which are out of step with the standards expected.  We believe regulatory bodies can do more to maintain integrity through processes to mitigate the risks arising from the ‘revolving door’, </w:t>
      </w:r>
      <w:r w:rsidR="00A026C0" w:rsidRPr="00A026C0">
        <w:rPr>
          <w:rFonts w:eastAsia="Times New Roman"/>
          <w:sz w:val="24"/>
          <w:szCs w:val="24"/>
        </w:rPr>
        <w:t>regulatory capture and other challenges to their independence</w:t>
      </w:r>
      <w:r w:rsidR="00A026C0" w:rsidRPr="00A026C0">
        <w:rPr>
          <w:sz w:val="24"/>
          <w:szCs w:val="24"/>
        </w:rPr>
        <w:t>.</w:t>
      </w:r>
    </w:p>
    <w:p w:rsidR="007A2C52" w:rsidRPr="00A026C0" w:rsidRDefault="007A2C52" w:rsidP="007A2C52">
      <w:pPr>
        <w:spacing w:line="360" w:lineRule="auto"/>
        <w:ind w:firstLine="720"/>
        <w:rPr>
          <w:sz w:val="24"/>
          <w:szCs w:val="24"/>
        </w:rPr>
      </w:pPr>
      <w:r w:rsidRPr="00A026C0">
        <w:rPr>
          <w:sz w:val="24"/>
          <w:szCs w:val="24"/>
        </w:rPr>
        <w:t xml:space="preserve">“Of those surveyed, under a third had policies in place to deal with the revolving door issues - both into and out of the regulatory body.  Movement of staff between the sector and the regulator is inevitable and can be beneficial on both sides. In order to ensure moves are conducted with integrity, regulators need proactive and transparent policies to handle these ethical risks properly and proportionately. </w:t>
      </w:r>
    </w:p>
    <w:p w:rsidR="007A2C52" w:rsidRPr="00A026C0" w:rsidRDefault="007A2C52" w:rsidP="007A2C52">
      <w:pPr>
        <w:spacing w:line="360" w:lineRule="auto"/>
        <w:ind w:firstLine="720"/>
        <w:rPr>
          <w:sz w:val="24"/>
          <w:szCs w:val="24"/>
        </w:rPr>
      </w:pPr>
      <w:r w:rsidRPr="00A026C0">
        <w:rPr>
          <w:sz w:val="24"/>
          <w:szCs w:val="24"/>
        </w:rPr>
        <w:t xml:space="preserve">“ By sharing what the best are already doing, we hope this report will help regulatory bodies to consider how they can avoid undue influence and demonstrate that the decisions </w:t>
      </w:r>
      <w:r w:rsidRPr="00A026C0">
        <w:rPr>
          <w:sz w:val="24"/>
          <w:szCs w:val="24"/>
        </w:rPr>
        <w:lastRenderedPageBreak/>
        <w:t xml:space="preserve">they take are fair, well-reasoned and evidence based. We have also made recommendations to the </w:t>
      </w:r>
      <w:proofErr w:type="gramStart"/>
      <w:r w:rsidRPr="00A026C0">
        <w:rPr>
          <w:sz w:val="24"/>
          <w:szCs w:val="24"/>
        </w:rPr>
        <w:t>government,</w:t>
      </w:r>
      <w:proofErr w:type="gramEnd"/>
      <w:r w:rsidRPr="00A026C0">
        <w:rPr>
          <w:sz w:val="24"/>
          <w:szCs w:val="24"/>
        </w:rPr>
        <w:t xml:space="preserve"> in particular around ensuring appointments to regulatory bodies follow robust, fair and open processes to secure the best people to lead independent regulators. </w:t>
      </w:r>
    </w:p>
    <w:p w:rsidR="007A2C52" w:rsidRPr="00A026C0" w:rsidRDefault="007A2C52" w:rsidP="007A2C52">
      <w:pPr>
        <w:spacing w:line="360" w:lineRule="auto"/>
        <w:ind w:firstLine="720"/>
        <w:rPr>
          <w:color w:val="0B0C0C"/>
          <w:sz w:val="24"/>
          <w:szCs w:val="24"/>
          <w:shd w:val="clear" w:color="auto" w:fill="FFFFFF"/>
        </w:rPr>
      </w:pPr>
      <w:r w:rsidRPr="00A026C0">
        <w:rPr>
          <w:sz w:val="24"/>
          <w:szCs w:val="24"/>
        </w:rPr>
        <w:t>“</w:t>
      </w:r>
      <w:r w:rsidRPr="00A026C0">
        <w:rPr>
          <w:color w:val="0B0C0C"/>
          <w:sz w:val="24"/>
          <w:szCs w:val="24"/>
          <w:shd w:val="clear" w:color="auto" w:fill="FFFFFF"/>
        </w:rPr>
        <w:t>Post-Brexit, the UK regulatory landscape is about to undergo a seismic shift and there will be renewed focus on how services and industries are regulated. Maintaining high ethical standards will be key to retaining public confidence through those wider changes and I hope that our report will be a useful guide both for regulators and those holding them to account.</w:t>
      </w:r>
      <w:r w:rsidR="00655622" w:rsidRPr="00A026C0">
        <w:rPr>
          <w:color w:val="0B0C0C"/>
          <w:sz w:val="24"/>
          <w:szCs w:val="24"/>
          <w:shd w:val="clear" w:color="auto" w:fill="FFFFFF"/>
        </w:rPr>
        <w:t>”</w:t>
      </w:r>
    </w:p>
    <w:p w:rsidR="007A2C52" w:rsidRPr="00A026C0" w:rsidRDefault="007A2C52" w:rsidP="007A2C52">
      <w:pPr>
        <w:spacing w:line="360" w:lineRule="auto"/>
        <w:rPr>
          <w:sz w:val="24"/>
          <w:szCs w:val="24"/>
        </w:rPr>
      </w:pPr>
      <w:r w:rsidRPr="00A026C0">
        <w:rPr>
          <w:sz w:val="24"/>
          <w:szCs w:val="24"/>
        </w:rPr>
        <w:t>The recommendations for regulators and government include:</w:t>
      </w:r>
    </w:p>
    <w:p w:rsidR="007A2C52" w:rsidRPr="00A026C0" w:rsidRDefault="007A2C52" w:rsidP="007A2C52">
      <w:pPr>
        <w:pStyle w:val="ListParagraph"/>
        <w:numPr>
          <w:ilvl w:val="0"/>
          <w:numId w:val="12"/>
        </w:numPr>
        <w:spacing w:line="360" w:lineRule="auto"/>
        <w:rPr>
          <w:sz w:val="24"/>
          <w:szCs w:val="24"/>
        </w:rPr>
      </w:pPr>
      <w:r w:rsidRPr="00A026C0">
        <w:rPr>
          <w:sz w:val="24"/>
          <w:szCs w:val="24"/>
        </w:rPr>
        <w:t xml:space="preserve">Regular evidence based assurance of ethical standards to the Board </w:t>
      </w:r>
    </w:p>
    <w:p w:rsidR="007A2C52" w:rsidRPr="00A026C0" w:rsidRDefault="007A2C52" w:rsidP="007A2C52">
      <w:pPr>
        <w:pStyle w:val="ListParagraph"/>
        <w:numPr>
          <w:ilvl w:val="0"/>
          <w:numId w:val="12"/>
        </w:numPr>
        <w:spacing w:line="360" w:lineRule="auto"/>
        <w:rPr>
          <w:sz w:val="24"/>
          <w:szCs w:val="24"/>
        </w:rPr>
      </w:pPr>
      <w:r w:rsidRPr="00A026C0">
        <w:rPr>
          <w:sz w:val="24"/>
          <w:szCs w:val="24"/>
        </w:rPr>
        <w:t>Proactive corporate governance arrangements to manage conflicts of interest</w:t>
      </w:r>
    </w:p>
    <w:p w:rsidR="007A2C52" w:rsidRPr="00A026C0" w:rsidRDefault="007A2C52" w:rsidP="007A2C52">
      <w:pPr>
        <w:pStyle w:val="ListParagraph"/>
        <w:numPr>
          <w:ilvl w:val="0"/>
          <w:numId w:val="12"/>
        </w:numPr>
        <w:spacing w:line="360" w:lineRule="auto"/>
        <w:rPr>
          <w:sz w:val="24"/>
          <w:szCs w:val="24"/>
        </w:rPr>
      </w:pPr>
      <w:r w:rsidRPr="00A026C0">
        <w:rPr>
          <w:sz w:val="24"/>
          <w:szCs w:val="24"/>
        </w:rPr>
        <w:t>Annual compliance certification for ethical standards by accounting officers</w:t>
      </w:r>
    </w:p>
    <w:p w:rsidR="007A2C52" w:rsidRPr="00A026C0" w:rsidRDefault="007A2C52" w:rsidP="007A2C52">
      <w:pPr>
        <w:pStyle w:val="ListParagraph"/>
        <w:numPr>
          <w:ilvl w:val="0"/>
          <w:numId w:val="12"/>
        </w:numPr>
        <w:spacing w:line="360" w:lineRule="auto"/>
        <w:rPr>
          <w:sz w:val="24"/>
          <w:szCs w:val="24"/>
        </w:rPr>
      </w:pPr>
      <w:r w:rsidRPr="00A026C0">
        <w:rPr>
          <w:sz w:val="24"/>
          <w:szCs w:val="24"/>
        </w:rPr>
        <w:t>Up to date, publicly accessible registers of meetings, hospitality, gifts and interests</w:t>
      </w:r>
    </w:p>
    <w:p w:rsidR="007A2C52" w:rsidRPr="00A026C0" w:rsidRDefault="007A2C52" w:rsidP="007A2C52">
      <w:pPr>
        <w:pStyle w:val="ListParagraph"/>
        <w:numPr>
          <w:ilvl w:val="0"/>
          <w:numId w:val="12"/>
        </w:numPr>
        <w:spacing w:line="360" w:lineRule="auto"/>
        <w:rPr>
          <w:sz w:val="24"/>
          <w:szCs w:val="24"/>
        </w:rPr>
      </w:pPr>
      <w:r w:rsidRPr="00A026C0">
        <w:rPr>
          <w:sz w:val="24"/>
          <w:szCs w:val="24"/>
        </w:rPr>
        <w:t xml:space="preserve">Code of conduct to cover </w:t>
      </w:r>
      <w:r w:rsidRPr="00A026C0">
        <w:rPr>
          <w:sz w:val="24"/>
          <w:szCs w:val="24"/>
          <w:u w:val="single"/>
        </w:rPr>
        <w:t xml:space="preserve">all </w:t>
      </w:r>
      <w:r w:rsidRPr="00A026C0">
        <w:rPr>
          <w:sz w:val="24"/>
          <w:szCs w:val="24"/>
        </w:rPr>
        <w:t xml:space="preserve">personnel including contractors, consultants, non-executives, and </w:t>
      </w:r>
      <w:proofErr w:type="spellStart"/>
      <w:r w:rsidRPr="00A026C0">
        <w:rPr>
          <w:sz w:val="24"/>
          <w:szCs w:val="24"/>
        </w:rPr>
        <w:t>secondees</w:t>
      </w:r>
      <w:proofErr w:type="spellEnd"/>
      <w:r w:rsidRPr="00A026C0">
        <w:rPr>
          <w:sz w:val="24"/>
          <w:szCs w:val="24"/>
        </w:rPr>
        <w:t xml:space="preserve">.  </w:t>
      </w:r>
    </w:p>
    <w:p w:rsidR="007A2C52" w:rsidRPr="00A026C0" w:rsidRDefault="007A2C52" w:rsidP="007A2C52">
      <w:pPr>
        <w:pStyle w:val="ListParagraph"/>
        <w:numPr>
          <w:ilvl w:val="0"/>
          <w:numId w:val="12"/>
        </w:numPr>
        <w:spacing w:line="360" w:lineRule="auto"/>
        <w:rPr>
          <w:sz w:val="24"/>
          <w:szCs w:val="24"/>
        </w:rPr>
      </w:pPr>
      <w:r w:rsidRPr="00A026C0">
        <w:rPr>
          <w:sz w:val="24"/>
          <w:szCs w:val="24"/>
        </w:rPr>
        <w:t xml:space="preserve">Standards expressed the Code evident in recruitment, appraisal, induction and training </w:t>
      </w:r>
    </w:p>
    <w:p w:rsidR="007A2C52" w:rsidRPr="00A026C0" w:rsidRDefault="007A2C52" w:rsidP="007A2C52">
      <w:pPr>
        <w:pStyle w:val="ListParagraph"/>
        <w:numPr>
          <w:ilvl w:val="0"/>
          <w:numId w:val="12"/>
        </w:numPr>
        <w:spacing w:line="360" w:lineRule="auto"/>
        <w:rPr>
          <w:sz w:val="24"/>
          <w:szCs w:val="24"/>
        </w:rPr>
      </w:pPr>
      <w:r w:rsidRPr="00A026C0">
        <w:rPr>
          <w:sz w:val="24"/>
          <w:szCs w:val="24"/>
        </w:rPr>
        <w:t>Policies and procedures and safeguards in place to manage ‘revolving door’ at all levels of organisation</w:t>
      </w:r>
      <w:r w:rsidR="00A026C0" w:rsidRPr="00A026C0">
        <w:rPr>
          <w:rFonts w:eastAsia="Times New Roman"/>
          <w:sz w:val="24"/>
          <w:szCs w:val="24"/>
        </w:rPr>
        <w:t xml:space="preserve"> including prohibitions on the disclosure of sensitive information</w:t>
      </w:r>
    </w:p>
    <w:p w:rsidR="007A2C52" w:rsidRPr="00A026C0" w:rsidRDefault="007A2C52" w:rsidP="007A2C52">
      <w:pPr>
        <w:pStyle w:val="ListParagraph"/>
        <w:numPr>
          <w:ilvl w:val="0"/>
          <w:numId w:val="12"/>
        </w:numPr>
        <w:spacing w:line="360" w:lineRule="auto"/>
        <w:rPr>
          <w:sz w:val="24"/>
          <w:szCs w:val="24"/>
        </w:rPr>
      </w:pPr>
      <w:r w:rsidRPr="00A026C0">
        <w:rPr>
          <w:sz w:val="24"/>
          <w:szCs w:val="24"/>
        </w:rPr>
        <w:t>Post-employment arrangements for Board members of regulatory bodies should be brought into line with those for Ministers and senior servants, with transparency about appointments and restrictions.</w:t>
      </w:r>
    </w:p>
    <w:p w:rsidR="007A2C52" w:rsidRPr="00A026C0" w:rsidRDefault="007A2C52" w:rsidP="007A2C52">
      <w:pPr>
        <w:pStyle w:val="ListParagraph"/>
        <w:numPr>
          <w:ilvl w:val="0"/>
          <w:numId w:val="12"/>
        </w:numPr>
        <w:spacing w:line="360" w:lineRule="auto"/>
        <w:rPr>
          <w:sz w:val="24"/>
          <w:szCs w:val="24"/>
        </w:rPr>
      </w:pPr>
      <w:r w:rsidRPr="00A026C0">
        <w:rPr>
          <w:sz w:val="24"/>
          <w:szCs w:val="24"/>
        </w:rPr>
        <w:t>Any conflicts of interest established and actively managed at the start of any selection process for Board members</w:t>
      </w:r>
    </w:p>
    <w:p w:rsidR="007A2C52" w:rsidRPr="00A026C0" w:rsidRDefault="007A2C52" w:rsidP="007A2C52">
      <w:pPr>
        <w:pStyle w:val="ListParagraph"/>
        <w:numPr>
          <w:ilvl w:val="0"/>
          <w:numId w:val="12"/>
        </w:numPr>
        <w:spacing w:line="360" w:lineRule="auto"/>
        <w:rPr>
          <w:sz w:val="24"/>
          <w:szCs w:val="24"/>
        </w:rPr>
      </w:pPr>
      <w:r w:rsidRPr="00A026C0">
        <w:rPr>
          <w:sz w:val="24"/>
          <w:szCs w:val="24"/>
        </w:rPr>
        <w:t>Ministerial guidance to regulatory bodies should be published online. It should be considered but not treated as binding unless there are statutory provisions for guidance.</w:t>
      </w:r>
    </w:p>
    <w:p w:rsidR="007A2C52" w:rsidRPr="00A026C0" w:rsidRDefault="007A2C52" w:rsidP="007A2C52">
      <w:pPr>
        <w:pStyle w:val="ListParagraph"/>
        <w:numPr>
          <w:ilvl w:val="0"/>
          <w:numId w:val="12"/>
        </w:numPr>
        <w:spacing w:line="360" w:lineRule="auto"/>
        <w:rPr>
          <w:sz w:val="24"/>
          <w:szCs w:val="24"/>
        </w:rPr>
      </w:pPr>
      <w:r w:rsidRPr="00A026C0">
        <w:rPr>
          <w:sz w:val="24"/>
          <w:szCs w:val="24"/>
        </w:rPr>
        <w:t>Ministerial appointments to regulatory bodies should be timely, transparent, on merit and   with proper regard to the needs of the organisation</w:t>
      </w:r>
    </w:p>
    <w:p w:rsidR="00A026C0" w:rsidRPr="00A026C0" w:rsidRDefault="00A026C0" w:rsidP="00A026C0">
      <w:pPr>
        <w:pStyle w:val="ListParagraph"/>
        <w:numPr>
          <w:ilvl w:val="0"/>
          <w:numId w:val="12"/>
        </w:numPr>
        <w:spacing w:line="360" w:lineRule="auto"/>
        <w:jc w:val="both"/>
        <w:rPr>
          <w:sz w:val="24"/>
          <w:szCs w:val="24"/>
        </w:rPr>
      </w:pPr>
      <w:r w:rsidRPr="00A026C0">
        <w:rPr>
          <w:rFonts w:eastAsia="Times New Roman"/>
          <w:sz w:val="24"/>
          <w:szCs w:val="24"/>
        </w:rPr>
        <w:lastRenderedPageBreak/>
        <w:t>Ministers should not be involved in the hiring or firing of Chief Executives or other operational staff unless this is expressly laid down by statute.</w:t>
      </w:r>
    </w:p>
    <w:p w:rsidR="007A2C52" w:rsidRPr="00A026C0" w:rsidRDefault="007A2C52" w:rsidP="00A026C0">
      <w:pPr>
        <w:pStyle w:val="ListParagraph"/>
        <w:numPr>
          <w:ilvl w:val="0"/>
          <w:numId w:val="12"/>
        </w:numPr>
        <w:spacing w:line="360" w:lineRule="auto"/>
        <w:jc w:val="both"/>
        <w:rPr>
          <w:sz w:val="24"/>
          <w:szCs w:val="24"/>
        </w:rPr>
      </w:pPr>
      <w:r w:rsidRPr="00A026C0">
        <w:rPr>
          <w:sz w:val="24"/>
          <w:szCs w:val="24"/>
        </w:rPr>
        <w:t>Regulatory bodies should ensure staff are clearly aware of conflicts of interest and explicitly advised about the risks of bias in decision making</w:t>
      </w:r>
    </w:p>
    <w:p w:rsidR="007A2C52" w:rsidRPr="00A026C0" w:rsidRDefault="007A2C52" w:rsidP="00A026C0">
      <w:pPr>
        <w:pStyle w:val="ListParagraph"/>
        <w:numPr>
          <w:ilvl w:val="0"/>
          <w:numId w:val="12"/>
        </w:numPr>
        <w:spacing w:line="360" w:lineRule="auto"/>
        <w:jc w:val="both"/>
        <w:rPr>
          <w:sz w:val="24"/>
          <w:szCs w:val="24"/>
        </w:rPr>
      </w:pPr>
      <w:r w:rsidRPr="00A026C0">
        <w:rPr>
          <w:sz w:val="24"/>
          <w:szCs w:val="24"/>
        </w:rPr>
        <w:t>Regulators should publish full and accessible information on their sources of funding and specifically, any restrictions proposed by those who provide their funding.</w:t>
      </w:r>
    </w:p>
    <w:p w:rsidR="007A2C52" w:rsidRPr="00A026C0" w:rsidRDefault="007A2C52" w:rsidP="00A026C0">
      <w:pPr>
        <w:pStyle w:val="ListParagraph"/>
        <w:numPr>
          <w:ilvl w:val="0"/>
          <w:numId w:val="12"/>
        </w:numPr>
        <w:spacing w:line="360" w:lineRule="auto"/>
        <w:jc w:val="both"/>
        <w:rPr>
          <w:sz w:val="24"/>
          <w:szCs w:val="24"/>
        </w:rPr>
      </w:pPr>
      <w:r w:rsidRPr="00A026C0">
        <w:rPr>
          <w:sz w:val="24"/>
          <w:szCs w:val="24"/>
        </w:rPr>
        <w:t>Regulatory bodies not covered by the Freedom of Information Act should have a publication scheme in line with best practice established by the Information Commissioner’s Office</w:t>
      </w:r>
    </w:p>
    <w:p w:rsidR="007A2C52" w:rsidRPr="00A026C0" w:rsidRDefault="007A2C52" w:rsidP="00A026C0">
      <w:pPr>
        <w:pStyle w:val="ListParagraph"/>
        <w:numPr>
          <w:ilvl w:val="0"/>
          <w:numId w:val="12"/>
        </w:numPr>
        <w:spacing w:line="360" w:lineRule="auto"/>
        <w:jc w:val="both"/>
        <w:rPr>
          <w:sz w:val="24"/>
          <w:szCs w:val="24"/>
        </w:rPr>
      </w:pPr>
      <w:r w:rsidRPr="00A026C0">
        <w:rPr>
          <w:sz w:val="24"/>
          <w:szCs w:val="24"/>
        </w:rPr>
        <w:t xml:space="preserve">The Regulator’s Code should be amended to include promotion of an ethical approach to compliance. </w:t>
      </w:r>
    </w:p>
    <w:p w:rsidR="007A2C52" w:rsidRPr="00A026C0" w:rsidRDefault="007A2C52" w:rsidP="007A2C52">
      <w:pPr>
        <w:spacing w:line="360" w:lineRule="auto"/>
        <w:rPr>
          <w:sz w:val="24"/>
          <w:szCs w:val="24"/>
        </w:rPr>
      </w:pPr>
      <w:r w:rsidRPr="00A026C0">
        <w:rPr>
          <w:sz w:val="24"/>
          <w:szCs w:val="24"/>
        </w:rPr>
        <w:t xml:space="preserve">The full report </w:t>
      </w:r>
      <w:hyperlink r:id="rId9" w:history="1">
        <w:r w:rsidRPr="0085181E">
          <w:rPr>
            <w:rStyle w:val="Hyperlink"/>
            <w:sz w:val="24"/>
            <w:szCs w:val="24"/>
          </w:rPr>
          <w:t>‘Striking the Balance – upholding the seven principles of public Life in Regulation’</w:t>
        </w:r>
      </w:hyperlink>
      <w:bookmarkStart w:id="0" w:name="_GoBack"/>
      <w:bookmarkEnd w:id="0"/>
      <w:r w:rsidR="00A026C0">
        <w:rPr>
          <w:sz w:val="24"/>
          <w:szCs w:val="24"/>
        </w:rPr>
        <w:t xml:space="preserve"> </w:t>
      </w:r>
      <w:r w:rsidRPr="00A026C0">
        <w:rPr>
          <w:sz w:val="24"/>
          <w:szCs w:val="24"/>
        </w:rPr>
        <w:t>can be downloaded here.</w:t>
      </w:r>
    </w:p>
    <w:p w:rsidR="00655622" w:rsidRPr="00A026C0" w:rsidRDefault="00655622" w:rsidP="007A2C52">
      <w:pPr>
        <w:spacing w:line="360" w:lineRule="auto"/>
        <w:rPr>
          <w:sz w:val="24"/>
          <w:szCs w:val="24"/>
        </w:rPr>
      </w:pPr>
      <w:r w:rsidRPr="00A026C0">
        <w:rPr>
          <w:sz w:val="24"/>
          <w:szCs w:val="24"/>
        </w:rPr>
        <w:t>Ends//</w:t>
      </w:r>
    </w:p>
    <w:p w:rsidR="007A2C52" w:rsidRPr="00A026C0" w:rsidRDefault="007A2C52" w:rsidP="007A2C52">
      <w:pPr>
        <w:shd w:val="clear" w:color="auto" w:fill="FFFFFF"/>
        <w:spacing w:before="100" w:beforeAutospacing="1" w:after="100" w:afterAutospacing="1"/>
        <w:rPr>
          <w:rFonts w:eastAsia="Calibri" w:cs="Times New Roman"/>
          <w:b/>
          <w:sz w:val="24"/>
          <w:szCs w:val="24"/>
        </w:rPr>
      </w:pPr>
      <w:r w:rsidRPr="00DA7258">
        <w:rPr>
          <w:rFonts w:eastAsia="Calibri" w:cs="Times New Roman"/>
          <w:b/>
          <w:sz w:val="24"/>
          <w:szCs w:val="24"/>
        </w:rPr>
        <w:t>Notes to Editors</w:t>
      </w:r>
    </w:p>
    <w:p w:rsidR="007A2C52" w:rsidRPr="00A026C0" w:rsidRDefault="007A2C52" w:rsidP="00346931">
      <w:pPr>
        <w:pStyle w:val="ListParagraph"/>
        <w:numPr>
          <w:ilvl w:val="0"/>
          <w:numId w:val="13"/>
        </w:numPr>
        <w:shd w:val="clear" w:color="auto" w:fill="FFFFFF"/>
        <w:spacing w:before="100" w:beforeAutospacing="1" w:after="100" w:afterAutospacing="1"/>
        <w:rPr>
          <w:rFonts w:eastAsia="Calibri" w:cs="Arial"/>
          <w:b/>
          <w:sz w:val="24"/>
          <w:szCs w:val="24"/>
        </w:rPr>
      </w:pPr>
      <w:r w:rsidRPr="00A026C0">
        <w:rPr>
          <w:rFonts w:eastAsia="Calibri" w:cs="Arial"/>
          <w:b/>
          <w:sz w:val="24"/>
          <w:szCs w:val="24"/>
        </w:rPr>
        <w:t>Interview requests and media enquiries should go to Maggie O’Boyle on 07880 740627.</w:t>
      </w:r>
    </w:p>
    <w:p w:rsidR="007A2C52" w:rsidRPr="00A026C0" w:rsidRDefault="007A2C52" w:rsidP="007A2C52">
      <w:pPr>
        <w:numPr>
          <w:ilvl w:val="0"/>
          <w:numId w:val="13"/>
        </w:numPr>
        <w:spacing w:after="0" w:line="240" w:lineRule="auto"/>
        <w:contextualSpacing/>
        <w:rPr>
          <w:rFonts w:eastAsia="Calibri" w:cs="Arial"/>
          <w:b/>
          <w:sz w:val="24"/>
          <w:szCs w:val="24"/>
        </w:rPr>
      </w:pPr>
      <w:r w:rsidRPr="00D34DC3">
        <w:rPr>
          <w:rFonts w:eastAsia="Calibri" w:cs="Arial"/>
          <w:sz w:val="24"/>
          <w:szCs w:val="24"/>
        </w:rPr>
        <w:t xml:space="preserve">More information about the work of the Committee is available on its website: </w:t>
      </w:r>
      <w:hyperlink r:id="rId10" w:history="1">
        <w:r w:rsidRPr="00D34DC3">
          <w:rPr>
            <w:rFonts w:eastAsia="Calibri" w:cs="Arial"/>
            <w:b/>
            <w:color w:val="0000FF"/>
            <w:sz w:val="24"/>
            <w:szCs w:val="24"/>
            <w:u w:val="single"/>
          </w:rPr>
          <w:t>https://www.gov.uk/government/organisations/the-committee-on-standards-in-public-life</w:t>
        </w:r>
      </w:hyperlink>
    </w:p>
    <w:p w:rsidR="00655622" w:rsidRPr="00D633B6" w:rsidRDefault="00D633B6" w:rsidP="007A2C52">
      <w:pPr>
        <w:numPr>
          <w:ilvl w:val="0"/>
          <w:numId w:val="13"/>
        </w:numPr>
        <w:spacing w:after="0" w:line="240" w:lineRule="auto"/>
        <w:contextualSpacing/>
        <w:rPr>
          <w:rFonts w:eastAsia="Calibri" w:cs="Arial"/>
          <w:sz w:val="24"/>
          <w:szCs w:val="24"/>
        </w:rPr>
      </w:pPr>
      <w:r w:rsidRPr="00D633B6">
        <w:rPr>
          <w:rFonts w:eastAsia="Calibri" w:cs="Arial"/>
          <w:sz w:val="24"/>
          <w:szCs w:val="24"/>
        </w:rPr>
        <w:t>In the course of the review, the Committee issued a survey to over 70 regulators; held 3 stakeholder seminars, interviewed 26 regulators and commissioned 4 academic papers.</w:t>
      </w:r>
    </w:p>
    <w:p w:rsidR="007A2C52" w:rsidRPr="00D34DC3" w:rsidRDefault="007A2C52" w:rsidP="007A2C52">
      <w:pPr>
        <w:numPr>
          <w:ilvl w:val="0"/>
          <w:numId w:val="13"/>
        </w:numPr>
        <w:spacing w:after="0" w:line="240" w:lineRule="auto"/>
        <w:contextualSpacing/>
        <w:rPr>
          <w:rFonts w:eastAsia="Calibri" w:cs="Arial"/>
          <w:color w:val="0B0C0C"/>
          <w:sz w:val="24"/>
          <w:szCs w:val="24"/>
          <w:shd w:val="clear" w:color="auto" w:fill="FFFFFF"/>
        </w:rPr>
      </w:pPr>
      <w:r w:rsidRPr="00D34DC3">
        <w:rPr>
          <w:rFonts w:eastAsia="Calibri" w:cs="Arial"/>
          <w:color w:val="0B0C0C"/>
          <w:sz w:val="24"/>
          <w:szCs w:val="24"/>
          <w:shd w:val="clear" w:color="auto" w:fill="FFFFFF"/>
        </w:rPr>
        <w:t>The Committee on Standards in Public Life advises the Prime Minister on ethical standards across the whole of public life in the UK. It monitors and reports on issues relating to the standards of conduct of all public office holders.</w:t>
      </w:r>
    </w:p>
    <w:p w:rsidR="007A2C52" w:rsidRPr="00D34DC3" w:rsidRDefault="007A2C52" w:rsidP="007A2C52">
      <w:pPr>
        <w:numPr>
          <w:ilvl w:val="0"/>
          <w:numId w:val="13"/>
        </w:numPr>
        <w:shd w:val="clear" w:color="auto" w:fill="FFFFFF"/>
        <w:spacing w:before="100" w:beforeAutospacing="1" w:after="100" w:afterAutospacing="1" w:line="240" w:lineRule="auto"/>
        <w:contextualSpacing/>
        <w:rPr>
          <w:rFonts w:eastAsia="Calibri" w:cs="Times New Roman"/>
          <w:sz w:val="24"/>
          <w:szCs w:val="24"/>
        </w:rPr>
      </w:pPr>
      <w:r w:rsidRPr="00D34DC3">
        <w:rPr>
          <w:rFonts w:eastAsia="Times New Roman" w:cs="Arial"/>
          <w:kern w:val="28"/>
          <w:sz w:val="24"/>
          <w:szCs w:val="24"/>
          <w:lang w:eastAsia="en-GB"/>
        </w:rPr>
        <w:t>The current members of the Committee are: Lord (Paul</w:t>
      </w:r>
      <w:r w:rsidRPr="00A026C0">
        <w:rPr>
          <w:rFonts w:eastAsia="Times New Roman" w:cs="Arial"/>
          <w:kern w:val="28"/>
          <w:sz w:val="24"/>
          <w:szCs w:val="24"/>
          <w:lang w:eastAsia="en-GB"/>
        </w:rPr>
        <w:t>) Bew, Chairman,</w:t>
      </w:r>
      <w:r w:rsidRPr="00D34DC3">
        <w:rPr>
          <w:rFonts w:eastAsia="Times New Roman" w:cs="Arial"/>
          <w:kern w:val="28"/>
          <w:sz w:val="24"/>
          <w:szCs w:val="24"/>
          <w:lang w:eastAsia="en-GB"/>
        </w:rPr>
        <w:t xml:space="preserve"> </w:t>
      </w:r>
      <w:proofErr w:type="spellStart"/>
      <w:r w:rsidRPr="00D34DC3">
        <w:rPr>
          <w:rFonts w:eastAsia="Times New Roman" w:cs="Arial"/>
          <w:kern w:val="28"/>
          <w:sz w:val="24"/>
          <w:szCs w:val="24"/>
          <w:lang w:eastAsia="en-GB"/>
        </w:rPr>
        <w:t>Rt</w:t>
      </w:r>
      <w:proofErr w:type="spellEnd"/>
      <w:r w:rsidRPr="00D34DC3">
        <w:rPr>
          <w:rFonts w:eastAsia="Times New Roman" w:cs="Arial"/>
          <w:kern w:val="28"/>
          <w:sz w:val="24"/>
          <w:szCs w:val="24"/>
          <w:lang w:eastAsia="en-GB"/>
        </w:rPr>
        <w:t xml:space="preserve"> Hon Dame Margaret Beckett DBE MP, Sheila Dr</w:t>
      </w:r>
      <w:r w:rsidRPr="00A026C0">
        <w:rPr>
          <w:rFonts w:eastAsia="Times New Roman" w:cs="Arial"/>
          <w:kern w:val="28"/>
          <w:sz w:val="24"/>
          <w:szCs w:val="24"/>
          <w:lang w:eastAsia="en-GB"/>
        </w:rPr>
        <w:t>ew Smith OBE, Jane Ramsey</w:t>
      </w:r>
      <w:r w:rsidRPr="00D34DC3">
        <w:rPr>
          <w:rFonts w:eastAsia="Times New Roman" w:cs="Arial"/>
          <w:kern w:val="28"/>
          <w:sz w:val="24"/>
          <w:szCs w:val="24"/>
          <w:lang w:eastAsia="en-GB"/>
        </w:rPr>
        <w:t xml:space="preserve">, </w:t>
      </w:r>
      <w:proofErr w:type="spellStart"/>
      <w:r w:rsidRPr="00D34DC3">
        <w:rPr>
          <w:rFonts w:eastAsia="Times New Roman" w:cs="Arial"/>
          <w:kern w:val="28"/>
          <w:sz w:val="24"/>
          <w:szCs w:val="24"/>
          <w:lang w:eastAsia="en-GB"/>
        </w:rPr>
        <w:t>Monisha</w:t>
      </w:r>
      <w:proofErr w:type="spellEnd"/>
      <w:r w:rsidRPr="00D34DC3">
        <w:rPr>
          <w:rFonts w:eastAsia="Times New Roman" w:cs="Arial"/>
          <w:kern w:val="28"/>
          <w:sz w:val="24"/>
          <w:szCs w:val="24"/>
          <w:lang w:eastAsia="en-GB"/>
        </w:rPr>
        <w:t xml:space="preserve"> Shah, Richard Thomas CBE and Dame Angela Watkinson DBE MP.  </w:t>
      </w:r>
    </w:p>
    <w:p w:rsidR="00D91DF8" w:rsidRPr="00A026C0" w:rsidRDefault="00D91DF8" w:rsidP="007A2C52">
      <w:pPr>
        <w:rPr>
          <w:rFonts w:cs="Arial"/>
          <w:b/>
          <w:sz w:val="24"/>
          <w:szCs w:val="24"/>
        </w:rPr>
      </w:pPr>
    </w:p>
    <w:sectPr w:rsidR="00D91DF8" w:rsidRPr="00A026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4E" w:rsidRDefault="0045734E" w:rsidP="00A10506">
      <w:pPr>
        <w:spacing w:after="0" w:line="240" w:lineRule="auto"/>
      </w:pPr>
      <w:r>
        <w:separator/>
      </w:r>
    </w:p>
  </w:endnote>
  <w:endnote w:type="continuationSeparator" w:id="0">
    <w:p w:rsidR="0045734E" w:rsidRDefault="0045734E" w:rsidP="00A1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4E" w:rsidRDefault="0045734E" w:rsidP="00A10506">
      <w:pPr>
        <w:spacing w:after="0" w:line="240" w:lineRule="auto"/>
      </w:pPr>
      <w:r>
        <w:separator/>
      </w:r>
    </w:p>
  </w:footnote>
  <w:footnote w:type="continuationSeparator" w:id="0">
    <w:p w:rsidR="0045734E" w:rsidRDefault="0045734E" w:rsidP="00A105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4E" w:rsidRDefault="004573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03"/>
    <w:multiLevelType w:val="multilevel"/>
    <w:tmpl w:val="1B2E2592"/>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60D5C83"/>
    <w:multiLevelType w:val="hybridMultilevel"/>
    <w:tmpl w:val="CBC24DD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nsid w:val="1E2C2DDA"/>
    <w:multiLevelType w:val="hybridMultilevel"/>
    <w:tmpl w:val="825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63921"/>
    <w:multiLevelType w:val="multilevel"/>
    <w:tmpl w:val="FE90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466F4"/>
    <w:multiLevelType w:val="multilevel"/>
    <w:tmpl w:val="C6148032"/>
    <w:lvl w:ilvl="0">
      <w:start w:val="1"/>
      <w:numFmt w:val="bullet"/>
      <w:lvlText w:val="o"/>
      <w:lvlJc w:val="left"/>
      <w:pPr>
        <w:tabs>
          <w:tab w:val="num" w:pos="1494"/>
        </w:tabs>
        <w:ind w:left="1494" w:hanging="360"/>
      </w:pPr>
      <w:rPr>
        <w:rFonts w:ascii="Courier New" w:hAnsi="Courier New" w:cs="Courier New" w:hint="default"/>
        <w:sz w:val="20"/>
      </w:rPr>
    </w:lvl>
    <w:lvl w:ilvl="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5">
    <w:nsid w:val="45A6308F"/>
    <w:multiLevelType w:val="multilevel"/>
    <w:tmpl w:val="FE907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8025C"/>
    <w:multiLevelType w:val="hybridMultilevel"/>
    <w:tmpl w:val="8496E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60E20"/>
    <w:multiLevelType w:val="hybridMultilevel"/>
    <w:tmpl w:val="2D685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6D04D4"/>
    <w:multiLevelType w:val="hybridMultilevel"/>
    <w:tmpl w:val="5F7C75FC"/>
    <w:lvl w:ilvl="0" w:tplc="B8A87DB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2FB469D"/>
    <w:multiLevelType w:val="hybridMultilevel"/>
    <w:tmpl w:val="88E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76534"/>
    <w:multiLevelType w:val="hybridMultilevel"/>
    <w:tmpl w:val="8F567494"/>
    <w:lvl w:ilvl="0" w:tplc="844CE73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D21630"/>
    <w:multiLevelType w:val="hybridMultilevel"/>
    <w:tmpl w:val="BA0E398A"/>
    <w:lvl w:ilvl="0" w:tplc="E3EC7FF2">
      <w:start w:val="1"/>
      <w:numFmt w:val="decimal"/>
      <w:lvlText w:val="%1."/>
      <w:lvlJc w:val="left"/>
      <w:pPr>
        <w:ind w:left="360" w:hanging="360"/>
      </w:pPr>
      <w:rPr>
        <w:rFonts w:cs="Times New Roman"/>
        <w:b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4"/>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AB"/>
    <w:rsid w:val="0006360A"/>
    <w:rsid w:val="000742F9"/>
    <w:rsid w:val="00121C30"/>
    <w:rsid w:val="00193687"/>
    <w:rsid w:val="002270FB"/>
    <w:rsid w:val="002704A1"/>
    <w:rsid w:val="002709EE"/>
    <w:rsid w:val="002B680A"/>
    <w:rsid w:val="00303C28"/>
    <w:rsid w:val="00323ECC"/>
    <w:rsid w:val="00346931"/>
    <w:rsid w:val="003568E0"/>
    <w:rsid w:val="003637C3"/>
    <w:rsid w:val="004018AC"/>
    <w:rsid w:val="00427D38"/>
    <w:rsid w:val="00444669"/>
    <w:rsid w:val="0045734E"/>
    <w:rsid w:val="00471B2E"/>
    <w:rsid w:val="00477C71"/>
    <w:rsid w:val="00490517"/>
    <w:rsid w:val="004B7BE9"/>
    <w:rsid w:val="004C00F2"/>
    <w:rsid w:val="004D6927"/>
    <w:rsid w:val="00576925"/>
    <w:rsid w:val="005A2417"/>
    <w:rsid w:val="00632650"/>
    <w:rsid w:val="00632E9C"/>
    <w:rsid w:val="00655622"/>
    <w:rsid w:val="00682777"/>
    <w:rsid w:val="00715BDD"/>
    <w:rsid w:val="00735D2B"/>
    <w:rsid w:val="0074750F"/>
    <w:rsid w:val="00784139"/>
    <w:rsid w:val="007A2C52"/>
    <w:rsid w:val="007E4C29"/>
    <w:rsid w:val="00836B39"/>
    <w:rsid w:val="0085181E"/>
    <w:rsid w:val="008A06CA"/>
    <w:rsid w:val="009215FA"/>
    <w:rsid w:val="00946689"/>
    <w:rsid w:val="009B0CB7"/>
    <w:rsid w:val="009E17B7"/>
    <w:rsid w:val="00A026C0"/>
    <w:rsid w:val="00A10506"/>
    <w:rsid w:val="00A53499"/>
    <w:rsid w:val="00A94F67"/>
    <w:rsid w:val="00AB16AB"/>
    <w:rsid w:val="00AD34FD"/>
    <w:rsid w:val="00BB4148"/>
    <w:rsid w:val="00C27206"/>
    <w:rsid w:val="00C3660A"/>
    <w:rsid w:val="00D633B6"/>
    <w:rsid w:val="00D91DF8"/>
    <w:rsid w:val="00E646F1"/>
    <w:rsid w:val="00EF4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16AB"/>
    <w:rPr>
      <w:b/>
      <w:bCs/>
    </w:rPr>
  </w:style>
  <w:style w:type="character" w:customStyle="1" w:styleId="apple-converted-space">
    <w:name w:val="apple-converted-space"/>
    <w:basedOn w:val="DefaultParagraphFont"/>
    <w:rsid w:val="00AB16AB"/>
  </w:style>
  <w:style w:type="character" w:styleId="Hyperlink">
    <w:name w:val="Hyperlink"/>
    <w:basedOn w:val="DefaultParagraphFont"/>
    <w:uiPriority w:val="99"/>
    <w:unhideWhenUsed/>
    <w:rsid w:val="00AB16AB"/>
    <w:rPr>
      <w:color w:val="0000FF"/>
      <w:u w:val="single"/>
    </w:rPr>
  </w:style>
  <w:style w:type="paragraph" w:styleId="FootnoteText">
    <w:name w:val="footnote text"/>
    <w:basedOn w:val="Normal"/>
    <w:link w:val="FootnoteTextChar"/>
    <w:uiPriority w:val="99"/>
    <w:unhideWhenUsed/>
    <w:rsid w:val="00A10506"/>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A10506"/>
    <w:rPr>
      <w:rFonts w:ascii="Calibri" w:eastAsiaTheme="minorEastAsia" w:hAnsi="Calibri"/>
      <w:sz w:val="24"/>
      <w:szCs w:val="24"/>
    </w:rPr>
  </w:style>
  <w:style w:type="character" w:styleId="FootnoteReference">
    <w:name w:val="footnote reference"/>
    <w:basedOn w:val="DefaultParagraphFont"/>
    <w:uiPriority w:val="99"/>
    <w:unhideWhenUsed/>
    <w:rsid w:val="00A10506"/>
    <w:rPr>
      <w:vertAlign w:val="superscript"/>
    </w:rPr>
  </w:style>
  <w:style w:type="paragraph" w:customStyle="1" w:styleId="Default">
    <w:name w:val="Default"/>
    <w:rsid w:val="00A105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4148"/>
    <w:pPr>
      <w:ind w:left="720"/>
      <w:contextualSpacing/>
    </w:pPr>
  </w:style>
  <w:style w:type="character" w:styleId="FollowedHyperlink">
    <w:name w:val="FollowedHyperlink"/>
    <w:basedOn w:val="DefaultParagraphFont"/>
    <w:uiPriority w:val="99"/>
    <w:semiHidden/>
    <w:unhideWhenUsed/>
    <w:rsid w:val="002270FB"/>
    <w:rPr>
      <w:color w:val="800080" w:themeColor="followedHyperlink"/>
      <w:u w:val="single"/>
    </w:rPr>
  </w:style>
  <w:style w:type="paragraph" w:styleId="PlainText">
    <w:name w:val="Plain Text"/>
    <w:basedOn w:val="Normal"/>
    <w:link w:val="PlainTextChar"/>
    <w:uiPriority w:val="99"/>
    <w:semiHidden/>
    <w:unhideWhenUsed/>
    <w:rsid w:val="009B0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0CB7"/>
    <w:rPr>
      <w:rFonts w:ascii="Calibri" w:hAnsi="Calibri"/>
      <w:szCs w:val="21"/>
    </w:rPr>
  </w:style>
  <w:style w:type="paragraph" w:styleId="Header">
    <w:name w:val="header"/>
    <w:basedOn w:val="Normal"/>
    <w:link w:val="HeaderChar"/>
    <w:uiPriority w:val="99"/>
    <w:unhideWhenUsed/>
    <w:rsid w:val="0034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31"/>
  </w:style>
  <w:style w:type="paragraph" w:styleId="Footer">
    <w:name w:val="footer"/>
    <w:basedOn w:val="Normal"/>
    <w:link w:val="FooterChar"/>
    <w:uiPriority w:val="99"/>
    <w:unhideWhenUsed/>
    <w:rsid w:val="0034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16AB"/>
    <w:rPr>
      <w:b/>
      <w:bCs/>
    </w:rPr>
  </w:style>
  <w:style w:type="character" w:customStyle="1" w:styleId="apple-converted-space">
    <w:name w:val="apple-converted-space"/>
    <w:basedOn w:val="DefaultParagraphFont"/>
    <w:rsid w:val="00AB16AB"/>
  </w:style>
  <w:style w:type="character" w:styleId="Hyperlink">
    <w:name w:val="Hyperlink"/>
    <w:basedOn w:val="DefaultParagraphFont"/>
    <w:uiPriority w:val="99"/>
    <w:unhideWhenUsed/>
    <w:rsid w:val="00AB16AB"/>
    <w:rPr>
      <w:color w:val="0000FF"/>
      <w:u w:val="single"/>
    </w:rPr>
  </w:style>
  <w:style w:type="paragraph" w:styleId="FootnoteText">
    <w:name w:val="footnote text"/>
    <w:basedOn w:val="Normal"/>
    <w:link w:val="FootnoteTextChar"/>
    <w:uiPriority w:val="99"/>
    <w:unhideWhenUsed/>
    <w:rsid w:val="00A10506"/>
    <w:pPr>
      <w:spacing w:after="0" w:line="240" w:lineRule="auto"/>
    </w:pPr>
    <w:rPr>
      <w:rFonts w:ascii="Calibri" w:eastAsiaTheme="minorEastAsia" w:hAnsi="Calibri"/>
      <w:sz w:val="24"/>
      <w:szCs w:val="24"/>
    </w:rPr>
  </w:style>
  <w:style w:type="character" w:customStyle="1" w:styleId="FootnoteTextChar">
    <w:name w:val="Footnote Text Char"/>
    <w:basedOn w:val="DefaultParagraphFont"/>
    <w:link w:val="FootnoteText"/>
    <w:uiPriority w:val="99"/>
    <w:rsid w:val="00A10506"/>
    <w:rPr>
      <w:rFonts w:ascii="Calibri" w:eastAsiaTheme="minorEastAsia" w:hAnsi="Calibri"/>
      <w:sz w:val="24"/>
      <w:szCs w:val="24"/>
    </w:rPr>
  </w:style>
  <w:style w:type="character" w:styleId="FootnoteReference">
    <w:name w:val="footnote reference"/>
    <w:basedOn w:val="DefaultParagraphFont"/>
    <w:uiPriority w:val="99"/>
    <w:unhideWhenUsed/>
    <w:rsid w:val="00A10506"/>
    <w:rPr>
      <w:vertAlign w:val="superscript"/>
    </w:rPr>
  </w:style>
  <w:style w:type="paragraph" w:customStyle="1" w:styleId="Default">
    <w:name w:val="Default"/>
    <w:rsid w:val="00A105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4148"/>
    <w:pPr>
      <w:ind w:left="720"/>
      <w:contextualSpacing/>
    </w:pPr>
  </w:style>
  <w:style w:type="character" w:styleId="FollowedHyperlink">
    <w:name w:val="FollowedHyperlink"/>
    <w:basedOn w:val="DefaultParagraphFont"/>
    <w:uiPriority w:val="99"/>
    <w:semiHidden/>
    <w:unhideWhenUsed/>
    <w:rsid w:val="002270FB"/>
    <w:rPr>
      <w:color w:val="800080" w:themeColor="followedHyperlink"/>
      <w:u w:val="single"/>
    </w:rPr>
  </w:style>
  <w:style w:type="paragraph" w:styleId="PlainText">
    <w:name w:val="Plain Text"/>
    <w:basedOn w:val="Normal"/>
    <w:link w:val="PlainTextChar"/>
    <w:uiPriority w:val="99"/>
    <w:semiHidden/>
    <w:unhideWhenUsed/>
    <w:rsid w:val="009B0C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0CB7"/>
    <w:rPr>
      <w:rFonts w:ascii="Calibri" w:hAnsi="Calibri"/>
      <w:szCs w:val="21"/>
    </w:rPr>
  </w:style>
  <w:style w:type="paragraph" w:styleId="Header">
    <w:name w:val="header"/>
    <w:basedOn w:val="Normal"/>
    <w:link w:val="HeaderChar"/>
    <w:uiPriority w:val="99"/>
    <w:unhideWhenUsed/>
    <w:rsid w:val="0034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31"/>
  </w:style>
  <w:style w:type="paragraph" w:styleId="Footer">
    <w:name w:val="footer"/>
    <w:basedOn w:val="Normal"/>
    <w:link w:val="FooterChar"/>
    <w:uiPriority w:val="99"/>
    <w:unhideWhenUsed/>
    <w:rsid w:val="0034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66">
      <w:bodyDiv w:val="1"/>
      <w:marLeft w:val="0"/>
      <w:marRight w:val="0"/>
      <w:marTop w:val="0"/>
      <w:marBottom w:val="0"/>
      <w:divBdr>
        <w:top w:val="none" w:sz="0" w:space="0" w:color="auto"/>
        <w:left w:val="none" w:sz="0" w:space="0" w:color="auto"/>
        <w:bottom w:val="none" w:sz="0" w:space="0" w:color="auto"/>
        <w:right w:val="none" w:sz="0" w:space="0" w:color="auto"/>
      </w:divBdr>
    </w:div>
    <w:div w:id="96172774">
      <w:bodyDiv w:val="1"/>
      <w:marLeft w:val="0"/>
      <w:marRight w:val="0"/>
      <w:marTop w:val="0"/>
      <w:marBottom w:val="0"/>
      <w:divBdr>
        <w:top w:val="none" w:sz="0" w:space="0" w:color="auto"/>
        <w:left w:val="none" w:sz="0" w:space="0" w:color="auto"/>
        <w:bottom w:val="none" w:sz="0" w:space="0" w:color="auto"/>
        <w:right w:val="none" w:sz="0" w:space="0" w:color="auto"/>
      </w:divBdr>
    </w:div>
    <w:div w:id="736632901">
      <w:bodyDiv w:val="1"/>
      <w:marLeft w:val="0"/>
      <w:marRight w:val="0"/>
      <w:marTop w:val="0"/>
      <w:marBottom w:val="0"/>
      <w:divBdr>
        <w:top w:val="none" w:sz="0" w:space="0" w:color="auto"/>
        <w:left w:val="none" w:sz="0" w:space="0" w:color="auto"/>
        <w:bottom w:val="none" w:sz="0" w:space="0" w:color="auto"/>
        <w:right w:val="none" w:sz="0" w:space="0" w:color="auto"/>
      </w:divBdr>
    </w:div>
    <w:div w:id="1738892759">
      <w:bodyDiv w:val="1"/>
      <w:marLeft w:val="0"/>
      <w:marRight w:val="0"/>
      <w:marTop w:val="0"/>
      <w:marBottom w:val="0"/>
      <w:divBdr>
        <w:top w:val="none" w:sz="0" w:space="0" w:color="auto"/>
        <w:left w:val="none" w:sz="0" w:space="0" w:color="auto"/>
        <w:bottom w:val="none" w:sz="0" w:space="0" w:color="auto"/>
        <w:right w:val="none" w:sz="0" w:space="0" w:color="auto"/>
      </w:divBdr>
    </w:div>
    <w:div w:id="1885829538">
      <w:bodyDiv w:val="1"/>
      <w:marLeft w:val="0"/>
      <w:marRight w:val="0"/>
      <w:marTop w:val="0"/>
      <w:marBottom w:val="0"/>
      <w:divBdr>
        <w:top w:val="none" w:sz="0" w:space="0" w:color="auto"/>
        <w:left w:val="none" w:sz="0" w:space="0" w:color="auto"/>
        <w:bottom w:val="none" w:sz="0" w:space="0" w:color="auto"/>
        <w:right w:val="none" w:sz="0" w:space="0" w:color="auto"/>
      </w:divBdr>
    </w:div>
    <w:div w:id="1935819539">
      <w:bodyDiv w:val="1"/>
      <w:marLeft w:val="0"/>
      <w:marRight w:val="0"/>
      <w:marTop w:val="0"/>
      <w:marBottom w:val="0"/>
      <w:divBdr>
        <w:top w:val="none" w:sz="0" w:space="0" w:color="auto"/>
        <w:left w:val="none" w:sz="0" w:space="0" w:color="auto"/>
        <w:bottom w:val="none" w:sz="0" w:space="0" w:color="auto"/>
        <w:right w:val="none" w:sz="0" w:space="0" w:color="auto"/>
      </w:divBdr>
    </w:div>
    <w:div w:id="20649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striking-the-balance-upholding-the-7-principles-in-regulation" TargetMode="External"/><Relationship Id="rId9" Type="http://schemas.openxmlformats.org/officeDocument/2006/relationships/hyperlink" Target="https://www.gov.uk/government/publications/striking-the-balance-upholding-the-7-principles-in-regulation" TargetMode="External"/><Relationship Id="rId10" Type="http://schemas.openxmlformats.org/officeDocument/2006/relationships/hyperlink" Target="https://www.gov.uk/government/organisations/the-committee-on-standards-in-publi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O'Boyle</dc:creator>
  <cp:lastModifiedBy>OFFICE</cp:lastModifiedBy>
  <cp:revision>2</cp:revision>
  <cp:lastPrinted>2016-09-15T08:21:00Z</cp:lastPrinted>
  <dcterms:created xsi:type="dcterms:W3CDTF">2016-09-15T08:47:00Z</dcterms:created>
  <dcterms:modified xsi:type="dcterms:W3CDTF">2016-09-15T08:47:00Z</dcterms:modified>
</cp:coreProperties>
</file>