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0B" w:rsidRPr="00263D60" w:rsidRDefault="007D6FDB" w:rsidP="00077145">
      <w:pPr>
        <w:spacing w:after="0"/>
        <w:rPr>
          <w:rFonts w:ascii="Arial" w:hAnsi="Arial" w:cs="Arial"/>
          <w:b/>
          <w:sz w:val="24"/>
          <w:szCs w:val="24"/>
        </w:rPr>
      </w:pP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r w:rsidRPr="00263D60">
        <w:rPr>
          <w:rFonts w:ascii="Arial" w:hAnsi="Arial" w:cs="Arial"/>
          <w:b/>
          <w:sz w:val="24"/>
          <w:szCs w:val="24"/>
        </w:rPr>
        <w:tab/>
      </w:r>
    </w:p>
    <w:p w:rsidR="004E2A64" w:rsidRDefault="00E565D1" w:rsidP="00077145">
      <w:pPr>
        <w:spacing w:after="0"/>
        <w:rPr>
          <w:rFonts w:ascii="Arial" w:hAnsi="Arial" w:cs="Arial"/>
          <w:sz w:val="24"/>
          <w:szCs w:val="24"/>
        </w:rPr>
      </w:pPr>
      <w:r>
        <w:rPr>
          <w:rFonts w:ascii="Arial" w:hAnsi="Arial" w:cs="Arial"/>
          <w:noProof/>
          <w:sz w:val="24"/>
          <w:szCs w:val="24"/>
          <w:lang w:eastAsia="en-GB"/>
        </w:rPr>
        <w:drawing>
          <wp:inline distT="0" distB="0" distL="0" distR="0" wp14:anchorId="0898497C" wp14:editId="6AA68A7A">
            <wp:extent cx="1295400" cy="11553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A black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99" cy="1162224"/>
                    </a:xfrm>
                    <a:prstGeom prst="rect">
                      <a:avLst/>
                    </a:prstGeom>
                  </pic:spPr>
                </pic:pic>
              </a:graphicData>
            </a:graphic>
          </wp:inline>
        </w:drawing>
      </w:r>
      <w:bookmarkStart w:id="0" w:name="_GoBack"/>
      <w:bookmarkEnd w:id="0"/>
    </w:p>
    <w:p w:rsidR="004E2A64" w:rsidRDefault="004E2A64" w:rsidP="00077145">
      <w:pPr>
        <w:spacing w:after="0"/>
        <w:rPr>
          <w:rFonts w:ascii="Arial" w:hAnsi="Arial" w:cs="Arial"/>
          <w:sz w:val="24"/>
          <w:szCs w:val="24"/>
        </w:rPr>
      </w:pPr>
    </w:p>
    <w:p w:rsidR="00E565D1" w:rsidRDefault="0012025F">
      <w:r w:rsidRPr="0012025F">
        <w:rPr>
          <w:b/>
        </w:rPr>
        <w:tab/>
      </w:r>
      <w:r>
        <w:tab/>
      </w:r>
      <w:r>
        <w:tab/>
      </w:r>
      <w:r>
        <w:tab/>
      </w:r>
      <w:r>
        <w:tab/>
      </w:r>
    </w:p>
    <w:p w:rsidR="00E565D1" w:rsidRDefault="00E565D1"/>
    <w:p w:rsidR="00E565D1" w:rsidRDefault="00E565D1"/>
    <w:p w:rsidR="008D2C0F" w:rsidRDefault="0012025F">
      <w:r>
        <w:tab/>
      </w:r>
      <w:r>
        <w:tab/>
      </w:r>
      <w:r>
        <w:tab/>
      </w:r>
      <w:r>
        <w:tab/>
      </w:r>
      <w:r>
        <w:tab/>
      </w:r>
    </w:p>
    <w:p w:rsidR="008D2C0F" w:rsidRDefault="008D2C0F" w:rsidP="008D2C0F">
      <w:pPr>
        <w:pStyle w:val="PlainText"/>
        <w:jc w:val="center"/>
        <w:rPr>
          <w:rFonts w:ascii="Arial" w:hAnsi="Arial" w:cs="Arial"/>
          <w:sz w:val="48"/>
          <w:szCs w:val="48"/>
        </w:rPr>
      </w:pPr>
    </w:p>
    <w:p w:rsidR="008D2C0F" w:rsidRPr="008D2C0F" w:rsidRDefault="008D2C0F" w:rsidP="008D2C0F">
      <w:pPr>
        <w:pStyle w:val="PlainText"/>
        <w:jc w:val="center"/>
        <w:rPr>
          <w:rFonts w:ascii="Arial" w:hAnsi="Arial" w:cs="Arial"/>
          <w:sz w:val="48"/>
          <w:szCs w:val="48"/>
        </w:rPr>
      </w:pPr>
      <w:r w:rsidRPr="008D2C0F">
        <w:rPr>
          <w:rFonts w:ascii="Arial" w:hAnsi="Arial" w:cs="Arial"/>
          <w:sz w:val="48"/>
          <w:szCs w:val="48"/>
        </w:rPr>
        <w:t>Maritime</w:t>
      </w:r>
      <w:r>
        <w:rPr>
          <w:rFonts w:ascii="Arial" w:hAnsi="Arial" w:cs="Arial"/>
          <w:sz w:val="48"/>
          <w:szCs w:val="48"/>
        </w:rPr>
        <w:t xml:space="preserve"> and</w:t>
      </w:r>
      <w:r w:rsidRPr="008D2C0F">
        <w:rPr>
          <w:rFonts w:ascii="Arial" w:hAnsi="Arial" w:cs="Arial"/>
          <w:sz w:val="48"/>
          <w:szCs w:val="48"/>
        </w:rPr>
        <w:t xml:space="preserve"> C</w:t>
      </w:r>
      <w:r>
        <w:rPr>
          <w:rFonts w:ascii="Arial" w:hAnsi="Arial" w:cs="Arial"/>
          <w:sz w:val="48"/>
          <w:szCs w:val="48"/>
        </w:rPr>
        <w:t xml:space="preserve">oastguard </w:t>
      </w:r>
      <w:r w:rsidRPr="008D2C0F">
        <w:rPr>
          <w:rFonts w:ascii="Arial" w:hAnsi="Arial" w:cs="Arial"/>
          <w:sz w:val="48"/>
          <w:szCs w:val="48"/>
        </w:rPr>
        <w:t>A</w:t>
      </w:r>
      <w:r>
        <w:rPr>
          <w:rFonts w:ascii="Arial" w:hAnsi="Arial" w:cs="Arial"/>
          <w:sz w:val="48"/>
          <w:szCs w:val="48"/>
        </w:rPr>
        <w:t>gency</w:t>
      </w:r>
      <w:r w:rsidRPr="008D2C0F">
        <w:rPr>
          <w:rFonts w:ascii="Arial" w:hAnsi="Arial" w:cs="Arial"/>
          <w:sz w:val="48"/>
          <w:szCs w:val="48"/>
        </w:rPr>
        <w:t>: M</w:t>
      </w:r>
      <w:r>
        <w:rPr>
          <w:rFonts w:ascii="Arial" w:hAnsi="Arial" w:cs="Arial"/>
          <w:sz w:val="48"/>
          <w:szCs w:val="48"/>
        </w:rPr>
        <w:t xml:space="preserve">erchant </w:t>
      </w:r>
      <w:r w:rsidRPr="008D2C0F">
        <w:rPr>
          <w:rFonts w:ascii="Arial" w:hAnsi="Arial" w:cs="Arial"/>
          <w:sz w:val="48"/>
          <w:szCs w:val="48"/>
        </w:rPr>
        <w:t>S</w:t>
      </w:r>
      <w:r>
        <w:rPr>
          <w:rFonts w:ascii="Arial" w:hAnsi="Arial" w:cs="Arial"/>
          <w:sz w:val="48"/>
          <w:szCs w:val="48"/>
        </w:rPr>
        <w:t>hipping</w:t>
      </w:r>
      <w:r w:rsidRPr="008D2C0F">
        <w:rPr>
          <w:rFonts w:ascii="Arial" w:hAnsi="Arial" w:cs="Arial"/>
          <w:sz w:val="48"/>
          <w:szCs w:val="48"/>
        </w:rPr>
        <w:t xml:space="preserve"> Fees</w:t>
      </w:r>
    </w:p>
    <w:p w:rsidR="008D2C0F" w:rsidRPr="00712999" w:rsidRDefault="008D2C0F" w:rsidP="008D2C0F">
      <w:pPr>
        <w:pStyle w:val="PlainText"/>
        <w:jc w:val="center"/>
        <w:rPr>
          <w:rFonts w:ascii="Arial" w:hAnsi="Arial" w:cs="Arial"/>
          <w:sz w:val="48"/>
          <w:szCs w:val="48"/>
        </w:rPr>
      </w:pPr>
    </w:p>
    <w:p w:rsidR="008D2C0F" w:rsidRPr="00712999" w:rsidRDefault="008D2C0F" w:rsidP="008D2C0F">
      <w:pPr>
        <w:pStyle w:val="PlainText"/>
        <w:jc w:val="center"/>
        <w:rPr>
          <w:rFonts w:ascii="Arial" w:hAnsi="Arial" w:cs="Arial"/>
          <w:sz w:val="48"/>
          <w:szCs w:val="48"/>
        </w:rPr>
      </w:pPr>
    </w:p>
    <w:p w:rsidR="008D2C0F" w:rsidRPr="00712999" w:rsidRDefault="008D2C0F" w:rsidP="008D2C0F">
      <w:pPr>
        <w:pStyle w:val="PlainText"/>
        <w:jc w:val="center"/>
        <w:rPr>
          <w:rFonts w:ascii="Arial" w:hAnsi="Arial" w:cs="Arial"/>
          <w:sz w:val="48"/>
          <w:szCs w:val="48"/>
        </w:rPr>
      </w:pPr>
      <w:r w:rsidRPr="00712999">
        <w:rPr>
          <w:rFonts w:ascii="Arial" w:hAnsi="Arial" w:cs="Arial"/>
          <w:sz w:val="48"/>
          <w:szCs w:val="48"/>
        </w:rPr>
        <w:t>Public Consultation</w:t>
      </w:r>
    </w:p>
    <w:p w:rsidR="008D2C0F" w:rsidRPr="00712999" w:rsidRDefault="008D2C0F" w:rsidP="008D2C0F">
      <w:pPr>
        <w:pStyle w:val="PlainText"/>
        <w:jc w:val="center"/>
        <w:rPr>
          <w:rFonts w:ascii="Arial" w:hAnsi="Arial" w:cs="Arial"/>
          <w:sz w:val="48"/>
          <w:szCs w:val="48"/>
        </w:rPr>
      </w:pPr>
    </w:p>
    <w:p w:rsidR="008D2C0F" w:rsidRPr="00712999" w:rsidRDefault="008D2C0F" w:rsidP="008D2C0F">
      <w:pPr>
        <w:pStyle w:val="PlainText"/>
        <w:jc w:val="center"/>
        <w:rPr>
          <w:rFonts w:ascii="Arial" w:hAnsi="Arial" w:cs="Arial"/>
          <w:sz w:val="48"/>
          <w:szCs w:val="48"/>
        </w:rPr>
      </w:pPr>
      <w:r w:rsidRPr="00712999">
        <w:rPr>
          <w:rFonts w:ascii="Arial" w:hAnsi="Arial" w:cs="Arial"/>
          <w:sz w:val="48"/>
          <w:szCs w:val="48"/>
        </w:rPr>
        <w:t>201</w:t>
      </w:r>
      <w:r w:rsidR="006812A3">
        <w:rPr>
          <w:rFonts w:ascii="Arial" w:hAnsi="Arial" w:cs="Arial"/>
          <w:sz w:val="48"/>
          <w:szCs w:val="48"/>
        </w:rPr>
        <w:t>6</w:t>
      </w:r>
    </w:p>
    <w:p w:rsidR="008D2C0F" w:rsidRDefault="008D2C0F"/>
    <w:p w:rsidR="008D2C0F" w:rsidRDefault="008D2C0F"/>
    <w:p w:rsidR="008D2C0F" w:rsidRDefault="008D2C0F"/>
    <w:p w:rsidR="008D2C0F" w:rsidRDefault="008D2C0F"/>
    <w:p w:rsidR="008D2C0F" w:rsidRDefault="008D2C0F"/>
    <w:p w:rsidR="008D2C0F" w:rsidRDefault="008D2C0F"/>
    <w:p w:rsidR="008D2C0F" w:rsidRDefault="008D2C0F"/>
    <w:p w:rsidR="0037370B" w:rsidRDefault="0037370B"/>
    <w:p w:rsidR="0037370B" w:rsidRDefault="0037370B"/>
    <w:p w:rsidR="0037370B" w:rsidRDefault="0037370B"/>
    <w:p w:rsidR="0037370B" w:rsidRDefault="0037370B"/>
    <w:p w:rsidR="0037370B" w:rsidRDefault="0037370B"/>
    <w:p w:rsidR="00B36825" w:rsidRPr="00B36825" w:rsidRDefault="00B36825" w:rsidP="00B36825">
      <w:pPr>
        <w:pStyle w:val="EBBullet"/>
        <w:numPr>
          <w:ilvl w:val="0"/>
          <w:numId w:val="0"/>
        </w:numPr>
        <w:spacing w:line="360" w:lineRule="auto"/>
        <w:rPr>
          <w:b/>
          <w:sz w:val="32"/>
          <w:szCs w:val="32"/>
        </w:rPr>
      </w:pPr>
      <w:r>
        <w:rPr>
          <w:b/>
          <w:sz w:val="32"/>
          <w:szCs w:val="32"/>
        </w:rPr>
        <w:br w:type="page"/>
      </w:r>
      <w:r w:rsidR="008169BC">
        <w:rPr>
          <w:b/>
          <w:sz w:val="32"/>
          <w:szCs w:val="32"/>
          <w:u w:val="single"/>
        </w:rPr>
        <w:lastRenderedPageBreak/>
        <w:t>Contents</w:t>
      </w:r>
    </w:p>
    <w:p w:rsidR="00B36825" w:rsidRPr="00B36825"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sz w:val="28"/>
          <w:szCs w:val="28"/>
        </w:rPr>
      </w:pPr>
      <w:r w:rsidRPr="00145DE2">
        <w:rPr>
          <w:b/>
          <w:sz w:val="28"/>
          <w:szCs w:val="28"/>
        </w:rPr>
        <w:t>Introduction</w:t>
      </w:r>
      <w:r w:rsidRPr="00145DE2">
        <w:rPr>
          <w:sz w:val="28"/>
          <w:szCs w:val="28"/>
        </w:rPr>
        <w:tab/>
      </w:r>
      <w:r w:rsidRPr="00145DE2">
        <w:rPr>
          <w:sz w:val="28"/>
          <w:szCs w:val="28"/>
        </w:rPr>
        <w:tab/>
      </w:r>
      <w:r w:rsidRPr="00145DE2">
        <w:rPr>
          <w:sz w:val="28"/>
          <w:szCs w:val="28"/>
        </w:rPr>
        <w:tab/>
      </w:r>
      <w:r w:rsidRPr="00145DE2">
        <w:rPr>
          <w:sz w:val="28"/>
          <w:szCs w:val="28"/>
        </w:rPr>
        <w:tab/>
      </w:r>
      <w:r w:rsidRPr="00145DE2">
        <w:rPr>
          <w:sz w:val="28"/>
          <w:szCs w:val="28"/>
        </w:rPr>
        <w:tab/>
      </w:r>
      <w:r w:rsidRPr="00145DE2">
        <w:rPr>
          <w:sz w:val="28"/>
          <w:szCs w:val="28"/>
        </w:rPr>
        <w:tab/>
      </w:r>
      <w:r w:rsidRPr="00145DE2">
        <w:rPr>
          <w:sz w:val="28"/>
          <w:szCs w:val="28"/>
        </w:rPr>
        <w:tab/>
      </w:r>
      <w:r w:rsidR="0018799C" w:rsidRPr="00145DE2">
        <w:rPr>
          <w:sz w:val="28"/>
          <w:szCs w:val="28"/>
        </w:rPr>
        <w:tab/>
      </w:r>
      <w:r w:rsidRPr="00145DE2">
        <w:rPr>
          <w:sz w:val="28"/>
          <w:szCs w:val="28"/>
        </w:rPr>
        <w:tab/>
        <w:t>page 3</w:t>
      </w:r>
    </w:p>
    <w:p w:rsidR="00B36825" w:rsidRPr="00145DE2"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sz w:val="28"/>
          <w:szCs w:val="28"/>
        </w:rPr>
      </w:pPr>
      <w:r w:rsidRPr="00145DE2">
        <w:rPr>
          <w:b/>
          <w:sz w:val="28"/>
          <w:szCs w:val="28"/>
        </w:rPr>
        <w:t>The consultation</w:t>
      </w:r>
      <w:r w:rsidRPr="00145DE2">
        <w:rPr>
          <w:sz w:val="28"/>
          <w:szCs w:val="28"/>
        </w:rPr>
        <w:tab/>
      </w:r>
      <w:r w:rsidRPr="00145DE2">
        <w:rPr>
          <w:sz w:val="28"/>
          <w:szCs w:val="28"/>
        </w:rPr>
        <w:tab/>
      </w:r>
      <w:r w:rsidRPr="00145DE2">
        <w:rPr>
          <w:sz w:val="28"/>
          <w:szCs w:val="28"/>
        </w:rPr>
        <w:tab/>
      </w:r>
      <w:r w:rsidRPr="00145DE2">
        <w:rPr>
          <w:sz w:val="28"/>
          <w:szCs w:val="28"/>
        </w:rPr>
        <w:tab/>
      </w:r>
      <w:r w:rsidRPr="00145DE2">
        <w:rPr>
          <w:sz w:val="28"/>
          <w:szCs w:val="28"/>
        </w:rPr>
        <w:tab/>
      </w:r>
      <w:r w:rsidRPr="00145DE2">
        <w:rPr>
          <w:sz w:val="28"/>
          <w:szCs w:val="28"/>
        </w:rPr>
        <w:tab/>
      </w:r>
      <w:r w:rsidR="0018799C" w:rsidRPr="00145DE2">
        <w:rPr>
          <w:sz w:val="28"/>
          <w:szCs w:val="28"/>
        </w:rPr>
        <w:tab/>
      </w:r>
      <w:r w:rsidRPr="00145DE2">
        <w:rPr>
          <w:sz w:val="28"/>
          <w:szCs w:val="28"/>
        </w:rPr>
        <w:tab/>
        <w:t>page 5</w:t>
      </w:r>
    </w:p>
    <w:p w:rsidR="00B36825" w:rsidRPr="00145DE2" w:rsidRDefault="00B36825" w:rsidP="00B36825">
      <w:pPr>
        <w:pStyle w:val="EBBullet"/>
        <w:numPr>
          <w:ilvl w:val="0"/>
          <w:numId w:val="15"/>
        </w:numPr>
        <w:spacing w:after="0" w:line="340" w:lineRule="exact"/>
        <w:rPr>
          <w:sz w:val="28"/>
          <w:szCs w:val="28"/>
        </w:rPr>
      </w:pPr>
      <w:r w:rsidRPr="00145DE2">
        <w:rPr>
          <w:sz w:val="28"/>
          <w:szCs w:val="28"/>
        </w:rPr>
        <w:t>‘do nothing’ option</w:t>
      </w:r>
    </w:p>
    <w:p w:rsidR="00B36825" w:rsidRPr="00145DE2" w:rsidRDefault="00B36825" w:rsidP="00B36825">
      <w:pPr>
        <w:pStyle w:val="EBBullet"/>
        <w:numPr>
          <w:ilvl w:val="0"/>
          <w:numId w:val="15"/>
        </w:numPr>
        <w:spacing w:after="0" w:line="340" w:lineRule="exact"/>
        <w:rPr>
          <w:sz w:val="28"/>
          <w:szCs w:val="28"/>
        </w:rPr>
      </w:pPr>
      <w:r w:rsidRPr="00145DE2">
        <w:rPr>
          <w:sz w:val="28"/>
          <w:szCs w:val="28"/>
        </w:rPr>
        <w:t>preferred option</w:t>
      </w:r>
    </w:p>
    <w:p w:rsidR="00B36825" w:rsidRPr="00145DE2" w:rsidRDefault="00B36825" w:rsidP="00B36825">
      <w:pPr>
        <w:pStyle w:val="EBBullet"/>
        <w:numPr>
          <w:ilvl w:val="0"/>
          <w:numId w:val="15"/>
        </w:numPr>
        <w:spacing w:after="0" w:line="340" w:lineRule="exact"/>
        <w:rPr>
          <w:sz w:val="28"/>
          <w:szCs w:val="28"/>
        </w:rPr>
      </w:pPr>
      <w:r w:rsidRPr="00145DE2">
        <w:rPr>
          <w:sz w:val="28"/>
          <w:szCs w:val="28"/>
        </w:rPr>
        <w:t>impact assessment</w:t>
      </w:r>
    </w:p>
    <w:p w:rsidR="00B36825" w:rsidRPr="00145DE2"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sz w:val="28"/>
          <w:szCs w:val="28"/>
        </w:rPr>
      </w:pPr>
      <w:r w:rsidRPr="00145DE2">
        <w:rPr>
          <w:b/>
          <w:sz w:val="28"/>
          <w:szCs w:val="28"/>
        </w:rPr>
        <w:t>Consultation questions</w:t>
      </w:r>
      <w:r w:rsidRPr="00145DE2">
        <w:rPr>
          <w:b/>
          <w:sz w:val="28"/>
          <w:szCs w:val="28"/>
        </w:rPr>
        <w:tab/>
      </w:r>
      <w:r w:rsidRPr="00145DE2">
        <w:rPr>
          <w:sz w:val="28"/>
          <w:szCs w:val="28"/>
        </w:rPr>
        <w:tab/>
      </w:r>
      <w:r w:rsidRPr="00145DE2">
        <w:rPr>
          <w:sz w:val="28"/>
          <w:szCs w:val="28"/>
        </w:rPr>
        <w:tab/>
      </w:r>
      <w:r w:rsidRPr="00145DE2">
        <w:rPr>
          <w:sz w:val="28"/>
          <w:szCs w:val="28"/>
        </w:rPr>
        <w:tab/>
      </w:r>
      <w:r w:rsidR="0018799C" w:rsidRPr="00145DE2">
        <w:rPr>
          <w:sz w:val="28"/>
          <w:szCs w:val="28"/>
        </w:rPr>
        <w:tab/>
      </w:r>
      <w:r w:rsidRPr="00145DE2">
        <w:rPr>
          <w:sz w:val="28"/>
          <w:szCs w:val="28"/>
        </w:rPr>
        <w:tab/>
      </w:r>
      <w:r w:rsidRPr="00145DE2">
        <w:rPr>
          <w:sz w:val="28"/>
          <w:szCs w:val="28"/>
        </w:rPr>
        <w:tab/>
        <w:t>page 10</w:t>
      </w:r>
    </w:p>
    <w:p w:rsidR="00B36825" w:rsidRPr="00145DE2" w:rsidRDefault="00B36825" w:rsidP="00B36825">
      <w:pPr>
        <w:pStyle w:val="EBBullet"/>
        <w:numPr>
          <w:ilvl w:val="0"/>
          <w:numId w:val="16"/>
        </w:numPr>
        <w:spacing w:after="0" w:line="340" w:lineRule="exact"/>
        <w:rPr>
          <w:sz w:val="28"/>
          <w:szCs w:val="28"/>
        </w:rPr>
      </w:pPr>
      <w:r w:rsidRPr="00145DE2">
        <w:rPr>
          <w:sz w:val="28"/>
          <w:szCs w:val="28"/>
        </w:rPr>
        <w:t>how to respond</w:t>
      </w:r>
    </w:p>
    <w:p w:rsidR="00B36825" w:rsidRPr="00145DE2" w:rsidRDefault="00B36825" w:rsidP="00B36825">
      <w:pPr>
        <w:pStyle w:val="EBBullet"/>
        <w:numPr>
          <w:ilvl w:val="0"/>
          <w:numId w:val="16"/>
        </w:numPr>
        <w:spacing w:after="0" w:line="340" w:lineRule="exact"/>
        <w:rPr>
          <w:sz w:val="28"/>
          <w:szCs w:val="28"/>
        </w:rPr>
      </w:pPr>
      <w:r w:rsidRPr="00145DE2">
        <w:rPr>
          <w:sz w:val="28"/>
          <w:szCs w:val="28"/>
        </w:rPr>
        <w:t>what happens next</w:t>
      </w:r>
    </w:p>
    <w:p w:rsidR="00B36825" w:rsidRPr="00145DE2"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b/>
          <w:sz w:val="28"/>
          <w:szCs w:val="28"/>
        </w:rPr>
      </w:pPr>
    </w:p>
    <w:p w:rsidR="00B36825" w:rsidRPr="00145DE2" w:rsidRDefault="00B36825" w:rsidP="00B36825">
      <w:pPr>
        <w:pStyle w:val="EBBullet"/>
        <w:numPr>
          <w:ilvl w:val="0"/>
          <w:numId w:val="0"/>
        </w:numPr>
        <w:spacing w:after="0" w:line="340" w:lineRule="exact"/>
        <w:rPr>
          <w:sz w:val="28"/>
          <w:szCs w:val="28"/>
        </w:rPr>
      </w:pPr>
      <w:r w:rsidRPr="00145DE2">
        <w:rPr>
          <w:b/>
          <w:sz w:val="28"/>
          <w:szCs w:val="28"/>
        </w:rPr>
        <w:t>Consultation principles</w:t>
      </w:r>
      <w:r w:rsidRPr="00145DE2">
        <w:rPr>
          <w:sz w:val="28"/>
          <w:szCs w:val="28"/>
        </w:rPr>
        <w:tab/>
      </w:r>
      <w:r w:rsidRPr="00145DE2">
        <w:rPr>
          <w:sz w:val="28"/>
          <w:szCs w:val="28"/>
        </w:rPr>
        <w:tab/>
      </w:r>
      <w:r w:rsidRPr="00145DE2">
        <w:rPr>
          <w:sz w:val="28"/>
          <w:szCs w:val="28"/>
        </w:rPr>
        <w:tab/>
      </w:r>
      <w:r w:rsidRPr="00145DE2">
        <w:rPr>
          <w:sz w:val="28"/>
          <w:szCs w:val="28"/>
        </w:rPr>
        <w:tab/>
      </w:r>
      <w:r w:rsidRPr="00145DE2">
        <w:rPr>
          <w:sz w:val="28"/>
          <w:szCs w:val="28"/>
        </w:rPr>
        <w:tab/>
      </w:r>
      <w:r w:rsidR="0018799C" w:rsidRPr="00145DE2">
        <w:rPr>
          <w:sz w:val="28"/>
          <w:szCs w:val="28"/>
        </w:rPr>
        <w:tab/>
      </w:r>
      <w:r w:rsidRPr="00145DE2">
        <w:rPr>
          <w:sz w:val="28"/>
          <w:szCs w:val="28"/>
        </w:rPr>
        <w:tab/>
        <w:t>page 12</w:t>
      </w:r>
    </w:p>
    <w:p w:rsidR="00B36825" w:rsidRPr="00145DE2" w:rsidRDefault="00B36825" w:rsidP="00B36825">
      <w:pPr>
        <w:pStyle w:val="EBBullet"/>
        <w:numPr>
          <w:ilvl w:val="0"/>
          <w:numId w:val="0"/>
        </w:numPr>
        <w:spacing w:after="0" w:line="340" w:lineRule="exact"/>
        <w:rPr>
          <w:sz w:val="28"/>
          <w:szCs w:val="28"/>
        </w:rPr>
      </w:pPr>
    </w:p>
    <w:p w:rsidR="00B36825" w:rsidRPr="00145DE2" w:rsidRDefault="00B36825" w:rsidP="00B36825">
      <w:pPr>
        <w:pStyle w:val="EBBullet"/>
        <w:numPr>
          <w:ilvl w:val="0"/>
          <w:numId w:val="0"/>
        </w:numPr>
        <w:spacing w:after="0" w:line="340" w:lineRule="exact"/>
        <w:rPr>
          <w:sz w:val="28"/>
          <w:szCs w:val="28"/>
        </w:rPr>
      </w:pPr>
    </w:p>
    <w:p w:rsidR="00B36825" w:rsidRDefault="00B36825">
      <w:pPr>
        <w:rPr>
          <w:rFonts w:ascii="Arial" w:eastAsia="Times New Roman" w:hAnsi="Arial" w:cs="Arial"/>
          <w:b/>
          <w:bCs/>
          <w:color w:val="000000"/>
          <w:sz w:val="28"/>
          <w:szCs w:val="28"/>
          <w:lang w:eastAsia="en-GB"/>
        </w:rPr>
      </w:pPr>
    </w:p>
    <w:p w:rsidR="00BC5F0D" w:rsidRPr="00145DE2" w:rsidRDefault="00BC5F0D">
      <w:pPr>
        <w:rPr>
          <w:rFonts w:ascii="Arial" w:eastAsia="Times New Roman" w:hAnsi="Arial" w:cs="Arial"/>
          <w:b/>
          <w:bCs/>
          <w:color w:val="000000"/>
          <w:sz w:val="28"/>
          <w:szCs w:val="28"/>
          <w:lang w:eastAsia="en-GB"/>
        </w:rPr>
      </w:pPr>
    </w:p>
    <w:p w:rsidR="00B36825" w:rsidRDefault="00B36825">
      <w:pPr>
        <w:rPr>
          <w:rFonts w:ascii="Arial" w:eastAsia="Times New Roman" w:hAnsi="Arial" w:cs="Arial"/>
          <w:b/>
          <w:bCs/>
          <w:color w:val="000000"/>
          <w:sz w:val="32"/>
          <w:szCs w:val="32"/>
          <w:lang w:eastAsia="en-GB"/>
        </w:rPr>
      </w:pPr>
      <w:r>
        <w:rPr>
          <w:b/>
          <w:sz w:val="32"/>
          <w:szCs w:val="32"/>
        </w:rPr>
        <w:br w:type="page"/>
      </w:r>
    </w:p>
    <w:p w:rsidR="008D2C0F" w:rsidRPr="00B36825" w:rsidRDefault="008D2C0F" w:rsidP="008D2C0F">
      <w:pPr>
        <w:pStyle w:val="EBBullet"/>
        <w:numPr>
          <w:ilvl w:val="0"/>
          <w:numId w:val="0"/>
        </w:numPr>
        <w:spacing w:line="360" w:lineRule="auto"/>
        <w:rPr>
          <w:b/>
          <w:sz w:val="32"/>
          <w:szCs w:val="32"/>
          <w:u w:val="single"/>
        </w:rPr>
      </w:pPr>
      <w:r w:rsidRPr="00B36825">
        <w:rPr>
          <w:b/>
          <w:sz w:val="32"/>
          <w:szCs w:val="32"/>
          <w:u w:val="single"/>
        </w:rPr>
        <w:lastRenderedPageBreak/>
        <w:t>Introduction</w:t>
      </w:r>
    </w:p>
    <w:p w:rsidR="004E2A64" w:rsidRPr="00D73E0B" w:rsidRDefault="008D2C0F" w:rsidP="002312E7">
      <w:pPr>
        <w:pStyle w:val="EBBullet"/>
        <w:numPr>
          <w:ilvl w:val="0"/>
          <w:numId w:val="0"/>
        </w:numPr>
        <w:spacing w:after="0" w:line="340" w:lineRule="exact"/>
        <w:rPr>
          <w:sz w:val="24"/>
          <w:szCs w:val="24"/>
        </w:rPr>
      </w:pPr>
      <w:r w:rsidRPr="00D73E0B">
        <w:rPr>
          <w:sz w:val="24"/>
          <w:szCs w:val="24"/>
        </w:rPr>
        <w:t xml:space="preserve">The Maritime </w:t>
      </w:r>
      <w:r w:rsidR="009B09EB" w:rsidRPr="00D73E0B">
        <w:rPr>
          <w:sz w:val="24"/>
          <w:szCs w:val="24"/>
        </w:rPr>
        <w:t>and</w:t>
      </w:r>
      <w:r w:rsidRPr="00D73E0B">
        <w:rPr>
          <w:sz w:val="24"/>
          <w:szCs w:val="24"/>
        </w:rPr>
        <w:t xml:space="preserve"> Coastguard Agency (MCA) </w:t>
      </w:r>
      <w:r w:rsidR="00190607" w:rsidRPr="00D73E0B">
        <w:rPr>
          <w:sz w:val="24"/>
          <w:szCs w:val="24"/>
        </w:rPr>
        <w:t>is</w:t>
      </w:r>
      <w:r w:rsidRPr="00D73E0B">
        <w:rPr>
          <w:sz w:val="24"/>
          <w:szCs w:val="24"/>
        </w:rPr>
        <w:t xml:space="preserve"> required to </w:t>
      </w:r>
      <w:r w:rsidR="00C03DE6" w:rsidRPr="00D73E0B">
        <w:rPr>
          <w:sz w:val="24"/>
          <w:szCs w:val="24"/>
        </w:rPr>
        <w:t>comply with the guidance set out in</w:t>
      </w:r>
      <w:r w:rsidRPr="00D73E0B">
        <w:rPr>
          <w:sz w:val="24"/>
          <w:szCs w:val="24"/>
        </w:rPr>
        <w:t xml:space="preserve"> HM Treasury</w:t>
      </w:r>
      <w:r w:rsidR="00C03DE6" w:rsidRPr="00D73E0B">
        <w:rPr>
          <w:sz w:val="24"/>
          <w:szCs w:val="24"/>
        </w:rPr>
        <w:t xml:space="preserve">’s publication </w:t>
      </w:r>
      <w:r w:rsidR="00C03DE6" w:rsidRPr="00D73E0B">
        <w:rPr>
          <w:i/>
          <w:sz w:val="24"/>
          <w:szCs w:val="24"/>
        </w:rPr>
        <w:t xml:space="preserve">Managing Public </w:t>
      </w:r>
      <w:r w:rsidR="0015045B" w:rsidRPr="00D73E0B">
        <w:rPr>
          <w:i/>
          <w:sz w:val="24"/>
          <w:szCs w:val="24"/>
        </w:rPr>
        <w:t xml:space="preserve">Money </w:t>
      </w:r>
      <w:r w:rsidR="0015045B" w:rsidRPr="00D73E0B">
        <w:rPr>
          <w:sz w:val="24"/>
          <w:szCs w:val="24"/>
        </w:rPr>
        <w:t>when recovering</w:t>
      </w:r>
      <w:r w:rsidRPr="00D73E0B">
        <w:rPr>
          <w:sz w:val="24"/>
          <w:szCs w:val="24"/>
        </w:rPr>
        <w:t xml:space="preserve"> the </w:t>
      </w:r>
      <w:r w:rsidR="00C03DE6" w:rsidRPr="00D73E0B">
        <w:rPr>
          <w:sz w:val="24"/>
          <w:szCs w:val="24"/>
        </w:rPr>
        <w:t xml:space="preserve">full </w:t>
      </w:r>
      <w:r w:rsidR="0015045B" w:rsidRPr="00D73E0B">
        <w:rPr>
          <w:sz w:val="24"/>
          <w:szCs w:val="24"/>
        </w:rPr>
        <w:t>cost of</w:t>
      </w:r>
      <w:r w:rsidR="00190607" w:rsidRPr="00D73E0B">
        <w:rPr>
          <w:sz w:val="24"/>
          <w:szCs w:val="24"/>
        </w:rPr>
        <w:t xml:space="preserve"> </w:t>
      </w:r>
      <w:r w:rsidR="00C03DE6" w:rsidRPr="00D73E0B">
        <w:rPr>
          <w:sz w:val="24"/>
          <w:szCs w:val="24"/>
        </w:rPr>
        <w:t>the fee-</w:t>
      </w:r>
      <w:r w:rsidR="0015045B" w:rsidRPr="00D73E0B">
        <w:rPr>
          <w:sz w:val="24"/>
          <w:szCs w:val="24"/>
        </w:rPr>
        <w:t>funded services</w:t>
      </w:r>
      <w:r w:rsidRPr="00D73E0B">
        <w:rPr>
          <w:sz w:val="24"/>
          <w:szCs w:val="24"/>
        </w:rPr>
        <w:t xml:space="preserve"> </w:t>
      </w:r>
      <w:r w:rsidR="00190607" w:rsidRPr="00D73E0B">
        <w:rPr>
          <w:sz w:val="24"/>
          <w:szCs w:val="24"/>
        </w:rPr>
        <w:t>it</w:t>
      </w:r>
      <w:r w:rsidRPr="00D73E0B">
        <w:rPr>
          <w:sz w:val="24"/>
          <w:szCs w:val="24"/>
        </w:rPr>
        <w:t xml:space="preserve"> provide</w:t>
      </w:r>
      <w:r w:rsidR="00190607" w:rsidRPr="00D73E0B">
        <w:rPr>
          <w:sz w:val="24"/>
          <w:szCs w:val="24"/>
        </w:rPr>
        <w:t>s</w:t>
      </w:r>
      <w:r w:rsidR="005527C7" w:rsidRPr="00D73E0B">
        <w:rPr>
          <w:sz w:val="24"/>
          <w:szCs w:val="24"/>
        </w:rPr>
        <w:t xml:space="preserve"> in its role as a regulator which covers direct and indirect costs associated with delivering services to the public</w:t>
      </w:r>
      <w:r w:rsidRPr="00D73E0B">
        <w:rPr>
          <w:sz w:val="24"/>
          <w:szCs w:val="24"/>
        </w:rPr>
        <w:t>. Th</w:t>
      </w:r>
      <w:r w:rsidR="00C03DE6" w:rsidRPr="00D73E0B">
        <w:rPr>
          <w:sz w:val="24"/>
          <w:szCs w:val="24"/>
        </w:rPr>
        <w:t xml:space="preserve">e full cost recovery </w:t>
      </w:r>
      <w:r w:rsidR="0015045B" w:rsidRPr="00D73E0B">
        <w:rPr>
          <w:sz w:val="24"/>
          <w:szCs w:val="24"/>
        </w:rPr>
        <w:t>norm to</w:t>
      </w:r>
      <w:r w:rsidR="00C03DE6" w:rsidRPr="00D73E0B">
        <w:rPr>
          <w:sz w:val="24"/>
          <w:szCs w:val="24"/>
        </w:rPr>
        <w:t xml:space="preserve"> fees</w:t>
      </w:r>
      <w:r w:rsidRPr="00D73E0B">
        <w:rPr>
          <w:sz w:val="24"/>
          <w:szCs w:val="24"/>
        </w:rPr>
        <w:t xml:space="preserve"> </w:t>
      </w:r>
      <w:r w:rsidR="001F53E0" w:rsidRPr="00D73E0B">
        <w:rPr>
          <w:sz w:val="24"/>
          <w:szCs w:val="24"/>
        </w:rPr>
        <w:t>ensures</w:t>
      </w:r>
      <w:r w:rsidRPr="00D73E0B">
        <w:rPr>
          <w:sz w:val="24"/>
          <w:szCs w:val="24"/>
        </w:rPr>
        <w:t xml:space="preserve"> </w:t>
      </w:r>
      <w:r w:rsidR="001F53E0" w:rsidRPr="00D73E0B">
        <w:rPr>
          <w:sz w:val="24"/>
          <w:szCs w:val="24"/>
        </w:rPr>
        <w:t>G</w:t>
      </w:r>
      <w:r w:rsidRPr="00D73E0B">
        <w:rPr>
          <w:sz w:val="24"/>
          <w:szCs w:val="24"/>
        </w:rPr>
        <w:t xml:space="preserve">overnment neither profits at the expense of consumers nor makes a loss for taxpayers to subsidise. </w:t>
      </w:r>
    </w:p>
    <w:p w:rsidR="00E565D1" w:rsidRPr="00D73E0B" w:rsidRDefault="00E565D1" w:rsidP="002312E7">
      <w:pPr>
        <w:pStyle w:val="EBBullet"/>
        <w:numPr>
          <w:ilvl w:val="0"/>
          <w:numId w:val="0"/>
        </w:numPr>
        <w:spacing w:after="0" w:line="340" w:lineRule="exact"/>
        <w:rPr>
          <w:sz w:val="24"/>
          <w:szCs w:val="24"/>
        </w:rPr>
      </w:pPr>
    </w:p>
    <w:p w:rsidR="008D2C0F" w:rsidRPr="00D73E0B" w:rsidRDefault="008D2C0F" w:rsidP="002312E7">
      <w:pPr>
        <w:pStyle w:val="EBBullet"/>
        <w:numPr>
          <w:ilvl w:val="0"/>
          <w:numId w:val="0"/>
        </w:numPr>
        <w:spacing w:after="0" w:line="340" w:lineRule="exact"/>
        <w:rPr>
          <w:sz w:val="24"/>
          <w:szCs w:val="24"/>
        </w:rPr>
      </w:pPr>
      <w:r w:rsidRPr="00D73E0B">
        <w:rPr>
          <w:sz w:val="24"/>
          <w:szCs w:val="24"/>
        </w:rPr>
        <w:t xml:space="preserve">Since September 2006, the MCA has not changed its fee level and has consequently absorbed increases in </w:t>
      </w:r>
      <w:r w:rsidRPr="00D73E0B">
        <w:rPr>
          <w:b/>
          <w:sz w:val="24"/>
          <w:szCs w:val="24"/>
        </w:rPr>
        <w:t>ship registration</w:t>
      </w:r>
      <w:r w:rsidR="008971D9" w:rsidRPr="00D73E0B">
        <w:rPr>
          <w:b/>
          <w:sz w:val="24"/>
          <w:szCs w:val="24"/>
        </w:rPr>
        <w:t>s</w:t>
      </w:r>
      <w:r w:rsidRPr="00D73E0B">
        <w:rPr>
          <w:sz w:val="24"/>
          <w:szCs w:val="24"/>
        </w:rPr>
        <w:t>,</w:t>
      </w:r>
      <w:r w:rsidR="008971D9" w:rsidRPr="00D73E0B">
        <w:rPr>
          <w:sz w:val="24"/>
          <w:szCs w:val="24"/>
        </w:rPr>
        <w:t xml:space="preserve"> </w:t>
      </w:r>
      <w:r w:rsidR="008971D9" w:rsidRPr="00D73E0B">
        <w:rPr>
          <w:b/>
          <w:sz w:val="24"/>
          <w:szCs w:val="24"/>
        </w:rPr>
        <w:t>ship</w:t>
      </w:r>
      <w:r w:rsidRPr="00D73E0B">
        <w:rPr>
          <w:b/>
          <w:sz w:val="24"/>
          <w:szCs w:val="24"/>
        </w:rPr>
        <w:t xml:space="preserve"> survey</w:t>
      </w:r>
      <w:r w:rsidR="008971D9" w:rsidRPr="00D73E0B">
        <w:rPr>
          <w:b/>
          <w:sz w:val="24"/>
          <w:szCs w:val="24"/>
        </w:rPr>
        <w:t>s</w:t>
      </w:r>
      <w:r w:rsidRPr="00D73E0B">
        <w:rPr>
          <w:sz w:val="24"/>
          <w:szCs w:val="24"/>
        </w:rPr>
        <w:t xml:space="preserve"> and </w:t>
      </w:r>
      <w:r w:rsidRPr="00D73E0B">
        <w:rPr>
          <w:b/>
          <w:sz w:val="24"/>
          <w:szCs w:val="24"/>
        </w:rPr>
        <w:t>merchant navy training</w:t>
      </w:r>
      <w:r w:rsidRPr="00D73E0B">
        <w:rPr>
          <w:sz w:val="24"/>
          <w:szCs w:val="24"/>
        </w:rPr>
        <w:t xml:space="preserve"> costs. As a result</w:t>
      </w:r>
      <w:r w:rsidR="00E565D1" w:rsidRPr="00D73E0B">
        <w:rPr>
          <w:sz w:val="24"/>
          <w:szCs w:val="24"/>
        </w:rPr>
        <w:t>,</w:t>
      </w:r>
      <w:r w:rsidR="00992BF4" w:rsidRPr="00D73E0B">
        <w:rPr>
          <w:sz w:val="24"/>
          <w:szCs w:val="24"/>
        </w:rPr>
        <w:t xml:space="preserve"> the </w:t>
      </w:r>
      <w:r w:rsidRPr="00D73E0B">
        <w:rPr>
          <w:sz w:val="24"/>
          <w:szCs w:val="24"/>
        </w:rPr>
        <w:t xml:space="preserve">industry has </w:t>
      </w:r>
      <w:r w:rsidR="00C03DE6" w:rsidRPr="00D73E0B">
        <w:rPr>
          <w:sz w:val="24"/>
          <w:szCs w:val="24"/>
        </w:rPr>
        <w:t xml:space="preserve">paid below-cost fees so </w:t>
      </w:r>
      <w:r w:rsidR="0015045B" w:rsidRPr="00D73E0B">
        <w:rPr>
          <w:sz w:val="24"/>
          <w:szCs w:val="24"/>
        </w:rPr>
        <w:t>the services which the</w:t>
      </w:r>
      <w:r w:rsidR="00C03DE6" w:rsidRPr="00D73E0B">
        <w:rPr>
          <w:sz w:val="24"/>
          <w:szCs w:val="24"/>
        </w:rPr>
        <w:t xml:space="preserve"> industry has received have been publicly subsidised</w:t>
      </w:r>
      <w:r w:rsidRPr="00D73E0B">
        <w:rPr>
          <w:sz w:val="24"/>
          <w:szCs w:val="24"/>
        </w:rPr>
        <w:t xml:space="preserve">. There has been a shortfall between income and costs for the services provided in each year since 2010-11 (and likely since 2006). The shortfall for 2010-11 (the base year) is estimated at £3.7m (in 2010 prices). MCA efficiency improvements have helped maintain standards </w:t>
      </w:r>
      <w:r w:rsidR="00C03DE6" w:rsidRPr="00D73E0B">
        <w:rPr>
          <w:sz w:val="24"/>
          <w:szCs w:val="24"/>
        </w:rPr>
        <w:t xml:space="preserve">while keeping costs </w:t>
      </w:r>
      <w:r w:rsidR="0015045B" w:rsidRPr="00D73E0B">
        <w:rPr>
          <w:sz w:val="24"/>
          <w:szCs w:val="24"/>
        </w:rPr>
        <w:t xml:space="preserve">down. </w:t>
      </w:r>
    </w:p>
    <w:p w:rsidR="00E565D1" w:rsidRPr="00D73E0B" w:rsidRDefault="00E565D1" w:rsidP="002312E7">
      <w:pPr>
        <w:pStyle w:val="EBBullet"/>
        <w:numPr>
          <w:ilvl w:val="0"/>
          <w:numId w:val="0"/>
        </w:numPr>
        <w:spacing w:after="0" w:line="340" w:lineRule="exact"/>
        <w:rPr>
          <w:sz w:val="24"/>
          <w:szCs w:val="24"/>
        </w:rPr>
      </w:pPr>
    </w:p>
    <w:p w:rsidR="004E2A64" w:rsidRPr="00D73E0B" w:rsidRDefault="00394E13" w:rsidP="002312E7">
      <w:pPr>
        <w:pStyle w:val="PlainText"/>
        <w:spacing w:line="340" w:lineRule="exact"/>
        <w:rPr>
          <w:rFonts w:ascii="Arial" w:hAnsi="Arial" w:cs="Arial"/>
          <w:sz w:val="24"/>
          <w:szCs w:val="24"/>
        </w:rPr>
      </w:pPr>
      <w:r w:rsidRPr="00D73E0B">
        <w:rPr>
          <w:rFonts w:ascii="Arial" w:hAnsi="Arial" w:cs="Arial"/>
          <w:sz w:val="24"/>
          <w:szCs w:val="24"/>
        </w:rPr>
        <w:t>The recently published Maritime Growth Study identified full cost recovery as critical to improving the service provided by the MCA. Lord Mountevans recommended tha</w:t>
      </w:r>
      <w:r w:rsidR="00E565D1" w:rsidRPr="00D73E0B">
        <w:rPr>
          <w:rFonts w:ascii="Arial" w:hAnsi="Arial" w:cs="Arial"/>
          <w:sz w:val="24"/>
          <w:szCs w:val="24"/>
        </w:rPr>
        <w:t>t government take:</w:t>
      </w:r>
    </w:p>
    <w:p w:rsidR="00E565D1" w:rsidRPr="00D73E0B" w:rsidRDefault="00E565D1" w:rsidP="002312E7">
      <w:pPr>
        <w:pStyle w:val="PlainText"/>
        <w:spacing w:line="340" w:lineRule="exact"/>
        <w:rPr>
          <w:rFonts w:ascii="Arial" w:hAnsi="Arial" w:cs="Arial"/>
          <w:sz w:val="24"/>
          <w:szCs w:val="24"/>
        </w:rPr>
      </w:pPr>
    </w:p>
    <w:p w:rsidR="00394E13" w:rsidRPr="00D73E0B" w:rsidRDefault="00394E13" w:rsidP="002312E7">
      <w:pPr>
        <w:pStyle w:val="PlainText"/>
        <w:spacing w:line="340" w:lineRule="exact"/>
        <w:ind w:left="720"/>
        <w:rPr>
          <w:rFonts w:ascii="Arial" w:hAnsi="Arial" w:cs="Arial"/>
          <w:sz w:val="24"/>
          <w:szCs w:val="24"/>
        </w:rPr>
      </w:pPr>
      <w:r w:rsidRPr="00D73E0B">
        <w:rPr>
          <w:rFonts w:ascii="Arial" w:hAnsi="Arial" w:cs="Arial"/>
          <w:sz w:val="24"/>
          <w:szCs w:val="24"/>
        </w:rPr>
        <w:t>“timely action to fully recover the cost of the services being provided and facilitate continuous improvement in service delivery, while remaining competitive with other international shipping registries.”</w:t>
      </w:r>
    </w:p>
    <w:p w:rsidR="00E565D1" w:rsidRPr="00D73E0B" w:rsidRDefault="00E565D1" w:rsidP="002312E7">
      <w:pPr>
        <w:pStyle w:val="PlainText"/>
        <w:spacing w:line="340" w:lineRule="exact"/>
        <w:ind w:left="720"/>
        <w:rPr>
          <w:rFonts w:ascii="Arial" w:hAnsi="Arial" w:cs="Arial"/>
          <w:sz w:val="24"/>
          <w:szCs w:val="24"/>
        </w:rPr>
      </w:pPr>
    </w:p>
    <w:p w:rsidR="0074483D" w:rsidRPr="00D73E0B" w:rsidRDefault="00394E13" w:rsidP="002312E7">
      <w:pPr>
        <w:spacing w:after="0" w:line="340" w:lineRule="exact"/>
        <w:rPr>
          <w:rFonts w:ascii="Arial" w:hAnsi="Arial" w:cs="Arial"/>
          <w:sz w:val="24"/>
          <w:szCs w:val="24"/>
        </w:rPr>
      </w:pPr>
      <w:r w:rsidRPr="00D73E0B">
        <w:rPr>
          <w:rFonts w:ascii="Arial" w:hAnsi="Arial" w:cs="Arial"/>
          <w:sz w:val="24"/>
          <w:szCs w:val="24"/>
        </w:rPr>
        <w:t xml:space="preserve">Achieving full cost recovery will allow the MCA </w:t>
      </w:r>
      <w:r w:rsidR="000C3261" w:rsidRPr="00D73E0B">
        <w:rPr>
          <w:rFonts w:ascii="Arial" w:hAnsi="Arial" w:cs="Arial"/>
          <w:sz w:val="24"/>
          <w:szCs w:val="24"/>
        </w:rPr>
        <w:t>to establish</w:t>
      </w:r>
      <w:r w:rsidR="000E376F" w:rsidRPr="00D73E0B">
        <w:rPr>
          <w:rFonts w:ascii="Arial" w:hAnsi="Arial" w:cs="Arial"/>
          <w:sz w:val="24"/>
          <w:szCs w:val="24"/>
        </w:rPr>
        <w:t xml:space="preserve"> a strong foundation for future service improvements</w:t>
      </w:r>
      <w:r w:rsidR="0074483D" w:rsidRPr="00D73E0B">
        <w:rPr>
          <w:rFonts w:ascii="Arial" w:hAnsi="Arial" w:cs="Arial"/>
          <w:sz w:val="24"/>
          <w:szCs w:val="24"/>
        </w:rPr>
        <w:t xml:space="preserve"> and enable the transformational change to services which will improve productivity and responsiveness</w:t>
      </w:r>
      <w:r w:rsidR="00DC7995" w:rsidRPr="00D73E0B">
        <w:rPr>
          <w:rFonts w:ascii="Arial" w:hAnsi="Arial" w:cs="Arial"/>
          <w:sz w:val="24"/>
          <w:szCs w:val="24"/>
        </w:rPr>
        <w:t>.</w:t>
      </w:r>
    </w:p>
    <w:p w:rsidR="00E565D1" w:rsidRPr="00D73E0B" w:rsidRDefault="00E565D1" w:rsidP="002312E7">
      <w:pPr>
        <w:pStyle w:val="EBBullet"/>
        <w:numPr>
          <w:ilvl w:val="0"/>
          <w:numId w:val="0"/>
        </w:numPr>
        <w:spacing w:after="0" w:line="340" w:lineRule="exact"/>
        <w:rPr>
          <w:sz w:val="24"/>
          <w:szCs w:val="24"/>
        </w:rPr>
      </w:pPr>
    </w:p>
    <w:p w:rsidR="00D55CD8" w:rsidRPr="00D73E0B" w:rsidRDefault="00D55CD8" w:rsidP="002312E7">
      <w:pPr>
        <w:pStyle w:val="EBBullet"/>
        <w:numPr>
          <w:ilvl w:val="0"/>
          <w:numId w:val="0"/>
        </w:numPr>
        <w:spacing w:after="0" w:line="340" w:lineRule="exact"/>
        <w:rPr>
          <w:sz w:val="24"/>
          <w:szCs w:val="24"/>
        </w:rPr>
      </w:pPr>
      <w:r w:rsidRPr="00D73E0B">
        <w:rPr>
          <w:sz w:val="24"/>
          <w:szCs w:val="24"/>
        </w:rPr>
        <w:t xml:space="preserve">Public sector organisations normally pass on the full cost of providing a service to each user of the service. The law allows the MCA to set fees to cover the </w:t>
      </w:r>
      <w:r w:rsidR="00C70856" w:rsidRPr="00D73E0B">
        <w:rPr>
          <w:sz w:val="24"/>
          <w:szCs w:val="24"/>
        </w:rPr>
        <w:t xml:space="preserve">full </w:t>
      </w:r>
      <w:r w:rsidRPr="00D73E0B">
        <w:rPr>
          <w:sz w:val="24"/>
          <w:szCs w:val="24"/>
        </w:rPr>
        <w:t xml:space="preserve">cost which we incur in the course of </w:t>
      </w:r>
      <w:r w:rsidR="00864317" w:rsidRPr="00D73E0B">
        <w:rPr>
          <w:sz w:val="24"/>
          <w:szCs w:val="24"/>
        </w:rPr>
        <w:t xml:space="preserve">statutory </w:t>
      </w:r>
      <w:r w:rsidRPr="00D73E0B">
        <w:rPr>
          <w:sz w:val="24"/>
          <w:szCs w:val="24"/>
        </w:rPr>
        <w:t xml:space="preserve">service provision </w:t>
      </w:r>
      <w:r w:rsidR="00864317" w:rsidRPr="00D73E0B">
        <w:rPr>
          <w:sz w:val="24"/>
          <w:szCs w:val="24"/>
        </w:rPr>
        <w:t>provided except in the case of Inspections</w:t>
      </w:r>
      <w:r w:rsidR="009A73A3" w:rsidRPr="00D73E0B">
        <w:rPr>
          <w:sz w:val="24"/>
          <w:szCs w:val="24"/>
        </w:rPr>
        <w:t xml:space="preserve"> where the power under the Merchant Shipping Act 1995 is excluded</w:t>
      </w:r>
      <w:r w:rsidR="00C81DAB" w:rsidRPr="00D73E0B">
        <w:rPr>
          <w:sz w:val="24"/>
          <w:szCs w:val="24"/>
        </w:rPr>
        <w:t xml:space="preserve"> and no mandatory fee is raised</w:t>
      </w:r>
      <w:r w:rsidR="009A73A3" w:rsidRPr="00D73E0B">
        <w:rPr>
          <w:sz w:val="24"/>
          <w:szCs w:val="24"/>
        </w:rPr>
        <w:t>.</w:t>
      </w:r>
    </w:p>
    <w:p w:rsidR="004E2A64" w:rsidRPr="00D73E0B" w:rsidRDefault="004E2A64" w:rsidP="002312E7">
      <w:pPr>
        <w:pStyle w:val="EBBullet"/>
        <w:numPr>
          <w:ilvl w:val="0"/>
          <w:numId w:val="0"/>
        </w:numPr>
        <w:spacing w:after="0" w:line="340" w:lineRule="exact"/>
        <w:rPr>
          <w:sz w:val="24"/>
          <w:szCs w:val="24"/>
        </w:rPr>
      </w:pPr>
    </w:p>
    <w:p w:rsidR="00135A58" w:rsidRPr="00D73E0B" w:rsidRDefault="00135A58" w:rsidP="002312E7">
      <w:pPr>
        <w:pStyle w:val="EBBullet"/>
        <w:numPr>
          <w:ilvl w:val="0"/>
          <w:numId w:val="0"/>
        </w:numPr>
        <w:spacing w:after="0" w:line="340" w:lineRule="exact"/>
        <w:rPr>
          <w:sz w:val="24"/>
          <w:szCs w:val="24"/>
        </w:rPr>
      </w:pPr>
      <w:r w:rsidRPr="00D73E0B">
        <w:rPr>
          <w:sz w:val="24"/>
          <w:szCs w:val="24"/>
        </w:rPr>
        <w:lastRenderedPageBreak/>
        <w:t xml:space="preserve">The MCA </w:t>
      </w:r>
      <w:r w:rsidR="00DA0563" w:rsidRPr="00D73E0B">
        <w:rPr>
          <w:sz w:val="24"/>
          <w:szCs w:val="24"/>
        </w:rPr>
        <w:t xml:space="preserve">recently </w:t>
      </w:r>
      <w:r w:rsidRPr="00D73E0B">
        <w:rPr>
          <w:sz w:val="24"/>
          <w:szCs w:val="24"/>
        </w:rPr>
        <w:t xml:space="preserve">performed a time and cost study to apportion costs </w:t>
      </w:r>
      <w:r w:rsidR="000E397B" w:rsidRPr="00D73E0B">
        <w:rPr>
          <w:sz w:val="24"/>
          <w:szCs w:val="24"/>
        </w:rPr>
        <w:t xml:space="preserve">against each fee generating </w:t>
      </w:r>
      <w:r w:rsidRPr="00D73E0B">
        <w:rPr>
          <w:sz w:val="24"/>
          <w:szCs w:val="24"/>
        </w:rPr>
        <w:t xml:space="preserve">activity </w:t>
      </w:r>
      <w:r w:rsidR="000E397B" w:rsidRPr="00D73E0B">
        <w:rPr>
          <w:sz w:val="24"/>
          <w:szCs w:val="24"/>
        </w:rPr>
        <w:t xml:space="preserve">for </w:t>
      </w:r>
      <w:r w:rsidRPr="00D73E0B">
        <w:rPr>
          <w:sz w:val="24"/>
          <w:szCs w:val="24"/>
        </w:rPr>
        <w:t>the Agency to get an up-to-date picture of the processes involved</w:t>
      </w:r>
      <w:r w:rsidR="00DA0563" w:rsidRPr="00D73E0B">
        <w:rPr>
          <w:sz w:val="24"/>
          <w:szCs w:val="24"/>
        </w:rPr>
        <w:t>,</w:t>
      </w:r>
      <w:r w:rsidRPr="00D73E0B">
        <w:rPr>
          <w:sz w:val="24"/>
          <w:szCs w:val="24"/>
        </w:rPr>
        <w:t xml:space="preserve"> as the fees were last updated in 2006.  This exercise has improved </w:t>
      </w:r>
      <w:r w:rsidR="00DA0563" w:rsidRPr="00D73E0B">
        <w:rPr>
          <w:sz w:val="24"/>
          <w:szCs w:val="24"/>
        </w:rPr>
        <w:t>the</w:t>
      </w:r>
      <w:r w:rsidRPr="00D73E0B">
        <w:rPr>
          <w:sz w:val="24"/>
          <w:szCs w:val="24"/>
        </w:rPr>
        <w:t xml:space="preserve"> direct cost and overhead allocation mechanism which ensures that the</w:t>
      </w:r>
      <w:r w:rsidR="007A12B5" w:rsidRPr="00D73E0B">
        <w:rPr>
          <w:sz w:val="24"/>
          <w:szCs w:val="24"/>
        </w:rPr>
        <w:t xml:space="preserve"> user pays principle is applied</w:t>
      </w:r>
      <w:r w:rsidRPr="00D73E0B">
        <w:rPr>
          <w:sz w:val="24"/>
          <w:szCs w:val="24"/>
        </w:rPr>
        <w:t xml:space="preserve">. </w:t>
      </w:r>
    </w:p>
    <w:p w:rsidR="00A33605" w:rsidRPr="00D73E0B" w:rsidRDefault="00A33605" w:rsidP="002312E7">
      <w:pPr>
        <w:pStyle w:val="EBBullet"/>
        <w:numPr>
          <w:ilvl w:val="0"/>
          <w:numId w:val="0"/>
        </w:numPr>
        <w:spacing w:after="0" w:line="340" w:lineRule="exact"/>
        <w:rPr>
          <w:sz w:val="24"/>
          <w:szCs w:val="24"/>
        </w:rPr>
      </w:pPr>
      <w:r w:rsidRPr="00D73E0B">
        <w:rPr>
          <w:sz w:val="24"/>
          <w:szCs w:val="24"/>
        </w:rPr>
        <w:t>It should be noted that the Premium service fee is unchanged and remains payable in addition to the revised fee for certain services if a customer wishes for their request to be prioritised above the standard delivery timeframe.</w:t>
      </w:r>
    </w:p>
    <w:p w:rsidR="00E565D1" w:rsidRPr="00D73E0B" w:rsidRDefault="00E565D1" w:rsidP="002312E7">
      <w:pPr>
        <w:pStyle w:val="EBBullet"/>
        <w:numPr>
          <w:ilvl w:val="0"/>
          <w:numId w:val="0"/>
        </w:numPr>
        <w:spacing w:after="0" w:line="340" w:lineRule="exact"/>
        <w:rPr>
          <w:sz w:val="24"/>
          <w:szCs w:val="24"/>
        </w:rPr>
      </w:pPr>
    </w:p>
    <w:p w:rsidR="002B6D88" w:rsidRPr="00D73E0B" w:rsidRDefault="00015EA4" w:rsidP="002312E7">
      <w:pPr>
        <w:pStyle w:val="PlainText"/>
        <w:spacing w:line="340" w:lineRule="exact"/>
        <w:rPr>
          <w:rFonts w:ascii="Arial" w:hAnsi="Arial" w:cs="Arial"/>
          <w:b/>
          <w:sz w:val="24"/>
          <w:szCs w:val="24"/>
        </w:rPr>
      </w:pPr>
      <w:r w:rsidRPr="00D73E0B">
        <w:rPr>
          <w:rFonts w:ascii="Arial" w:hAnsi="Arial" w:cs="Arial"/>
          <w:bCs/>
          <w:sz w:val="24"/>
          <w:szCs w:val="24"/>
        </w:rPr>
        <w:t>The Agency intends to review fees on a more frequent basis in future to minimise the impact of fee changes on its industry stakeholders</w:t>
      </w:r>
      <w:r w:rsidR="00DC7995" w:rsidRPr="00D73E0B">
        <w:rPr>
          <w:rFonts w:ascii="Arial" w:hAnsi="Arial" w:cs="Arial"/>
          <w:bCs/>
          <w:sz w:val="24"/>
          <w:szCs w:val="24"/>
        </w:rPr>
        <w:t xml:space="preserve">. The Agency also intends to </w:t>
      </w:r>
      <w:r w:rsidR="0074483D" w:rsidRPr="00D73E0B">
        <w:rPr>
          <w:rFonts w:ascii="Arial" w:hAnsi="Arial" w:cs="Arial"/>
          <w:bCs/>
          <w:sz w:val="24"/>
          <w:szCs w:val="24"/>
        </w:rPr>
        <w:t>update</w:t>
      </w:r>
      <w:r w:rsidR="00DC7995" w:rsidRPr="00D73E0B">
        <w:rPr>
          <w:rFonts w:ascii="Arial" w:hAnsi="Arial" w:cs="Arial"/>
          <w:bCs/>
          <w:sz w:val="24"/>
          <w:szCs w:val="24"/>
        </w:rPr>
        <w:t xml:space="preserve"> its modelling capability to ensure future </w:t>
      </w:r>
      <w:r w:rsidR="0074483D" w:rsidRPr="00D73E0B">
        <w:rPr>
          <w:rFonts w:ascii="Arial" w:hAnsi="Arial" w:cs="Arial"/>
          <w:bCs/>
          <w:sz w:val="24"/>
          <w:szCs w:val="24"/>
        </w:rPr>
        <w:t>costs for statutory work</w:t>
      </w:r>
      <w:r w:rsidR="00DC7995" w:rsidRPr="00D73E0B">
        <w:rPr>
          <w:rFonts w:ascii="Arial" w:hAnsi="Arial" w:cs="Arial"/>
          <w:bCs/>
          <w:sz w:val="24"/>
          <w:szCs w:val="24"/>
        </w:rPr>
        <w:t xml:space="preserve"> are fully recovered</w:t>
      </w:r>
      <w:r w:rsidR="0074483D" w:rsidRPr="00D73E0B">
        <w:rPr>
          <w:rFonts w:ascii="Arial" w:hAnsi="Arial" w:cs="Arial"/>
          <w:bCs/>
          <w:sz w:val="24"/>
          <w:szCs w:val="24"/>
        </w:rPr>
        <w:t>, and</w:t>
      </w:r>
      <w:r w:rsidR="00DC7995" w:rsidRPr="00D73E0B">
        <w:rPr>
          <w:rFonts w:ascii="Arial" w:hAnsi="Arial" w:cs="Arial"/>
          <w:bCs/>
          <w:sz w:val="24"/>
          <w:szCs w:val="24"/>
        </w:rPr>
        <w:t xml:space="preserve"> to enable it to respond more quickly </w:t>
      </w:r>
      <w:r w:rsidR="0074483D" w:rsidRPr="00D73E0B">
        <w:rPr>
          <w:rFonts w:ascii="Arial" w:hAnsi="Arial" w:cs="Arial"/>
          <w:bCs/>
          <w:sz w:val="24"/>
          <w:szCs w:val="24"/>
        </w:rPr>
        <w:t>to changes to the cost base as services to customers improve</w:t>
      </w:r>
      <w:r w:rsidRPr="00D73E0B">
        <w:rPr>
          <w:rFonts w:ascii="Arial" w:hAnsi="Arial" w:cs="Arial"/>
          <w:bCs/>
          <w:sz w:val="24"/>
          <w:szCs w:val="24"/>
        </w:rPr>
        <w:t>.</w:t>
      </w:r>
      <w:r w:rsidR="00563153" w:rsidRPr="00D73E0B">
        <w:rPr>
          <w:rFonts w:ascii="Arial" w:hAnsi="Arial" w:cs="Arial"/>
          <w:sz w:val="24"/>
          <w:szCs w:val="24"/>
        </w:rPr>
        <w:t xml:space="preserve"> </w:t>
      </w:r>
      <w:r w:rsidR="0074483D" w:rsidRPr="00D73E0B">
        <w:rPr>
          <w:rFonts w:ascii="Arial" w:hAnsi="Arial" w:cs="Arial"/>
          <w:sz w:val="24"/>
          <w:szCs w:val="24"/>
        </w:rPr>
        <w:t xml:space="preserve"> </w:t>
      </w:r>
      <w:r w:rsidR="00B26737" w:rsidRPr="00D73E0B">
        <w:rPr>
          <w:rFonts w:ascii="Arial" w:hAnsi="Arial" w:cs="Arial"/>
          <w:b/>
          <w:sz w:val="24"/>
          <w:szCs w:val="24"/>
        </w:rPr>
        <w:t xml:space="preserve">  </w:t>
      </w:r>
    </w:p>
    <w:p w:rsidR="00E565D1" w:rsidRPr="00D73E0B" w:rsidRDefault="00E565D1">
      <w:pPr>
        <w:rPr>
          <w:rFonts w:ascii="Arial" w:eastAsia="Calibri" w:hAnsi="Arial" w:cs="Arial"/>
          <w:b/>
          <w:sz w:val="24"/>
          <w:szCs w:val="24"/>
        </w:rPr>
      </w:pPr>
      <w:r w:rsidRPr="00D73E0B">
        <w:rPr>
          <w:rFonts w:ascii="Arial" w:hAnsi="Arial" w:cs="Arial"/>
          <w:b/>
          <w:sz w:val="24"/>
          <w:szCs w:val="24"/>
        </w:rPr>
        <w:br w:type="page"/>
      </w:r>
    </w:p>
    <w:p w:rsidR="009A73A3" w:rsidRPr="00B36825" w:rsidRDefault="009A73A3" w:rsidP="002B6D88">
      <w:pPr>
        <w:pStyle w:val="PlainText"/>
        <w:spacing w:after="120" w:line="360" w:lineRule="auto"/>
        <w:ind w:left="-142" w:firstLine="142"/>
        <w:jc w:val="both"/>
        <w:rPr>
          <w:rFonts w:ascii="Arial" w:hAnsi="Arial" w:cs="Arial"/>
          <w:sz w:val="32"/>
          <w:szCs w:val="32"/>
          <w:u w:val="single"/>
        </w:rPr>
      </w:pPr>
      <w:r w:rsidRPr="00B36825">
        <w:rPr>
          <w:rFonts w:ascii="Arial" w:hAnsi="Arial" w:cs="Arial"/>
          <w:b/>
          <w:sz w:val="32"/>
          <w:szCs w:val="32"/>
          <w:u w:val="single"/>
        </w:rPr>
        <w:lastRenderedPageBreak/>
        <w:t>T</w:t>
      </w:r>
      <w:r w:rsidR="006932AF" w:rsidRPr="00B36825">
        <w:rPr>
          <w:rFonts w:ascii="Arial" w:hAnsi="Arial" w:cs="Arial"/>
          <w:b/>
          <w:sz w:val="32"/>
          <w:szCs w:val="32"/>
          <w:u w:val="single"/>
        </w:rPr>
        <w:t>he</w:t>
      </w:r>
      <w:r w:rsidRPr="00B36825">
        <w:rPr>
          <w:rFonts w:ascii="Arial" w:hAnsi="Arial" w:cs="Arial"/>
          <w:b/>
          <w:sz w:val="32"/>
          <w:szCs w:val="32"/>
          <w:u w:val="single"/>
        </w:rPr>
        <w:t xml:space="preserve"> C</w:t>
      </w:r>
      <w:r w:rsidR="00BD0283" w:rsidRPr="00B36825">
        <w:rPr>
          <w:rFonts w:ascii="Arial" w:hAnsi="Arial" w:cs="Arial"/>
          <w:b/>
          <w:sz w:val="32"/>
          <w:szCs w:val="32"/>
          <w:u w:val="single"/>
        </w:rPr>
        <w:t>onsultation</w:t>
      </w:r>
    </w:p>
    <w:p w:rsidR="00FB5FCA" w:rsidRPr="00D73E0B" w:rsidRDefault="00FB5FCA" w:rsidP="002312E7">
      <w:pPr>
        <w:pStyle w:val="PlainText"/>
        <w:spacing w:line="340" w:lineRule="exact"/>
        <w:rPr>
          <w:rFonts w:ascii="Arial" w:hAnsi="Arial" w:cs="Arial"/>
          <w:sz w:val="24"/>
          <w:szCs w:val="24"/>
        </w:rPr>
      </w:pPr>
      <w:r w:rsidRPr="00D73E0B">
        <w:rPr>
          <w:rFonts w:ascii="Arial" w:hAnsi="Arial" w:cs="Arial"/>
          <w:sz w:val="24"/>
          <w:szCs w:val="24"/>
        </w:rPr>
        <w:t>We would</w:t>
      </w:r>
      <w:r w:rsidR="000E397B" w:rsidRPr="00D73E0B">
        <w:rPr>
          <w:rFonts w:ascii="Arial" w:hAnsi="Arial" w:cs="Arial"/>
          <w:sz w:val="24"/>
          <w:szCs w:val="24"/>
        </w:rPr>
        <w:t xml:space="preserve"> now</w:t>
      </w:r>
      <w:r w:rsidRPr="00D73E0B">
        <w:rPr>
          <w:rFonts w:ascii="Arial" w:hAnsi="Arial" w:cs="Arial"/>
          <w:sz w:val="24"/>
          <w:szCs w:val="24"/>
        </w:rPr>
        <w:t xml:space="preserve"> like to hear from individuals or groups affected by the proposed changes outlined in this</w:t>
      </w:r>
      <w:r w:rsidR="00E565D1" w:rsidRPr="00D73E0B">
        <w:rPr>
          <w:rFonts w:ascii="Arial" w:hAnsi="Arial" w:cs="Arial"/>
          <w:sz w:val="24"/>
          <w:szCs w:val="24"/>
        </w:rPr>
        <w:t xml:space="preserve"> document. </w:t>
      </w:r>
      <w:r w:rsidRPr="00D73E0B">
        <w:rPr>
          <w:rFonts w:ascii="Arial" w:hAnsi="Arial" w:cs="Arial"/>
          <w:sz w:val="24"/>
          <w:szCs w:val="24"/>
        </w:rPr>
        <w:t>The consultation period will be shorter than usual and will run for six weeks from</w:t>
      </w:r>
      <w:r w:rsidR="0012025F" w:rsidRPr="00D73E0B">
        <w:rPr>
          <w:rFonts w:ascii="Arial" w:hAnsi="Arial" w:cs="Arial"/>
          <w:sz w:val="24"/>
          <w:szCs w:val="24"/>
        </w:rPr>
        <w:t xml:space="preserve"> </w:t>
      </w:r>
      <w:r w:rsidR="00BC3DC9" w:rsidRPr="00BC3DC9">
        <w:rPr>
          <w:rFonts w:ascii="Arial" w:hAnsi="Arial" w:cs="Arial"/>
          <w:sz w:val="24"/>
          <w:szCs w:val="24"/>
        </w:rPr>
        <w:t>14</w:t>
      </w:r>
      <w:r w:rsidR="00547B92" w:rsidRPr="00BC3DC9">
        <w:rPr>
          <w:rFonts w:ascii="Arial" w:hAnsi="Arial" w:cs="Arial"/>
          <w:sz w:val="24"/>
          <w:szCs w:val="24"/>
        </w:rPr>
        <w:t xml:space="preserve"> September </w:t>
      </w:r>
      <w:r w:rsidR="00B26737" w:rsidRPr="00BC3DC9">
        <w:rPr>
          <w:rFonts w:ascii="Arial" w:hAnsi="Arial" w:cs="Arial"/>
          <w:sz w:val="24"/>
          <w:szCs w:val="24"/>
        </w:rPr>
        <w:t>201</w:t>
      </w:r>
      <w:r w:rsidR="006812A3" w:rsidRPr="00BC3DC9">
        <w:rPr>
          <w:rFonts w:ascii="Arial" w:hAnsi="Arial" w:cs="Arial"/>
          <w:sz w:val="24"/>
          <w:szCs w:val="24"/>
        </w:rPr>
        <w:t>6</w:t>
      </w:r>
      <w:r w:rsidR="00B26737" w:rsidRPr="00BC3DC9">
        <w:rPr>
          <w:rFonts w:ascii="Arial" w:hAnsi="Arial" w:cs="Arial"/>
          <w:sz w:val="24"/>
          <w:szCs w:val="24"/>
        </w:rPr>
        <w:t xml:space="preserve"> to </w:t>
      </w:r>
      <w:r w:rsidR="00BC3DC9" w:rsidRPr="00BC3DC9">
        <w:rPr>
          <w:rFonts w:ascii="Arial" w:hAnsi="Arial" w:cs="Arial"/>
          <w:sz w:val="24"/>
          <w:szCs w:val="24"/>
        </w:rPr>
        <w:t>26</w:t>
      </w:r>
      <w:r w:rsidR="0008402C" w:rsidRPr="00BC3DC9">
        <w:rPr>
          <w:rFonts w:ascii="Arial" w:hAnsi="Arial" w:cs="Arial"/>
          <w:sz w:val="24"/>
          <w:szCs w:val="24"/>
        </w:rPr>
        <w:t xml:space="preserve"> </w:t>
      </w:r>
      <w:r w:rsidR="00547B92" w:rsidRPr="00BC3DC9">
        <w:rPr>
          <w:rFonts w:ascii="Arial" w:hAnsi="Arial" w:cs="Arial"/>
          <w:sz w:val="24"/>
          <w:szCs w:val="24"/>
        </w:rPr>
        <w:t>October</w:t>
      </w:r>
      <w:r w:rsidR="0008402C" w:rsidRPr="00BC3DC9">
        <w:rPr>
          <w:rFonts w:ascii="Arial" w:hAnsi="Arial" w:cs="Arial"/>
          <w:sz w:val="24"/>
          <w:szCs w:val="24"/>
        </w:rPr>
        <w:t xml:space="preserve"> </w:t>
      </w:r>
      <w:r w:rsidR="00B26737" w:rsidRPr="00BC3DC9">
        <w:rPr>
          <w:rFonts w:ascii="Arial" w:hAnsi="Arial" w:cs="Arial"/>
          <w:sz w:val="24"/>
          <w:szCs w:val="24"/>
        </w:rPr>
        <w:t>201</w:t>
      </w:r>
      <w:r w:rsidR="006812A3" w:rsidRPr="00BC3DC9">
        <w:rPr>
          <w:rFonts w:ascii="Arial" w:hAnsi="Arial" w:cs="Arial"/>
          <w:sz w:val="24"/>
          <w:szCs w:val="24"/>
        </w:rPr>
        <w:t>6</w:t>
      </w:r>
      <w:r w:rsidR="00E565D1" w:rsidRPr="00D73E0B">
        <w:rPr>
          <w:rFonts w:ascii="Arial" w:hAnsi="Arial" w:cs="Arial"/>
          <w:sz w:val="24"/>
          <w:szCs w:val="24"/>
        </w:rPr>
        <w:t>.</w:t>
      </w:r>
      <w:r w:rsidR="00BC3DC9">
        <w:rPr>
          <w:rFonts w:ascii="Arial" w:hAnsi="Arial" w:cs="Arial"/>
          <w:sz w:val="24"/>
          <w:szCs w:val="24"/>
        </w:rPr>
        <w:t xml:space="preserve">  </w:t>
      </w:r>
      <w:r w:rsidRPr="00D73E0B">
        <w:rPr>
          <w:rFonts w:ascii="Arial" w:hAnsi="Arial" w:cs="Arial"/>
          <w:sz w:val="24"/>
          <w:szCs w:val="24"/>
        </w:rPr>
        <w:t xml:space="preserve">Any responses received after this date will only be considered in exceptional circumstances. </w:t>
      </w:r>
    </w:p>
    <w:p w:rsidR="00E565D1" w:rsidRPr="00D73E0B" w:rsidRDefault="00E565D1" w:rsidP="002312E7">
      <w:pPr>
        <w:pStyle w:val="PlainText"/>
        <w:spacing w:line="340" w:lineRule="exact"/>
        <w:rPr>
          <w:rFonts w:ascii="Arial" w:hAnsi="Arial" w:cs="Arial"/>
          <w:sz w:val="24"/>
          <w:szCs w:val="24"/>
        </w:rPr>
      </w:pPr>
    </w:p>
    <w:p w:rsidR="001F53E0" w:rsidRPr="00D73E0B" w:rsidRDefault="00FB5FCA" w:rsidP="002312E7">
      <w:pPr>
        <w:pStyle w:val="PlainText"/>
        <w:spacing w:line="340" w:lineRule="exact"/>
        <w:rPr>
          <w:rFonts w:ascii="Arial" w:hAnsi="Arial" w:cs="Arial"/>
          <w:sz w:val="24"/>
          <w:szCs w:val="24"/>
        </w:rPr>
      </w:pPr>
      <w:r w:rsidRPr="00D73E0B">
        <w:rPr>
          <w:rFonts w:ascii="Arial" w:hAnsi="Arial" w:cs="Arial"/>
          <w:sz w:val="24"/>
          <w:szCs w:val="24"/>
        </w:rPr>
        <w:t>This consultation document has been issued to government departments and agencies, trade bodies and other relevant industry assoc</w:t>
      </w:r>
      <w:r w:rsidR="00E565D1" w:rsidRPr="00D73E0B">
        <w:rPr>
          <w:rFonts w:ascii="Arial" w:hAnsi="Arial" w:cs="Arial"/>
          <w:sz w:val="24"/>
          <w:szCs w:val="24"/>
        </w:rPr>
        <w:t>iations.</w:t>
      </w:r>
      <w:r w:rsidRPr="00D73E0B">
        <w:rPr>
          <w:rFonts w:ascii="Arial" w:hAnsi="Arial" w:cs="Arial"/>
          <w:sz w:val="24"/>
          <w:szCs w:val="24"/>
        </w:rPr>
        <w:t xml:space="preserve"> Please contact us if you can suggest other groups that may wish to be involved.</w:t>
      </w:r>
    </w:p>
    <w:p w:rsidR="00E565D1" w:rsidRPr="00D73E0B" w:rsidRDefault="00E565D1" w:rsidP="002312E7">
      <w:pPr>
        <w:pStyle w:val="PlainText"/>
        <w:spacing w:line="340" w:lineRule="exact"/>
        <w:rPr>
          <w:rFonts w:ascii="Arial" w:hAnsi="Arial" w:cs="Arial"/>
          <w:sz w:val="24"/>
          <w:szCs w:val="24"/>
        </w:rPr>
      </w:pPr>
    </w:p>
    <w:p w:rsidR="001F53E0" w:rsidRPr="00D73E0B" w:rsidRDefault="001F53E0" w:rsidP="002312E7">
      <w:pPr>
        <w:pStyle w:val="PlainText"/>
        <w:spacing w:line="340" w:lineRule="exact"/>
        <w:rPr>
          <w:rFonts w:ascii="Arial" w:hAnsi="Arial" w:cs="Arial"/>
          <w:sz w:val="24"/>
          <w:szCs w:val="24"/>
        </w:rPr>
      </w:pPr>
      <w:r w:rsidRPr="00D73E0B">
        <w:rPr>
          <w:rFonts w:ascii="Arial" w:hAnsi="Arial" w:cs="Arial"/>
          <w:sz w:val="24"/>
          <w:szCs w:val="24"/>
        </w:rPr>
        <w:t>The changes proposed in this consultation will apply across the United Kingdom</w:t>
      </w:r>
      <w:r w:rsidR="00CC03F0" w:rsidRPr="00D73E0B">
        <w:rPr>
          <w:rFonts w:ascii="Arial" w:hAnsi="Arial" w:cs="Arial"/>
          <w:sz w:val="24"/>
          <w:szCs w:val="24"/>
        </w:rPr>
        <w:t>.</w:t>
      </w:r>
    </w:p>
    <w:p w:rsidR="00E565D1" w:rsidRPr="009A73A3" w:rsidRDefault="00E565D1" w:rsidP="002312E7">
      <w:pPr>
        <w:pStyle w:val="PlainText"/>
        <w:spacing w:line="340" w:lineRule="exact"/>
        <w:rPr>
          <w:rFonts w:ascii="Arial" w:hAnsi="Arial" w:cs="Arial"/>
          <w:sz w:val="22"/>
          <w:szCs w:val="22"/>
        </w:rPr>
      </w:pPr>
    </w:p>
    <w:p w:rsidR="009C0325" w:rsidRPr="00B36825" w:rsidRDefault="009C0325" w:rsidP="002312E7">
      <w:pPr>
        <w:keepNext/>
        <w:keepLines/>
        <w:spacing w:after="0" w:line="340" w:lineRule="exact"/>
        <w:outlineLvl w:val="2"/>
        <w:rPr>
          <w:rFonts w:ascii="Arial" w:eastAsia="Times New Roman" w:hAnsi="Arial" w:cs="Arial"/>
          <w:b/>
          <w:bCs/>
          <w:color w:val="000000"/>
          <w:sz w:val="28"/>
          <w:szCs w:val="28"/>
          <w:lang w:eastAsia="en-GB"/>
        </w:rPr>
      </w:pPr>
      <w:r w:rsidRPr="00B36825">
        <w:rPr>
          <w:rFonts w:ascii="Arial" w:eastAsia="Times New Roman" w:hAnsi="Arial" w:cs="Arial"/>
          <w:b/>
          <w:bCs/>
          <w:color w:val="000000"/>
          <w:sz w:val="28"/>
          <w:szCs w:val="28"/>
          <w:lang w:eastAsia="en-GB"/>
        </w:rPr>
        <w:t xml:space="preserve">Description of options considered </w:t>
      </w:r>
      <w:r w:rsidR="001F53E0" w:rsidRPr="00B36825">
        <w:rPr>
          <w:rFonts w:ascii="Arial" w:eastAsia="Times New Roman" w:hAnsi="Arial" w:cs="Arial"/>
          <w:b/>
          <w:bCs/>
          <w:color w:val="000000"/>
          <w:sz w:val="28"/>
          <w:szCs w:val="28"/>
          <w:lang w:eastAsia="en-GB"/>
        </w:rPr>
        <w:t>in this consultation</w:t>
      </w:r>
    </w:p>
    <w:p w:rsidR="00E565D1" w:rsidRDefault="00E565D1" w:rsidP="002312E7">
      <w:pPr>
        <w:autoSpaceDE w:val="0"/>
        <w:autoSpaceDN w:val="0"/>
        <w:adjustRightInd w:val="0"/>
        <w:spacing w:after="0" w:line="340" w:lineRule="exact"/>
        <w:rPr>
          <w:rFonts w:ascii="Arial" w:eastAsia="MS Mincho" w:hAnsi="Arial" w:cs="Times New Roman"/>
          <w:b/>
          <w:lang w:eastAsia="ja-JP"/>
        </w:rPr>
      </w:pPr>
    </w:p>
    <w:p w:rsidR="009C0325" w:rsidRPr="00D73E0B" w:rsidRDefault="009C0325" w:rsidP="002312E7">
      <w:pPr>
        <w:autoSpaceDE w:val="0"/>
        <w:autoSpaceDN w:val="0"/>
        <w:adjustRightInd w:val="0"/>
        <w:spacing w:after="0" w:line="340" w:lineRule="exact"/>
        <w:rPr>
          <w:rFonts w:ascii="Arial" w:eastAsia="MS Mincho" w:hAnsi="Arial" w:cs="Arial"/>
          <w:color w:val="000000"/>
          <w:sz w:val="24"/>
          <w:szCs w:val="24"/>
          <w:u w:val="single"/>
          <w:lang w:eastAsia="ja-JP"/>
        </w:rPr>
      </w:pPr>
      <w:r w:rsidRPr="00D73E0B">
        <w:rPr>
          <w:rFonts w:ascii="Arial" w:eastAsia="MS Mincho" w:hAnsi="Arial" w:cs="Times New Roman"/>
          <w:sz w:val="24"/>
          <w:szCs w:val="24"/>
          <w:u w:val="single"/>
          <w:lang w:eastAsia="ja-JP"/>
        </w:rPr>
        <w:t xml:space="preserve">Description </w:t>
      </w:r>
      <w:r w:rsidR="00E565D1" w:rsidRPr="00D73E0B">
        <w:rPr>
          <w:rFonts w:ascii="Arial" w:eastAsia="MS Mincho" w:hAnsi="Arial" w:cs="Arial"/>
          <w:bCs/>
          <w:color w:val="000000"/>
          <w:sz w:val="24"/>
          <w:szCs w:val="24"/>
          <w:u w:val="single"/>
          <w:lang w:eastAsia="ja-JP"/>
        </w:rPr>
        <w:t>Do Nothing</w:t>
      </w:r>
      <w:r w:rsidR="002312E7" w:rsidRPr="00D73E0B">
        <w:rPr>
          <w:rFonts w:ascii="Arial" w:eastAsia="MS Mincho" w:hAnsi="Arial" w:cs="Arial"/>
          <w:bCs/>
          <w:color w:val="000000"/>
          <w:sz w:val="24"/>
          <w:szCs w:val="24"/>
          <w:u w:val="single"/>
          <w:lang w:eastAsia="ja-JP"/>
        </w:rPr>
        <w:t>:</w:t>
      </w:r>
    </w:p>
    <w:p w:rsidR="00FB264B" w:rsidRPr="00D73E0B" w:rsidRDefault="009C0325" w:rsidP="002312E7">
      <w:pPr>
        <w:spacing w:after="0" w:line="340" w:lineRule="exact"/>
        <w:rPr>
          <w:rFonts w:ascii="Arial" w:eastAsia="Times New Roman" w:hAnsi="Arial" w:cs="Arial"/>
          <w:bCs/>
          <w:color w:val="000000"/>
          <w:sz w:val="24"/>
          <w:szCs w:val="24"/>
          <w:lang w:eastAsia="en-GB"/>
        </w:rPr>
      </w:pPr>
      <w:r w:rsidRPr="00D73E0B">
        <w:rPr>
          <w:rFonts w:ascii="Arial" w:eastAsia="Times New Roman" w:hAnsi="Arial" w:cs="Arial"/>
          <w:b/>
          <w:bCs/>
          <w:color w:val="000000"/>
          <w:sz w:val="24"/>
          <w:szCs w:val="24"/>
          <w:lang w:eastAsia="en-GB"/>
        </w:rPr>
        <w:t>A “do nothing” option</w:t>
      </w:r>
      <w:r w:rsidRPr="00D73E0B">
        <w:rPr>
          <w:rFonts w:ascii="Arial" w:eastAsia="Times New Roman" w:hAnsi="Arial" w:cs="Arial"/>
          <w:bCs/>
          <w:color w:val="000000"/>
          <w:sz w:val="24"/>
          <w:szCs w:val="24"/>
          <w:lang w:eastAsia="en-GB"/>
        </w:rPr>
        <w:t xml:space="preserve"> would leave the fees as they are currently (i.e. at 2006 levels). </w:t>
      </w:r>
      <w:r w:rsidR="009B09EB" w:rsidRPr="00D73E0B">
        <w:rPr>
          <w:rFonts w:ascii="Arial" w:eastAsia="Times New Roman" w:hAnsi="Arial" w:cs="Arial"/>
          <w:bCs/>
          <w:color w:val="000000"/>
          <w:sz w:val="24"/>
          <w:szCs w:val="24"/>
          <w:lang w:eastAsia="en-GB"/>
        </w:rPr>
        <w:t>R</w:t>
      </w:r>
      <w:r w:rsidRPr="00D73E0B">
        <w:rPr>
          <w:rFonts w:ascii="Arial" w:eastAsia="Times New Roman" w:hAnsi="Arial" w:cs="Arial"/>
          <w:bCs/>
          <w:color w:val="000000"/>
          <w:sz w:val="24"/>
          <w:szCs w:val="24"/>
          <w:lang w:eastAsia="en-GB"/>
        </w:rPr>
        <w:t>emaining at these fee levels</w:t>
      </w:r>
      <w:r w:rsidR="009B09EB" w:rsidRPr="00D73E0B">
        <w:rPr>
          <w:rFonts w:ascii="Arial" w:eastAsia="Times New Roman" w:hAnsi="Arial" w:cs="Arial"/>
          <w:bCs/>
          <w:color w:val="000000"/>
          <w:sz w:val="24"/>
          <w:szCs w:val="24"/>
          <w:lang w:eastAsia="en-GB"/>
        </w:rPr>
        <w:t xml:space="preserve"> will </w:t>
      </w:r>
      <w:r w:rsidRPr="00D73E0B">
        <w:rPr>
          <w:rFonts w:ascii="Arial" w:eastAsia="Times New Roman" w:hAnsi="Arial" w:cs="Arial"/>
          <w:bCs/>
          <w:color w:val="000000"/>
          <w:sz w:val="24"/>
          <w:szCs w:val="24"/>
          <w:lang w:eastAsia="en-GB"/>
        </w:rPr>
        <w:t>mean</w:t>
      </w:r>
      <w:r w:rsidR="009B09EB" w:rsidRPr="00D73E0B">
        <w:rPr>
          <w:rFonts w:ascii="Arial" w:eastAsia="Times New Roman" w:hAnsi="Arial" w:cs="Arial"/>
          <w:bCs/>
          <w:color w:val="000000"/>
          <w:sz w:val="24"/>
          <w:szCs w:val="24"/>
          <w:lang w:eastAsia="en-GB"/>
        </w:rPr>
        <w:t xml:space="preserve"> that</w:t>
      </w:r>
      <w:r w:rsidRPr="00D73E0B">
        <w:rPr>
          <w:rFonts w:ascii="Arial" w:eastAsia="Times New Roman" w:hAnsi="Arial" w:cs="Arial"/>
          <w:bCs/>
          <w:color w:val="000000"/>
          <w:sz w:val="24"/>
          <w:szCs w:val="24"/>
          <w:lang w:eastAsia="en-GB"/>
        </w:rPr>
        <w:t xml:space="preserve"> the MCA cannot implement government policy of moving towards full cost recovery for the provision of services</w:t>
      </w:r>
      <w:r w:rsidR="00C70856" w:rsidRPr="00D73E0B">
        <w:rPr>
          <w:rFonts w:ascii="Arial" w:eastAsia="Times New Roman" w:hAnsi="Arial" w:cs="Arial"/>
          <w:bCs/>
          <w:color w:val="000000"/>
          <w:sz w:val="24"/>
          <w:szCs w:val="24"/>
          <w:lang w:eastAsia="en-GB"/>
        </w:rPr>
        <w:t xml:space="preserve"> with services continuing to be subsidised by taxpayers</w:t>
      </w:r>
      <w:r w:rsidRPr="00D73E0B">
        <w:rPr>
          <w:rFonts w:ascii="Arial" w:eastAsia="Times New Roman" w:hAnsi="Arial" w:cs="Arial"/>
          <w:bCs/>
          <w:color w:val="000000"/>
          <w:sz w:val="24"/>
          <w:szCs w:val="24"/>
          <w:lang w:eastAsia="en-GB"/>
        </w:rPr>
        <w:t xml:space="preserve">. </w:t>
      </w:r>
    </w:p>
    <w:p w:rsidR="00E565D1" w:rsidRPr="00D73E0B" w:rsidRDefault="00E565D1" w:rsidP="002312E7">
      <w:pPr>
        <w:spacing w:after="0" w:line="340" w:lineRule="exact"/>
        <w:rPr>
          <w:rFonts w:ascii="Arial" w:eastAsia="Times New Roman" w:hAnsi="Arial" w:cs="Arial"/>
          <w:bCs/>
          <w:color w:val="000000"/>
          <w:sz w:val="24"/>
          <w:szCs w:val="24"/>
          <w:lang w:eastAsia="en-GB"/>
        </w:rPr>
      </w:pPr>
    </w:p>
    <w:p w:rsidR="00172417" w:rsidRPr="00D73E0B" w:rsidRDefault="009C0325" w:rsidP="002312E7">
      <w:pPr>
        <w:spacing w:after="0" w:line="340" w:lineRule="exact"/>
        <w:rPr>
          <w:rFonts w:ascii="Arial" w:eastAsia="Times New Roman" w:hAnsi="Arial" w:cs="Arial"/>
          <w:bCs/>
          <w:color w:val="000000"/>
          <w:sz w:val="24"/>
          <w:szCs w:val="24"/>
          <w:lang w:eastAsia="en-GB"/>
        </w:rPr>
      </w:pPr>
      <w:r w:rsidRPr="00D73E0B">
        <w:rPr>
          <w:rFonts w:ascii="Arial" w:eastAsia="Times New Roman" w:hAnsi="Arial" w:cs="Arial"/>
          <w:bCs/>
          <w:color w:val="000000"/>
          <w:sz w:val="24"/>
          <w:szCs w:val="24"/>
          <w:lang w:eastAsia="en-GB"/>
        </w:rPr>
        <w:t>The</w:t>
      </w:r>
      <w:r w:rsidR="00FB264B" w:rsidRPr="00D73E0B">
        <w:rPr>
          <w:rFonts w:ascii="Arial" w:eastAsia="Times New Roman" w:hAnsi="Arial" w:cs="Arial"/>
          <w:bCs/>
          <w:color w:val="000000"/>
          <w:sz w:val="24"/>
          <w:szCs w:val="24"/>
          <w:lang w:eastAsia="en-GB"/>
        </w:rPr>
        <w:t xml:space="preserve"> recommended</w:t>
      </w:r>
      <w:r w:rsidRPr="00D73E0B">
        <w:rPr>
          <w:rFonts w:ascii="Arial" w:eastAsia="Times New Roman" w:hAnsi="Arial" w:cs="Arial"/>
          <w:bCs/>
          <w:color w:val="000000"/>
          <w:sz w:val="24"/>
          <w:szCs w:val="24"/>
          <w:lang w:eastAsia="en-GB"/>
        </w:rPr>
        <w:t xml:space="preserve"> policy option considered below is compared to the do nothing option. </w:t>
      </w:r>
    </w:p>
    <w:p w:rsidR="00E565D1" w:rsidRPr="00D73E0B" w:rsidRDefault="00E565D1" w:rsidP="002312E7">
      <w:pPr>
        <w:spacing w:after="0" w:line="340" w:lineRule="exact"/>
        <w:rPr>
          <w:rFonts w:ascii="Arial" w:eastAsia="Times New Roman" w:hAnsi="Arial" w:cs="Arial"/>
          <w:bCs/>
          <w:color w:val="000000"/>
          <w:sz w:val="24"/>
          <w:szCs w:val="24"/>
          <w:lang w:eastAsia="en-GB"/>
        </w:rPr>
      </w:pPr>
    </w:p>
    <w:p w:rsidR="009C0325" w:rsidRPr="00D73E0B" w:rsidRDefault="009C0325" w:rsidP="002312E7">
      <w:pPr>
        <w:autoSpaceDE w:val="0"/>
        <w:autoSpaceDN w:val="0"/>
        <w:adjustRightInd w:val="0"/>
        <w:spacing w:after="0" w:line="340" w:lineRule="exact"/>
        <w:rPr>
          <w:rFonts w:ascii="Arial" w:eastAsia="MS Mincho" w:hAnsi="Arial" w:cs="Arial"/>
          <w:bCs/>
          <w:color w:val="000000"/>
          <w:sz w:val="24"/>
          <w:szCs w:val="24"/>
          <w:u w:val="single"/>
          <w:lang w:eastAsia="ja-JP"/>
        </w:rPr>
      </w:pPr>
      <w:r w:rsidRPr="00D73E0B">
        <w:rPr>
          <w:rFonts w:ascii="Arial" w:eastAsia="MS Mincho" w:hAnsi="Arial" w:cs="Arial"/>
          <w:bCs/>
          <w:color w:val="000000"/>
          <w:sz w:val="24"/>
          <w:szCs w:val="24"/>
          <w:u w:val="single"/>
          <w:lang w:eastAsia="ja-JP"/>
        </w:rPr>
        <w:t xml:space="preserve">Option 1 (the preferred option): </w:t>
      </w:r>
    </w:p>
    <w:p w:rsidR="009C0325" w:rsidRPr="00D73E0B" w:rsidRDefault="009C0325" w:rsidP="002312E7">
      <w:pPr>
        <w:spacing w:after="0" w:line="340" w:lineRule="exact"/>
        <w:rPr>
          <w:rFonts w:ascii="Arial" w:eastAsia="Times New Roman" w:hAnsi="Arial" w:cs="Arial"/>
          <w:bCs/>
          <w:color w:val="000000"/>
          <w:sz w:val="24"/>
          <w:szCs w:val="24"/>
          <w:lang w:eastAsia="en-GB"/>
        </w:rPr>
      </w:pPr>
      <w:r w:rsidRPr="00D73E0B">
        <w:rPr>
          <w:rFonts w:ascii="Arial" w:eastAsia="Times New Roman" w:hAnsi="Arial" w:cs="Arial"/>
          <w:bCs/>
          <w:color w:val="000000"/>
          <w:sz w:val="24"/>
          <w:szCs w:val="24"/>
          <w:lang w:eastAsia="en-GB"/>
        </w:rPr>
        <w:t xml:space="preserve">An increase in fees covering marine surveys; registration, transfer and mortgage of fishing vessels (RSS); and seaman, training and certification (STC) examinations </w:t>
      </w:r>
      <w:r w:rsidR="001F53E0" w:rsidRPr="00D73E0B">
        <w:rPr>
          <w:rFonts w:ascii="Arial" w:eastAsia="Times New Roman" w:hAnsi="Arial" w:cs="Arial"/>
          <w:bCs/>
          <w:color w:val="000000"/>
          <w:sz w:val="24"/>
          <w:szCs w:val="24"/>
          <w:lang w:eastAsia="en-GB"/>
        </w:rPr>
        <w:t>in line with the full costs of delivering these services.</w:t>
      </w:r>
      <w:r w:rsidRPr="00D73E0B">
        <w:rPr>
          <w:rFonts w:ascii="Arial" w:eastAsia="Times New Roman" w:hAnsi="Arial" w:cs="Arial"/>
          <w:bCs/>
          <w:color w:val="000000"/>
          <w:sz w:val="24"/>
          <w:szCs w:val="24"/>
          <w:lang w:eastAsia="en-GB"/>
        </w:rPr>
        <w:t xml:space="preserve"> </w:t>
      </w:r>
    </w:p>
    <w:p w:rsidR="00E565D1" w:rsidRPr="00D73E0B" w:rsidRDefault="00E565D1" w:rsidP="002312E7">
      <w:pPr>
        <w:spacing w:after="0" w:line="340" w:lineRule="exact"/>
        <w:rPr>
          <w:rFonts w:ascii="Arial" w:eastAsia="Times New Roman" w:hAnsi="Arial" w:cs="Arial"/>
          <w:bCs/>
          <w:color w:val="000000"/>
          <w:sz w:val="24"/>
          <w:szCs w:val="24"/>
          <w:lang w:eastAsia="en-GB"/>
        </w:rPr>
      </w:pPr>
    </w:p>
    <w:p w:rsidR="009C0325" w:rsidRPr="00D73E0B" w:rsidRDefault="009C0325" w:rsidP="002312E7">
      <w:pPr>
        <w:spacing w:after="0" w:line="340" w:lineRule="exact"/>
        <w:rPr>
          <w:rFonts w:ascii="Arial" w:eastAsia="Times New Roman" w:hAnsi="Arial" w:cs="Arial"/>
          <w:bCs/>
          <w:color w:val="000000"/>
          <w:sz w:val="24"/>
          <w:szCs w:val="24"/>
          <w:lang w:eastAsia="en-GB"/>
        </w:rPr>
      </w:pPr>
      <w:r w:rsidRPr="00D73E0B">
        <w:rPr>
          <w:rFonts w:ascii="Arial" w:eastAsia="Times New Roman" w:hAnsi="Arial" w:cs="Arial"/>
          <w:bCs/>
          <w:color w:val="000000"/>
          <w:sz w:val="24"/>
          <w:szCs w:val="24"/>
          <w:lang w:eastAsia="en-GB"/>
        </w:rPr>
        <w:t>Under this option</w:t>
      </w:r>
      <w:r w:rsidR="00E565D1" w:rsidRPr="00D73E0B">
        <w:rPr>
          <w:rFonts w:ascii="Arial" w:eastAsia="Times New Roman" w:hAnsi="Arial" w:cs="Arial"/>
          <w:bCs/>
          <w:color w:val="000000"/>
          <w:sz w:val="24"/>
          <w:szCs w:val="24"/>
          <w:lang w:eastAsia="en-GB"/>
        </w:rPr>
        <w:t>,</w:t>
      </w:r>
      <w:r w:rsidRPr="00D73E0B">
        <w:rPr>
          <w:rFonts w:ascii="Arial" w:eastAsia="Times New Roman" w:hAnsi="Arial" w:cs="Arial"/>
          <w:bCs/>
          <w:color w:val="000000"/>
          <w:sz w:val="24"/>
          <w:szCs w:val="24"/>
          <w:lang w:eastAsia="en-GB"/>
        </w:rPr>
        <w:t xml:space="preserve"> </w:t>
      </w:r>
      <w:r w:rsidR="00C70856" w:rsidRPr="00D73E0B">
        <w:rPr>
          <w:rFonts w:ascii="Arial" w:eastAsia="Times New Roman" w:hAnsi="Arial" w:cs="Arial"/>
          <w:bCs/>
          <w:color w:val="000000"/>
          <w:sz w:val="24"/>
          <w:szCs w:val="24"/>
          <w:lang w:eastAsia="en-GB"/>
        </w:rPr>
        <w:t xml:space="preserve">each </w:t>
      </w:r>
      <w:r w:rsidR="0015045B" w:rsidRPr="00D73E0B">
        <w:rPr>
          <w:rFonts w:ascii="Arial" w:eastAsia="Times New Roman" w:hAnsi="Arial" w:cs="Arial"/>
          <w:bCs/>
          <w:color w:val="000000"/>
          <w:sz w:val="24"/>
          <w:szCs w:val="24"/>
          <w:lang w:eastAsia="en-GB"/>
        </w:rPr>
        <w:t>fee within</w:t>
      </w:r>
      <w:r w:rsidRPr="00D73E0B">
        <w:rPr>
          <w:rFonts w:ascii="Arial" w:eastAsia="Times New Roman" w:hAnsi="Arial" w:cs="Arial"/>
          <w:bCs/>
          <w:color w:val="000000"/>
          <w:sz w:val="24"/>
          <w:szCs w:val="24"/>
          <w:lang w:eastAsia="en-GB"/>
        </w:rPr>
        <w:t xml:space="preserve"> scope of th</w:t>
      </w:r>
      <w:r w:rsidR="00F165A9" w:rsidRPr="00D73E0B">
        <w:rPr>
          <w:rFonts w:ascii="Arial" w:eastAsia="Times New Roman" w:hAnsi="Arial" w:cs="Arial"/>
          <w:bCs/>
          <w:color w:val="000000"/>
          <w:sz w:val="24"/>
          <w:szCs w:val="24"/>
          <w:lang w:eastAsia="en-GB"/>
        </w:rPr>
        <w:t>is consultation</w:t>
      </w:r>
      <w:r w:rsidR="00C70856" w:rsidRPr="00D73E0B">
        <w:rPr>
          <w:rFonts w:ascii="Arial" w:eastAsia="Times New Roman" w:hAnsi="Arial" w:cs="Arial"/>
          <w:bCs/>
          <w:color w:val="000000"/>
          <w:sz w:val="24"/>
          <w:szCs w:val="24"/>
          <w:lang w:eastAsia="en-GB"/>
        </w:rPr>
        <w:t xml:space="preserve"> would be increased in line with </w:t>
      </w:r>
      <w:r w:rsidR="00106475" w:rsidRPr="00D73E0B">
        <w:rPr>
          <w:rFonts w:ascii="Arial" w:eastAsia="Times New Roman" w:hAnsi="Arial" w:cs="Arial"/>
          <w:bCs/>
          <w:color w:val="000000"/>
          <w:sz w:val="24"/>
          <w:szCs w:val="24"/>
          <w:lang w:eastAsia="en-GB"/>
        </w:rPr>
        <w:t xml:space="preserve">the </w:t>
      </w:r>
      <w:r w:rsidR="00C70856" w:rsidRPr="00D73E0B">
        <w:rPr>
          <w:rFonts w:ascii="Arial" w:eastAsia="Times New Roman" w:hAnsi="Arial" w:cs="Arial"/>
          <w:bCs/>
          <w:color w:val="000000"/>
          <w:sz w:val="24"/>
          <w:szCs w:val="24"/>
          <w:lang w:eastAsia="en-GB"/>
        </w:rPr>
        <w:t>MCA’s best estimate of the full cost of service provision in FY 201</w:t>
      </w:r>
      <w:r w:rsidR="00B26737" w:rsidRPr="00D73E0B">
        <w:rPr>
          <w:rFonts w:ascii="Arial" w:eastAsia="Times New Roman" w:hAnsi="Arial" w:cs="Arial"/>
          <w:bCs/>
          <w:color w:val="000000"/>
          <w:sz w:val="24"/>
          <w:szCs w:val="24"/>
          <w:lang w:eastAsia="en-GB"/>
        </w:rPr>
        <w:t>5</w:t>
      </w:r>
      <w:r w:rsidR="00C70856" w:rsidRPr="00D73E0B">
        <w:rPr>
          <w:rFonts w:ascii="Arial" w:eastAsia="Times New Roman" w:hAnsi="Arial" w:cs="Arial"/>
          <w:bCs/>
          <w:color w:val="000000"/>
          <w:sz w:val="24"/>
          <w:szCs w:val="24"/>
          <w:lang w:eastAsia="en-GB"/>
        </w:rPr>
        <w:t>-1</w:t>
      </w:r>
      <w:r w:rsidR="00B26737" w:rsidRPr="00D73E0B">
        <w:rPr>
          <w:rFonts w:ascii="Arial" w:eastAsia="Times New Roman" w:hAnsi="Arial" w:cs="Arial"/>
          <w:bCs/>
          <w:color w:val="000000"/>
          <w:sz w:val="24"/>
          <w:szCs w:val="24"/>
          <w:lang w:eastAsia="en-GB"/>
        </w:rPr>
        <w:t>6</w:t>
      </w:r>
      <w:r w:rsidR="0015045B" w:rsidRPr="00D73E0B">
        <w:rPr>
          <w:rFonts w:ascii="Arial" w:eastAsia="Times New Roman" w:hAnsi="Arial" w:cs="Arial"/>
          <w:bCs/>
          <w:color w:val="000000"/>
          <w:sz w:val="24"/>
          <w:szCs w:val="24"/>
          <w:lang w:eastAsia="en-GB"/>
        </w:rPr>
        <w:t>.</w:t>
      </w:r>
      <w:r w:rsidR="002312E7" w:rsidRPr="00D73E0B">
        <w:rPr>
          <w:rFonts w:ascii="Arial" w:eastAsia="Times New Roman" w:hAnsi="Arial" w:cs="Arial"/>
          <w:bCs/>
          <w:color w:val="000000"/>
          <w:sz w:val="24"/>
          <w:szCs w:val="24"/>
          <w:lang w:eastAsia="en-GB"/>
        </w:rPr>
        <w:t xml:space="preserve"> </w:t>
      </w:r>
      <w:r w:rsidRPr="00D73E0B">
        <w:rPr>
          <w:rFonts w:ascii="Arial" w:eastAsia="Times New Roman" w:hAnsi="Arial" w:cs="Arial"/>
          <w:bCs/>
          <w:color w:val="000000"/>
          <w:sz w:val="24"/>
          <w:szCs w:val="24"/>
          <w:lang w:eastAsia="en-GB"/>
        </w:rPr>
        <w:t>(</w:t>
      </w:r>
      <w:r w:rsidR="001F53E0" w:rsidRPr="00D73E0B">
        <w:rPr>
          <w:rFonts w:ascii="Arial" w:eastAsia="Times New Roman" w:hAnsi="Arial" w:cs="Arial"/>
          <w:bCs/>
          <w:color w:val="000000"/>
          <w:sz w:val="24"/>
          <w:szCs w:val="24"/>
          <w:lang w:eastAsia="en-GB"/>
        </w:rPr>
        <w:t>S</w:t>
      </w:r>
      <w:r w:rsidRPr="00D73E0B">
        <w:rPr>
          <w:rFonts w:ascii="Arial" w:eastAsia="Times New Roman" w:hAnsi="Arial" w:cs="Arial"/>
          <w:bCs/>
          <w:color w:val="000000"/>
          <w:sz w:val="24"/>
          <w:szCs w:val="24"/>
          <w:lang w:eastAsia="en-GB"/>
        </w:rPr>
        <w:t>ee</w:t>
      </w:r>
      <w:r w:rsidR="00BC5F0D">
        <w:rPr>
          <w:rFonts w:ascii="Arial" w:eastAsia="Times New Roman" w:hAnsi="Arial" w:cs="Arial"/>
          <w:bCs/>
          <w:color w:val="000000"/>
          <w:sz w:val="24"/>
          <w:szCs w:val="24"/>
          <w:lang w:eastAsia="en-GB"/>
        </w:rPr>
        <w:t xml:space="preserve"> the separate</w:t>
      </w:r>
      <w:r w:rsidRPr="00D73E0B">
        <w:rPr>
          <w:rFonts w:ascii="Arial" w:eastAsia="Times New Roman" w:hAnsi="Arial" w:cs="Arial"/>
          <w:bCs/>
          <w:color w:val="000000"/>
          <w:sz w:val="24"/>
          <w:szCs w:val="24"/>
          <w:lang w:eastAsia="en-GB"/>
        </w:rPr>
        <w:t xml:space="preserve"> Annex A</w:t>
      </w:r>
      <w:r w:rsidR="00BC5F0D">
        <w:rPr>
          <w:rFonts w:ascii="Arial" w:eastAsia="Times New Roman" w:hAnsi="Arial" w:cs="Arial"/>
          <w:bCs/>
          <w:color w:val="000000"/>
          <w:sz w:val="24"/>
          <w:szCs w:val="24"/>
          <w:lang w:eastAsia="en-GB"/>
        </w:rPr>
        <w:t xml:space="preserve"> document</w:t>
      </w:r>
      <w:r w:rsidRPr="00D73E0B">
        <w:rPr>
          <w:rFonts w:ascii="Arial" w:eastAsia="Times New Roman" w:hAnsi="Arial" w:cs="Arial"/>
          <w:bCs/>
          <w:color w:val="000000"/>
          <w:sz w:val="24"/>
          <w:szCs w:val="24"/>
          <w:lang w:eastAsia="en-GB"/>
        </w:rPr>
        <w:t xml:space="preserve"> for a full list of </w:t>
      </w:r>
      <w:r w:rsidR="001F53E0" w:rsidRPr="00D73E0B">
        <w:rPr>
          <w:rFonts w:ascii="Arial" w:eastAsia="Times New Roman" w:hAnsi="Arial" w:cs="Arial"/>
          <w:bCs/>
          <w:color w:val="000000"/>
          <w:sz w:val="24"/>
          <w:szCs w:val="24"/>
          <w:lang w:eastAsia="en-GB"/>
        </w:rPr>
        <w:t xml:space="preserve">current and </w:t>
      </w:r>
      <w:r w:rsidR="00BC5F0D">
        <w:rPr>
          <w:rFonts w:ascii="Arial" w:eastAsia="Times New Roman" w:hAnsi="Arial" w:cs="Arial"/>
          <w:bCs/>
          <w:color w:val="000000"/>
          <w:sz w:val="24"/>
          <w:szCs w:val="24"/>
          <w:lang w:eastAsia="en-GB"/>
        </w:rPr>
        <w:t>proposed fees.)</w:t>
      </w:r>
    </w:p>
    <w:p w:rsidR="002312E7" w:rsidRPr="00D73E0B" w:rsidRDefault="002312E7" w:rsidP="002312E7">
      <w:pPr>
        <w:spacing w:after="0" w:line="340" w:lineRule="exact"/>
        <w:rPr>
          <w:rFonts w:ascii="Arial" w:eastAsia="Times New Roman" w:hAnsi="Arial" w:cs="Arial"/>
          <w:bCs/>
          <w:color w:val="000000"/>
          <w:sz w:val="24"/>
          <w:szCs w:val="24"/>
          <w:lang w:eastAsia="en-GB"/>
        </w:rPr>
      </w:pPr>
    </w:p>
    <w:p w:rsidR="00E565D1" w:rsidRPr="00D73E0B" w:rsidRDefault="00C70856" w:rsidP="002312E7">
      <w:pPr>
        <w:spacing w:after="0" w:line="340" w:lineRule="exact"/>
        <w:rPr>
          <w:rFonts w:ascii="Arial" w:eastAsia="Times New Roman" w:hAnsi="Arial" w:cs="Arial"/>
          <w:bCs/>
          <w:color w:val="000000"/>
          <w:sz w:val="24"/>
          <w:szCs w:val="24"/>
          <w:lang w:eastAsia="en-GB"/>
        </w:rPr>
      </w:pPr>
      <w:r w:rsidRPr="00D73E0B">
        <w:rPr>
          <w:rFonts w:ascii="Arial" w:eastAsia="Times New Roman" w:hAnsi="Arial" w:cs="Arial"/>
          <w:bCs/>
          <w:color w:val="000000"/>
          <w:sz w:val="24"/>
          <w:szCs w:val="24"/>
          <w:lang w:eastAsia="en-GB"/>
        </w:rPr>
        <w:t>Whilst</w:t>
      </w:r>
      <w:r w:rsidR="009C0325" w:rsidRPr="00D73E0B">
        <w:rPr>
          <w:rFonts w:ascii="Arial" w:eastAsia="Times New Roman" w:hAnsi="Arial" w:cs="Arial"/>
          <w:bCs/>
          <w:color w:val="000000"/>
          <w:sz w:val="24"/>
          <w:szCs w:val="24"/>
          <w:lang w:eastAsia="en-GB"/>
        </w:rPr>
        <w:t xml:space="preserve"> </w:t>
      </w:r>
      <w:r w:rsidR="00106475" w:rsidRPr="00D73E0B">
        <w:rPr>
          <w:rFonts w:ascii="Arial" w:eastAsia="Times New Roman" w:hAnsi="Arial" w:cs="Arial"/>
          <w:bCs/>
          <w:color w:val="000000"/>
          <w:sz w:val="24"/>
          <w:szCs w:val="24"/>
          <w:lang w:eastAsia="en-GB"/>
        </w:rPr>
        <w:t xml:space="preserve">the </w:t>
      </w:r>
      <w:r w:rsidR="009C0325" w:rsidRPr="00D73E0B">
        <w:rPr>
          <w:rFonts w:ascii="Arial" w:eastAsia="Times New Roman" w:hAnsi="Arial" w:cs="Arial"/>
          <w:bCs/>
          <w:color w:val="000000"/>
          <w:sz w:val="24"/>
          <w:szCs w:val="24"/>
          <w:lang w:eastAsia="en-GB"/>
        </w:rPr>
        <w:t>MCA</w:t>
      </w:r>
      <w:r w:rsidR="00106475" w:rsidRPr="00D73E0B">
        <w:rPr>
          <w:rFonts w:ascii="Arial" w:eastAsia="Times New Roman" w:hAnsi="Arial" w:cs="Arial"/>
          <w:bCs/>
          <w:color w:val="000000"/>
          <w:sz w:val="24"/>
          <w:szCs w:val="24"/>
          <w:lang w:eastAsia="en-GB"/>
        </w:rPr>
        <w:t>’s</w:t>
      </w:r>
      <w:r w:rsidR="009C0325" w:rsidRPr="00D73E0B">
        <w:rPr>
          <w:rFonts w:ascii="Arial" w:eastAsia="Times New Roman" w:hAnsi="Arial" w:cs="Arial"/>
          <w:bCs/>
          <w:color w:val="000000"/>
          <w:sz w:val="24"/>
          <w:szCs w:val="24"/>
          <w:lang w:eastAsia="en-GB"/>
        </w:rPr>
        <w:t xml:space="preserve"> cost</w:t>
      </w:r>
      <w:r w:rsidRPr="00D73E0B">
        <w:rPr>
          <w:rFonts w:ascii="Arial" w:eastAsia="Times New Roman" w:hAnsi="Arial" w:cs="Arial"/>
          <w:bCs/>
          <w:color w:val="000000"/>
          <w:sz w:val="24"/>
          <w:szCs w:val="24"/>
          <w:lang w:eastAsia="en-GB"/>
        </w:rPr>
        <w:t>s</w:t>
      </w:r>
      <w:r w:rsidR="009C0325" w:rsidRPr="00D73E0B">
        <w:rPr>
          <w:rFonts w:ascii="Arial" w:eastAsia="Times New Roman" w:hAnsi="Arial" w:cs="Arial"/>
          <w:bCs/>
          <w:color w:val="000000"/>
          <w:sz w:val="24"/>
          <w:szCs w:val="24"/>
          <w:lang w:eastAsia="en-GB"/>
        </w:rPr>
        <w:t xml:space="preserve"> ha</w:t>
      </w:r>
      <w:r w:rsidRPr="00D73E0B">
        <w:rPr>
          <w:rFonts w:ascii="Arial" w:eastAsia="Times New Roman" w:hAnsi="Arial" w:cs="Arial"/>
          <w:bCs/>
          <w:color w:val="000000"/>
          <w:sz w:val="24"/>
          <w:szCs w:val="24"/>
          <w:lang w:eastAsia="en-GB"/>
        </w:rPr>
        <w:t>ve</w:t>
      </w:r>
      <w:r w:rsidR="009C0325" w:rsidRPr="00D73E0B">
        <w:rPr>
          <w:rFonts w:ascii="Arial" w:eastAsia="Times New Roman" w:hAnsi="Arial" w:cs="Arial"/>
          <w:bCs/>
          <w:color w:val="000000"/>
          <w:sz w:val="24"/>
          <w:szCs w:val="24"/>
          <w:lang w:eastAsia="en-GB"/>
        </w:rPr>
        <w:t xml:space="preserve"> been increasing and increas</w:t>
      </w:r>
      <w:r w:rsidR="00425624" w:rsidRPr="00D73E0B">
        <w:rPr>
          <w:rFonts w:ascii="Arial" w:eastAsia="Times New Roman" w:hAnsi="Arial" w:cs="Arial"/>
          <w:bCs/>
          <w:color w:val="000000"/>
          <w:sz w:val="24"/>
          <w:szCs w:val="24"/>
          <w:lang w:eastAsia="en-GB"/>
        </w:rPr>
        <w:t>ed</w:t>
      </w:r>
      <w:r w:rsidR="009C0325" w:rsidRPr="00D73E0B">
        <w:rPr>
          <w:rFonts w:ascii="Arial" w:eastAsia="Times New Roman" w:hAnsi="Arial" w:cs="Arial"/>
          <w:bCs/>
          <w:color w:val="000000"/>
          <w:sz w:val="24"/>
          <w:szCs w:val="24"/>
          <w:lang w:eastAsia="en-GB"/>
        </w:rPr>
        <w:t xml:space="preserve"> in 201</w:t>
      </w:r>
      <w:r w:rsidR="00B26737" w:rsidRPr="00D73E0B">
        <w:rPr>
          <w:rFonts w:ascii="Arial" w:eastAsia="Times New Roman" w:hAnsi="Arial" w:cs="Arial"/>
          <w:bCs/>
          <w:color w:val="000000"/>
          <w:sz w:val="24"/>
          <w:szCs w:val="24"/>
          <w:lang w:eastAsia="en-GB"/>
        </w:rPr>
        <w:t>5</w:t>
      </w:r>
      <w:r w:rsidR="009C0325" w:rsidRPr="00D73E0B">
        <w:rPr>
          <w:rFonts w:ascii="Arial" w:eastAsia="Times New Roman" w:hAnsi="Arial" w:cs="Arial"/>
          <w:bCs/>
          <w:color w:val="000000"/>
          <w:sz w:val="24"/>
          <w:szCs w:val="24"/>
          <w:lang w:eastAsia="en-GB"/>
        </w:rPr>
        <w:t>/1</w:t>
      </w:r>
      <w:r w:rsidR="00B26737" w:rsidRPr="00D73E0B">
        <w:rPr>
          <w:rFonts w:ascii="Arial" w:eastAsia="Times New Roman" w:hAnsi="Arial" w:cs="Arial"/>
          <w:bCs/>
          <w:color w:val="000000"/>
          <w:sz w:val="24"/>
          <w:szCs w:val="24"/>
          <w:lang w:eastAsia="en-GB"/>
        </w:rPr>
        <w:t>6</w:t>
      </w:r>
      <w:r w:rsidR="0015045B" w:rsidRPr="00D73E0B">
        <w:rPr>
          <w:rFonts w:ascii="Arial" w:eastAsia="Times New Roman" w:hAnsi="Arial" w:cs="Arial"/>
          <w:bCs/>
          <w:color w:val="000000"/>
          <w:sz w:val="24"/>
          <w:szCs w:val="24"/>
          <w:lang w:eastAsia="en-GB"/>
        </w:rPr>
        <w:t>, there</w:t>
      </w:r>
      <w:r w:rsidRPr="00D73E0B">
        <w:rPr>
          <w:rFonts w:ascii="Arial" w:eastAsia="Times New Roman" w:hAnsi="Arial" w:cs="Arial"/>
          <w:bCs/>
          <w:color w:val="000000"/>
          <w:sz w:val="24"/>
          <w:szCs w:val="24"/>
          <w:lang w:eastAsia="en-GB"/>
        </w:rPr>
        <w:t xml:space="preserve"> have </w:t>
      </w:r>
      <w:r w:rsidR="0015045B" w:rsidRPr="00D73E0B">
        <w:rPr>
          <w:rFonts w:ascii="Arial" w:eastAsia="Times New Roman" w:hAnsi="Arial" w:cs="Arial"/>
          <w:bCs/>
          <w:color w:val="000000"/>
          <w:sz w:val="24"/>
          <w:szCs w:val="24"/>
          <w:lang w:eastAsia="en-GB"/>
        </w:rPr>
        <w:t>been significant</w:t>
      </w:r>
      <w:r w:rsidR="009C0325" w:rsidRPr="00D73E0B">
        <w:rPr>
          <w:rFonts w:ascii="Arial" w:eastAsia="Times New Roman" w:hAnsi="Arial" w:cs="Arial"/>
          <w:bCs/>
          <w:color w:val="000000"/>
          <w:sz w:val="24"/>
          <w:szCs w:val="24"/>
          <w:lang w:eastAsia="en-GB"/>
        </w:rPr>
        <w:t xml:space="preserve"> efficiency improvements (e.g. staff reductions of 12.3% between 2006/07 and 2012/13)</w:t>
      </w:r>
      <w:r w:rsidR="00CC03F0" w:rsidRPr="00D73E0B">
        <w:rPr>
          <w:rFonts w:ascii="Arial" w:eastAsia="Times New Roman" w:hAnsi="Arial" w:cs="Arial"/>
          <w:bCs/>
          <w:color w:val="000000"/>
          <w:sz w:val="24"/>
          <w:szCs w:val="24"/>
          <w:lang w:eastAsia="en-GB"/>
        </w:rPr>
        <w:t>. This has helped</w:t>
      </w:r>
      <w:r w:rsidR="009C0325" w:rsidRPr="00D73E0B">
        <w:rPr>
          <w:rFonts w:ascii="Arial" w:eastAsia="Times New Roman" w:hAnsi="Arial" w:cs="Arial"/>
          <w:bCs/>
          <w:color w:val="000000"/>
          <w:sz w:val="24"/>
          <w:szCs w:val="24"/>
          <w:lang w:eastAsia="en-GB"/>
        </w:rPr>
        <w:t xml:space="preserve"> to deliver services more efficiently </w:t>
      </w:r>
      <w:r w:rsidR="0015045B" w:rsidRPr="00D73E0B">
        <w:rPr>
          <w:rFonts w:ascii="Arial" w:eastAsia="Times New Roman" w:hAnsi="Arial" w:cs="Arial"/>
          <w:bCs/>
          <w:color w:val="000000"/>
          <w:sz w:val="24"/>
          <w:szCs w:val="24"/>
          <w:lang w:eastAsia="en-GB"/>
        </w:rPr>
        <w:t>and bear</w:t>
      </w:r>
      <w:r w:rsidRPr="00D73E0B">
        <w:rPr>
          <w:rFonts w:ascii="Arial" w:eastAsia="Times New Roman" w:hAnsi="Arial" w:cs="Arial"/>
          <w:bCs/>
          <w:color w:val="000000"/>
          <w:sz w:val="24"/>
          <w:szCs w:val="24"/>
          <w:lang w:eastAsia="en-GB"/>
        </w:rPr>
        <w:t xml:space="preserve"> down on costs</w:t>
      </w:r>
      <w:r w:rsidR="002312E7" w:rsidRPr="00D73E0B">
        <w:rPr>
          <w:rFonts w:ascii="Arial" w:eastAsia="Times New Roman" w:hAnsi="Arial" w:cs="Arial"/>
          <w:bCs/>
          <w:color w:val="000000"/>
          <w:sz w:val="24"/>
          <w:szCs w:val="24"/>
          <w:lang w:eastAsia="en-GB"/>
        </w:rPr>
        <w:t xml:space="preserve">. </w:t>
      </w:r>
      <w:r w:rsidR="009C0325" w:rsidRPr="00D73E0B">
        <w:rPr>
          <w:rFonts w:ascii="Arial" w:eastAsia="Times New Roman" w:hAnsi="Arial" w:cs="Arial"/>
          <w:bCs/>
          <w:color w:val="000000"/>
          <w:sz w:val="24"/>
          <w:szCs w:val="24"/>
          <w:lang w:eastAsia="en-GB"/>
        </w:rPr>
        <w:t xml:space="preserve">However, there will be an annual </w:t>
      </w:r>
      <w:r w:rsidR="009C0325" w:rsidRPr="00D73E0B">
        <w:rPr>
          <w:rFonts w:ascii="Arial" w:eastAsia="Times New Roman" w:hAnsi="Arial" w:cs="Arial"/>
          <w:bCs/>
          <w:color w:val="000000"/>
          <w:sz w:val="24"/>
          <w:szCs w:val="24"/>
          <w:lang w:eastAsia="en-GB"/>
        </w:rPr>
        <w:lastRenderedPageBreak/>
        <w:t xml:space="preserve">shortfall between income and costs for the services covered which was estimated at £3.7m (in 2010 prices) in 2010-11 due to </w:t>
      </w:r>
      <w:r w:rsidRPr="00D73E0B">
        <w:rPr>
          <w:rFonts w:ascii="Arial" w:eastAsia="Times New Roman" w:hAnsi="Arial" w:cs="Arial"/>
          <w:bCs/>
          <w:color w:val="000000"/>
          <w:sz w:val="24"/>
          <w:szCs w:val="24"/>
          <w:lang w:eastAsia="en-GB"/>
        </w:rPr>
        <w:t xml:space="preserve">below cost </w:t>
      </w:r>
      <w:r w:rsidR="0015045B" w:rsidRPr="00D73E0B">
        <w:rPr>
          <w:rFonts w:ascii="Arial" w:eastAsia="Times New Roman" w:hAnsi="Arial" w:cs="Arial"/>
          <w:bCs/>
          <w:color w:val="000000"/>
          <w:sz w:val="24"/>
          <w:szCs w:val="24"/>
          <w:lang w:eastAsia="en-GB"/>
        </w:rPr>
        <w:t>fees which</w:t>
      </w:r>
      <w:r w:rsidR="009C0325" w:rsidRPr="00D73E0B">
        <w:rPr>
          <w:rFonts w:ascii="Arial" w:eastAsia="Times New Roman" w:hAnsi="Arial" w:cs="Arial"/>
          <w:bCs/>
          <w:color w:val="000000"/>
          <w:sz w:val="24"/>
          <w:szCs w:val="24"/>
          <w:lang w:eastAsia="en-GB"/>
        </w:rPr>
        <w:t xml:space="preserve"> </w:t>
      </w:r>
      <w:r w:rsidR="00605379" w:rsidRPr="00D73E0B">
        <w:rPr>
          <w:rFonts w:ascii="Arial" w:eastAsia="Times New Roman" w:hAnsi="Arial" w:cs="Arial"/>
          <w:bCs/>
          <w:color w:val="000000"/>
          <w:sz w:val="24"/>
          <w:szCs w:val="24"/>
          <w:lang w:eastAsia="en-GB"/>
        </w:rPr>
        <w:t xml:space="preserve">the </w:t>
      </w:r>
      <w:r w:rsidR="009C0325" w:rsidRPr="00D73E0B">
        <w:rPr>
          <w:rFonts w:ascii="Arial" w:eastAsia="Times New Roman" w:hAnsi="Arial" w:cs="Arial"/>
          <w:bCs/>
          <w:color w:val="000000"/>
          <w:sz w:val="24"/>
          <w:szCs w:val="24"/>
          <w:lang w:eastAsia="en-GB"/>
        </w:rPr>
        <w:t xml:space="preserve">MCA </w:t>
      </w:r>
      <w:r w:rsidR="00605379" w:rsidRPr="00D73E0B">
        <w:rPr>
          <w:rFonts w:ascii="Arial" w:eastAsia="Times New Roman" w:hAnsi="Arial" w:cs="Arial"/>
          <w:bCs/>
          <w:color w:val="000000"/>
          <w:sz w:val="24"/>
          <w:szCs w:val="24"/>
          <w:lang w:eastAsia="en-GB"/>
        </w:rPr>
        <w:t>is</w:t>
      </w:r>
      <w:r w:rsidR="009C0325" w:rsidRPr="00D73E0B">
        <w:rPr>
          <w:rFonts w:ascii="Arial" w:eastAsia="Times New Roman" w:hAnsi="Arial" w:cs="Arial"/>
          <w:bCs/>
          <w:color w:val="000000"/>
          <w:sz w:val="24"/>
          <w:szCs w:val="24"/>
          <w:lang w:eastAsia="en-GB"/>
        </w:rPr>
        <w:t xml:space="preserve"> unable to absorb. The total income from the full range of fees covered by </w:t>
      </w:r>
      <w:r w:rsidR="001C2A72" w:rsidRPr="00D73E0B">
        <w:rPr>
          <w:rFonts w:ascii="Arial" w:eastAsia="Times New Roman" w:hAnsi="Arial" w:cs="Arial"/>
          <w:bCs/>
          <w:color w:val="000000"/>
          <w:sz w:val="24"/>
          <w:szCs w:val="24"/>
          <w:lang w:eastAsia="en-GB"/>
        </w:rPr>
        <w:t>this consultation</w:t>
      </w:r>
      <w:r w:rsidR="009C0325" w:rsidRPr="00D73E0B">
        <w:rPr>
          <w:rFonts w:ascii="Arial" w:eastAsia="Times New Roman" w:hAnsi="Arial" w:cs="Arial"/>
          <w:bCs/>
          <w:color w:val="000000"/>
          <w:sz w:val="24"/>
          <w:szCs w:val="24"/>
          <w:lang w:eastAsia="en-GB"/>
        </w:rPr>
        <w:t xml:space="preserve"> is estimated at approximately £12.7m (in 2010 prices). </w:t>
      </w:r>
      <w:r w:rsidR="001F53E0" w:rsidRPr="00D73E0B">
        <w:rPr>
          <w:rFonts w:ascii="Arial" w:eastAsia="Times New Roman" w:hAnsi="Arial" w:cs="Arial"/>
          <w:bCs/>
          <w:color w:val="000000"/>
          <w:sz w:val="24"/>
          <w:szCs w:val="24"/>
          <w:lang w:eastAsia="en-GB"/>
        </w:rPr>
        <w:t xml:space="preserve">In order to </w:t>
      </w:r>
      <w:r w:rsidR="009C0325" w:rsidRPr="00D73E0B">
        <w:rPr>
          <w:rFonts w:ascii="Arial" w:eastAsia="Times New Roman" w:hAnsi="Arial" w:cs="Arial"/>
          <w:bCs/>
          <w:color w:val="000000"/>
          <w:sz w:val="24"/>
          <w:szCs w:val="24"/>
          <w:lang w:eastAsia="en-GB"/>
        </w:rPr>
        <w:t>bridge the gap between costs and income, without reducing service standards,</w:t>
      </w:r>
      <w:r w:rsidR="001F53E0" w:rsidRPr="00D73E0B">
        <w:rPr>
          <w:rFonts w:ascii="Arial" w:eastAsia="Times New Roman" w:hAnsi="Arial" w:cs="Arial"/>
          <w:bCs/>
          <w:color w:val="000000"/>
          <w:sz w:val="24"/>
          <w:szCs w:val="24"/>
          <w:lang w:eastAsia="en-GB"/>
        </w:rPr>
        <w:t xml:space="preserve"> </w:t>
      </w:r>
      <w:r w:rsidR="00F165A9" w:rsidRPr="00D73E0B">
        <w:rPr>
          <w:rFonts w:ascii="Arial" w:eastAsia="Times New Roman" w:hAnsi="Arial" w:cs="Arial"/>
          <w:bCs/>
          <w:color w:val="000000"/>
          <w:sz w:val="24"/>
          <w:szCs w:val="24"/>
          <w:lang w:eastAsia="en-GB"/>
        </w:rPr>
        <w:t xml:space="preserve">high level estimates and analyses </w:t>
      </w:r>
      <w:r w:rsidR="001F53E0" w:rsidRPr="00D73E0B">
        <w:rPr>
          <w:rFonts w:ascii="Arial" w:eastAsia="Times New Roman" w:hAnsi="Arial" w:cs="Arial"/>
          <w:bCs/>
          <w:color w:val="000000"/>
          <w:sz w:val="24"/>
          <w:szCs w:val="24"/>
          <w:lang w:eastAsia="en-GB"/>
        </w:rPr>
        <w:t>demonstrate that</w:t>
      </w:r>
      <w:r w:rsidR="009C0325" w:rsidRPr="00D73E0B">
        <w:rPr>
          <w:rFonts w:ascii="Arial" w:eastAsia="Times New Roman" w:hAnsi="Arial" w:cs="Arial"/>
          <w:bCs/>
          <w:color w:val="000000"/>
          <w:sz w:val="24"/>
          <w:szCs w:val="24"/>
          <w:lang w:eastAsia="en-GB"/>
        </w:rPr>
        <w:t xml:space="preserve"> an increase in fees by</w:t>
      </w:r>
      <w:r w:rsidR="001F53E0" w:rsidRPr="00D73E0B">
        <w:rPr>
          <w:rFonts w:ascii="Arial" w:eastAsia="Times New Roman" w:hAnsi="Arial" w:cs="Arial"/>
          <w:bCs/>
          <w:color w:val="000000"/>
          <w:sz w:val="24"/>
          <w:szCs w:val="24"/>
          <w:lang w:eastAsia="en-GB"/>
        </w:rPr>
        <w:t xml:space="preserve"> an average </w:t>
      </w:r>
      <w:r w:rsidR="00CC03F0" w:rsidRPr="00D73E0B">
        <w:rPr>
          <w:rFonts w:ascii="Arial" w:eastAsia="Times New Roman" w:hAnsi="Arial" w:cs="Arial"/>
          <w:bCs/>
          <w:color w:val="000000"/>
          <w:sz w:val="24"/>
          <w:szCs w:val="24"/>
          <w:lang w:eastAsia="en-GB"/>
        </w:rPr>
        <w:t xml:space="preserve">(based on forecast volumes) </w:t>
      </w:r>
      <w:r w:rsidR="001F53E0" w:rsidRPr="00D73E0B">
        <w:rPr>
          <w:rFonts w:ascii="Arial" w:eastAsia="Times New Roman" w:hAnsi="Arial" w:cs="Arial"/>
          <w:bCs/>
          <w:color w:val="000000"/>
          <w:sz w:val="24"/>
          <w:szCs w:val="24"/>
          <w:lang w:eastAsia="en-GB"/>
        </w:rPr>
        <w:t>of</w:t>
      </w:r>
      <w:r w:rsidR="00CC03F0" w:rsidRPr="00D73E0B">
        <w:rPr>
          <w:rFonts w:ascii="Arial" w:eastAsia="Times New Roman" w:hAnsi="Arial" w:cs="Arial"/>
          <w:bCs/>
          <w:color w:val="000000"/>
          <w:sz w:val="24"/>
          <w:szCs w:val="24"/>
          <w:lang w:eastAsia="en-GB"/>
        </w:rPr>
        <w:t xml:space="preserve"> </w:t>
      </w:r>
      <w:r w:rsidR="009C0325" w:rsidRPr="00D73E0B">
        <w:rPr>
          <w:rFonts w:ascii="Arial" w:eastAsia="Times New Roman" w:hAnsi="Arial" w:cs="Arial"/>
          <w:bCs/>
          <w:color w:val="000000"/>
          <w:sz w:val="24"/>
          <w:szCs w:val="24"/>
          <w:lang w:eastAsia="en-GB"/>
        </w:rPr>
        <w:t>57% for marine services, 17% for RSS and 20% for STC examinations is needed.</w:t>
      </w:r>
      <w:r w:rsidR="002312E7" w:rsidRPr="00D73E0B">
        <w:rPr>
          <w:rFonts w:ascii="Arial" w:eastAsia="Times New Roman" w:hAnsi="Arial" w:cs="Arial"/>
          <w:bCs/>
          <w:color w:val="000000"/>
          <w:sz w:val="24"/>
          <w:szCs w:val="24"/>
          <w:lang w:eastAsia="en-GB"/>
        </w:rPr>
        <w:t xml:space="preserve"> </w:t>
      </w:r>
      <w:r w:rsidR="009C0325" w:rsidRPr="00D73E0B">
        <w:rPr>
          <w:rFonts w:ascii="Arial" w:eastAsia="Times New Roman" w:hAnsi="Arial" w:cs="Arial"/>
          <w:bCs/>
          <w:color w:val="000000"/>
          <w:sz w:val="24"/>
          <w:szCs w:val="24"/>
          <w:lang w:eastAsia="en-GB"/>
        </w:rPr>
        <w:t>Th</w:t>
      </w:r>
      <w:r w:rsidR="00F165A9" w:rsidRPr="00D73E0B">
        <w:rPr>
          <w:rFonts w:ascii="Arial" w:eastAsia="Times New Roman" w:hAnsi="Arial" w:cs="Arial"/>
          <w:bCs/>
          <w:color w:val="000000"/>
          <w:sz w:val="24"/>
          <w:szCs w:val="24"/>
          <w:lang w:eastAsia="en-GB"/>
        </w:rPr>
        <w:t>e plan is to</w:t>
      </w:r>
      <w:r w:rsidR="009C0325" w:rsidRPr="00D73E0B">
        <w:rPr>
          <w:rFonts w:ascii="Arial" w:eastAsia="Times New Roman" w:hAnsi="Arial" w:cs="Arial"/>
          <w:bCs/>
          <w:color w:val="000000"/>
          <w:sz w:val="24"/>
          <w:szCs w:val="24"/>
          <w:lang w:eastAsia="en-GB"/>
        </w:rPr>
        <w:t xml:space="preserve"> move</w:t>
      </w:r>
      <w:r w:rsidR="001F53E0" w:rsidRPr="00D73E0B">
        <w:rPr>
          <w:rFonts w:ascii="Arial" w:eastAsia="Times New Roman" w:hAnsi="Arial" w:cs="Arial"/>
          <w:bCs/>
          <w:color w:val="000000"/>
          <w:sz w:val="24"/>
          <w:szCs w:val="24"/>
          <w:lang w:eastAsia="en-GB"/>
        </w:rPr>
        <w:t xml:space="preserve"> </w:t>
      </w:r>
      <w:r w:rsidR="00106475" w:rsidRPr="00D73E0B">
        <w:rPr>
          <w:rFonts w:ascii="Arial" w:eastAsia="Times New Roman" w:hAnsi="Arial" w:cs="Arial"/>
          <w:bCs/>
          <w:color w:val="000000"/>
          <w:sz w:val="24"/>
          <w:szCs w:val="24"/>
          <w:lang w:eastAsia="en-GB"/>
        </w:rPr>
        <w:t xml:space="preserve">the </w:t>
      </w:r>
      <w:r w:rsidR="001F53E0" w:rsidRPr="00D73E0B">
        <w:rPr>
          <w:rFonts w:ascii="Arial" w:eastAsia="Times New Roman" w:hAnsi="Arial" w:cs="Arial"/>
          <w:bCs/>
          <w:color w:val="000000"/>
          <w:sz w:val="24"/>
          <w:szCs w:val="24"/>
          <w:lang w:eastAsia="en-GB"/>
        </w:rPr>
        <w:t>MCA</w:t>
      </w:r>
      <w:r w:rsidR="009C0325" w:rsidRPr="00D73E0B">
        <w:rPr>
          <w:rFonts w:ascii="Arial" w:eastAsia="Times New Roman" w:hAnsi="Arial" w:cs="Arial"/>
          <w:bCs/>
          <w:color w:val="000000"/>
          <w:sz w:val="24"/>
          <w:szCs w:val="24"/>
          <w:lang w:eastAsia="en-GB"/>
        </w:rPr>
        <w:t xml:space="preserve"> to immediate cost recovery</w:t>
      </w:r>
      <w:r w:rsidR="001F53E0" w:rsidRPr="00D73E0B">
        <w:rPr>
          <w:rFonts w:ascii="Arial" w:eastAsia="Times New Roman" w:hAnsi="Arial" w:cs="Arial"/>
          <w:bCs/>
          <w:color w:val="000000"/>
          <w:sz w:val="24"/>
          <w:szCs w:val="24"/>
          <w:lang w:eastAsia="en-GB"/>
        </w:rPr>
        <w:t xml:space="preserve"> for these service areas,</w:t>
      </w:r>
      <w:r w:rsidR="009C0325" w:rsidRPr="00D73E0B">
        <w:rPr>
          <w:rFonts w:ascii="Arial" w:eastAsia="Times New Roman" w:hAnsi="Arial" w:cs="Arial"/>
          <w:bCs/>
          <w:color w:val="000000"/>
          <w:sz w:val="24"/>
          <w:szCs w:val="24"/>
          <w:lang w:eastAsia="en-GB"/>
        </w:rPr>
        <w:t xml:space="preserve"> in line with </w:t>
      </w:r>
      <w:r w:rsidR="00F165A9" w:rsidRPr="00D73E0B">
        <w:rPr>
          <w:rFonts w:ascii="Arial" w:eastAsia="Times New Roman" w:hAnsi="Arial" w:cs="Arial"/>
          <w:bCs/>
          <w:color w:val="000000"/>
          <w:sz w:val="24"/>
          <w:szCs w:val="24"/>
          <w:lang w:eastAsia="en-GB"/>
        </w:rPr>
        <w:t>full cost recovery</w:t>
      </w:r>
      <w:r w:rsidR="005B216F" w:rsidRPr="00D73E0B">
        <w:rPr>
          <w:rFonts w:ascii="Arial" w:eastAsia="Times New Roman" w:hAnsi="Arial" w:cs="Arial"/>
          <w:bCs/>
          <w:color w:val="000000"/>
          <w:sz w:val="24"/>
          <w:szCs w:val="24"/>
          <w:lang w:eastAsia="en-GB"/>
        </w:rPr>
        <w:t xml:space="preserve"> and to eliminate any cross-subsidisation across individual fees</w:t>
      </w:r>
      <w:r w:rsidR="009C0325" w:rsidRPr="00D73E0B">
        <w:rPr>
          <w:rFonts w:ascii="Arial" w:eastAsia="Times New Roman" w:hAnsi="Arial" w:cs="Arial"/>
          <w:bCs/>
          <w:color w:val="000000"/>
          <w:sz w:val="24"/>
          <w:szCs w:val="24"/>
          <w:lang w:eastAsia="en-GB"/>
        </w:rPr>
        <w:t xml:space="preserve">. </w:t>
      </w:r>
    </w:p>
    <w:p w:rsidR="00E565D1" w:rsidRPr="00D73E0B" w:rsidRDefault="00E565D1" w:rsidP="002312E7">
      <w:pPr>
        <w:spacing w:after="0" w:line="340" w:lineRule="exact"/>
        <w:rPr>
          <w:rFonts w:ascii="Arial" w:eastAsia="Times New Roman" w:hAnsi="Arial" w:cs="Arial"/>
          <w:bCs/>
          <w:color w:val="000000"/>
          <w:sz w:val="24"/>
          <w:szCs w:val="24"/>
          <w:lang w:eastAsia="en-GB"/>
        </w:rPr>
      </w:pPr>
    </w:p>
    <w:p w:rsidR="00245D6F" w:rsidRPr="00D73E0B" w:rsidRDefault="007615A2" w:rsidP="002312E7">
      <w:pPr>
        <w:spacing w:after="0" w:line="340" w:lineRule="exact"/>
        <w:rPr>
          <w:rFonts w:ascii="Arial" w:eastAsia="Times New Roman" w:hAnsi="Arial" w:cs="Times New Roman"/>
          <w:sz w:val="24"/>
          <w:szCs w:val="24"/>
          <w:u w:val="single"/>
          <w:lang w:eastAsia="en-GB"/>
        </w:rPr>
      </w:pPr>
      <w:r w:rsidRPr="00D73E0B">
        <w:rPr>
          <w:rFonts w:ascii="Arial" w:eastAsia="Times New Roman" w:hAnsi="Arial" w:cs="Times New Roman"/>
          <w:sz w:val="24"/>
          <w:szCs w:val="24"/>
          <w:u w:val="single"/>
          <w:lang w:eastAsia="en-GB"/>
        </w:rPr>
        <w:t xml:space="preserve">Immediate </w:t>
      </w:r>
      <w:r w:rsidR="00F165A9" w:rsidRPr="00D73E0B">
        <w:rPr>
          <w:rFonts w:ascii="Arial" w:eastAsia="Times New Roman" w:hAnsi="Arial" w:cs="Times New Roman"/>
          <w:sz w:val="24"/>
          <w:szCs w:val="24"/>
          <w:u w:val="single"/>
          <w:lang w:eastAsia="en-GB"/>
        </w:rPr>
        <w:t>f</w:t>
      </w:r>
      <w:r w:rsidR="00245D6F" w:rsidRPr="00D73E0B">
        <w:rPr>
          <w:rFonts w:ascii="Arial" w:eastAsia="Times New Roman" w:hAnsi="Arial" w:cs="Times New Roman"/>
          <w:sz w:val="24"/>
          <w:szCs w:val="24"/>
          <w:u w:val="single"/>
          <w:lang w:eastAsia="en-GB"/>
        </w:rPr>
        <w:t xml:space="preserve">ee increases </w:t>
      </w:r>
      <w:r w:rsidR="003E0EC4" w:rsidRPr="00D73E0B">
        <w:rPr>
          <w:rFonts w:ascii="Arial" w:eastAsia="Times New Roman" w:hAnsi="Arial" w:cs="Times New Roman"/>
          <w:sz w:val="24"/>
          <w:szCs w:val="24"/>
          <w:u w:val="single"/>
          <w:lang w:eastAsia="en-GB"/>
        </w:rPr>
        <w:t xml:space="preserve">in line </w:t>
      </w:r>
      <w:r w:rsidR="001A0107" w:rsidRPr="00D73E0B">
        <w:rPr>
          <w:rFonts w:ascii="Arial" w:eastAsia="Times New Roman" w:hAnsi="Arial" w:cs="Times New Roman"/>
          <w:sz w:val="24"/>
          <w:szCs w:val="24"/>
          <w:u w:val="single"/>
          <w:lang w:eastAsia="en-GB"/>
        </w:rPr>
        <w:t>with full</w:t>
      </w:r>
      <w:r w:rsidR="00245D6F" w:rsidRPr="00D73E0B">
        <w:rPr>
          <w:rFonts w:ascii="Arial" w:eastAsia="Times New Roman" w:hAnsi="Arial" w:cs="Times New Roman"/>
          <w:sz w:val="24"/>
          <w:szCs w:val="24"/>
          <w:u w:val="single"/>
          <w:lang w:eastAsia="en-GB"/>
        </w:rPr>
        <w:t xml:space="preserve"> cost recovery</w:t>
      </w:r>
    </w:p>
    <w:p w:rsidR="008B696C" w:rsidRDefault="00C83A45" w:rsidP="002312E7">
      <w:pPr>
        <w:spacing w:after="0" w:line="340" w:lineRule="exact"/>
        <w:rPr>
          <w:rFonts w:ascii="Arial" w:eastAsia="Times New Roman" w:hAnsi="Arial" w:cs="Times New Roman"/>
          <w:sz w:val="24"/>
          <w:szCs w:val="24"/>
          <w:lang w:eastAsia="en-GB"/>
        </w:rPr>
      </w:pPr>
      <w:r w:rsidRPr="00D73E0B">
        <w:rPr>
          <w:rFonts w:ascii="Arial" w:eastAsia="Times New Roman" w:hAnsi="Arial" w:cs="Times New Roman"/>
          <w:sz w:val="24"/>
          <w:szCs w:val="24"/>
          <w:lang w:eastAsia="en-GB"/>
        </w:rPr>
        <w:t xml:space="preserve">At </w:t>
      </w:r>
      <w:r w:rsidR="00245D6F" w:rsidRPr="00D73E0B">
        <w:rPr>
          <w:rFonts w:ascii="Arial" w:eastAsia="Times New Roman" w:hAnsi="Arial" w:cs="Times New Roman"/>
          <w:sz w:val="24"/>
          <w:szCs w:val="24"/>
          <w:lang w:eastAsia="en-GB"/>
        </w:rPr>
        <w:t>the current fee level</w:t>
      </w:r>
      <w:r w:rsidR="003E0EC4" w:rsidRPr="00D73E0B">
        <w:rPr>
          <w:rFonts w:ascii="Arial" w:eastAsia="Times New Roman" w:hAnsi="Arial" w:cs="Times New Roman"/>
          <w:sz w:val="24"/>
          <w:szCs w:val="24"/>
          <w:lang w:eastAsia="en-GB"/>
        </w:rPr>
        <w:t>s</w:t>
      </w:r>
      <w:r w:rsidR="002312E7" w:rsidRPr="00D73E0B">
        <w:rPr>
          <w:rFonts w:ascii="Arial" w:eastAsia="Times New Roman" w:hAnsi="Arial" w:cs="Times New Roman"/>
          <w:sz w:val="24"/>
          <w:szCs w:val="24"/>
          <w:lang w:eastAsia="en-GB"/>
        </w:rPr>
        <w:t>,</w:t>
      </w:r>
      <w:r w:rsidR="00245D6F" w:rsidRPr="00D73E0B">
        <w:rPr>
          <w:rFonts w:ascii="Arial" w:eastAsia="Times New Roman" w:hAnsi="Arial" w:cs="Times New Roman"/>
          <w:sz w:val="24"/>
          <w:szCs w:val="24"/>
          <w:lang w:eastAsia="en-GB"/>
        </w:rPr>
        <w:t xml:space="preserve"> the MCA is not covering its costs of providing marine surveys</w:t>
      </w:r>
      <w:r w:rsidR="00705A8C" w:rsidRPr="00D73E0B">
        <w:rPr>
          <w:rFonts w:ascii="Arial" w:eastAsia="Times New Roman" w:hAnsi="Arial" w:cs="Times New Roman"/>
          <w:sz w:val="24"/>
          <w:szCs w:val="24"/>
          <w:lang w:eastAsia="en-GB"/>
        </w:rPr>
        <w:t xml:space="preserve"> – </w:t>
      </w:r>
      <w:r w:rsidR="00A54BA2" w:rsidRPr="00D73E0B">
        <w:rPr>
          <w:rFonts w:ascii="Arial" w:eastAsia="Times New Roman" w:hAnsi="Arial" w:cs="Times New Roman"/>
          <w:sz w:val="24"/>
          <w:szCs w:val="24"/>
          <w:lang w:eastAsia="en-GB"/>
        </w:rPr>
        <w:t>(</w:t>
      </w:r>
      <w:r w:rsidR="00705A8C" w:rsidRPr="00D73E0B">
        <w:rPr>
          <w:rFonts w:ascii="Arial" w:eastAsia="Times New Roman" w:hAnsi="Arial" w:cs="Times New Roman"/>
          <w:sz w:val="24"/>
          <w:szCs w:val="24"/>
          <w:lang w:eastAsia="en-GB"/>
        </w:rPr>
        <w:t>MS</w:t>
      </w:r>
      <w:r w:rsidR="00A54BA2" w:rsidRPr="00D73E0B">
        <w:rPr>
          <w:rFonts w:ascii="Arial" w:eastAsia="Times New Roman" w:hAnsi="Arial" w:cs="Times New Roman"/>
          <w:sz w:val="24"/>
          <w:szCs w:val="24"/>
          <w:lang w:eastAsia="en-GB"/>
        </w:rPr>
        <w:t>)</w:t>
      </w:r>
      <w:r w:rsidR="00245D6F" w:rsidRPr="00D73E0B">
        <w:rPr>
          <w:rFonts w:ascii="Arial" w:eastAsia="Times New Roman" w:hAnsi="Arial" w:cs="Times New Roman"/>
          <w:sz w:val="24"/>
          <w:szCs w:val="24"/>
          <w:lang w:eastAsia="en-GB"/>
        </w:rPr>
        <w:t>,</w:t>
      </w:r>
      <w:r w:rsidR="00705A8C" w:rsidRPr="00D73E0B">
        <w:rPr>
          <w:rFonts w:ascii="Arial" w:eastAsia="Times New Roman" w:hAnsi="Arial" w:cs="Times New Roman"/>
          <w:sz w:val="24"/>
          <w:szCs w:val="24"/>
          <w:lang w:eastAsia="en-GB"/>
        </w:rPr>
        <w:t xml:space="preserve"> registrations</w:t>
      </w:r>
      <w:r w:rsidRPr="00D73E0B">
        <w:rPr>
          <w:rFonts w:ascii="Arial" w:eastAsia="Times New Roman" w:hAnsi="Arial" w:cs="Times New Roman"/>
          <w:sz w:val="24"/>
          <w:szCs w:val="24"/>
          <w:lang w:eastAsia="en-GB"/>
        </w:rPr>
        <w:t xml:space="preserve"> (</w:t>
      </w:r>
      <w:r w:rsidR="00245D6F" w:rsidRPr="00D73E0B">
        <w:rPr>
          <w:rFonts w:ascii="Arial" w:eastAsia="Times New Roman" w:hAnsi="Arial" w:cs="Times New Roman"/>
          <w:sz w:val="24"/>
          <w:szCs w:val="24"/>
          <w:lang w:eastAsia="en-GB"/>
        </w:rPr>
        <w:t>RSS</w:t>
      </w:r>
      <w:r w:rsidRPr="00D73E0B">
        <w:rPr>
          <w:rFonts w:ascii="Arial" w:eastAsia="Times New Roman" w:hAnsi="Arial" w:cs="Times New Roman"/>
          <w:sz w:val="24"/>
          <w:szCs w:val="24"/>
          <w:lang w:eastAsia="en-GB"/>
        </w:rPr>
        <w:t>)</w:t>
      </w:r>
      <w:r w:rsidR="00245D6F" w:rsidRPr="00D73E0B">
        <w:rPr>
          <w:rFonts w:ascii="Arial" w:eastAsia="Times New Roman" w:hAnsi="Arial" w:cs="Times New Roman"/>
          <w:sz w:val="24"/>
          <w:szCs w:val="24"/>
          <w:lang w:eastAsia="en-GB"/>
        </w:rPr>
        <w:t xml:space="preserve"> and </w:t>
      </w:r>
      <w:r w:rsidR="00705A8C" w:rsidRPr="00D73E0B">
        <w:rPr>
          <w:rFonts w:ascii="Arial" w:eastAsia="Times New Roman" w:hAnsi="Arial" w:cs="Times New Roman"/>
          <w:sz w:val="24"/>
          <w:szCs w:val="24"/>
          <w:lang w:eastAsia="en-GB"/>
        </w:rPr>
        <w:t>training</w:t>
      </w:r>
      <w:r w:rsidRPr="00D73E0B">
        <w:rPr>
          <w:rFonts w:ascii="Arial" w:eastAsia="Times New Roman" w:hAnsi="Arial" w:cs="Times New Roman"/>
          <w:sz w:val="24"/>
          <w:szCs w:val="24"/>
          <w:lang w:eastAsia="en-GB"/>
        </w:rPr>
        <w:t xml:space="preserve"> (S</w:t>
      </w:r>
      <w:r w:rsidR="00245D6F" w:rsidRPr="00D73E0B">
        <w:rPr>
          <w:rFonts w:ascii="Arial" w:eastAsia="Times New Roman" w:hAnsi="Arial" w:cs="Times New Roman"/>
          <w:sz w:val="24"/>
          <w:szCs w:val="24"/>
          <w:lang w:eastAsia="en-GB"/>
        </w:rPr>
        <w:t>TC</w:t>
      </w:r>
      <w:r w:rsidRPr="00D73E0B">
        <w:rPr>
          <w:rFonts w:ascii="Arial" w:eastAsia="Times New Roman" w:hAnsi="Arial" w:cs="Times New Roman"/>
          <w:sz w:val="24"/>
          <w:szCs w:val="24"/>
          <w:lang w:eastAsia="en-GB"/>
        </w:rPr>
        <w:t>)</w:t>
      </w:r>
      <w:r w:rsidR="00245D6F" w:rsidRPr="00D73E0B">
        <w:rPr>
          <w:rFonts w:ascii="Arial" w:eastAsia="Times New Roman" w:hAnsi="Arial" w:cs="Times New Roman"/>
          <w:sz w:val="24"/>
          <w:szCs w:val="24"/>
          <w:lang w:eastAsia="en-GB"/>
        </w:rPr>
        <w:t xml:space="preserve"> services. Without a</w:t>
      </w:r>
      <w:r w:rsidR="007615A2" w:rsidRPr="00D73E0B">
        <w:rPr>
          <w:rFonts w:ascii="Arial" w:eastAsia="Times New Roman" w:hAnsi="Arial" w:cs="Times New Roman"/>
          <w:sz w:val="24"/>
          <w:szCs w:val="24"/>
          <w:lang w:eastAsia="en-GB"/>
        </w:rPr>
        <w:t>n immediate</w:t>
      </w:r>
      <w:r w:rsidR="00245D6F" w:rsidRPr="00D73E0B">
        <w:rPr>
          <w:rFonts w:ascii="Arial" w:eastAsia="Times New Roman" w:hAnsi="Arial" w:cs="Times New Roman"/>
          <w:sz w:val="24"/>
          <w:szCs w:val="24"/>
          <w:lang w:eastAsia="en-GB"/>
        </w:rPr>
        <w:t xml:space="preserve"> change in fee levels</w:t>
      </w:r>
      <w:r w:rsidR="002312E7" w:rsidRPr="00D73E0B">
        <w:rPr>
          <w:rFonts w:ascii="Arial" w:eastAsia="Times New Roman" w:hAnsi="Arial" w:cs="Times New Roman"/>
          <w:sz w:val="24"/>
          <w:szCs w:val="24"/>
          <w:lang w:eastAsia="en-GB"/>
        </w:rPr>
        <w:t>,</w:t>
      </w:r>
      <w:r w:rsidR="00245D6F" w:rsidRPr="00D73E0B">
        <w:rPr>
          <w:rFonts w:ascii="Arial" w:eastAsia="Times New Roman" w:hAnsi="Arial" w:cs="Times New Roman"/>
          <w:sz w:val="24"/>
          <w:szCs w:val="24"/>
          <w:lang w:eastAsia="en-GB"/>
        </w:rPr>
        <w:t xml:space="preserve"> we would expect this trend to continue</w:t>
      </w:r>
      <w:r w:rsidR="007615A2" w:rsidRPr="00D73E0B">
        <w:rPr>
          <w:rFonts w:ascii="Arial" w:eastAsia="Times New Roman" w:hAnsi="Arial" w:cs="Times New Roman"/>
          <w:sz w:val="24"/>
          <w:szCs w:val="24"/>
          <w:lang w:eastAsia="en-GB"/>
        </w:rPr>
        <w:t xml:space="preserve"> and for the UK tax</w:t>
      </w:r>
      <w:r w:rsidR="002312E7" w:rsidRPr="00D73E0B">
        <w:rPr>
          <w:rFonts w:ascii="Arial" w:eastAsia="Times New Roman" w:hAnsi="Arial" w:cs="Times New Roman"/>
          <w:sz w:val="24"/>
          <w:szCs w:val="24"/>
          <w:lang w:eastAsia="en-GB"/>
        </w:rPr>
        <w:t>-</w:t>
      </w:r>
      <w:r w:rsidR="007615A2" w:rsidRPr="00D73E0B">
        <w:rPr>
          <w:rFonts w:ascii="Arial" w:eastAsia="Times New Roman" w:hAnsi="Arial" w:cs="Times New Roman"/>
          <w:sz w:val="24"/>
          <w:szCs w:val="24"/>
          <w:lang w:eastAsia="en-GB"/>
        </w:rPr>
        <w:t>payer to bear the burden of the annual deficit from UK tax revenues</w:t>
      </w:r>
      <w:r w:rsidR="00245D6F" w:rsidRPr="00D73E0B">
        <w:rPr>
          <w:rFonts w:ascii="Arial" w:eastAsia="Times New Roman" w:hAnsi="Arial" w:cs="Times New Roman"/>
          <w:sz w:val="24"/>
          <w:szCs w:val="24"/>
          <w:lang w:eastAsia="en-GB"/>
        </w:rPr>
        <w:t>. This is reflected in the financial years 2011-12 and 2012-13</w:t>
      </w:r>
      <w:r w:rsidR="002312E7" w:rsidRPr="00D73E0B">
        <w:rPr>
          <w:rFonts w:ascii="Arial" w:eastAsia="Times New Roman" w:hAnsi="Arial" w:cs="Times New Roman"/>
          <w:sz w:val="24"/>
          <w:szCs w:val="24"/>
          <w:lang w:eastAsia="en-GB"/>
        </w:rPr>
        <w:t>,</w:t>
      </w:r>
      <w:r w:rsidR="00245D6F" w:rsidRPr="00D73E0B">
        <w:rPr>
          <w:rFonts w:ascii="Arial" w:eastAsia="Times New Roman" w:hAnsi="Arial" w:cs="Times New Roman"/>
          <w:sz w:val="24"/>
          <w:szCs w:val="24"/>
          <w:lang w:eastAsia="en-GB"/>
        </w:rPr>
        <w:t xml:space="preserve"> where total under recovery exceeded the £3.7m seen in 2010-11</w:t>
      </w:r>
      <w:r w:rsidR="00245D6F" w:rsidRPr="00D73E0B">
        <w:rPr>
          <w:rFonts w:ascii="Arial" w:eastAsia="Times New Roman" w:hAnsi="Arial" w:cs="Times New Roman"/>
          <w:i/>
          <w:sz w:val="24"/>
          <w:szCs w:val="24"/>
          <w:lang w:eastAsia="en-GB"/>
        </w:rPr>
        <w:t>.</w:t>
      </w:r>
      <w:r w:rsidR="003E0EC4" w:rsidRPr="00D73E0B">
        <w:rPr>
          <w:rFonts w:ascii="Arial" w:eastAsia="Times New Roman" w:hAnsi="Arial" w:cs="Times New Roman"/>
          <w:i/>
          <w:sz w:val="24"/>
          <w:szCs w:val="24"/>
          <w:lang w:eastAsia="en-GB"/>
        </w:rPr>
        <w:t xml:space="preserve"> </w:t>
      </w:r>
      <w:r w:rsidR="003E0EC4" w:rsidRPr="00D73E0B">
        <w:rPr>
          <w:rFonts w:ascii="Arial" w:eastAsia="Times New Roman" w:hAnsi="Arial" w:cs="Times New Roman"/>
          <w:sz w:val="24"/>
          <w:szCs w:val="24"/>
          <w:lang w:eastAsia="en-GB"/>
        </w:rPr>
        <w:t>[</w:t>
      </w:r>
      <w:r w:rsidR="00F37285" w:rsidRPr="00D73E0B">
        <w:rPr>
          <w:rFonts w:ascii="Arial" w:eastAsia="Times New Roman" w:hAnsi="Arial" w:cs="Times New Roman"/>
          <w:sz w:val="24"/>
          <w:szCs w:val="24"/>
          <w:lang w:eastAsia="en-GB"/>
        </w:rPr>
        <w:t>See</w:t>
      </w:r>
      <w:r w:rsidR="008B696C" w:rsidRPr="00D73E0B">
        <w:rPr>
          <w:rFonts w:ascii="Arial" w:eastAsia="Times New Roman" w:hAnsi="Arial" w:cs="Times New Roman"/>
          <w:sz w:val="24"/>
          <w:szCs w:val="24"/>
          <w:lang w:eastAsia="en-GB"/>
        </w:rPr>
        <w:t xml:space="preserve"> </w:t>
      </w:r>
      <w:r w:rsidR="00F37285" w:rsidRPr="00D73E0B">
        <w:rPr>
          <w:rFonts w:ascii="Arial" w:eastAsia="Times New Roman" w:hAnsi="Arial" w:cs="Times New Roman"/>
          <w:sz w:val="24"/>
          <w:szCs w:val="24"/>
          <w:lang w:eastAsia="en-GB"/>
        </w:rPr>
        <w:t>below</w:t>
      </w:r>
      <w:r w:rsidR="00FB264B" w:rsidRPr="00D73E0B">
        <w:rPr>
          <w:rFonts w:ascii="Arial" w:eastAsia="Times New Roman" w:hAnsi="Arial" w:cs="Times New Roman"/>
          <w:sz w:val="24"/>
          <w:szCs w:val="24"/>
          <w:lang w:eastAsia="en-GB"/>
        </w:rPr>
        <w:t>.</w:t>
      </w:r>
      <w:r w:rsidR="00F37285" w:rsidRPr="00D73E0B">
        <w:rPr>
          <w:rFonts w:ascii="Arial" w:eastAsia="Times New Roman" w:hAnsi="Arial" w:cs="Times New Roman"/>
          <w:sz w:val="24"/>
          <w:szCs w:val="24"/>
          <w:lang w:eastAsia="en-GB"/>
        </w:rPr>
        <w:t>]</w:t>
      </w:r>
    </w:p>
    <w:p w:rsidR="00D73E0B" w:rsidRPr="00D73E0B" w:rsidRDefault="00D73E0B" w:rsidP="002312E7">
      <w:pPr>
        <w:spacing w:after="0" w:line="340" w:lineRule="exact"/>
        <w:rPr>
          <w:rFonts w:ascii="Arial" w:eastAsia="Times New Roman" w:hAnsi="Arial" w:cs="Times New Roman"/>
          <w:sz w:val="24"/>
          <w:szCs w:val="24"/>
          <w:lang w:eastAsia="en-GB"/>
        </w:rPr>
      </w:pPr>
    </w:p>
    <w:p w:rsidR="00E806F1" w:rsidRDefault="00E806F1" w:rsidP="008B696C">
      <w:pPr>
        <w:rPr>
          <w:rFonts w:ascii="Arial" w:hAnsi="Arial" w:cs="Arial"/>
          <w:b/>
          <w:sz w:val="26"/>
          <w:szCs w:val="26"/>
          <w:lang w:eastAsia="en-GB"/>
        </w:rPr>
      </w:pPr>
    </w:p>
    <w:p w:rsidR="00EE5F8A" w:rsidRPr="00E806F1" w:rsidRDefault="00EE24F6" w:rsidP="008B696C">
      <w:pPr>
        <w:rPr>
          <w:rFonts w:ascii="Arial" w:hAnsi="Arial" w:cs="Arial"/>
          <w:b/>
          <w:sz w:val="26"/>
          <w:szCs w:val="26"/>
          <w:lang w:eastAsia="en-GB"/>
        </w:rPr>
      </w:pPr>
      <w:r w:rsidRPr="00E806F1">
        <w:rPr>
          <w:rFonts w:ascii="Arial" w:hAnsi="Arial" w:cs="Arial"/>
          <w:b/>
          <w:sz w:val="26"/>
          <w:szCs w:val="26"/>
          <w:lang w:eastAsia="en-GB"/>
        </w:rPr>
        <w:t>Table 1</w:t>
      </w:r>
    </w:p>
    <w:tbl>
      <w:tblPr>
        <w:tblW w:w="10711" w:type="dxa"/>
        <w:tblInd w:w="-930" w:type="dxa"/>
        <w:tblLook w:val="04A0" w:firstRow="1" w:lastRow="0" w:firstColumn="1" w:lastColumn="0" w:noHBand="0" w:noVBand="1"/>
      </w:tblPr>
      <w:tblGrid>
        <w:gridCol w:w="2915"/>
        <w:gridCol w:w="1701"/>
        <w:gridCol w:w="1984"/>
        <w:gridCol w:w="1969"/>
        <w:gridCol w:w="2142"/>
      </w:tblGrid>
      <w:tr w:rsidR="008B696C" w:rsidRPr="00F01330" w:rsidTr="0015045B">
        <w:trPr>
          <w:trHeight w:val="255"/>
        </w:trPr>
        <w:tc>
          <w:tcPr>
            <w:tcW w:w="2915" w:type="dxa"/>
            <w:tcBorders>
              <w:top w:val="nil"/>
              <w:left w:val="nil"/>
              <w:bottom w:val="nil"/>
              <w:right w:val="nil"/>
            </w:tcBorders>
            <w:shd w:val="clear" w:color="auto" w:fill="auto"/>
            <w:noWrap/>
            <w:vAlign w:val="bottom"/>
            <w:hideMark/>
          </w:tcPr>
          <w:p w:rsidR="008B696C" w:rsidRPr="00F01330" w:rsidRDefault="00EE5F8A" w:rsidP="00117016">
            <w:pPr>
              <w:rPr>
                <w:rFonts w:ascii="Arial" w:hAnsi="Arial" w:cs="Arial"/>
                <w:sz w:val="24"/>
                <w:szCs w:val="24"/>
                <w:lang w:eastAsia="en-GB"/>
              </w:rPr>
            </w:pPr>
            <w:r>
              <w:rPr>
                <w:rFonts w:ascii="Arial" w:hAnsi="Arial" w:cs="Arial"/>
                <w:b/>
                <w:sz w:val="24"/>
                <w:szCs w:val="24"/>
                <w:u w:val="single"/>
                <w:lang w:eastAsia="en-GB"/>
              </w:rPr>
              <w:br w:type="page"/>
            </w:r>
          </w:p>
        </w:tc>
        <w:tc>
          <w:tcPr>
            <w:tcW w:w="1701"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b/>
                <w:bCs/>
                <w:sz w:val="24"/>
                <w:szCs w:val="24"/>
                <w:lang w:eastAsia="en-GB"/>
              </w:rPr>
            </w:pPr>
            <w:r w:rsidRPr="00F01330">
              <w:rPr>
                <w:rFonts w:ascii="Arial" w:hAnsi="Arial" w:cs="Arial"/>
                <w:b/>
                <w:bCs/>
                <w:sz w:val="24"/>
                <w:szCs w:val="24"/>
                <w:lang w:eastAsia="en-GB"/>
              </w:rPr>
              <w:t>2010-11</w:t>
            </w:r>
          </w:p>
        </w:tc>
        <w:tc>
          <w:tcPr>
            <w:tcW w:w="1984"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b/>
                <w:bCs/>
                <w:sz w:val="24"/>
                <w:szCs w:val="24"/>
                <w:lang w:eastAsia="en-GB"/>
              </w:rPr>
            </w:pPr>
            <w:r w:rsidRPr="00F01330">
              <w:rPr>
                <w:rFonts w:ascii="Arial" w:hAnsi="Arial" w:cs="Arial"/>
                <w:b/>
                <w:bCs/>
                <w:sz w:val="24"/>
                <w:szCs w:val="24"/>
                <w:lang w:eastAsia="en-GB"/>
              </w:rPr>
              <w:t>2011-12</w:t>
            </w:r>
          </w:p>
        </w:tc>
        <w:tc>
          <w:tcPr>
            <w:tcW w:w="1969"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b/>
                <w:bCs/>
                <w:sz w:val="24"/>
                <w:szCs w:val="24"/>
                <w:lang w:eastAsia="en-GB"/>
              </w:rPr>
            </w:pPr>
            <w:r w:rsidRPr="00F01330">
              <w:rPr>
                <w:rFonts w:ascii="Arial" w:hAnsi="Arial" w:cs="Arial"/>
                <w:b/>
                <w:bCs/>
                <w:sz w:val="24"/>
                <w:szCs w:val="24"/>
                <w:lang w:eastAsia="en-GB"/>
              </w:rPr>
              <w:t>2012-13</w:t>
            </w:r>
          </w:p>
        </w:tc>
        <w:tc>
          <w:tcPr>
            <w:tcW w:w="2142"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b/>
                <w:bCs/>
                <w:sz w:val="24"/>
                <w:szCs w:val="24"/>
                <w:lang w:eastAsia="en-GB"/>
              </w:rPr>
            </w:pPr>
            <w:r w:rsidRPr="00F01330">
              <w:rPr>
                <w:rFonts w:ascii="Arial" w:hAnsi="Arial" w:cs="Arial"/>
                <w:b/>
                <w:bCs/>
                <w:sz w:val="24"/>
                <w:szCs w:val="24"/>
                <w:lang w:eastAsia="en-GB"/>
              </w:rPr>
              <w:t>2013-14</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 xml:space="preserve">Total MCA Cost </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£141,165,651</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£154,128,966</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£149,465,385</w:t>
            </w:r>
          </w:p>
        </w:tc>
        <w:tc>
          <w:tcPr>
            <w:tcW w:w="2142" w:type="dxa"/>
            <w:tcBorders>
              <w:top w:val="nil"/>
              <w:left w:val="nil"/>
              <w:bottom w:val="nil"/>
              <w:right w:val="nil"/>
            </w:tcBorders>
            <w:shd w:val="clear" w:color="auto" w:fill="auto"/>
            <w:noWrap/>
            <w:vAlign w:val="bottom"/>
            <w:hideMark/>
          </w:tcPr>
          <w:p w:rsidR="003F5AAB" w:rsidRPr="00F01330" w:rsidRDefault="003F5AAB" w:rsidP="002B40B6">
            <w:pPr>
              <w:jc w:val="right"/>
              <w:rPr>
                <w:rFonts w:ascii="Arial" w:hAnsi="Arial" w:cs="Arial"/>
                <w:color w:val="000000"/>
                <w:sz w:val="24"/>
                <w:szCs w:val="24"/>
                <w:lang w:eastAsia="en-GB"/>
              </w:rPr>
            </w:pPr>
            <w:r w:rsidRPr="00F01330">
              <w:rPr>
                <w:rFonts w:ascii="Arial" w:hAnsi="Arial" w:cs="Arial"/>
                <w:color w:val="000000"/>
                <w:sz w:val="24"/>
                <w:szCs w:val="24"/>
                <w:lang w:eastAsia="en-GB"/>
              </w:rPr>
              <w:t>£1</w:t>
            </w:r>
            <w:r w:rsidR="002B40B6" w:rsidRPr="00F01330">
              <w:rPr>
                <w:rFonts w:ascii="Arial" w:hAnsi="Arial" w:cs="Arial"/>
                <w:color w:val="000000"/>
                <w:sz w:val="24"/>
                <w:szCs w:val="24"/>
                <w:lang w:eastAsia="en-GB"/>
              </w:rPr>
              <w:t>58</w:t>
            </w:r>
            <w:r w:rsidRPr="00F01330">
              <w:rPr>
                <w:rFonts w:ascii="Arial" w:hAnsi="Arial" w:cs="Arial"/>
                <w:color w:val="000000"/>
                <w:sz w:val="24"/>
                <w:szCs w:val="24"/>
                <w:lang w:eastAsia="en-GB"/>
              </w:rPr>
              <w:t>,</w:t>
            </w:r>
            <w:r w:rsidR="002B40B6" w:rsidRPr="00F01330">
              <w:rPr>
                <w:rFonts w:ascii="Arial" w:hAnsi="Arial" w:cs="Arial"/>
                <w:color w:val="000000"/>
                <w:sz w:val="24"/>
                <w:szCs w:val="24"/>
                <w:lang w:eastAsia="en-GB"/>
              </w:rPr>
              <w:t>241</w:t>
            </w:r>
            <w:r w:rsidRPr="00F01330">
              <w:rPr>
                <w:rFonts w:ascii="Arial" w:hAnsi="Arial" w:cs="Arial"/>
                <w:color w:val="000000"/>
                <w:sz w:val="24"/>
                <w:szCs w:val="24"/>
                <w:lang w:eastAsia="en-GB"/>
              </w:rPr>
              <w:t>,</w:t>
            </w:r>
            <w:r w:rsidR="002B40B6" w:rsidRPr="00F01330">
              <w:rPr>
                <w:rFonts w:ascii="Arial" w:hAnsi="Arial" w:cs="Arial"/>
                <w:color w:val="000000"/>
                <w:sz w:val="24"/>
                <w:szCs w:val="24"/>
                <w:lang w:eastAsia="en-GB"/>
              </w:rPr>
              <w:t>821</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 xml:space="preserve">Total MCA Income </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-£13,739,506</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-£15,483,095</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-£12,176,819</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-£13,</w:t>
            </w:r>
            <w:r w:rsidR="002B40B6" w:rsidRPr="00F01330">
              <w:rPr>
                <w:rFonts w:ascii="Arial" w:hAnsi="Arial" w:cs="Arial"/>
                <w:color w:val="000000"/>
                <w:sz w:val="24"/>
                <w:szCs w:val="24"/>
                <w:lang w:eastAsia="en-GB"/>
              </w:rPr>
              <w:t>466,667</w:t>
            </w:r>
          </w:p>
        </w:tc>
      </w:tr>
      <w:tr w:rsidR="003F5AAB" w:rsidRPr="00F01330" w:rsidTr="0015045B">
        <w:trPr>
          <w:trHeight w:val="510"/>
        </w:trPr>
        <w:tc>
          <w:tcPr>
            <w:tcW w:w="2915"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Marine survey Cost</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£8,428,949</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£8,620,569</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£8,337,856</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2B40B6" w:rsidRPr="00F01330">
              <w:rPr>
                <w:rFonts w:ascii="Arial" w:hAnsi="Arial" w:cs="Arial"/>
                <w:color w:val="000000"/>
                <w:sz w:val="24"/>
                <w:szCs w:val="24"/>
                <w:lang w:eastAsia="en-GB"/>
              </w:rPr>
              <w:t>7,801,488</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Marine survey Income</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-£5,384,893</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-£5,000,401</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-£4,940,759</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-£5,</w:t>
            </w:r>
            <w:r w:rsidR="002B40B6" w:rsidRPr="00F01330">
              <w:rPr>
                <w:rFonts w:ascii="Arial" w:hAnsi="Arial" w:cs="Arial"/>
                <w:color w:val="000000"/>
                <w:sz w:val="24"/>
                <w:szCs w:val="24"/>
                <w:lang w:eastAsia="en-GB"/>
              </w:rPr>
              <w:t>092,082</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hours worked by MCA Staff on survey work</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46,907</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43,605</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42,339</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4</w:t>
            </w:r>
            <w:r w:rsidR="002B40B6" w:rsidRPr="00F01330">
              <w:rPr>
                <w:rFonts w:ascii="Arial" w:hAnsi="Arial" w:cs="Arial"/>
                <w:sz w:val="24"/>
                <w:szCs w:val="24"/>
                <w:lang w:eastAsia="en-GB"/>
              </w:rPr>
              <w:t>2,555</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Net position each year</w:t>
            </w:r>
          </w:p>
        </w:tc>
        <w:tc>
          <w:tcPr>
            <w:tcW w:w="1701"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£3,044,056</w:t>
            </w:r>
          </w:p>
        </w:tc>
        <w:tc>
          <w:tcPr>
            <w:tcW w:w="1984"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£3,620,168</w:t>
            </w:r>
          </w:p>
        </w:tc>
        <w:tc>
          <w:tcPr>
            <w:tcW w:w="1969"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£3,397,097</w:t>
            </w:r>
          </w:p>
        </w:tc>
        <w:tc>
          <w:tcPr>
            <w:tcW w:w="2142" w:type="dxa"/>
            <w:tcBorders>
              <w:top w:val="nil"/>
              <w:left w:val="nil"/>
              <w:bottom w:val="nil"/>
              <w:right w:val="nil"/>
            </w:tcBorders>
            <w:shd w:val="clear" w:color="000000" w:fill="DDD9C4"/>
            <w:noWrap/>
            <w:vAlign w:val="bottom"/>
            <w:hideMark/>
          </w:tcPr>
          <w:p w:rsidR="003F5AAB" w:rsidRPr="00F01330" w:rsidRDefault="003F5AAB" w:rsidP="002B40B6">
            <w:pPr>
              <w:jc w:val="right"/>
              <w:rPr>
                <w:rFonts w:ascii="Arial" w:hAnsi="Arial" w:cs="Arial"/>
                <w:sz w:val="24"/>
                <w:szCs w:val="24"/>
                <w:lang w:eastAsia="en-GB"/>
              </w:rPr>
            </w:pPr>
            <w:r w:rsidRPr="00F01330">
              <w:rPr>
                <w:rFonts w:ascii="Arial" w:hAnsi="Arial" w:cs="Arial"/>
                <w:sz w:val="24"/>
                <w:szCs w:val="24"/>
                <w:lang w:eastAsia="en-GB"/>
              </w:rPr>
              <w:t>£2,</w:t>
            </w:r>
            <w:r w:rsidR="002B40B6" w:rsidRPr="00F01330">
              <w:rPr>
                <w:rFonts w:ascii="Arial" w:hAnsi="Arial" w:cs="Arial"/>
                <w:sz w:val="24"/>
                <w:szCs w:val="24"/>
                <w:lang w:eastAsia="en-GB"/>
              </w:rPr>
              <w:t>709,406</w:t>
            </w:r>
          </w:p>
        </w:tc>
      </w:tr>
      <w:tr w:rsidR="008B696C" w:rsidRPr="00F01330" w:rsidTr="0015045B">
        <w:trPr>
          <w:trHeight w:val="250"/>
        </w:trPr>
        <w:tc>
          <w:tcPr>
            <w:tcW w:w="2915"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 xml:space="preserve">RSS gross cost </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£1,768,427</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£1,808,404</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£1,749,097</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w:t>
            </w:r>
            <w:r w:rsidR="002B40B6" w:rsidRPr="00F01330">
              <w:rPr>
                <w:rFonts w:ascii="Arial" w:hAnsi="Arial" w:cs="Arial"/>
                <w:sz w:val="24"/>
                <w:szCs w:val="24"/>
                <w:lang w:eastAsia="en-GB"/>
              </w:rPr>
              <w:t>636,579</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 xml:space="preserve">RSS income </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-£1,517,061</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-£2,011,185</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-£1,224,536</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-£1,5</w:t>
            </w:r>
            <w:r w:rsidR="002B40B6" w:rsidRPr="00F01330">
              <w:rPr>
                <w:rFonts w:ascii="Arial" w:hAnsi="Arial" w:cs="Arial"/>
                <w:sz w:val="24"/>
                <w:szCs w:val="24"/>
                <w:lang w:eastAsia="en-GB"/>
              </w:rPr>
              <w:t>70,617</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lastRenderedPageBreak/>
              <w:t>Net position each year</w:t>
            </w:r>
          </w:p>
        </w:tc>
        <w:tc>
          <w:tcPr>
            <w:tcW w:w="1701"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£251,366</w:t>
            </w:r>
          </w:p>
        </w:tc>
        <w:tc>
          <w:tcPr>
            <w:tcW w:w="1984"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-£202,781</w:t>
            </w:r>
          </w:p>
        </w:tc>
        <w:tc>
          <w:tcPr>
            <w:tcW w:w="1969"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£524,561</w:t>
            </w:r>
          </w:p>
        </w:tc>
        <w:tc>
          <w:tcPr>
            <w:tcW w:w="2142"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w:t>
            </w:r>
            <w:r w:rsidR="002B40B6" w:rsidRPr="00F01330">
              <w:rPr>
                <w:rFonts w:ascii="Arial" w:hAnsi="Arial" w:cs="Arial"/>
                <w:sz w:val="24"/>
                <w:szCs w:val="24"/>
                <w:lang w:eastAsia="en-GB"/>
              </w:rPr>
              <w:t>65,962</w:t>
            </w:r>
          </w:p>
        </w:tc>
      </w:tr>
      <w:tr w:rsidR="008B696C" w:rsidRPr="00F01330" w:rsidTr="0015045B">
        <w:trPr>
          <w:trHeight w:val="255"/>
        </w:trPr>
        <w:tc>
          <w:tcPr>
            <w:tcW w:w="2915"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STC cost</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£2,557,030</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£2,614,032</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£2,528,305</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w:t>
            </w:r>
            <w:r w:rsidR="002B40B6" w:rsidRPr="00F01330">
              <w:rPr>
                <w:rFonts w:ascii="Arial" w:hAnsi="Arial" w:cs="Arial"/>
                <w:sz w:val="24"/>
                <w:szCs w:val="24"/>
                <w:lang w:eastAsia="en-GB"/>
              </w:rPr>
              <w:t>2,365,661</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STC income</w:t>
            </w:r>
          </w:p>
        </w:tc>
        <w:tc>
          <w:tcPr>
            <w:tcW w:w="1701"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-£2,139,192</w:t>
            </w:r>
          </w:p>
        </w:tc>
        <w:tc>
          <w:tcPr>
            <w:tcW w:w="1984"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color w:val="000000"/>
                <w:sz w:val="24"/>
                <w:szCs w:val="24"/>
                <w:lang w:eastAsia="en-GB"/>
              </w:rPr>
            </w:pPr>
            <w:r w:rsidRPr="00F01330">
              <w:rPr>
                <w:rFonts w:ascii="Arial" w:hAnsi="Arial" w:cs="Arial"/>
                <w:color w:val="000000"/>
                <w:sz w:val="24"/>
                <w:szCs w:val="24"/>
                <w:lang w:eastAsia="en-GB"/>
              </w:rPr>
              <w:t>-£2,019,762</w:t>
            </w:r>
          </w:p>
        </w:tc>
        <w:tc>
          <w:tcPr>
            <w:tcW w:w="1969"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-£2,086,878</w:t>
            </w:r>
          </w:p>
        </w:tc>
        <w:tc>
          <w:tcPr>
            <w:tcW w:w="2142" w:type="dxa"/>
            <w:tcBorders>
              <w:top w:val="nil"/>
              <w:left w:val="nil"/>
              <w:bottom w:val="nil"/>
              <w:right w:val="nil"/>
            </w:tcBorders>
            <w:shd w:val="clear" w:color="auto" w:fill="auto"/>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w:t>
            </w:r>
            <w:r w:rsidR="002B40B6" w:rsidRPr="00F01330">
              <w:rPr>
                <w:rFonts w:ascii="Arial" w:hAnsi="Arial" w:cs="Arial"/>
                <w:sz w:val="24"/>
                <w:szCs w:val="24"/>
                <w:lang w:eastAsia="en-GB"/>
              </w:rPr>
              <w:t>2,109,318</w:t>
            </w:r>
          </w:p>
        </w:tc>
      </w:tr>
      <w:tr w:rsidR="003F5AAB" w:rsidRPr="00F01330" w:rsidTr="0015045B">
        <w:trPr>
          <w:trHeight w:val="255"/>
        </w:trPr>
        <w:tc>
          <w:tcPr>
            <w:tcW w:w="2915" w:type="dxa"/>
            <w:tcBorders>
              <w:top w:val="nil"/>
              <w:left w:val="nil"/>
              <w:bottom w:val="nil"/>
              <w:right w:val="nil"/>
            </w:tcBorders>
            <w:shd w:val="clear" w:color="auto" w:fill="auto"/>
            <w:noWrap/>
            <w:vAlign w:val="bottom"/>
            <w:hideMark/>
          </w:tcPr>
          <w:p w:rsidR="003F5AAB" w:rsidRPr="00F01330" w:rsidRDefault="003F5AAB" w:rsidP="003F5AAB">
            <w:pPr>
              <w:rPr>
                <w:rFonts w:ascii="Arial" w:hAnsi="Arial" w:cs="Arial"/>
                <w:sz w:val="24"/>
                <w:szCs w:val="24"/>
                <w:lang w:eastAsia="en-GB"/>
              </w:rPr>
            </w:pPr>
            <w:r w:rsidRPr="00F01330">
              <w:rPr>
                <w:rFonts w:ascii="Arial" w:hAnsi="Arial" w:cs="Arial"/>
                <w:sz w:val="24"/>
                <w:szCs w:val="24"/>
                <w:lang w:eastAsia="en-GB"/>
              </w:rPr>
              <w:t>Net position each year</w:t>
            </w:r>
          </w:p>
        </w:tc>
        <w:tc>
          <w:tcPr>
            <w:tcW w:w="1701"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£417,838</w:t>
            </w:r>
          </w:p>
        </w:tc>
        <w:tc>
          <w:tcPr>
            <w:tcW w:w="1984"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£594,270</w:t>
            </w:r>
          </w:p>
        </w:tc>
        <w:tc>
          <w:tcPr>
            <w:tcW w:w="1969"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£441,427</w:t>
            </w:r>
          </w:p>
        </w:tc>
        <w:tc>
          <w:tcPr>
            <w:tcW w:w="2142" w:type="dxa"/>
            <w:tcBorders>
              <w:top w:val="nil"/>
              <w:left w:val="nil"/>
              <w:bottom w:val="nil"/>
              <w:right w:val="nil"/>
            </w:tcBorders>
            <w:shd w:val="clear" w:color="000000" w:fill="DDD9C4"/>
            <w:noWrap/>
            <w:vAlign w:val="bottom"/>
            <w:hideMark/>
          </w:tcPr>
          <w:p w:rsidR="003F5AAB" w:rsidRPr="00F01330" w:rsidRDefault="003F5AAB" w:rsidP="003F5AAB">
            <w:pPr>
              <w:jc w:val="right"/>
              <w:rPr>
                <w:rFonts w:ascii="Arial" w:hAnsi="Arial" w:cs="Arial"/>
                <w:sz w:val="24"/>
                <w:szCs w:val="24"/>
                <w:lang w:eastAsia="en-GB"/>
              </w:rPr>
            </w:pPr>
            <w:r w:rsidRPr="00F01330">
              <w:rPr>
                <w:rFonts w:ascii="Arial" w:hAnsi="Arial" w:cs="Arial"/>
                <w:sz w:val="24"/>
                <w:szCs w:val="24"/>
                <w:lang w:eastAsia="en-GB"/>
              </w:rPr>
              <w:t>£</w:t>
            </w:r>
            <w:r w:rsidR="002B40B6" w:rsidRPr="00F01330">
              <w:rPr>
                <w:rFonts w:ascii="Arial" w:hAnsi="Arial" w:cs="Arial"/>
                <w:sz w:val="24"/>
                <w:szCs w:val="24"/>
                <w:lang w:eastAsia="en-GB"/>
              </w:rPr>
              <w:t>256,343</w:t>
            </w:r>
          </w:p>
        </w:tc>
      </w:tr>
      <w:tr w:rsidR="008B696C" w:rsidRPr="00F01330" w:rsidTr="0015045B">
        <w:trPr>
          <w:trHeight w:val="255"/>
        </w:trPr>
        <w:tc>
          <w:tcPr>
            <w:tcW w:w="2915"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r>
      <w:tr w:rsidR="00C42F93" w:rsidRPr="00F01330" w:rsidTr="0015045B">
        <w:trPr>
          <w:trHeight w:val="510"/>
        </w:trPr>
        <w:tc>
          <w:tcPr>
            <w:tcW w:w="2915" w:type="dxa"/>
            <w:tcBorders>
              <w:top w:val="nil"/>
              <w:left w:val="nil"/>
              <w:bottom w:val="nil"/>
              <w:right w:val="nil"/>
            </w:tcBorders>
            <w:shd w:val="clear" w:color="auto" w:fill="auto"/>
            <w:vAlign w:val="bottom"/>
            <w:hideMark/>
          </w:tcPr>
          <w:p w:rsidR="00C42F93" w:rsidRPr="00F01330" w:rsidRDefault="00C42F93" w:rsidP="00C42F93">
            <w:pPr>
              <w:rPr>
                <w:rFonts w:ascii="Arial" w:hAnsi="Arial" w:cs="Arial"/>
                <w:sz w:val="24"/>
                <w:szCs w:val="24"/>
                <w:lang w:eastAsia="en-GB"/>
              </w:rPr>
            </w:pPr>
            <w:r w:rsidRPr="00F01330">
              <w:rPr>
                <w:rFonts w:ascii="Arial" w:hAnsi="Arial" w:cs="Arial"/>
                <w:sz w:val="24"/>
                <w:szCs w:val="24"/>
                <w:lang w:eastAsia="en-GB"/>
              </w:rPr>
              <w:t>Survey fees % increase for cost recovery</w:t>
            </w:r>
          </w:p>
        </w:tc>
        <w:tc>
          <w:tcPr>
            <w:tcW w:w="1701"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-57%</w:t>
            </w:r>
          </w:p>
        </w:tc>
        <w:tc>
          <w:tcPr>
            <w:tcW w:w="1984"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-72%</w:t>
            </w:r>
          </w:p>
        </w:tc>
        <w:tc>
          <w:tcPr>
            <w:tcW w:w="1969"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-69%</w:t>
            </w:r>
          </w:p>
        </w:tc>
        <w:tc>
          <w:tcPr>
            <w:tcW w:w="2142"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-53%</w:t>
            </w:r>
          </w:p>
        </w:tc>
      </w:tr>
      <w:tr w:rsidR="00C42F93" w:rsidRPr="00F01330" w:rsidTr="0015045B">
        <w:trPr>
          <w:trHeight w:val="255"/>
        </w:trPr>
        <w:tc>
          <w:tcPr>
            <w:tcW w:w="2915" w:type="dxa"/>
            <w:tcBorders>
              <w:top w:val="nil"/>
              <w:left w:val="nil"/>
              <w:bottom w:val="nil"/>
              <w:right w:val="nil"/>
            </w:tcBorders>
            <w:shd w:val="clear" w:color="auto" w:fill="auto"/>
            <w:noWrap/>
            <w:vAlign w:val="bottom"/>
            <w:hideMark/>
          </w:tcPr>
          <w:p w:rsidR="00C42F93" w:rsidRPr="00F01330" w:rsidRDefault="00C42F93" w:rsidP="00C42F93">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r>
      <w:tr w:rsidR="00C42F93" w:rsidRPr="00F01330" w:rsidTr="0015045B">
        <w:trPr>
          <w:trHeight w:val="255"/>
        </w:trPr>
        <w:tc>
          <w:tcPr>
            <w:tcW w:w="2915"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r w:rsidRPr="00F01330">
              <w:rPr>
                <w:rFonts w:ascii="Arial" w:hAnsi="Arial" w:cs="Arial"/>
                <w:sz w:val="24"/>
                <w:szCs w:val="24"/>
                <w:lang w:eastAsia="en-GB"/>
              </w:rPr>
              <w:t>RSS fees % increase for cost recovery</w:t>
            </w:r>
          </w:p>
        </w:tc>
        <w:tc>
          <w:tcPr>
            <w:tcW w:w="1701" w:type="dxa"/>
            <w:tcBorders>
              <w:top w:val="nil"/>
              <w:left w:val="nil"/>
              <w:bottom w:val="nil"/>
              <w:right w:val="nil"/>
            </w:tcBorders>
            <w:shd w:val="clear" w:color="000000" w:fill="C4D79B"/>
            <w:noWrap/>
            <w:vAlign w:val="bottom"/>
            <w:hideMark/>
          </w:tcPr>
          <w:p w:rsidR="00C42F93" w:rsidRPr="00F01330" w:rsidRDefault="00C42F93" w:rsidP="003552FE">
            <w:pPr>
              <w:jc w:val="right"/>
              <w:rPr>
                <w:rFonts w:ascii="Arial" w:hAnsi="Arial" w:cs="Arial"/>
                <w:color w:val="000000"/>
                <w:sz w:val="24"/>
                <w:szCs w:val="24"/>
                <w:lang w:eastAsia="en-GB"/>
              </w:rPr>
            </w:pPr>
            <w:r w:rsidRPr="00F01330">
              <w:rPr>
                <w:rFonts w:ascii="Arial" w:hAnsi="Arial" w:cs="Arial"/>
                <w:color w:val="000000"/>
                <w:sz w:val="24"/>
                <w:szCs w:val="24"/>
                <w:lang w:eastAsia="en-GB"/>
              </w:rPr>
              <w:t>-1</w:t>
            </w:r>
            <w:r w:rsidR="003552FE" w:rsidRPr="00F01330">
              <w:rPr>
                <w:rFonts w:ascii="Arial" w:hAnsi="Arial" w:cs="Arial"/>
                <w:color w:val="000000"/>
                <w:sz w:val="24"/>
                <w:szCs w:val="24"/>
                <w:lang w:eastAsia="en-GB"/>
              </w:rPr>
              <w:t>7</w:t>
            </w:r>
            <w:r w:rsidRPr="00F01330">
              <w:rPr>
                <w:rFonts w:ascii="Arial" w:hAnsi="Arial" w:cs="Arial"/>
                <w:color w:val="000000"/>
                <w:sz w:val="24"/>
                <w:szCs w:val="24"/>
                <w:lang w:eastAsia="en-GB"/>
              </w:rPr>
              <w:t>%</w:t>
            </w:r>
          </w:p>
        </w:tc>
        <w:tc>
          <w:tcPr>
            <w:tcW w:w="1984"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10%</w:t>
            </w:r>
          </w:p>
        </w:tc>
        <w:tc>
          <w:tcPr>
            <w:tcW w:w="1969"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-43%</w:t>
            </w:r>
          </w:p>
        </w:tc>
        <w:tc>
          <w:tcPr>
            <w:tcW w:w="2142"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2B40B6" w:rsidRPr="00F01330">
              <w:rPr>
                <w:rFonts w:ascii="Arial" w:hAnsi="Arial" w:cs="Arial"/>
                <w:color w:val="000000"/>
                <w:sz w:val="24"/>
                <w:szCs w:val="24"/>
                <w:lang w:eastAsia="en-GB"/>
              </w:rPr>
              <w:t>4</w:t>
            </w:r>
            <w:r w:rsidRPr="00F01330">
              <w:rPr>
                <w:rFonts w:ascii="Arial" w:hAnsi="Arial" w:cs="Arial"/>
                <w:color w:val="000000"/>
                <w:sz w:val="24"/>
                <w:szCs w:val="24"/>
                <w:lang w:eastAsia="en-GB"/>
              </w:rPr>
              <w:t>%</w:t>
            </w:r>
          </w:p>
        </w:tc>
      </w:tr>
      <w:tr w:rsidR="00C42F93" w:rsidRPr="00F01330" w:rsidTr="0015045B">
        <w:trPr>
          <w:trHeight w:val="255"/>
        </w:trPr>
        <w:tc>
          <w:tcPr>
            <w:tcW w:w="2915" w:type="dxa"/>
            <w:tcBorders>
              <w:top w:val="nil"/>
              <w:left w:val="nil"/>
              <w:bottom w:val="nil"/>
              <w:right w:val="nil"/>
            </w:tcBorders>
            <w:shd w:val="clear" w:color="auto" w:fill="auto"/>
            <w:noWrap/>
            <w:vAlign w:val="bottom"/>
            <w:hideMark/>
          </w:tcPr>
          <w:p w:rsidR="00C42F93" w:rsidRPr="00F01330" w:rsidRDefault="00C42F93" w:rsidP="00C42F93">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p>
        </w:tc>
      </w:tr>
      <w:tr w:rsidR="00C42F93" w:rsidRPr="00F01330" w:rsidTr="0015045B">
        <w:trPr>
          <w:trHeight w:val="255"/>
        </w:trPr>
        <w:tc>
          <w:tcPr>
            <w:tcW w:w="2915" w:type="dxa"/>
            <w:tcBorders>
              <w:top w:val="nil"/>
              <w:left w:val="nil"/>
              <w:bottom w:val="nil"/>
              <w:right w:val="nil"/>
            </w:tcBorders>
            <w:shd w:val="clear" w:color="auto" w:fill="auto"/>
            <w:noWrap/>
            <w:vAlign w:val="bottom"/>
            <w:hideMark/>
          </w:tcPr>
          <w:p w:rsidR="00C42F93" w:rsidRPr="00F01330" w:rsidRDefault="00C42F93" w:rsidP="00C42F93">
            <w:pPr>
              <w:rPr>
                <w:rFonts w:ascii="Arial" w:hAnsi="Arial" w:cs="Arial"/>
                <w:sz w:val="24"/>
                <w:szCs w:val="24"/>
                <w:lang w:eastAsia="en-GB"/>
              </w:rPr>
            </w:pPr>
            <w:r w:rsidRPr="00F01330">
              <w:rPr>
                <w:rFonts w:ascii="Arial" w:hAnsi="Arial" w:cs="Arial"/>
                <w:sz w:val="24"/>
                <w:szCs w:val="24"/>
                <w:lang w:eastAsia="en-GB"/>
              </w:rPr>
              <w:t>STC fees % increase for cost recovery</w:t>
            </w:r>
          </w:p>
        </w:tc>
        <w:tc>
          <w:tcPr>
            <w:tcW w:w="1701" w:type="dxa"/>
            <w:tcBorders>
              <w:top w:val="nil"/>
              <w:left w:val="nil"/>
              <w:bottom w:val="nil"/>
              <w:right w:val="nil"/>
            </w:tcBorders>
            <w:shd w:val="clear" w:color="000000" w:fill="C4D79B"/>
            <w:noWrap/>
            <w:vAlign w:val="bottom"/>
            <w:hideMark/>
          </w:tcPr>
          <w:p w:rsidR="00C42F93" w:rsidRPr="00F01330" w:rsidRDefault="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3552FE" w:rsidRPr="00F01330">
              <w:rPr>
                <w:rFonts w:ascii="Arial" w:hAnsi="Arial" w:cs="Arial"/>
                <w:color w:val="000000"/>
                <w:sz w:val="24"/>
                <w:szCs w:val="24"/>
                <w:lang w:eastAsia="en-GB"/>
              </w:rPr>
              <w:t>20</w:t>
            </w:r>
            <w:r w:rsidRPr="00F01330">
              <w:rPr>
                <w:rFonts w:ascii="Arial" w:hAnsi="Arial" w:cs="Arial"/>
                <w:color w:val="000000"/>
                <w:sz w:val="24"/>
                <w:szCs w:val="24"/>
                <w:lang w:eastAsia="en-GB"/>
              </w:rPr>
              <w:t>%</w:t>
            </w:r>
          </w:p>
        </w:tc>
        <w:tc>
          <w:tcPr>
            <w:tcW w:w="1984"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-29%</w:t>
            </w:r>
          </w:p>
        </w:tc>
        <w:tc>
          <w:tcPr>
            <w:tcW w:w="1969"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-21%</w:t>
            </w:r>
          </w:p>
        </w:tc>
        <w:tc>
          <w:tcPr>
            <w:tcW w:w="2142" w:type="dxa"/>
            <w:tcBorders>
              <w:top w:val="nil"/>
              <w:left w:val="nil"/>
              <w:bottom w:val="nil"/>
              <w:right w:val="nil"/>
            </w:tcBorders>
            <w:shd w:val="clear" w:color="000000" w:fill="C4D79B"/>
            <w:noWrap/>
            <w:vAlign w:val="bottom"/>
            <w:hideMark/>
          </w:tcPr>
          <w:p w:rsidR="00C42F93" w:rsidRPr="00F01330" w:rsidRDefault="00C42F93" w:rsidP="00C42F93">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2B40B6" w:rsidRPr="00F01330">
              <w:rPr>
                <w:rFonts w:ascii="Arial" w:hAnsi="Arial" w:cs="Arial"/>
                <w:color w:val="000000"/>
                <w:sz w:val="24"/>
                <w:szCs w:val="24"/>
                <w:lang w:eastAsia="en-GB"/>
              </w:rPr>
              <w:t>12</w:t>
            </w:r>
            <w:r w:rsidRPr="00F01330">
              <w:rPr>
                <w:rFonts w:ascii="Arial" w:hAnsi="Arial" w:cs="Arial"/>
                <w:color w:val="000000"/>
                <w:sz w:val="24"/>
                <w:szCs w:val="24"/>
                <w:lang w:eastAsia="en-GB"/>
              </w:rPr>
              <w:t>%</w:t>
            </w:r>
          </w:p>
        </w:tc>
      </w:tr>
      <w:tr w:rsidR="008B696C" w:rsidRPr="00F01330" w:rsidTr="0015045B">
        <w:trPr>
          <w:trHeight w:val="255"/>
        </w:trPr>
        <w:tc>
          <w:tcPr>
            <w:tcW w:w="2915"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p>
        </w:tc>
      </w:tr>
      <w:tr w:rsidR="008B696C" w:rsidRPr="00F01330" w:rsidTr="0015045B">
        <w:trPr>
          <w:trHeight w:val="255"/>
        </w:trPr>
        <w:tc>
          <w:tcPr>
            <w:tcW w:w="2915" w:type="dxa"/>
            <w:tcBorders>
              <w:top w:val="nil"/>
              <w:left w:val="nil"/>
              <w:bottom w:val="nil"/>
              <w:right w:val="nil"/>
            </w:tcBorders>
            <w:shd w:val="clear" w:color="auto" w:fill="auto"/>
            <w:noWrap/>
            <w:vAlign w:val="bottom"/>
            <w:hideMark/>
          </w:tcPr>
          <w:p w:rsidR="008B696C" w:rsidRPr="00F01330" w:rsidRDefault="008B696C" w:rsidP="00117016">
            <w:pPr>
              <w:rPr>
                <w:rFonts w:ascii="Arial" w:hAnsi="Arial" w:cs="Arial"/>
                <w:sz w:val="24"/>
                <w:szCs w:val="24"/>
                <w:lang w:eastAsia="en-GB"/>
              </w:rPr>
            </w:pPr>
            <w:r w:rsidRPr="00F01330">
              <w:rPr>
                <w:rFonts w:ascii="Arial" w:hAnsi="Arial" w:cs="Arial"/>
                <w:sz w:val="24"/>
                <w:szCs w:val="24"/>
                <w:lang w:eastAsia="en-GB"/>
              </w:rPr>
              <w:t>Total under recovery</w:t>
            </w:r>
          </w:p>
        </w:tc>
        <w:tc>
          <w:tcPr>
            <w:tcW w:w="1701"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sz w:val="24"/>
                <w:szCs w:val="24"/>
                <w:lang w:eastAsia="en-GB"/>
              </w:rPr>
            </w:pPr>
            <w:r w:rsidRPr="00F01330">
              <w:rPr>
                <w:rFonts w:ascii="Arial" w:hAnsi="Arial" w:cs="Arial"/>
                <w:sz w:val="24"/>
                <w:szCs w:val="24"/>
                <w:lang w:eastAsia="en-GB"/>
              </w:rPr>
              <w:t>£3,713,261</w:t>
            </w:r>
          </w:p>
        </w:tc>
        <w:tc>
          <w:tcPr>
            <w:tcW w:w="1984"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sz w:val="24"/>
                <w:szCs w:val="24"/>
                <w:lang w:eastAsia="en-GB"/>
              </w:rPr>
            </w:pPr>
            <w:r w:rsidRPr="00F01330">
              <w:rPr>
                <w:rFonts w:ascii="Arial" w:hAnsi="Arial" w:cs="Arial"/>
                <w:sz w:val="24"/>
                <w:szCs w:val="24"/>
                <w:lang w:eastAsia="en-GB"/>
              </w:rPr>
              <w:t>£4,011,657</w:t>
            </w:r>
          </w:p>
        </w:tc>
        <w:tc>
          <w:tcPr>
            <w:tcW w:w="1969" w:type="dxa"/>
            <w:tcBorders>
              <w:top w:val="nil"/>
              <w:left w:val="nil"/>
              <w:bottom w:val="nil"/>
              <w:right w:val="nil"/>
            </w:tcBorders>
            <w:shd w:val="clear" w:color="auto" w:fill="auto"/>
            <w:noWrap/>
            <w:vAlign w:val="bottom"/>
            <w:hideMark/>
          </w:tcPr>
          <w:p w:rsidR="008B696C" w:rsidRPr="00F01330" w:rsidRDefault="008B696C" w:rsidP="00117016">
            <w:pPr>
              <w:jc w:val="right"/>
              <w:rPr>
                <w:rFonts w:ascii="Arial" w:hAnsi="Arial" w:cs="Arial"/>
                <w:sz w:val="24"/>
                <w:szCs w:val="24"/>
                <w:lang w:eastAsia="en-GB"/>
              </w:rPr>
            </w:pPr>
            <w:r w:rsidRPr="00F01330">
              <w:rPr>
                <w:rFonts w:ascii="Arial" w:hAnsi="Arial" w:cs="Arial"/>
                <w:sz w:val="24"/>
                <w:szCs w:val="24"/>
                <w:lang w:eastAsia="en-GB"/>
              </w:rPr>
              <w:t>£4,363,085</w:t>
            </w:r>
          </w:p>
        </w:tc>
        <w:tc>
          <w:tcPr>
            <w:tcW w:w="2142" w:type="dxa"/>
            <w:tcBorders>
              <w:top w:val="nil"/>
              <w:left w:val="nil"/>
              <w:bottom w:val="nil"/>
              <w:right w:val="nil"/>
            </w:tcBorders>
            <w:shd w:val="clear" w:color="auto" w:fill="auto"/>
            <w:noWrap/>
            <w:vAlign w:val="bottom"/>
            <w:hideMark/>
          </w:tcPr>
          <w:p w:rsidR="008B696C" w:rsidRPr="00F01330" w:rsidRDefault="00C42F93" w:rsidP="00117016">
            <w:pPr>
              <w:jc w:val="right"/>
              <w:rPr>
                <w:rFonts w:ascii="Arial" w:hAnsi="Arial" w:cs="Arial"/>
                <w:sz w:val="24"/>
                <w:szCs w:val="24"/>
                <w:lang w:eastAsia="en-GB"/>
              </w:rPr>
            </w:pPr>
            <w:r w:rsidRPr="00F01330">
              <w:rPr>
                <w:rFonts w:ascii="Arial" w:hAnsi="Arial" w:cs="Arial"/>
                <w:sz w:val="24"/>
                <w:szCs w:val="24"/>
                <w:lang w:eastAsia="en-GB"/>
              </w:rPr>
              <w:t>£3,</w:t>
            </w:r>
            <w:r w:rsidR="002B40B6" w:rsidRPr="00F01330">
              <w:rPr>
                <w:rFonts w:ascii="Arial" w:hAnsi="Arial" w:cs="Arial"/>
                <w:sz w:val="24"/>
                <w:szCs w:val="24"/>
                <w:lang w:eastAsia="en-GB"/>
              </w:rPr>
              <w:t>031</w:t>
            </w:r>
            <w:r w:rsidRPr="00F01330">
              <w:rPr>
                <w:rFonts w:ascii="Arial" w:hAnsi="Arial" w:cs="Arial"/>
                <w:sz w:val="24"/>
                <w:szCs w:val="24"/>
                <w:lang w:eastAsia="en-GB"/>
              </w:rPr>
              <w:t>,7</w:t>
            </w:r>
            <w:r w:rsidR="002B40B6" w:rsidRPr="00F01330">
              <w:rPr>
                <w:rFonts w:ascii="Arial" w:hAnsi="Arial" w:cs="Arial"/>
                <w:sz w:val="24"/>
                <w:szCs w:val="24"/>
                <w:lang w:eastAsia="en-GB"/>
              </w:rPr>
              <w:t>11</w:t>
            </w:r>
          </w:p>
        </w:tc>
      </w:tr>
    </w:tbl>
    <w:p w:rsidR="008B696C" w:rsidRPr="00F01330" w:rsidRDefault="008B696C" w:rsidP="008B696C">
      <w:pPr>
        <w:rPr>
          <w:rFonts w:ascii="Arial" w:hAnsi="Arial" w:cs="Arial"/>
          <w:i/>
          <w:sz w:val="24"/>
          <w:szCs w:val="24"/>
          <w:lang w:eastAsia="en-GB"/>
        </w:rPr>
      </w:pPr>
      <w:r w:rsidRPr="00F01330">
        <w:rPr>
          <w:rFonts w:ascii="Arial" w:hAnsi="Arial" w:cs="Arial"/>
          <w:sz w:val="24"/>
          <w:szCs w:val="24"/>
          <w:lang w:eastAsia="en-GB"/>
        </w:rPr>
        <w:t>* All negative (-) values indicate income to the MCA</w:t>
      </w:r>
    </w:p>
    <w:p w:rsidR="008B696C" w:rsidRPr="00F01330" w:rsidRDefault="008B696C" w:rsidP="008B696C">
      <w:pPr>
        <w:rPr>
          <w:rFonts w:ascii="Arial" w:hAnsi="Arial" w:cs="Arial"/>
          <w:sz w:val="24"/>
          <w:szCs w:val="24"/>
          <w:lang w:eastAsia="en-GB"/>
        </w:rPr>
      </w:pPr>
      <w:r w:rsidRPr="00F01330">
        <w:rPr>
          <w:rFonts w:ascii="Arial" w:hAnsi="Arial" w:cs="Arial"/>
          <w:sz w:val="24"/>
          <w:szCs w:val="24"/>
          <w:lang w:eastAsia="en-GB"/>
        </w:rPr>
        <w:t>** Figures are in the price base of their respective years and have not been discounted</w:t>
      </w:r>
    </w:p>
    <w:p w:rsidR="00A3086E" w:rsidRPr="00F01330" w:rsidRDefault="000A090D" w:rsidP="008B696C">
      <w:pPr>
        <w:rPr>
          <w:rFonts w:ascii="Arial" w:hAnsi="Arial" w:cs="Arial"/>
          <w:sz w:val="24"/>
          <w:szCs w:val="24"/>
          <w:lang w:eastAsia="en-GB"/>
        </w:rPr>
      </w:pPr>
      <w:r w:rsidRPr="00F01330">
        <w:rPr>
          <w:rFonts w:ascii="Arial" w:hAnsi="Arial" w:cs="Arial"/>
          <w:sz w:val="24"/>
          <w:szCs w:val="24"/>
          <w:lang w:eastAsia="en-GB"/>
        </w:rPr>
        <w:t>Addition f</w:t>
      </w:r>
      <w:r w:rsidR="00A3086E" w:rsidRPr="00F01330">
        <w:rPr>
          <w:rFonts w:ascii="Arial" w:hAnsi="Arial" w:cs="Arial"/>
          <w:sz w:val="24"/>
          <w:szCs w:val="24"/>
          <w:lang w:eastAsia="en-GB"/>
        </w:rPr>
        <w:t>igures</w:t>
      </w:r>
      <w:r w:rsidRPr="00F01330">
        <w:rPr>
          <w:rStyle w:val="FootnoteReference"/>
          <w:rFonts w:ascii="Arial" w:hAnsi="Arial" w:cs="Arial"/>
          <w:sz w:val="24"/>
          <w:szCs w:val="24"/>
          <w:lang w:eastAsia="en-GB"/>
        </w:rPr>
        <w:footnoteReference w:id="1"/>
      </w:r>
      <w:r w:rsidR="00A3086E" w:rsidRPr="00F01330">
        <w:rPr>
          <w:rFonts w:ascii="Arial" w:hAnsi="Arial" w:cs="Arial"/>
          <w:sz w:val="24"/>
          <w:szCs w:val="24"/>
          <w:lang w:eastAsia="en-GB"/>
        </w:rPr>
        <w:t xml:space="preserve"> for the last complete financial year and forecast for the current financial year is shown below:</w:t>
      </w:r>
    </w:p>
    <w:tbl>
      <w:tblPr>
        <w:tblW w:w="10711" w:type="dxa"/>
        <w:tblInd w:w="-930" w:type="dxa"/>
        <w:tblLook w:val="04A0" w:firstRow="1" w:lastRow="0" w:firstColumn="1" w:lastColumn="0" w:noHBand="0" w:noVBand="1"/>
      </w:tblPr>
      <w:tblGrid>
        <w:gridCol w:w="2915"/>
        <w:gridCol w:w="1701"/>
        <w:gridCol w:w="1984"/>
        <w:gridCol w:w="1969"/>
        <w:gridCol w:w="2142"/>
      </w:tblGrid>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b/>
                <w:bCs/>
                <w:sz w:val="24"/>
                <w:szCs w:val="24"/>
                <w:lang w:eastAsia="en-GB"/>
              </w:rPr>
            </w:pPr>
            <w:r w:rsidRPr="00F01330">
              <w:rPr>
                <w:rFonts w:ascii="Arial" w:hAnsi="Arial" w:cs="Arial"/>
                <w:b/>
                <w:bCs/>
                <w:sz w:val="24"/>
                <w:szCs w:val="24"/>
                <w:lang w:eastAsia="en-GB"/>
              </w:rPr>
              <w:t>2014-15</w:t>
            </w:r>
          </w:p>
        </w:tc>
        <w:tc>
          <w:tcPr>
            <w:tcW w:w="1984"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b/>
                <w:bCs/>
                <w:sz w:val="24"/>
                <w:szCs w:val="24"/>
                <w:lang w:eastAsia="en-GB"/>
              </w:rPr>
            </w:pPr>
            <w:r w:rsidRPr="00F01330">
              <w:rPr>
                <w:rFonts w:ascii="Arial" w:hAnsi="Arial" w:cs="Arial"/>
                <w:b/>
                <w:bCs/>
                <w:sz w:val="24"/>
                <w:szCs w:val="24"/>
                <w:lang w:eastAsia="en-GB"/>
              </w:rPr>
              <w:t>2015-16</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b/>
                <w:bCs/>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b/>
                <w:bCs/>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 xml:space="preserve">Total MCA Cost </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180,235,720</w:t>
            </w:r>
          </w:p>
        </w:tc>
        <w:tc>
          <w:tcPr>
            <w:tcW w:w="1984"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301,025,631</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 xml:space="preserve">Total MCA Income </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12,997,248</w:t>
            </w:r>
          </w:p>
        </w:tc>
        <w:tc>
          <w:tcPr>
            <w:tcW w:w="1984"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10,525,631</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A3086E">
        <w:trPr>
          <w:trHeight w:val="510"/>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Marine survey Cost</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£8,4</w:t>
            </w:r>
            <w:r w:rsidR="00750233" w:rsidRPr="00F01330">
              <w:rPr>
                <w:rFonts w:ascii="Arial" w:hAnsi="Arial" w:cs="Arial"/>
                <w:sz w:val="24"/>
                <w:szCs w:val="24"/>
                <w:lang w:eastAsia="en-GB"/>
              </w:rPr>
              <w:t>34,493</w:t>
            </w:r>
          </w:p>
        </w:tc>
        <w:tc>
          <w:tcPr>
            <w:tcW w:w="1984"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£8,</w:t>
            </w:r>
            <w:r w:rsidR="00750233" w:rsidRPr="00F01330">
              <w:rPr>
                <w:rFonts w:ascii="Arial" w:hAnsi="Arial" w:cs="Arial"/>
                <w:sz w:val="24"/>
                <w:szCs w:val="24"/>
                <w:lang w:eastAsia="en-GB"/>
              </w:rPr>
              <w:t>787,535</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Marine survey Income</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4,069,426</w:t>
            </w:r>
          </w:p>
        </w:tc>
        <w:tc>
          <w:tcPr>
            <w:tcW w:w="1984" w:type="dxa"/>
            <w:tcBorders>
              <w:top w:val="nil"/>
              <w:left w:val="nil"/>
              <w:bottom w:val="nil"/>
              <w:right w:val="nil"/>
            </w:tcBorders>
            <w:shd w:val="clear" w:color="auto" w:fill="auto"/>
            <w:noWrap/>
            <w:vAlign w:val="bottom"/>
            <w:hideMark/>
          </w:tcPr>
          <w:p w:rsidR="00A3086E" w:rsidRPr="00F01330" w:rsidRDefault="00750233" w:rsidP="0074483D">
            <w:pPr>
              <w:jc w:val="right"/>
              <w:rPr>
                <w:rFonts w:ascii="Arial" w:hAnsi="Arial" w:cs="Arial"/>
                <w:sz w:val="24"/>
                <w:szCs w:val="24"/>
                <w:lang w:eastAsia="en-GB"/>
              </w:rPr>
            </w:pPr>
            <w:r w:rsidRPr="00F01330">
              <w:rPr>
                <w:rFonts w:ascii="Arial" w:hAnsi="Arial" w:cs="Arial"/>
                <w:sz w:val="24"/>
                <w:szCs w:val="24"/>
                <w:lang w:eastAsia="en-GB"/>
              </w:rPr>
              <w:t>-4,155,332</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hours worked by MCA Staff on survey work</w:t>
            </w:r>
          </w:p>
        </w:tc>
        <w:tc>
          <w:tcPr>
            <w:tcW w:w="1701" w:type="dxa"/>
            <w:tcBorders>
              <w:top w:val="nil"/>
              <w:left w:val="nil"/>
              <w:bottom w:val="nil"/>
              <w:right w:val="nil"/>
            </w:tcBorders>
            <w:shd w:val="clear" w:color="auto" w:fill="auto"/>
            <w:noWrap/>
            <w:vAlign w:val="bottom"/>
            <w:hideMark/>
          </w:tcPr>
          <w:p w:rsidR="00A3086E" w:rsidRPr="00F01330" w:rsidRDefault="00750233">
            <w:pPr>
              <w:jc w:val="right"/>
              <w:rPr>
                <w:rFonts w:ascii="Arial" w:hAnsi="Arial" w:cs="Arial"/>
                <w:sz w:val="24"/>
                <w:szCs w:val="24"/>
                <w:lang w:eastAsia="en-GB"/>
              </w:rPr>
            </w:pPr>
            <w:r w:rsidRPr="00F01330">
              <w:rPr>
                <w:rFonts w:ascii="Arial" w:hAnsi="Arial" w:cs="Arial"/>
                <w:sz w:val="24"/>
                <w:szCs w:val="24"/>
                <w:lang w:eastAsia="en-GB"/>
              </w:rPr>
              <w:t>43,292</w:t>
            </w:r>
          </w:p>
        </w:tc>
        <w:tc>
          <w:tcPr>
            <w:tcW w:w="1984" w:type="dxa"/>
            <w:tcBorders>
              <w:top w:val="nil"/>
              <w:left w:val="nil"/>
              <w:bottom w:val="nil"/>
              <w:right w:val="nil"/>
            </w:tcBorders>
            <w:shd w:val="clear" w:color="auto" w:fill="auto"/>
            <w:noWrap/>
            <w:vAlign w:val="bottom"/>
            <w:hideMark/>
          </w:tcPr>
          <w:p w:rsidR="00A3086E" w:rsidRPr="00F01330" w:rsidRDefault="00750233" w:rsidP="0074483D">
            <w:pPr>
              <w:jc w:val="right"/>
              <w:rPr>
                <w:rFonts w:ascii="Arial" w:hAnsi="Arial" w:cs="Arial"/>
                <w:sz w:val="24"/>
                <w:szCs w:val="24"/>
                <w:lang w:eastAsia="en-GB"/>
              </w:rPr>
            </w:pPr>
            <w:r w:rsidRPr="00F01330">
              <w:rPr>
                <w:rFonts w:ascii="Arial" w:hAnsi="Arial" w:cs="Arial"/>
                <w:sz w:val="24"/>
                <w:szCs w:val="24"/>
                <w:lang w:eastAsia="en-GB"/>
              </w:rPr>
              <w:t>44,206</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Net position each year</w:t>
            </w:r>
          </w:p>
        </w:tc>
        <w:tc>
          <w:tcPr>
            <w:tcW w:w="1701" w:type="dxa"/>
            <w:tcBorders>
              <w:top w:val="nil"/>
              <w:left w:val="nil"/>
              <w:bottom w:val="nil"/>
              <w:right w:val="nil"/>
            </w:tcBorders>
            <w:shd w:val="clear" w:color="000000" w:fill="DDD9C4"/>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4,365,067</w:t>
            </w:r>
          </w:p>
        </w:tc>
        <w:tc>
          <w:tcPr>
            <w:tcW w:w="1984" w:type="dxa"/>
            <w:tcBorders>
              <w:top w:val="nil"/>
              <w:left w:val="nil"/>
              <w:bottom w:val="nil"/>
              <w:right w:val="nil"/>
            </w:tcBorders>
            <w:shd w:val="clear" w:color="000000" w:fill="DDD9C4"/>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4,632,203</w:t>
            </w:r>
          </w:p>
        </w:tc>
        <w:tc>
          <w:tcPr>
            <w:tcW w:w="1969" w:type="dxa"/>
            <w:tcBorders>
              <w:top w:val="nil"/>
              <w:left w:val="nil"/>
              <w:bottom w:val="nil"/>
              <w:right w:val="nil"/>
            </w:tcBorders>
            <w:shd w:val="clear" w:color="000000" w:fill="DDD9C4"/>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000000" w:fill="DDD9C4"/>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0"/>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 xml:space="preserve">RSS gross cost </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£1,76</w:t>
            </w:r>
            <w:r w:rsidR="00750233" w:rsidRPr="00F01330">
              <w:rPr>
                <w:rFonts w:ascii="Arial" w:hAnsi="Arial" w:cs="Arial"/>
                <w:sz w:val="24"/>
                <w:szCs w:val="24"/>
                <w:lang w:eastAsia="en-GB"/>
              </w:rPr>
              <w:t>9,370</w:t>
            </w:r>
          </w:p>
        </w:tc>
        <w:tc>
          <w:tcPr>
            <w:tcW w:w="1984" w:type="dxa"/>
            <w:tcBorders>
              <w:top w:val="nil"/>
              <w:left w:val="nil"/>
              <w:bottom w:val="nil"/>
              <w:right w:val="nil"/>
            </w:tcBorders>
            <w:shd w:val="clear" w:color="auto" w:fill="auto"/>
            <w:noWrap/>
            <w:vAlign w:val="bottom"/>
            <w:hideMark/>
          </w:tcPr>
          <w:p w:rsidR="00A3086E" w:rsidRPr="00F01330" w:rsidRDefault="00750233" w:rsidP="0074483D">
            <w:pPr>
              <w:jc w:val="right"/>
              <w:rPr>
                <w:rFonts w:ascii="Arial" w:hAnsi="Arial" w:cs="Arial"/>
                <w:sz w:val="24"/>
                <w:szCs w:val="24"/>
                <w:lang w:eastAsia="en-GB"/>
              </w:rPr>
            </w:pPr>
            <w:r w:rsidRPr="00F01330">
              <w:rPr>
                <w:rFonts w:ascii="Arial" w:hAnsi="Arial" w:cs="Arial"/>
                <w:sz w:val="24"/>
                <w:szCs w:val="24"/>
                <w:lang w:eastAsia="en-GB"/>
              </w:rPr>
              <w:t>£1,843,430</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 xml:space="preserve">RSS income </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-£1,</w:t>
            </w:r>
            <w:r w:rsidR="00750233" w:rsidRPr="00F01330">
              <w:rPr>
                <w:rFonts w:ascii="Arial" w:hAnsi="Arial" w:cs="Arial"/>
                <w:sz w:val="24"/>
                <w:szCs w:val="24"/>
                <w:lang w:eastAsia="en-GB"/>
              </w:rPr>
              <w:t>246,581</w:t>
            </w:r>
          </w:p>
        </w:tc>
        <w:tc>
          <w:tcPr>
            <w:tcW w:w="1984" w:type="dxa"/>
            <w:tcBorders>
              <w:top w:val="nil"/>
              <w:left w:val="nil"/>
              <w:bottom w:val="nil"/>
              <w:right w:val="nil"/>
            </w:tcBorders>
            <w:shd w:val="clear" w:color="auto" w:fill="auto"/>
            <w:noWrap/>
            <w:vAlign w:val="bottom"/>
            <w:hideMark/>
          </w:tcPr>
          <w:p w:rsidR="00A3086E" w:rsidRPr="00F01330" w:rsidRDefault="00750233" w:rsidP="0074483D">
            <w:pPr>
              <w:jc w:val="right"/>
              <w:rPr>
                <w:rFonts w:ascii="Arial" w:hAnsi="Arial" w:cs="Arial"/>
                <w:sz w:val="24"/>
                <w:szCs w:val="24"/>
                <w:lang w:eastAsia="en-GB"/>
              </w:rPr>
            </w:pPr>
            <w:r w:rsidRPr="00F01330">
              <w:rPr>
                <w:rFonts w:ascii="Arial" w:hAnsi="Arial" w:cs="Arial"/>
                <w:sz w:val="24"/>
                <w:szCs w:val="24"/>
                <w:lang w:eastAsia="en-GB"/>
              </w:rPr>
              <w:t>-£1,076,026</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Net position each year</w:t>
            </w:r>
          </w:p>
        </w:tc>
        <w:tc>
          <w:tcPr>
            <w:tcW w:w="1701" w:type="dxa"/>
            <w:tcBorders>
              <w:top w:val="nil"/>
              <w:left w:val="nil"/>
              <w:bottom w:val="nil"/>
              <w:right w:val="nil"/>
            </w:tcBorders>
            <w:shd w:val="clear" w:color="000000" w:fill="DDD9C4"/>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522</w:t>
            </w:r>
            <w:r w:rsidRPr="00F01330">
              <w:rPr>
                <w:rFonts w:ascii="Arial" w:hAnsi="Arial" w:cs="Arial"/>
                <w:sz w:val="24"/>
                <w:szCs w:val="24"/>
                <w:lang w:eastAsia="en-GB"/>
              </w:rPr>
              <w:t>,</w:t>
            </w:r>
            <w:r w:rsidR="00750233" w:rsidRPr="00F01330">
              <w:rPr>
                <w:rFonts w:ascii="Arial" w:hAnsi="Arial" w:cs="Arial"/>
                <w:sz w:val="24"/>
                <w:szCs w:val="24"/>
                <w:lang w:eastAsia="en-GB"/>
              </w:rPr>
              <w:t>789</w:t>
            </w:r>
          </w:p>
        </w:tc>
        <w:tc>
          <w:tcPr>
            <w:tcW w:w="1984" w:type="dxa"/>
            <w:tcBorders>
              <w:top w:val="nil"/>
              <w:left w:val="nil"/>
              <w:bottom w:val="nil"/>
              <w:right w:val="nil"/>
            </w:tcBorders>
            <w:shd w:val="clear" w:color="000000" w:fill="DDD9C4"/>
            <w:noWrap/>
            <w:vAlign w:val="bottom"/>
            <w:hideMark/>
          </w:tcPr>
          <w:p w:rsidR="00A3086E" w:rsidRPr="00F01330" w:rsidRDefault="00750233" w:rsidP="0074483D">
            <w:pPr>
              <w:jc w:val="right"/>
              <w:rPr>
                <w:rFonts w:ascii="Arial" w:hAnsi="Arial" w:cs="Arial"/>
                <w:sz w:val="24"/>
                <w:szCs w:val="24"/>
                <w:lang w:eastAsia="en-GB"/>
              </w:rPr>
            </w:pPr>
            <w:r w:rsidRPr="00F01330">
              <w:rPr>
                <w:rFonts w:ascii="Arial" w:hAnsi="Arial" w:cs="Arial"/>
                <w:sz w:val="24"/>
                <w:szCs w:val="24"/>
                <w:lang w:eastAsia="en-GB"/>
              </w:rPr>
              <w:t>£767,404</w:t>
            </w:r>
          </w:p>
        </w:tc>
        <w:tc>
          <w:tcPr>
            <w:tcW w:w="1969" w:type="dxa"/>
            <w:tcBorders>
              <w:top w:val="nil"/>
              <w:left w:val="nil"/>
              <w:bottom w:val="nil"/>
              <w:right w:val="nil"/>
            </w:tcBorders>
            <w:shd w:val="clear" w:color="000000" w:fill="DDD9C4"/>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000000" w:fill="DDD9C4"/>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STC cost</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£2,557,</w:t>
            </w:r>
            <w:r w:rsidR="00750233" w:rsidRPr="00F01330">
              <w:rPr>
                <w:rFonts w:ascii="Arial" w:hAnsi="Arial" w:cs="Arial"/>
                <w:sz w:val="24"/>
                <w:szCs w:val="24"/>
                <w:lang w:eastAsia="en-GB"/>
              </w:rPr>
              <w:t>608</w:t>
            </w:r>
          </w:p>
        </w:tc>
        <w:tc>
          <w:tcPr>
            <w:tcW w:w="1984" w:type="dxa"/>
            <w:tcBorders>
              <w:top w:val="nil"/>
              <w:left w:val="nil"/>
              <w:bottom w:val="nil"/>
              <w:right w:val="nil"/>
            </w:tcBorders>
            <w:shd w:val="clear" w:color="auto" w:fill="auto"/>
            <w:noWrap/>
            <w:vAlign w:val="bottom"/>
            <w:hideMark/>
          </w:tcPr>
          <w:p w:rsidR="00A3086E" w:rsidRPr="00F01330" w:rsidRDefault="00750233" w:rsidP="0074483D">
            <w:pPr>
              <w:jc w:val="right"/>
              <w:rPr>
                <w:rFonts w:ascii="Arial" w:hAnsi="Arial" w:cs="Arial"/>
                <w:color w:val="000000"/>
                <w:sz w:val="24"/>
                <w:szCs w:val="24"/>
                <w:lang w:eastAsia="en-GB"/>
              </w:rPr>
            </w:pPr>
            <w:r w:rsidRPr="00F01330">
              <w:rPr>
                <w:rFonts w:ascii="Arial" w:hAnsi="Arial" w:cs="Arial"/>
                <w:color w:val="000000"/>
                <w:sz w:val="24"/>
                <w:szCs w:val="24"/>
                <w:lang w:eastAsia="en-GB"/>
              </w:rPr>
              <w:t>£2,664,662</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STC income</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1,994,019</w:t>
            </w:r>
          </w:p>
        </w:tc>
        <w:tc>
          <w:tcPr>
            <w:tcW w:w="1984"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1,820,982</w:t>
            </w:r>
          </w:p>
        </w:tc>
        <w:tc>
          <w:tcPr>
            <w:tcW w:w="1969"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jc w:val="right"/>
              <w:rPr>
                <w:rFonts w:ascii="Arial" w:hAnsi="Arial" w:cs="Arial"/>
                <w:sz w:val="24"/>
                <w:szCs w:val="24"/>
                <w:lang w:eastAsia="en-GB"/>
              </w:rPr>
            </w:pPr>
          </w:p>
        </w:tc>
      </w:tr>
      <w:tr w:rsidR="00750233" w:rsidRPr="00F01330" w:rsidTr="00A3086E">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Net position each year</w:t>
            </w:r>
          </w:p>
        </w:tc>
        <w:tc>
          <w:tcPr>
            <w:tcW w:w="1701" w:type="dxa"/>
            <w:tcBorders>
              <w:top w:val="nil"/>
              <w:left w:val="nil"/>
              <w:bottom w:val="nil"/>
              <w:right w:val="nil"/>
            </w:tcBorders>
            <w:shd w:val="clear" w:color="000000" w:fill="DDD9C4"/>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563</w:t>
            </w:r>
            <w:r w:rsidRPr="00F01330">
              <w:rPr>
                <w:rFonts w:ascii="Arial" w:hAnsi="Arial" w:cs="Arial"/>
                <w:sz w:val="24"/>
                <w:szCs w:val="24"/>
                <w:lang w:eastAsia="en-GB"/>
              </w:rPr>
              <w:t>,</w:t>
            </w:r>
            <w:r w:rsidR="00750233" w:rsidRPr="00F01330">
              <w:rPr>
                <w:rFonts w:ascii="Arial" w:hAnsi="Arial" w:cs="Arial"/>
                <w:sz w:val="24"/>
                <w:szCs w:val="24"/>
                <w:lang w:eastAsia="en-GB"/>
              </w:rPr>
              <w:t>590</w:t>
            </w:r>
          </w:p>
        </w:tc>
        <w:tc>
          <w:tcPr>
            <w:tcW w:w="1984" w:type="dxa"/>
            <w:tcBorders>
              <w:top w:val="nil"/>
              <w:left w:val="nil"/>
              <w:bottom w:val="nil"/>
              <w:right w:val="nil"/>
            </w:tcBorders>
            <w:shd w:val="clear" w:color="000000" w:fill="DDD9C4"/>
            <w:noWrap/>
            <w:vAlign w:val="bottom"/>
            <w:hideMark/>
          </w:tcPr>
          <w:p w:rsidR="00A3086E" w:rsidRPr="00F01330" w:rsidRDefault="00750233" w:rsidP="0074483D">
            <w:pPr>
              <w:jc w:val="right"/>
              <w:rPr>
                <w:rFonts w:ascii="Arial" w:hAnsi="Arial" w:cs="Arial"/>
                <w:sz w:val="24"/>
                <w:szCs w:val="24"/>
                <w:lang w:eastAsia="en-GB"/>
              </w:rPr>
            </w:pPr>
            <w:r w:rsidRPr="00F01330">
              <w:rPr>
                <w:rFonts w:ascii="Arial" w:hAnsi="Arial" w:cs="Arial"/>
                <w:sz w:val="24"/>
                <w:szCs w:val="24"/>
                <w:lang w:eastAsia="en-GB"/>
              </w:rPr>
              <w:t>£843,680</w:t>
            </w:r>
          </w:p>
        </w:tc>
        <w:tc>
          <w:tcPr>
            <w:tcW w:w="1969" w:type="dxa"/>
            <w:tcBorders>
              <w:top w:val="nil"/>
              <w:left w:val="nil"/>
              <w:bottom w:val="nil"/>
              <w:right w:val="nil"/>
            </w:tcBorders>
            <w:shd w:val="clear" w:color="000000" w:fill="DDD9C4"/>
            <w:noWrap/>
            <w:vAlign w:val="bottom"/>
          </w:tcPr>
          <w:p w:rsidR="00A3086E" w:rsidRPr="00F01330"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000000" w:fill="DDD9C4"/>
            <w:noWrap/>
            <w:vAlign w:val="bottom"/>
          </w:tcPr>
          <w:p w:rsidR="00A3086E" w:rsidRPr="00F01330" w:rsidRDefault="00A3086E" w:rsidP="0074483D">
            <w:pPr>
              <w:jc w:val="right"/>
              <w:rPr>
                <w:rFonts w:ascii="Arial" w:hAnsi="Arial" w:cs="Arial"/>
                <w:sz w:val="24"/>
                <w:szCs w:val="24"/>
                <w:lang w:eastAsia="en-GB"/>
              </w:rPr>
            </w:pPr>
          </w:p>
        </w:tc>
      </w:tr>
      <w:tr w:rsidR="00A3086E" w:rsidRPr="00F01330" w:rsidTr="0074483D">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r>
      <w:tr w:rsidR="00750233" w:rsidRPr="00F01330" w:rsidTr="00750233">
        <w:trPr>
          <w:trHeight w:val="510"/>
        </w:trPr>
        <w:tc>
          <w:tcPr>
            <w:tcW w:w="2915" w:type="dxa"/>
            <w:tcBorders>
              <w:top w:val="nil"/>
              <w:left w:val="nil"/>
              <w:bottom w:val="nil"/>
              <w:right w:val="nil"/>
            </w:tcBorders>
            <w:shd w:val="clear" w:color="auto" w:fill="auto"/>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Survey fees % increase for cost recovery</w:t>
            </w:r>
          </w:p>
        </w:tc>
        <w:tc>
          <w:tcPr>
            <w:tcW w:w="1701" w:type="dxa"/>
            <w:tcBorders>
              <w:top w:val="nil"/>
              <w:left w:val="nil"/>
              <w:bottom w:val="nil"/>
              <w:right w:val="nil"/>
            </w:tcBorders>
            <w:shd w:val="clear" w:color="000000" w:fill="C4D79B"/>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107</w:t>
            </w:r>
            <w:r w:rsidRPr="00F01330">
              <w:rPr>
                <w:rFonts w:ascii="Arial" w:hAnsi="Arial" w:cs="Arial"/>
                <w:color w:val="000000"/>
                <w:sz w:val="24"/>
                <w:szCs w:val="24"/>
                <w:lang w:eastAsia="en-GB"/>
              </w:rPr>
              <w:t>%</w:t>
            </w:r>
          </w:p>
        </w:tc>
        <w:tc>
          <w:tcPr>
            <w:tcW w:w="1984" w:type="dxa"/>
            <w:tcBorders>
              <w:top w:val="nil"/>
              <w:left w:val="nil"/>
              <w:bottom w:val="nil"/>
              <w:right w:val="nil"/>
            </w:tcBorders>
            <w:shd w:val="clear" w:color="000000" w:fill="C4D79B"/>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111</w:t>
            </w:r>
            <w:r w:rsidRPr="00F01330">
              <w:rPr>
                <w:rFonts w:ascii="Arial" w:hAnsi="Arial" w:cs="Arial"/>
                <w:color w:val="000000"/>
                <w:sz w:val="24"/>
                <w:szCs w:val="24"/>
                <w:lang w:eastAsia="en-GB"/>
              </w:rPr>
              <w:t>%</w:t>
            </w:r>
          </w:p>
        </w:tc>
        <w:tc>
          <w:tcPr>
            <w:tcW w:w="1969" w:type="dxa"/>
            <w:tcBorders>
              <w:top w:val="nil"/>
              <w:left w:val="nil"/>
              <w:bottom w:val="nil"/>
              <w:right w:val="nil"/>
            </w:tcBorders>
            <w:shd w:val="clear" w:color="000000" w:fill="C4D79B"/>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000000" w:fill="C4D79B"/>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750233">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r>
      <w:tr w:rsidR="00750233" w:rsidRPr="00F01330" w:rsidTr="00750233">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RSS fees % increase for cost recovery</w:t>
            </w:r>
          </w:p>
        </w:tc>
        <w:tc>
          <w:tcPr>
            <w:tcW w:w="1701" w:type="dxa"/>
            <w:tcBorders>
              <w:top w:val="nil"/>
              <w:left w:val="nil"/>
              <w:bottom w:val="nil"/>
              <w:right w:val="nil"/>
            </w:tcBorders>
            <w:shd w:val="clear" w:color="000000" w:fill="C4D79B"/>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42</w:t>
            </w:r>
            <w:r w:rsidRPr="00F01330">
              <w:rPr>
                <w:rFonts w:ascii="Arial" w:hAnsi="Arial" w:cs="Arial"/>
                <w:color w:val="000000"/>
                <w:sz w:val="24"/>
                <w:szCs w:val="24"/>
                <w:lang w:eastAsia="en-GB"/>
              </w:rPr>
              <w:t>%</w:t>
            </w:r>
          </w:p>
        </w:tc>
        <w:tc>
          <w:tcPr>
            <w:tcW w:w="1984" w:type="dxa"/>
            <w:tcBorders>
              <w:top w:val="nil"/>
              <w:left w:val="nil"/>
              <w:bottom w:val="nil"/>
              <w:right w:val="nil"/>
            </w:tcBorders>
            <w:shd w:val="clear" w:color="000000" w:fill="C4D79B"/>
            <w:noWrap/>
            <w:vAlign w:val="bottom"/>
            <w:hideMark/>
          </w:tcPr>
          <w:p w:rsidR="00A3086E" w:rsidRPr="00F01330" w:rsidRDefault="00750233">
            <w:pPr>
              <w:jc w:val="right"/>
              <w:rPr>
                <w:rFonts w:ascii="Arial" w:hAnsi="Arial" w:cs="Arial"/>
                <w:color w:val="000000"/>
                <w:sz w:val="24"/>
                <w:szCs w:val="24"/>
                <w:lang w:eastAsia="en-GB"/>
              </w:rPr>
            </w:pPr>
            <w:r w:rsidRPr="00F01330">
              <w:rPr>
                <w:rFonts w:ascii="Arial" w:hAnsi="Arial" w:cs="Arial"/>
                <w:color w:val="000000"/>
                <w:sz w:val="24"/>
                <w:szCs w:val="24"/>
                <w:lang w:eastAsia="en-GB"/>
              </w:rPr>
              <w:t>-71</w:t>
            </w:r>
            <w:r w:rsidR="00A3086E" w:rsidRPr="00F01330">
              <w:rPr>
                <w:rFonts w:ascii="Arial" w:hAnsi="Arial" w:cs="Arial"/>
                <w:color w:val="000000"/>
                <w:sz w:val="24"/>
                <w:szCs w:val="24"/>
                <w:lang w:eastAsia="en-GB"/>
              </w:rPr>
              <w:t>%</w:t>
            </w:r>
          </w:p>
        </w:tc>
        <w:tc>
          <w:tcPr>
            <w:tcW w:w="1969" w:type="dxa"/>
            <w:tcBorders>
              <w:top w:val="nil"/>
              <w:left w:val="nil"/>
              <w:bottom w:val="nil"/>
              <w:right w:val="nil"/>
            </w:tcBorders>
            <w:shd w:val="clear" w:color="000000" w:fill="C4D79B"/>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000000" w:fill="C4D79B"/>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750233">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r>
      <w:tr w:rsidR="00750233" w:rsidRPr="00F01330" w:rsidTr="00750233">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STC fees % increase for cost recovery</w:t>
            </w:r>
          </w:p>
        </w:tc>
        <w:tc>
          <w:tcPr>
            <w:tcW w:w="1701" w:type="dxa"/>
            <w:tcBorders>
              <w:top w:val="nil"/>
              <w:left w:val="nil"/>
              <w:bottom w:val="nil"/>
              <w:right w:val="nil"/>
            </w:tcBorders>
            <w:shd w:val="clear" w:color="000000" w:fill="C4D79B"/>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-2</w:t>
            </w:r>
            <w:r w:rsidR="00750233" w:rsidRPr="00F01330">
              <w:rPr>
                <w:rFonts w:ascii="Arial" w:hAnsi="Arial" w:cs="Arial"/>
                <w:color w:val="000000"/>
                <w:sz w:val="24"/>
                <w:szCs w:val="24"/>
                <w:lang w:eastAsia="en-GB"/>
              </w:rPr>
              <w:t>8</w:t>
            </w:r>
            <w:r w:rsidRPr="00F01330">
              <w:rPr>
                <w:rFonts w:ascii="Arial" w:hAnsi="Arial" w:cs="Arial"/>
                <w:color w:val="000000"/>
                <w:sz w:val="24"/>
                <w:szCs w:val="24"/>
                <w:lang w:eastAsia="en-GB"/>
              </w:rPr>
              <w:t>%</w:t>
            </w:r>
          </w:p>
        </w:tc>
        <w:tc>
          <w:tcPr>
            <w:tcW w:w="1984" w:type="dxa"/>
            <w:tcBorders>
              <w:top w:val="nil"/>
              <w:left w:val="nil"/>
              <w:bottom w:val="nil"/>
              <w:right w:val="nil"/>
            </w:tcBorders>
            <w:shd w:val="clear" w:color="000000" w:fill="C4D79B"/>
            <w:noWrap/>
            <w:vAlign w:val="bottom"/>
            <w:hideMark/>
          </w:tcPr>
          <w:p w:rsidR="00A3086E" w:rsidRPr="00F01330" w:rsidRDefault="00A3086E">
            <w:pPr>
              <w:jc w:val="right"/>
              <w:rPr>
                <w:rFonts w:ascii="Arial" w:hAnsi="Arial" w:cs="Arial"/>
                <w:color w:val="000000"/>
                <w:sz w:val="24"/>
                <w:szCs w:val="24"/>
                <w:lang w:eastAsia="en-GB"/>
              </w:rPr>
            </w:pPr>
            <w:r w:rsidRPr="00F01330">
              <w:rPr>
                <w:rFonts w:ascii="Arial" w:hAnsi="Arial" w:cs="Arial"/>
                <w:color w:val="000000"/>
                <w:sz w:val="24"/>
                <w:szCs w:val="24"/>
                <w:lang w:eastAsia="en-GB"/>
              </w:rPr>
              <w:t>-</w:t>
            </w:r>
            <w:r w:rsidR="00750233" w:rsidRPr="00F01330">
              <w:rPr>
                <w:rFonts w:ascii="Arial" w:hAnsi="Arial" w:cs="Arial"/>
                <w:color w:val="000000"/>
                <w:sz w:val="24"/>
                <w:szCs w:val="24"/>
                <w:lang w:eastAsia="en-GB"/>
              </w:rPr>
              <w:t>46</w:t>
            </w:r>
            <w:r w:rsidRPr="00F01330">
              <w:rPr>
                <w:rFonts w:ascii="Arial" w:hAnsi="Arial" w:cs="Arial"/>
                <w:color w:val="000000"/>
                <w:sz w:val="24"/>
                <w:szCs w:val="24"/>
                <w:lang w:eastAsia="en-GB"/>
              </w:rPr>
              <w:t>%</w:t>
            </w:r>
          </w:p>
        </w:tc>
        <w:tc>
          <w:tcPr>
            <w:tcW w:w="1969" w:type="dxa"/>
            <w:tcBorders>
              <w:top w:val="nil"/>
              <w:left w:val="nil"/>
              <w:bottom w:val="nil"/>
              <w:right w:val="nil"/>
            </w:tcBorders>
            <w:shd w:val="clear" w:color="000000" w:fill="C4D79B"/>
            <w:noWrap/>
            <w:vAlign w:val="bottom"/>
          </w:tcPr>
          <w:p w:rsidR="00A3086E" w:rsidRPr="00F01330" w:rsidRDefault="00A3086E" w:rsidP="0074483D">
            <w:pPr>
              <w:jc w:val="right"/>
              <w:rPr>
                <w:rFonts w:ascii="Arial" w:hAnsi="Arial" w:cs="Arial"/>
                <w:color w:val="000000"/>
                <w:sz w:val="24"/>
                <w:szCs w:val="24"/>
                <w:lang w:eastAsia="en-GB"/>
              </w:rPr>
            </w:pPr>
          </w:p>
        </w:tc>
        <w:tc>
          <w:tcPr>
            <w:tcW w:w="2142" w:type="dxa"/>
            <w:tcBorders>
              <w:top w:val="nil"/>
              <w:left w:val="nil"/>
              <w:bottom w:val="nil"/>
              <w:right w:val="nil"/>
            </w:tcBorders>
            <w:shd w:val="clear" w:color="000000" w:fill="C4D79B"/>
            <w:noWrap/>
            <w:vAlign w:val="bottom"/>
          </w:tcPr>
          <w:p w:rsidR="00A3086E" w:rsidRPr="00F01330" w:rsidRDefault="00A3086E" w:rsidP="0074483D">
            <w:pPr>
              <w:jc w:val="right"/>
              <w:rPr>
                <w:rFonts w:ascii="Arial" w:hAnsi="Arial" w:cs="Arial"/>
                <w:color w:val="000000"/>
                <w:sz w:val="24"/>
                <w:szCs w:val="24"/>
                <w:lang w:eastAsia="en-GB"/>
              </w:rPr>
            </w:pPr>
          </w:p>
        </w:tc>
      </w:tr>
      <w:tr w:rsidR="00750233" w:rsidRPr="00F01330" w:rsidTr="00750233">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jc w:val="right"/>
              <w:rPr>
                <w:rFonts w:ascii="Arial" w:hAnsi="Arial" w:cs="Arial"/>
                <w:color w:val="000000"/>
                <w:sz w:val="24"/>
                <w:szCs w:val="24"/>
                <w:lang w:eastAsia="en-GB"/>
              </w:rPr>
            </w:pPr>
          </w:p>
        </w:tc>
        <w:tc>
          <w:tcPr>
            <w:tcW w:w="1701"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84"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p>
        </w:tc>
        <w:tc>
          <w:tcPr>
            <w:tcW w:w="1969"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F01330" w:rsidRDefault="00A3086E" w:rsidP="0074483D">
            <w:pPr>
              <w:rPr>
                <w:rFonts w:ascii="Arial" w:hAnsi="Arial" w:cs="Arial"/>
                <w:sz w:val="24"/>
                <w:szCs w:val="24"/>
                <w:lang w:eastAsia="en-GB"/>
              </w:rPr>
            </w:pPr>
          </w:p>
        </w:tc>
      </w:tr>
      <w:tr w:rsidR="00750233" w:rsidRPr="00EE5F8A" w:rsidTr="00750233">
        <w:trPr>
          <w:trHeight w:val="255"/>
        </w:trPr>
        <w:tc>
          <w:tcPr>
            <w:tcW w:w="2915" w:type="dxa"/>
            <w:tcBorders>
              <w:top w:val="nil"/>
              <w:left w:val="nil"/>
              <w:bottom w:val="nil"/>
              <w:right w:val="nil"/>
            </w:tcBorders>
            <w:shd w:val="clear" w:color="auto" w:fill="auto"/>
            <w:noWrap/>
            <w:vAlign w:val="bottom"/>
            <w:hideMark/>
          </w:tcPr>
          <w:p w:rsidR="00A3086E" w:rsidRPr="00F01330" w:rsidRDefault="00A3086E" w:rsidP="0074483D">
            <w:pPr>
              <w:rPr>
                <w:rFonts w:ascii="Arial" w:hAnsi="Arial" w:cs="Arial"/>
                <w:sz w:val="24"/>
                <w:szCs w:val="24"/>
                <w:lang w:eastAsia="en-GB"/>
              </w:rPr>
            </w:pPr>
            <w:r w:rsidRPr="00F01330">
              <w:rPr>
                <w:rFonts w:ascii="Arial" w:hAnsi="Arial" w:cs="Arial"/>
                <w:sz w:val="24"/>
                <w:szCs w:val="24"/>
                <w:lang w:eastAsia="en-GB"/>
              </w:rPr>
              <w:t>Total under recovery</w:t>
            </w:r>
          </w:p>
        </w:tc>
        <w:tc>
          <w:tcPr>
            <w:tcW w:w="1701" w:type="dxa"/>
            <w:tcBorders>
              <w:top w:val="nil"/>
              <w:left w:val="nil"/>
              <w:bottom w:val="nil"/>
              <w:right w:val="nil"/>
            </w:tcBorders>
            <w:shd w:val="clear" w:color="auto" w:fill="auto"/>
            <w:noWrap/>
            <w:vAlign w:val="bottom"/>
            <w:hideMark/>
          </w:tcPr>
          <w:p w:rsidR="00A3086E" w:rsidRPr="00F01330" w:rsidRDefault="00A3086E">
            <w:pPr>
              <w:jc w:val="right"/>
              <w:rPr>
                <w:rFonts w:ascii="Arial" w:hAnsi="Arial" w:cs="Arial"/>
                <w:sz w:val="24"/>
                <w:szCs w:val="24"/>
                <w:lang w:eastAsia="en-GB"/>
              </w:rPr>
            </w:pPr>
            <w:r w:rsidRPr="00F01330">
              <w:rPr>
                <w:rFonts w:ascii="Arial" w:hAnsi="Arial" w:cs="Arial"/>
                <w:sz w:val="24"/>
                <w:szCs w:val="24"/>
                <w:lang w:eastAsia="en-GB"/>
              </w:rPr>
              <w:t>£</w:t>
            </w:r>
            <w:r w:rsidR="00750233" w:rsidRPr="00F01330">
              <w:rPr>
                <w:rFonts w:ascii="Arial" w:hAnsi="Arial" w:cs="Arial"/>
                <w:sz w:val="24"/>
                <w:szCs w:val="24"/>
                <w:lang w:eastAsia="en-GB"/>
              </w:rPr>
              <w:t>5</w:t>
            </w:r>
            <w:r w:rsidRPr="00F01330">
              <w:rPr>
                <w:rFonts w:ascii="Arial" w:hAnsi="Arial" w:cs="Arial"/>
                <w:sz w:val="24"/>
                <w:szCs w:val="24"/>
                <w:lang w:eastAsia="en-GB"/>
              </w:rPr>
              <w:t>,</w:t>
            </w:r>
            <w:r w:rsidR="00750233" w:rsidRPr="00F01330">
              <w:rPr>
                <w:rFonts w:ascii="Arial" w:hAnsi="Arial" w:cs="Arial"/>
                <w:sz w:val="24"/>
                <w:szCs w:val="24"/>
                <w:lang w:eastAsia="en-GB"/>
              </w:rPr>
              <w:t>451</w:t>
            </w:r>
            <w:r w:rsidRPr="00F01330">
              <w:rPr>
                <w:rFonts w:ascii="Arial" w:hAnsi="Arial" w:cs="Arial"/>
                <w:sz w:val="24"/>
                <w:szCs w:val="24"/>
                <w:lang w:eastAsia="en-GB"/>
              </w:rPr>
              <w:t>,</w:t>
            </w:r>
            <w:r w:rsidR="00750233" w:rsidRPr="00F01330">
              <w:rPr>
                <w:rFonts w:ascii="Arial" w:hAnsi="Arial" w:cs="Arial"/>
                <w:sz w:val="24"/>
                <w:szCs w:val="24"/>
                <w:lang w:eastAsia="en-GB"/>
              </w:rPr>
              <w:t>445</w:t>
            </w:r>
          </w:p>
        </w:tc>
        <w:tc>
          <w:tcPr>
            <w:tcW w:w="1984" w:type="dxa"/>
            <w:tcBorders>
              <w:top w:val="nil"/>
              <w:left w:val="nil"/>
              <w:bottom w:val="nil"/>
              <w:right w:val="nil"/>
            </w:tcBorders>
            <w:shd w:val="clear" w:color="auto" w:fill="auto"/>
            <w:noWrap/>
            <w:vAlign w:val="bottom"/>
            <w:hideMark/>
          </w:tcPr>
          <w:p w:rsidR="00A3086E" w:rsidRPr="000C3D0B" w:rsidRDefault="00A3086E">
            <w:pPr>
              <w:jc w:val="right"/>
              <w:rPr>
                <w:rFonts w:ascii="Arial" w:hAnsi="Arial" w:cs="Arial"/>
                <w:sz w:val="24"/>
                <w:szCs w:val="24"/>
                <w:lang w:eastAsia="en-GB"/>
              </w:rPr>
            </w:pPr>
            <w:r w:rsidRPr="000C3D0B">
              <w:rPr>
                <w:rFonts w:ascii="Arial" w:hAnsi="Arial" w:cs="Arial"/>
                <w:sz w:val="24"/>
                <w:szCs w:val="24"/>
                <w:lang w:eastAsia="en-GB"/>
              </w:rPr>
              <w:t>£</w:t>
            </w:r>
            <w:r w:rsidR="00750233" w:rsidRPr="000C3D0B">
              <w:rPr>
                <w:rFonts w:ascii="Arial" w:hAnsi="Arial" w:cs="Arial"/>
                <w:sz w:val="24"/>
                <w:szCs w:val="24"/>
                <w:lang w:eastAsia="en-GB"/>
              </w:rPr>
              <w:t>6</w:t>
            </w:r>
            <w:r w:rsidR="000C3D0B" w:rsidRPr="000C3D0B">
              <w:rPr>
                <w:rFonts w:ascii="Arial" w:hAnsi="Arial" w:cs="Arial"/>
                <w:sz w:val="24"/>
                <w:szCs w:val="24"/>
                <w:lang w:eastAsia="en-GB"/>
              </w:rPr>
              <w:t>,</w:t>
            </w:r>
            <w:r w:rsidR="00750233" w:rsidRPr="000C3D0B">
              <w:rPr>
                <w:rFonts w:ascii="Arial" w:hAnsi="Arial" w:cs="Arial"/>
                <w:sz w:val="24"/>
                <w:szCs w:val="24"/>
                <w:lang w:eastAsia="en-GB"/>
              </w:rPr>
              <w:t>243,287</w:t>
            </w:r>
          </w:p>
        </w:tc>
        <w:tc>
          <w:tcPr>
            <w:tcW w:w="1969" w:type="dxa"/>
            <w:tcBorders>
              <w:top w:val="nil"/>
              <w:left w:val="nil"/>
              <w:bottom w:val="nil"/>
              <w:right w:val="nil"/>
            </w:tcBorders>
            <w:shd w:val="clear" w:color="auto" w:fill="auto"/>
            <w:noWrap/>
            <w:vAlign w:val="bottom"/>
          </w:tcPr>
          <w:p w:rsidR="00A3086E" w:rsidRPr="000C3D0B" w:rsidRDefault="00A3086E" w:rsidP="0074483D">
            <w:pPr>
              <w:jc w:val="right"/>
              <w:rPr>
                <w:rFonts w:ascii="Arial" w:hAnsi="Arial" w:cs="Arial"/>
                <w:sz w:val="24"/>
                <w:szCs w:val="24"/>
                <w:lang w:eastAsia="en-GB"/>
              </w:rPr>
            </w:pPr>
          </w:p>
        </w:tc>
        <w:tc>
          <w:tcPr>
            <w:tcW w:w="2142" w:type="dxa"/>
            <w:tcBorders>
              <w:top w:val="nil"/>
              <w:left w:val="nil"/>
              <w:bottom w:val="nil"/>
              <w:right w:val="nil"/>
            </w:tcBorders>
            <w:shd w:val="clear" w:color="auto" w:fill="auto"/>
            <w:noWrap/>
            <w:vAlign w:val="bottom"/>
          </w:tcPr>
          <w:p w:rsidR="00A3086E" w:rsidRPr="00EE5F8A" w:rsidRDefault="00A3086E" w:rsidP="0074483D">
            <w:pPr>
              <w:jc w:val="right"/>
              <w:rPr>
                <w:rFonts w:cs="Arial"/>
                <w:sz w:val="24"/>
                <w:szCs w:val="24"/>
                <w:lang w:eastAsia="en-GB"/>
              </w:rPr>
            </w:pPr>
          </w:p>
        </w:tc>
      </w:tr>
    </w:tbl>
    <w:p w:rsidR="00A3086E" w:rsidRPr="00E806F1" w:rsidRDefault="00A3086E" w:rsidP="00A3086E">
      <w:pPr>
        <w:rPr>
          <w:rFonts w:ascii="Arial" w:hAnsi="Arial" w:cs="Arial"/>
          <w:i/>
          <w:sz w:val="24"/>
          <w:szCs w:val="24"/>
          <w:lang w:eastAsia="en-GB"/>
        </w:rPr>
      </w:pPr>
      <w:r w:rsidRPr="00EE5F8A">
        <w:rPr>
          <w:sz w:val="24"/>
          <w:szCs w:val="24"/>
          <w:lang w:eastAsia="en-GB"/>
        </w:rPr>
        <w:t xml:space="preserve">* </w:t>
      </w:r>
      <w:r w:rsidRPr="00E806F1">
        <w:rPr>
          <w:rFonts w:ascii="Arial" w:hAnsi="Arial" w:cs="Arial"/>
          <w:sz w:val="24"/>
          <w:szCs w:val="24"/>
          <w:lang w:eastAsia="en-GB"/>
        </w:rPr>
        <w:t>All negative (-) values indicate income to the MCA</w:t>
      </w:r>
    </w:p>
    <w:p w:rsidR="00A3086E" w:rsidRPr="00E806F1" w:rsidRDefault="00A3086E" w:rsidP="00A3086E">
      <w:pPr>
        <w:rPr>
          <w:rFonts w:ascii="Arial" w:hAnsi="Arial" w:cs="Arial"/>
          <w:sz w:val="24"/>
          <w:szCs w:val="24"/>
          <w:lang w:eastAsia="en-GB"/>
        </w:rPr>
      </w:pPr>
      <w:r w:rsidRPr="00E806F1">
        <w:rPr>
          <w:rFonts w:ascii="Arial" w:hAnsi="Arial" w:cs="Arial"/>
          <w:sz w:val="24"/>
          <w:szCs w:val="24"/>
          <w:lang w:eastAsia="en-GB"/>
        </w:rPr>
        <w:t>** Figures are in the price base of their respective years and have not been discounted</w:t>
      </w:r>
    </w:p>
    <w:p w:rsidR="00705A8C" w:rsidRPr="00EE5F8A" w:rsidRDefault="00705A8C" w:rsidP="00A82B20">
      <w:pPr>
        <w:spacing w:after="0" w:line="360" w:lineRule="auto"/>
        <w:rPr>
          <w:rFonts w:ascii="Arial" w:eastAsia="Times New Roman" w:hAnsi="Arial" w:cs="Times New Roman"/>
          <w:sz w:val="24"/>
          <w:szCs w:val="24"/>
          <w:lang w:eastAsia="en-GB"/>
        </w:rPr>
      </w:pPr>
    </w:p>
    <w:p w:rsidR="00A82B20" w:rsidRPr="00D73E0B" w:rsidRDefault="00A82B20" w:rsidP="00E806F1">
      <w:pPr>
        <w:rPr>
          <w:rFonts w:ascii="Arial" w:eastAsia="Times New Roman" w:hAnsi="Arial" w:cs="Times New Roman"/>
          <w:sz w:val="24"/>
          <w:szCs w:val="24"/>
          <w:u w:val="single"/>
          <w:lang w:eastAsia="en-GB"/>
        </w:rPr>
      </w:pPr>
      <w:r w:rsidRPr="00D73E0B">
        <w:rPr>
          <w:rFonts w:ascii="Arial" w:eastAsia="SimSun" w:hAnsi="Arial" w:cs="Times New Roman"/>
          <w:sz w:val="24"/>
          <w:szCs w:val="24"/>
          <w:u w:val="single"/>
          <w:lang w:eastAsia="zh-CN"/>
        </w:rPr>
        <w:t>Small and Micro Business</w:t>
      </w:r>
      <w:r w:rsidR="00043750" w:rsidRPr="00D73E0B">
        <w:rPr>
          <w:rFonts w:ascii="Arial" w:eastAsia="SimSun" w:hAnsi="Arial" w:cs="Times New Roman"/>
          <w:sz w:val="24"/>
          <w:szCs w:val="24"/>
          <w:u w:val="single"/>
          <w:lang w:eastAsia="zh-CN"/>
        </w:rPr>
        <w:t xml:space="preserve"> (or Wider Impact)</w:t>
      </w:r>
      <w:r w:rsidRPr="00D73E0B">
        <w:rPr>
          <w:rFonts w:ascii="Arial" w:eastAsia="SimSun" w:hAnsi="Arial" w:cs="Times New Roman"/>
          <w:sz w:val="24"/>
          <w:szCs w:val="24"/>
          <w:u w:val="single"/>
          <w:lang w:eastAsia="zh-CN"/>
        </w:rPr>
        <w:t xml:space="preserve"> Assessment</w:t>
      </w:r>
    </w:p>
    <w:p w:rsidR="00A82B20" w:rsidRPr="00D73E0B" w:rsidRDefault="00A82B20" w:rsidP="002312E7">
      <w:pPr>
        <w:spacing w:after="0" w:line="340" w:lineRule="exact"/>
        <w:ind w:right="113"/>
        <w:rPr>
          <w:rFonts w:ascii="Arial" w:eastAsia="SimSun" w:hAnsi="Arial" w:cs="Times New Roman"/>
          <w:sz w:val="24"/>
          <w:szCs w:val="24"/>
          <w:lang w:eastAsia="zh-CN"/>
        </w:rPr>
      </w:pPr>
      <w:r w:rsidRPr="00D73E0B">
        <w:rPr>
          <w:rFonts w:ascii="Arial" w:eastAsia="SimSun" w:hAnsi="Arial" w:cs="Times New Roman"/>
          <w:sz w:val="24"/>
          <w:szCs w:val="24"/>
          <w:lang w:eastAsia="zh-CN"/>
        </w:rPr>
        <w:t xml:space="preserve">Smaller operators are likely to be the most affected by an immediate uplift as they are less able to absorb cost increases. Larger operators may choose to ‘flag out’ of </w:t>
      </w:r>
      <w:r w:rsidR="00290454" w:rsidRPr="00D73E0B">
        <w:rPr>
          <w:rFonts w:ascii="Arial" w:eastAsia="SimSun" w:hAnsi="Arial" w:cs="Times New Roman"/>
          <w:sz w:val="24"/>
          <w:szCs w:val="24"/>
          <w:lang w:eastAsia="zh-CN"/>
        </w:rPr>
        <w:t xml:space="preserve">the </w:t>
      </w:r>
      <w:r w:rsidRPr="00D73E0B">
        <w:rPr>
          <w:rFonts w:ascii="Arial" w:eastAsia="SimSun" w:hAnsi="Arial" w:cs="Times New Roman"/>
          <w:sz w:val="24"/>
          <w:szCs w:val="24"/>
          <w:lang w:eastAsia="zh-CN"/>
        </w:rPr>
        <w:t xml:space="preserve">UK and register under another flag </w:t>
      </w:r>
      <w:r w:rsidR="009B09EB" w:rsidRPr="00D73E0B">
        <w:rPr>
          <w:rFonts w:ascii="Arial" w:eastAsia="SimSun" w:hAnsi="Arial" w:cs="Times New Roman"/>
          <w:sz w:val="24"/>
          <w:szCs w:val="24"/>
          <w:lang w:eastAsia="zh-CN"/>
        </w:rPr>
        <w:t>St</w:t>
      </w:r>
      <w:r w:rsidRPr="00D73E0B">
        <w:rPr>
          <w:rFonts w:ascii="Arial" w:eastAsia="SimSun" w:hAnsi="Arial" w:cs="Times New Roman"/>
          <w:sz w:val="24"/>
          <w:szCs w:val="24"/>
          <w:lang w:eastAsia="zh-CN"/>
        </w:rPr>
        <w:t xml:space="preserve">ate, although there is evidence that considers these impacts to be minimal for larger operators. </w:t>
      </w:r>
    </w:p>
    <w:p w:rsidR="00A82B20" w:rsidRPr="00D73E0B" w:rsidRDefault="00A82B20" w:rsidP="002312E7">
      <w:pPr>
        <w:spacing w:after="0" w:line="340" w:lineRule="exact"/>
        <w:ind w:right="113"/>
        <w:rPr>
          <w:rFonts w:ascii="Arial" w:eastAsia="SimSun" w:hAnsi="Arial" w:cs="Times New Roman"/>
          <w:sz w:val="24"/>
          <w:szCs w:val="24"/>
          <w:lang w:eastAsia="zh-CN"/>
        </w:rPr>
      </w:pPr>
    </w:p>
    <w:p w:rsidR="00A82B20" w:rsidRPr="00D73E0B" w:rsidRDefault="00A82B20" w:rsidP="002312E7">
      <w:pPr>
        <w:pStyle w:val="IAPOA510"/>
        <w:spacing w:line="340" w:lineRule="exact"/>
        <w:ind w:left="0"/>
        <w:rPr>
          <w:spacing w:val="0"/>
          <w:sz w:val="24"/>
          <w:szCs w:val="24"/>
        </w:rPr>
      </w:pPr>
      <w:r w:rsidRPr="00D73E0B">
        <w:rPr>
          <w:rFonts w:eastAsia="Times New Roman"/>
          <w:spacing w:val="0"/>
          <w:sz w:val="24"/>
          <w:szCs w:val="24"/>
        </w:rPr>
        <w:lastRenderedPageBreak/>
        <w:t xml:space="preserve">In most cases, the cost of fees paid for </w:t>
      </w:r>
      <w:r w:rsidR="00106475" w:rsidRPr="00D73E0B">
        <w:rPr>
          <w:rFonts w:eastAsia="Times New Roman"/>
          <w:spacing w:val="0"/>
          <w:sz w:val="24"/>
          <w:szCs w:val="24"/>
        </w:rPr>
        <w:t xml:space="preserve">the </w:t>
      </w:r>
      <w:r w:rsidRPr="00D73E0B">
        <w:rPr>
          <w:rFonts w:eastAsia="Times New Roman"/>
          <w:spacing w:val="0"/>
          <w:sz w:val="24"/>
          <w:szCs w:val="24"/>
        </w:rPr>
        <w:t>MCA</w:t>
      </w:r>
      <w:r w:rsidR="00106475" w:rsidRPr="00D73E0B">
        <w:rPr>
          <w:rFonts w:eastAsia="Times New Roman"/>
          <w:spacing w:val="0"/>
          <w:sz w:val="24"/>
          <w:szCs w:val="24"/>
        </w:rPr>
        <w:t>’s</w:t>
      </w:r>
      <w:r w:rsidRPr="00D73E0B">
        <w:rPr>
          <w:rFonts w:eastAsia="Times New Roman"/>
          <w:spacing w:val="0"/>
          <w:sz w:val="24"/>
          <w:szCs w:val="24"/>
        </w:rPr>
        <w:t xml:space="preserve"> ship surveys forms only a small part of the cost of owning or operating vessels. </w:t>
      </w:r>
      <w:r w:rsidR="00E443D2" w:rsidRPr="00D73E0B">
        <w:rPr>
          <w:rFonts w:eastAsia="Times New Roman"/>
          <w:spacing w:val="0"/>
          <w:sz w:val="24"/>
          <w:szCs w:val="24"/>
        </w:rPr>
        <w:t>Therefore, t</w:t>
      </w:r>
      <w:r w:rsidRPr="00D73E0B">
        <w:rPr>
          <w:rFonts w:eastAsia="Times New Roman"/>
          <w:spacing w:val="0"/>
          <w:sz w:val="24"/>
          <w:szCs w:val="24"/>
        </w:rPr>
        <w:t xml:space="preserve">he impact of increasing survey fees on a typical cross section of vessel operating costs, between fees paid to </w:t>
      </w:r>
      <w:r w:rsidR="00106475" w:rsidRPr="00D73E0B">
        <w:rPr>
          <w:rFonts w:eastAsia="Times New Roman"/>
          <w:spacing w:val="0"/>
          <w:sz w:val="24"/>
          <w:szCs w:val="24"/>
        </w:rPr>
        <w:t xml:space="preserve">the </w:t>
      </w:r>
      <w:r w:rsidRPr="00D73E0B">
        <w:rPr>
          <w:rFonts w:eastAsia="Times New Roman"/>
          <w:spacing w:val="0"/>
          <w:sz w:val="24"/>
          <w:szCs w:val="24"/>
        </w:rPr>
        <w:t>MCA and typical operating costs for businesses of various sizes operating vessels</w:t>
      </w:r>
      <w:r w:rsidR="00E443D2" w:rsidRPr="00D73E0B">
        <w:rPr>
          <w:rFonts w:eastAsia="Times New Roman"/>
          <w:spacing w:val="0"/>
          <w:sz w:val="24"/>
          <w:szCs w:val="24"/>
        </w:rPr>
        <w:t xml:space="preserve"> is not considered highly prohibitive to vessel operators</w:t>
      </w:r>
      <w:r w:rsidR="00290454" w:rsidRPr="00D73E0B">
        <w:rPr>
          <w:rFonts w:eastAsia="Times New Roman"/>
          <w:spacing w:val="0"/>
          <w:sz w:val="24"/>
          <w:szCs w:val="24"/>
        </w:rPr>
        <w:t>.</w:t>
      </w:r>
      <w:r w:rsidRPr="00D73E0B">
        <w:rPr>
          <w:rFonts w:eastAsia="Times New Roman"/>
          <w:spacing w:val="0"/>
          <w:sz w:val="24"/>
          <w:szCs w:val="24"/>
        </w:rPr>
        <w:t xml:space="preserve"> The analysis estimates that the annualised flag </w:t>
      </w:r>
      <w:r w:rsidR="009B09EB" w:rsidRPr="00D73E0B">
        <w:rPr>
          <w:rFonts w:eastAsia="Times New Roman"/>
          <w:spacing w:val="0"/>
          <w:sz w:val="24"/>
          <w:szCs w:val="24"/>
        </w:rPr>
        <w:t>S</w:t>
      </w:r>
      <w:r w:rsidRPr="00D73E0B">
        <w:rPr>
          <w:rFonts w:eastAsia="Times New Roman"/>
          <w:spacing w:val="0"/>
          <w:sz w:val="24"/>
          <w:szCs w:val="24"/>
        </w:rPr>
        <w:t xml:space="preserve">tate fees for large internationally trading container vessels will </w:t>
      </w:r>
      <w:r w:rsidR="00425624" w:rsidRPr="00D73E0B">
        <w:rPr>
          <w:rFonts w:eastAsia="Times New Roman"/>
          <w:spacing w:val="0"/>
          <w:sz w:val="24"/>
          <w:szCs w:val="24"/>
        </w:rPr>
        <w:t>increase</w:t>
      </w:r>
      <w:r w:rsidRPr="00D73E0B">
        <w:rPr>
          <w:rFonts w:eastAsia="Times New Roman"/>
          <w:spacing w:val="0"/>
          <w:sz w:val="24"/>
          <w:szCs w:val="24"/>
        </w:rPr>
        <w:t xml:space="preserve"> from 0.2% to 0.3% of total operating</w:t>
      </w:r>
      <w:r w:rsidR="00E77CCC" w:rsidRPr="00D73E0B">
        <w:rPr>
          <w:rFonts w:eastAsia="Times New Roman"/>
          <w:spacing w:val="0"/>
          <w:sz w:val="24"/>
          <w:szCs w:val="24"/>
        </w:rPr>
        <w:t xml:space="preserve"> </w:t>
      </w:r>
      <w:r w:rsidRPr="00D73E0B">
        <w:rPr>
          <w:rFonts w:eastAsia="Times New Roman"/>
          <w:spacing w:val="0"/>
          <w:sz w:val="24"/>
          <w:szCs w:val="24"/>
        </w:rPr>
        <w:t>costs.  Mid</w:t>
      </w:r>
      <w:r w:rsidR="009B09EB" w:rsidRPr="00D73E0B">
        <w:rPr>
          <w:rFonts w:eastAsia="Times New Roman"/>
          <w:spacing w:val="0"/>
          <w:sz w:val="24"/>
          <w:szCs w:val="24"/>
        </w:rPr>
        <w:noBreakHyphen/>
      </w:r>
      <w:r w:rsidRPr="00D73E0B">
        <w:rPr>
          <w:rFonts w:eastAsia="Times New Roman"/>
          <w:spacing w:val="0"/>
          <w:sz w:val="24"/>
          <w:szCs w:val="24"/>
        </w:rPr>
        <w:t xml:space="preserve">sized continental cargo ships would see increases </w:t>
      </w:r>
      <w:r w:rsidRPr="00D73E0B">
        <w:rPr>
          <w:spacing w:val="0"/>
          <w:sz w:val="24"/>
          <w:szCs w:val="24"/>
        </w:rPr>
        <w:t>from around 0.3% to 0.5%, while domestic passenger vessels and fishing boats would face increases of 0.</w:t>
      </w:r>
      <w:r w:rsidR="006812A3" w:rsidRPr="00D73E0B">
        <w:rPr>
          <w:spacing w:val="0"/>
          <w:sz w:val="24"/>
          <w:szCs w:val="24"/>
        </w:rPr>
        <w:t>9</w:t>
      </w:r>
      <w:r w:rsidRPr="00D73E0B">
        <w:rPr>
          <w:spacing w:val="0"/>
          <w:sz w:val="24"/>
          <w:szCs w:val="24"/>
        </w:rPr>
        <w:t xml:space="preserve">% </w:t>
      </w:r>
      <w:r w:rsidR="006812A3" w:rsidRPr="00D73E0B">
        <w:rPr>
          <w:spacing w:val="0"/>
          <w:sz w:val="24"/>
          <w:szCs w:val="24"/>
        </w:rPr>
        <w:t xml:space="preserve">and </w:t>
      </w:r>
      <w:r w:rsidRPr="00D73E0B">
        <w:rPr>
          <w:spacing w:val="0"/>
          <w:sz w:val="24"/>
          <w:szCs w:val="24"/>
        </w:rPr>
        <w:t>0</w:t>
      </w:r>
      <w:r w:rsidR="006812A3" w:rsidRPr="00D73E0B">
        <w:rPr>
          <w:spacing w:val="0"/>
          <w:sz w:val="24"/>
          <w:szCs w:val="24"/>
        </w:rPr>
        <w:t>.3</w:t>
      </w:r>
      <w:r w:rsidR="00BC5F0D">
        <w:rPr>
          <w:spacing w:val="0"/>
          <w:sz w:val="24"/>
          <w:szCs w:val="24"/>
        </w:rPr>
        <w:t xml:space="preserve">%. </w:t>
      </w:r>
      <w:r w:rsidRPr="00D73E0B">
        <w:rPr>
          <w:spacing w:val="0"/>
          <w:sz w:val="24"/>
          <w:szCs w:val="24"/>
        </w:rPr>
        <w:t xml:space="preserve">The data used to estimate these effects are from an internal report commissioned by </w:t>
      </w:r>
      <w:r w:rsidR="00106475" w:rsidRPr="00D73E0B">
        <w:rPr>
          <w:spacing w:val="0"/>
          <w:sz w:val="24"/>
          <w:szCs w:val="24"/>
        </w:rPr>
        <w:t xml:space="preserve">the </w:t>
      </w:r>
      <w:r w:rsidRPr="00D73E0B">
        <w:rPr>
          <w:spacing w:val="0"/>
          <w:sz w:val="24"/>
          <w:szCs w:val="24"/>
        </w:rPr>
        <w:t>MCA.</w:t>
      </w:r>
    </w:p>
    <w:p w:rsidR="00C56E91" w:rsidRPr="00D73E0B" w:rsidRDefault="00C56E91" w:rsidP="002312E7">
      <w:pPr>
        <w:pStyle w:val="IAPOA510"/>
        <w:spacing w:line="340" w:lineRule="exact"/>
        <w:ind w:left="0"/>
        <w:rPr>
          <w:spacing w:val="0"/>
          <w:sz w:val="24"/>
          <w:szCs w:val="24"/>
        </w:rPr>
      </w:pPr>
    </w:p>
    <w:p w:rsidR="00A82B20" w:rsidRPr="00D73E0B" w:rsidRDefault="00A82B20" w:rsidP="002312E7">
      <w:pPr>
        <w:pStyle w:val="IAPOA510"/>
        <w:spacing w:line="340" w:lineRule="exact"/>
        <w:ind w:left="0"/>
        <w:rPr>
          <w:spacing w:val="0"/>
          <w:sz w:val="24"/>
          <w:szCs w:val="24"/>
        </w:rPr>
      </w:pPr>
      <w:r w:rsidRPr="00D73E0B">
        <w:rPr>
          <w:spacing w:val="0"/>
          <w:sz w:val="24"/>
          <w:szCs w:val="24"/>
        </w:rPr>
        <w:t>It has not been considered appropriate to exempt or charge different fees by size of business for small and micro business because this would not achieve the</w:t>
      </w:r>
      <w:r w:rsidR="007615A2" w:rsidRPr="00D73E0B">
        <w:rPr>
          <w:spacing w:val="0"/>
          <w:sz w:val="24"/>
          <w:szCs w:val="24"/>
        </w:rPr>
        <w:t xml:space="preserve"> public expenditure </w:t>
      </w:r>
      <w:r w:rsidR="00523421" w:rsidRPr="00D73E0B">
        <w:rPr>
          <w:spacing w:val="0"/>
          <w:sz w:val="24"/>
          <w:szCs w:val="24"/>
        </w:rPr>
        <w:t>rule of</w:t>
      </w:r>
      <w:r w:rsidRPr="00D73E0B">
        <w:rPr>
          <w:spacing w:val="0"/>
          <w:sz w:val="24"/>
          <w:szCs w:val="24"/>
        </w:rPr>
        <w:t xml:space="preserve"> full cost recovery</w:t>
      </w:r>
      <w:r w:rsidR="007615A2" w:rsidRPr="00D73E0B">
        <w:rPr>
          <w:spacing w:val="0"/>
          <w:sz w:val="24"/>
          <w:szCs w:val="24"/>
        </w:rPr>
        <w:t xml:space="preserve"> for all </w:t>
      </w:r>
      <w:r w:rsidR="009B09EB" w:rsidRPr="00D73E0B">
        <w:rPr>
          <w:spacing w:val="0"/>
          <w:sz w:val="24"/>
          <w:szCs w:val="24"/>
        </w:rPr>
        <w:t>g</w:t>
      </w:r>
      <w:r w:rsidR="007615A2" w:rsidRPr="00D73E0B">
        <w:rPr>
          <w:spacing w:val="0"/>
          <w:sz w:val="24"/>
          <w:szCs w:val="24"/>
        </w:rPr>
        <w:t>overnment fees and charges</w:t>
      </w:r>
      <w:r w:rsidRPr="00D73E0B">
        <w:rPr>
          <w:spacing w:val="0"/>
          <w:sz w:val="24"/>
          <w:szCs w:val="24"/>
        </w:rPr>
        <w:t xml:space="preserve">. The services provided are critical to maintaining safety and preventing environmental incidents and all </w:t>
      </w:r>
      <w:r w:rsidR="007615A2" w:rsidRPr="00D73E0B">
        <w:rPr>
          <w:spacing w:val="0"/>
          <w:sz w:val="24"/>
          <w:szCs w:val="24"/>
        </w:rPr>
        <w:t xml:space="preserve">relevant </w:t>
      </w:r>
      <w:r w:rsidRPr="00D73E0B">
        <w:rPr>
          <w:spacing w:val="0"/>
          <w:sz w:val="24"/>
          <w:szCs w:val="24"/>
        </w:rPr>
        <w:t xml:space="preserve">businesses </w:t>
      </w:r>
      <w:r w:rsidR="007615A2" w:rsidRPr="00D73E0B">
        <w:rPr>
          <w:spacing w:val="0"/>
          <w:sz w:val="24"/>
          <w:szCs w:val="24"/>
        </w:rPr>
        <w:t>are mandated to use these services.</w:t>
      </w:r>
      <w:r w:rsidRPr="00D73E0B">
        <w:rPr>
          <w:spacing w:val="0"/>
          <w:sz w:val="24"/>
          <w:szCs w:val="24"/>
        </w:rPr>
        <w:t xml:space="preserve"> It would therefore leave an uneven playing field</w:t>
      </w:r>
      <w:r w:rsidR="007615A2" w:rsidRPr="00D73E0B">
        <w:rPr>
          <w:spacing w:val="0"/>
          <w:sz w:val="24"/>
          <w:szCs w:val="24"/>
        </w:rPr>
        <w:t xml:space="preserve"> and increased administrative burden</w:t>
      </w:r>
      <w:r w:rsidRPr="00D73E0B">
        <w:rPr>
          <w:spacing w:val="0"/>
          <w:sz w:val="24"/>
          <w:szCs w:val="24"/>
        </w:rPr>
        <w:t xml:space="preserve"> with larger operators paying more for services than smaller ones if we introduced different fees based on business size. </w:t>
      </w:r>
    </w:p>
    <w:p w:rsidR="00705A8C" w:rsidRPr="00D73E0B" w:rsidRDefault="00705A8C" w:rsidP="002312E7">
      <w:pPr>
        <w:pStyle w:val="IAPOA510"/>
        <w:spacing w:line="340" w:lineRule="exact"/>
        <w:ind w:left="0"/>
        <w:rPr>
          <w:b/>
          <w:sz w:val="24"/>
          <w:szCs w:val="24"/>
        </w:rPr>
      </w:pPr>
    </w:p>
    <w:p w:rsidR="00E443D2" w:rsidRPr="00D73E0B" w:rsidRDefault="00FB264B" w:rsidP="002312E7">
      <w:pPr>
        <w:spacing w:after="0" w:line="340" w:lineRule="exact"/>
        <w:rPr>
          <w:rFonts w:ascii="Arial" w:eastAsia="Times New Roman" w:hAnsi="Arial" w:cs="Times New Roman"/>
          <w:sz w:val="24"/>
          <w:szCs w:val="24"/>
          <w:lang w:eastAsia="en-GB"/>
        </w:rPr>
      </w:pPr>
      <w:r w:rsidRPr="00D73E0B">
        <w:rPr>
          <w:rFonts w:ascii="Arial" w:eastAsia="Times New Roman" w:hAnsi="Arial" w:cs="Times New Roman"/>
          <w:sz w:val="24"/>
          <w:szCs w:val="24"/>
          <w:lang w:eastAsia="en-GB"/>
        </w:rPr>
        <w:t xml:space="preserve">In addition, the response from the Regulatory Policy Committee (RPC) to the MCA’s completed Economic Impact Assessment </w:t>
      </w:r>
      <w:r w:rsidR="00E443D2" w:rsidRPr="00D73E0B">
        <w:rPr>
          <w:rFonts w:ascii="Arial" w:eastAsia="Times New Roman" w:hAnsi="Arial" w:cs="Times New Roman"/>
          <w:sz w:val="24"/>
          <w:szCs w:val="24"/>
          <w:lang w:eastAsia="en-GB"/>
        </w:rPr>
        <w:t xml:space="preserve">(IA) </w:t>
      </w:r>
      <w:r w:rsidRPr="00D73E0B">
        <w:rPr>
          <w:rFonts w:ascii="Arial" w:eastAsia="Times New Roman" w:hAnsi="Arial" w:cs="Times New Roman"/>
          <w:sz w:val="24"/>
          <w:szCs w:val="24"/>
          <w:lang w:eastAsia="en-GB"/>
        </w:rPr>
        <w:t xml:space="preserve">for these fees can be found </w:t>
      </w:r>
      <w:r w:rsidR="00E443D2" w:rsidRPr="00D73E0B">
        <w:rPr>
          <w:rFonts w:ascii="Arial" w:eastAsia="Times New Roman" w:hAnsi="Arial" w:cs="Times New Roman"/>
          <w:sz w:val="24"/>
          <w:szCs w:val="24"/>
          <w:lang w:eastAsia="en-GB"/>
        </w:rPr>
        <w:t>below:</w:t>
      </w:r>
    </w:p>
    <w:p w:rsidR="00E443D2" w:rsidRPr="00D73E0B" w:rsidRDefault="00E443D2" w:rsidP="002312E7">
      <w:pPr>
        <w:spacing w:after="0" w:line="340" w:lineRule="exact"/>
        <w:rPr>
          <w:rFonts w:ascii="Arial" w:eastAsia="Times New Roman" w:hAnsi="Arial" w:cs="Times New Roman"/>
          <w:sz w:val="24"/>
          <w:szCs w:val="24"/>
          <w:lang w:eastAsia="en-GB"/>
        </w:rPr>
      </w:pPr>
    </w:p>
    <w:p w:rsidR="00E443D2" w:rsidRPr="00D73E0B" w:rsidRDefault="00EE24F6" w:rsidP="002312E7">
      <w:pPr>
        <w:spacing w:after="0" w:line="340" w:lineRule="exact"/>
        <w:rPr>
          <w:rFonts w:ascii="Arial" w:eastAsia="Times New Roman" w:hAnsi="Arial" w:cs="Times New Roman"/>
          <w:sz w:val="24"/>
          <w:szCs w:val="24"/>
          <w:lang w:eastAsia="en-GB"/>
        </w:rPr>
      </w:pPr>
      <w:r w:rsidRPr="00D73E0B">
        <w:rPr>
          <w:rFonts w:ascii="Arial" w:eastAsia="Times New Roman" w:hAnsi="Arial" w:cs="Times New Roman"/>
          <w:sz w:val="24"/>
          <w:szCs w:val="24"/>
          <w:lang w:eastAsia="en-GB"/>
        </w:rPr>
        <w:t xml:space="preserve">“The IA is fit for purpose. </w:t>
      </w:r>
      <w:r w:rsidR="00E443D2" w:rsidRPr="00D73E0B">
        <w:rPr>
          <w:rFonts w:ascii="Arial" w:eastAsia="Times New Roman" w:hAnsi="Arial" w:cs="Times New Roman"/>
          <w:sz w:val="24"/>
          <w:szCs w:val="24"/>
          <w:lang w:eastAsia="en-GB"/>
        </w:rPr>
        <w:t>The IA has set out in detail the rationale for intervention, and the costs and benefits of the proposal to increase various fees charged by the Maritime and Coastguard Agen</w:t>
      </w:r>
      <w:r w:rsidRPr="00D73E0B">
        <w:rPr>
          <w:rFonts w:ascii="Arial" w:eastAsia="Times New Roman" w:hAnsi="Arial" w:cs="Times New Roman"/>
          <w:sz w:val="24"/>
          <w:szCs w:val="24"/>
          <w:lang w:eastAsia="en-GB"/>
        </w:rPr>
        <w:t>cy (MCA).</w:t>
      </w:r>
      <w:r w:rsidR="00E443D2" w:rsidRPr="00D73E0B">
        <w:rPr>
          <w:rFonts w:ascii="Arial" w:eastAsia="Times New Roman" w:hAnsi="Arial" w:cs="Times New Roman"/>
          <w:sz w:val="24"/>
          <w:szCs w:val="24"/>
          <w:lang w:eastAsia="en-GB"/>
        </w:rPr>
        <w:t xml:space="preserve"> Even though these increases are out of scope of ‘One-</w:t>
      </w:r>
      <w:r w:rsidR="002B6D88" w:rsidRPr="00D73E0B">
        <w:rPr>
          <w:rFonts w:ascii="Arial" w:eastAsia="Times New Roman" w:hAnsi="Arial" w:cs="Times New Roman"/>
          <w:sz w:val="24"/>
          <w:szCs w:val="24"/>
          <w:lang w:eastAsia="en-GB"/>
        </w:rPr>
        <w:t>in, Two</w:t>
      </w:r>
      <w:r w:rsidR="00E443D2" w:rsidRPr="00D73E0B">
        <w:rPr>
          <w:rFonts w:ascii="Arial" w:eastAsia="Times New Roman" w:hAnsi="Arial" w:cs="Times New Roman"/>
          <w:sz w:val="24"/>
          <w:szCs w:val="24"/>
          <w:lang w:eastAsia="en-GB"/>
        </w:rPr>
        <w:t xml:space="preserve">-out’, the assessment of the impact on business (reflected in an initial estimate </w:t>
      </w:r>
      <w:r w:rsidR="002B6D88" w:rsidRPr="00D73E0B">
        <w:rPr>
          <w:rFonts w:ascii="Arial" w:eastAsia="Times New Roman" w:hAnsi="Arial" w:cs="Times New Roman"/>
          <w:sz w:val="24"/>
          <w:szCs w:val="24"/>
          <w:lang w:eastAsia="en-GB"/>
        </w:rPr>
        <w:t xml:space="preserve">equivalent annual net cost to </w:t>
      </w:r>
      <w:r w:rsidR="002B6D88" w:rsidRPr="000C3D0B">
        <w:rPr>
          <w:rFonts w:ascii="Arial" w:eastAsia="Times New Roman" w:hAnsi="Arial" w:cs="Times New Roman"/>
          <w:sz w:val="24"/>
          <w:szCs w:val="24"/>
          <w:lang w:eastAsia="en-GB"/>
        </w:rPr>
        <w:t>business (</w:t>
      </w:r>
      <w:r w:rsidR="000C3D0B">
        <w:rPr>
          <w:rFonts w:ascii="Arial" w:eastAsia="Times New Roman" w:hAnsi="Arial" w:cs="Times New Roman"/>
          <w:sz w:val="24"/>
          <w:szCs w:val="24"/>
          <w:lang w:eastAsia="en-GB"/>
        </w:rPr>
        <w:t>EANCB</w:t>
      </w:r>
      <w:r w:rsidR="00FC49FB" w:rsidRPr="000C3D0B">
        <w:rPr>
          <w:rFonts w:ascii="Arial" w:eastAsia="Times New Roman" w:hAnsi="Arial" w:cs="Times New Roman"/>
          <w:sz w:val="24"/>
          <w:szCs w:val="24"/>
          <w:lang w:eastAsia="en-GB"/>
        </w:rPr>
        <w:t>)</w:t>
      </w:r>
      <w:r w:rsidR="000C3D0B">
        <w:rPr>
          <w:rFonts w:ascii="Arial" w:eastAsia="Times New Roman" w:hAnsi="Arial" w:cs="Times New Roman"/>
          <w:sz w:val="24"/>
          <w:szCs w:val="24"/>
          <w:lang w:eastAsia="en-GB"/>
        </w:rPr>
        <w:t xml:space="preserve"> </w:t>
      </w:r>
      <w:r w:rsidR="00E443D2" w:rsidRPr="000C3D0B">
        <w:rPr>
          <w:rFonts w:ascii="Arial" w:eastAsia="Times New Roman" w:hAnsi="Arial" w:cs="Times New Roman"/>
          <w:sz w:val="24"/>
          <w:szCs w:val="24"/>
          <w:lang w:eastAsia="en-GB"/>
        </w:rPr>
        <w:t>of</w:t>
      </w:r>
      <w:r w:rsidR="00E443D2" w:rsidRPr="00D73E0B">
        <w:rPr>
          <w:rFonts w:ascii="Arial" w:eastAsia="Times New Roman" w:hAnsi="Arial" w:cs="Times New Roman"/>
          <w:sz w:val="24"/>
          <w:szCs w:val="24"/>
          <w:lang w:eastAsia="en-GB"/>
        </w:rPr>
        <w:t xml:space="preserve"> £3.08million)</w:t>
      </w:r>
      <w:r w:rsidR="00FC49FB" w:rsidRPr="00D73E0B">
        <w:rPr>
          <w:rFonts w:ascii="Arial" w:eastAsia="Times New Roman" w:hAnsi="Arial" w:cs="Times New Roman"/>
          <w:sz w:val="24"/>
          <w:szCs w:val="24"/>
          <w:lang w:eastAsia="en-GB"/>
        </w:rPr>
        <w:t>)</w:t>
      </w:r>
      <w:r w:rsidRPr="00D73E0B">
        <w:rPr>
          <w:rFonts w:ascii="Arial" w:eastAsia="Times New Roman" w:hAnsi="Arial" w:cs="Times New Roman"/>
          <w:sz w:val="24"/>
          <w:szCs w:val="24"/>
          <w:lang w:eastAsia="en-GB"/>
        </w:rPr>
        <w:t xml:space="preserve"> appears to be robust.</w:t>
      </w:r>
      <w:r w:rsidR="00E443D2" w:rsidRPr="00D73E0B">
        <w:rPr>
          <w:rFonts w:ascii="Arial" w:eastAsia="Times New Roman" w:hAnsi="Arial" w:cs="Times New Roman"/>
          <w:sz w:val="24"/>
          <w:szCs w:val="24"/>
          <w:lang w:eastAsia="en-GB"/>
        </w:rPr>
        <w:t xml:space="preserve"> The small and micro bu</w:t>
      </w:r>
      <w:r w:rsidRPr="00D73E0B">
        <w:rPr>
          <w:rFonts w:ascii="Arial" w:eastAsia="Times New Roman" w:hAnsi="Arial" w:cs="Times New Roman"/>
          <w:sz w:val="24"/>
          <w:szCs w:val="24"/>
          <w:lang w:eastAsia="en-GB"/>
        </w:rPr>
        <w:t>siness assessment is sufficient</w:t>
      </w:r>
      <w:r w:rsidR="005527C7" w:rsidRPr="00D73E0B">
        <w:rPr>
          <w:rFonts w:ascii="Arial" w:eastAsia="Times New Roman" w:hAnsi="Arial" w:cs="Times New Roman"/>
          <w:sz w:val="24"/>
          <w:szCs w:val="24"/>
          <w:lang w:eastAsia="en-GB"/>
        </w:rPr>
        <w:t>.</w:t>
      </w:r>
      <w:r w:rsidRPr="00D73E0B">
        <w:rPr>
          <w:rFonts w:ascii="Arial" w:eastAsia="Times New Roman" w:hAnsi="Arial" w:cs="Times New Roman"/>
          <w:sz w:val="24"/>
          <w:szCs w:val="24"/>
          <w:lang w:eastAsia="en-GB"/>
        </w:rPr>
        <w:t>”</w:t>
      </w:r>
    </w:p>
    <w:p w:rsidR="00E443D2" w:rsidRPr="00D73E0B" w:rsidRDefault="00E443D2" w:rsidP="002312E7">
      <w:pPr>
        <w:spacing w:after="0" w:line="340" w:lineRule="exact"/>
        <w:rPr>
          <w:rFonts w:ascii="Arial" w:eastAsia="Times New Roman" w:hAnsi="Arial" w:cs="Times New Roman"/>
          <w:sz w:val="24"/>
          <w:szCs w:val="24"/>
          <w:lang w:eastAsia="en-GB"/>
        </w:rPr>
      </w:pPr>
    </w:p>
    <w:p w:rsidR="00A82B20" w:rsidRPr="00D73E0B" w:rsidRDefault="00A82B20" w:rsidP="002312E7">
      <w:pPr>
        <w:pStyle w:val="IAPOA510"/>
        <w:spacing w:line="340" w:lineRule="exact"/>
        <w:ind w:left="0"/>
        <w:rPr>
          <w:spacing w:val="0"/>
          <w:sz w:val="24"/>
          <w:szCs w:val="24"/>
          <w:u w:val="single"/>
        </w:rPr>
      </w:pPr>
      <w:r w:rsidRPr="00D73E0B">
        <w:rPr>
          <w:spacing w:val="0"/>
          <w:sz w:val="24"/>
          <w:szCs w:val="24"/>
          <w:u w:val="single"/>
        </w:rPr>
        <w:t>Competition Assessment</w:t>
      </w:r>
    </w:p>
    <w:p w:rsidR="00A82B20" w:rsidRPr="00D73E0B" w:rsidRDefault="00A82B20" w:rsidP="002312E7">
      <w:pPr>
        <w:pStyle w:val="IAPOA510"/>
        <w:spacing w:line="340" w:lineRule="exact"/>
        <w:ind w:left="0"/>
        <w:rPr>
          <w:spacing w:val="0"/>
          <w:sz w:val="24"/>
          <w:szCs w:val="24"/>
        </w:rPr>
      </w:pPr>
      <w:r w:rsidRPr="00D73E0B">
        <w:rPr>
          <w:spacing w:val="0"/>
          <w:sz w:val="24"/>
          <w:szCs w:val="24"/>
        </w:rPr>
        <w:t xml:space="preserve">The increase in fees is expected to be a relatively small proportion of business costs and therefore is unlikely to have a significant impact on competition. However, for a small number of ships it is possible that the fee increase makes the business not commercially viable and therefore reduces the number of businesses in the market. </w:t>
      </w:r>
      <w:r w:rsidR="006812A3" w:rsidRPr="00D73E0B">
        <w:rPr>
          <w:spacing w:val="0"/>
          <w:sz w:val="24"/>
          <w:szCs w:val="24"/>
        </w:rPr>
        <w:t>The independent analysis commissioned by the Agency</w:t>
      </w:r>
      <w:r w:rsidR="00015EA4" w:rsidRPr="00D73E0B">
        <w:rPr>
          <w:spacing w:val="0"/>
          <w:sz w:val="24"/>
          <w:szCs w:val="24"/>
        </w:rPr>
        <w:t xml:space="preserve"> has not been </w:t>
      </w:r>
      <w:r w:rsidR="006812A3" w:rsidRPr="00D73E0B">
        <w:rPr>
          <w:spacing w:val="0"/>
          <w:sz w:val="24"/>
          <w:szCs w:val="24"/>
        </w:rPr>
        <w:t>able</w:t>
      </w:r>
      <w:r w:rsidR="00015EA4" w:rsidRPr="00D73E0B">
        <w:rPr>
          <w:spacing w:val="0"/>
          <w:sz w:val="24"/>
          <w:szCs w:val="24"/>
        </w:rPr>
        <w:t xml:space="preserve"> to quantify this impact due to the number of possible permutations.  </w:t>
      </w:r>
      <w:r w:rsidRPr="00D73E0B">
        <w:rPr>
          <w:spacing w:val="0"/>
          <w:sz w:val="24"/>
          <w:szCs w:val="24"/>
        </w:rPr>
        <w:t xml:space="preserve">Since businesses </w:t>
      </w:r>
      <w:r w:rsidRPr="00D73E0B">
        <w:rPr>
          <w:spacing w:val="0"/>
          <w:sz w:val="24"/>
          <w:szCs w:val="24"/>
        </w:rPr>
        <w:lastRenderedPageBreak/>
        <w:t>have in effect been receiving services at below market rates due to under recovery of costs</w:t>
      </w:r>
      <w:r w:rsidR="00EE24F6" w:rsidRPr="00D73E0B">
        <w:rPr>
          <w:spacing w:val="0"/>
          <w:sz w:val="24"/>
          <w:szCs w:val="24"/>
        </w:rPr>
        <w:t>,</w:t>
      </w:r>
      <w:r w:rsidRPr="00D73E0B">
        <w:rPr>
          <w:spacing w:val="0"/>
          <w:sz w:val="24"/>
          <w:szCs w:val="24"/>
        </w:rPr>
        <w:t xml:space="preserve"> this impact would simply restore the competitive market position.</w:t>
      </w:r>
    </w:p>
    <w:p w:rsidR="00F37285" w:rsidRDefault="00F37285" w:rsidP="006010BF">
      <w:pPr>
        <w:pStyle w:val="PlainText"/>
        <w:ind w:left="-142"/>
        <w:jc w:val="both"/>
        <w:rPr>
          <w:rFonts w:ascii="Arial" w:hAnsi="Arial" w:cs="Arial"/>
          <w:b/>
          <w:sz w:val="24"/>
          <w:szCs w:val="24"/>
          <w:u w:val="single"/>
        </w:rPr>
      </w:pPr>
    </w:p>
    <w:p w:rsidR="00F37285" w:rsidRDefault="00F37285">
      <w:pPr>
        <w:rPr>
          <w:rFonts w:ascii="Arial" w:eastAsia="Calibri" w:hAnsi="Arial" w:cs="Arial"/>
          <w:b/>
          <w:sz w:val="24"/>
          <w:szCs w:val="24"/>
          <w:u w:val="single"/>
        </w:rPr>
      </w:pPr>
      <w:r>
        <w:rPr>
          <w:rFonts w:ascii="Arial" w:hAnsi="Arial" w:cs="Arial"/>
          <w:b/>
          <w:sz w:val="24"/>
          <w:szCs w:val="24"/>
          <w:u w:val="single"/>
        </w:rPr>
        <w:br w:type="page"/>
      </w:r>
    </w:p>
    <w:p w:rsidR="006010BF" w:rsidRPr="00B36825" w:rsidRDefault="006010BF" w:rsidP="006010BF">
      <w:pPr>
        <w:pStyle w:val="PlainText"/>
        <w:ind w:left="-142"/>
        <w:jc w:val="both"/>
        <w:rPr>
          <w:rFonts w:ascii="Arial" w:hAnsi="Arial" w:cs="Arial"/>
          <w:b/>
          <w:sz w:val="32"/>
          <w:szCs w:val="32"/>
          <w:u w:val="single"/>
        </w:rPr>
      </w:pPr>
      <w:r w:rsidRPr="00B36825">
        <w:rPr>
          <w:rFonts w:ascii="Arial" w:hAnsi="Arial" w:cs="Arial"/>
          <w:b/>
          <w:sz w:val="32"/>
          <w:szCs w:val="32"/>
          <w:u w:val="single"/>
        </w:rPr>
        <w:lastRenderedPageBreak/>
        <w:t>Consultation Questions</w:t>
      </w:r>
    </w:p>
    <w:p w:rsidR="006010BF" w:rsidRDefault="006010BF" w:rsidP="006010BF">
      <w:pPr>
        <w:pStyle w:val="PlainText"/>
        <w:ind w:left="-142"/>
        <w:jc w:val="both"/>
        <w:rPr>
          <w:rFonts w:ascii="Arial" w:hAnsi="Arial" w:cs="Arial"/>
          <w:b/>
          <w:sz w:val="24"/>
          <w:szCs w:val="24"/>
          <w:u w:val="single"/>
        </w:rPr>
      </w:pPr>
    </w:p>
    <w:p w:rsidR="006010BF" w:rsidRPr="00D73E0B" w:rsidRDefault="006010BF" w:rsidP="00EE24F6">
      <w:pPr>
        <w:pStyle w:val="PlainText"/>
        <w:spacing w:line="340" w:lineRule="exact"/>
        <w:ind w:left="-142"/>
        <w:jc w:val="both"/>
        <w:rPr>
          <w:rFonts w:ascii="Arial" w:hAnsi="Arial" w:cs="Arial"/>
          <w:sz w:val="24"/>
          <w:szCs w:val="24"/>
        </w:rPr>
      </w:pPr>
      <w:r w:rsidRPr="00D73E0B">
        <w:rPr>
          <w:rFonts w:ascii="Arial" w:hAnsi="Arial" w:cs="Arial"/>
          <w:sz w:val="24"/>
          <w:szCs w:val="24"/>
        </w:rPr>
        <w:t>We would like your opinions on the options identified in this consultation.  Please answer the following questions:</w:t>
      </w:r>
    </w:p>
    <w:p w:rsidR="006010BF" w:rsidRPr="00D73E0B" w:rsidRDefault="006010BF" w:rsidP="006010BF">
      <w:pPr>
        <w:pStyle w:val="PlainText"/>
        <w:ind w:left="-142"/>
        <w:jc w:val="both"/>
        <w:rPr>
          <w:rFonts w:ascii="Arial" w:hAnsi="Arial" w:cs="Arial"/>
          <w:sz w:val="24"/>
          <w:szCs w:val="24"/>
        </w:rPr>
      </w:pPr>
    </w:p>
    <w:p w:rsidR="006010BF" w:rsidRPr="00D73E0B" w:rsidRDefault="006010BF" w:rsidP="006010BF">
      <w:pPr>
        <w:pStyle w:val="PlainText"/>
        <w:ind w:left="-142"/>
        <w:jc w:val="bot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77538" w:rsidRPr="00D73E0B" w:rsidTr="0015045B">
        <w:tc>
          <w:tcPr>
            <w:tcW w:w="8296" w:type="dxa"/>
          </w:tcPr>
          <w:p w:rsidR="00B77538" w:rsidRPr="00D73E0B" w:rsidRDefault="00B77538" w:rsidP="00D73E0B">
            <w:pPr>
              <w:pStyle w:val="ListParagraph"/>
              <w:numPr>
                <w:ilvl w:val="0"/>
                <w:numId w:val="2"/>
              </w:numPr>
              <w:spacing w:after="0" w:line="340" w:lineRule="exact"/>
              <w:contextualSpacing w:val="0"/>
              <w:rPr>
                <w:rFonts w:ascii="Arial" w:hAnsi="Arial" w:cs="Arial"/>
                <w:b/>
                <w:sz w:val="24"/>
                <w:szCs w:val="24"/>
              </w:rPr>
            </w:pPr>
            <w:r w:rsidRPr="00B77538">
              <w:rPr>
                <w:rFonts w:ascii="Arial" w:hAnsi="Arial" w:cs="Arial"/>
                <w:b/>
                <w:sz w:val="24"/>
                <w:szCs w:val="24"/>
              </w:rPr>
              <w:t>Do you agree that the MCA should charge fees that cover the cost of its services, provided those services are as efficient as possible and of high quality?  If not, please explain your reasoning.</w:t>
            </w:r>
          </w:p>
        </w:tc>
      </w:tr>
      <w:tr w:rsidR="006010BF" w:rsidRPr="00D73E0B" w:rsidTr="0015045B">
        <w:tc>
          <w:tcPr>
            <w:tcW w:w="8296" w:type="dxa"/>
          </w:tcPr>
          <w:p w:rsidR="006010BF" w:rsidRPr="00D73E0B" w:rsidRDefault="006010BF" w:rsidP="00D73E0B">
            <w:pPr>
              <w:pStyle w:val="ListParagraph"/>
              <w:numPr>
                <w:ilvl w:val="0"/>
                <w:numId w:val="2"/>
              </w:numPr>
              <w:spacing w:after="0" w:line="340" w:lineRule="exact"/>
              <w:contextualSpacing w:val="0"/>
              <w:rPr>
                <w:rFonts w:ascii="Arial" w:hAnsi="Arial" w:cs="Arial"/>
                <w:b/>
                <w:sz w:val="24"/>
                <w:szCs w:val="24"/>
              </w:rPr>
            </w:pPr>
            <w:r w:rsidRPr="00D73E0B">
              <w:rPr>
                <w:rFonts w:ascii="Arial" w:hAnsi="Arial" w:cs="Arial"/>
                <w:b/>
                <w:sz w:val="24"/>
                <w:szCs w:val="24"/>
              </w:rPr>
              <w:t>I</w:t>
            </w:r>
            <w:r w:rsidR="003E0EC4" w:rsidRPr="00D73E0B">
              <w:rPr>
                <w:rFonts w:ascii="Arial" w:hAnsi="Arial" w:cs="Arial"/>
                <w:b/>
                <w:sz w:val="24"/>
                <w:szCs w:val="24"/>
              </w:rPr>
              <w:t xml:space="preserve">f you do agree that the fees should be increased in line with current costs </w:t>
            </w:r>
            <w:r w:rsidR="00EE24F6" w:rsidRPr="00D73E0B">
              <w:rPr>
                <w:rFonts w:ascii="Arial" w:hAnsi="Arial" w:cs="Arial"/>
                <w:b/>
                <w:sz w:val="24"/>
                <w:szCs w:val="24"/>
              </w:rPr>
              <w:t>immediately, please explain why.</w:t>
            </w:r>
          </w:p>
        </w:tc>
      </w:tr>
      <w:tr w:rsidR="006010BF" w:rsidRPr="00D73E0B" w:rsidTr="0015045B">
        <w:tc>
          <w:tcPr>
            <w:tcW w:w="8296" w:type="dxa"/>
          </w:tcPr>
          <w:p w:rsidR="006010BF" w:rsidRPr="00D73E0B" w:rsidRDefault="003E0EC4" w:rsidP="00D73E0B">
            <w:pPr>
              <w:pStyle w:val="ListParagraph"/>
              <w:numPr>
                <w:ilvl w:val="0"/>
                <w:numId w:val="2"/>
              </w:numPr>
              <w:spacing w:after="0" w:line="340" w:lineRule="exact"/>
              <w:contextualSpacing w:val="0"/>
              <w:rPr>
                <w:rFonts w:ascii="Arial" w:hAnsi="Arial" w:cs="Arial"/>
                <w:b/>
                <w:sz w:val="24"/>
                <w:szCs w:val="24"/>
              </w:rPr>
            </w:pPr>
            <w:r w:rsidRPr="00D73E0B">
              <w:rPr>
                <w:rFonts w:ascii="Arial" w:hAnsi="Arial" w:cs="Arial"/>
                <w:b/>
                <w:sz w:val="24"/>
                <w:szCs w:val="24"/>
              </w:rPr>
              <w:t xml:space="preserve">If you do </w:t>
            </w:r>
            <w:r w:rsidR="004F6091" w:rsidRPr="00D73E0B">
              <w:rPr>
                <w:rFonts w:ascii="Arial" w:hAnsi="Arial" w:cs="Arial"/>
                <w:b/>
                <w:sz w:val="24"/>
                <w:szCs w:val="24"/>
              </w:rPr>
              <w:t xml:space="preserve">not </w:t>
            </w:r>
            <w:r w:rsidRPr="00D73E0B">
              <w:rPr>
                <w:rFonts w:ascii="Arial" w:hAnsi="Arial" w:cs="Arial"/>
                <w:b/>
                <w:sz w:val="24"/>
                <w:szCs w:val="24"/>
              </w:rPr>
              <w:t xml:space="preserve">agree that the fees should be increased in line with current costs </w:t>
            </w:r>
            <w:r w:rsidR="00EE24F6" w:rsidRPr="00D73E0B">
              <w:rPr>
                <w:rFonts w:ascii="Arial" w:hAnsi="Arial" w:cs="Arial"/>
                <w:b/>
                <w:sz w:val="24"/>
                <w:szCs w:val="24"/>
              </w:rPr>
              <w:t>immediately, please explain why.</w:t>
            </w:r>
            <w:r w:rsidR="00245D6F" w:rsidRPr="00D73E0B">
              <w:rPr>
                <w:rFonts w:ascii="Arial" w:hAnsi="Arial" w:cs="Arial"/>
                <w:b/>
                <w:sz w:val="24"/>
                <w:szCs w:val="24"/>
                <w:lang w:eastAsia="en-GB"/>
              </w:rPr>
              <w:t xml:space="preserve"> If not</w:t>
            </w:r>
            <w:r w:rsidR="00EE24F6" w:rsidRPr="00D73E0B">
              <w:rPr>
                <w:rFonts w:ascii="Arial" w:hAnsi="Arial" w:cs="Arial"/>
                <w:b/>
                <w:sz w:val="24"/>
                <w:szCs w:val="24"/>
                <w:lang w:eastAsia="en-GB"/>
              </w:rPr>
              <w:t>,</w:t>
            </w:r>
            <w:r w:rsidR="00245D6F" w:rsidRPr="00D73E0B">
              <w:rPr>
                <w:rFonts w:ascii="Arial" w:hAnsi="Arial" w:cs="Arial"/>
                <w:b/>
                <w:sz w:val="24"/>
                <w:szCs w:val="24"/>
                <w:lang w:eastAsia="en-GB"/>
              </w:rPr>
              <w:t xml:space="preserve"> how should they be increased and how could we ensure full cost recovery?</w:t>
            </w:r>
          </w:p>
        </w:tc>
      </w:tr>
      <w:tr w:rsidR="004F6091" w:rsidRPr="00D73E0B" w:rsidTr="0015045B">
        <w:tc>
          <w:tcPr>
            <w:tcW w:w="8296" w:type="dxa"/>
          </w:tcPr>
          <w:p w:rsidR="004F6091" w:rsidRPr="00D73E0B" w:rsidRDefault="004156B2" w:rsidP="00D73E0B">
            <w:pPr>
              <w:pStyle w:val="ListParagraph"/>
              <w:numPr>
                <w:ilvl w:val="0"/>
                <w:numId w:val="2"/>
              </w:numPr>
              <w:spacing w:after="0" w:line="340" w:lineRule="exact"/>
              <w:contextualSpacing w:val="0"/>
              <w:rPr>
                <w:rFonts w:ascii="Arial" w:hAnsi="Arial" w:cs="Arial"/>
                <w:b/>
                <w:sz w:val="24"/>
                <w:szCs w:val="24"/>
              </w:rPr>
            </w:pPr>
            <w:r w:rsidRPr="00D73E0B">
              <w:rPr>
                <w:rFonts w:ascii="Arial" w:hAnsi="Arial" w:cs="Arial"/>
                <w:b/>
                <w:sz w:val="24"/>
                <w:szCs w:val="24"/>
              </w:rPr>
              <w:t xml:space="preserve">How do you think </w:t>
            </w:r>
            <w:r w:rsidR="00106475" w:rsidRPr="00D73E0B">
              <w:rPr>
                <w:rFonts w:ascii="Arial" w:hAnsi="Arial" w:cs="Arial"/>
                <w:b/>
                <w:sz w:val="24"/>
                <w:szCs w:val="24"/>
              </w:rPr>
              <w:t xml:space="preserve">the </w:t>
            </w:r>
            <w:r w:rsidRPr="00D73E0B">
              <w:rPr>
                <w:rFonts w:ascii="Arial" w:hAnsi="Arial" w:cs="Arial"/>
                <w:b/>
                <w:sz w:val="24"/>
                <w:szCs w:val="24"/>
              </w:rPr>
              <w:t>MCA can further improve the efficiency and effectiv</w:t>
            </w:r>
            <w:r w:rsidR="00EE24F6" w:rsidRPr="00D73E0B">
              <w:rPr>
                <w:rFonts w:ascii="Arial" w:hAnsi="Arial" w:cs="Arial"/>
                <w:b/>
                <w:sz w:val="24"/>
                <w:szCs w:val="24"/>
              </w:rPr>
              <w:t>eness of its service provision</w:t>
            </w:r>
            <w:r w:rsidR="004F6091" w:rsidRPr="00D73E0B">
              <w:rPr>
                <w:rFonts w:ascii="Arial" w:hAnsi="Arial" w:cs="Arial"/>
                <w:b/>
                <w:sz w:val="24"/>
                <w:szCs w:val="24"/>
              </w:rPr>
              <w:t xml:space="preserve"> in order to minimise any future fee increases </w:t>
            </w:r>
            <w:r w:rsidRPr="00D73E0B">
              <w:rPr>
                <w:rFonts w:ascii="Arial" w:hAnsi="Arial" w:cs="Arial"/>
                <w:b/>
                <w:sz w:val="24"/>
                <w:szCs w:val="24"/>
              </w:rPr>
              <w:t xml:space="preserve">and offer better value </w:t>
            </w:r>
            <w:r w:rsidR="004F6091" w:rsidRPr="00D73E0B">
              <w:rPr>
                <w:rFonts w:ascii="Arial" w:hAnsi="Arial" w:cs="Arial"/>
                <w:b/>
                <w:sz w:val="24"/>
                <w:szCs w:val="24"/>
              </w:rPr>
              <w:t xml:space="preserve">to customers and still meet the stated objectives of marine safety and environment protection? </w:t>
            </w:r>
          </w:p>
        </w:tc>
      </w:tr>
      <w:tr w:rsidR="006010BF" w:rsidRPr="00D73E0B" w:rsidTr="0015045B">
        <w:tc>
          <w:tcPr>
            <w:tcW w:w="8296" w:type="dxa"/>
          </w:tcPr>
          <w:p w:rsidR="006010BF" w:rsidRPr="00D73E0B" w:rsidRDefault="00245D6F" w:rsidP="00D73E0B">
            <w:pPr>
              <w:pStyle w:val="ListParagraph"/>
              <w:numPr>
                <w:ilvl w:val="0"/>
                <w:numId w:val="2"/>
              </w:numPr>
              <w:spacing w:after="0" w:line="340" w:lineRule="exact"/>
              <w:contextualSpacing w:val="0"/>
              <w:rPr>
                <w:rFonts w:ascii="Arial" w:hAnsi="Arial" w:cs="Arial"/>
                <w:b/>
                <w:sz w:val="24"/>
                <w:szCs w:val="24"/>
              </w:rPr>
            </w:pPr>
            <w:r w:rsidRPr="00D73E0B">
              <w:rPr>
                <w:rFonts w:ascii="Arial" w:hAnsi="Arial" w:cs="Arial"/>
                <w:b/>
                <w:sz w:val="24"/>
                <w:szCs w:val="24"/>
              </w:rPr>
              <w:t>You are invited to provide any additional evidence on the potential impact of the fee increases on small and micro businesses.</w:t>
            </w:r>
          </w:p>
        </w:tc>
      </w:tr>
      <w:tr w:rsidR="006010BF" w:rsidRPr="00D73E0B" w:rsidTr="0015045B">
        <w:tc>
          <w:tcPr>
            <w:tcW w:w="8296" w:type="dxa"/>
          </w:tcPr>
          <w:p w:rsidR="00245D6F" w:rsidRPr="00D73E0B" w:rsidRDefault="00245D6F" w:rsidP="00D73E0B">
            <w:pPr>
              <w:pStyle w:val="ListParagraph"/>
              <w:numPr>
                <w:ilvl w:val="0"/>
                <w:numId w:val="2"/>
              </w:numPr>
              <w:spacing w:after="0" w:line="340" w:lineRule="exact"/>
              <w:contextualSpacing w:val="0"/>
              <w:rPr>
                <w:rFonts w:ascii="Arial" w:hAnsi="Arial" w:cs="Arial"/>
                <w:b/>
                <w:sz w:val="24"/>
                <w:szCs w:val="24"/>
              </w:rPr>
            </w:pPr>
            <w:r w:rsidRPr="00D73E0B">
              <w:rPr>
                <w:rFonts w:ascii="Arial" w:hAnsi="Arial" w:cs="Arial"/>
                <w:b/>
                <w:sz w:val="24"/>
                <w:szCs w:val="24"/>
              </w:rPr>
              <w:t xml:space="preserve">You </w:t>
            </w:r>
            <w:r w:rsidR="006010BF" w:rsidRPr="00D73E0B">
              <w:rPr>
                <w:rFonts w:ascii="Arial" w:hAnsi="Arial" w:cs="Arial"/>
                <w:b/>
                <w:sz w:val="24"/>
                <w:szCs w:val="24"/>
              </w:rPr>
              <w:t>are invited to offer any additional evidence on the potential for the fee increases to impact on competition.</w:t>
            </w:r>
          </w:p>
        </w:tc>
      </w:tr>
    </w:tbl>
    <w:p w:rsidR="009A73A3" w:rsidRPr="00D73E0B" w:rsidRDefault="009A73A3" w:rsidP="00D73E0B">
      <w:pPr>
        <w:pStyle w:val="PlainText"/>
        <w:spacing w:line="340" w:lineRule="exact"/>
        <w:jc w:val="both"/>
        <w:rPr>
          <w:rFonts w:ascii="Arial" w:hAnsi="Arial" w:cs="Arial"/>
          <w:sz w:val="24"/>
          <w:szCs w:val="24"/>
        </w:rPr>
      </w:pPr>
    </w:p>
    <w:p w:rsidR="000A090D" w:rsidRPr="00D73E0B" w:rsidRDefault="000A090D" w:rsidP="00D73E0B">
      <w:pPr>
        <w:pStyle w:val="PlainText"/>
        <w:spacing w:line="340" w:lineRule="exact"/>
        <w:rPr>
          <w:rFonts w:ascii="Arial" w:hAnsi="Arial" w:cs="Arial"/>
          <w:sz w:val="24"/>
          <w:szCs w:val="24"/>
        </w:rPr>
      </w:pPr>
      <w:r w:rsidRPr="00D73E0B">
        <w:rPr>
          <w:rFonts w:ascii="Arial" w:hAnsi="Arial" w:cs="Arial"/>
          <w:sz w:val="24"/>
          <w:szCs w:val="24"/>
        </w:rPr>
        <w:t>The impact assessment will be updated post</w:t>
      </w:r>
      <w:r w:rsidR="00EE24F6" w:rsidRPr="00D73E0B">
        <w:rPr>
          <w:rFonts w:ascii="Arial" w:hAnsi="Arial" w:cs="Arial"/>
          <w:sz w:val="24"/>
          <w:szCs w:val="24"/>
        </w:rPr>
        <w:t>-</w:t>
      </w:r>
      <w:r w:rsidRPr="00D73E0B">
        <w:rPr>
          <w:rFonts w:ascii="Arial" w:hAnsi="Arial" w:cs="Arial"/>
          <w:sz w:val="24"/>
          <w:szCs w:val="24"/>
        </w:rPr>
        <w:t>consultation.</w:t>
      </w:r>
    </w:p>
    <w:p w:rsidR="00EE24F6" w:rsidRPr="00D73E0B" w:rsidRDefault="00EE24F6" w:rsidP="00D73E0B">
      <w:pPr>
        <w:pStyle w:val="ListParagraph"/>
        <w:spacing w:after="0" w:line="340" w:lineRule="exact"/>
        <w:ind w:left="0"/>
        <w:rPr>
          <w:rFonts w:ascii="Arial" w:hAnsi="Arial" w:cs="Arial"/>
          <w:b/>
          <w:sz w:val="24"/>
          <w:szCs w:val="24"/>
          <w:u w:val="single"/>
        </w:rPr>
      </w:pPr>
    </w:p>
    <w:p w:rsidR="00BD0283" w:rsidRDefault="00BD0283" w:rsidP="00D73E0B">
      <w:pPr>
        <w:pStyle w:val="ListParagraph"/>
        <w:spacing w:after="0" w:line="340" w:lineRule="exact"/>
        <w:ind w:left="0"/>
        <w:rPr>
          <w:rFonts w:ascii="Arial" w:hAnsi="Arial" w:cs="Arial"/>
          <w:b/>
          <w:sz w:val="28"/>
          <w:szCs w:val="28"/>
        </w:rPr>
      </w:pPr>
      <w:r w:rsidRPr="00D73E0B">
        <w:rPr>
          <w:rFonts w:ascii="Arial" w:hAnsi="Arial" w:cs="Arial"/>
          <w:b/>
          <w:sz w:val="28"/>
          <w:szCs w:val="28"/>
        </w:rPr>
        <w:t>How to respond</w:t>
      </w:r>
    </w:p>
    <w:p w:rsidR="00D73E0B" w:rsidRPr="00D73E0B" w:rsidRDefault="00D73E0B" w:rsidP="00EE24F6">
      <w:pPr>
        <w:pStyle w:val="ListParagraph"/>
        <w:spacing w:after="0" w:line="340" w:lineRule="exact"/>
        <w:ind w:left="0"/>
        <w:rPr>
          <w:rFonts w:ascii="Arial" w:hAnsi="Arial" w:cs="Arial"/>
          <w:b/>
          <w:sz w:val="28"/>
          <w:szCs w:val="28"/>
        </w:rPr>
      </w:pPr>
    </w:p>
    <w:p w:rsidR="00BD0283" w:rsidRPr="00D73E0B" w:rsidRDefault="00BD0283" w:rsidP="00EE24F6">
      <w:pPr>
        <w:pStyle w:val="ListParagraph"/>
        <w:spacing w:after="0" w:line="340" w:lineRule="exact"/>
        <w:ind w:left="0"/>
        <w:rPr>
          <w:rFonts w:ascii="Arial" w:hAnsi="Arial" w:cs="Arial"/>
          <w:sz w:val="24"/>
          <w:szCs w:val="24"/>
        </w:rPr>
      </w:pPr>
      <w:r w:rsidRPr="00D73E0B">
        <w:rPr>
          <w:rFonts w:ascii="Arial" w:hAnsi="Arial" w:cs="Arial"/>
          <w:sz w:val="24"/>
          <w:szCs w:val="24"/>
        </w:rPr>
        <w:t>If you are affected by the changes proposed in this consultation, please</w:t>
      </w:r>
      <w:r w:rsidR="001B565E" w:rsidRPr="00D73E0B">
        <w:rPr>
          <w:rFonts w:ascii="Arial" w:hAnsi="Arial" w:cs="Arial"/>
          <w:sz w:val="24"/>
          <w:szCs w:val="24"/>
        </w:rPr>
        <w:t xml:space="preserve"> consider the questions above. </w:t>
      </w:r>
      <w:r w:rsidRPr="00D73E0B">
        <w:rPr>
          <w:rFonts w:ascii="Arial" w:hAnsi="Arial" w:cs="Arial"/>
          <w:sz w:val="24"/>
          <w:szCs w:val="24"/>
        </w:rPr>
        <w:t xml:space="preserve">Responses should be received by </w:t>
      </w:r>
      <w:r w:rsidR="00BC3DC9" w:rsidRPr="00BC3DC9">
        <w:rPr>
          <w:rFonts w:ascii="Arial" w:hAnsi="Arial" w:cs="Arial"/>
          <w:sz w:val="24"/>
          <w:szCs w:val="24"/>
        </w:rPr>
        <w:t>2</w:t>
      </w:r>
      <w:r w:rsidR="00547B92" w:rsidRPr="00BC3DC9">
        <w:rPr>
          <w:rFonts w:ascii="Arial" w:hAnsi="Arial" w:cs="Arial"/>
          <w:sz w:val="24"/>
          <w:szCs w:val="24"/>
        </w:rPr>
        <w:t>6 October</w:t>
      </w:r>
      <w:r w:rsidR="0008402C" w:rsidRPr="00BC3DC9">
        <w:rPr>
          <w:rFonts w:ascii="Arial" w:hAnsi="Arial" w:cs="Arial"/>
          <w:sz w:val="24"/>
          <w:szCs w:val="24"/>
        </w:rPr>
        <w:t xml:space="preserve"> 2016</w:t>
      </w:r>
      <w:r w:rsidRPr="00BC3DC9">
        <w:rPr>
          <w:rFonts w:ascii="Arial" w:hAnsi="Arial" w:cs="Arial"/>
          <w:sz w:val="24"/>
          <w:szCs w:val="24"/>
        </w:rPr>
        <w:t>.</w:t>
      </w:r>
      <w:r w:rsidRPr="00D73E0B">
        <w:rPr>
          <w:rFonts w:ascii="Arial" w:hAnsi="Arial" w:cs="Arial"/>
          <w:sz w:val="24"/>
          <w:szCs w:val="24"/>
        </w:rPr>
        <w:t xml:space="preserve"> When responding, it would be helpful if groups could indicate the people and organisations they represent. </w:t>
      </w:r>
    </w:p>
    <w:p w:rsidR="00BD0283" w:rsidRPr="00D73E0B" w:rsidRDefault="00BD0283" w:rsidP="00EE24F6">
      <w:pPr>
        <w:pStyle w:val="ListParagraph"/>
        <w:spacing w:after="0" w:line="340" w:lineRule="exact"/>
        <w:ind w:left="0"/>
        <w:rPr>
          <w:rFonts w:ascii="Arial" w:hAnsi="Arial" w:cs="Arial"/>
          <w:sz w:val="24"/>
          <w:szCs w:val="24"/>
        </w:rPr>
      </w:pPr>
    </w:p>
    <w:p w:rsidR="00BD0283" w:rsidRPr="00F66C40" w:rsidRDefault="00BD0283" w:rsidP="00EE24F6">
      <w:pPr>
        <w:pStyle w:val="ListParagraph"/>
        <w:spacing w:after="0" w:line="340" w:lineRule="exact"/>
        <w:ind w:left="0"/>
        <w:rPr>
          <w:rFonts w:ascii="Arial" w:hAnsi="Arial" w:cs="Arial"/>
          <w:sz w:val="24"/>
          <w:szCs w:val="24"/>
        </w:rPr>
      </w:pPr>
      <w:r w:rsidRPr="00F66C40">
        <w:rPr>
          <w:rFonts w:ascii="Arial" w:hAnsi="Arial" w:cs="Arial"/>
          <w:sz w:val="24"/>
          <w:szCs w:val="24"/>
        </w:rPr>
        <w:t>You can respond in the following ways:</w:t>
      </w:r>
    </w:p>
    <w:p w:rsidR="00BD0283" w:rsidRPr="00F66C40" w:rsidRDefault="00D73E0B" w:rsidP="00F01330">
      <w:pPr>
        <w:pStyle w:val="ListParagraph"/>
        <w:numPr>
          <w:ilvl w:val="0"/>
          <w:numId w:val="3"/>
        </w:numPr>
        <w:spacing w:after="0" w:line="340" w:lineRule="exact"/>
        <w:rPr>
          <w:rFonts w:ascii="Arial" w:hAnsi="Arial" w:cs="Arial"/>
          <w:sz w:val="24"/>
          <w:szCs w:val="24"/>
        </w:rPr>
      </w:pPr>
      <w:r w:rsidRPr="00F66C40">
        <w:rPr>
          <w:rFonts w:ascii="Arial" w:hAnsi="Arial" w:cs="Arial"/>
          <w:sz w:val="24"/>
          <w:szCs w:val="24"/>
        </w:rPr>
        <w:t>o</w:t>
      </w:r>
      <w:r w:rsidR="00BD0283" w:rsidRPr="00F66C40">
        <w:rPr>
          <w:rFonts w:ascii="Arial" w:hAnsi="Arial" w:cs="Arial"/>
          <w:sz w:val="24"/>
          <w:szCs w:val="24"/>
        </w:rPr>
        <w:t>nline</w:t>
      </w:r>
      <w:r w:rsidR="001B565E" w:rsidRPr="00F66C40">
        <w:rPr>
          <w:rFonts w:ascii="Arial" w:hAnsi="Arial" w:cs="Arial"/>
          <w:sz w:val="24"/>
          <w:szCs w:val="24"/>
        </w:rPr>
        <w:t>,</w:t>
      </w:r>
      <w:r w:rsidR="00BD0283" w:rsidRPr="00F66C40">
        <w:rPr>
          <w:rFonts w:ascii="Arial" w:hAnsi="Arial" w:cs="Arial"/>
          <w:sz w:val="24"/>
          <w:szCs w:val="24"/>
        </w:rPr>
        <w:t xml:space="preserve"> using the response form at the following link:</w:t>
      </w:r>
      <w:r w:rsidR="001B565E" w:rsidRPr="00F66C40">
        <w:rPr>
          <w:rFonts w:ascii="Arial" w:hAnsi="Arial" w:cs="Arial"/>
          <w:sz w:val="24"/>
          <w:szCs w:val="24"/>
        </w:rPr>
        <w:t xml:space="preserve"> </w:t>
      </w:r>
      <w:hyperlink r:id="rId9" w:history="1">
        <w:r w:rsidR="00F66C40" w:rsidRPr="00F66C40">
          <w:rPr>
            <w:rStyle w:val="Hyperlink"/>
            <w:rFonts w:ascii="Arial" w:hAnsi="Arial" w:cs="Arial"/>
            <w:sz w:val="24"/>
            <w:szCs w:val="24"/>
          </w:rPr>
          <w:t>www.gov.uk/government/consultation/mca-fees-consultation</w:t>
        </w:r>
      </w:hyperlink>
      <w:r w:rsidR="00F66C40">
        <w:rPr>
          <w:rFonts w:ascii="Arial" w:hAnsi="Arial" w:cs="Arial"/>
          <w:sz w:val="24"/>
          <w:szCs w:val="24"/>
        </w:rPr>
        <w:t xml:space="preserve"> </w:t>
      </w:r>
      <w:r w:rsidR="00F66C40" w:rsidRPr="00F66C40">
        <w:rPr>
          <w:rFonts w:ascii="Arial" w:hAnsi="Arial" w:cs="Arial"/>
          <w:sz w:val="24"/>
          <w:szCs w:val="24"/>
        </w:rPr>
        <w:t xml:space="preserve"> </w:t>
      </w:r>
    </w:p>
    <w:p w:rsidR="00D73E0B" w:rsidRPr="00F66C40" w:rsidRDefault="00D73E0B" w:rsidP="00F01330">
      <w:pPr>
        <w:pStyle w:val="ListParagraph"/>
        <w:numPr>
          <w:ilvl w:val="0"/>
          <w:numId w:val="3"/>
        </w:numPr>
        <w:spacing w:after="0" w:line="340" w:lineRule="exact"/>
        <w:contextualSpacing w:val="0"/>
        <w:rPr>
          <w:rFonts w:ascii="Arial" w:hAnsi="Arial" w:cs="Arial"/>
          <w:b/>
          <w:sz w:val="24"/>
          <w:szCs w:val="24"/>
          <w:u w:val="single"/>
        </w:rPr>
      </w:pPr>
      <w:r w:rsidRPr="00F66C40">
        <w:rPr>
          <w:rFonts w:ascii="Arial" w:hAnsi="Arial" w:cs="Arial"/>
          <w:sz w:val="24"/>
          <w:szCs w:val="24"/>
        </w:rPr>
        <w:lastRenderedPageBreak/>
        <w:t>b</w:t>
      </w:r>
      <w:r w:rsidR="00BD0283" w:rsidRPr="00F66C40">
        <w:rPr>
          <w:rFonts w:ascii="Arial" w:hAnsi="Arial" w:cs="Arial"/>
          <w:sz w:val="24"/>
          <w:szCs w:val="24"/>
        </w:rPr>
        <w:t xml:space="preserve">y post to </w:t>
      </w:r>
      <w:r w:rsidR="00106475" w:rsidRPr="00F66C40">
        <w:rPr>
          <w:rFonts w:ascii="Arial" w:hAnsi="Arial" w:cs="Arial"/>
          <w:sz w:val="24"/>
          <w:szCs w:val="24"/>
        </w:rPr>
        <w:t xml:space="preserve">the </w:t>
      </w:r>
      <w:r w:rsidR="00BD0283" w:rsidRPr="00F66C40">
        <w:rPr>
          <w:rFonts w:ascii="Arial" w:hAnsi="Arial" w:cs="Arial"/>
          <w:sz w:val="24"/>
          <w:szCs w:val="24"/>
        </w:rPr>
        <w:t xml:space="preserve">MCA, </w:t>
      </w:r>
      <w:r w:rsidR="00B26737" w:rsidRPr="00F66C40">
        <w:rPr>
          <w:rFonts w:ascii="Arial" w:hAnsi="Arial" w:cs="Arial"/>
          <w:sz w:val="24"/>
          <w:szCs w:val="24"/>
        </w:rPr>
        <w:t xml:space="preserve">Finance, Directorate of </w:t>
      </w:r>
      <w:r w:rsidR="00BD0283" w:rsidRPr="00F66C40">
        <w:rPr>
          <w:rFonts w:ascii="Arial" w:hAnsi="Arial" w:cs="Arial"/>
          <w:sz w:val="24"/>
          <w:szCs w:val="24"/>
        </w:rPr>
        <w:t xml:space="preserve">Strategy &amp; </w:t>
      </w:r>
      <w:r w:rsidR="00B26737" w:rsidRPr="00F66C40">
        <w:rPr>
          <w:rFonts w:ascii="Arial" w:hAnsi="Arial" w:cs="Arial"/>
          <w:sz w:val="24"/>
          <w:szCs w:val="24"/>
        </w:rPr>
        <w:t>Corporate Services</w:t>
      </w:r>
      <w:r w:rsidR="00BD0283" w:rsidRPr="00F66C40">
        <w:rPr>
          <w:rFonts w:ascii="Arial" w:hAnsi="Arial" w:cs="Arial"/>
          <w:sz w:val="24"/>
          <w:szCs w:val="24"/>
        </w:rPr>
        <w:t>, Spring Place, 105 Commercial Rd, Southampton, S</w:t>
      </w:r>
      <w:r w:rsidR="00605379" w:rsidRPr="00F66C40">
        <w:rPr>
          <w:rFonts w:ascii="Arial" w:hAnsi="Arial" w:cs="Arial"/>
          <w:sz w:val="24"/>
          <w:szCs w:val="24"/>
        </w:rPr>
        <w:t>O</w:t>
      </w:r>
      <w:r w:rsidR="00BD0283" w:rsidRPr="00F66C40">
        <w:rPr>
          <w:rFonts w:ascii="Arial" w:hAnsi="Arial" w:cs="Arial"/>
          <w:sz w:val="24"/>
          <w:szCs w:val="24"/>
        </w:rPr>
        <w:t>15 1EG.</w:t>
      </w:r>
    </w:p>
    <w:p w:rsidR="007D6FDB" w:rsidRPr="00D73E0B" w:rsidRDefault="00D73E0B" w:rsidP="00F01330">
      <w:pPr>
        <w:pStyle w:val="ListParagraph"/>
        <w:numPr>
          <w:ilvl w:val="0"/>
          <w:numId w:val="3"/>
        </w:numPr>
        <w:spacing w:after="0" w:line="340" w:lineRule="exact"/>
        <w:contextualSpacing w:val="0"/>
        <w:rPr>
          <w:rFonts w:ascii="Arial" w:hAnsi="Arial" w:cs="Arial"/>
          <w:b/>
          <w:sz w:val="24"/>
          <w:szCs w:val="24"/>
          <w:u w:val="single"/>
        </w:rPr>
      </w:pPr>
      <w:r w:rsidRPr="00F66C40">
        <w:rPr>
          <w:rFonts w:ascii="Arial" w:hAnsi="Arial" w:cs="Arial"/>
          <w:sz w:val="24"/>
          <w:szCs w:val="24"/>
        </w:rPr>
        <w:t>b</w:t>
      </w:r>
      <w:r w:rsidR="001B565E" w:rsidRPr="00F66C40">
        <w:rPr>
          <w:rFonts w:ascii="Arial" w:hAnsi="Arial" w:cs="Arial"/>
          <w:sz w:val="24"/>
          <w:szCs w:val="24"/>
        </w:rPr>
        <w:t>y e</w:t>
      </w:r>
      <w:r w:rsidR="007D6FDB" w:rsidRPr="00F66C40">
        <w:rPr>
          <w:rFonts w:ascii="Arial" w:hAnsi="Arial" w:cs="Arial"/>
          <w:sz w:val="24"/>
          <w:szCs w:val="24"/>
        </w:rPr>
        <w:t>mail</w:t>
      </w:r>
      <w:r w:rsidR="007D6FDB" w:rsidRPr="00D73E0B">
        <w:rPr>
          <w:rFonts w:ascii="Arial" w:hAnsi="Arial" w:cs="Arial"/>
          <w:sz w:val="24"/>
          <w:szCs w:val="24"/>
        </w:rPr>
        <w:t xml:space="preserve"> to</w:t>
      </w:r>
      <w:r w:rsidR="001B565E" w:rsidRPr="00D73E0B">
        <w:rPr>
          <w:rFonts w:ascii="Arial" w:hAnsi="Arial" w:cs="Arial"/>
          <w:sz w:val="24"/>
          <w:szCs w:val="24"/>
        </w:rPr>
        <w:t>:</w:t>
      </w:r>
      <w:r w:rsidR="007D6FDB" w:rsidRPr="00D73E0B">
        <w:rPr>
          <w:rFonts w:ascii="Arial" w:hAnsi="Arial" w:cs="Arial"/>
          <w:sz w:val="24"/>
          <w:szCs w:val="24"/>
        </w:rPr>
        <w:t xml:space="preserve"> </w:t>
      </w:r>
      <w:r w:rsidR="00425624" w:rsidRPr="00D73E0B">
        <w:rPr>
          <w:rFonts w:ascii="Arial" w:hAnsi="Arial" w:cs="Arial"/>
          <w:sz w:val="24"/>
          <w:szCs w:val="24"/>
        </w:rPr>
        <w:t>mca</w:t>
      </w:r>
      <w:r w:rsidR="00B26737" w:rsidRPr="00D73E0B">
        <w:rPr>
          <w:rFonts w:ascii="Arial" w:hAnsi="Arial" w:cs="Arial"/>
          <w:sz w:val="24"/>
          <w:szCs w:val="24"/>
        </w:rPr>
        <w:t>fees</w:t>
      </w:r>
      <w:r w:rsidR="007D6FDB" w:rsidRPr="00D73E0B">
        <w:rPr>
          <w:rFonts w:ascii="Arial" w:hAnsi="Arial" w:cs="Arial"/>
          <w:sz w:val="24"/>
          <w:szCs w:val="24"/>
        </w:rPr>
        <w:t>consultation</w:t>
      </w:r>
      <w:r w:rsidR="00425624" w:rsidRPr="00D73E0B">
        <w:rPr>
          <w:rFonts w:ascii="Arial" w:hAnsi="Arial" w:cs="Arial"/>
          <w:sz w:val="24"/>
          <w:szCs w:val="24"/>
        </w:rPr>
        <w:t>2016</w:t>
      </w:r>
      <w:r w:rsidR="007D6FDB" w:rsidRPr="00D73E0B">
        <w:rPr>
          <w:rFonts w:ascii="Arial" w:hAnsi="Arial" w:cs="Arial"/>
          <w:sz w:val="24"/>
          <w:szCs w:val="24"/>
        </w:rPr>
        <w:t>@mc</w:t>
      </w:r>
      <w:r w:rsidR="00B26737" w:rsidRPr="00D73E0B">
        <w:rPr>
          <w:rFonts w:ascii="Arial" w:hAnsi="Arial" w:cs="Arial"/>
          <w:sz w:val="24"/>
          <w:szCs w:val="24"/>
        </w:rPr>
        <w:t>g</w:t>
      </w:r>
      <w:r w:rsidR="007D6FDB" w:rsidRPr="00D73E0B">
        <w:rPr>
          <w:rFonts w:ascii="Arial" w:hAnsi="Arial" w:cs="Arial"/>
          <w:sz w:val="24"/>
          <w:szCs w:val="24"/>
        </w:rPr>
        <w:t>a.gov.uk</w:t>
      </w:r>
    </w:p>
    <w:p w:rsidR="001B565E" w:rsidRPr="00D73E0B" w:rsidRDefault="001B565E" w:rsidP="001B565E">
      <w:pPr>
        <w:pStyle w:val="ListParagraph"/>
        <w:spacing w:after="0" w:line="340" w:lineRule="exact"/>
        <w:ind w:left="0"/>
        <w:contextualSpacing w:val="0"/>
        <w:rPr>
          <w:rFonts w:ascii="Arial" w:hAnsi="Arial" w:cs="Arial"/>
          <w:sz w:val="24"/>
          <w:szCs w:val="24"/>
        </w:rPr>
      </w:pPr>
    </w:p>
    <w:p w:rsidR="00BD0283" w:rsidRPr="00D73E0B" w:rsidRDefault="00BD0283" w:rsidP="001B565E">
      <w:pPr>
        <w:pStyle w:val="ListParagraph"/>
        <w:spacing w:after="0" w:line="340" w:lineRule="exact"/>
        <w:ind w:left="0"/>
        <w:contextualSpacing w:val="0"/>
        <w:rPr>
          <w:rFonts w:ascii="Arial" w:hAnsi="Arial" w:cs="Arial"/>
          <w:b/>
          <w:sz w:val="24"/>
          <w:szCs w:val="24"/>
          <w:u w:val="single"/>
        </w:rPr>
      </w:pPr>
      <w:r w:rsidRPr="00D73E0B">
        <w:rPr>
          <w:rFonts w:ascii="Arial" w:hAnsi="Arial" w:cs="Arial"/>
          <w:sz w:val="24"/>
          <w:szCs w:val="24"/>
        </w:rPr>
        <w:t>Plea</w:t>
      </w:r>
      <w:r w:rsidR="001B565E" w:rsidRPr="00D73E0B">
        <w:rPr>
          <w:rFonts w:ascii="Arial" w:hAnsi="Arial" w:cs="Arial"/>
          <w:sz w:val="24"/>
          <w:szCs w:val="24"/>
        </w:rPr>
        <w:t>se use one of the above contact methods</w:t>
      </w:r>
      <w:r w:rsidRPr="00D73E0B">
        <w:rPr>
          <w:rFonts w:ascii="Arial" w:hAnsi="Arial" w:cs="Arial"/>
          <w:sz w:val="24"/>
          <w:szCs w:val="24"/>
        </w:rPr>
        <w:t xml:space="preserve"> to request a copy of the consultation in an alternative format</w:t>
      </w:r>
      <w:r w:rsidR="001B565E" w:rsidRPr="00D73E0B">
        <w:rPr>
          <w:rFonts w:ascii="Arial" w:hAnsi="Arial" w:cs="Arial"/>
          <w:sz w:val="24"/>
          <w:szCs w:val="24"/>
        </w:rPr>
        <w:t>,</w:t>
      </w:r>
      <w:r w:rsidRPr="00D73E0B">
        <w:rPr>
          <w:rFonts w:ascii="Arial" w:hAnsi="Arial" w:cs="Arial"/>
          <w:sz w:val="24"/>
          <w:szCs w:val="24"/>
        </w:rPr>
        <w:t xml:space="preserve"> or if you have any questions.</w:t>
      </w:r>
    </w:p>
    <w:p w:rsidR="00BD0283" w:rsidRPr="00D73E0B" w:rsidRDefault="00BD0283" w:rsidP="00EE24F6">
      <w:pPr>
        <w:pStyle w:val="ListParagraph"/>
        <w:spacing w:after="0" w:line="340" w:lineRule="exact"/>
        <w:ind w:left="0"/>
        <w:rPr>
          <w:rFonts w:ascii="Arial" w:hAnsi="Arial" w:cs="Arial"/>
          <w:b/>
          <w:sz w:val="24"/>
          <w:szCs w:val="24"/>
        </w:rPr>
      </w:pPr>
    </w:p>
    <w:p w:rsidR="0015045B" w:rsidRPr="00D73E0B" w:rsidRDefault="0015045B" w:rsidP="00BD0283">
      <w:pPr>
        <w:pStyle w:val="ListParagraph"/>
        <w:ind w:left="0"/>
        <w:jc w:val="both"/>
        <w:rPr>
          <w:rFonts w:ascii="Arial" w:hAnsi="Arial" w:cs="Arial"/>
          <w:b/>
          <w:sz w:val="24"/>
          <w:szCs w:val="24"/>
        </w:rPr>
      </w:pPr>
    </w:p>
    <w:p w:rsidR="00BD0283" w:rsidRPr="00B36825" w:rsidRDefault="00BD0283" w:rsidP="00BD0283">
      <w:pPr>
        <w:pStyle w:val="ListParagraph"/>
        <w:ind w:left="0"/>
        <w:jc w:val="both"/>
        <w:rPr>
          <w:rFonts w:ascii="Arial" w:hAnsi="Arial" w:cs="Arial"/>
          <w:b/>
          <w:sz w:val="28"/>
          <w:szCs w:val="28"/>
        </w:rPr>
      </w:pPr>
      <w:r w:rsidRPr="00B36825">
        <w:rPr>
          <w:rFonts w:ascii="Arial" w:hAnsi="Arial" w:cs="Arial"/>
          <w:b/>
          <w:sz w:val="28"/>
          <w:szCs w:val="28"/>
        </w:rPr>
        <w:t>What happens</w:t>
      </w:r>
      <w:r w:rsidR="00117D67" w:rsidRPr="00B36825">
        <w:rPr>
          <w:rFonts w:ascii="Arial" w:hAnsi="Arial" w:cs="Arial"/>
          <w:b/>
          <w:sz w:val="28"/>
          <w:szCs w:val="28"/>
        </w:rPr>
        <w:t xml:space="preserve"> </w:t>
      </w:r>
      <w:r w:rsidRPr="00B36825">
        <w:rPr>
          <w:rFonts w:ascii="Arial" w:hAnsi="Arial" w:cs="Arial"/>
          <w:b/>
          <w:sz w:val="28"/>
          <w:szCs w:val="28"/>
        </w:rPr>
        <w:t>next</w:t>
      </w:r>
      <w:r w:rsidR="00117D67" w:rsidRPr="00B36825">
        <w:rPr>
          <w:rFonts w:ascii="Arial" w:hAnsi="Arial" w:cs="Arial"/>
          <w:b/>
          <w:sz w:val="28"/>
          <w:szCs w:val="28"/>
        </w:rPr>
        <w:t>?</w:t>
      </w:r>
      <w:r w:rsidRPr="00B36825">
        <w:rPr>
          <w:rFonts w:ascii="Arial" w:hAnsi="Arial" w:cs="Arial"/>
          <w:b/>
          <w:sz w:val="28"/>
          <w:szCs w:val="28"/>
        </w:rPr>
        <w:t xml:space="preserve"> </w:t>
      </w:r>
    </w:p>
    <w:p w:rsidR="00BD0283" w:rsidRPr="00D73E0B" w:rsidRDefault="00BD0283" w:rsidP="00BD0283">
      <w:pPr>
        <w:pStyle w:val="ListParagraph"/>
        <w:ind w:left="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BD0283" w:rsidRPr="00D73E0B" w:rsidTr="001B565E">
        <w:trPr>
          <w:trHeight w:val="4151"/>
        </w:trPr>
        <w:tc>
          <w:tcPr>
            <w:tcW w:w="3823" w:type="dxa"/>
          </w:tcPr>
          <w:p w:rsidR="00BD0283" w:rsidRPr="00D73E0B" w:rsidRDefault="00BD0283" w:rsidP="00FE633C">
            <w:pPr>
              <w:pStyle w:val="ListParagraph"/>
              <w:ind w:left="0"/>
              <w:jc w:val="both"/>
              <w:rPr>
                <w:rFonts w:ascii="Arial" w:hAnsi="Arial" w:cs="Arial"/>
                <w:sz w:val="24"/>
                <w:szCs w:val="24"/>
              </w:rPr>
            </w:pPr>
          </w:p>
          <w:p w:rsidR="00BD0283" w:rsidRPr="00D73E0B" w:rsidRDefault="00BD0283" w:rsidP="00FE633C">
            <w:pPr>
              <w:pStyle w:val="ListParagraph"/>
              <w:ind w:left="0"/>
              <w:jc w:val="both"/>
              <w:rPr>
                <w:rFonts w:ascii="Arial" w:hAnsi="Arial" w:cs="Arial"/>
                <w:sz w:val="24"/>
                <w:szCs w:val="24"/>
              </w:rPr>
            </w:pPr>
          </w:p>
          <w:p w:rsidR="00BD0283" w:rsidRPr="00D73E0B" w:rsidRDefault="00BD0283" w:rsidP="00FE633C">
            <w:pPr>
              <w:pStyle w:val="ListParagraph"/>
              <w:ind w:left="0"/>
              <w:jc w:val="both"/>
              <w:rPr>
                <w:rFonts w:ascii="Arial" w:hAnsi="Arial" w:cs="Arial"/>
                <w:sz w:val="24"/>
                <w:szCs w:val="24"/>
              </w:rPr>
            </w:pPr>
          </w:p>
          <w:p w:rsidR="00BD0283" w:rsidRPr="00D73E0B" w:rsidRDefault="00BD0283" w:rsidP="00FE633C">
            <w:pPr>
              <w:pStyle w:val="ListParagraph"/>
              <w:ind w:left="0"/>
              <w:jc w:val="both"/>
              <w:rPr>
                <w:rFonts w:ascii="Arial" w:hAnsi="Arial" w:cs="Arial"/>
                <w:sz w:val="24"/>
                <w:szCs w:val="24"/>
              </w:rPr>
            </w:pPr>
          </w:p>
          <w:p w:rsidR="00BD0283" w:rsidRPr="00D73E0B" w:rsidRDefault="00BD0283" w:rsidP="00FE633C">
            <w:pPr>
              <w:pStyle w:val="ListParagraph"/>
              <w:ind w:left="0"/>
              <w:jc w:val="both"/>
              <w:rPr>
                <w:rFonts w:ascii="Arial" w:hAnsi="Arial" w:cs="Arial"/>
                <w:b/>
                <w:sz w:val="24"/>
                <w:szCs w:val="24"/>
              </w:rPr>
            </w:pPr>
            <w:r w:rsidRPr="00D73E0B">
              <w:rPr>
                <w:rFonts w:ascii="Arial" w:hAnsi="Arial" w:cs="Arial"/>
                <w:b/>
                <w:sz w:val="24"/>
                <w:szCs w:val="24"/>
              </w:rPr>
              <w:t>MCA reply</w:t>
            </w:r>
          </w:p>
        </w:tc>
        <w:tc>
          <w:tcPr>
            <w:tcW w:w="5193" w:type="dxa"/>
          </w:tcPr>
          <w:p w:rsidR="001B565E" w:rsidRPr="00D73E0B" w:rsidRDefault="001B565E" w:rsidP="001B565E">
            <w:pPr>
              <w:pStyle w:val="ListParagraph"/>
              <w:spacing w:after="0" w:line="340" w:lineRule="exact"/>
              <w:ind w:left="0"/>
              <w:rPr>
                <w:rFonts w:ascii="Arial" w:hAnsi="Arial" w:cs="Arial"/>
                <w:sz w:val="24"/>
                <w:szCs w:val="24"/>
              </w:rPr>
            </w:pPr>
          </w:p>
          <w:p w:rsidR="00BD0283" w:rsidRPr="00D73E0B"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We do not intend to acknowledge receipt of individual responses unless you request that.</w:t>
            </w:r>
          </w:p>
          <w:p w:rsidR="00BD0283" w:rsidRPr="00D73E0B"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We may be unable to reply individually to the points you raise as part of your reply.</w:t>
            </w:r>
          </w:p>
          <w:p w:rsidR="001B565E" w:rsidRPr="00D73E0B" w:rsidRDefault="001B565E" w:rsidP="001B565E">
            <w:pPr>
              <w:pStyle w:val="ListParagraph"/>
              <w:spacing w:after="0" w:line="340" w:lineRule="exact"/>
              <w:ind w:left="0"/>
              <w:rPr>
                <w:rFonts w:ascii="Arial" w:hAnsi="Arial" w:cs="Arial"/>
                <w:sz w:val="24"/>
                <w:szCs w:val="24"/>
              </w:rPr>
            </w:pPr>
          </w:p>
          <w:p w:rsidR="00BD0283" w:rsidRPr="00D73E0B"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 xml:space="preserve">We aim to publish a summary of responses to the consultation within three months of the consultation closing. Those who respond to the consultation will be notified when this happens. </w:t>
            </w:r>
          </w:p>
        </w:tc>
      </w:tr>
      <w:tr w:rsidR="00BD0283" w:rsidRPr="00D73E0B" w:rsidTr="001B565E">
        <w:tc>
          <w:tcPr>
            <w:tcW w:w="3823" w:type="dxa"/>
          </w:tcPr>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r w:rsidRPr="00D73E0B">
              <w:rPr>
                <w:rFonts w:ascii="Arial" w:hAnsi="Arial" w:cs="Arial"/>
                <w:b/>
                <w:sz w:val="24"/>
                <w:szCs w:val="24"/>
              </w:rPr>
              <w:t>Confidentiality of responses</w:t>
            </w:r>
          </w:p>
        </w:tc>
        <w:tc>
          <w:tcPr>
            <w:tcW w:w="5193" w:type="dxa"/>
          </w:tcPr>
          <w:p w:rsidR="001B565E" w:rsidRPr="00D73E0B" w:rsidRDefault="001B565E" w:rsidP="001B565E">
            <w:pPr>
              <w:pStyle w:val="ListParagraph"/>
              <w:spacing w:after="0" w:line="340" w:lineRule="exact"/>
              <w:ind w:left="0"/>
              <w:rPr>
                <w:rFonts w:ascii="Arial" w:hAnsi="Arial" w:cs="Arial"/>
                <w:sz w:val="24"/>
                <w:szCs w:val="24"/>
              </w:rPr>
            </w:pPr>
          </w:p>
          <w:p w:rsidR="00BD0283" w:rsidRPr="00D73E0B"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We may publish all or some of the comments we receive in response to this consultation. If we receive a request from any third party for sight of such comments</w:t>
            </w:r>
            <w:r w:rsidR="001B565E" w:rsidRPr="00D73E0B">
              <w:rPr>
                <w:rFonts w:ascii="Arial" w:hAnsi="Arial" w:cs="Arial"/>
                <w:sz w:val="24"/>
                <w:szCs w:val="24"/>
              </w:rPr>
              <w:t>,</w:t>
            </w:r>
            <w:r w:rsidRPr="00D73E0B">
              <w:rPr>
                <w:rFonts w:ascii="Arial" w:hAnsi="Arial" w:cs="Arial"/>
                <w:sz w:val="24"/>
                <w:szCs w:val="24"/>
              </w:rPr>
              <w:t xml:space="preserve"> we may be obliged by law (for example under the Freedom of Information Act 2000) to disclose it.</w:t>
            </w:r>
          </w:p>
          <w:p w:rsidR="001B565E" w:rsidRPr="00D73E0B" w:rsidRDefault="001B565E" w:rsidP="001B565E">
            <w:pPr>
              <w:pStyle w:val="ListParagraph"/>
              <w:spacing w:after="0" w:line="340" w:lineRule="exact"/>
              <w:ind w:left="0"/>
              <w:rPr>
                <w:rFonts w:ascii="Arial" w:hAnsi="Arial" w:cs="Arial"/>
                <w:sz w:val="24"/>
                <w:szCs w:val="24"/>
              </w:rPr>
            </w:pPr>
          </w:p>
          <w:p w:rsidR="00BD0283" w:rsidRPr="00D73E0B"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 xml:space="preserve">If there are particular reasons why you would not wish your comments to be disclosed or published, please let us know. Although your wishes may not override any statutory </w:t>
            </w:r>
            <w:r w:rsidRPr="00D73E0B">
              <w:rPr>
                <w:rFonts w:ascii="Arial" w:hAnsi="Arial" w:cs="Arial"/>
                <w:sz w:val="24"/>
                <w:szCs w:val="24"/>
              </w:rPr>
              <w:lastRenderedPageBreak/>
              <w:t xml:space="preserve">obligations to disclose, they will be taken into account as far as possible. </w:t>
            </w:r>
          </w:p>
          <w:p w:rsidR="001B565E" w:rsidRPr="00D73E0B" w:rsidRDefault="001B565E" w:rsidP="001B565E">
            <w:pPr>
              <w:pStyle w:val="ListParagraph"/>
              <w:spacing w:after="0" w:line="340" w:lineRule="exact"/>
              <w:ind w:left="0"/>
              <w:rPr>
                <w:rFonts w:ascii="Arial" w:hAnsi="Arial" w:cs="Arial"/>
                <w:sz w:val="24"/>
                <w:szCs w:val="24"/>
              </w:rPr>
            </w:pPr>
          </w:p>
          <w:p w:rsidR="00BD0283"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If you reply by email, the statements made above override any confidentiality disclaimer generated by your IT system.</w:t>
            </w:r>
          </w:p>
          <w:p w:rsidR="005B2246" w:rsidRDefault="005B2246" w:rsidP="001B565E">
            <w:pPr>
              <w:pStyle w:val="ListParagraph"/>
              <w:spacing w:after="0" w:line="340" w:lineRule="exact"/>
              <w:ind w:left="0"/>
              <w:rPr>
                <w:rFonts w:ascii="Arial" w:hAnsi="Arial" w:cs="Arial"/>
                <w:sz w:val="24"/>
                <w:szCs w:val="24"/>
              </w:rPr>
            </w:pPr>
          </w:p>
          <w:p w:rsidR="005B2246" w:rsidRDefault="005B2246" w:rsidP="001B565E">
            <w:pPr>
              <w:pStyle w:val="ListParagraph"/>
              <w:spacing w:after="0" w:line="340" w:lineRule="exact"/>
              <w:ind w:left="0"/>
              <w:rPr>
                <w:rFonts w:ascii="Arial" w:hAnsi="Arial" w:cs="Arial"/>
                <w:sz w:val="24"/>
                <w:szCs w:val="24"/>
              </w:rPr>
            </w:pPr>
          </w:p>
          <w:p w:rsidR="005B2246" w:rsidRPr="00D73E0B" w:rsidRDefault="005B2246" w:rsidP="001B565E">
            <w:pPr>
              <w:pStyle w:val="ListParagraph"/>
              <w:spacing w:after="0" w:line="340" w:lineRule="exact"/>
              <w:ind w:left="0"/>
              <w:rPr>
                <w:rFonts w:ascii="Arial" w:hAnsi="Arial" w:cs="Arial"/>
                <w:sz w:val="24"/>
                <w:szCs w:val="24"/>
              </w:rPr>
            </w:pPr>
          </w:p>
          <w:p w:rsidR="001B565E" w:rsidRPr="00D73E0B" w:rsidRDefault="001B565E" w:rsidP="001B565E">
            <w:pPr>
              <w:pStyle w:val="ListParagraph"/>
              <w:spacing w:after="0" w:line="340" w:lineRule="exact"/>
              <w:ind w:left="0"/>
              <w:rPr>
                <w:rFonts w:ascii="Arial" w:hAnsi="Arial" w:cs="Arial"/>
                <w:sz w:val="24"/>
                <w:szCs w:val="24"/>
              </w:rPr>
            </w:pPr>
          </w:p>
        </w:tc>
      </w:tr>
      <w:tr w:rsidR="00BD0283" w:rsidRPr="00D73E0B" w:rsidTr="001B565E">
        <w:tc>
          <w:tcPr>
            <w:tcW w:w="3823" w:type="dxa"/>
          </w:tcPr>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p>
          <w:p w:rsidR="00BD0283" w:rsidRPr="00D73E0B" w:rsidRDefault="00BD0283" w:rsidP="00FE633C">
            <w:pPr>
              <w:pStyle w:val="ListParagraph"/>
              <w:ind w:left="0"/>
              <w:jc w:val="both"/>
              <w:rPr>
                <w:rFonts w:ascii="Arial" w:hAnsi="Arial" w:cs="Arial"/>
                <w:b/>
                <w:sz w:val="24"/>
                <w:szCs w:val="24"/>
              </w:rPr>
            </w:pPr>
            <w:r w:rsidRPr="00D73E0B">
              <w:rPr>
                <w:rFonts w:ascii="Arial" w:hAnsi="Arial" w:cs="Arial"/>
                <w:b/>
                <w:sz w:val="24"/>
                <w:szCs w:val="24"/>
              </w:rPr>
              <w:t>Consultation Principles</w:t>
            </w:r>
          </w:p>
        </w:tc>
        <w:tc>
          <w:tcPr>
            <w:tcW w:w="5193" w:type="dxa"/>
          </w:tcPr>
          <w:p w:rsidR="001B565E" w:rsidRPr="00D73E0B" w:rsidRDefault="001B565E" w:rsidP="001B565E">
            <w:pPr>
              <w:pStyle w:val="ListParagraph"/>
              <w:spacing w:after="0" w:line="340" w:lineRule="exact"/>
              <w:ind w:left="0"/>
              <w:rPr>
                <w:rFonts w:ascii="Arial" w:hAnsi="Arial" w:cs="Arial"/>
                <w:sz w:val="24"/>
                <w:szCs w:val="24"/>
              </w:rPr>
            </w:pPr>
          </w:p>
          <w:p w:rsidR="00BD0283" w:rsidRPr="00D73E0B" w:rsidRDefault="00BD0283" w:rsidP="001B565E">
            <w:pPr>
              <w:pStyle w:val="ListParagraph"/>
              <w:spacing w:after="0" w:line="340" w:lineRule="exact"/>
              <w:ind w:left="0"/>
              <w:rPr>
                <w:rFonts w:ascii="Arial" w:hAnsi="Arial" w:cs="Arial"/>
                <w:sz w:val="24"/>
                <w:szCs w:val="24"/>
              </w:rPr>
            </w:pPr>
            <w:r w:rsidRPr="00D73E0B">
              <w:rPr>
                <w:rFonts w:ascii="Arial" w:hAnsi="Arial" w:cs="Arial"/>
                <w:sz w:val="24"/>
                <w:szCs w:val="24"/>
              </w:rPr>
              <w:t xml:space="preserve">This consultation complies with the Consultation Principles published by the Cabinet Office on 17 July 2012, shown below. This replaced the code of practice on consultations. </w:t>
            </w:r>
          </w:p>
          <w:p w:rsidR="001B565E" w:rsidRPr="00D73E0B" w:rsidRDefault="001B565E" w:rsidP="001B565E">
            <w:pPr>
              <w:pStyle w:val="ListParagraph"/>
              <w:spacing w:after="0" w:line="340" w:lineRule="exact"/>
              <w:ind w:left="0"/>
              <w:rPr>
                <w:rFonts w:ascii="Arial" w:hAnsi="Arial" w:cs="Arial"/>
                <w:sz w:val="24"/>
                <w:szCs w:val="24"/>
              </w:rPr>
            </w:pPr>
          </w:p>
        </w:tc>
      </w:tr>
    </w:tbl>
    <w:p w:rsidR="005B2246" w:rsidRDefault="005B2246" w:rsidP="001B565E">
      <w:pPr>
        <w:spacing w:after="0"/>
        <w:rPr>
          <w:rFonts w:ascii="Arial" w:hAnsi="Arial" w:cs="Arial"/>
          <w:b/>
          <w:sz w:val="32"/>
          <w:szCs w:val="32"/>
          <w:u w:val="single"/>
        </w:rPr>
      </w:pPr>
    </w:p>
    <w:p w:rsidR="00BD0283" w:rsidRPr="00B36825" w:rsidRDefault="00BD0283" w:rsidP="001B565E">
      <w:pPr>
        <w:spacing w:after="0"/>
        <w:rPr>
          <w:rFonts w:ascii="Arial" w:eastAsia="Calibri" w:hAnsi="Arial" w:cs="Arial"/>
          <w:b/>
          <w:sz w:val="32"/>
          <w:szCs w:val="32"/>
          <w:u w:val="single"/>
        </w:rPr>
      </w:pPr>
      <w:r w:rsidRPr="00B36825">
        <w:rPr>
          <w:rFonts w:ascii="Arial" w:hAnsi="Arial" w:cs="Arial"/>
          <w:b/>
          <w:sz w:val="32"/>
          <w:szCs w:val="32"/>
          <w:u w:val="single"/>
        </w:rPr>
        <w:t>The Consultation Principles</w:t>
      </w:r>
    </w:p>
    <w:p w:rsidR="00BD0283" w:rsidRDefault="00BD0283" w:rsidP="001B565E">
      <w:pPr>
        <w:pStyle w:val="ListParagraph"/>
        <w:spacing w:after="0"/>
        <w:ind w:left="2160" w:firstLine="720"/>
        <w:jc w:val="both"/>
        <w:rPr>
          <w:rFonts w:ascii="Arial" w:hAnsi="Arial" w:cs="Arial"/>
          <w:b/>
          <w:sz w:val="24"/>
          <w:szCs w:val="24"/>
          <w:u w:val="single"/>
        </w:rPr>
      </w:pPr>
    </w:p>
    <w:p w:rsidR="00BD0283" w:rsidRPr="00D73E0B" w:rsidRDefault="00BD0283" w:rsidP="001B565E">
      <w:pPr>
        <w:pStyle w:val="ListParagraph"/>
        <w:spacing w:after="0" w:line="340" w:lineRule="exact"/>
        <w:ind w:left="0"/>
        <w:jc w:val="both"/>
        <w:rPr>
          <w:rFonts w:ascii="Arial" w:hAnsi="Arial" w:cs="Arial"/>
          <w:sz w:val="24"/>
          <w:szCs w:val="24"/>
        </w:rPr>
      </w:pPr>
      <w:r w:rsidRPr="00D73E0B">
        <w:rPr>
          <w:rFonts w:ascii="Arial" w:hAnsi="Arial" w:cs="Arial"/>
          <w:sz w:val="24"/>
          <w:szCs w:val="24"/>
        </w:rPr>
        <w:t>The Consultation Principles are published by the Cabinet Office online at</w:t>
      </w:r>
    </w:p>
    <w:p w:rsidR="001B565E" w:rsidRPr="00D73E0B" w:rsidRDefault="000C3D0B" w:rsidP="001B565E">
      <w:pPr>
        <w:pStyle w:val="ListParagraph"/>
        <w:spacing w:after="0" w:line="340" w:lineRule="exact"/>
        <w:ind w:left="0"/>
        <w:jc w:val="both"/>
        <w:rPr>
          <w:rFonts w:ascii="Arial" w:hAnsi="Arial" w:cs="Arial"/>
          <w:sz w:val="24"/>
          <w:szCs w:val="24"/>
        </w:rPr>
      </w:pPr>
      <w:hyperlink r:id="rId10" w:history="1">
        <w:r w:rsidR="00BD0283" w:rsidRPr="00D73E0B">
          <w:rPr>
            <w:rStyle w:val="Hyperlink"/>
            <w:rFonts w:ascii="Arial" w:hAnsi="Arial" w:cs="Arial"/>
            <w:sz w:val="24"/>
            <w:szCs w:val="24"/>
          </w:rPr>
          <w:t>http://www.cabinetoffice.gov.uk/resource-library/consultation-principles-guidance</w:t>
        </w:r>
      </w:hyperlink>
      <w:r w:rsidR="001B565E" w:rsidRPr="00D73E0B">
        <w:rPr>
          <w:rFonts w:ascii="Arial" w:hAnsi="Arial" w:cs="Arial"/>
          <w:sz w:val="24"/>
          <w:szCs w:val="24"/>
        </w:rPr>
        <w:t>.</w:t>
      </w:r>
    </w:p>
    <w:p w:rsidR="00BD0283" w:rsidRPr="00D73E0B" w:rsidRDefault="00BD0283" w:rsidP="001B565E">
      <w:pPr>
        <w:pStyle w:val="ListParagraph"/>
        <w:spacing w:after="0" w:line="340" w:lineRule="exact"/>
        <w:ind w:left="0"/>
        <w:jc w:val="both"/>
        <w:rPr>
          <w:rFonts w:ascii="Arial" w:hAnsi="Arial" w:cs="Arial"/>
          <w:sz w:val="24"/>
          <w:szCs w:val="24"/>
        </w:rPr>
      </w:pPr>
      <w:r w:rsidRPr="00D73E0B">
        <w:rPr>
          <w:rFonts w:ascii="Arial" w:hAnsi="Arial" w:cs="Arial"/>
          <w:sz w:val="24"/>
          <w:szCs w:val="24"/>
        </w:rPr>
        <w:t>A summary is shown below:</w:t>
      </w:r>
    </w:p>
    <w:p w:rsidR="00BD0283" w:rsidRPr="00D73E0B" w:rsidRDefault="00BD0283" w:rsidP="001B565E">
      <w:pPr>
        <w:pStyle w:val="ListParagraph"/>
        <w:spacing w:after="0" w:line="340" w:lineRule="exact"/>
        <w:ind w:left="0"/>
        <w:jc w:val="both"/>
        <w:rPr>
          <w:rFonts w:ascii="Arial" w:hAnsi="Arial" w:cs="Arial"/>
          <w:sz w:val="24"/>
          <w:szCs w:val="24"/>
        </w:rPr>
      </w:pP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Engagement should begin early in policy development.</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The evidence base for the proposed policy should be made available at an early stage.</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The timeframe for consultation should be proportionate and realistic to allow stakeholders sufficient time for a considered response.</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The amount of time required will depend on the nature and impact of the proposal and may typically vary between two and 12 weeks.</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Information should be presented in an accessible and useful form to stakeholders with a substantial interest in the subject matter.</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The choice of the form of the consultation will depend on the issues under consideration and the available time and resources.</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lastRenderedPageBreak/>
        <w:t>Information provided should be easy to comprehend, use plain language and clarify the key issues.</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Consideration should be given to more informal ways of engaging that may be appropriate.</w:t>
      </w:r>
    </w:p>
    <w:p w:rsidR="00BD0283" w:rsidRPr="00D73E0B" w:rsidRDefault="00BD0283" w:rsidP="001B565E">
      <w:pPr>
        <w:pStyle w:val="ListParagraph"/>
        <w:numPr>
          <w:ilvl w:val="0"/>
          <w:numId w:val="4"/>
        </w:numPr>
        <w:spacing w:after="0" w:line="340" w:lineRule="exact"/>
        <w:contextualSpacing w:val="0"/>
        <w:rPr>
          <w:rFonts w:ascii="Arial" w:hAnsi="Arial" w:cs="Arial"/>
          <w:sz w:val="24"/>
          <w:szCs w:val="24"/>
        </w:rPr>
      </w:pPr>
      <w:r w:rsidRPr="00D73E0B">
        <w:rPr>
          <w:rFonts w:ascii="Arial" w:hAnsi="Arial" w:cs="Arial"/>
          <w:sz w:val="24"/>
          <w:szCs w:val="24"/>
        </w:rPr>
        <w:t>The objectives of the consultation process should be clear.</w:t>
      </w:r>
    </w:p>
    <w:p w:rsidR="001B565E" w:rsidRPr="00D73E0B" w:rsidRDefault="001B565E" w:rsidP="001B565E">
      <w:pPr>
        <w:pStyle w:val="ListParagraph"/>
        <w:spacing w:after="0" w:line="340" w:lineRule="exact"/>
        <w:contextualSpacing w:val="0"/>
        <w:jc w:val="both"/>
        <w:rPr>
          <w:rFonts w:ascii="Arial" w:hAnsi="Arial" w:cs="Arial"/>
          <w:sz w:val="24"/>
          <w:szCs w:val="24"/>
        </w:rPr>
      </w:pPr>
    </w:p>
    <w:p w:rsidR="00BD0283" w:rsidRPr="00D73E0B" w:rsidRDefault="00BD0283" w:rsidP="001B565E">
      <w:pPr>
        <w:pStyle w:val="ListParagraph"/>
        <w:spacing w:after="0" w:line="340" w:lineRule="exact"/>
        <w:ind w:left="0"/>
        <w:jc w:val="both"/>
        <w:rPr>
          <w:rFonts w:ascii="Arial" w:hAnsi="Arial" w:cs="Arial"/>
          <w:sz w:val="24"/>
          <w:szCs w:val="24"/>
        </w:rPr>
      </w:pPr>
      <w:r w:rsidRPr="00D73E0B">
        <w:rPr>
          <w:rFonts w:ascii="Arial" w:hAnsi="Arial" w:cs="Arial"/>
          <w:sz w:val="24"/>
          <w:szCs w:val="24"/>
        </w:rPr>
        <w:t>If you consider that this consultation does not comply with the consultation principles or you have comments about the consultation process</w:t>
      </w:r>
      <w:r w:rsidR="00BC5F0D">
        <w:rPr>
          <w:rFonts w:ascii="Arial" w:hAnsi="Arial" w:cs="Arial"/>
          <w:sz w:val="24"/>
          <w:szCs w:val="24"/>
        </w:rPr>
        <w:t>,</w:t>
      </w:r>
      <w:r w:rsidRPr="00D73E0B">
        <w:rPr>
          <w:rFonts w:ascii="Arial" w:hAnsi="Arial" w:cs="Arial"/>
          <w:sz w:val="24"/>
          <w:szCs w:val="24"/>
        </w:rPr>
        <w:t xml:space="preserve"> please contact:</w:t>
      </w:r>
    </w:p>
    <w:p w:rsidR="00BD0283" w:rsidRPr="00D73E0B" w:rsidRDefault="00BD0283" w:rsidP="001B565E">
      <w:pPr>
        <w:pStyle w:val="ListParagraph"/>
        <w:spacing w:after="0" w:line="340" w:lineRule="exact"/>
        <w:ind w:left="0"/>
        <w:jc w:val="both"/>
        <w:rPr>
          <w:rFonts w:ascii="Arial" w:hAnsi="Arial" w:cs="Arial"/>
          <w:sz w:val="24"/>
          <w:szCs w:val="24"/>
        </w:rPr>
      </w:pPr>
    </w:p>
    <w:p w:rsidR="00523421" w:rsidRPr="00D73E0B" w:rsidRDefault="00425624" w:rsidP="001B565E">
      <w:pPr>
        <w:spacing w:after="0" w:line="340" w:lineRule="exact"/>
        <w:rPr>
          <w:rFonts w:ascii="Arial" w:hAnsi="Arial" w:cs="Arial"/>
          <w:sz w:val="24"/>
          <w:szCs w:val="24"/>
        </w:rPr>
      </w:pPr>
      <w:r w:rsidRPr="00D73E0B">
        <w:rPr>
          <w:rFonts w:ascii="Arial" w:hAnsi="Arial" w:cs="Arial"/>
          <w:sz w:val="24"/>
          <w:szCs w:val="24"/>
        </w:rPr>
        <w:t xml:space="preserve">Fees </w:t>
      </w:r>
      <w:r w:rsidR="009B09EB" w:rsidRPr="00D73E0B">
        <w:rPr>
          <w:rFonts w:ascii="Arial" w:hAnsi="Arial" w:cs="Arial"/>
          <w:sz w:val="24"/>
          <w:szCs w:val="24"/>
        </w:rPr>
        <w:t>Consultation Coordinator</w:t>
      </w:r>
    </w:p>
    <w:p w:rsidR="00523421" w:rsidRPr="00D73E0B" w:rsidRDefault="00523421" w:rsidP="001B565E">
      <w:pPr>
        <w:spacing w:after="0" w:line="340" w:lineRule="exact"/>
        <w:rPr>
          <w:rFonts w:ascii="Arial" w:hAnsi="Arial" w:cs="Arial"/>
          <w:sz w:val="24"/>
          <w:szCs w:val="24"/>
        </w:rPr>
      </w:pPr>
      <w:r w:rsidRPr="00D73E0B">
        <w:rPr>
          <w:rFonts w:ascii="Arial" w:hAnsi="Arial" w:cs="Arial"/>
          <w:sz w:val="24"/>
          <w:szCs w:val="24"/>
        </w:rPr>
        <w:t>MCA HQ</w:t>
      </w:r>
    </w:p>
    <w:p w:rsidR="00523421" w:rsidRPr="00D73E0B" w:rsidRDefault="00523421" w:rsidP="001B565E">
      <w:pPr>
        <w:spacing w:after="0" w:line="340" w:lineRule="exact"/>
        <w:rPr>
          <w:rFonts w:ascii="Arial" w:hAnsi="Arial" w:cs="Arial"/>
          <w:sz w:val="24"/>
          <w:szCs w:val="24"/>
        </w:rPr>
      </w:pPr>
      <w:r w:rsidRPr="00D73E0B">
        <w:rPr>
          <w:rFonts w:ascii="Arial" w:hAnsi="Arial" w:cs="Arial"/>
          <w:sz w:val="24"/>
          <w:szCs w:val="24"/>
        </w:rPr>
        <w:t>Spring Place</w:t>
      </w:r>
    </w:p>
    <w:p w:rsidR="00523421" w:rsidRPr="00D73E0B" w:rsidRDefault="00523421" w:rsidP="001B565E">
      <w:pPr>
        <w:spacing w:after="0" w:line="340" w:lineRule="exact"/>
        <w:rPr>
          <w:rFonts w:ascii="Arial" w:hAnsi="Arial" w:cs="Arial"/>
          <w:sz w:val="24"/>
          <w:szCs w:val="24"/>
        </w:rPr>
      </w:pPr>
      <w:r w:rsidRPr="00D73E0B">
        <w:rPr>
          <w:rFonts w:ascii="Arial" w:hAnsi="Arial" w:cs="Arial"/>
          <w:sz w:val="24"/>
          <w:szCs w:val="24"/>
        </w:rPr>
        <w:t>105 Commercial Rd</w:t>
      </w:r>
    </w:p>
    <w:p w:rsidR="00523421" w:rsidRPr="00D73E0B" w:rsidRDefault="00523421" w:rsidP="001B565E">
      <w:pPr>
        <w:spacing w:after="0" w:line="340" w:lineRule="exact"/>
        <w:rPr>
          <w:rFonts w:ascii="Arial" w:hAnsi="Arial" w:cs="Arial"/>
          <w:sz w:val="24"/>
          <w:szCs w:val="24"/>
        </w:rPr>
      </w:pPr>
      <w:r w:rsidRPr="00D73E0B">
        <w:rPr>
          <w:rFonts w:ascii="Arial" w:hAnsi="Arial" w:cs="Arial"/>
          <w:sz w:val="24"/>
          <w:szCs w:val="24"/>
        </w:rPr>
        <w:t>Southampton</w:t>
      </w:r>
    </w:p>
    <w:p w:rsidR="008D2C0F" w:rsidRPr="00D73E0B" w:rsidRDefault="00523421" w:rsidP="001B565E">
      <w:pPr>
        <w:spacing w:after="0" w:line="340" w:lineRule="exact"/>
        <w:rPr>
          <w:rFonts w:ascii="Arial" w:hAnsi="Arial" w:cs="Arial"/>
          <w:sz w:val="24"/>
          <w:szCs w:val="24"/>
        </w:rPr>
      </w:pPr>
      <w:r w:rsidRPr="00D73E0B">
        <w:rPr>
          <w:rFonts w:ascii="Arial" w:hAnsi="Arial" w:cs="Arial"/>
          <w:sz w:val="24"/>
          <w:szCs w:val="24"/>
        </w:rPr>
        <w:t>SO15 1EG</w:t>
      </w:r>
    </w:p>
    <w:sectPr w:rsidR="008D2C0F" w:rsidRPr="00D73E0B" w:rsidSect="00F13C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99" w:rsidRDefault="00405599" w:rsidP="008D2C0F">
      <w:pPr>
        <w:spacing w:after="0" w:line="240" w:lineRule="auto"/>
      </w:pPr>
      <w:r>
        <w:separator/>
      </w:r>
    </w:p>
  </w:endnote>
  <w:endnote w:type="continuationSeparator" w:id="0">
    <w:p w:rsidR="00405599" w:rsidRDefault="00405599" w:rsidP="008D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13155"/>
      <w:docPartObj>
        <w:docPartGallery w:val="Page Numbers (Bottom of Page)"/>
        <w:docPartUnique/>
      </w:docPartObj>
    </w:sdtPr>
    <w:sdtEndPr>
      <w:rPr>
        <w:noProof/>
      </w:rPr>
    </w:sdtEndPr>
    <w:sdtContent>
      <w:p w:rsidR="00BF32F8" w:rsidRDefault="00BF32F8">
        <w:pPr>
          <w:pStyle w:val="Footer"/>
          <w:jc w:val="right"/>
        </w:pPr>
        <w:r>
          <w:fldChar w:fldCharType="begin"/>
        </w:r>
        <w:r>
          <w:instrText xml:space="preserve"> PAGE   \* MERGEFORMAT </w:instrText>
        </w:r>
        <w:r>
          <w:fldChar w:fldCharType="separate"/>
        </w:r>
        <w:r w:rsidR="000C3D0B">
          <w:rPr>
            <w:noProof/>
          </w:rPr>
          <w:t>9</w:t>
        </w:r>
        <w:r>
          <w:rPr>
            <w:noProof/>
          </w:rPr>
          <w:fldChar w:fldCharType="end"/>
        </w:r>
      </w:p>
    </w:sdtContent>
  </w:sdt>
  <w:p w:rsidR="00BF32F8" w:rsidRDefault="00BF3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99" w:rsidRDefault="00405599" w:rsidP="008D2C0F">
      <w:pPr>
        <w:spacing w:after="0" w:line="240" w:lineRule="auto"/>
      </w:pPr>
      <w:r>
        <w:separator/>
      </w:r>
    </w:p>
  </w:footnote>
  <w:footnote w:type="continuationSeparator" w:id="0">
    <w:p w:rsidR="00405599" w:rsidRDefault="00405599" w:rsidP="008D2C0F">
      <w:pPr>
        <w:spacing w:after="0" w:line="240" w:lineRule="auto"/>
      </w:pPr>
      <w:r>
        <w:continuationSeparator/>
      </w:r>
    </w:p>
  </w:footnote>
  <w:footnote w:id="1">
    <w:p w:rsidR="00BF32F8" w:rsidRPr="00EE5F8A" w:rsidRDefault="00BF32F8">
      <w:pPr>
        <w:pStyle w:val="FootnoteText"/>
        <w:rPr>
          <w:sz w:val="24"/>
          <w:szCs w:val="24"/>
        </w:rPr>
      </w:pPr>
      <w:r w:rsidRPr="00EE5F8A">
        <w:rPr>
          <w:rStyle w:val="FootnoteReference"/>
          <w:sz w:val="24"/>
          <w:szCs w:val="24"/>
        </w:rPr>
        <w:footnoteRef/>
      </w:r>
      <w:r w:rsidRPr="00EE5F8A">
        <w:rPr>
          <w:sz w:val="24"/>
          <w:szCs w:val="24"/>
        </w:rPr>
        <w:t xml:space="preserve"> This additional information will be included in the post consultation impact assessment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6B00"/>
    <w:multiLevelType w:val="hybridMultilevel"/>
    <w:tmpl w:val="B6F8F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14AD"/>
    <w:multiLevelType w:val="hybridMultilevel"/>
    <w:tmpl w:val="7ECE4D1C"/>
    <w:lvl w:ilvl="0" w:tplc="732607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36E51"/>
    <w:multiLevelType w:val="hybridMultilevel"/>
    <w:tmpl w:val="717C3D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246CDC"/>
    <w:multiLevelType w:val="hybridMultilevel"/>
    <w:tmpl w:val="8B0A9D1E"/>
    <w:lvl w:ilvl="0" w:tplc="131A4E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2B0B15"/>
    <w:multiLevelType w:val="hybridMultilevel"/>
    <w:tmpl w:val="896A1CAA"/>
    <w:lvl w:ilvl="0" w:tplc="8B46964A">
      <w:start w:val="1"/>
      <w:numFmt w:val="decimal"/>
      <w:lvlText w:val="%1."/>
      <w:lvlJc w:val="left"/>
      <w:pPr>
        <w:ind w:left="360" w:hanging="360"/>
      </w:pPr>
      <w:rPr>
        <w:rFonts w:hint="default"/>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294B3E"/>
    <w:multiLevelType w:val="hybridMultilevel"/>
    <w:tmpl w:val="8932ACCC"/>
    <w:lvl w:ilvl="0" w:tplc="056EBD20">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A3E23"/>
    <w:multiLevelType w:val="hybridMultilevel"/>
    <w:tmpl w:val="12A82750"/>
    <w:lvl w:ilvl="0" w:tplc="EE2804C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90BB6"/>
    <w:multiLevelType w:val="hybridMultilevel"/>
    <w:tmpl w:val="CD7A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C2C0E"/>
    <w:multiLevelType w:val="hybridMultilevel"/>
    <w:tmpl w:val="B0040252"/>
    <w:lvl w:ilvl="0" w:tplc="CF1C236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397"/>
        </w:tabs>
        <w:ind w:left="39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E606BC"/>
    <w:multiLevelType w:val="hybridMultilevel"/>
    <w:tmpl w:val="1A84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05CCD"/>
    <w:multiLevelType w:val="hybridMultilevel"/>
    <w:tmpl w:val="99D27784"/>
    <w:lvl w:ilvl="0" w:tplc="EE2804C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705E0B90"/>
    <w:multiLevelType w:val="hybridMultilevel"/>
    <w:tmpl w:val="7F76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3"/>
  </w:num>
  <w:num w:numId="2">
    <w:abstractNumId w:val="2"/>
  </w:num>
  <w:num w:numId="3">
    <w:abstractNumId w:val="0"/>
  </w:num>
  <w:num w:numId="4">
    <w:abstractNumId w:val="8"/>
  </w:num>
  <w:num w:numId="5">
    <w:abstractNumId w:val="15"/>
  </w:num>
  <w:num w:numId="6">
    <w:abstractNumId w:val="14"/>
  </w:num>
  <w:num w:numId="7">
    <w:abstractNumId w:val="3"/>
  </w:num>
  <w:num w:numId="8">
    <w:abstractNumId w:val="6"/>
  </w:num>
  <w:num w:numId="9">
    <w:abstractNumId w:val="5"/>
  </w:num>
  <w:num w:numId="10">
    <w:abstractNumId w:val="12"/>
  </w:num>
  <w:num w:numId="11">
    <w:abstractNumId w:val="9"/>
  </w:num>
  <w:num w:numId="12">
    <w:abstractNumId w:val="4"/>
  </w:num>
  <w:num w:numId="13">
    <w:abstractNumId w:val="1"/>
  </w:num>
  <w:num w:numId="14">
    <w:abstractNumId w:val="7"/>
  </w:num>
  <w:num w:numId="15">
    <w:abstractNumId w:val="11"/>
  </w:num>
  <w:num w:numId="16">
    <w:abstractNumId w:val="13"/>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2A"/>
    <w:rsid w:val="00015EA4"/>
    <w:rsid w:val="00043750"/>
    <w:rsid w:val="00077145"/>
    <w:rsid w:val="00082894"/>
    <w:rsid w:val="0008402C"/>
    <w:rsid w:val="00095F3D"/>
    <w:rsid w:val="000A090D"/>
    <w:rsid w:val="000B62BB"/>
    <w:rsid w:val="000C3261"/>
    <w:rsid w:val="000C3D0B"/>
    <w:rsid w:val="000E376F"/>
    <w:rsid w:val="000E397B"/>
    <w:rsid w:val="00106475"/>
    <w:rsid w:val="00117016"/>
    <w:rsid w:val="00117443"/>
    <w:rsid w:val="00117D67"/>
    <w:rsid w:val="0012025F"/>
    <w:rsid w:val="00135A58"/>
    <w:rsid w:val="00145DE2"/>
    <w:rsid w:val="0015045B"/>
    <w:rsid w:val="001577A5"/>
    <w:rsid w:val="00163A00"/>
    <w:rsid w:val="00172417"/>
    <w:rsid w:val="00185965"/>
    <w:rsid w:val="0018799C"/>
    <w:rsid w:val="00190607"/>
    <w:rsid w:val="0019221E"/>
    <w:rsid w:val="001A0107"/>
    <w:rsid w:val="001B54B2"/>
    <w:rsid w:val="001B565E"/>
    <w:rsid w:val="001C2A72"/>
    <w:rsid w:val="001D4D46"/>
    <w:rsid w:val="001E5A85"/>
    <w:rsid w:val="001F53E0"/>
    <w:rsid w:val="0020033A"/>
    <w:rsid w:val="00210A6F"/>
    <w:rsid w:val="0022791A"/>
    <w:rsid w:val="002312E7"/>
    <w:rsid w:val="00231A85"/>
    <w:rsid w:val="00245D6F"/>
    <w:rsid w:val="00263D60"/>
    <w:rsid w:val="002725CD"/>
    <w:rsid w:val="0028182A"/>
    <w:rsid w:val="00284584"/>
    <w:rsid w:val="00290454"/>
    <w:rsid w:val="00291CFD"/>
    <w:rsid w:val="002A4991"/>
    <w:rsid w:val="002B40B6"/>
    <w:rsid w:val="002B6D88"/>
    <w:rsid w:val="0033027A"/>
    <w:rsid w:val="003552FE"/>
    <w:rsid w:val="00365521"/>
    <w:rsid w:val="00367777"/>
    <w:rsid w:val="003722BD"/>
    <w:rsid w:val="00372B19"/>
    <w:rsid w:val="0037370B"/>
    <w:rsid w:val="00380F0B"/>
    <w:rsid w:val="00394E13"/>
    <w:rsid w:val="00397CFF"/>
    <w:rsid w:val="003E0EC4"/>
    <w:rsid w:val="003F5AAB"/>
    <w:rsid w:val="00405599"/>
    <w:rsid w:val="0040630F"/>
    <w:rsid w:val="00410F8B"/>
    <w:rsid w:val="0041473E"/>
    <w:rsid w:val="004156B2"/>
    <w:rsid w:val="00415AE8"/>
    <w:rsid w:val="00425395"/>
    <w:rsid w:val="00425624"/>
    <w:rsid w:val="00446362"/>
    <w:rsid w:val="0045299D"/>
    <w:rsid w:val="0045428D"/>
    <w:rsid w:val="00486947"/>
    <w:rsid w:val="004A07AE"/>
    <w:rsid w:val="004C353C"/>
    <w:rsid w:val="004D6B74"/>
    <w:rsid w:val="004E2A64"/>
    <w:rsid w:val="004F6091"/>
    <w:rsid w:val="00523421"/>
    <w:rsid w:val="00547B92"/>
    <w:rsid w:val="005527C7"/>
    <w:rsid w:val="005537CB"/>
    <w:rsid w:val="00563153"/>
    <w:rsid w:val="00573CBD"/>
    <w:rsid w:val="00577C25"/>
    <w:rsid w:val="00594E90"/>
    <w:rsid w:val="005B216F"/>
    <w:rsid w:val="005B2246"/>
    <w:rsid w:val="005B26FF"/>
    <w:rsid w:val="005D3E3A"/>
    <w:rsid w:val="005F759A"/>
    <w:rsid w:val="006010BF"/>
    <w:rsid w:val="00605379"/>
    <w:rsid w:val="006136EF"/>
    <w:rsid w:val="006812A3"/>
    <w:rsid w:val="006932AF"/>
    <w:rsid w:val="00695AED"/>
    <w:rsid w:val="00695D12"/>
    <w:rsid w:val="006968FE"/>
    <w:rsid w:val="006A647C"/>
    <w:rsid w:val="006A78CE"/>
    <w:rsid w:val="006F652C"/>
    <w:rsid w:val="00705A8C"/>
    <w:rsid w:val="00713C00"/>
    <w:rsid w:val="00736CB5"/>
    <w:rsid w:val="0074483D"/>
    <w:rsid w:val="00750233"/>
    <w:rsid w:val="007615A2"/>
    <w:rsid w:val="007716EA"/>
    <w:rsid w:val="007916B0"/>
    <w:rsid w:val="007A12B5"/>
    <w:rsid w:val="007A1D4A"/>
    <w:rsid w:val="007B3AC1"/>
    <w:rsid w:val="007D2B46"/>
    <w:rsid w:val="007D6FDB"/>
    <w:rsid w:val="007E570E"/>
    <w:rsid w:val="008169BC"/>
    <w:rsid w:val="00817AAC"/>
    <w:rsid w:val="00843DB7"/>
    <w:rsid w:val="00850E9F"/>
    <w:rsid w:val="00864317"/>
    <w:rsid w:val="0087282B"/>
    <w:rsid w:val="00876505"/>
    <w:rsid w:val="008971D9"/>
    <w:rsid w:val="008A3616"/>
    <w:rsid w:val="008A6CBD"/>
    <w:rsid w:val="008B3E73"/>
    <w:rsid w:val="008B696C"/>
    <w:rsid w:val="008D2C0F"/>
    <w:rsid w:val="008D4B63"/>
    <w:rsid w:val="008E1105"/>
    <w:rsid w:val="009468AC"/>
    <w:rsid w:val="009505AD"/>
    <w:rsid w:val="00966BC9"/>
    <w:rsid w:val="00992BF4"/>
    <w:rsid w:val="009A73A3"/>
    <w:rsid w:val="009B09EB"/>
    <w:rsid w:val="009B26C1"/>
    <w:rsid w:val="009C0325"/>
    <w:rsid w:val="009D7D06"/>
    <w:rsid w:val="009E6ECA"/>
    <w:rsid w:val="009F6D55"/>
    <w:rsid w:val="00A24C6F"/>
    <w:rsid w:val="00A3086E"/>
    <w:rsid w:val="00A33605"/>
    <w:rsid w:val="00A54BA2"/>
    <w:rsid w:val="00A670DB"/>
    <w:rsid w:val="00A77192"/>
    <w:rsid w:val="00A82B20"/>
    <w:rsid w:val="00AC4DD7"/>
    <w:rsid w:val="00AD6FC0"/>
    <w:rsid w:val="00B26737"/>
    <w:rsid w:val="00B36825"/>
    <w:rsid w:val="00B45F5E"/>
    <w:rsid w:val="00B73046"/>
    <w:rsid w:val="00B77538"/>
    <w:rsid w:val="00B94C25"/>
    <w:rsid w:val="00BA68AD"/>
    <w:rsid w:val="00BC3DC9"/>
    <w:rsid w:val="00BC5F0D"/>
    <w:rsid w:val="00BD0283"/>
    <w:rsid w:val="00BF32F8"/>
    <w:rsid w:val="00C03DE6"/>
    <w:rsid w:val="00C30F01"/>
    <w:rsid w:val="00C42F93"/>
    <w:rsid w:val="00C458D4"/>
    <w:rsid w:val="00C54E89"/>
    <w:rsid w:val="00C56E91"/>
    <w:rsid w:val="00C70856"/>
    <w:rsid w:val="00C743C8"/>
    <w:rsid w:val="00C8168B"/>
    <w:rsid w:val="00C81DAB"/>
    <w:rsid w:val="00C83A45"/>
    <w:rsid w:val="00C87453"/>
    <w:rsid w:val="00CB5252"/>
    <w:rsid w:val="00CC03F0"/>
    <w:rsid w:val="00CE40B1"/>
    <w:rsid w:val="00CF0A5B"/>
    <w:rsid w:val="00D1624D"/>
    <w:rsid w:val="00D427F5"/>
    <w:rsid w:val="00D439FB"/>
    <w:rsid w:val="00D44DFB"/>
    <w:rsid w:val="00D55CD8"/>
    <w:rsid w:val="00D73E0B"/>
    <w:rsid w:val="00D84806"/>
    <w:rsid w:val="00D91149"/>
    <w:rsid w:val="00DA0563"/>
    <w:rsid w:val="00DB373B"/>
    <w:rsid w:val="00DC7995"/>
    <w:rsid w:val="00DD7A03"/>
    <w:rsid w:val="00DF7BCC"/>
    <w:rsid w:val="00E13809"/>
    <w:rsid w:val="00E150F8"/>
    <w:rsid w:val="00E22BF5"/>
    <w:rsid w:val="00E423E9"/>
    <w:rsid w:val="00E443D2"/>
    <w:rsid w:val="00E565D1"/>
    <w:rsid w:val="00E745CE"/>
    <w:rsid w:val="00E77CCC"/>
    <w:rsid w:val="00E806F1"/>
    <w:rsid w:val="00EB7C45"/>
    <w:rsid w:val="00ED40CA"/>
    <w:rsid w:val="00EE24F6"/>
    <w:rsid w:val="00EE5F8A"/>
    <w:rsid w:val="00F01330"/>
    <w:rsid w:val="00F13365"/>
    <w:rsid w:val="00F13C97"/>
    <w:rsid w:val="00F165A9"/>
    <w:rsid w:val="00F24BF3"/>
    <w:rsid w:val="00F37285"/>
    <w:rsid w:val="00F66C40"/>
    <w:rsid w:val="00F75648"/>
    <w:rsid w:val="00F80165"/>
    <w:rsid w:val="00FB264B"/>
    <w:rsid w:val="00FB40F1"/>
    <w:rsid w:val="00FB5FCA"/>
    <w:rsid w:val="00FC49FB"/>
    <w:rsid w:val="00FC4E28"/>
    <w:rsid w:val="00FE633C"/>
    <w:rsid w:val="00FE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13FE1F-BD75-4D42-87EB-868B3816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97"/>
  </w:style>
  <w:style w:type="paragraph" w:styleId="Heading1">
    <w:name w:val="heading 1"/>
    <w:basedOn w:val="Normal"/>
    <w:next w:val="Normal"/>
    <w:link w:val="Heading1Char"/>
    <w:qFormat/>
    <w:rsid w:val="00FC4E28"/>
    <w:pPr>
      <w:keepNext/>
      <w:tabs>
        <w:tab w:val="right" w:pos="10206"/>
      </w:tabs>
      <w:spacing w:before="240" w:after="60" w:line="240" w:lineRule="auto"/>
      <w:outlineLvl w:val="0"/>
    </w:pPr>
    <w:rPr>
      <w:rFonts w:ascii="Arial Bold" w:eastAsia="Times New Roman" w:hAnsi="Arial Bold" w:cs="Arial"/>
      <w:b/>
      <w:bCs/>
      <w:spacing w:val="-4"/>
      <w:kern w:val="32"/>
      <w:sz w:val="32"/>
      <w:szCs w:val="32"/>
    </w:rPr>
  </w:style>
  <w:style w:type="paragraph" w:styleId="Heading2">
    <w:name w:val="heading 2"/>
    <w:aliases w:val="EBHeading1"/>
    <w:basedOn w:val="Normal"/>
    <w:next w:val="EBBodyPara"/>
    <w:link w:val="Heading2Char"/>
    <w:qFormat/>
    <w:rsid w:val="00FC4E28"/>
    <w:pPr>
      <w:keepNext/>
      <w:keepLines/>
      <w:spacing w:before="480" w:after="240" w:line="240" w:lineRule="auto"/>
      <w:outlineLvl w:val="1"/>
    </w:pPr>
    <w:rPr>
      <w:rFonts w:ascii="Arial" w:eastAsia="Times New Roman" w:hAnsi="Arial" w:cs="Arial"/>
      <w:bCs/>
      <w:color w:val="000000"/>
      <w:sz w:val="32"/>
      <w:lang w:eastAsia="en-GB"/>
    </w:rPr>
  </w:style>
  <w:style w:type="paragraph" w:styleId="Heading3">
    <w:name w:val="heading 3"/>
    <w:aliases w:val="EBHeading2"/>
    <w:basedOn w:val="Normal"/>
    <w:next w:val="EBBodyPara"/>
    <w:link w:val="Heading3Char"/>
    <w:qFormat/>
    <w:rsid w:val="00FC4E28"/>
    <w:pPr>
      <w:keepNext/>
      <w:keepLines/>
      <w:spacing w:before="360" w:after="240" w:line="240" w:lineRule="auto"/>
      <w:outlineLvl w:val="2"/>
    </w:pPr>
    <w:rPr>
      <w:rFonts w:ascii="Arial" w:eastAsia="Times New Roman" w:hAnsi="Arial" w:cs="Arial"/>
      <w:b/>
      <w:bCs/>
      <w:color w:val="000000"/>
      <w:sz w:val="24"/>
      <w:lang w:eastAsia="en-GB"/>
    </w:rPr>
  </w:style>
  <w:style w:type="paragraph" w:styleId="Heading4">
    <w:name w:val="heading 4"/>
    <w:aliases w:val="EBHeading3"/>
    <w:basedOn w:val="EBBodyPara"/>
    <w:next w:val="Normal"/>
    <w:link w:val="Heading4Char"/>
    <w:qFormat/>
    <w:rsid w:val="00FC4E28"/>
    <w:pPr>
      <w:spacing w:before="240"/>
      <w:outlineLvl w:val="3"/>
    </w:pPr>
    <w:rPr>
      <w:b/>
    </w:rPr>
  </w:style>
  <w:style w:type="paragraph" w:styleId="Heading5">
    <w:name w:val="heading 5"/>
    <w:aliases w:val="EBHeading4"/>
    <w:basedOn w:val="Normal"/>
    <w:next w:val="Normal"/>
    <w:link w:val="Heading5Char"/>
    <w:uiPriority w:val="99"/>
    <w:qFormat/>
    <w:rsid w:val="00FC4E28"/>
    <w:pPr>
      <w:spacing w:before="240" w:after="120" w:line="240" w:lineRule="auto"/>
      <w:outlineLvl w:val="4"/>
    </w:pPr>
    <w:rPr>
      <w:rFonts w:ascii="Arial" w:eastAsia="Times New Roman" w:hAnsi="Arial" w:cs="Times New Roman"/>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odyPara">
    <w:name w:val="EBBodyPara"/>
    <w:basedOn w:val="BodyText"/>
    <w:link w:val="EBBodyParaChar"/>
    <w:rsid w:val="00ED40CA"/>
    <w:pPr>
      <w:spacing w:line="240" w:lineRule="auto"/>
    </w:pPr>
    <w:rPr>
      <w:rFonts w:ascii="Arial" w:eastAsia="Times New Roman" w:hAnsi="Arial" w:cs="Arial"/>
      <w:bCs/>
      <w:color w:val="000000"/>
      <w:lang w:eastAsia="en-GB"/>
    </w:rPr>
  </w:style>
  <w:style w:type="character" w:customStyle="1" w:styleId="EBBodyParaChar">
    <w:name w:val="EBBodyPara Char"/>
    <w:link w:val="EBBodyPara"/>
    <w:rsid w:val="00ED40CA"/>
    <w:rPr>
      <w:rFonts w:ascii="Arial" w:eastAsia="Times New Roman" w:hAnsi="Arial" w:cs="Arial"/>
      <w:bCs/>
      <w:color w:val="000000"/>
      <w:lang w:eastAsia="en-GB"/>
    </w:rPr>
  </w:style>
  <w:style w:type="paragraph" w:styleId="BodyText">
    <w:name w:val="Body Text"/>
    <w:basedOn w:val="Normal"/>
    <w:link w:val="BodyTextChar"/>
    <w:unhideWhenUsed/>
    <w:rsid w:val="00ED40CA"/>
    <w:pPr>
      <w:spacing w:after="120"/>
    </w:pPr>
  </w:style>
  <w:style w:type="character" w:customStyle="1" w:styleId="BodyTextChar">
    <w:name w:val="Body Text Char"/>
    <w:basedOn w:val="DefaultParagraphFont"/>
    <w:link w:val="BodyText"/>
    <w:rsid w:val="00ED40CA"/>
  </w:style>
  <w:style w:type="paragraph" w:styleId="PlainText">
    <w:name w:val="Plain Text"/>
    <w:basedOn w:val="Normal"/>
    <w:link w:val="PlainTextChar"/>
    <w:uiPriority w:val="99"/>
    <w:unhideWhenUsed/>
    <w:rsid w:val="008D2C0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D2C0F"/>
    <w:rPr>
      <w:rFonts w:ascii="Consolas" w:eastAsia="Calibri" w:hAnsi="Consolas" w:cs="Times New Roman"/>
      <w:sz w:val="21"/>
      <w:szCs w:val="21"/>
    </w:rPr>
  </w:style>
  <w:style w:type="paragraph" w:styleId="FootnoteText">
    <w:name w:val="footnote text"/>
    <w:basedOn w:val="Normal"/>
    <w:link w:val="FootnoteTextChar"/>
    <w:semiHidden/>
    <w:rsid w:val="008D2C0F"/>
    <w:pPr>
      <w:spacing w:after="0" w:line="240" w:lineRule="auto"/>
    </w:pPr>
    <w:rPr>
      <w:rFonts w:ascii="Arial" w:eastAsia="SimSun" w:hAnsi="Arial" w:cs="Times New Roman"/>
      <w:sz w:val="16"/>
      <w:szCs w:val="20"/>
      <w:lang w:eastAsia="zh-CN"/>
    </w:rPr>
  </w:style>
  <w:style w:type="character" w:customStyle="1" w:styleId="FootnoteTextChar">
    <w:name w:val="Footnote Text Char"/>
    <w:basedOn w:val="DefaultParagraphFont"/>
    <w:link w:val="FootnoteText"/>
    <w:semiHidden/>
    <w:rsid w:val="008D2C0F"/>
    <w:rPr>
      <w:rFonts w:ascii="Arial" w:eastAsia="SimSun" w:hAnsi="Arial" w:cs="Times New Roman"/>
      <w:sz w:val="16"/>
      <w:szCs w:val="20"/>
      <w:lang w:eastAsia="zh-CN"/>
    </w:rPr>
  </w:style>
  <w:style w:type="character" w:styleId="FootnoteReference">
    <w:name w:val="footnote reference"/>
    <w:basedOn w:val="DefaultParagraphFont"/>
    <w:rsid w:val="008D2C0F"/>
    <w:rPr>
      <w:sz w:val="22"/>
      <w:vertAlign w:val="superscript"/>
    </w:rPr>
  </w:style>
  <w:style w:type="character" w:styleId="Hyperlink">
    <w:name w:val="Hyperlink"/>
    <w:basedOn w:val="DefaultParagraphFont"/>
    <w:rsid w:val="008D2C0F"/>
    <w:rPr>
      <w:color w:val="auto"/>
      <w:u w:val="single"/>
    </w:rPr>
  </w:style>
  <w:style w:type="paragraph" w:customStyle="1" w:styleId="EBBullet">
    <w:name w:val="EBBullet"/>
    <w:basedOn w:val="BodyText"/>
    <w:rsid w:val="008D2C0F"/>
    <w:pPr>
      <w:numPr>
        <w:numId w:val="1"/>
      </w:numPr>
      <w:spacing w:line="240" w:lineRule="auto"/>
    </w:pPr>
    <w:rPr>
      <w:rFonts w:ascii="Arial" w:eastAsia="Times New Roman" w:hAnsi="Arial" w:cs="Arial"/>
      <w:bCs/>
      <w:color w:val="000000"/>
      <w:lang w:eastAsia="en-GB"/>
    </w:rPr>
  </w:style>
  <w:style w:type="paragraph" w:styleId="ListParagraph">
    <w:name w:val="List Paragraph"/>
    <w:basedOn w:val="Normal"/>
    <w:uiPriority w:val="34"/>
    <w:qFormat/>
    <w:rsid w:val="006010BF"/>
    <w:pPr>
      <w:spacing w:after="200" w:line="276" w:lineRule="auto"/>
      <w:ind w:left="720"/>
      <w:contextualSpacing/>
    </w:pPr>
    <w:rPr>
      <w:rFonts w:ascii="Calibri" w:eastAsia="Calibri" w:hAnsi="Calibri" w:cs="Times New Roman"/>
    </w:rPr>
  </w:style>
  <w:style w:type="paragraph" w:customStyle="1" w:styleId="IAPOA510">
    <w:name w:val="IAPOA5+10"/>
    <w:basedOn w:val="Normal"/>
    <w:rsid w:val="006010BF"/>
    <w:pPr>
      <w:spacing w:after="0" w:line="240" w:lineRule="auto"/>
      <w:ind w:left="113" w:right="113"/>
    </w:pPr>
    <w:rPr>
      <w:rFonts w:ascii="Arial" w:eastAsia="SimSun" w:hAnsi="Arial" w:cs="Times New Roman"/>
      <w:spacing w:val="-5"/>
      <w:szCs w:val="20"/>
      <w:lang w:eastAsia="zh-CN"/>
    </w:rPr>
  </w:style>
  <w:style w:type="character" w:customStyle="1" w:styleId="Heading1Char">
    <w:name w:val="Heading 1 Char"/>
    <w:basedOn w:val="DefaultParagraphFont"/>
    <w:link w:val="Heading1"/>
    <w:rsid w:val="00FC4E28"/>
    <w:rPr>
      <w:rFonts w:ascii="Arial Bold" w:eastAsia="Times New Roman" w:hAnsi="Arial Bold" w:cs="Arial"/>
      <w:b/>
      <w:bCs/>
      <w:spacing w:val="-4"/>
      <w:kern w:val="32"/>
      <w:sz w:val="32"/>
      <w:szCs w:val="32"/>
    </w:rPr>
  </w:style>
  <w:style w:type="character" w:customStyle="1" w:styleId="Heading2Char">
    <w:name w:val="Heading 2 Char"/>
    <w:aliases w:val="EBHeading1 Char"/>
    <w:basedOn w:val="DefaultParagraphFont"/>
    <w:link w:val="Heading2"/>
    <w:rsid w:val="00FC4E28"/>
    <w:rPr>
      <w:rFonts w:ascii="Arial" w:eastAsia="Times New Roman" w:hAnsi="Arial" w:cs="Arial"/>
      <w:bCs/>
      <w:color w:val="000000"/>
      <w:sz w:val="32"/>
      <w:lang w:eastAsia="en-GB"/>
    </w:rPr>
  </w:style>
  <w:style w:type="character" w:customStyle="1" w:styleId="Heading3Char">
    <w:name w:val="Heading 3 Char"/>
    <w:aliases w:val="EBHeading2 Char"/>
    <w:basedOn w:val="DefaultParagraphFont"/>
    <w:link w:val="Heading3"/>
    <w:rsid w:val="00FC4E28"/>
    <w:rPr>
      <w:rFonts w:ascii="Arial" w:eastAsia="Times New Roman" w:hAnsi="Arial" w:cs="Arial"/>
      <w:b/>
      <w:bCs/>
      <w:color w:val="000000"/>
      <w:sz w:val="24"/>
      <w:lang w:eastAsia="en-GB"/>
    </w:rPr>
  </w:style>
  <w:style w:type="character" w:customStyle="1" w:styleId="Heading4Char">
    <w:name w:val="Heading 4 Char"/>
    <w:aliases w:val="EBHeading3 Char"/>
    <w:basedOn w:val="DefaultParagraphFont"/>
    <w:link w:val="Heading4"/>
    <w:rsid w:val="00FC4E28"/>
    <w:rPr>
      <w:rFonts w:ascii="Arial" w:eastAsia="Times New Roman" w:hAnsi="Arial" w:cs="Arial"/>
      <w:b/>
      <w:bCs/>
      <w:color w:val="000000"/>
      <w:lang w:eastAsia="en-GB"/>
    </w:rPr>
  </w:style>
  <w:style w:type="character" w:customStyle="1" w:styleId="Heading5Char">
    <w:name w:val="Heading 5 Char"/>
    <w:aliases w:val="EBHeading4 Char"/>
    <w:basedOn w:val="DefaultParagraphFont"/>
    <w:link w:val="Heading5"/>
    <w:uiPriority w:val="99"/>
    <w:rsid w:val="00FC4E28"/>
    <w:rPr>
      <w:rFonts w:ascii="Arial" w:eastAsia="Times New Roman" w:hAnsi="Arial" w:cs="Times New Roman"/>
      <w:bCs/>
      <w:i/>
      <w:iCs/>
      <w:szCs w:val="26"/>
    </w:rPr>
  </w:style>
  <w:style w:type="numbering" w:customStyle="1" w:styleId="NoList1">
    <w:name w:val="No List1"/>
    <w:next w:val="NoList"/>
    <w:uiPriority w:val="99"/>
    <w:semiHidden/>
    <w:unhideWhenUsed/>
    <w:rsid w:val="00FC4E28"/>
  </w:style>
  <w:style w:type="paragraph" w:customStyle="1" w:styleId="IATableLabel">
    <w:name w:val="IATableLabel"/>
    <w:basedOn w:val="Normal"/>
    <w:link w:val="IATableLabelCharChar"/>
    <w:rsid w:val="00FC4E28"/>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basedOn w:val="DefaultParagraphFont"/>
    <w:link w:val="IATableLabel"/>
    <w:rsid w:val="00FC4E28"/>
    <w:rPr>
      <w:rFonts w:ascii="Arial" w:eastAsia="SimSun" w:hAnsi="Arial" w:cs="Times New Roman"/>
      <w:b/>
      <w:color w:val="000000"/>
      <w:spacing w:val="-5"/>
      <w:sz w:val="20"/>
      <w:szCs w:val="20"/>
      <w:lang w:eastAsia="zh-CN"/>
    </w:rPr>
  </w:style>
  <w:style w:type="paragraph" w:customStyle="1" w:styleId="IASpacer">
    <w:name w:val="IASpacer"/>
    <w:basedOn w:val="Normal"/>
    <w:rsid w:val="00FC4E28"/>
    <w:pPr>
      <w:spacing w:after="0" w:line="80" w:lineRule="exact"/>
    </w:pPr>
    <w:rPr>
      <w:rFonts w:ascii="Arial" w:eastAsia="SimSun" w:hAnsi="Arial" w:cs="Times New Roman"/>
      <w:szCs w:val="24"/>
      <w:lang w:eastAsia="zh-CN"/>
    </w:rPr>
  </w:style>
  <w:style w:type="paragraph" w:customStyle="1" w:styleId="IATableText">
    <w:name w:val="IATableText"/>
    <w:basedOn w:val="IATableLabel"/>
    <w:link w:val="IATableTextChar"/>
    <w:rsid w:val="00FC4E28"/>
    <w:rPr>
      <w:b w:val="0"/>
    </w:rPr>
  </w:style>
  <w:style w:type="character" w:customStyle="1" w:styleId="IATableTextChar">
    <w:name w:val="IATableText Char"/>
    <w:basedOn w:val="IATableLabelCharChar"/>
    <w:link w:val="IATableText"/>
    <w:rsid w:val="00FC4E28"/>
    <w:rPr>
      <w:rFonts w:ascii="Arial" w:eastAsia="SimSun" w:hAnsi="Arial" w:cs="Times New Roman"/>
      <w:b w:val="0"/>
      <w:color w:val="000000"/>
      <w:spacing w:val="-5"/>
      <w:sz w:val="20"/>
      <w:szCs w:val="20"/>
      <w:lang w:eastAsia="zh-CN"/>
    </w:rPr>
  </w:style>
  <w:style w:type="table" w:styleId="TableGrid">
    <w:name w:val="Table Grid"/>
    <w:basedOn w:val="TableNormal"/>
    <w:rsid w:val="00FC4E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C4E28"/>
    <w:pPr>
      <w:spacing w:after="0" w:line="240" w:lineRule="auto"/>
      <w:ind w:left="113"/>
      <w:outlineLvl w:val="0"/>
    </w:pPr>
    <w:rPr>
      <w:rFonts w:ascii="Arial" w:eastAsia="Times New Roman" w:hAnsi="Arial" w:cs="Arial"/>
      <w:bCs/>
      <w:color w:val="FFFFFF"/>
      <w:kern w:val="28"/>
      <w:sz w:val="32"/>
      <w:szCs w:val="32"/>
    </w:rPr>
  </w:style>
  <w:style w:type="character" w:customStyle="1" w:styleId="TitleChar">
    <w:name w:val="Title Char"/>
    <w:basedOn w:val="DefaultParagraphFont"/>
    <w:link w:val="Title"/>
    <w:rsid w:val="00FC4E28"/>
    <w:rPr>
      <w:rFonts w:ascii="Arial" w:eastAsia="Times New Roman" w:hAnsi="Arial" w:cs="Arial"/>
      <w:bCs/>
      <w:color w:val="FFFFFF"/>
      <w:kern w:val="28"/>
      <w:sz w:val="32"/>
      <w:szCs w:val="32"/>
    </w:rPr>
  </w:style>
  <w:style w:type="paragraph" w:customStyle="1" w:styleId="IAHeadDept">
    <w:name w:val="IAHeadDept"/>
    <w:basedOn w:val="IATableText"/>
    <w:link w:val="IAHeadDeptChar"/>
    <w:rsid w:val="00FC4E28"/>
    <w:pPr>
      <w:spacing w:after="120"/>
      <w:ind w:left="0" w:right="57"/>
    </w:pPr>
    <w:rPr>
      <w:spacing w:val="-6"/>
    </w:rPr>
  </w:style>
  <w:style w:type="character" w:customStyle="1" w:styleId="IAHeadDeptChar">
    <w:name w:val="IAHeadDept Char"/>
    <w:basedOn w:val="IATableTextChar"/>
    <w:link w:val="IAHeadDept"/>
    <w:rsid w:val="00FC4E28"/>
    <w:rPr>
      <w:rFonts w:ascii="Arial" w:eastAsia="SimSun" w:hAnsi="Arial" w:cs="Times New Roman"/>
      <w:b w:val="0"/>
      <w:color w:val="000000"/>
      <w:spacing w:val="-6"/>
      <w:sz w:val="20"/>
      <w:szCs w:val="20"/>
      <w:lang w:eastAsia="zh-CN"/>
    </w:rPr>
  </w:style>
  <w:style w:type="paragraph" w:customStyle="1" w:styleId="IAHeadLabel">
    <w:name w:val="IAHeadLabel"/>
    <w:basedOn w:val="IATableLabel"/>
    <w:link w:val="IAHeadLabelChar"/>
    <w:rsid w:val="00FC4E28"/>
    <w:pPr>
      <w:spacing w:before="110"/>
      <w:ind w:left="0" w:right="0"/>
    </w:pPr>
  </w:style>
  <w:style w:type="character" w:customStyle="1" w:styleId="IAHeadLabelChar">
    <w:name w:val="IAHeadLabel Char"/>
    <w:basedOn w:val="IATableLabelCharChar"/>
    <w:link w:val="IAHeadLabel"/>
    <w:rsid w:val="00FC4E28"/>
    <w:rPr>
      <w:rFonts w:ascii="Arial" w:eastAsia="SimSun" w:hAnsi="Arial" w:cs="Times New Roman"/>
      <w:b/>
      <w:color w:val="000000"/>
      <w:spacing w:val="-5"/>
      <w:sz w:val="20"/>
      <w:szCs w:val="20"/>
      <w:lang w:eastAsia="zh-CN"/>
    </w:rPr>
  </w:style>
  <w:style w:type="table" w:customStyle="1" w:styleId="TableIAHeading">
    <w:name w:val="Table_IAHeading"/>
    <w:basedOn w:val="TableNormal"/>
    <w:semiHidden/>
    <w:rsid w:val="00FC4E28"/>
    <w:pPr>
      <w:spacing w:after="0" w:line="240" w:lineRule="auto"/>
    </w:pPr>
    <w:rPr>
      <w:rFonts w:ascii="Times New Roman" w:eastAsia="SimSu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FC4E28"/>
    <w:pPr>
      <w:spacing w:before="60" w:after="60" w:line="240" w:lineRule="auto"/>
      <w:ind w:left="113" w:right="113"/>
    </w:pPr>
    <w:rPr>
      <w:rFonts w:ascii="Arial" w:eastAsia="SimSun" w:hAnsi="Arial" w:cs="Times New Roman"/>
      <w:sz w:val="18"/>
      <w:szCs w:val="20"/>
      <w:lang w:eastAsia="zh-CN"/>
    </w:rPr>
  </w:style>
  <w:style w:type="character" w:customStyle="1" w:styleId="IATableNotesChar">
    <w:name w:val="IATableNotes Char"/>
    <w:basedOn w:val="DefaultParagraphFont"/>
    <w:link w:val="IATableNotes"/>
    <w:rsid w:val="00FC4E28"/>
    <w:rPr>
      <w:rFonts w:ascii="Arial" w:eastAsia="SimSun" w:hAnsi="Arial" w:cs="Times New Roman"/>
      <w:sz w:val="18"/>
      <w:szCs w:val="20"/>
      <w:lang w:eastAsia="zh-CN"/>
    </w:rPr>
  </w:style>
  <w:style w:type="paragraph" w:customStyle="1" w:styleId="IASignOff">
    <w:name w:val="IASignOff"/>
    <w:basedOn w:val="IATableNotes"/>
    <w:next w:val="IATableNotes"/>
    <w:link w:val="IASignOffChar"/>
    <w:semiHidden/>
    <w:rsid w:val="00FC4E28"/>
    <w:pPr>
      <w:spacing w:before="120" w:after="120"/>
      <w:ind w:left="567" w:right="567"/>
    </w:pPr>
    <w:rPr>
      <w:b/>
      <w:bCs/>
      <w:i/>
      <w:iCs/>
    </w:rPr>
  </w:style>
  <w:style w:type="character" w:customStyle="1" w:styleId="IASignOffChar">
    <w:name w:val="IASignOff Char"/>
    <w:basedOn w:val="IATableNotesChar"/>
    <w:link w:val="IASignOff"/>
    <w:semiHidden/>
    <w:rsid w:val="00FC4E28"/>
    <w:rPr>
      <w:rFonts w:ascii="Arial" w:eastAsia="SimSun" w:hAnsi="Arial" w:cs="Times New Roman"/>
      <w:b/>
      <w:bCs/>
      <w:i/>
      <w:iCs/>
      <w:sz w:val="18"/>
      <w:szCs w:val="20"/>
      <w:lang w:eastAsia="zh-CN"/>
    </w:rPr>
  </w:style>
  <w:style w:type="paragraph" w:customStyle="1" w:styleId="IAHeadTitle">
    <w:name w:val="IAHeadTitle"/>
    <w:basedOn w:val="IAHeadDept"/>
    <w:link w:val="IAHeadTitleChar"/>
    <w:rsid w:val="00FC4E28"/>
    <w:pPr>
      <w:spacing w:before="0" w:after="0"/>
    </w:pPr>
    <w:rPr>
      <w:b/>
      <w:sz w:val="28"/>
      <w:szCs w:val="28"/>
    </w:rPr>
  </w:style>
  <w:style w:type="character" w:customStyle="1" w:styleId="IAHeadTitleChar">
    <w:name w:val="IAHeadTitle Char"/>
    <w:basedOn w:val="IAHeadDeptChar"/>
    <w:link w:val="IAHeadTitle"/>
    <w:rsid w:val="00FC4E28"/>
    <w:rPr>
      <w:rFonts w:ascii="Arial" w:eastAsia="SimSun" w:hAnsi="Arial" w:cs="Times New Roman"/>
      <w:b/>
      <w:color w:val="000000"/>
      <w:spacing w:val="-6"/>
      <w:sz w:val="28"/>
      <w:szCs w:val="28"/>
      <w:lang w:eastAsia="zh-CN"/>
    </w:rPr>
  </w:style>
  <w:style w:type="paragraph" w:customStyle="1" w:styleId="IASignature">
    <w:name w:val="IA Signature"/>
    <w:basedOn w:val="IATableText"/>
    <w:rsid w:val="00FC4E28"/>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C4E28"/>
    <w:pPr>
      <w:spacing w:after="120"/>
    </w:pPr>
    <w:rPr>
      <w:u w:val="single"/>
    </w:rPr>
  </w:style>
  <w:style w:type="character" w:customStyle="1" w:styleId="IASign-offlabelChar">
    <w:name w:val="IA Sign-off label Char"/>
    <w:basedOn w:val="IAHeadLabelChar"/>
    <w:link w:val="IASign-offlabel"/>
    <w:rsid w:val="00FC4E28"/>
    <w:rPr>
      <w:rFonts w:ascii="Arial" w:eastAsia="SimSun" w:hAnsi="Arial" w:cs="Times New Roman"/>
      <w:b/>
      <w:color w:val="000000"/>
      <w:spacing w:val="-5"/>
      <w:sz w:val="20"/>
      <w:szCs w:val="20"/>
      <w:u w:val="single"/>
      <w:lang w:eastAsia="zh-CN"/>
    </w:rPr>
  </w:style>
  <w:style w:type="paragraph" w:customStyle="1" w:styleId="IASign-off">
    <w:name w:val="IA Sign-off"/>
    <w:basedOn w:val="IATableText"/>
    <w:rsid w:val="00FC4E28"/>
    <w:pPr>
      <w:spacing w:before="0" w:after="0"/>
      <w:ind w:left="0" w:right="284"/>
    </w:pPr>
    <w:rPr>
      <w:b/>
      <w:i/>
    </w:rPr>
  </w:style>
  <w:style w:type="paragraph" w:customStyle="1" w:styleId="IAHeading2">
    <w:name w:val="IAHeading2"/>
    <w:basedOn w:val="Normal"/>
    <w:semiHidden/>
    <w:rsid w:val="00FC4E28"/>
    <w:pPr>
      <w:keepNext/>
      <w:keepLines/>
      <w:spacing w:before="60" w:after="60" w:line="240" w:lineRule="auto"/>
      <w:ind w:left="113" w:right="113"/>
    </w:pPr>
    <w:rPr>
      <w:rFonts w:ascii="Arial" w:eastAsia="SimSun" w:hAnsi="Arial" w:cs="Times New Roman"/>
      <w:b/>
      <w:sz w:val="20"/>
      <w:szCs w:val="24"/>
      <w:lang w:eastAsia="zh-CN"/>
    </w:rPr>
  </w:style>
  <w:style w:type="table" w:customStyle="1" w:styleId="TableIABox">
    <w:name w:val="Table_IABox"/>
    <w:basedOn w:val="TableNormal"/>
    <w:rsid w:val="00FC4E28"/>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rsid w:val="00FC4E28"/>
    <w:pPr>
      <w:spacing w:after="0" w:line="240" w:lineRule="auto"/>
      <w:jc w:val="center"/>
    </w:pPr>
    <w:rPr>
      <w:rFonts w:ascii="Arial" w:eastAsia="Times New Roman" w:hAnsi="Arial" w:cs="Times New Roman"/>
      <w:caps/>
      <w:sz w:val="24"/>
      <w:szCs w:val="24"/>
    </w:rPr>
  </w:style>
  <w:style w:type="character" w:customStyle="1" w:styleId="HeaderChar">
    <w:name w:val="Header Char"/>
    <w:basedOn w:val="DefaultParagraphFont"/>
    <w:link w:val="Header"/>
    <w:rsid w:val="00FC4E28"/>
    <w:rPr>
      <w:rFonts w:ascii="Arial" w:eastAsia="Times New Roman" w:hAnsi="Arial" w:cs="Times New Roman"/>
      <w:caps/>
      <w:sz w:val="24"/>
      <w:szCs w:val="24"/>
    </w:rPr>
  </w:style>
  <w:style w:type="paragraph" w:styleId="Footer">
    <w:name w:val="footer"/>
    <w:basedOn w:val="Normal"/>
    <w:link w:val="FooterChar"/>
    <w:uiPriority w:val="99"/>
    <w:rsid w:val="00FC4E28"/>
    <w:pPr>
      <w:tabs>
        <w:tab w:val="center" w:pos="5132"/>
        <w:tab w:val="right" w:pos="10260"/>
      </w:tabs>
      <w:spacing w:after="0" w:line="240" w:lineRule="auto"/>
      <w:jc w:val="center"/>
    </w:pPr>
    <w:rPr>
      <w:rFonts w:ascii="Arial" w:eastAsia="Times New Roman" w:hAnsi="Arial" w:cs="Times New Roman"/>
      <w:b/>
      <w:sz w:val="18"/>
      <w:szCs w:val="24"/>
    </w:rPr>
  </w:style>
  <w:style w:type="character" w:customStyle="1" w:styleId="FooterChar">
    <w:name w:val="Footer Char"/>
    <w:basedOn w:val="DefaultParagraphFont"/>
    <w:link w:val="Footer"/>
    <w:uiPriority w:val="99"/>
    <w:rsid w:val="00FC4E28"/>
    <w:rPr>
      <w:rFonts w:ascii="Arial" w:eastAsia="Times New Roman" w:hAnsi="Arial" w:cs="Times New Roman"/>
      <w:b/>
      <w:sz w:val="18"/>
      <w:szCs w:val="24"/>
    </w:rPr>
  </w:style>
  <w:style w:type="character" w:styleId="PageNumber">
    <w:name w:val="page number"/>
    <w:basedOn w:val="DefaultParagraphFont"/>
    <w:rsid w:val="00FC4E28"/>
  </w:style>
  <w:style w:type="paragraph" w:customStyle="1" w:styleId="IANotes">
    <w:name w:val="IANotes"/>
    <w:basedOn w:val="Normal"/>
    <w:semiHidden/>
    <w:rsid w:val="00FC4E28"/>
    <w:pPr>
      <w:spacing w:after="0" w:line="240" w:lineRule="auto"/>
    </w:pPr>
    <w:rPr>
      <w:rFonts w:ascii="Arial" w:eastAsia="SimSun" w:hAnsi="Arial" w:cs="Times New Roman"/>
      <w:color w:val="008080"/>
      <w:szCs w:val="24"/>
      <w:lang w:eastAsia="zh-CN"/>
    </w:rPr>
  </w:style>
  <w:style w:type="paragraph" w:customStyle="1" w:styleId="IATableHeading">
    <w:name w:val="IATableHeading"/>
    <w:basedOn w:val="IATableLabel"/>
    <w:rsid w:val="00FC4E28"/>
    <w:rPr>
      <w:sz w:val="22"/>
      <w:szCs w:val="24"/>
    </w:rPr>
  </w:style>
  <w:style w:type="paragraph" w:styleId="BalloonText">
    <w:name w:val="Balloon Text"/>
    <w:basedOn w:val="Normal"/>
    <w:link w:val="BalloonTextChar"/>
    <w:semiHidden/>
    <w:rsid w:val="00FC4E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4E28"/>
    <w:rPr>
      <w:rFonts w:ascii="Tahoma" w:eastAsia="Times New Roman" w:hAnsi="Tahoma" w:cs="Tahoma"/>
      <w:sz w:val="16"/>
      <w:szCs w:val="16"/>
    </w:rPr>
  </w:style>
  <w:style w:type="paragraph" w:customStyle="1" w:styleId="EBNumber">
    <w:name w:val="EBNumber"/>
    <w:basedOn w:val="BodyText"/>
    <w:rsid w:val="00FC4E28"/>
    <w:pPr>
      <w:numPr>
        <w:ilvl w:val="1"/>
        <w:numId w:val="5"/>
      </w:numPr>
      <w:spacing w:line="240" w:lineRule="auto"/>
    </w:pPr>
    <w:rPr>
      <w:rFonts w:ascii="Arial" w:eastAsia="Times New Roman" w:hAnsi="Arial" w:cs="Arial"/>
      <w:bCs/>
      <w:color w:val="000000"/>
      <w:lang w:eastAsia="en-GB"/>
    </w:rPr>
  </w:style>
  <w:style w:type="paragraph" w:customStyle="1" w:styleId="EBNumberRestart">
    <w:name w:val="EBNumberRestart"/>
    <w:basedOn w:val="BodyText"/>
    <w:next w:val="EBNumber"/>
    <w:rsid w:val="00FC4E28"/>
    <w:pPr>
      <w:numPr>
        <w:numId w:val="5"/>
      </w:numPr>
      <w:spacing w:line="240" w:lineRule="auto"/>
    </w:pPr>
    <w:rPr>
      <w:rFonts w:ascii="Arial" w:eastAsia="Times New Roman" w:hAnsi="Arial" w:cs="Arial"/>
      <w:bCs/>
      <w:color w:val="000000"/>
      <w:lang w:eastAsia="en-GB"/>
    </w:rPr>
  </w:style>
  <w:style w:type="paragraph" w:customStyle="1" w:styleId="StyleIATableText10ptRight">
    <w:name w:val="Style IATableText + 10 pt Right"/>
    <w:basedOn w:val="IATableText"/>
    <w:rsid w:val="00FC4E28"/>
    <w:pPr>
      <w:ind w:left="0" w:right="57"/>
      <w:jc w:val="right"/>
    </w:pPr>
    <w:rPr>
      <w:rFonts w:eastAsia="Times New Roman"/>
    </w:rPr>
  </w:style>
  <w:style w:type="paragraph" w:customStyle="1" w:styleId="SecurityClass">
    <w:name w:val="SecurityClass"/>
    <w:basedOn w:val="Header"/>
    <w:rsid w:val="00FC4E28"/>
  </w:style>
  <w:style w:type="paragraph" w:customStyle="1" w:styleId="IARefNumber">
    <w:name w:val="IARefNumber"/>
    <w:basedOn w:val="IATableText"/>
    <w:rsid w:val="00FC4E28"/>
    <w:pPr>
      <w:numPr>
        <w:numId w:val="6"/>
      </w:numPr>
      <w:tabs>
        <w:tab w:val="num" w:pos="643"/>
      </w:tabs>
      <w:ind w:left="643" w:hanging="360"/>
    </w:pPr>
  </w:style>
  <w:style w:type="paragraph" w:customStyle="1" w:styleId="POPBY">
    <w:name w:val="POPBY"/>
    <w:basedOn w:val="IATableLabel"/>
    <w:rsid w:val="00FC4E28"/>
  </w:style>
  <w:style w:type="paragraph" w:customStyle="1" w:styleId="IAHeadText">
    <w:name w:val="IAHeadText"/>
    <w:basedOn w:val="IATableText"/>
    <w:rsid w:val="00FC4E28"/>
    <w:pPr>
      <w:spacing w:before="0" w:after="0"/>
      <w:ind w:left="0" w:right="57"/>
    </w:pPr>
    <w:rPr>
      <w:spacing w:val="-6"/>
    </w:rPr>
  </w:style>
  <w:style w:type="paragraph" w:customStyle="1" w:styleId="IAHeadLabel0">
    <w:name w:val="IAHeadLabel0"/>
    <w:basedOn w:val="IAHeadLabel"/>
    <w:next w:val="IAHeadTitle"/>
    <w:rsid w:val="00FC4E28"/>
    <w:pPr>
      <w:spacing w:before="0"/>
    </w:pPr>
  </w:style>
  <w:style w:type="paragraph" w:customStyle="1" w:styleId="IATableLines">
    <w:name w:val="IATableLines"/>
    <w:basedOn w:val="IATableText"/>
    <w:link w:val="IATableLinesChar"/>
    <w:rsid w:val="00FC4E28"/>
    <w:pPr>
      <w:spacing w:before="0" w:after="0"/>
    </w:pPr>
  </w:style>
  <w:style w:type="character" w:customStyle="1" w:styleId="IATableLinesChar">
    <w:name w:val="IATableLines Char"/>
    <w:basedOn w:val="IATableTextChar"/>
    <w:link w:val="IATableLines"/>
    <w:rsid w:val="00FC4E28"/>
    <w:rPr>
      <w:rFonts w:ascii="Arial" w:eastAsia="SimSun" w:hAnsi="Arial" w:cs="Times New Roman"/>
      <w:b w:val="0"/>
      <w:color w:val="000000"/>
      <w:spacing w:val="-5"/>
      <w:sz w:val="20"/>
      <w:szCs w:val="20"/>
      <w:lang w:eastAsia="zh-CN"/>
    </w:rPr>
  </w:style>
  <w:style w:type="paragraph" w:customStyle="1" w:styleId="EvidenceHeadPIR">
    <w:name w:val="EvidenceHeadPIR"/>
    <w:rsid w:val="00FC4E28"/>
    <w:pPr>
      <w:spacing w:after="120" w:line="240" w:lineRule="auto"/>
    </w:pPr>
    <w:rPr>
      <w:rFonts w:ascii="Arial" w:eastAsia="Times New Roman" w:hAnsi="Arial" w:cs="Arial"/>
      <w:bCs/>
      <w:color w:val="000000"/>
      <w:lang w:eastAsia="en-GB"/>
    </w:rPr>
  </w:style>
  <w:style w:type="character" w:styleId="FollowedHyperlink">
    <w:name w:val="FollowedHyperlink"/>
    <w:basedOn w:val="DefaultParagraphFont"/>
    <w:rsid w:val="00FC4E28"/>
    <w:rPr>
      <w:color w:val="auto"/>
      <w:u w:val="single"/>
    </w:rPr>
  </w:style>
  <w:style w:type="paragraph" w:customStyle="1" w:styleId="IASpacer2">
    <w:name w:val="IASpacer2"/>
    <w:basedOn w:val="IASpacer"/>
    <w:rsid w:val="00FC4E28"/>
    <w:pPr>
      <w:spacing w:line="40" w:lineRule="exact"/>
    </w:pPr>
  </w:style>
  <w:style w:type="paragraph" w:customStyle="1" w:styleId="POPVBY">
    <w:name w:val="POPVBY"/>
    <w:basedOn w:val="IATableLabel"/>
    <w:rsid w:val="00FC4E28"/>
  </w:style>
  <w:style w:type="paragraph" w:customStyle="1" w:styleId="POTPY">
    <w:name w:val="POTPY"/>
    <w:basedOn w:val="IATableLabel"/>
    <w:rsid w:val="00FC4E28"/>
  </w:style>
  <w:style w:type="paragraph" w:customStyle="1" w:styleId="PONBLow">
    <w:name w:val="PONBLow"/>
    <w:basedOn w:val="IATableLabel"/>
    <w:link w:val="PONBLowCharChar"/>
    <w:rsid w:val="00FC4E28"/>
    <w:rPr>
      <w:b w:val="0"/>
    </w:rPr>
  </w:style>
  <w:style w:type="character" w:customStyle="1" w:styleId="PONBLowCharChar">
    <w:name w:val="PONBLow Char Char"/>
    <w:basedOn w:val="IATableLabelCharChar"/>
    <w:link w:val="PONBLow"/>
    <w:rsid w:val="00FC4E28"/>
    <w:rPr>
      <w:rFonts w:ascii="Arial" w:eastAsia="SimSun" w:hAnsi="Arial" w:cs="Times New Roman"/>
      <w:b w:val="0"/>
      <w:color w:val="000000"/>
      <w:spacing w:val="-5"/>
      <w:sz w:val="20"/>
      <w:szCs w:val="20"/>
      <w:lang w:eastAsia="zh-CN"/>
    </w:rPr>
  </w:style>
  <w:style w:type="paragraph" w:customStyle="1" w:styleId="PONBHigh">
    <w:name w:val="PONBHigh"/>
    <w:basedOn w:val="IATableLabel"/>
    <w:link w:val="PONBHighChar"/>
    <w:rsid w:val="00FC4E28"/>
    <w:rPr>
      <w:b w:val="0"/>
    </w:rPr>
  </w:style>
  <w:style w:type="character" w:customStyle="1" w:styleId="PONBHighChar">
    <w:name w:val="PONBHigh Char"/>
    <w:basedOn w:val="IATableLabelCharChar"/>
    <w:link w:val="PONBHigh"/>
    <w:rsid w:val="00FC4E28"/>
    <w:rPr>
      <w:rFonts w:ascii="Arial" w:eastAsia="SimSun" w:hAnsi="Arial" w:cs="Times New Roman"/>
      <w:b w:val="0"/>
      <w:color w:val="000000"/>
      <w:spacing w:val="-5"/>
      <w:sz w:val="20"/>
      <w:szCs w:val="20"/>
      <w:lang w:eastAsia="zh-CN"/>
    </w:rPr>
  </w:style>
  <w:style w:type="paragraph" w:customStyle="1" w:styleId="PONBBestEst">
    <w:name w:val="PONBBestEst"/>
    <w:basedOn w:val="IATableLabel"/>
    <w:link w:val="PONBBestEstChar"/>
    <w:rsid w:val="00FC4E28"/>
    <w:rPr>
      <w:b w:val="0"/>
    </w:rPr>
  </w:style>
  <w:style w:type="character" w:customStyle="1" w:styleId="PONBBestEstChar">
    <w:name w:val="PONBBestEst Char"/>
    <w:basedOn w:val="IATableLabelCharChar"/>
    <w:link w:val="PONBBestEst"/>
    <w:rsid w:val="00FC4E28"/>
    <w:rPr>
      <w:rFonts w:ascii="Arial" w:eastAsia="SimSun" w:hAnsi="Arial" w:cs="Times New Roman"/>
      <w:b w:val="0"/>
      <w:color w:val="000000"/>
      <w:spacing w:val="-5"/>
      <w:sz w:val="20"/>
      <w:szCs w:val="20"/>
      <w:lang w:eastAsia="zh-CN"/>
    </w:rPr>
  </w:style>
  <w:style w:type="paragraph" w:customStyle="1" w:styleId="POTTCostsHigh">
    <w:name w:val="POTTCostsHigh"/>
    <w:basedOn w:val="IATableText"/>
    <w:rsid w:val="00FC4E28"/>
    <w:pPr>
      <w:jc w:val="right"/>
    </w:pPr>
  </w:style>
  <w:style w:type="paragraph" w:customStyle="1" w:styleId="POTTCostsLow">
    <w:name w:val="POTTCostsLow"/>
    <w:basedOn w:val="POTTCostsHigh"/>
    <w:rsid w:val="00FC4E28"/>
  </w:style>
  <w:style w:type="paragraph" w:customStyle="1" w:styleId="POTTCostsBest">
    <w:name w:val="POTTCostsBest"/>
    <w:basedOn w:val="IATableText"/>
    <w:rsid w:val="00FC4E28"/>
    <w:pPr>
      <w:jc w:val="right"/>
    </w:pPr>
  </w:style>
  <w:style w:type="paragraph" w:customStyle="1" w:styleId="POTTCostsYear">
    <w:name w:val="POTTCostsYear"/>
    <w:basedOn w:val="IATableText"/>
    <w:rsid w:val="00FC4E28"/>
    <w:pPr>
      <w:jc w:val="center"/>
    </w:pPr>
    <w:rPr>
      <w:szCs w:val="18"/>
    </w:rPr>
  </w:style>
  <w:style w:type="paragraph" w:customStyle="1" w:styleId="POAACostsLow">
    <w:name w:val="POAACostsLow"/>
    <w:basedOn w:val="IATableText"/>
    <w:rsid w:val="00FC4E28"/>
    <w:pPr>
      <w:jc w:val="right"/>
    </w:pPr>
  </w:style>
  <w:style w:type="paragraph" w:customStyle="1" w:styleId="POAACostsHigh">
    <w:name w:val="POAACostsHigh"/>
    <w:basedOn w:val="POAACostsLow"/>
    <w:rsid w:val="00FC4E28"/>
  </w:style>
  <w:style w:type="paragraph" w:customStyle="1" w:styleId="POAACostsBest">
    <w:name w:val="POAACostsBest"/>
    <w:basedOn w:val="IATableText"/>
    <w:rsid w:val="00FC4E28"/>
    <w:pPr>
      <w:jc w:val="right"/>
    </w:pPr>
  </w:style>
  <w:style w:type="paragraph" w:customStyle="1" w:styleId="POTCCostsLow">
    <w:name w:val="POTCCostsLow"/>
    <w:basedOn w:val="IATableText"/>
    <w:rsid w:val="00FC4E28"/>
    <w:pPr>
      <w:jc w:val="right"/>
    </w:pPr>
    <w:rPr>
      <w:b/>
    </w:rPr>
  </w:style>
  <w:style w:type="paragraph" w:customStyle="1" w:styleId="POTCCostsHigh">
    <w:name w:val="POTCCostsHigh"/>
    <w:basedOn w:val="IATableText"/>
    <w:rsid w:val="00FC4E28"/>
    <w:pPr>
      <w:jc w:val="right"/>
    </w:pPr>
    <w:rPr>
      <w:b/>
    </w:rPr>
  </w:style>
  <w:style w:type="paragraph" w:customStyle="1" w:styleId="POTCCostsBest">
    <w:name w:val="POTCCostsBest"/>
    <w:basedOn w:val="IATableText"/>
    <w:rsid w:val="00FC4E28"/>
    <w:pPr>
      <w:jc w:val="right"/>
    </w:pPr>
    <w:rPr>
      <w:b/>
    </w:rPr>
  </w:style>
  <w:style w:type="paragraph" w:customStyle="1" w:styleId="IAPOQ1">
    <w:name w:val="IAPOQ1"/>
    <w:basedOn w:val="IATableLabel"/>
    <w:rsid w:val="00FC4E28"/>
  </w:style>
  <w:style w:type="paragraph" w:customStyle="1" w:styleId="IAPOA1">
    <w:name w:val="IAPOA1"/>
    <w:basedOn w:val="IATableLines"/>
    <w:rsid w:val="00FC4E28"/>
  </w:style>
  <w:style w:type="paragraph" w:customStyle="1" w:styleId="IAPOQ2">
    <w:name w:val="IAPOQ2"/>
    <w:basedOn w:val="IATableLabel"/>
    <w:link w:val="IAPOQ2Char"/>
    <w:rsid w:val="00FC4E28"/>
  </w:style>
  <w:style w:type="character" w:customStyle="1" w:styleId="IAPOQ2Char">
    <w:name w:val="IAPOQ2 Char"/>
    <w:basedOn w:val="IATableLabelCharChar"/>
    <w:link w:val="IAPOQ2"/>
    <w:rsid w:val="00FC4E28"/>
    <w:rPr>
      <w:rFonts w:ascii="Arial" w:eastAsia="SimSun" w:hAnsi="Arial" w:cs="Times New Roman"/>
      <w:b/>
      <w:color w:val="000000"/>
      <w:spacing w:val="-5"/>
      <w:sz w:val="20"/>
      <w:szCs w:val="20"/>
      <w:lang w:eastAsia="zh-CN"/>
    </w:rPr>
  </w:style>
  <w:style w:type="paragraph" w:customStyle="1" w:styleId="IAPOA2">
    <w:name w:val="IAPOA2"/>
    <w:basedOn w:val="IATableLines"/>
    <w:rsid w:val="00FC4E28"/>
  </w:style>
  <w:style w:type="paragraph" w:customStyle="1" w:styleId="POTTBenLow">
    <w:name w:val="POTTBenLow"/>
    <w:basedOn w:val="POTTCostsLow"/>
    <w:rsid w:val="00FC4E28"/>
  </w:style>
  <w:style w:type="paragraph" w:customStyle="1" w:styleId="POTTBenHigh">
    <w:name w:val="POTTBenHigh"/>
    <w:basedOn w:val="POTTCostsHigh"/>
    <w:rsid w:val="00FC4E28"/>
  </w:style>
  <w:style w:type="paragraph" w:customStyle="1" w:styleId="POTTBenBest">
    <w:name w:val="POTTBenBest"/>
    <w:basedOn w:val="POTTCostsBest"/>
    <w:rsid w:val="00FC4E28"/>
  </w:style>
  <w:style w:type="paragraph" w:customStyle="1" w:styleId="POAABenLow">
    <w:name w:val="POAABenLow"/>
    <w:basedOn w:val="POAACostsLow"/>
    <w:rsid w:val="00FC4E28"/>
  </w:style>
  <w:style w:type="paragraph" w:customStyle="1" w:styleId="POAABenHigh">
    <w:name w:val="POAABenHigh"/>
    <w:basedOn w:val="POAABenLow"/>
    <w:rsid w:val="00FC4E28"/>
  </w:style>
  <w:style w:type="paragraph" w:customStyle="1" w:styleId="POAABenBest">
    <w:name w:val="POAABenBest"/>
    <w:basedOn w:val="POAABenHigh"/>
    <w:rsid w:val="00FC4E28"/>
  </w:style>
  <w:style w:type="paragraph" w:customStyle="1" w:styleId="POTBBenLow">
    <w:name w:val="POTBBenLow"/>
    <w:basedOn w:val="POTCCostsLow"/>
    <w:rsid w:val="00FC4E28"/>
  </w:style>
  <w:style w:type="paragraph" w:customStyle="1" w:styleId="POTBBenHigh">
    <w:name w:val="POTBBenHigh"/>
    <w:basedOn w:val="POTBBenLow"/>
    <w:rsid w:val="00FC4E28"/>
  </w:style>
  <w:style w:type="paragraph" w:customStyle="1" w:styleId="POTBBenBest">
    <w:name w:val="POTBBenBest"/>
    <w:basedOn w:val="POTBBenHigh"/>
    <w:rsid w:val="00FC4E28"/>
  </w:style>
  <w:style w:type="paragraph" w:customStyle="1" w:styleId="IPPOQ3">
    <w:name w:val="IPPOQ3"/>
    <w:basedOn w:val="IAPOQ2"/>
    <w:link w:val="IPPOQ3Char"/>
    <w:rsid w:val="00FC4E28"/>
  </w:style>
  <w:style w:type="character" w:customStyle="1" w:styleId="IPPOQ3Char">
    <w:name w:val="IPPOQ3 Char"/>
    <w:basedOn w:val="IAPOQ2Char"/>
    <w:link w:val="IPPOQ3"/>
    <w:rsid w:val="00FC4E28"/>
    <w:rPr>
      <w:rFonts w:ascii="Arial" w:eastAsia="SimSun" w:hAnsi="Arial" w:cs="Times New Roman"/>
      <w:b/>
      <w:color w:val="000000"/>
      <w:spacing w:val="-5"/>
      <w:sz w:val="20"/>
      <w:szCs w:val="20"/>
      <w:lang w:eastAsia="zh-CN"/>
    </w:rPr>
  </w:style>
  <w:style w:type="paragraph" w:customStyle="1" w:styleId="IAPOQ4">
    <w:name w:val="IAPOQ4"/>
    <w:basedOn w:val="IPPOQ3"/>
    <w:link w:val="IAPOQ4Char"/>
    <w:rsid w:val="00FC4E28"/>
  </w:style>
  <w:style w:type="character" w:customStyle="1" w:styleId="IAPOQ4Char">
    <w:name w:val="IAPOQ4 Char"/>
    <w:basedOn w:val="IPPOQ3Char"/>
    <w:link w:val="IAPOQ4"/>
    <w:rsid w:val="00FC4E28"/>
    <w:rPr>
      <w:rFonts w:ascii="Arial" w:eastAsia="SimSun" w:hAnsi="Arial" w:cs="Times New Roman"/>
      <w:b/>
      <w:color w:val="000000"/>
      <w:spacing w:val="-5"/>
      <w:sz w:val="20"/>
      <w:szCs w:val="20"/>
      <w:lang w:eastAsia="zh-CN"/>
    </w:rPr>
  </w:style>
  <w:style w:type="paragraph" w:customStyle="1" w:styleId="IAPOA3">
    <w:name w:val="IAPOA3"/>
    <w:basedOn w:val="IAPOA2"/>
    <w:rsid w:val="00FC4E28"/>
  </w:style>
  <w:style w:type="paragraph" w:customStyle="1" w:styleId="IAPOA4">
    <w:name w:val="IAPOA4"/>
    <w:basedOn w:val="IAPOA3"/>
    <w:rsid w:val="00FC4E28"/>
  </w:style>
  <w:style w:type="paragraph" w:customStyle="1" w:styleId="IAPOA5">
    <w:name w:val="IAPOA5"/>
    <w:basedOn w:val="IAPOA4"/>
    <w:rsid w:val="00FC4E28"/>
  </w:style>
  <w:style w:type="paragraph" w:customStyle="1" w:styleId="IAPOQ5">
    <w:name w:val="IAPOQ5"/>
    <w:basedOn w:val="IAPOQ4"/>
    <w:link w:val="IAPOQ5Char"/>
    <w:rsid w:val="00FC4E28"/>
  </w:style>
  <w:style w:type="character" w:customStyle="1" w:styleId="IAPOQ5Char">
    <w:name w:val="IAPOQ5 Char"/>
    <w:basedOn w:val="IAPOQ4Char"/>
    <w:link w:val="IAPOQ5"/>
    <w:rsid w:val="00FC4E28"/>
    <w:rPr>
      <w:rFonts w:ascii="Arial" w:eastAsia="SimSun" w:hAnsi="Arial" w:cs="Times New Roman"/>
      <w:b/>
      <w:color w:val="000000"/>
      <w:spacing w:val="-5"/>
      <w:sz w:val="20"/>
      <w:szCs w:val="20"/>
      <w:lang w:eastAsia="zh-CN"/>
    </w:rPr>
  </w:style>
  <w:style w:type="paragraph" w:customStyle="1" w:styleId="IAPODisRate">
    <w:name w:val="IAPODisRate"/>
    <w:basedOn w:val="IATableLabel"/>
    <w:rsid w:val="00FC4E28"/>
    <w:pPr>
      <w:ind w:left="0"/>
      <w:jc w:val="center"/>
    </w:pPr>
    <w:rPr>
      <w:b w:val="0"/>
    </w:rPr>
  </w:style>
  <w:style w:type="paragraph" w:customStyle="1" w:styleId="IAPODICost">
    <w:name w:val="IAPODICost"/>
    <w:basedOn w:val="IATableLabel"/>
    <w:link w:val="IAPODICostChar"/>
    <w:rsid w:val="00FC4E28"/>
    <w:rPr>
      <w:b w:val="0"/>
    </w:rPr>
  </w:style>
  <w:style w:type="character" w:customStyle="1" w:styleId="IAPODICostChar">
    <w:name w:val="IAPODICost Char"/>
    <w:basedOn w:val="IATableLabelCharChar"/>
    <w:link w:val="IAPODICost"/>
    <w:rsid w:val="00FC4E28"/>
    <w:rPr>
      <w:rFonts w:ascii="Arial" w:eastAsia="SimSun" w:hAnsi="Arial" w:cs="Times New Roman"/>
      <w:b w:val="0"/>
      <w:color w:val="000000"/>
      <w:spacing w:val="-5"/>
      <w:sz w:val="20"/>
      <w:szCs w:val="20"/>
      <w:lang w:eastAsia="zh-CN"/>
    </w:rPr>
  </w:style>
  <w:style w:type="paragraph" w:customStyle="1" w:styleId="IAPODIBen">
    <w:name w:val="IAPODIBen"/>
    <w:basedOn w:val="IATableLabel"/>
    <w:link w:val="IAPODIBenChar"/>
    <w:rsid w:val="00FC4E28"/>
    <w:rPr>
      <w:b w:val="0"/>
    </w:rPr>
  </w:style>
  <w:style w:type="character" w:customStyle="1" w:styleId="IAPODIBenChar">
    <w:name w:val="IAPODIBen Char"/>
    <w:basedOn w:val="IATableLabelCharChar"/>
    <w:link w:val="IAPODIBen"/>
    <w:rsid w:val="00FC4E28"/>
    <w:rPr>
      <w:rFonts w:ascii="Arial" w:eastAsia="SimSun" w:hAnsi="Arial" w:cs="Times New Roman"/>
      <w:b w:val="0"/>
      <w:color w:val="000000"/>
      <w:spacing w:val="-5"/>
      <w:sz w:val="20"/>
      <w:szCs w:val="20"/>
      <w:lang w:eastAsia="zh-CN"/>
    </w:rPr>
  </w:style>
  <w:style w:type="paragraph" w:customStyle="1" w:styleId="IAPODINet">
    <w:name w:val="IAPODINet"/>
    <w:basedOn w:val="IATableLabel"/>
    <w:link w:val="IAPODINetChar"/>
    <w:rsid w:val="00FC4E28"/>
    <w:rPr>
      <w:b w:val="0"/>
    </w:rPr>
  </w:style>
  <w:style w:type="character" w:customStyle="1" w:styleId="IAPODINetChar">
    <w:name w:val="IAPODINet Char"/>
    <w:basedOn w:val="IATableLabelCharChar"/>
    <w:link w:val="IAPODINet"/>
    <w:rsid w:val="00FC4E28"/>
    <w:rPr>
      <w:rFonts w:ascii="Arial" w:eastAsia="SimSun" w:hAnsi="Arial" w:cs="Times New Roman"/>
      <w:b w:val="0"/>
      <w:color w:val="000000"/>
      <w:spacing w:val="-5"/>
      <w:sz w:val="20"/>
      <w:szCs w:val="20"/>
      <w:lang w:eastAsia="zh-CN"/>
    </w:rPr>
  </w:style>
  <w:style w:type="paragraph" w:customStyle="1" w:styleId="IAPODIOIOO">
    <w:name w:val="IAPODIOIOO"/>
    <w:basedOn w:val="IATableLabel"/>
    <w:rsid w:val="00FC4E28"/>
    <w:rPr>
      <w:b w:val="0"/>
      <w:sz w:val="22"/>
      <w:szCs w:val="22"/>
    </w:rPr>
  </w:style>
  <w:style w:type="paragraph" w:customStyle="1" w:styleId="IAPODIMQ">
    <w:name w:val="IAPODIMQ"/>
    <w:basedOn w:val="IATableText"/>
    <w:rsid w:val="00FC4E28"/>
  </w:style>
  <w:style w:type="paragraph" w:customStyle="1" w:styleId="ebbullet0">
    <w:name w:val="ebbullet"/>
    <w:basedOn w:val="Normal"/>
    <w:rsid w:val="00FC4E28"/>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IATitle">
    <w:name w:val="IATitle"/>
    <w:basedOn w:val="Normal"/>
    <w:rsid w:val="00FC4E28"/>
    <w:pPr>
      <w:spacing w:after="0" w:line="240" w:lineRule="auto"/>
      <w:ind w:left="113"/>
    </w:pPr>
    <w:rPr>
      <w:rFonts w:ascii="Arial" w:eastAsia="SimSun" w:hAnsi="Arial" w:cs="Arial"/>
      <w:sz w:val="20"/>
      <w:szCs w:val="24"/>
    </w:rPr>
  </w:style>
  <w:style w:type="paragraph" w:customStyle="1" w:styleId="IANo">
    <w:name w:val="IANo"/>
    <w:basedOn w:val="Normal"/>
    <w:link w:val="IANoChar"/>
    <w:rsid w:val="00FC4E28"/>
    <w:pPr>
      <w:spacing w:after="0" w:line="240" w:lineRule="auto"/>
      <w:ind w:left="113"/>
    </w:pPr>
    <w:rPr>
      <w:rFonts w:ascii="Arial" w:eastAsia="Times New Roman" w:hAnsi="Arial" w:cs="Times New Roman"/>
      <w:color w:val="000000"/>
      <w:spacing w:val="-6"/>
      <w:sz w:val="20"/>
      <w:szCs w:val="28"/>
      <w:lang w:eastAsia="zh-CN"/>
    </w:rPr>
  </w:style>
  <w:style w:type="character" w:customStyle="1" w:styleId="IANoChar">
    <w:name w:val="IANo Char"/>
    <w:basedOn w:val="IAHeadTitleChar"/>
    <w:link w:val="IANo"/>
    <w:rsid w:val="00FC4E28"/>
    <w:rPr>
      <w:rFonts w:ascii="Arial" w:eastAsia="Times New Roman" w:hAnsi="Arial" w:cs="Times New Roman"/>
      <w:b w:val="0"/>
      <w:color w:val="000000"/>
      <w:spacing w:val="-6"/>
      <w:sz w:val="20"/>
      <w:szCs w:val="28"/>
      <w:lang w:eastAsia="zh-CN"/>
    </w:rPr>
  </w:style>
  <w:style w:type="paragraph" w:customStyle="1" w:styleId="IALeadDept">
    <w:name w:val="IALeadDept"/>
    <w:basedOn w:val="Normal"/>
    <w:rsid w:val="00FC4E28"/>
    <w:pPr>
      <w:spacing w:after="0" w:line="240" w:lineRule="auto"/>
      <w:ind w:left="113"/>
    </w:pPr>
    <w:rPr>
      <w:rFonts w:ascii="Arial" w:eastAsia="Arial Unicode MS" w:hAnsi="Arial" w:cs="Arial"/>
      <w:noProof/>
      <w:sz w:val="20"/>
      <w:szCs w:val="24"/>
    </w:rPr>
  </w:style>
  <w:style w:type="paragraph" w:customStyle="1" w:styleId="IAOtherDepts">
    <w:name w:val="IAOtherDepts"/>
    <w:basedOn w:val="IATableLabel"/>
    <w:rsid w:val="00FC4E28"/>
    <w:pPr>
      <w:spacing w:after="0"/>
    </w:pPr>
    <w:rPr>
      <w:b w:val="0"/>
    </w:rPr>
  </w:style>
  <w:style w:type="paragraph" w:customStyle="1" w:styleId="IADate">
    <w:name w:val="IADate"/>
    <w:basedOn w:val="IATableLabel"/>
    <w:link w:val="IADateChar"/>
    <w:rsid w:val="00FC4E28"/>
    <w:rPr>
      <w:b w:val="0"/>
    </w:rPr>
  </w:style>
  <w:style w:type="character" w:customStyle="1" w:styleId="IADateChar">
    <w:name w:val="IADate Char"/>
    <w:basedOn w:val="IATableLabelCharChar"/>
    <w:link w:val="IADate"/>
    <w:rsid w:val="00FC4E28"/>
    <w:rPr>
      <w:rFonts w:ascii="Arial" w:eastAsia="SimSun" w:hAnsi="Arial" w:cs="Times New Roman"/>
      <w:b w:val="0"/>
      <w:color w:val="000000"/>
      <w:spacing w:val="-5"/>
      <w:sz w:val="20"/>
      <w:szCs w:val="20"/>
      <w:lang w:eastAsia="zh-CN"/>
    </w:rPr>
  </w:style>
  <w:style w:type="paragraph" w:customStyle="1" w:styleId="IAStage">
    <w:name w:val="IAStage"/>
    <w:basedOn w:val="IATableLabel"/>
    <w:link w:val="IAStageChar"/>
    <w:rsid w:val="00FC4E28"/>
    <w:rPr>
      <w:b w:val="0"/>
    </w:rPr>
  </w:style>
  <w:style w:type="character" w:customStyle="1" w:styleId="IAStageChar">
    <w:name w:val="IAStage Char"/>
    <w:basedOn w:val="IATableLabelCharChar"/>
    <w:link w:val="IAStage"/>
    <w:rsid w:val="00FC4E28"/>
    <w:rPr>
      <w:rFonts w:ascii="Arial" w:eastAsia="SimSun" w:hAnsi="Arial" w:cs="Times New Roman"/>
      <w:b w:val="0"/>
      <w:color w:val="000000"/>
      <w:spacing w:val="-5"/>
      <w:sz w:val="20"/>
      <w:szCs w:val="20"/>
      <w:lang w:eastAsia="zh-CN"/>
    </w:rPr>
  </w:style>
  <w:style w:type="paragraph" w:customStyle="1" w:styleId="IASOI">
    <w:name w:val="IASOI"/>
    <w:basedOn w:val="IATableLabel"/>
    <w:link w:val="IASOIChar"/>
    <w:rsid w:val="00FC4E28"/>
    <w:rPr>
      <w:b w:val="0"/>
    </w:rPr>
  </w:style>
  <w:style w:type="character" w:customStyle="1" w:styleId="IASOIChar">
    <w:name w:val="IASOI Char"/>
    <w:basedOn w:val="IATableLabelCharChar"/>
    <w:link w:val="IASOI"/>
    <w:rsid w:val="00FC4E28"/>
    <w:rPr>
      <w:rFonts w:ascii="Arial" w:eastAsia="SimSun" w:hAnsi="Arial" w:cs="Times New Roman"/>
      <w:b w:val="0"/>
      <w:color w:val="000000"/>
      <w:spacing w:val="-5"/>
      <w:sz w:val="20"/>
      <w:szCs w:val="20"/>
      <w:lang w:eastAsia="zh-CN"/>
    </w:rPr>
  </w:style>
  <w:style w:type="paragraph" w:customStyle="1" w:styleId="IATOM">
    <w:name w:val="IATOM"/>
    <w:basedOn w:val="IATableLabel"/>
    <w:link w:val="IATOMChar"/>
    <w:rsid w:val="00FC4E28"/>
    <w:rPr>
      <w:b w:val="0"/>
    </w:rPr>
  </w:style>
  <w:style w:type="character" w:customStyle="1" w:styleId="IATOMChar">
    <w:name w:val="IATOM Char"/>
    <w:basedOn w:val="IATableLabelCharChar"/>
    <w:link w:val="IATOM"/>
    <w:rsid w:val="00FC4E28"/>
    <w:rPr>
      <w:rFonts w:ascii="Arial" w:eastAsia="SimSun" w:hAnsi="Arial" w:cs="Times New Roman"/>
      <w:b w:val="0"/>
      <w:color w:val="000000"/>
      <w:spacing w:val="-5"/>
      <w:sz w:val="20"/>
      <w:szCs w:val="20"/>
      <w:lang w:eastAsia="zh-CN"/>
    </w:rPr>
  </w:style>
  <w:style w:type="paragraph" w:customStyle="1" w:styleId="IACOE">
    <w:name w:val="IACOE"/>
    <w:basedOn w:val="Normal"/>
    <w:link w:val="IACOEChar"/>
    <w:autoRedefine/>
    <w:rsid w:val="00FC4E28"/>
    <w:pPr>
      <w:spacing w:after="0" w:line="240" w:lineRule="auto"/>
    </w:pPr>
    <w:rPr>
      <w:rFonts w:ascii="Arial" w:eastAsia="SimSun" w:hAnsi="Arial" w:cs="Times New Roman"/>
      <w:color w:val="000000"/>
      <w:spacing w:val="-5"/>
      <w:sz w:val="20"/>
      <w:szCs w:val="24"/>
      <w:lang w:eastAsia="zh-CN"/>
    </w:rPr>
  </w:style>
  <w:style w:type="character" w:customStyle="1" w:styleId="IACOEChar">
    <w:name w:val="IACOE Char"/>
    <w:basedOn w:val="IATableLinesChar"/>
    <w:link w:val="IACOE"/>
    <w:rsid w:val="00FC4E28"/>
    <w:rPr>
      <w:rFonts w:ascii="Arial" w:eastAsia="SimSun" w:hAnsi="Arial" w:cs="Times New Roman"/>
      <w:b w:val="0"/>
      <w:color w:val="000000"/>
      <w:spacing w:val="-5"/>
      <w:sz w:val="20"/>
      <w:szCs w:val="24"/>
      <w:lang w:eastAsia="zh-CN"/>
    </w:rPr>
  </w:style>
  <w:style w:type="paragraph" w:customStyle="1" w:styleId="IARPC">
    <w:name w:val="IARPC"/>
    <w:basedOn w:val="Title"/>
    <w:link w:val="IARPCChar"/>
    <w:rsid w:val="00FC4E28"/>
    <w:rPr>
      <w:rFonts w:eastAsia="SimSun"/>
      <w:color w:val="000000"/>
      <w:sz w:val="24"/>
      <w:szCs w:val="24"/>
    </w:rPr>
  </w:style>
  <w:style w:type="character" w:customStyle="1" w:styleId="IARPCChar">
    <w:name w:val="IARPC Char"/>
    <w:basedOn w:val="TitleChar"/>
    <w:link w:val="IARPC"/>
    <w:rsid w:val="00FC4E28"/>
    <w:rPr>
      <w:rFonts w:ascii="Arial" w:eastAsia="SimSun" w:hAnsi="Arial" w:cs="Arial"/>
      <w:bCs/>
      <w:color w:val="000000"/>
      <w:kern w:val="28"/>
      <w:sz w:val="24"/>
      <w:szCs w:val="24"/>
    </w:rPr>
  </w:style>
  <w:style w:type="paragraph" w:customStyle="1" w:styleId="IAIIOTNPV">
    <w:name w:val="IAIIOTNPV"/>
    <w:basedOn w:val="IATableLabel"/>
    <w:rsid w:val="00FC4E28"/>
    <w:pPr>
      <w:spacing w:before="0" w:after="0"/>
      <w:jc w:val="both"/>
    </w:pPr>
    <w:rPr>
      <w:b w:val="0"/>
      <w:sz w:val="22"/>
      <w:szCs w:val="22"/>
    </w:rPr>
  </w:style>
  <w:style w:type="paragraph" w:customStyle="1" w:styleId="IAIOBNPV">
    <w:name w:val="IAIOBNPV"/>
    <w:basedOn w:val="IATableLabel"/>
    <w:rsid w:val="00FC4E28"/>
    <w:pPr>
      <w:spacing w:before="0" w:after="0"/>
    </w:pPr>
    <w:rPr>
      <w:b w:val="0"/>
      <w:sz w:val="22"/>
      <w:szCs w:val="22"/>
    </w:rPr>
  </w:style>
  <w:style w:type="paragraph" w:customStyle="1" w:styleId="IAIONCTBPY">
    <w:name w:val="IAIONCTBPY"/>
    <w:basedOn w:val="IATableLabel"/>
    <w:rsid w:val="00FC4E28"/>
    <w:pPr>
      <w:spacing w:before="0" w:after="0"/>
    </w:pPr>
    <w:rPr>
      <w:b w:val="0"/>
      <w:sz w:val="22"/>
      <w:szCs w:val="22"/>
    </w:rPr>
  </w:style>
  <w:style w:type="paragraph" w:customStyle="1" w:styleId="IAIOInScopeInOut">
    <w:name w:val="IAIOInScopeInOut"/>
    <w:basedOn w:val="IATableLabel"/>
    <w:rsid w:val="00FC4E28"/>
    <w:pPr>
      <w:spacing w:before="0" w:after="0"/>
    </w:pPr>
    <w:rPr>
      <w:b w:val="0"/>
      <w:sz w:val="22"/>
      <w:szCs w:val="22"/>
    </w:rPr>
  </w:style>
  <w:style w:type="paragraph" w:customStyle="1" w:styleId="IAIOPrefMQ">
    <w:name w:val="IAIOPrefMQ"/>
    <w:basedOn w:val="IATableText"/>
    <w:rsid w:val="00FC4E28"/>
    <w:pPr>
      <w:spacing w:before="0" w:after="0"/>
    </w:pPr>
    <w:rPr>
      <w:szCs w:val="22"/>
    </w:rPr>
  </w:style>
  <w:style w:type="paragraph" w:customStyle="1" w:styleId="IAIOQ1">
    <w:name w:val="IAIOQ1"/>
    <w:basedOn w:val="IATableLabel"/>
    <w:rsid w:val="00FC4E28"/>
  </w:style>
  <w:style w:type="paragraph" w:customStyle="1" w:styleId="IAIOA1">
    <w:name w:val="IAIOA1"/>
    <w:basedOn w:val="IATableLines"/>
    <w:rsid w:val="00FC4E28"/>
  </w:style>
  <w:style w:type="paragraph" w:customStyle="1" w:styleId="IAIOQ2">
    <w:name w:val="IAIOQ2"/>
    <w:basedOn w:val="IATableLabel"/>
    <w:rsid w:val="00FC4E28"/>
  </w:style>
  <w:style w:type="paragraph" w:customStyle="1" w:styleId="IAIOA2">
    <w:name w:val="IAIOA2"/>
    <w:basedOn w:val="IATableLines"/>
    <w:rsid w:val="00FC4E28"/>
  </w:style>
  <w:style w:type="paragraph" w:customStyle="1" w:styleId="IAIOQ3">
    <w:name w:val="IAIOQ3"/>
    <w:basedOn w:val="IATableLabel"/>
    <w:rsid w:val="00FC4E28"/>
  </w:style>
  <w:style w:type="paragraph" w:customStyle="1" w:styleId="IAIOA3">
    <w:name w:val="IAIOA3"/>
    <w:basedOn w:val="IATableLines"/>
    <w:rsid w:val="00FC4E28"/>
  </w:style>
  <w:style w:type="paragraph" w:customStyle="1" w:styleId="IAIOPolicyReview">
    <w:name w:val="IAIOPolicyReview"/>
    <w:basedOn w:val="IATableLabel"/>
    <w:link w:val="IAIOPolicyReviewChar"/>
    <w:rsid w:val="00FC4E28"/>
    <w:rPr>
      <w:b w:val="0"/>
    </w:rPr>
  </w:style>
  <w:style w:type="character" w:customStyle="1" w:styleId="IAIOPolicyReviewChar">
    <w:name w:val="IAIOPolicyReview Char"/>
    <w:basedOn w:val="IATableLabelCharChar"/>
    <w:link w:val="IAIOPolicyReview"/>
    <w:rsid w:val="00FC4E28"/>
    <w:rPr>
      <w:rFonts w:ascii="Arial" w:eastAsia="SimSun" w:hAnsi="Arial" w:cs="Times New Roman"/>
      <w:b w:val="0"/>
      <w:color w:val="000000"/>
      <w:spacing w:val="-5"/>
      <w:sz w:val="20"/>
      <w:szCs w:val="20"/>
      <w:lang w:eastAsia="zh-CN"/>
    </w:rPr>
  </w:style>
  <w:style w:type="paragraph" w:customStyle="1" w:styleId="IAIOReviewMonth">
    <w:name w:val="IAIOReviewMonth"/>
    <w:basedOn w:val="IATableLabel"/>
    <w:link w:val="IAIOReviewMonthChar"/>
    <w:rsid w:val="00FC4E28"/>
    <w:rPr>
      <w:b w:val="0"/>
    </w:rPr>
  </w:style>
  <w:style w:type="character" w:customStyle="1" w:styleId="IAIOReviewMonthChar">
    <w:name w:val="IAIOReviewMonth Char"/>
    <w:basedOn w:val="IATableLabelCharChar"/>
    <w:link w:val="IAIOReviewMonth"/>
    <w:rsid w:val="00FC4E28"/>
    <w:rPr>
      <w:rFonts w:ascii="Arial" w:eastAsia="SimSun" w:hAnsi="Arial" w:cs="Times New Roman"/>
      <w:b w:val="0"/>
      <w:color w:val="000000"/>
      <w:spacing w:val="-5"/>
      <w:sz w:val="20"/>
      <w:szCs w:val="20"/>
      <w:lang w:eastAsia="zh-CN"/>
    </w:rPr>
  </w:style>
  <w:style w:type="paragraph" w:customStyle="1" w:styleId="IAIOReviewYear">
    <w:name w:val="IAIOReviewYear"/>
    <w:basedOn w:val="IATableLabel"/>
    <w:link w:val="IAIOReviewYearChar"/>
    <w:rsid w:val="00FC4E28"/>
    <w:rPr>
      <w:b w:val="0"/>
    </w:rPr>
  </w:style>
  <w:style w:type="character" w:customStyle="1" w:styleId="IAIOReviewYearChar">
    <w:name w:val="IAIOReviewYear Char"/>
    <w:basedOn w:val="IATableLabelCharChar"/>
    <w:link w:val="IAIOReviewYear"/>
    <w:rsid w:val="00FC4E28"/>
    <w:rPr>
      <w:rFonts w:ascii="Arial" w:eastAsia="SimSun" w:hAnsi="Arial" w:cs="Times New Roman"/>
      <w:b w:val="0"/>
      <w:color w:val="000000"/>
      <w:spacing w:val="-5"/>
      <w:sz w:val="20"/>
      <w:szCs w:val="20"/>
      <w:lang w:eastAsia="zh-CN"/>
    </w:rPr>
  </w:style>
  <w:style w:type="paragraph" w:customStyle="1" w:styleId="IAIOCheckEU">
    <w:name w:val="IAIOCheckEU"/>
    <w:basedOn w:val="IATableText"/>
    <w:rsid w:val="00FC4E28"/>
    <w:pPr>
      <w:spacing w:before="0" w:after="0"/>
    </w:pPr>
  </w:style>
  <w:style w:type="paragraph" w:customStyle="1" w:styleId="IAIOCheckMicro">
    <w:name w:val="IAIOCheckMicro"/>
    <w:basedOn w:val="IATableLines"/>
    <w:link w:val="IAIOCheckMicroChar"/>
    <w:rsid w:val="00FC4E28"/>
  </w:style>
  <w:style w:type="character" w:customStyle="1" w:styleId="IAIOCheckMicroChar">
    <w:name w:val="IAIOCheckMicro Char"/>
    <w:basedOn w:val="IATableLinesChar"/>
    <w:link w:val="IAIOCheckMicro"/>
    <w:rsid w:val="00FC4E28"/>
    <w:rPr>
      <w:rFonts w:ascii="Arial" w:eastAsia="SimSun" w:hAnsi="Arial" w:cs="Times New Roman"/>
      <w:b w:val="0"/>
      <w:color w:val="000000"/>
      <w:spacing w:val="-5"/>
      <w:sz w:val="20"/>
      <w:szCs w:val="20"/>
      <w:lang w:eastAsia="zh-CN"/>
    </w:rPr>
  </w:style>
  <w:style w:type="paragraph" w:customStyle="1" w:styleId="IAIOCheck20">
    <w:name w:val="IAIOCheck20"/>
    <w:basedOn w:val="IATableLines"/>
    <w:rsid w:val="00FC4E28"/>
  </w:style>
  <w:style w:type="paragraph" w:customStyle="1" w:styleId="IAIOCheckSmall">
    <w:name w:val="IAIOCheckSmall"/>
    <w:basedOn w:val="IATableLines"/>
    <w:link w:val="IAIOCheckSmallChar"/>
    <w:rsid w:val="00FC4E28"/>
  </w:style>
  <w:style w:type="character" w:customStyle="1" w:styleId="IAIOCheckSmallChar">
    <w:name w:val="IAIOCheckSmall Char"/>
    <w:basedOn w:val="IATableLinesChar"/>
    <w:link w:val="IAIOCheckSmall"/>
    <w:rsid w:val="00FC4E28"/>
    <w:rPr>
      <w:rFonts w:ascii="Arial" w:eastAsia="SimSun" w:hAnsi="Arial" w:cs="Times New Roman"/>
      <w:b w:val="0"/>
      <w:color w:val="000000"/>
      <w:spacing w:val="-5"/>
      <w:sz w:val="20"/>
      <w:szCs w:val="20"/>
      <w:lang w:eastAsia="zh-CN"/>
    </w:rPr>
  </w:style>
  <w:style w:type="paragraph" w:customStyle="1" w:styleId="IAIOCheckMedium">
    <w:name w:val="IAIOCheckMedium"/>
    <w:basedOn w:val="IATableLines"/>
    <w:link w:val="IAIOCheckMediumChar"/>
    <w:rsid w:val="00FC4E28"/>
  </w:style>
  <w:style w:type="character" w:customStyle="1" w:styleId="IAIOCheckMediumChar">
    <w:name w:val="IAIOCheckMedium Char"/>
    <w:basedOn w:val="IATableLinesChar"/>
    <w:link w:val="IAIOCheckMedium"/>
    <w:rsid w:val="00FC4E28"/>
    <w:rPr>
      <w:rFonts w:ascii="Arial" w:eastAsia="SimSun" w:hAnsi="Arial" w:cs="Times New Roman"/>
      <w:b w:val="0"/>
      <w:color w:val="000000"/>
      <w:spacing w:val="-5"/>
      <w:sz w:val="20"/>
      <w:szCs w:val="20"/>
      <w:lang w:eastAsia="zh-CN"/>
    </w:rPr>
  </w:style>
  <w:style w:type="paragraph" w:customStyle="1" w:styleId="IAIOCheckLarge">
    <w:name w:val="IAIOCheckLarge"/>
    <w:basedOn w:val="IATableLines"/>
    <w:link w:val="IAIOCheckLargeChar"/>
    <w:rsid w:val="00FC4E28"/>
  </w:style>
  <w:style w:type="character" w:customStyle="1" w:styleId="IAIOCheckLargeChar">
    <w:name w:val="IAIOCheckLarge Char"/>
    <w:basedOn w:val="IATableLinesChar"/>
    <w:link w:val="IAIOCheckLarge"/>
    <w:rsid w:val="00FC4E28"/>
    <w:rPr>
      <w:rFonts w:ascii="Arial" w:eastAsia="SimSun" w:hAnsi="Arial" w:cs="Times New Roman"/>
      <w:b w:val="0"/>
      <w:color w:val="000000"/>
      <w:spacing w:val="-5"/>
      <w:sz w:val="20"/>
      <w:szCs w:val="20"/>
      <w:lang w:eastAsia="zh-CN"/>
    </w:rPr>
  </w:style>
  <w:style w:type="paragraph" w:customStyle="1" w:styleId="IAIOCO2Traded">
    <w:name w:val="IAIOCO2Traded"/>
    <w:basedOn w:val="IATableLabel"/>
    <w:link w:val="IAIOCO2TradedChar"/>
    <w:rsid w:val="00FC4E28"/>
    <w:rPr>
      <w:b w:val="0"/>
    </w:rPr>
  </w:style>
  <w:style w:type="character" w:customStyle="1" w:styleId="IAIOCO2TradedChar">
    <w:name w:val="IAIOCO2Traded Char"/>
    <w:basedOn w:val="IATableLabelCharChar"/>
    <w:link w:val="IAIOCO2Traded"/>
    <w:rsid w:val="00FC4E28"/>
    <w:rPr>
      <w:rFonts w:ascii="Arial" w:eastAsia="SimSun" w:hAnsi="Arial" w:cs="Times New Roman"/>
      <w:b w:val="0"/>
      <w:color w:val="000000"/>
      <w:spacing w:val="-5"/>
      <w:sz w:val="20"/>
      <w:szCs w:val="20"/>
      <w:lang w:eastAsia="zh-CN"/>
    </w:rPr>
  </w:style>
  <w:style w:type="paragraph" w:customStyle="1" w:styleId="IAIOCO2NonTraded">
    <w:name w:val="IAIOCO2NonTraded"/>
    <w:basedOn w:val="IAIOCO2Traded"/>
    <w:rsid w:val="00FC4E28"/>
  </w:style>
  <w:style w:type="paragraph" w:customStyle="1" w:styleId="IAIOtextSign">
    <w:name w:val="IAIOtextSign"/>
    <w:basedOn w:val="Normal"/>
    <w:rsid w:val="00FC4E28"/>
    <w:pPr>
      <w:spacing w:after="0" w:line="240" w:lineRule="auto"/>
      <w:jc w:val="center"/>
    </w:pPr>
    <w:rPr>
      <w:rFonts w:ascii="Arial" w:eastAsia="Times New Roman" w:hAnsi="Arial" w:cs="Times New Roman"/>
      <w:sz w:val="24"/>
      <w:szCs w:val="24"/>
    </w:rPr>
  </w:style>
  <w:style w:type="paragraph" w:customStyle="1" w:styleId="IAIOSigDate">
    <w:name w:val="IAIOSigDate"/>
    <w:basedOn w:val="Normal"/>
    <w:rsid w:val="00FC4E28"/>
    <w:pPr>
      <w:spacing w:after="0" w:line="240" w:lineRule="auto"/>
      <w:jc w:val="center"/>
    </w:pPr>
    <w:rPr>
      <w:rFonts w:ascii="Arial" w:eastAsia="Times New Roman" w:hAnsi="Arial" w:cs="Times New Roman"/>
    </w:rPr>
  </w:style>
  <w:style w:type="paragraph" w:customStyle="1" w:styleId="IAPODescription">
    <w:name w:val="IAPODescription"/>
    <w:basedOn w:val="IAHeadLabel"/>
    <w:link w:val="IAPODescriptionCharChar"/>
    <w:rsid w:val="00FC4E28"/>
    <w:pPr>
      <w:spacing w:before="50"/>
    </w:pPr>
    <w:rPr>
      <w:b w:val="0"/>
    </w:rPr>
  </w:style>
  <w:style w:type="character" w:customStyle="1" w:styleId="IAPODescriptionCharChar">
    <w:name w:val="IAPODescription Char Char"/>
    <w:basedOn w:val="IAHeadLabelChar"/>
    <w:link w:val="IAPODescription"/>
    <w:rsid w:val="00FC4E28"/>
    <w:rPr>
      <w:rFonts w:ascii="Arial" w:eastAsia="SimSun" w:hAnsi="Arial" w:cs="Times New Roman"/>
      <w:b w:val="0"/>
      <w:color w:val="000000"/>
      <w:spacing w:val="-5"/>
      <w:sz w:val="20"/>
      <w:szCs w:val="20"/>
      <w:lang w:eastAsia="zh-CN"/>
    </w:rPr>
  </w:style>
  <w:style w:type="character" w:styleId="CommentReference">
    <w:name w:val="annotation reference"/>
    <w:basedOn w:val="DefaultParagraphFont"/>
    <w:rsid w:val="00FC4E28"/>
    <w:rPr>
      <w:sz w:val="16"/>
      <w:szCs w:val="16"/>
    </w:rPr>
  </w:style>
  <w:style w:type="character" w:customStyle="1" w:styleId="IALabel">
    <w:name w:val="IALabel"/>
    <w:basedOn w:val="DefaultParagraphFont"/>
    <w:rsid w:val="00FC4E28"/>
    <w:rPr>
      <w:color w:val="000000"/>
      <w:sz w:val="20"/>
    </w:rPr>
  </w:style>
  <w:style w:type="paragraph" w:styleId="CommentText">
    <w:name w:val="annotation text"/>
    <w:basedOn w:val="Normal"/>
    <w:link w:val="CommentTextChar"/>
    <w:rsid w:val="00FC4E2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C4E2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C4E28"/>
    <w:rPr>
      <w:b/>
      <w:bCs/>
    </w:rPr>
  </w:style>
  <w:style w:type="character" w:customStyle="1" w:styleId="CommentSubjectChar">
    <w:name w:val="Comment Subject Char"/>
    <w:basedOn w:val="CommentTextChar"/>
    <w:link w:val="CommentSubject"/>
    <w:rsid w:val="00FC4E28"/>
    <w:rPr>
      <w:rFonts w:ascii="Arial" w:eastAsia="Times New Roman" w:hAnsi="Arial" w:cs="Times New Roman"/>
      <w:b/>
      <w:bCs/>
      <w:sz w:val="20"/>
      <w:szCs w:val="20"/>
    </w:rPr>
  </w:style>
  <w:style w:type="paragraph" w:styleId="ListNumber">
    <w:name w:val="List Number"/>
    <w:basedOn w:val="Normal"/>
    <w:rsid w:val="00FC4E28"/>
    <w:pPr>
      <w:tabs>
        <w:tab w:val="num" w:pos="360"/>
      </w:tabs>
      <w:spacing w:after="0" w:line="240" w:lineRule="auto"/>
      <w:ind w:left="360" w:hanging="360"/>
    </w:pPr>
    <w:rPr>
      <w:rFonts w:ascii="Arial" w:eastAsia="Times New Roman" w:hAnsi="Arial" w:cs="Times New Roman"/>
      <w:sz w:val="24"/>
      <w:szCs w:val="24"/>
    </w:rPr>
  </w:style>
  <w:style w:type="paragraph" w:customStyle="1" w:styleId="CM25">
    <w:name w:val="CM25"/>
    <w:basedOn w:val="Normal"/>
    <w:next w:val="Normal"/>
    <w:rsid w:val="00FC4E28"/>
    <w:pPr>
      <w:autoSpaceDE w:val="0"/>
      <w:autoSpaceDN w:val="0"/>
      <w:adjustRightInd w:val="0"/>
      <w:spacing w:after="0" w:line="240" w:lineRule="auto"/>
    </w:pPr>
    <w:rPr>
      <w:rFonts w:ascii="Arial" w:eastAsia="MS Mincho" w:hAnsi="Arial" w:cs="Times New Roman"/>
      <w:sz w:val="24"/>
      <w:szCs w:val="24"/>
      <w:lang w:eastAsia="ja-JP"/>
    </w:rPr>
  </w:style>
  <w:style w:type="paragraph" w:styleId="List2">
    <w:name w:val="List 2"/>
    <w:basedOn w:val="Normal"/>
    <w:rsid w:val="00FC4E28"/>
    <w:pPr>
      <w:spacing w:after="0" w:line="240" w:lineRule="auto"/>
      <w:ind w:left="566" w:hanging="283"/>
    </w:pPr>
    <w:rPr>
      <w:rFonts w:ascii="Arial" w:eastAsia="Times New Roman" w:hAnsi="Arial" w:cs="Times New Roman"/>
      <w:sz w:val="24"/>
      <w:szCs w:val="24"/>
    </w:rPr>
  </w:style>
  <w:style w:type="paragraph" w:styleId="List">
    <w:name w:val="List"/>
    <w:basedOn w:val="Normal"/>
    <w:rsid w:val="00FC4E28"/>
    <w:pPr>
      <w:spacing w:after="0" w:line="240" w:lineRule="auto"/>
      <w:ind w:left="283" w:hanging="283"/>
    </w:pPr>
    <w:rPr>
      <w:rFonts w:ascii="Arial" w:eastAsia="Times New Roman" w:hAnsi="Arial" w:cs="Times New Roman"/>
      <w:sz w:val="24"/>
      <w:szCs w:val="24"/>
    </w:rPr>
  </w:style>
  <w:style w:type="paragraph" w:styleId="EndnoteText">
    <w:name w:val="endnote text"/>
    <w:basedOn w:val="Normal"/>
    <w:link w:val="EndnoteTextChar"/>
    <w:rsid w:val="00FC4E28"/>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FC4E28"/>
    <w:rPr>
      <w:rFonts w:ascii="Arial" w:eastAsia="Times New Roman" w:hAnsi="Arial" w:cs="Times New Roman"/>
      <w:sz w:val="20"/>
      <w:szCs w:val="20"/>
    </w:rPr>
  </w:style>
  <w:style w:type="paragraph" w:styleId="DocumentMap">
    <w:name w:val="Document Map"/>
    <w:basedOn w:val="Normal"/>
    <w:link w:val="DocumentMapChar"/>
    <w:rsid w:val="00FC4E2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FC4E28"/>
    <w:rPr>
      <w:rFonts w:ascii="Tahoma" w:eastAsia="Times New Roman" w:hAnsi="Tahoma" w:cs="Tahoma"/>
      <w:sz w:val="20"/>
      <w:szCs w:val="20"/>
      <w:shd w:val="clear" w:color="auto" w:fill="000080"/>
    </w:rPr>
  </w:style>
  <w:style w:type="paragraph" w:customStyle="1" w:styleId="CM29">
    <w:name w:val="CM29"/>
    <w:basedOn w:val="Normal"/>
    <w:next w:val="Normal"/>
    <w:rsid w:val="00FC4E28"/>
    <w:pPr>
      <w:autoSpaceDE w:val="0"/>
      <w:autoSpaceDN w:val="0"/>
      <w:adjustRightInd w:val="0"/>
      <w:spacing w:after="0" w:line="240" w:lineRule="auto"/>
    </w:pPr>
    <w:rPr>
      <w:rFonts w:ascii="Arial" w:eastAsia="MS Mincho" w:hAnsi="Arial" w:cs="Times New Roman"/>
      <w:sz w:val="24"/>
      <w:szCs w:val="24"/>
      <w:lang w:eastAsia="ja-JP"/>
    </w:rPr>
  </w:style>
  <w:style w:type="paragraph" w:customStyle="1" w:styleId="Default">
    <w:name w:val="Default"/>
    <w:rsid w:val="00FC4E28"/>
    <w:pPr>
      <w:autoSpaceDE w:val="0"/>
      <w:autoSpaceDN w:val="0"/>
      <w:adjustRightInd w:val="0"/>
      <w:spacing w:after="0" w:line="240" w:lineRule="auto"/>
    </w:pPr>
    <w:rPr>
      <w:rFonts w:ascii="Arial MT" w:eastAsia="MS Mincho" w:hAnsi="Arial MT" w:cs="Arial MT"/>
      <w:color w:val="000000"/>
      <w:sz w:val="24"/>
      <w:szCs w:val="24"/>
      <w:lang w:eastAsia="ja-JP"/>
    </w:rPr>
  </w:style>
  <w:style w:type="paragraph" w:customStyle="1" w:styleId="Title1">
    <w:name w:val="Title1"/>
    <w:basedOn w:val="Normal"/>
    <w:rsid w:val="00FC4E28"/>
    <w:pPr>
      <w:spacing w:before="240" w:after="240" w:line="240" w:lineRule="auto"/>
      <w:jc w:val="center"/>
    </w:pPr>
    <w:rPr>
      <w:rFonts w:ascii="Times New Roman" w:eastAsia="MS Mincho" w:hAnsi="Times New Roman" w:cs="Times New Roman"/>
      <w:sz w:val="26"/>
      <w:szCs w:val="26"/>
      <w:lang w:eastAsia="ja-JP"/>
    </w:rPr>
  </w:style>
  <w:style w:type="paragraph" w:styleId="Revision">
    <w:name w:val="Revision"/>
    <w:hidden/>
    <w:uiPriority w:val="99"/>
    <w:semiHidden/>
    <w:rsid w:val="00523421"/>
    <w:pPr>
      <w:spacing w:after="0" w:line="240" w:lineRule="auto"/>
    </w:pPr>
  </w:style>
  <w:style w:type="paragraph" w:customStyle="1" w:styleId="N1">
    <w:name w:val="N1"/>
    <w:basedOn w:val="Normal"/>
    <w:rsid w:val="00291CFD"/>
    <w:pPr>
      <w:numPr>
        <w:numId w:val="17"/>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291CFD"/>
    <w:pPr>
      <w:numPr>
        <w:ilvl w:val="1"/>
      </w:numPr>
      <w:spacing w:before="80"/>
    </w:pPr>
  </w:style>
  <w:style w:type="paragraph" w:customStyle="1" w:styleId="N3">
    <w:name w:val="N3"/>
    <w:basedOn w:val="N2"/>
    <w:rsid w:val="00291CFD"/>
    <w:pPr>
      <w:numPr>
        <w:ilvl w:val="2"/>
      </w:numPr>
    </w:pPr>
  </w:style>
  <w:style w:type="paragraph" w:customStyle="1" w:styleId="N4">
    <w:name w:val="N4"/>
    <w:basedOn w:val="N3"/>
    <w:rsid w:val="00291CFD"/>
    <w:pPr>
      <w:numPr>
        <w:ilvl w:val="3"/>
      </w:numPr>
    </w:pPr>
  </w:style>
  <w:style w:type="paragraph" w:customStyle="1" w:styleId="N5">
    <w:name w:val="N5"/>
    <w:basedOn w:val="N4"/>
    <w:rsid w:val="00291CF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binetoffice.gov.uk/resource-library/consultation-principles-guidance" TargetMode="External"/><Relationship Id="rId4" Type="http://schemas.openxmlformats.org/officeDocument/2006/relationships/settings" Target="settings.xml"/><Relationship Id="rId9" Type="http://schemas.openxmlformats.org/officeDocument/2006/relationships/hyperlink" Target="http://www.gov.uk/government/consultation/mca-fees-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60A6-8C93-407D-886F-89569D65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14286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 Tibbs</dc:creator>
  <cp:keywords/>
  <dc:description/>
  <cp:lastModifiedBy>Rebecca Debono</cp:lastModifiedBy>
  <cp:revision>2</cp:revision>
  <cp:lastPrinted>2016-07-29T14:46:00Z</cp:lastPrinted>
  <dcterms:created xsi:type="dcterms:W3CDTF">2016-09-14T09:02:00Z</dcterms:created>
  <dcterms:modified xsi:type="dcterms:W3CDTF">2016-09-14T09:02:00Z</dcterms:modified>
</cp:coreProperties>
</file>