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F3C7F" w14:textId="77777777" w:rsidR="00EE2836" w:rsidRPr="007F32E5" w:rsidRDefault="00D132C4" w:rsidP="00EE2836">
      <w:pPr>
        <w:pStyle w:val="Header"/>
        <w:ind w:hanging="993"/>
      </w:pPr>
      <w:r w:rsidRPr="00470B8B">
        <w:rPr>
          <w:noProof/>
          <w:lang w:eastAsia="en-GB"/>
        </w:rPr>
        <w:drawing>
          <wp:inline distT="0" distB="0" distL="0" distR="0" wp14:anchorId="7FB2C756" wp14:editId="08962F46">
            <wp:extent cx="1256030" cy="995045"/>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995045"/>
                    </a:xfrm>
                    <a:prstGeom prst="rect">
                      <a:avLst/>
                    </a:prstGeom>
                    <a:noFill/>
                    <a:ln>
                      <a:noFill/>
                    </a:ln>
                  </pic:spPr>
                </pic:pic>
              </a:graphicData>
            </a:graphic>
          </wp:inline>
        </w:drawing>
      </w:r>
    </w:p>
    <w:p w14:paraId="4CF0B0AC" w14:textId="77777777" w:rsidR="00EE2836" w:rsidRDefault="00EE2836">
      <w:pPr>
        <w:rPr>
          <w:rFonts w:cs="Arial"/>
        </w:rPr>
      </w:pPr>
    </w:p>
    <w:p w14:paraId="48B69CD6" w14:textId="77777777" w:rsidR="00EE2836" w:rsidRDefault="00EE2836">
      <w:pPr>
        <w:rPr>
          <w:rFonts w:cs="Arial"/>
        </w:rPr>
      </w:pPr>
    </w:p>
    <w:p w14:paraId="20AB9C3B" w14:textId="77777777" w:rsidR="00563BA7" w:rsidRDefault="00563BA7">
      <w:pPr>
        <w:rPr>
          <w:rFonts w:cs="Arial"/>
        </w:rPr>
      </w:pPr>
    </w:p>
    <w:p w14:paraId="729538C8" w14:textId="77777777" w:rsidR="00563BA7" w:rsidRDefault="00563BA7">
      <w:pPr>
        <w:rPr>
          <w:rFonts w:cs="Arial"/>
        </w:rPr>
      </w:pPr>
    </w:p>
    <w:p w14:paraId="61B03715" w14:textId="77777777" w:rsidR="00563BA7" w:rsidRDefault="00563BA7">
      <w:pPr>
        <w:rPr>
          <w:rFonts w:cs="Arial"/>
        </w:rPr>
      </w:pPr>
    </w:p>
    <w:p w14:paraId="403E0628" w14:textId="77777777" w:rsidR="00563BA7" w:rsidRDefault="00563BA7">
      <w:pPr>
        <w:rPr>
          <w:rFonts w:cs="Arial"/>
        </w:rPr>
      </w:pPr>
    </w:p>
    <w:p w14:paraId="267F0B18" w14:textId="77777777" w:rsidR="00563BA7" w:rsidRDefault="00563BA7">
      <w:pPr>
        <w:rPr>
          <w:rFonts w:cs="Arial"/>
        </w:rPr>
      </w:pPr>
    </w:p>
    <w:p w14:paraId="72D95409" w14:textId="77777777" w:rsidR="00563BA7" w:rsidRDefault="00563BA7">
      <w:pPr>
        <w:rPr>
          <w:rFonts w:cs="Arial"/>
        </w:rPr>
      </w:pPr>
    </w:p>
    <w:p w14:paraId="1679BF94" w14:textId="77777777" w:rsidR="00563BA7" w:rsidRDefault="00563BA7">
      <w:pPr>
        <w:rPr>
          <w:rFonts w:cs="Arial"/>
        </w:rPr>
      </w:pPr>
    </w:p>
    <w:p w14:paraId="57B7503B" w14:textId="77777777" w:rsidR="007E1C8C" w:rsidRPr="00EE2836" w:rsidRDefault="007E1C8C" w:rsidP="00EE08FA">
      <w:pPr>
        <w:pStyle w:val="BodyText"/>
        <w:ind w:left="-709" w:firstLine="283"/>
        <w:rPr>
          <w:rFonts w:ascii="Arial" w:hAnsi="Arial" w:cs="Arial"/>
          <w:b/>
          <w:sz w:val="56"/>
          <w:szCs w:val="56"/>
        </w:rPr>
      </w:pPr>
      <w:r w:rsidRPr="00EE2836">
        <w:rPr>
          <w:rFonts w:ascii="Arial" w:hAnsi="Arial" w:cs="Arial"/>
          <w:b/>
          <w:sz w:val="56"/>
          <w:szCs w:val="56"/>
        </w:rPr>
        <w:t>Project Assurance Reviews</w:t>
      </w:r>
    </w:p>
    <w:p w14:paraId="2E8DBB81" w14:textId="77777777" w:rsidR="007E1C8C" w:rsidRPr="00EE2836" w:rsidRDefault="007E1C8C" w:rsidP="00EE2836">
      <w:pPr>
        <w:pStyle w:val="BodyText"/>
        <w:ind w:left="-1134" w:firstLine="283"/>
        <w:rPr>
          <w:rFonts w:ascii="Arial" w:hAnsi="Arial" w:cs="Arial"/>
          <w:b/>
          <w:sz w:val="56"/>
          <w:szCs w:val="56"/>
        </w:rPr>
      </w:pPr>
    </w:p>
    <w:p w14:paraId="0E5F1610" w14:textId="77777777" w:rsidR="00603813" w:rsidRPr="00EE2836" w:rsidRDefault="007E1C8C" w:rsidP="00EE08FA">
      <w:pPr>
        <w:pStyle w:val="BodyText"/>
        <w:ind w:left="-426"/>
        <w:rPr>
          <w:rFonts w:ascii="Arial" w:hAnsi="Arial" w:cs="Arial"/>
          <w:b/>
          <w:sz w:val="56"/>
          <w:szCs w:val="56"/>
        </w:rPr>
      </w:pPr>
      <w:r w:rsidRPr="00EE2836">
        <w:rPr>
          <w:rFonts w:ascii="Arial" w:hAnsi="Arial" w:cs="Arial"/>
          <w:b/>
          <w:sz w:val="56"/>
          <w:szCs w:val="56"/>
        </w:rPr>
        <w:t xml:space="preserve">Data and Information Security – </w:t>
      </w:r>
    </w:p>
    <w:p w14:paraId="70DE2140" w14:textId="77777777" w:rsidR="007E1C8C" w:rsidRDefault="007E1C8C" w:rsidP="00EE08FA">
      <w:pPr>
        <w:pStyle w:val="BodyText"/>
        <w:ind w:left="-709" w:firstLine="283"/>
        <w:rPr>
          <w:rFonts w:ascii="Arial" w:hAnsi="Arial" w:cs="Arial"/>
          <w:b/>
          <w:sz w:val="56"/>
          <w:szCs w:val="56"/>
        </w:rPr>
      </w:pPr>
      <w:r w:rsidRPr="00EE2836">
        <w:rPr>
          <w:rFonts w:ascii="Arial" w:hAnsi="Arial" w:cs="Arial"/>
          <w:b/>
          <w:sz w:val="56"/>
          <w:szCs w:val="56"/>
        </w:rPr>
        <w:t>Guide for Review Teams</w:t>
      </w:r>
    </w:p>
    <w:p w14:paraId="3D67B6F0" w14:textId="77777777" w:rsidR="00EE08FA" w:rsidRDefault="00EE08FA" w:rsidP="00EE2836">
      <w:pPr>
        <w:pStyle w:val="BodyText"/>
        <w:ind w:left="-1134" w:firstLine="283"/>
        <w:rPr>
          <w:rFonts w:ascii="Arial" w:hAnsi="Arial" w:cs="Arial"/>
          <w:b/>
          <w:sz w:val="56"/>
          <w:szCs w:val="56"/>
        </w:rPr>
      </w:pPr>
    </w:p>
    <w:p w14:paraId="4EE1FC23" w14:textId="77777777" w:rsidR="00EE08FA" w:rsidRPr="00EE2836" w:rsidRDefault="00EE08FA" w:rsidP="00EE2836">
      <w:pPr>
        <w:pStyle w:val="BodyText"/>
        <w:ind w:left="-1134" w:firstLine="283"/>
        <w:rPr>
          <w:rFonts w:ascii="Arial" w:hAnsi="Arial" w:cs="Arial"/>
          <w:b/>
          <w:sz w:val="56"/>
          <w:szCs w:val="56"/>
        </w:rPr>
      </w:pPr>
    </w:p>
    <w:p w14:paraId="14AE925B" w14:textId="2802BBC3" w:rsidR="007E1C8C" w:rsidRPr="000F280E" w:rsidRDefault="001A739C" w:rsidP="00EE08FA">
      <w:pPr>
        <w:pStyle w:val="BodyText"/>
        <w:ind w:hanging="426"/>
        <w:rPr>
          <w:rFonts w:ascii="Arial" w:hAnsi="Arial" w:cs="Arial"/>
          <w:b/>
          <w:bCs/>
          <w:sz w:val="56"/>
          <w:szCs w:val="56"/>
        </w:rPr>
      </w:pPr>
      <w:r>
        <w:rPr>
          <w:rFonts w:ascii="Arial" w:hAnsi="Arial" w:cs="Arial"/>
          <w:b/>
          <w:bCs/>
          <w:sz w:val="56"/>
          <w:szCs w:val="56"/>
        </w:rPr>
        <w:t>V1.0</w:t>
      </w:r>
      <w:bookmarkStart w:id="0" w:name="_GoBack"/>
      <w:bookmarkEnd w:id="0"/>
    </w:p>
    <w:p w14:paraId="419FA6D0" w14:textId="77777777" w:rsidR="00EE08FA" w:rsidRDefault="00EE08FA" w:rsidP="00563BA7">
      <w:pPr>
        <w:pStyle w:val="BodyText"/>
        <w:ind w:hanging="851"/>
        <w:rPr>
          <w:b/>
          <w:bCs/>
          <w:sz w:val="56"/>
          <w:szCs w:val="56"/>
        </w:rPr>
      </w:pPr>
    </w:p>
    <w:p w14:paraId="24CF5A86" w14:textId="05008352" w:rsidR="00EE08FA" w:rsidRPr="00EE08FA" w:rsidRDefault="00EE08FA" w:rsidP="00EE08FA">
      <w:pPr>
        <w:pStyle w:val="BodyText"/>
        <w:ind w:hanging="426"/>
        <w:rPr>
          <w:rFonts w:ascii="Arial" w:hAnsi="Arial" w:cs="Arial"/>
          <w:sz w:val="22"/>
          <w:szCs w:val="22"/>
        </w:rPr>
      </w:pPr>
      <w:r w:rsidRPr="00EE08FA">
        <w:rPr>
          <w:rFonts w:ascii="Arial" w:hAnsi="Arial" w:cs="Arial"/>
          <w:sz w:val="22"/>
          <w:szCs w:val="22"/>
        </w:rPr>
        <w:t>[</w:t>
      </w:r>
      <w:r w:rsidR="001A739C">
        <w:rPr>
          <w:rFonts w:ascii="Arial" w:hAnsi="Arial" w:cs="Arial"/>
          <w:sz w:val="22"/>
          <w:szCs w:val="22"/>
        </w:rPr>
        <w:t>July</w:t>
      </w:r>
      <w:r w:rsidRPr="00EE08FA">
        <w:rPr>
          <w:rFonts w:ascii="Arial" w:hAnsi="Arial" w:cs="Arial"/>
          <w:sz w:val="22"/>
          <w:szCs w:val="22"/>
        </w:rPr>
        <w:t xml:space="preserve"> 2016]</w:t>
      </w:r>
    </w:p>
    <w:p w14:paraId="08317B83" w14:textId="77777777" w:rsidR="00563BA7" w:rsidRDefault="00563BA7" w:rsidP="00563BA7">
      <w:pPr>
        <w:pStyle w:val="BodyText"/>
        <w:ind w:hanging="851"/>
        <w:rPr>
          <w:rFonts w:cs="Arial"/>
          <w:sz w:val="36"/>
          <w:szCs w:val="36"/>
        </w:rPr>
      </w:pPr>
    </w:p>
    <w:p w14:paraId="6D5C0AE2" w14:textId="77777777" w:rsidR="00563BA7" w:rsidRDefault="00563BA7" w:rsidP="00563BA7">
      <w:pPr>
        <w:pStyle w:val="BodyText"/>
        <w:ind w:hanging="851"/>
        <w:rPr>
          <w:rFonts w:cs="Arial"/>
          <w:sz w:val="36"/>
          <w:szCs w:val="36"/>
        </w:rPr>
      </w:pPr>
    </w:p>
    <w:p w14:paraId="7F1A6613" w14:textId="77777777" w:rsidR="00563BA7" w:rsidRDefault="00563BA7" w:rsidP="00563BA7">
      <w:pPr>
        <w:pStyle w:val="BodyText"/>
        <w:ind w:hanging="851"/>
        <w:rPr>
          <w:rFonts w:cs="Arial"/>
          <w:sz w:val="36"/>
          <w:szCs w:val="36"/>
        </w:rPr>
      </w:pPr>
    </w:p>
    <w:p w14:paraId="32CAEF59" w14:textId="77777777" w:rsidR="00563BA7" w:rsidRDefault="00563BA7" w:rsidP="00563BA7">
      <w:pPr>
        <w:pStyle w:val="BodyText"/>
        <w:ind w:hanging="851"/>
        <w:rPr>
          <w:rFonts w:cs="Arial"/>
          <w:sz w:val="36"/>
          <w:szCs w:val="36"/>
        </w:rPr>
      </w:pPr>
    </w:p>
    <w:p w14:paraId="2E4CFA55" w14:textId="77777777" w:rsidR="00563BA7" w:rsidRDefault="00563BA7" w:rsidP="00563BA7">
      <w:pPr>
        <w:pStyle w:val="BodyText"/>
        <w:ind w:hanging="851"/>
        <w:rPr>
          <w:rFonts w:cs="Arial"/>
          <w:sz w:val="36"/>
          <w:szCs w:val="36"/>
        </w:rPr>
      </w:pPr>
    </w:p>
    <w:p w14:paraId="5A2C4FEA" w14:textId="77777777" w:rsidR="00563BA7" w:rsidRDefault="00563BA7" w:rsidP="00563BA7">
      <w:pPr>
        <w:pStyle w:val="BodyText"/>
        <w:ind w:hanging="851"/>
        <w:rPr>
          <w:rFonts w:cs="Arial"/>
          <w:sz w:val="36"/>
          <w:szCs w:val="36"/>
        </w:rPr>
      </w:pPr>
    </w:p>
    <w:p w14:paraId="7102B752" w14:textId="77777777" w:rsidR="00563BA7" w:rsidRDefault="00563BA7" w:rsidP="00563BA7">
      <w:pPr>
        <w:pStyle w:val="BodyText"/>
        <w:ind w:hanging="851"/>
        <w:rPr>
          <w:rFonts w:cs="Arial"/>
          <w:sz w:val="36"/>
          <w:szCs w:val="36"/>
        </w:rPr>
      </w:pPr>
      <w:r>
        <w:rPr>
          <w:rFonts w:cs="Arial"/>
          <w:sz w:val="36"/>
          <w:szCs w:val="36"/>
        </w:rPr>
        <w:br w:type="page"/>
      </w:r>
    </w:p>
    <w:p w14:paraId="103FB389" w14:textId="77777777" w:rsidR="00563BA7" w:rsidRPr="00D132C4" w:rsidRDefault="00563BA7" w:rsidP="00D132C4">
      <w:pPr>
        <w:pStyle w:val="BodyText"/>
        <w:ind w:hanging="851"/>
        <w:rPr>
          <w:rFonts w:ascii="Arial" w:hAnsi="Arial" w:cs="Arial"/>
          <w:sz w:val="22"/>
          <w:szCs w:val="22"/>
        </w:rPr>
      </w:pPr>
    </w:p>
    <w:p w14:paraId="76D7543A" w14:textId="77777777" w:rsidR="00D132C4" w:rsidRPr="00D132C4" w:rsidRDefault="00D132C4" w:rsidP="00D132C4">
      <w:pPr>
        <w:pStyle w:val="BodyText"/>
        <w:ind w:hanging="851"/>
        <w:rPr>
          <w:rFonts w:ascii="Arial" w:hAnsi="Arial" w:cs="Arial"/>
          <w:sz w:val="22"/>
          <w:szCs w:val="22"/>
        </w:rPr>
      </w:pPr>
      <w:r>
        <w:rPr>
          <w:rFonts w:ascii="Arial" w:hAnsi="Arial" w:cs="Arial"/>
          <w:sz w:val="22"/>
          <w:szCs w:val="22"/>
        </w:rPr>
        <w:t>[back of cover – for printed publications, leave this page blank]</w:t>
      </w:r>
    </w:p>
    <w:p w14:paraId="3DC71D85" w14:textId="77777777" w:rsidR="00D132C4" w:rsidRPr="00D132C4" w:rsidRDefault="00D132C4" w:rsidP="00D132C4">
      <w:pPr>
        <w:pStyle w:val="BodyText"/>
        <w:ind w:hanging="851"/>
        <w:rPr>
          <w:rFonts w:ascii="Arial" w:hAnsi="Arial" w:cs="Arial"/>
          <w:sz w:val="22"/>
          <w:szCs w:val="22"/>
        </w:rPr>
      </w:pPr>
    </w:p>
    <w:p w14:paraId="1AC45940" w14:textId="77777777" w:rsidR="00D132C4" w:rsidRPr="00D132C4" w:rsidRDefault="00D132C4" w:rsidP="00D132C4">
      <w:pPr>
        <w:pStyle w:val="BodyText"/>
        <w:ind w:hanging="851"/>
        <w:rPr>
          <w:rFonts w:ascii="Arial" w:hAnsi="Arial" w:cs="Arial"/>
          <w:sz w:val="22"/>
          <w:szCs w:val="22"/>
        </w:rPr>
      </w:pPr>
    </w:p>
    <w:p w14:paraId="79A0AF3C" w14:textId="77777777" w:rsidR="00D132C4" w:rsidRPr="00D132C4" w:rsidRDefault="00D132C4" w:rsidP="00D132C4">
      <w:pPr>
        <w:pStyle w:val="BodyText"/>
        <w:ind w:hanging="851"/>
        <w:rPr>
          <w:rFonts w:ascii="Arial" w:hAnsi="Arial" w:cs="Arial"/>
          <w:sz w:val="22"/>
          <w:szCs w:val="22"/>
        </w:rPr>
      </w:pPr>
    </w:p>
    <w:p w14:paraId="246F7979" w14:textId="77777777" w:rsidR="00563BA7" w:rsidRDefault="00563BA7" w:rsidP="00D132C4">
      <w:pPr>
        <w:pStyle w:val="BodyText"/>
        <w:ind w:hanging="851"/>
        <w:rPr>
          <w:rFonts w:ascii="Arial" w:hAnsi="Arial" w:cs="Arial"/>
          <w:sz w:val="22"/>
          <w:szCs w:val="22"/>
        </w:rPr>
      </w:pPr>
    </w:p>
    <w:p w14:paraId="6393E75A" w14:textId="77777777" w:rsidR="00D132C4" w:rsidRDefault="00D132C4" w:rsidP="00D132C4">
      <w:pPr>
        <w:pStyle w:val="BodyText"/>
        <w:ind w:hanging="851"/>
        <w:rPr>
          <w:rFonts w:ascii="Arial" w:hAnsi="Arial" w:cs="Arial"/>
          <w:sz w:val="22"/>
          <w:szCs w:val="22"/>
        </w:rPr>
      </w:pPr>
    </w:p>
    <w:p w14:paraId="3C1F6414" w14:textId="77777777" w:rsidR="00D132C4" w:rsidRDefault="00D132C4" w:rsidP="00D132C4">
      <w:pPr>
        <w:pStyle w:val="BodyText"/>
        <w:ind w:hanging="851"/>
        <w:rPr>
          <w:rFonts w:ascii="Arial" w:hAnsi="Arial" w:cs="Arial"/>
          <w:sz w:val="22"/>
          <w:szCs w:val="22"/>
        </w:rPr>
      </w:pPr>
    </w:p>
    <w:p w14:paraId="1B4F1AD3" w14:textId="77777777" w:rsidR="00D132C4" w:rsidRDefault="00D132C4" w:rsidP="00D132C4">
      <w:pPr>
        <w:pStyle w:val="BodyText"/>
        <w:ind w:hanging="851"/>
        <w:rPr>
          <w:rFonts w:ascii="Arial" w:hAnsi="Arial" w:cs="Arial"/>
          <w:sz w:val="22"/>
          <w:szCs w:val="22"/>
        </w:rPr>
      </w:pPr>
    </w:p>
    <w:p w14:paraId="44C4D609" w14:textId="77777777" w:rsidR="00D132C4" w:rsidRDefault="00D132C4" w:rsidP="00D132C4">
      <w:pPr>
        <w:pStyle w:val="BodyText"/>
        <w:ind w:hanging="851"/>
        <w:rPr>
          <w:rFonts w:ascii="Arial" w:hAnsi="Arial" w:cs="Arial"/>
          <w:sz w:val="22"/>
          <w:szCs w:val="22"/>
        </w:rPr>
      </w:pPr>
    </w:p>
    <w:p w14:paraId="4E53F8C0" w14:textId="77777777" w:rsidR="00D132C4" w:rsidRDefault="00D132C4" w:rsidP="00D132C4">
      <w:pPr>
        <w:pStyle w:val="BodyText"/>
        <w:ind w:hanging="851"/>
        <w:rPr>
          <w:rFonts w:ascii="Arial" w:hAnsi="Arial" w:cs="Arial"/>
          <w:sz w:val="22"/>
          <w:szCs w:val="22"/>
        </w:rPr>
      </w:pPr>
    </w:p>
    <w:p w14:paraId="067AC3A8" w14:textId="77777777" w:rsidR="00D132C4" w:rsidRDefault="00D132C4" w:rsidP="00D132C4">
      <w:pPr>
        <w:pStyle w:val="BodyText"/>
        <w:ind w:hanging="851"/>
        <w:rPr>
          <w:rFonts w:ascii="Arial" w:hAnsi="Arial" w:cs="Arial"/>
          <w:sz w:val="22"/>
          <w:szCs w:val="22"/>
        </w:rPr>
      </w:pPr>
    </w:p>
    <w:p w14:paraId="2EB0B8B5" w14:textId="77777777" w:rsidR="00D132C4" w:rsidRDefault="00D132C4" w:rsidP="00D132C4">
      <w:pPr>
        <w:pStyle w:val="BodyText"/>
        <w:ind w:hanging="851"/>
        <w:rPr>
          <w:rFonts w:ascii="Arial" w:hAnsi="Arial" w:cs="Arial"/>
          <w:sz w:val="22"/>
          <w:szCs w:val="22"/>
        </w:rPr>
      </w:pPr>
    </w:p>
    <w:p w14:paraId="4CAAC5D4" w14:textId="77777777" w:rsidR="00D132C4" w:rsidRDefault="00D132C4" w:rsidP="00D132C4">
      <w:pPr>
        <w:pStyle w:val="BodyText"/>
        <w:ind w:hanging="851"/>
        <w:rPr>
          <w:rFonts w:ascii="Arial" w:hAnsi="Arial" w:cs="Arial"/>
          <w:sz w:val="22"/>
          <w:szCs w:val="22"/>
        </w:rPr>
      </w:pPr>
    </w:p>
    <w:p w14:paraId="4E743A32" w14:textId="77777777" w:rsidR="00D132C4" w:rsidRDefault="00D132C4" w:rsidP="00D132C4">
      <w:pPr>
        <w:pStyle w:val="BodyText"/>
        <w:ind w:hanging="851"/>
        <w:rPr>
          <w:rFonts w:ascii="Arial" w:hAnsi="Arial" w:cs="Arial"/>
          <w:sz w:val="22"/>
          <w:szCs w:val="22"/>
        </w:rPr>
      </w:pPr>
    </w:p>
    <w:p w14:paraId="5BE96462" w14:textId="77777777" w:rsidR="00D132C4" w:rsidRDefault="00D132C4" w:rsidP="00D132C4">
      <w:pPr>
        <w:pStyle w:val="BodyText"/>
        <w:ind w:hanging="851"/>
        <w:rPr>
          <w:rFonts w:ascii="Arial" w:hAnsi="Arial" w:cs="Arial"/>
          <w:sz w:val="22"/>
          <w:szCs w:val="22"/>
        </w:rPr>
      </w:pPr>
    </w:p>
    <w:p w14:paraId="23BCE3BD" w14:textId="77777777" w:rsidR="00D132C4" w:rsidRDefault="00D132C4" w:rsidP="00D132C4">
      <w:pPr>
        <w:pStyle w:val="BodyText"/>
        <w:ind w:hanging="851"/>
        <w:rPr>
          <w:rFonts w:ascii="Arial" w:hAnsi="Arial" w:cs="Arial"/>
          <w:sz w:val="22"/>
          <w:szCs w:val="22"/>
        </w:rPr>
      </w:pPr>
    </w:p>
    <w:p w14:paraId="20797EDD" w14:textId="77777777" w:rsidR="00D132C4" w:rsidRDefault="00D132C4" w:rsidP="00D132C4">
      <w:pPr>
        <w:pStyle w:val="BodyText"/>
        <w:ind w:hanging="851"/>
        <w:rPr>
          <w:rFonts w:ascii="Arial" w:hAnsi="Arial" w:cs="Arial"/>
          <w:sz w:val="22"/>
          <w:szCs w:val="22"/>
        </w:rPr>
      </w:pPr>
    </w:p>
    <w:p w14:paraId="70049669" w14:textId="77777777" w:rsidR="00D132C4" w:rsidRDefault="00D132C4" w:rsidP="00D132C4">
      <w:pPr>
        <w:pStyle w:val="BodyText"/>
        <w:ind w:hanging="851"/>
        <w:rPr>
          <w:rFonts w:ascii="Arial" w:hAnsi="Arial" w:cs="Arial"/>
          <w:sz w:val="22"/>
          <w:szCs w:val="22"/>
        </w:rPr>
      </w:pPr>
    </w:p>
    <w:p w14:paraId="7B0B27D6" w14:textId="77777777" w:rsidR="00D132C4" w:rsidRDefault="00D132C4" w:rsidP="00D132C4">
      <w:pPr>
        <w:pStyle w:val="BodyText"/>
        <w:ind w:hanging="851"/>
        <w:rPr>
          <w:rFonts w:ascii="Arial" w:hAnsi="Arial" w:cs="Arial"/>
          <w:sz w:val="22"/>
          <w:szCs w:val="22"/>
        </w:rPr>
      </w:pPr>
    </w:p>
    <w:p w14:paraId="760439F2" w14:textId="77777777" w:rsidR="00D132C4" w:rsidRDefault="00D132C4" w:rsidP="00D132C4">
      <w:pPr>
        <w:pStyle w:val="BodyText"/>
        <w:ind w:hanging="851"/>
        <w:rPr>
          <w:rFonts w:ascii="Arial" w:hAnsi="Arial" w:cs="Arial"/>
          <w:sz w:val="22"/>
          <w:szCs w:val="22"/>
        </w:rPr>
      </w:pPr>
    </w:p>
    <w:p w14:paraId="1B2FE6D6" w14:textId="77777777" w:rsidR="00D132C4" w:rsidRDefault="00D132C4" w:rsidP="00D132C4">
      <w:pPr>
        <w:pStyle w:val="BodyText"/>
        <w:ind w:hanging="851"/>
        <w:rPr>
          <w:rFonts w:ascii="Arial" w:hAnsi="Arial" w:cs="Arial"/>
          <w:sz w:val="22"/>
          <w:szCs w:val="22"/>
        </w:rPr>
      </w:pPr>
    </w:p>
    <w:p w14:paraId="17B76534" w14:textId="77777777" w:rsidR="00D132C4" w:rsidRDefault="00D132C4" w:rsidP="00D132C4">
      <w:pPr>
        <w:pStyle w:val="BodyText"/>
        <w:ind w:hanging="851"/>
        <w:rPr>
          <w:rFonts w:ascii="Arial" w:hAnsi="Arial" w:cs="Arial"/>
          <w:sz w:val="22"/>
          <w:szCs w:val="22"/>
        </w:rPr>
      </w:pPr>
    </w:p>
    <w:p w14:paraId="71B23DFA" w14:textId="77777777" w:rsidR="00D132C4" w:rsidRDefault="00D132C4" w:rsidP="00D132C4">
      <w:pPr>
        <w:pStyle w:val="BodyText"/>
        <w:ind w:hanging="851"/>
        <w:rPr>
          <w:rFonts w:ascii="Arial" w:hAnsi="Arial" w:cs="Arial"/>
          <w:sz w:val="22"/>
          <w:szCs w:val="22"/>
        </w:rPr>
      </w:pPr>
    </w:p>
    <w:p w14:paraId="5E00819A" w14:textId="77777777" w:rsidR="00D132C4" w:rsidRDefault="00D132C4" w:rsidP="00D132C4">
      <w:pPr>
        <w:pStyle w:val="BodyText"/>
        <w:ind w:hanging="851"/>
        <w:rPr>
          <w:rFonts w:ascii="Arial" w:hAnsi="Arial" w:cs="Arial"/>
          <w:sz w:val="22"/>
          <w:szCs w:val="22"/>
        </w:rPr>
      </w:pPr>
    </w:p>
    <w:p w14:paraId="5478CC6F" w14:textId="77777777" w:rsidR="00D132C4" w:rsidRDefault="00D132C4" w:rsidP="00D132C4">
      <w:pPr>
        <w:pStyle w:val="BodyText"/>
        <w:ind w:hanging="851"/>
        <w:rPr>
          <w:rFonts w:ascii="Arial" w:hAnsi="Arial" w:cs="Arial"/>
          <w:sz w:val="22"/>
          <w:szCs w:val="22"/>
        </w:rPr>
      </w:pPr>
    </w:p>
    <w:p w14:paraId="39478FD9" w14:textId="77777777" w:rsidR="00D132C4" w:rsidRDefault="00D132C4" w:rsidP="00D132C4">
      <w:pPr>
        <w:pStyle w:val="BodyText"/>
        <w:ind w:hanging="851"/>
        <w:rPr>
          <w:rFonts w:ascii="Arial" w:hAnsi="Arial" w:cs="Arial"/>
          <w:sz w:val="22"/>
          <w:szCs w:val="22"/>
        </w:rPr>
      </w:pPr>
    </w:p>
    <w:p w14:paraId="0966434A" w14:textId="77777777" w:rsidR="00D132C4" w:rsidRDefault="00D132C4" w:rsidP="00D132C4">
      <w:pPr>
        <w:pStyle w:val="BodyText"/>
        <w:ind w:hanging="851"/>
        <w:rPr>
          <w:rFonts w:ascii="Arial" w:hAnsi="Arial" w:cs="Arial"/>
          <w:sz w:val="22"/>
          <w:szCs w:val="22"/>
        </w:rPr>
      </w:pPr>
    </w:p>
    <w:p w14:paraId="5C830D07" w14:textId="77777777" w:rsidR="00D132C4" w:rsidRDefault="00D132C4" w:rsidP="00D132C4">
      <w:pPr>
        <w:pStyle w:val="BodyText"/>
        <w:ind w:hanging="851"/>
        <w:rPr>
          <w:rFonts w:ascii="Arial" w:hAnsi="Arial" w:cs="Arial"/>
          <w:sz w:val="22"/>
          <w:szCs w:val="22"/>
        </w:rPr>
      </w:pPr>
    </w:p>
    <w:p w14:paraId="2A97A946" w14:textId="77777777" w:rsidR="00D132C4" w:rsidRDefault="00D132C4" w:rsidP="00D132C4">
      <w:pPr>
        <w:pStyle w:val="BodyText"/>
        <w:ind w:hanging="851"/>
        <w:rPr>
          <w:rFonts w:ascii="Arial" w:hAnsi="Arial" w:cs="Arial"/>
          <w:sz w:val="22"/>
          <w:szCs w:val="22"/>
        </w:rPr>
      </w:pPr>
    </w:p>
    <w:p w14:paraId="1745B335" w14:textId="77777777" w:rsidR="00D132C4" w:rsidRDefault="00D132C4" w:rsidP="00D132C4">
      <w:pPr>
        <w:pStyle w:val="BodyText"/>
        <w:ind w:hanging="851"/>
        <w:rPr>
          <w:rFonts w:ascii="Arial" w:hAnsi="Arial" w:cs="Arial"/>
          <w:sz w:val="22"/>
          <w:szCs w:val="22"/>
        </w:rPr>
      </w:pPr>
    </w:p>
    <w:p w14:paraId="67F8A462" w14:textId="4839EF67" w:rsidR="00D132C4" w:rsidRPr="00D132C4" w:rsidRDefault="00D132C4" w:rsidP="008638AD">
      <w:pPr>
        <w:spacing w:line="276" w:lineRule="auto"/>
        <w:ind w:left="-851"/>
        <w:rPr>
          <w:rFonts w:cs="Arial"/>
          <w:sz w:val="22"/>
          <w:szCs w:val="22"/>
          <w:lang w:eastAsia="en-GB"/>
        </w:rPr>
      </w:pPr>
      <w:r w:rsidRPr="00D132C4">
        <w:rPr>
          <w:rFonts w:cs="Arial"/>
          <w:sz w:val="22"/>
          <w:szCs w:val="22"/>
          <w:lang w:eastAsia="en-GB"/>
        </w:rPr>
        <w:t>© Crown copyright 2016</w:t>
      </w:r>
      <w:r w:rsidRPr="00D132C4">
        <w:rPr>
          <w:rFonts w:cs="Arial"/>
          <w:sz w:val="22"/>
          <w:szCs w:val="22"/>
          <w:lang w:eastAsia="en-GB"/>
        </w:rPr>
        <w:br/>
        <w:t xml:space="preserve">Produced by </w:t>
      </w:r>
      <w:r w:rsidR="00A31662">
        <w:rPr>
          <w:rFonts w:cs="Arial"/>
          <w:sz w:val="22"/>
          <w:szCs w:val="22"/>
          <w:lang w:eastAsia="en-GB"/>
        </w:rPr>
        <w:t xml:space="preserve">the </w:t>
      </w:r>
      <w:r w:rsidRPr="00D132C4">
        <w:rPr>
          <w:rFonts w:cs="Arial"/>
          <w:sz w:val="22"/>
          <w:szCs w:val="22"/>
          <w:lang w:eastAsia="en-GB"/>
        </w:rPr>
        <w:t>Infrastructure and Projects Authority</w:t>
      </w:r>
    </w:p>
    <w:p w14:paraId="48C74347" w14:textId="77777777" w:rsidR="00D132C4" w:rsidRPr="00D132C4" w:rsidRDefault="00D132C4" w:rsidP="00D132C4">
      <w:pPr>
        <w:spacing w:line="276" w:lineRule="auto"/>
        <w:rPr>
          <w:rFonts w:cs="Arial"/>
          <w:sz w:val="22"/>
          <w:szCs w:val="22"/>
          <w:lang w:eastAsia="en-GB"/>
        </w:rPr>
      </w:pPr>
    </w:p>
    <w:p w14:paraId="0F1BA0D3" w14:textId="77777777" w:rsidR="008638AD" w:rsidRDefault="00D132C4" w:rsidP="008638AD">
      <w:pPr>
        <w:spacing w:line="276" w:lineRule="auto"/>
        <w:ind w:left="-851"/>
        <w:rPr>
          <w:rFonts w:cs="Arial"/>
          <w:sz w:val="22"/>
          <w:szCs w:val="22"/>
          <w:lang w:eastAsia="en-GB"/>
        </w:rPr>
      </w:pPr>
      <w:r w:rsidRPr="00D132C4">
        <w:rPr>
          <w:rFonts w:cs="Arial"/>
          <w:sz w:val="22"/>
          <w:szCs w:val="22"/>
          <w:lang w:eastAsia="en-GB"/>
        </w:rPr>
        <w:t>You may re-use this information (excluding logos) free of charge in any format or medium, under the terms of the Open Government Licence. To view this licence</w:t>
      </w:r>
      <w:r w:rsidR="008638AD">
        <w:rPr>
          <w:rFonts w:cs="Arial"/>
          <w:sz w:val="22"/>
          <w:szCs w:val="22"/>
          <w:lang w:eastAsia="en-GB"/>
        </w:rPr>
        <w:t xml:space="preserve"> visit</w:t>
      </w:r>
      <w:r w:rsidRPr="00D132C4">
        <w:rPr>
          <w:rFonts w:cs="Arial"/>
          <w:sz w:val="22"/>
          <w:szCs w:val="22"/>
          <w:lang w:eastAsia="en-GB"/>
        </w:rPr>
        <w:t> </w:t>
      </w:r>
    </w:p>
    <w:p w14:paraId="1F6CE86A" w14:textId="0FBAF604" w:rsidR="00D132C4" w:rsidRPr="00D132C4" w:rsidRDefault="001A739C" w:rsidP="008638AD">
      <w:pPr>
        <w:spacing w:line="276" w:lineRule="auto"/>
        <w:ind w:left="-851"/>
        <w:rPr>
          <w:rFonts w:cs="Arial"/>
          <w:sz w:val="22"/>
          <w:szCs w:val="22"/>
          <w:lang w:eastAsia="en-GB"/>
        </w:rPr>
      </w:pPr>
      <w:hyperlink r:id="rId9" w:history="1">
        <w:r w:rsidR="008638AD" w:rsidRPr="00DF4FC8">
          <w:rPr>
            <w:rStyle w:val="Hyperlink"/>
            <w:rFonts w:cs="Arial"/>
            <w:sz w:val="22"/>
            <w:szCs w:val="22"/>
            <w:lang w:eastAsia="en-GB"/>
          </w:rPr>
          <w:t>http://www.nationalarchives.gov.uk/doc/open-government-licence</w:t>
        </w:r>
      </w:hyperlink>
      <w:r w:rsidR="008638AD">
        <w:rPr>
          <w:rFonts w:cs="Arial"/>
          <w:sz w:val="22"/>
          <w:szCs w:val="22"/>
          <w:u w:val="single"/>
          <w:lang w:eastAsia="en-GB"/>
        </w:rPr>
        <w:t xml:space="preserve"> </w:t>
      </w:r>
      <w:r w:rsidR="008638AD" w:rsidRPr="008638AD">
        <w:rPr>
          <w:rFonts w:cs="Arial"/>
          <w:sz w:val="22"/>
          <w:szCs w:val="22"/>
          <w:lang w:eastAsia="en-GB"/>
        </w:rPr>
        <w:t xml:space="preserve"> or </w:t>
      </w:r>
      <w:r w:rsidR="00D132C4" w:rsidRPr="00D132C4">
        <w:rPr>
          <w:rFonts w:cs="Arial"/>
          <w:sz w:val="22"/>
          <w:szCs w:val="22"/>
          <w:lang w:eastAsia="en-GB"/>
        </w:rPr>
        <w:t>email: </w:t>
      </w:r>
      <w:hyperlink r:id="rId10">
        <w:r w:rsidR="00D132C4" w:rsidRPr="00D132C4">
          <w:rPr>
            <w:rFonts w:cs="Arial"/>
            <w:sz w:val="22"/>
            <w:szCs w:val="22"/>
            <w:lang w:eastAsia="en-GB"/>
          </w:rPr>
          <w:t>psi@nationalarchives.gsi.gov.uk</w:t>
        </w:r>
      </w:hyperlink>
      <w:hyperlink r:id="rId11"/>
    </w:p>
    <w:p w14:paraId="301CFA62" w14:textId="77777777" w:rsidR="00D132C4" w:rsidRPr="00D132C4" w:rsidRDefault="001A739C" w:rsidP="00D132C4">
      <w:pPr>
        <w:spacing w:line="276" w:lineRule="auto"/>
        <w:rPr>
          <w:rFonts w:cs="Arial"/>
          <w:sz w:val="22"/>
          <w:szCs w:val="22"/>
          <w:lang w:eastAsia="en-GB"/>
        </w:rPr>
      </w:pPr>
      <w:hyperlink r:id="rId12"/>
    </w:p>
    <w:p w14:paraId="62BE4D34" w14:textId="77777777" w:rsidR="00D132C4" w:rsidRPr="00D132C4" w:rsidRDefault="00D132C4" w:rsidP="008638AD">
      <w:pPr>
        <w:spacing w:line="276" w:lineRule="auto"/>
        <w:ind w:left="-851"/>
        <w:rPr>
          <w:rFonts w:cs="Arial"/>
          <w:sz w:val="22"/>
          <w:szCs w:val="22"/>
          <w:lang w:eastAsia="en-GB"/>
        </w:rPr>
      </w:pPr>
      <w:r w:rsidRPr="00D132C4">
        <w:rPr>
          <w:rFonts w:cs="Arial"/>
          <w:sz w:val="22"/>
          <w:szCs w:val="22"/>
          <w:lang w:eastAsia="en-GB"/>
        </w:rPr>
        <w:t>Where we have identified any third party copyright material you will need to obtain permission from the copyright holders concerned.</w:t>
      </w:r>
    </w:p>
    <w:p w14:paraId="39A4A84C" w14:textId="77777777" w:rsidR="00D132C4" w:rsidRPr="00D132C4" w:rsidRDefault="00D132C4" w:rsidP="00D132C4">
      <w:pPr>
        <w:spacing w:line="276" w:lineRule="auto"/>
        <w:rPr>
          <w:rFonts w:cs="Arial"/>
          <w:sz w:val="22"/>
          <w:szCs w:val="22"/>
          <w:lang w:eastAsia="en-GB"/>
        </w:rPr>
      </w:pPr>
    </w:p>
    <w:p w14:paraId="27C794FF" w14:textId="6EDA8F6C" w:rsidR="00D132C4" w:rsidRDefault="00D132C4" w:rsidP="008638AD">
      <w:pPr>
        <w:ind w:left="-851"/>
        <w:rPr>
          <w:sz w:val="22"/>
          <w:szCs w:val="22"/>
        </w:rPr>
      </w:pPr>
      <w:r>
        <w:rPr>
          <w:rFonts w:cs="Arial"/>
          <w:sz w:val="22"/>
          <w:szCs w:val="22"/>
          <w:lang w:eastAsia="en-GB"/>
        </w:rPr>
        <w:t>T</w:t>
      </w:r>
      <w:r w:rsidRPr="00D132C4">
        <w:rPr>
          <w:rFonts w:cs="Arial"/>
          <w:sz w:val="22"/>
          <w:szCs w:val="22"/>
          <w:lang w:eastAsia="en-GB"/>
        </w:rPr>
        <w:t>his information is also available on the IPA website</w:t>
      </w:r>
      <w:r w:rsidRPr="00D132C4">
        <w:rPr>
          <w:rFonts w:ascii="Calibri" w:hAnsi="Calibri"/>
          <w:b/>
          <w:sz w:val="22"/>
          <w:szCs w:val="22"/>
          <w:lang w:eastAsia="en-GB"/>
        </w:rPr>
        <w:t xml:space="preserve">: </w:t>
      </w:r>
      <w:hyperlink r:id="rId13" w:history="1">
        <w:r w:rsidR="008638AD" w:rsidRPr="00DF4FC8">
          <w:rPr>
            <w:rStyle w:val="Hyperlink"/>
            <w:rFonts w:cs="Arial"/>
            <w:sz w:val="22"/>
            <w:szCs w:val="22"/>
            <w:lang w:eastAsia="en-GB"/>
          </w:rPr>
          <w:t>https://www.gov.uk/government/organisations/infrastructure-and-projects-authority</w:t>
        </w:r>
      </w:hyperlink>
    </w:p>
    <w:p w14:paraId="4279773B" w14:textId="77777777" w:rsidR="008638AD" w:rsidRDefault="008638AD" w:rsidP="008638AD">
      <w:pPr>
        <w:ind w:left="-851"/>
        <w:rPr>
          <w:rFonts w:cs="Arial"/>
          <w:sz w:val="22"/>
          <w:szCs w:val="22"/>
          <w:lang w:eastAsia="en-GB"/>
        </w:rPr>
      </w:pPr>
    </w:p>
    <w:p w14:paraId="51BD05AA" w14:textId="77777777" w:rsidR="008638AD" w:rsidRDefault="008638AD" w:rsidP="008638AD">
      <w:pPr>
        <w:ind w:left="-851"/>
        <w:rPr>
          <w:sz w:val="22"/>
          <w:szCs w:val="22"/>
        </w:rPr>
      </w:pPr>
    </w:p>
    <w:p w14:paraId="2EABB023" w14:textId="77777777" w:rsidR="00D132C4" w:rsidRDefault="00D132C4" w:rsidP="00D132C4">
      <w:pPr>
        <w:pStyle w:val="BodyText"/>
        <w:ind w:hanging="851"/>
        <w:rPr>
          <w:rFonts w:ascii="Arial" w:hAnsi="Arial" w:cs="Arial"/>
          <w:sz w:val="22"/>
          <w:szCs w:val="22"/>
        </w:rPr>
      </w:pPr>
    </w:p>
    <w:p w14:paraId="3FCCF934" w14:textId="77777777" w:rsidR="00563BA7" w:rsidRDefault="00563BA7" w:rsidP="00D132C4">
      <w:pPr>
        <w:pStyle w:val="BodyText"/>
        <w:ind w:hanging="851"/>
        <w:rPr>
          <w:rFonts w:ascii="Arial" w:hAnsi="Arial" w:cs="Arial"/>
          <w:sz w:val="22"/>
          <w:szCs w:val="22"/>
        </w:rPr>
      </w:pPr>
    </w:p>
    <w:p w14:paraId="5317BD11" w14:textId="77777777" w:rsidR="000D501B" w:rsidRDefault="000D501B" w:rsidP="00D132C4">
      <w:pPr>
        <w:pStyle w:val="BodyText"/>
        <w:ind w:hanging="851"/>
        <w:rPr>
          <w:rFonts w:ascii="Arial" w:hAnsi="Arial" w:cs="Arial"/>
          <w:sz w:val="22"/>
          <w:szCs w:val="22"/>
        </w:rPr>
      </w:pPr>
    </w:p>
    <w:p w14:paraId="50BD19F4" w14:textId="77777777" w:rsidR="000D501B" w:rsidRDefault="000D501B" w:rsidP="00D132C4">
      <w:pPr>
        <w:pStyle w:val="BodyText"/>
        <w:ind w:hanging="851"/>
        <w:rPr>
          <w:rFonts w:ascii="Arial" w:hAnsi="Arial" w:cs="Arial"/>
          <w:sz w:val="22"/>
          <w:szCs w:val="22"/>
        </w:rPr>
      </w:pPr>
    </w:p>
    <w:p w14:paraId="33174E32" w14:textId="77777777" w:rsidR="00A31662" w:rsidRDefault="00A31662" w:rsidP="00D132C4">
      <w:pPr>
        <w:pStyle w:val="BodyText"/>
        <w:ind w:hanging="851"/>
        <w:rPr>
          <w:rFonts w:ascii="Arial" w:hAnsi="Arial" w:cs="Arial"/>
          <w:sz w:val="22"/>
          <w:szCs w:val="22"/>
        </w:rPr>
      </w:pPr>
    </w:p>
    <w:sdt>
      <w:sdtPr>
        <w:rPr>
          <w:rFonts w:ascii="Arial" w:eastAsia="Times New Roman" w:hAnsi="Arial" w:cs="Times New Roman"/>
          <w:color w:val="auto"/>
          <w:sz w:val="24"/>
          <w:szCs w:val="24"/>
          <w:lang w:val="en-GB"/>
        </w:rPr>
        <w:id w:val="1437801268"/>
        <w:docPartObj>
          <w:docPartGallery w:val="Table of Contents"/>
          <w:docPartUnique/>
        </w:docPartObj>
      </w:sdtPr>
      <w:sdtEndPr>
        <w:rPr>
          <w:b/>
          <w:bCs/>
          <w:noProof/>
        </w:rPr>
      </w:sdtEndPr>
      <w:sdtContent>
        <w:p w14:paraId="7A3994C8" w14:textId="72BBD4A8" w:rsidR="000D501B" w:rsidRPr="000D501B" w:rsidRDefault="000D501B" w:rsidP="000D501B">
          <w:pPr>
            <w:pStyle w:val="TOCHeading"/>
            <w:ind w:left="-851"/>
            <w:rPr>
              <w:rFonts w:ascii="Arial Black" w:hAnsi="Arial Black"/>
            </w:rPr>
          </w:pPr>
          <w:r w:rsidRPr="000D501B">
            <w:rPr>
              <w:rFonts w:ascii="Arial Black" w:hAnsi="Arial Black"/>
            </w:rPr>
            <w:t>Contents</w:t>
          </w:r>
        </w:p>
        <w:p w14:paraId="67FE33F9" w14:textId="77777777" w:rsidR="0055676F" w:rsidRDefault="000D501B">
          <w:pPr>
            <w:pStyle w:val="TOC2"/>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54544933" w:history="1">
            <w:r w:rsidR="0055676F" w:rsidRPr="0020319F">
              <w:rPr>
                <w:rStyle w:val="Hyperlink"/>
                <w:rFonts w:ascii="Arial Black" w:hAnsi="Arial Black"/>
                <w:noProof/>
                <w:color w:val="034990" w:themeColor="hyperlink" w:themeShade="BF"/>
              </w:rPr>
              <w:t>1. How to use this guide</w:t>
            </w:r>
            <w:r w:rsidR="0055676F">
              <w:rPr>
                <w:noProof/>
                <w:webHidden/>
              </w:rPr>
              <w:tab/>
            </w:r>
            <w:r w:rsidR="0055676F">
              <w:rPr>
                <w:noProof/>
                <w:webHidden/>
              </w:rPr>
              <w:fldChar w:fldCharType="begin"/>
            </w:r>
            <w:r w:rsidR="0055676F">
              <w:rPr>
                <w:noProof/>
                <w:webHidden/>
              </w:rPr>
              <w:instrText xml:space="preserve"> PAGEREF _Toc454544933 \h </w:instrText>
            </w:r>
            <w:r w:rsidR="0055676F">
              <w:rPr>
                <w:noProof/>
                <w:webHidden/>
              </w:rPr>
            </w:r>
            <w:r w:rsidR="0055676F">
              <w:rPr>
                <w:noProof/>
                <w:webHidden/>
              </w:rPr>
              <w:fldChar w:fldCharType="separate"/>
            </w:r>
            <w:r w:rsidR="000F280E">
              <w:rPr>
                <w:noProof/>
                <w:webHidden/>
              </w:rPr>
              <w:t>4</w:t>
            </w:r>
            <w:r w:rsidR="0055676F">
              <w:rPr>
                <w:noProof/>
                <w:webHidden/>
              </w:rPr>
              <w:fldChar w:fldCharType="end"/>
            </w:r>
          </w:hyperlink>
        </w:p>
        <w:p w14:paraId="1E1CB8B7" w14:textId="77777777" w:rsidR="0055676F" w:rsidRDefault="001A739C">
          <w:pPr>
            <w:pStyle w:val="TOC2"/>
            <w:rPr>
              <w:rFonts w:asciiTheme="minorHAnsi" w:eastAsiaTheme="minorEastAsia" w:hAnsiTheme="minorHAnsi" w:cstheme="minorBidi"/>
              <w:noProof/>
              <w:sz w:val="22"/>
              <w:szCs w:val="22"/>
              <w:lang w:eastAsia="en-GB"/>
            </w:rPr>
          </w:pPr>
          <w:hyperlink w:anchor="_Toc454544934" w:history="1">
            <w:r w:rsidR="0055676F" w:rsidRPr="0020319F">
              <w:rPr>
                <w:rStyle w:val="Hyperlink"/>
                <w:rFonts w:ascii="Arial Black" w:hAnsi="Arial Black"/>
                <w:noProof/>
                <w:color w:val="034990" w:themeColor="hyperlink" w:themeShade="BF"/>
              </w:rPr>
              <w:t>2. Data and Information Awareness</w:t>
            </w:r>
            <w:r w:rsidR="0055676F">
              <w:rPr>
                <w:noProof/>
                <w:webHidden/>
              </w:rPr>
              <w:tab/>
            </w:r>
            <w:r w:rsidR="0055676F">
              <w:rPr>
                <w:noProof/>
                <w:webHidden/>
              </w:rPr>
              <w:fldChar w:fldCharType="begin"/>
            </w:r>
            <w:r w:rsidR="0055676F">
              <w:rPr>
                <w:noProof/>
                <w:webHidden/>
              </w:rPr>
              <w:instrText xml:space="preserve"> PAGEREF _Toc454544934 \h </w:instrText>
            </w:r>
            <w:r w:rsidR="0055676F">
              <w:rPr>
                <w:noProof/>
                <w:webHidden/>
              </w:rPr>
            </w:r>
            <w:r w:rsidR="0055676F">
              <w:rPr>
                <w:noProof/>
                <w:webHidden/>
              </w:rPr>
              <w:fldChar w:fldCharType="separate"/>
            </w:r>
            <w:r w:rsidR="000F280E">
              <w:rPr>
                <w:noProof/>
                <w:webHidden/>
              </w:rPr>
              <w:t>4</w:t>
            </w:r>
            <w:r w:rsidR="0055676F">
              <w:rPr>
                <w:noProof/>
                <w:webHidden/>
              </w:rPr>
              <w:fldChar w:fldCharType="end"/>
            </w:r>
          </w:hyperlink>
        </w:p>
        <w:p w14:paraId="4EE7157A" w14:textId="77777777" w:rsidR="0055676F" w:rsidRDefault="001A739C">
          <w:pPr>
            <w:pStyle w:val="TOC2"/>
            <w:rPr>
              <w:rFonts w:asciiTheme="minorHAnsi" w:eastAsiaTheme="minorEastAsia" w:hAnsiTheme="minorHAnsi" w:cstheme="minorBidi"/>
              <w:noProof/>
              <w:sz w:val="22"/>
              <w:szCs w:val="22"/>
              <w:lang w:eastAsia="en-GB"/>
            </w:rPr>
          </w:pPr>
          <w:hyperlink w:anchor="_Toc454544935" w:history="1">
            <w:r w:rsidR="0055676F" w:rsidRPr="0020319F">
              <w:rPr>
                <w:rStyle w:val="Hyperlink"/>
                <w:rFonts w:ascii="Arial Black" w:hAnsi="Arial Black"/>
                <w:noProof/>
                <w:color w:val="034990" w:themeColor="hyperlink" w:themeShade="BF"/>
              </w:rPr>
              <w:t>3. Procedures for handling a loss of data or information from your care</w:t>
            </w:r>
            <w:r w:rsidR="0055676F">
              <w:rPr>
                <w:noProof/>
                <w:webHidden/>
              </w:rPr>
              <w:tab/>
            </w:r>
            <w:r w:rsidR="0055676F">
              <w:rPr>
                <w:noProof/>
                <w:webHidden/>
              </w:rPr>
              <w:fldChar w:fldCharType="begin"/>
            </w:r>
            <w:r w:rsidR="0055676F">
              <w:rPr>
                <w:noProof/>
                <w:webHidden/>
              </w:rPr>
              <w:instrText xml:space="preserve"> PAGEREF _Toc454544935 \h </w:instrText>
            </w:r>
            <w:r w:rsidR="0055676F">
              <w:rPr>
                <w:noProof/>
                <w:webHidden/>
              </w:rPr>
            </w:r>
            <w:r w:rsidR="0055676F">
              <w:rPr>
                <w:noProof/>
                <w:webHidden/>
              </w:rPr>
              <w:fldChar w:fldCharType="separate"/>
            </w:r>
            <w:r w:rsidR="000F280E">
              <w:rPr>
                <w:noProof/>
                <w:webHidden/>
              </w:rPr>
              <w:t>5</w:t>
            </w:r>
            <w:r w:rsidR="0055676F">
              <w:rPr>
                <w:noProof/>
                <w:webHidden/>
              </w:rPr>
              <w:fldChar w:fldCharType="end"/>
            </w:r>
          </w:hyperlink>
        </w:p>
        <w:p w14:paraId="122FD0B9" w14:textId="77777777" w:rsidR="0055676F" w:rsidRDefault="001A739C">
          <w:pPr>
            <w:pStyle w:val="TOC2"/>
            <w:rPr>
              <w:rFonts w:asciiTheme="minorHAnsi" w:eastAsiaTheme="minorEastAsia" w:hAnsiTheme="minorHAnsi" w:cstheme="minorBidi"/>
              <w:noProof/>
              <w:sz w:val="22"/>
              <w:szCs w:val="22"/>
              <w:lang w:eastAsia="en-GB"/>
            </w:rPr>
          </w:pPr>
          <w:hyperlink w:anchor="_Toc454544936" w:history="1">
            <w:r w:rsidR="0055676F" w:rsidRPr="0020319F">
              <w:rPr>
                <w:rStyle w:val="Hyperlink"/>
                <w:rFonts w:ascii="Arial Black" w:hAnsi="Arial Black"/>
                <w:noProof/>
                <w:color w:val="034990" w:themeColor="hyperlink" w:themeShade="BF"/>
              </w:rPr>
              <w:t>4. Further information</w:t>
            </w:r>
            <w:r w:rsidR="0055676F">
              <w:rPr>
                <w:noProof/>
                <w:webHidden/>
              </w:rPr>
              <w:tab/>
            </w:r>
            <w:r w:rsidR="0055676F">
              <w:rPr>
                <w:noProof/>
                <w:webHidden/>
              </w:rPr>
              <w:fldChar w:fldCharType="begin"/>
            </w:r>
            <w:r w:rsidR="0055676F">
              <w:rPr>
                <w:noProof/>
                <w:webHidden/>
              </w:rPr>
              <w:instrText xml:space="preserve"> PAGEREF _Toc454544936 \h </w:instrText>
            </w:r>
            <w:r w:rsidR="0055676F">
              <w:rPr>
                <w:noProof/>
                <w:webHidden/>
              </w:rPr>
            </w:r>
            <w:r w:rsidR="0055676F">
              <w:rPr>
                <w:noProof/>
                <w:webHidden/>
              </w:rPr>
              <w:fldChar w:fldCharType="separate"/>
            </w:r>
            <w:r w:rsidR="000F280E">
              <w:rPr>
                <w:noProof/>
                <w:webHidden/>
              </w:rPr>
              <w:t>5</w:t>
            </w:r>
            <w:r w:rsidR="0055676F">
              <w:rPr>
                <w:noProof/>
                <w:webHidden/>
              </w:rPr>
              <w:fldChar w:fldCharType="end"/>
            </w:r>
          </w:hyperlink>
        </w:p>
        <w:p w14:paraId="4F671628" w14:textId="1D53C81B" w:rsidR="0055676F" w:rsidRDefault="001A739C">
          <w:pPr>
            <w:pStyle w:val="TOC2"/>
            <w:rPr>
              <w:rFonts w:asciiTheme="minorHAnsi" w:eastAsiaTheme="minorEastAsia" w:hAnsiTheme="minorHAnsi" w:cstheme="minorBidi"/>
              <w:noProof/>
              <w:sz w:val="22"/>
              <w:szCs w:val="22"/>
              <w:lang w:eastAsia="en-GB"/>
            </w:rPr>
          </w:pPr>
          <w:hyperlink w:anchor="_Toc454544937" w:history="1">
            <w:r w:rsidR="0055676F" w:rsidRPr="0020319F">
              <w:rPr>
                <w:rStyle w:val="Hyperlink"/>
                <w:rFonts w:ascii="Arial Black" w:hAnsi="Arial Black"/>
                <w:noProof/>
                <w:color w:val="034990" w:themeColor="hyperlink" w:themeShade="BF"/>
              </w:rPr>
              <w:t>Annex A – Protective markings and document security</w:t>
            </w:r>
            <w:r w:rsidR="0055676F">
              <w:rPr>
                <w:noProof/>
                <w:webHidden/>
              </w:rPr>
              <w:tab/>
              <w:t>6</w:t>
            </w:r>
          </w:hyperlink>
        </w:p>
        <w:p w14:paraId="0E0DC3C1" w14:textId="40ED82B3" w:rsidR="000D501B" w:rsidRDefault="000D501B">
          <w:r>
            <w:rPr>
              <w:b/>
              <w:bCs/>
              <w:noProof/>
            </w:rPr>
            <w:fldChar w:fldCharType="end"/>
          </w:r>
        </w:p>
      </w:sdtContent>
    </w:sdt>
    <w:p w14:paraId="4869002D" w14:textId="77777777" w:rsidR="000D501B" w:rsidRDefault="000D501B" w:rsidP="00D132C4">
      <w:pPr>
        <w:pStyle w:val="BodyText"/>
        <w:ind w:hanging="851"/>
        <w:rPr>
          <w:rFonts w:ascii="Arial" w:hAnsi="Arial" w:cs="Arial"/>
          <w:sz w:val="22"/>
          <w:szCs w:val="22"/>
        </w:rPr>
      </w:pPr>
    </w:p>
    <w:p w14:paraId="54653A5E" w14:textId="77777777" w:rsidR="000D501B" w:rsidRDefault="000D501B" w:rsidP="00D132C4">
      <w:pPr>
        <w:pStyle w:val="BodyText"/>
        <w:ind w:hanging="851"/>
        <w:rPr>
          <w:rFonts w:ascii="Arial" w:hAnsi="Arial" w:cs="Arial"/>
          <w:sz w:val="22"/>
          <w:szCs w:val="22"/>
        </w:rPr>
      </w:pPr>
    </w:p>
    <w:p w14:paraId="4A7D0C67" w14:textId="77777777" w:rsidR="000D501B" w:rsidRDefault="000D501B" w:rsidP="00D132C4">
      <w:pPr>
        <w:pStyle w:val="BodyText"/>
        <w:ind w:hanging="851"/>
        <w:rPr>
          <w:rFonts w:ascii="Arial" w:hAnsi="Arial" w:cs="Arial"/>
          <w:sz w:val="22"/>
          <w:szCs w:val="22"/>
        </w:rPr>
      </w:pPr>
    </w:p>
    <w:p w14:paraId="3A51A69B" w14:textId="77777777" w:rsidR="000D501B" w:rsidRDefault="000D501B" w:rsidP="00D132C4">
      <w:pPr>
        <w:pStyle w:val="BodyText"/>
        <w:ind w:hanging="851"/>
        <w:rPr>
          <w:rFonts w:ascii="Arial" w:hAnsi="Arial" w:cs="Arial"/>
          <w:sz w:val="22"/>
          <w:szCs w:val="22"/>
        </w:rPr>
      </w:pPr>
    </w:p>
    <w:p w14:paraId="69716451" w14:textId="77777777" w:rsidR="000D501B" w:rsidRDefault="000D501B" w:rsidP="00D132C4">
      <w:pPr>
        <w:pStyle w:val="BodyText"/>
        <w:ind w:hanging="851"/>
        <w:rPr>
          <w:rFonts w:ascii="Arial" w:hAnsi="Arial" w:cs="Arial"/>
          <w:sz w:val="22"/>
          <w:szCs w:val="22"/>
        </w:rPr>
      </w:pPr>
    </w:p>
    <w:p w14:paraId="3E2279BA" w14:textId="77777777" w:rsidR="000D501B" w:rsidRDefault="000D501B" w:rsidP="00D132C4">
      <w:pPr>
        <w:pStyle w:val="BodyText"/>
        <w:ind w:hanging="851"/>
        <w:rPr>
          <w:rFonts w:ascii="Arial" w:hAnsi="Arial" w:cs="Arial"/>
          <w:sz w:val="22"/>
          <w:szCs w:val="22"/>
        </w:rPr>
      </w:pPr>
    </w:p>
    <w:p w14:paraId="4BA4A98A" w14:textId="77777777" w:rsidR="000D501B" w:rsidRDefault="000D501B" w:rsidP="00D132C4">
      <w:pPr>
        <w:pStyle w:val="BodyText"/>
        <w:ind w:hanging="851"/>
        <w:rPr>
          <w:rFonts w:ascii="Arial" w:hAnsi="Arial" w:cs="Arial"/>
          <w:sz w:val="22"/>
          <w:szCs w:val="22"/>
        </w:rPr>
      </w:pPr>
    </w:p>
    <w:p w14:paraId="0708EC3A" w14:textId="77777777" w:rsidR="000D501B" w:rsidRDefault="000D501B" w:rsidP="00D132C4">
      <w:pPr>
        <w:pStyle w:val="BodyText"/>
        <w:ind w:hanging="851"/>
        <w:rPr>
          <w:rFonts w:ascii="Arial" w:hAnsi="Arial" w:cs="Arial"/>
          <w:sz w:val="22"/>
          <w:szCs w:val="22"/>
        </w:rPr>
      </w:pPr>
    </w:p>
    <w:p w14:paraId="7C5B1F6B" w14:textId="77777777" w:rsidR="000D501B" w:rsidRDefault="000D501B" w:rsidP="00D132C4">
      <w:pPr>
        <w:pStyle w:val="BodyText"/>
        <w:ind w:hanging="851"/>
        <w:rPr>
          <w:rFonts w:ascii="Arial" w:hAnsi="Arial" w:cs="Arial"/>
          <w:sz w:val="22"/>
          <w:szCs w:val="22"/>
        </w:rPr>
      </w:pPr>
    </w:p>
    <w:p w14:paraId="4ED14E78" w14:textId="77777777" w:rsidR="000D501B" w:rsidRDefault="000D501B" w:rsidP="00D132C4">
      <w:pPr>
        <w:pStyle w:val="BodyText"/>
        <w:ind w:hanging="851"/>
        <w:rPr>
          <w:rFonts w:ascii="Arial" w:hAnsi="Arial" w:cs="Arial"/>
          <w:sz w:val="22"/>
          <w:szCs w:val="22"/>
        </w:rPr>
      </w:pPr>
    </w:p>
    <w:p w14:paraId="4EBC4283" w14:textId="77777777" w:rsidR="000D501B" w:rsidRDefault="000D501B" w:rsidP="00D132C4">
      <w:pPr>
        <w:pStyle w:val="BodyText"/>
        <w:ind w:hanging="851"/>
        <w:rPr>
          <w:rFonts w:ascii="Arial" w:hAnsi="Arial" w:cs="Arial"/>
          <w:sz w:val="22"/>
          <w:szCs w:val="22"/>
        </w:rPr>
      </w:pPr>
    </w:p>
    <w:p w14:paraId="27506B2A" w14:textId="77777777" w:rsidR="000D501B" w:rsidRDefault="000D501B" w:rsidP="00D132C4">
      <w:pPr>
        <w:pStyle w:val="BodyText"/>
        <w:ind w:hanging="851"/>
        <w:rPr>
          <w:rFonts w:ascii="Arial" w:hAnsi="Arial" w:cs="Arial"/>
          <w:sz w:val="22"/>
          <w:szCs w:val="22"/>
        </w:rPr>
      </w:pPr>
    </w:p>
    <w:p w14:paraId="532C0059" w14:textId="77777777" w:rsidR="000D501B" w:rsidRDefault="000D501B" w:rsidP="00D132C4">
      <w:pPr>
        <w:pStyle w:val="BodyText"/>
        <w:ind w:hanging="851"/>
        <w:rPr>
          <w:rFonts w:ascii="Arial" w:hAnsi="Arial" w:cs="Arial"/>
          <w:sz w:val="22"/>
          <w:szCs w:val="22"/>
        </w:rPr>
      </w:pPr>
    </w:p>
    <w:p w14:paraId="5A164B38" w14:textId="77777777" w:rsidR="000D501B" w:rsidRDefault="000D501B" w:rsidP="00D132C4">
      <w:pPr>
        <w:pStyle w:val="BodyText"/>
        <w:ind w:hanging="851"/>
        <w:rPr>
          <w:rFonts w:ascii="Arial" w:hAnsi="Arial" w:cs="Arial"/>
          <w:sz w:val="22"/>
          <w:szCs w:val="22"/>
        </w:rPr>
      </w:pPr>
    </w:p>
    <w:p w14:paraId="24508AF9" w14:textId="77777777" w:rsidR="000D501B" w:rsidRDefault="000D501B" w:rsidP="00D132C4">
      <w:pPr>
        <w:pStyle w:val="BodyText"/>
        <w:ind w:hanging="851"/>
        <w:rPr>
          <w:rFonts w:ascii="Arial" w:hAnsi="Arial" w:cs="Arial"/>
          <w:sz w:val="22"/>
          <w:szCs w:val="22"/>
        </w:rPr>
      </w:pPr>
    </w:p>
    <w:p w14:paraId="40F02DF3" w14:textId="77777777" w:rsidR="000D501B" w:rsidRDefault="000D501B" w:rsidP="00D132C4">
      <w:pPr>
        <w:pStyle w:val="BodyText"/>
        <w:ind w:hanging="851"/>
        <w:rPr>
          <w:rFonts w:ascii="Arial" w:hAnsi="Arial" w:cs="Arial"/>
          <w:sz w:val="22"/>
          <w:szCs w:val="22"/>
        </w:rPr>
      </w:pPr>
    </w:p>
    <w:p w14:paraId="591FA5A8" w14:textId="77777777" w:rsidR="000D501B" w:rsidRDefault="000D501B" w:rsidP="00D132C4">
      <w:pPr>
        <w:pStyle w:val="BodyText"/>
        <w:ind w:hanging="851"/>
        <w:rPr>
          <w:rFonts w:ascii="Arial" w:hAnsi="Arial" w:cs="Arial"/>
          <w:sz w:val="22"/>
          <w:szCs w:val="22"/>
        </w:rPr>
      </w:pPr>
    </w:p>
    <w:p w14:paraId="2E230AD4" w14:textId="77777777" w:rsidR="000D501B" w:rsidRDefault="000D501B" w:rsidP="00D132C4">
      <w:pPr>
        <w:pStyle w:val="BodyText"/>
        <w:ind w:hanging="851"/>
        <w:rPr>
          <w:rFonts w:ascii="Arial" w:hAnsi="Arial" w:cs="Arial"/>
          <w:sz w:val="22"/>
          <w:szCs w:val="22"/>
        </w:rPr>
      </w:pPr>
    </w:p>
    <w:p w14:paraId="116336F8" w14:textId="77777777" w:rsidR="000D501B" w:rsidRDefault="000D501B" w:rsidP="00D132C4">
      <w:pPr>
        <w:pStyle w:val="BodyText"/>
        <w:ind w:hanging="851"/>
        <w:rPr>
          <w:rFonts w:ascii="Arial" w:hAnsi="Arial" w:cs="Arial"/>
          <w:sz w:val="22"/>
          <w:szCs w:val="22"/>
        </w:rPr>
      </w:pPr>
    </w:p>
    <w:p w14:paraId="2640744E" w14:textId="77777777" w:rsidR="000D501B" w:rsidRDefault="000D501B" w:rsidP="00D132C4">
      <w:pPr>
        <w:pStyle w:val="BodyText"/>
        <w:ind w:hanging="851"/>
        <w:rPr>
          <w:rFonts w:ascii="Arial" w:hAnsi="Arial" w:cs="Arial"/>
          <w:sz w:val="22"/>
          <w:szCs w:val="22"/>
        </w:rPr>
      </w:pPr>
    </w:p>
    <w:p w14:paraId="11BA8E42" w14:textId="77777777" w:rsidR="000D501B" w:rsidRDefault="000D501B" w:rsidP="00D132C4">
      <w:pPr>
        <w:pStyle w:val="BodyText"/>
        <w:ind w:hanging="851"/>
        <w:rPr>
          <w:rFonts w:ascii="Arial" w:hAnsi="Arial" w:cs="Arial"/>
          <w:sz w:val="22"/>
          <w:szCs w:val="22"/>
        </w:rPr>
      </w:pPr>
    </w:p>
    <w:p w14:paraId="3CF03D1D" w14:textId="77777777" w:rsidR="000D501B" w:rsidRDefault="000D501B" w:rsidP="00D132C4">
      <w:pPr>
        <w:pStyle w:val="BodyText"/>
        <w:ind w:hanging="851"/>
        <w:rPr>
          <w:rFonts w:ascii="Arial" w:hAnsi="Arial" w:cs="Arial"/>
          <w:sz w:val="22"/>
          <w:szCs w:val="22"/>
        </w:rPr>
      </w:pPr>
    </w:p>
    <w:p w14:paraId="676551C8" w14:textId="77777777" w:rsidR="000D501B" w:rsidRDefault="000D501B" w:rsidP="00D132C4">
      <w:pPr>
        <w:pStyle w:val="BodyText"/>
        <w:ind w:hanging="851"/>
        <w:rPr>
          <w:rFonts w:ascii="Arial" w:hAnsi="Arial" w:cs="Arial"/>
          <w:sz w:val="22"/>
          <w:szCs w:val="22"/>
        </w:rPr>
      </w:pPr>
    </w:p>
    <w:p w14:paraId="34FF541A" w14:textId="77777777" w:rsidR="000D501B" w:rsidRDefault="000D501B" w:rsidP="00D132C4">
      <w:pPr>
        <w:pStyle w:val="BodyText"/>
        <w:ind w:hanging="851"/>
        <w:rPr>
          <w:rFonts w:ascii="Arial" w:hAnsi="Arial" w:cs="Arial"/>
          <w:sz w:val="22"/>
          <w:szCs w:val="22"/>
        </w:rPr>
      </w:pPr>
    </w:p>
    <w:p w14:paraId="424A393E" w14:textId="77777777" w:rsidR="000D501B" w:rsidRDefault="000D501B" w:rsidP="00D132C4">
      <w:pPr>
        <w:pStyle w:val="BodyText"/>
        <w:ind w:hanging="851"/>
        <w:rPr>
          <w:rFonts w:ascii="Arial" w:hAnsi="Arial" w:cs="Arial"/>
          <w:sz w:val="22"/>
          <w:szCs w:val="22"/>
        </w:rPr>
      </w:pPr>
    </w:p>
    <w:p w14:paraId="3482EA86" w14:textId="77777777" w:rsidR="000D501B" w:rsidRDefault="000D501B" w:rsidP="00D132C4">
      <w:pPr>
        <w:pStyle w:val="BodyText"/>
        <w:ind w:hanging="851"/>
        <w:rPr>
          <w:rFonts w:ascii="Arial" w:hAnsi="Arial" w:cs="Arial"/>
          <w:sz w:val="22"/>
          <w:szCs w:val="22"/>
        </w:rPr>
      </w:pPr>
    </w:p>
    <w:p w14:paraId="1D6BD8D8" w14:textId="77777777" w:rsidR="000D501B" w:rsidRDefault="000D501B" w:rsidP="00D132C4">
      <w:pPr>
        <w:pStyle w:val="BodyText"/>
        <w:ind w:hanging="851"/>
        <w:rPr>
          <w:rFonts w:ascii="Arial" w:hAnsi="Arial" w:cs="Arial"/>
          <w:sz w:val="22"/>
          <w:szCs w:val="22"/>
        </w:rPr>
      </w:pPr>
    </w:p>
    <w:p w14:paraId="4D6A98DB" w14:textId="77777777" w:rsidR="000D501B" w:rsidRDefault="000D501B" w:rsidP="00D132C4">
      <w:pPr>
        <w:pStyle w:val="BodyText"/>
        <w:ind w:hanging="851"/>
        <w:rPr>
          <w:rFonts w:ascii="Arial" w:hAnsi="Arial" w:cs="Arial"/>
          <w:sz w:val="22"/>
          <w:szCs w:val="22"/>
        </w:rPr>
      </w:pPr>
    </w:p>
    <w:p w14:paraId="0D76E0DA" w14:textId="77777777" w:rsidR="000D501B" w:rsidRDefault="000D501B" w:rsidP="00D132C4">
      <w:pPr>
        <w:pStyle w:val="BodyText"/>
        <w:ind w:hanging="851"/>
        <w:rPr>
          <w:rFonts w:ascii="Arial" w:hAnsi="Arial" w:cs="Arial"/>
          <w:sz w:val="22"/>
          <w:szCs w:val="22"/>
        </w:rPr>
      </w:pPr>
    </w:p>
    <w:p w14:paraId="249CD620" w14:textId="77777777" w:rsidR="000D501B" w:rsidRDefault="000D501B" w:rsidP="00D132C4">
      <w:pPr>
        <w:pStyle w:val="BodyText"/>
        <w:ind w:hanging="851"/>
        <w:rPr>
          <w:rFonts w:ascii="Arial" w:hAnsi="Arial" w:cs="Arial"/>
          <w:sz w:val="22"/>
          <w:szCs w:val="22"/>
        </w:rPr>
      </w:pPr>
    </w:p>
    <w:p w14:paraId="4245646D" w14:textId="77777777" w:rsidR="000D501B" w:rsidRDefault="000D501B" w:rsidP="00D132C4">
      <w:pPr>
        <w:pStyle w:val="BodyText"/>
        <w:ind w:hanging="851"/>
        <w:rPr>
          <w:rFonts w:ascii="Arial" w:hAnsi="Arial" w:cs="Arial"/>
          <w:sz w:val="22"/>
          <w:szCs w:val="22"/>
        </w:rPr>
      </w:pPr>
    </w:p>
    <w:p w14:paraId="7B2A7F9D" w14:textId="77777777" w:rsidR="000D501B" w:rsidRDefault="000D501B" w:rsidP="00D132C4">
      <w:pPr>
        <w:pStyle w:val="BodyText"/>
        <w:ind w:hanging="851"/>
        <w:rPr>
          <w:rFonts w:ascii="Arial" w:hAnsi="Arial" w:cs="Arial"/>
          <w:sz w:val="22"/>
          <w:szCs w:val="22"/>
        </w:rPr>
      </w:pPr>
    </w:p>
    <w:p w14:paraId="286E97F5" w14:textId="77777777" w:rsidR="000D501B" w:rsidRDefault="000D501B" w:rsidP="00D132C4">
      <w:pPr>
        <w:pStyle w:val="BodyText"/>
        <w:ind w:hanging="851"/>
        <w:rPr>
          <w:rFonts w:ascii="Arial" w:hAnsi="Arial" w:cs="Arial"/>
          <w:sz w:val="22"/>
          <w:szCs w:val="22"/>
        </w:rPr>
      </w:pPr>
    </w:p>
    <w:p w14:paraId="35C85777" w14:textId="77777777" w:rsidR="000D501B" w:rsidRDefault="000D501B" w:rsidP="00D132C4">
      <w:pPr>
        <w:pStyle w:val="BodyText"/>
        <w:ind w:hanging="851"/>
        <w:rPr>
          <w:rFonts w:ascii="Arial" w:hAnsi="Arial" w:cs="Arial"/>
          <w:sz w:val="22"/>
          <w:szCs w:val="22"/>
        </w:rPr>
      </w:pPr>
    </w:p>
    <w:p w14:paraId="61D03251" w14:textId="77777777" w:rsidR="000D501B" w:rsidRDefault="000D501B" w:rsidP="00D132C4">
      <w:pPr>
        <w:pStyle w:val="BodyText"/>
        <w:ind w:hanging="851"/>
        <w:rPr>
          <w:rFonts w:ascii="Arial" w:hAnsi="Arial" w:cs="Arial"/>
          <w:sz w:val="22"/>
          <w:szCs w:val="22"/>
        </w:rPr>
      </w:pPr>
    </w:p>
    <w:p w14:paraId="0B272F36" w14:textId="77777777" w:rsidR="000D501B" w:rsidRDefault="000D501B" w:rsidP="00D132C4">
      <w:pPr>
        <w:pStyle w:val="BodyText"/>
        <w:ind w:hanging="851"/>
        <w:rPr>
          <w:rFonts w:ascii="Arial" w:hAnsi="Arial" w:cs="Arial"/>
          <w:sz w:val="22"/>
          <w:szCs w:val="22"/>
        </w:rPr>
      </w:pPr>
    </w:p>
    <w:p w14:paraId="2533C633" w14:textId="77777777" w:rsidR="000D501B" w:rsidRDefault="000D501B" w:rsidP="00D132C4">
      <w:pPr>
        <w:pStyle w:val="BodyText"/>
        <w:ind w:hanging="851"/>
        <w:rPr>
          <w:rFonts w:ascii="Arial" w:hAnsi="Arial" w:cs="Arial"/>
          <w:sz w:val="22"/>
          <w:szCs w:val="22"/>
        </w:rPr>
      </w:pPr>
    </w:p>
    <w:p w14:paraId="358121AC" w14:textId="24B26C59" w:rsidR="007704C7" w:rsidRPr="000D501B" w:rsidRDefault="00D132C4" w:rsidP="000D501B">
      <w:pPr>
        <w:pStyle w:val="Heading2"/>
        <w:numPr>
          <w:ilvl w:val="0"/>
          <w:numId w:val="0"/>
        </w:numPr>
        <w:ind w:left="-851"/>
        <w:rPr>
          <w:rFonts w:ascii="Arial Black" w:hAnsi="Arial Black"/>
          <w:i w:val="0"/>
          <w:color w:val="2E74B5" w:themeColor="accent1" w:themeShade="BF"/>
        </w:rPr>
      </w:pPr>
      <w:bookmarkStart w:id="1" w:name="_Toc454544933"/>
      <w:r w:rsidRPr="000D501B">
        <w:rPr>
          <w:rFonts w:ascii="Arial Black" w:hAnsi="Arial Black"/>
          <w:i w:val="0"/>
          <w:noProof/>
          <w:color w:val="2E74B5" w:themeColor="accent1" w:themeShade="BF"/>
          <w:lang w:eastAsia="en-GB"/>
        </w:rPr>
        <w:drawing>
          <wp:anchor distT="0" distB="0" distL="114300" distR="114300" simplePos="0" relativeHeight="251658240" behindDoc="0" locked="0" layoutInCell="1" allowOverlap="1" wp14:anchorId="04A03BD1" wp14:editId="12237AEC">
            <wp:simplePos x="0" y="0"/>
            <wp:positionH relativeFrom="column">
              <wp:posOffset>4780280</wp:posOffset>
            </wp:positionH>
            <wp:positionV relativeFrom="paragraph">
              <wp:posOffset>37465</wp:posOffset>
            </wp:positionV>
            <wp:extent cx="17145" cy="358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 cy="358775"/>
                    </a:xfrm>
                    <a:prstGeom prst="rect">
                      <a:avLst/>
                    </a:prstGeom>
                    <a:noFill/>
                  </pic:spPr>
                </pic:pic>
              </a:graphicData>
            </a:graphic>
            <wp14:sizeRelH relativeFrom="page">
              <wp14:pctWidth>0</wp14:pctWidth>
            </wp14:sizeRelH>
            <wp14:sizeRelV relativeFrom="page">
              <wp14:pctHeight>0</wp14:pctHeight>
            </wp14:sizeRelV>
          </wp:anchor>
        </w:drawing>
      </w:r>
      <w:r w:rsidR="000D501B" w:rsidRPr="000D501B">
        <w:rPr>
          <w:rFonts w:ascii="Arial Black" w:hAnsi="Arial Black"/>
          <w:i w:val="0"/>
          <w:color w:val="2E74B5" w:themeColor="accent1" w:themeShade="BF"/>
        </w:rPr>
        <w:t xml:space="preserve">1. </w:t>
      </w:r>
      <w:r w:rsidR="007E1C8C" w:rsidRPr="000D501B">
        <w:rPr>
          <w:rFonts w:ascii="Arial Black" w:hAnsi="Arial Black"/>
          <w:i w:val="0"/>
          <w:color w:val="2E74B5" w:themeColor="accent1" w:themeShade="BF"/>
        </w:rPr>
        <w:t>How to use this g</w:t>
      </w:r>
      <w:r w:rsidR="007704C7" w:rsidRPr="000D501B">
        <w:rPr>
          <w:rFonts w:ascii="Arial Black" w:hAnsi="Arial Black"/>
          <w:i w:val="0"/>
          <w:color w:val="2E74B5" w:themeColor="accent1" w:themeShade="BF"/>
        </w:rPr>
        <w:t>uide</w:t>
      </w:r>
      <w:bookmarkEnd w:id="1"/>
    </w:p>
    <w:p w14:paraId="35F59EE6" w14:textId="77777777" w:rsidR="007704C7" w:rsidRPr="00813B80" w:rsidRDefault="007704C7" w:rsidP="00603813">
      <w:pPr>
        <w:ind w:left="-851"/>
        <w:rPr>
          <w:rFonts w:cs="Arial"/>
        </w:rPr>
      </w:pPr>
    </w:p>
    <w:p w14:paraId="2ADDA81C" w14:textId="38441EC8" w:rsidR="007704C7" w:rsidRDefault="007704C7" w:rsidP="00603813">
      <w:pPr>
        <w:ind w:left="-851"/>
        <w:rPr>
          <w:rFonts w:cs="Arial"/>
        </w:rPr>
      </w:pPr>
      <w:r>
        <w:rPr>
          <w:rFonts w:cs="Arial"/>
          <w:sz w:val="22"/>
        </w:rPr>
        <w:t>This guide is intended for Review Team Leaders and Members who will be conducting a</w:t>
      </w:r>
      <w:r w:rsidR="007E1C8C">
        <w:rPr>
          <w:rFonts w:cs="Arial"/>
          <w:sz w:val="22"/>
        </w:rPr>
        <w:t>n assurance review</w:t>
      </w:r>
      <w:r>
        <w:rPr>
          <w:rFonts w:cs="Arial"/>
          <w:sz w:val="22"/>
        </w:rPr>
        <w:t xml:space="preserve">.  This document is not a substitute for departmental data and information security policies but should be used as a tool to ensure that reviewers </w:t>
      </w:r>
      <w:r w:rsidR="00A31662">
        <w:rPr>
          <w:rFonts w:cs="Arial"/>
          <w:sz w:val="22"/>
        </w:rPr>
        <w:t xml:space="preserve">align with </w:t>
      </w:r>
      <w:r>
        <w:rPr>
          <w:rFonts w:cs="Arial"/>
          <w:sz w:val="22"/>
        </w:rPr>
        <w:t>the Government</w:t>
      </w:r>
      <w:r w:rsidR="007E1C8C">
        <w:rPr>
          <w:rFonts w:cs="Arial"/>
          <w:sz w:val="22"/>
        </w:rPr>
        <w:t>’</w:t>
      </w:r>
      <w:r>
        <w:rPr>
          <w:rFonts w:cs="Arial"/>
          <w:sz w:val="22"/>
        </w:rPr>
        <w:t xml:space="preserve">s data and </w:t>
      </w:r>
      <w:r w:rsidR="00594649">
        <w:rPr>
          <w:rFonts w:cs="Arial"/>
          <w:sz w:val="22"/>
        </w:rPr>
        <w:t>information security policies.</w:t>
      </w:r>
      <w:r>
        <w:rPr>
          <w:rFonts w:cs="Arial"/>
          <w:sz w:val="22"/>
        </w:rPr>
        <w:t xml:space="preserve"> If you require guidance on programme/project Information Risk Management (IRM) or the Privacy Impact Assessments (PIA), which are </w:t>
      </w:r>
      <w:r>
        <w:rPr>
          <w:sz w:val="22"/>
        </w:rPr>
        <w:t>mandatory</w:t>
      </w:r>
      <w:r>
        <w:rPr>
          <w:rFonts w:cs="Arial"/>
          <w:sz w:val="22"/>
          <w:szCs w:val="20"/>
        </w:rPr>
        <w:t xml:space="preserve"> </w:t>
      </w:r>
      <w:r>
        <w:rPr>
          <w:sz w:val="22"/>
        </w:rPr>
        <w:t>for all new projects that involve the use, disclosure or sharing of personal data, links to the appropriate websites have been provided</w:t>
      </w:r>
      <w:r w:rsidR="00FB3FF9">
        <w:rPr>
          <w:sz w:val="22"/>
        </w:rPr>
        <w:t xml:space="preserve"> at the end of this document</w:t>
      </w:r>
      <w:r>
        <w:rPr>
          <w:sz w:val="22"/>
        </w:rPr>
        <w:t xml:space="preserve">.   </w:t>
      </w:r>
    </w:p>
    <w:p w14:paraId="148709C0" w14:textId="77777777" w:rsidR="007704C7" w:rsidRDefault="007704C7" w:rsidP="00603813">
      <w:pPr>
        <w:ind w:left="-851"/>
        <w:rPr>
          <w:rFonts w:cs="Arial"/>
        </w:rPr>
      </w:pPr>
    </w:p>
    <w:p w14:paraId="2737CF36" w14:textId="16CD34BD" w:rsidR="007704C7" w:rsidRPr="000D501B" w:rsidRDefault="000D501B" w:rsidP="000D501B">
      <w:pPr>
        <w:pStyle w:val="Heading2"/>
        <w:numPr>
          <w:ilvl w:val="0"/>
          <w:numId w:val="0"/>
        </w:numPr>
        <w:ind w:left="-851"/>
        <w:rPr>
          <w:rFonts w:ascii="Arial Black" w:hAnsi="Arial Black"/>
          <w:i w:val="0"/>
          <w:color w:val="2E74B5" w:themeColor="accent1" w:themeShade="BF"/>
        </w:rPr>
      </w:pPr>
      <w:bookmarkStart w:id="2" w:name="_Toc454544934"/>
      <w:r w:rsidRPr="000D501B">
        <w:rPr>
          <w:rFonts w:ascii="Arial Black" w:hAnsi="Arial Black"/>
          <w:b w:val="0"/>
          <w:bCs w:val="0"/>
          <w:i w:val="0"/>
          <w:iCs w:val="0"/>
          <w:color w:val="2E74B5" w:themeColor="accent1" w:themeShade="BF"/>
        </w:rPr>
        <w:t>2.</w:t>
      </w:r>
      <w:r w:rsidR="00813B80" w:rsidRPr="000D501B">
        <w:rPr>
          <w:rFonts w:ascii="Arial Black" w:hAnsi="Arial Black"/>
          <w:i w:val="0"/>
          <w:color w:val="2E74B5" w:themeColor="accent1" w:themeShade="BF"/>
        </w:rPr>
        <w:t xml:space="preserve"> </w:t>
      </w:r>
      <w:r w:rsidR="007704C7" w:rsidRPr="000D501B">
        <w:rPr>
          <w:rFonts w:ascii="Arial Black" w:hAnsi="Arial Black"/>
          <w:i w:val="0"/>
          <w:color w:val="2E74B5" w:themeColor="accent1" w:themeShade="BF"/>
        </w:rPr>
        <w:t>Data and Information Awareness</w:t>
      </w:r>
      <w:bookmarkEnd w:id="2"/>
    </w:p>
    <w:p w14:paraId="23150BE2" w14:textId="77777777" w:rsidR="007704C7" w:rsidRDefault="007704C7" w:rsidP="00603813">
      <w:pPr>
        <w:pStyle w:val="Header"/>
        <w:tabs>
          <w:tab w:val="clear" w:pos="4320"/>
          <w:tab w:val="clear" w:pos="8640"/>
        </w:tabs>
        <w:ind w:left="-851"/>
        <w:rPr>
          <w:rFonts w:ascii="Arial" w:eastAsia="Times New Roman" w:hAnsi="Arial" w:cs="Arial"/>
          <w:szCs w:val="24"/>
        </w:rPr>
      </w:pPr>
    </w:p>
    <w:p w14:paraId="79759897" w14:textId="77777777" w:rsidR="007704C7" w:rsidRDefault="007704C7" w:rsidP="00603813">
      <w:pPr>
        <w:ind w:left="-851"/>
        <w:rPr>
          <w:rFonts w:cs="Arial"/>
          <w:sz w:val="22"/>
        </w:rPr>
      </w:pPr>
      <w:r>
        <w:rPr>
          <w:rFonts w:cs="Arial"/>
          <w:sz w:val="22"/>
        </w:rPr>
        <w:t>In order to conduct a</w:t>
      </w:r>
      <w:r w:rsidR="007E1C8C">
        <w:rPr>
          <w:rFonts w:cs="Arial"/>
          <w:sz w:val="22"/>
        </w:rPr>
        <w:t>n assurance r</w:t>
      </w:r>
      <w:r>
        <w:rPr>
          <w:rFonts w:cs="Arial"/>
          <w:sz w:val="22"/>
        </w:rPr>
        <w:t xml:space="preserve">eview, review teams are provided with programme/project documentation </w:t>
      </w:r>
      <w:r w:rsidR="006906E1">
        <w:rPr>
          <w:rFonts w:cs="Arial"/>
          <w:sz w:val="22"/>
        </w:rPr>
        <w:t>which</w:t>
      </w:r>
      <w:r>
        <w:rPr>
          <w:rFonts w:cs="Arial"/>
          <w:sz w:val="22"/>
        </w:rPr>
        <w:t xml:space="preserve"> will have the appropriate security markings identified by the programme/project team.  At the </w:t>
      </w:r>
      <w:r w:rsidR="007E1C8C">
        <w:rPr>
          <w:rFonts w:cs="Arial"/>
          <w:sz w:val="22"/>
        </w:rPr>
        <w:t>a</w:t>
      </w:r>
      <w:r w:rsidR="006906E1">
        <w:rPr>
          <w:rFonts w:cs="Arial"/>
          <w:sz w:val="22"/>
        </w:rPr>
        <w:t>s</w:t>
      </w:r>
      <w:r>
        <w:rPr>
          <w:rFonts w:cs="Arial"/>
          <w:sz w:val="22"/>
        </w:rPr>
        <w:t xml:space="preserve">sessment and </w:t>
      </w:r>
      <w:r w:rsidR="007E1C8C">
        <w:rPr>
          <w:rFonts w:cs="Arial"/>
          <w:sz w:val="22"/>
        </w:rPr>
        <w:t>p</w:t>
      </w:r>
      <w:r>
        <w:rPr>
          <w:rFonts w:cs="Arial"/>
          <w:sz w:val="22"/>
        </w:rPr>
        <w:t xml:space="preserve">lanning </w:t>
      </w:r>
      <w:r w:rsidR="007E1C8C">
        <w:rPr>
          <w:rFonts w:cs="Arial"/>
          <w:sz w:val="22"/>
        </w:rPr>
        <w:t>m</w:t>
      </w:r>
      <w:r>
        <w:rPr>
          <w:rFonts w:cs="Arial"/>
          <w:sz w:val="22"/>
        </w:rPr>
        <w:t xml:space="preserve">eetings, the programme/project should be asked to identify any </w:t>
      </w:r>
      <w:r w:rsidR="00EE0510">
        <w:rPr>
          <w:rFonts w:cs="Arial"/>
          <w:sz w:val="22"/>
        </w:rPr>
        <w:t xml:space="preserve">current </w:t>
      </w:r>
      <w:r>
        <w:rPr>
          <w:rFonts w:cs="Arial"/>
          <w:sz w:val="22"/>
        </w:rPr>
        <w:t>information and data security practices and agree the detailed practical arrangements for exchange, storage and disposal of programme/project documentation giving regard to the following guidance:</w:t>
      </w:r>
    </w:p>
    <w:p w14:paraId="2F6BE19A" w14:textId="77777777" w:rsidR="007704C7" w:rsidRDefault="007704C7" w:rsidP="00603813">
      <w:pPr>
        <w:ind w:left="-851"/>
        <w:rPr>
          <w:rFonts w:cs="Arial"/>
          <w:sz w:val="22"/>
        </w:rPr>
      </w:pPr>
      <w:r>
        <w:rPr>
          <w:rFonts w:cs="Arial"/>
          <w:sz w:val="22"/>
        </w:rPr>
        <w:t xml:space="preserve">  </w:t>
      </w:r>
    </w:p>
    <w:p w14:paraId="58BA9774" w14:textId="7FBA9E27" w:rsidR="007704C7" w:rsidRDefault="007704C7" w:rsidP="00603813">
      <w:pPr>
        <w:numPr>
          <w:ilvl w:val="0"/>
          <w:numId w:val="2"/>
        </w:numPr>
        <w:tabs>
          <w:tab w:val="clear" w:pos="170"/>
          <w:tab w:val="num" w:pos="-840"/>
          <w:tab w:val="num" w:pos="-426"/>
        </w:tabs>
        <w:ind w:left="-851" w:firstLine="0"/>
        <w:rPr>
          <w:rFonts w:cs="Arial"/>
          <w:sz w:val="22"/>
        </w:rPr>
      </w:pPr>
      <w:r w:rsidRPr="003C1C66">
        <w:rPr>
          <w:rFonts w:cs="Arial"/>
          <w:b/>
          <w:sz w:val="22"/>
        </w:rPr>
        <w:t>Know what you have</w:t>
      </w:r>
      <w:r>
        <w:rPr>
          <w:rFonts w:cs="Arial"/>
          <w:sz w:val="22"/>
        </w:rPr>
        <w:t xml:space="preserve"> - </w:t>
      </w:r>
      <w:r w:rsidR="007E1C8C">
        <w:rPr>
          <w:rFonts w:cs="Arial"/>
          <w:sz w:val="22"/>
        </w:rPr>
        <w:t>i</w:t>
      </w:r>
      <w:r>
        <w:rPr>
          <w:rFonts w:cs="Arial"/>
          <w:sz w:val="22"/>
        </w:rPr>
        <w:t xml:space="preserve">nformation is a significant business asset for Government and is key to the delivery of business.  All reviewers should understand the application of the </w:t>
      </w:r>
      <w:r w:rsidR="007E1C8C">
        <w:rPr>
          <w:rFonts w:cs="Arial"/>
          <w:sz w:val="22"/>
        </w:rPr>
        <w:t xml:space="preserve">Government Security </w:t>
      </w:r>
      <w:r w:rsidR="003C1C66">
        <w:rPr>
          <w:rFonts w:cs="Arial"/>
          <w:sz w:val="22"/>
        </w:rPr>
        <w:t xml:space="preserve">Classification </w:t>
      </w:r>
      <w:r w:rsidR="00EE0510">
        <w:rPr>
          <w:rFonts w:cs="Arial"/>
          <w:sz w:val="22"/>
        </w:rPr>
        <w:t>S</w:t>
      </w:r>
      <w:r w:rsidR="003C1C66">
        <w:rPr>
          <w:rFonts w:cs="Arial"/>
          <w:sz w:val="22"/>
        </w:rPr>
        <w:t xml:space="preserve">ystem </w:t>
      </w:r>
      <w:r w:rsidRPr="00EE0510">
        <w:rPr>
          <w:rFonts w:cs="Arial"/>
          <w:sz w:val="22"/>
        </w:rPr>
        <w:t>(see Annex A)</w:t>
      </w:r>
      <w:r>
        <w:rPr>
          <w:rFonts w:cs="Arial"/>
          <w:sz w:val="22"/>
        </w:rPr>
        <w:t xml:space="preserve">. This includes awareness of how the data or information in your care should be </w:t>
      </w:r>
      <w:r w:rsidR="00EE0510">
        <w:rPr>
          <w:rFonts w:cs="Arial"/>
          <w:sz w:val="22"/>
        </w:rPr>
        <w:t xml:space="preserve">accessed, </w:t>
      </w:r>
      <w:r>
        <w:rPr>
          <w:rFonts w:cs="Arial"/>
          <w:sz w:val="22"/>
        </w:rPr>
        <w:t>stored, posted, emailed and disposed</w:t>
      </w:r>
      <w:r w:rsidR="00EE0510">
        <w:rPr>
          <w:rFonts w:cs="Arial"/>
          <w:sz w:val="22"/>
        </w:rPr>
        <w:t xml:space="preserve"> of</w:t>
      </w:r>
      <w:r>
        <w:rPr>
          <w:rFonts w:cs="Arial"/>
          <w:sz w:val="22"/>
        </w:rPr>
        <w:t>.</w:t>
      </w:r>
    </w:p>
    <w:p w14:paraId="09511410" w14:textId="77777777" w:rsidR="007704C7" w:rsidRDefault="007704C7" w:rsidP="00603813">
      <w:pPr>
        <w:tabs>
          <w:tab w:val="num" w:pos="-840"/>
        </w:tabs>
        <w:ind w:left="-851"/>
        <w:rPr>
          <w:rFonts w:cs="Arial"/>
          <w:sz w:val="22"/>
        </w:rPr>
      </w:pPr>
    </w:p>
    <w:p w14:paraId="067B51E7" w14:textId="77777777" w:rsidR="007704C7" w:rsidRDefault="007704C7" w:rsidP="00603813">
      <w:pPr>
        <w:numPr>
          <w:ilvl w:val="0"/>
          <w:numId w:val="2"/>
        </w:numPr>
        <w:tabs>
          <w:tab w:val="clear" w:pos="170"/>
          <w:tab w:val="num" w:pos="-840"/>
          <w:tab w:val="num" w:pos="-426"/>
        </w:tabs>
        <w:ind w:left="-851" w:firstLine="0"/>
        <w:rPr>
          <w:rFonts w:cs="Arial"/>
          <w:sz w:val="22"/>
        </w:rPr>
      </w:pPr>
      <w:r>
        <w:rPr>
          <w:rFonts w:cs="Arial"/>
          <w:b/>
          <w:sz w:val="22"/>
        </w:rPr>
        <w:t>Look after information</w:t>
      </w:r>
      <w:r>
        <w:rPr>
          <w:rFonts w:cs="Arial"/>
          <w:sz w:val="22"/>
        </w:rPr>
        <w:t xml:space="preserve"> - </w:t>
      </w:r>
      <w:r w:rsidR="00EE0510">
        <w:rPr>
          <w:rFonts w:cs="Arial"/>
          <w:sz w:val="22"/>
        </w:rPr>
        <w:t>a</w:t>
      </w:r>
      <w:r>
        <w:rPr>
          <w:rFonts w:cs="Arial"/>
          <w:sz w:val="22"/>
        </w:rPr>
        <w:t xml:space="preserve">ll reviewers have an individual responsibility to ensure that all appropriately marked, sensitive or critical business information provided to them, whether on paper or in electronic form is secure at all times. </w:t>
      </w:r>
      <w:r>
        <w:rPr>
          <w:rFonts w:cs="Arial"/>
          <w:sz w:val="22"/>
        </w:rPr>
        <w:br/>
      </w:r>
    </w:p>
    <w:p w14:paraId="4401C536" w14:textId="77777777" w:rsidR="007704C7" w:rsidRDefault="007704C7" w:rsidP="00603813">
      <w:pPr>
        <w:numPr>
          <w:ilvl w:val="0"/>
          <w:numId w:val="2"/>
        </w:numPr>
        <w:tabs>
          <w:tab w:val="clear" w:pos="170"/>
          <w:tab w:val="num" w:pos="-840"/>
          <w:tab w:val="num" w:pos="-426"/>
        </w:tabs>
        <w:ind w:left="-851" w:firstLine="0"/>
        <w:rPr>
          <w:rFonts w:cs="Arial"/>
          <w:sz w:val="22"/>
        </w:rPr>
      </w:pPr>
      <w:r>
        <w:rPr>
          <w:rFonts w:cs="Arial"/>
          <w:b/>
          <w:sz w:val="22"/>
        </w:rPr>
        <w:t xml:space="preserve">Commercial and </w:t>
      </w:r>
      <w:r w:rsidR="00EE0510">
        <w:rPr>
          <w:rFonts w:cs="Arial"/>
          <w:b/>
          <w:sz w:val="22"/>
        </w:rPr>
        <w:t>p</w:t>
      </w:r>
      <w:r>
        <w:rPr>
          <w:rFonts w:cs="Arial"/>
          <w:b/>
          <w:sz w:val="22"/>
        </w:rPr>
        <w:t>ersonal information</w:t>
      </w:r>
      <w:r>
        <w:rPr>
          <w:rFonts w:cs="Arial"/>
          <w:sz w:val="22"/>
        </w:rPr>
        <w:t xml:space="preserve"> – </w:t>
      </w:r>
      <w:r w:rsidR="00961067">
        <w:rPr>
          <w:rFonts w:cs="Arial"/>
          <w:sz w:val="22"/>
        </w:rPr>
        <w:t>p</w:t>
      </w:r>
      <w:r>
        <w:rPr>
          <w:rFonts w:cs="Arial"/>
          <w:sz w:val="22"/>
        </w:rPr>
        <w:t>rogrammes/projects may hold sensitive commercial or personal information.  Should reviewers receive any documentation that is commercially sensitive or holds personal information, they are responsible for ensuring that the data or information is secured.</w:t>
      </w:r>
    </w:p>
    <w:p w14:paraId="3E263F3A" w14:textId="77777777" w:rsidR="00EE0510" w:rsidRDefault="00EE0510" w:rsidP="008B1408">
      <w:pPr>
        <w:ind w:left="-851"/>
        <w:rPr>
          <w:rFonts w:cs="Arial"/>
          <w:sz w:val="22"/>
        </w:rPr>
      </w:pPr>
    </w:p>
    <w:p w14:paraId="5C545E06" w14:textId="77777777" w:rsidR="003C1C66" w:rsidRDefault="007704C7" w:rsidP="008B1408">
      <w:pPr>
        <w:numPr>
          <w:ilvl w:val="0"/>
          <w:numId w:val="2"/>
        </w:numPr>
        <w:tabs>
          <w:tab w:val="clear" w:pos="170"/>
          <w:tab w:val="num" w:pos="-840"/>
          <w:tab w:val="num" w:pos="-426"/>
        </w:tabs>
        <w:ind w:left="-851" w:firstLine="0"/>
        <w:rPr>
          <w:rFonts w:cs="Arial"/>
          <w:sz w:val="22"/>
        </w:rPr>
      </w:pPr>
      <w:r>
        <w:rPr>
          <w:b/>
          <w:sz w:val="22"/>
        </w:rPr>
        <w:t>Laptops</w:t>
      </w:r>
      <w:r>
        <w:rPr>
          <w:sz w:val="22"/>
        </w:rPr>
        <w:t xml:space="preserve"> – </w:t>
      </w:r>
      <w:r>
        <w:rPr>
          <w:rFonts w:cs="Arial"/>
          <w:sz w:val="22"/>
        </w:rPr>
        <w:t>The following advice and guidance is provided for the use of all laptops:</w:t>
      </w:r>
    </w:p>
    <w:p w14:paraId="2BA7F0BC" w14:textId="77777777" w:rsidR="003C1C66" w:rsidRPr="003C1C66" w:rsidRDefault="003C1C66" w:rsidP="008B1408">
      <w:pPr>
        <w:ind w:left="-426"/>
        <w:rPr>
          <w:rFonts w:cs="Arial"/>
          <w:sz w:val="22"/>
        </w:rPr>
      </w:pPr>
    </w:p>
    <w:p w14:paraId="64CB2CFE" w14:textId="77777777" w:rsidR="007704C7" w:rsidRDefault="00EE0510" w:rsidP="008B1408">
      <w:pPr>
        <w:numPr>
          <w:ilvl w:val="0"/>
          <w:numId w:val="6"/>
        </w:numPr>
        <w:ind w:left="-426" w:firstLine="0"/>
        <w:rPr>
          <w:rFonts w:cs="Arial"/>
          <w:sz w:val="22"/>
        </w:rPr>
      </w:pPr>
      <w:r>
        <w:rPr>
          <w:rFonts w:cs="Arial"/>
          <w:snapToGrid w:val="0"/>
          <w:sz w:val="22"/>
          <w:lang w:val="en-AU"/>
        </w:rPr>
        <w:t>t</w:t>
      </w:r>
      <w:r w:rsidR="007704C7">
        <w:rPr>
          <w:rFonts w:cs="Arial"/>
          <w:snapToGrid w:val="0"/>
          <w:sz w:val="22"/>
          <w:lang w:val="en-AU"/>
        </w:rPr>
        <w:t xml:space="preserve">ake care of </w:t>
      </w:r>
      <w:r w:rsidR="007704C7">
        <w:rPr>
          <w:rFonts w:cs="Arial"/>
          <w:sz w:val="22"/>
        </w:rPr>
        <w:t>laptops</w:t>
      </w:r>
      <w:r w:rsidR="007704C7">
        <w:rPr>
          <w:rFonts w:cs="Arial"/>
          <w:snapToGrid w:val="0"/>
          <w:sz w:val="22"/>
          <w:lang w:val="en-AU"/>
        </w:rPr>
        <w:t xml:space="preserve"> when in transit - don’t leave them unattended</w:t>
      </w:r>
      <w:r>
        <w:rPr>
          <w:rFonts w:cs="Arial"/>
          <w:snapToGrid w:val="0"/>
          <w:sz w:val="22"/>
          <w:lang w:val="en-AU"/>
        </w:rPr>
        <w:t>;</w:t>
      </w:r>
    </w:p>
    <w:p w14:paraId="6189FE2A" w14:textId="77777777" w:rsidR="007704C7" w:rsidRPr="00EE0510" w:rsidRDefault="00EE0510" w:rsidP="008B1408">
      <w:pPr>
        <w:numPr>
          <w:ilvl w:val="0"/>
          <w:numId w:val="6"/>
        </w:numPr>
        <w:ind w:left="0" w:hanging="426"/>
        <w:rPr>
          <w:rFonts w:cs="Arial"/>
          <w:snapToGrid w:val="0"/>
          <w:sz w:val="22"/>
          <w:lang w:val="en-AU"/>
        </w:rPr>
      </w:pPr>
      <w:r w:rsidRPr="00EE0510">
        <w:rPr>
          <w:rFonts w:cs="Arial"/>
          <w:snapToGrid w:val="0"/>
          <w:sz w:val="22"/>
          <w:lang w:val="en-AU"/>
        </w:rPr>
        <w:t>a</w:t>
      </w:r>
      <w:r w:rsidR="007704C7" w:rsidRPr="00EE0510">
        <w:rPr>
          <w:rFonts w:cs="Arial"/>
          <w:snapToGrid w:val="0"/>
          <w:sz w:val="22"/>
          <w:lang w:val="en-AU"/>
        </w:rPr>
        <w:t>void drawing unnecessary attention to portable IT equipment especially if travelling or</w:t>
      </w:r>
      <w:r>
        <w:rPr>
          <w:rFonts w:cs="Arial"/>
          <w:snapToGrid w:val="0"/>
          <w:sz w:val="22"/>
          <w:lang w:val="en-AU"/>
        </w:rPr>
        <w:t xml:space="preserve"> </w:t>
      </w:r>
      <w:r w:rsidR="007704C7">
        <w:rPr>
          <w:rFonts w:cs="Arial"/>
          <w:snapToGrid w:val="0"/>
          <w:sz w:val="22"/>
          <w:lang w:val="en-AU"/>
        </w:rPr>
        <w:t>passing through public areas</w:t>
      </w:r>
      <w:r>
        <w:rPr>
          <w:rFonts w:cs="Arial"/>
          <w:snapToGrid w:val="0"/>
          <w:sz w:val="22"/>
          <w:lang w:val="en-AU"/>
        </w:rPr>
        <w:t>;</w:t>
      </w:r>
    </w:p>
    <w:p w14:paraId="05E86EB2" w14:textId="2C4A20D0" w:rsidR="007704C7" w:rsidRDefault="00EE0510" w:rsidP="008B1408">
      <w:pPr>
        <w:numPr>
          <w:ilvl w:val="0"/>
          <w:numId w:val="6"/>
        </w:numPr>
        <w:ind w:left="-426" w:firstLine="0"/>
        <w:rPr>
          <w:rFonts w:cs="Arial"/>
          <w:sz w:val="22"/>
        </w:rPr>
      </w:pPr>
      <w:r>
        <w:rPr>
          <w:rFonts w:cs="Arial"/>
          <w:snapToGrid w:val="0"/>
          <w:sz w:val="22"/>
          <w:lang w:val="en-AU"/>
        </w:rPr>
        <w:t>b</w:t>
      </w:r>
      <w:r w:rsidR="007704C7">
        <w:rPr>
          <w:rFonts w:cs="Arial"/>
          <w:snapToGrid w:val="0"/>
          <w:sz w:val="22"/>
          <w:lang w:val="en-AU"/>
        </w:rPr>
        <w:t>e particularly alert when leaving laptops to go through x-ray machines at airports, etc</w:t>
      </w:r>
      <w:r w:rsidR="00594649">
        <w:rPr>
          <w:rFonts w:cs="Arial"/>
          <w:snapToGrid w:val="0"/>
          <w:sz w:val="22"/>
          <w:lang w:val="en-AU"/>
        </w:rPr>
        <w:t>.</w:t>
      </w:r>
      <w:r>
        <w:rPr>
          <w:rFonts w:cs="Arial"/>
          <w:snapToGrid w:val="0"/>
          <w:sz w:val="22"/>
          <w:lang w:val="en-AU"/>
        </w:rPr>
        <w:t>;</w:t>
      </w:r>
      <w:r w:rsidR="007704C7">
        <w:rPr>
          <w:rFonts w:cs="Arial"/>
          <w:snapToGrid w:val="0"/>
          <w:sz w:val="22"/>
          <w:lang w:val="en-AU"/>
        </w:rPr>
        <w:t xml:space="preserve"> </w:t>
      </w:r>
    </w:p>
    <w:p w14:paraId="40EB698C" w14:textId="73B67516" w:rsidR="007704C7" w:rsidRPr="00FB3FF9" w:rsidRDefault="00FB3FF9" w:rsidP="008B1408">
      <w:pPr>
        <w:numPr>
          <w:ilvl w:val="0"/>
          <w:numId w:val="6"/>
        </w:numPr>
        <w:ind w:left="0" w:hanging="426"/>
        <w:rPr>
          <w:rFonts w:cs="Arial"/>
          <w:sz w:val="22"/>
        </w:rPr>
      </w:pPr>
      <w:r>
        <w:rPr>
          <w:rFonts w:cs="Arial"/>
          <w:snapToGrid w:val="0"/>
          <w:sz w:val="22"/>
          <w:lang w:val="en-AU"/>
        </w:rPr>
        <w:t>never leave any assets or materia</w:t>
      </w:r>
      <w:r w:rsidR="00A31662">
        <w:rPr>
          <w:rFonts w:cs="Arial"/>
          <w:snapToGrid w:val="0"/>
          <w:sz w:val="22"/>
          <w:lang w:val="en-AU"/>
        </w:rPr>
        <w:t>l unattended in a public place</w:t>
      </w:r>
      <w:r w:rsidR="00EE0510" w:rsidRPr="00FB3FF9">
        <w:rPr>
          <w:rFonts w:cs="Arial"/>
          <w:snapToGrid w:val="0"/>
          <w:sz w:val="22"/>
          <w:lang w:val="en-AU"/>
        </w:rPr>
        <w:t>;</w:t>
      </w:r>
    </w:p>
    <w:p w14:paraId="223CF342" w14:textId="77777777" w:rsidR="007704C7" w:rsidRPr="00EE0510" w:rsidRDefault="00EE0510" w:rsidP="008B1408">
      <w:pPr>
        <w:numPr>
          <w:ilvl w:val="0"/>
          <w:numId w:val="6"/>
        </w:numPr>
        <w:ind w:left="0" w:hanging="426"/>
        <w:rPr>
          <w:rFonts w:cs="Arial"/>
          <w:sz w:val="22"/>
        </w:rPr>
      </w:pPr>
      <w:r w:rsidRPr="00EE0510">
        <w:rPr>
          <w:rFonts w:cs="Arial"/>
          <w:snapToGrid w:val="0"/>
          <w:sz w:val="22"/>
          <w:lang w:val="en-AU"/>
        </w:rPr>
        <w:t>l</w:t>
      </w:r>
      <w:r w:rsidR="007704C7" w:rsidRPr="00EE0510">
        <w:rPr>
          <w:rFonts w:cs="Arial"/>
          <w:snapToGrid w:val="0"/>
          <w:sz w:val="22"/>
          <w:lang w:val="en-AU"/>
        </w:rPr>
        <w:t>ock laptops in the car boot rather than inside whilst on the road but be aware of potential</w:t>
      </w:r>
      <w:r>
        <w:rPr>
          <w:rFonts w:cs="Arial"/>
          <w:snapToGrid w:val="0"/>
          <w:sz w:val="22"/>
          <w:lang w:val="en-AU"/>
        </w:rPr>
        <w:t xml:space="preserve"> </w:t>
      </w:r>
      <w:r w:rsidR="007704C7" w:rsidRPr="00EE0510">
        <w:rPr>
          <w:rFonts w:cs="Arial"/>
          <w:snapToGrid w:val="0"/>
          <w:sz w:val="22"/>
          <w:lang w:val="en-AU"/>
        </w:rPr>
        <w:t>thieves observing you placing a laptop in the boot</w:t>
      </w:r>
      <w:r>
        <w:rPr>
          <w:rFonts w:cs="Arial"/>
          <w:snapToGrid w:val="0"/>
          <w:sz w:val="22"/>
          <w:lang w:val="en-AU"/>
        </w:rPr>
        <w:t>;</w:t>
      </w:r>
    </w:p>
    <w:p w14:paraId="174CE4D3" w14:textId="77777777" w:rsidR="007704C7" w:rsidRDefault="00EE0510" w:rsidP="008B1408">
      <w:pPr>
        <w:numPr>
          <w:ilvl w:val="0"/>
          <w:numId w:val="6"/>
        </w:numPr>
        <w:tabs>
          <w:tab w:val="left" w:pos="-709"/>
        </w:tabs>
        <w:ind w:left="-426" w:firstLine="0"/>
        <w:rPr>
          <w:rFonts w:cs="Arial"/>
          <w:sz w:val="22"/>
        </w:rPr>
      </w:pPr>
      <w:r>
        <w:rPr>
          <w:rFonts w:cs="Arial"/>
          <w:snapToGrid w:val="0"/>
          <w:sz w:val="22"/>
          <w:lang w:val="en-AU"/>
        </w:rPr>
        <w:t>l</w:t>
      </w:r>
      <w:r w:rsidR="007704C7">
        <w:rPr>
          <w:rFonts w:cs="Arial"/>
          <w:snapToGrid w:val="0"/>
          <w:sz w:val="22"/>
          <w:lang w:val="en-AU"/>
        </w:rPr>
        <w:t>aptops must not be left in your vehicle overnight</w:t>
      </w:r>
      <w:r>
        <w:rPr>
          <w:rFonts w:cs="Arial"/>
          <w:snapToGrid w:val="0"/>
          <w:sz w:val="22"/>
          <w:lang w:val="en-AU"/>
        </w:rPr>
        <w:t>;</w:t>
      </w:r>
      <w:r w:rsidR="007704C7">
        <w:rPr>
          <w:rFonts w:cs="Arial"/>
          <w:snapToGrid w:val="0"/>
          <w:sz w:val="22"/>
          <w:lang w:val="en-AU"/>
        </w:rPr>
        <w:t xml:space="preserve">  </w:t>
      </w:r>
    </w:p>
    <w:p w14:paraId="7BF32ED1" w14:textId="77777777" w:rsidR="007704C7" w:rsidRPr="001A739C" w:rsidRDefault="00EE0510" w:rsidP="008B1408">
      <w:pPr>
        <w:numPr>
          <w:ilvl w:val="0"/>
          <w:numId w:val="6"/>
        </w:numPr>
        <w:ind w:left="0" w:hanging="426"/>
        <w:rPr>
          <w:rFonts w:cs="Arial"/>
          <w:sz w:val="22"/>
        </w:rPr>
      </w:pPr>
      <w:r w:rsidRPr="00B9310E">
        <w:rPr>
          <w:rFonts w:cs="Arial"/>
          <w:snapToGrid w:val="0"/>
          <w:sz w:val="22"/>
          <w:lang w:val="en-AU"/>
        </w:rPr>
        <w:t>s</w:t>
      </w:r>
      <w:r w:rsidR="007704C7" w:rsidRPr="00B9310E">
        <w:rPr>
          <w:rFonts w:cs="Arial"/>
          <w:snapToGrid w:val="0"/>
          <w:sz w:val="22"/>
          <w:lang w:val="en-AU"/>
        </w:rPr>
        <w:t>tore any access key devices away from the laptop and make sure that there is no indication</w:t>
      </w:r>
      <w:r w:rsidR="00B9310E">
        <w:rPr>
          <w:rFonts w:cs="Arial"/>
          <w:snapToGrid w:val="0"/>
          <w:sz w:val="22"/>
          <w:lang w:val="en-AU"/>
        </w:rPr>
        <w:t xml:space="preserve"> </w:t>
      </w:r>
      <w:r w:rsidR="007704C7" w:rsidRPr="00B9310E">
        <w:rPr>
          <w:rFonts w:cs="Arial"/>
          <w:snapToGrid w:val="0"/>
          <w:sz w:val="22"/>
          <w:lang w:val="en-AU"/>
        </w:rPr>
        <w:t>of their purpose</w:t>
      </w:r>
      <w:r w:rsidR="00B9310E">
        <w:rPr>
          <w:rFonts w:cs="Arial"/>
          <w:snapToGrid w:val="0"/>
          <w:sz w:val="22"/>
          <w:lang w:val="en-AU"/>
        </w:rPr>
        <w:t>; and</w:t>
      </w:r>
    </w:p>
    <w:p w14:paraId="3552354E" w14:textId="77777777" w:rsidR="001A739C" w:rsidRPr="000D501B" w:rsidRDefault="001A739C" w:rsidP="001A739C">
      <w:pPr>
        <w:rPr>
          <w:rFonts w:cs="Arial"/>
          <w:sz w:val="22"/>
        </w:rPr>
      </w:pPr>
    </w:p>
    <w:p w14:paraId="7F53623D" w14:textId="77777777" w:rsidR="000D501B" w:rsidRPr="00B9310E" w:rsidRDefault="000D501B" w:rsidP="000D501B">
      <w:pPr>
        <w:rPr>
          <w:rFonts w:cs="Arial"/>
          <w:sz w:val="22"/>
        </w:rPr>
      </w:pPr>
    </w:p>
    <w:p w14:paraId="3B5802A9" w14:textId="77777777" w:rsidR="007704C7" w:rsidRPr="00B9310E" w:rsidRDefault="00B9310E" w:rsidP="008B1408">
      <w:pPr>
        <w:numPr>
          <w:ilvl w:val="0"/>
          <w:numId w:val="6"/>
        </w:numPr>
        <w:ind w:left="0" w:hanging="426"/>
        <w:rPr>
          <w:rFonts w:cs="Arial"/>
          <w:sz w:val="22"/>
        </w:rPr>
      </w:pPr>
      <w:r w:rsidRPr="00B9310E">
        <w:rPr>
          <w:rFonts w:cs="Arial"/>
          <w:snapToGrid w:val="0"/>
          <w:sz w:val="22"/>
          <w:lang w:val="en-AU"/>
        </w:rPr>
        <w:t>t</w:t>
      </w:r>
      <w:r w:rsidR="007704C7" w:rsidRPr="00B9310E">
        <w:rPr>
          <w:rFonts w:cs="Arial"/>
          <w:snapToGrid w:val="0"/>
          <w:sz w:val="22"/>
          <w:lang w:val="en-AU"/>
        </w:rPr>
        <w:t xml:space="preserve">ake care of </w:t>
      </w:r>
      <w:r w:rsidR="007704C7" w:rsidRPr="00B9310E">
        <w:rPr>
          <w:rFonts w:cs="Arial"/>
          <w:sz w:val="22"/>
        </w:rPr>
        <w:t>the</w:t>
      </w:r>
      <w:r w:rsidR="007704C7" w:rsidRPr="00B9310E">
        <w:rPr>
          <w:rFonts w:cs="Arial"/>
          <w:snapToGrid w:val="0"/>
          <w:sz w:val="22"/>
          <w:lang w:val="en-AU"/>
        </w:rPr>
        <w:t xml:space="preserve"> information when you are travelling </w:t>
      </w:r>
      <w:r>
        <w:rPr>
          <w:rFonts w:cs="Arial"/>
          <w:snapToGrid w:val="0"/>
          <w:sz w:val="22"/>
          <w:lang w:val="en-AU"/>
        </w:rPr>
        <w:t xml:space="preserve">e.g. </w:t>
      </w:r>
      <w:r w:rsidRPr="00FB3FF9">
        <w:rPr>
          <w:rFonts w:cs="Arial"/>
          <w:snapToGrid w:val="0"/>
          <w:sz w:val="22"/>
          <w:lang w:val="en-AU"/>
        </w:rPr>
        <w:t>use a privacy</w:t>
      </w:r>
      <w:r w:rsidR="00961067" w:rsidRPr="00FB3FF9">
        <w:rPr>
          <w:rFonts w:cs="Arial"/>
          <w:snapToGrid w:val="0"/>
          <w:sz w:val="22"/>
          <w:lang w:val="en-AU"/>
        </w:rPr>
        <w:t xml:space="preserve"> screen</w:t>
      </w:r>
      <w:r w:rsidRPr="00FB3FF9">
        <w:rPr>
          <w:rFonts w:cs="Arial"/>
          <w:snapToGrid w:val="0"/>
          <w:sz w:val="22"/>
          <w:lang w:val="en-AU"/>
        </w:rPr>
        <w:t xml:space="preserve"> filter </w:t>
      </w:r>
      <w:r w:rsidR="007704C7" w:rsidRPr="00FB3FF9">
        <w:rPr>
          <w:rFonts w:cs="Arial"/>
          <w:snapToGrid w:val="0"/>
          <w:sz w:val="22"/>
          <w:lang w:val="en-AU"/>
        </w:rPr>
        <w:t>-</w:t>
      </w:r>
      <w:r w:rsidR="007704C7" w:rsidRPr="00B9310E">
        <w:rPr>
          <w:rFonts w:cs="Arial"/>
          <w:snapToGrid w:val="0"/>
          <w:sz w:val="22"/>
          <w:lang w:val="en-AU"/>
        </w:rPr>
        <w:t xml:space="preserve"> remember fellow </w:t>
      </w:r>
      <w:r w:rsidR="007704C7" w:rsidRPr="00B9310E">
        <w:rPr>
          <w:rFonts w:cs="Arial"/>
          <w:snapToGrid w:val="0"/>
          <w:sz w:val="22"/>
        </w:rPr>
        <w:t>travellers</w:t>
      </w:r>
      <w:r w:rsidR="007704C7" w:rsidRPr="00B9310E">
        <w:rPr>
          <w:rFonts w:cs="Arial"/>
          <w:snapToGrid w:val="0"/>
          <w:sz w:val="22"/>
          <w:lang w:val="en-AU"/>
        </w:rPr>
        <w:t xml:space="preserve"> can look</w:t>
      </w:r>
      <w:r>
        <w:rPr>
          <w:rFonts w:cs="Arial"/>
          <w:snapToGrid w:val="0"/>
          <w:sz w:val="22"/>
          <w:lang w:val="en-AU"/>
        </w:rPr>
        <w:t xml:space="preserve"> </w:t>
      </w:r>
      <w:r w:rsidR="007704C7" w:rsidRPr="00B9310E">
        <w:rPr>
          <w:rFonts w:cs="Arial"/>
          <w:snapToGrid w:val="0"/>
          <w:sz w:val="22"/>
          <w:lang w:val="en-AU"/>
        </w:rPr>
        <w:t>over your shoulder if you are working on information private to the programme/project.</w:t>
      </w:r>
    </w:p>
    <w:p w14:paraId="3A6AD540" w14:textId="77777777" w:rsidR="007704C7" w:rsidRDefault="007704C7" w:rsidP="008B1408">
      <w:pPr>
        <w:pStyle w:val="Header"/>
        <w:tabs>
          <w:tab w:val="clear" w:pos="4320"/>
          <w:tab w:val="clear" w:pos="8640"/>
          <w:tab w:val="left" w:pos="900"/>
        </w:tabs>
        <w:ind w:left="-851"/>
        <w:rPr>
          <w:rFonts w:ascii="Arial" w:eastAsia="Times New Roman" w:hAnsi="Arial" w:cs="Arial"/>
          <w:sz w:val="22"/>
          <w:szCs w:val="24"/>
        </w:rPr>
      </w:pPr>
    </w:p>
    <w:p w14:paraId="2F83D982" w14:textId="608BD144" w:rsidR="007704C7" w:rsidRDefault="007704C7" w:rsidP="008B1408">
      <w:pPr>
        <w:numPr>
          <w:ilvl w:val="0"/>
          <w:numId w:val="2"/>
        </w:numPr>
        <w:tabs>
          <w:tab w:val="clear" w:pos="170"/>
          <w:tab w:val="num" w:pos="-840"/>
          <w:tab w:val="num" w:pos="-426"/>
        </w:tabs>
        <w:ind w:left="-851" w:firstLine="0"/>
        <w:rPr>
          <w:rFonts w:cs="Arial"/>
          <w:sz w:val="22"/>
        </w:rPr>
      </w:pPr>
      <w:r>
        <w:rPr>
          <w:rFonts w:cs="Arial"/>
          <w:b/>
          <w:bCs/>
          <w:sz w:val="22"/>
        </w:rPr>
        <w:t>Transmission of Materials and Data</w:t>
      </w:r>
      <w:r>
        <w:rPr>
          <w:rFonts w:cs="Arial"/>
          <w:sz w:val="22"/>
        </w:rPr>
        <w:t xml:space="preserve"> – </w:t>
      </w:r>
      <w:r w:rsidR="00961067">
        <w:rPr>
          <w:rFonts w:cs="Arial"/>
          <w:sz w:val="22"/>
        </w:rPr>
        <w:t>r</w:t>
      </w:r>
      <w:r>
        <w:rPr>
          <w:rFonts w:cs="Arial"/>
          <w:sz w:val="22"/>
        </w:rPr>
        <w:t xml:space="preserve">estrictions for the transmission of data may apply (see Annex A).  Reviewers should consider transmission methods at the </w:t>
      </w:r>
      <w:r w:rsidR="00961067" w:rsidRPr="00FB3FF9">
        <w:rPr>
          <w:rFonts w:cs="Arial"/>
          <w:sz w:val="22"/>
        </w:rPr>
        <w:t>p</w:t>
      </w:r>
      <w:r w:rsidRPr="00FB3FF9">
        <w:rPr>
          <w:rFonts w:cs="Arial"/>
          <w:sz w:val="22"/>
        </w:rPr>
        <w:t xml:space="preserve">lanning </w:t>
      </w:r>
      <w:r w:rsidR="00961067" w:rsidRPr="00FB3FF9">
        <w:rPr>
          <w:rFonts w:cs="Arial"/>
          <w:sz w:val="22"/>
        </w:rPr>
        <w:t>meeting</w:t>
      </w:r>
      <w:r w:rsidRPr="00FB3FF9">
        <w:rPr>
          <w:rFonts w:cs="Arial"/>
          <w:sz w:val="22"/>
        </w:rPr>
        <w:t xml:space="preserve"> and use</w:t>
      </w:r>
      <w:r>
        <w:rPr>
          <w:rFonts w:cs="Arial"/>
          <w:sz w:val="22"/>
        </w:rPr>
        <w:t xml:space="preserve"> alternative options if appropriate (e.g. onsite reading days</w:t>
      </w:r>
      <w:r w:rsidR="00A31662">
        <w:rPr>
          <w:rFonts w:cs="Arial"/>
          <w:sz w:val="22"/>
        </w:rPr>
        <w:t xml:space="preserve">, </w:t>
      </w:r>
      <w:r>
        <w:rPr>
          <w:rFonts w:cs="Arial"/>
          <w:sz w:val="22"/>
        </w:rPr>
        <w:t>hard copy transfer of documents</w:t>
      </w:r>
      <w:r w:rsidR="00A31662">
        <w:rPr>
          <w:rFonts w:cs="Arial"/>
          <w:sz w:val="22"/>
        </w:rPr>
        <w:t xml:space="preserve"> or encryption or documents with password protection)</w:t>
      </w:r>
      <w:r>
        <w:rPr>
          <w:rFonts w:cs="Arial"/>
          <w:sz w:val="22"/>
        </w:rPr>
        <w:t xml:space="preserve">. </w:t>
      </w:r>
    </w:p>
    <w:p w14:paraId="703C2139" w14:textId="77777777" w:rsidR="007704C7" w:rsidRDefault="007704C7" w:rsidP="008B1408">
      <w:pPr>
        <w:ind w:left="-851"/>
        <w:rPr>
          <w:rFonts w:cs="Arial"/>
          <w:sz w:val="22"/>
        </w:rPr>
      </w:pPr>
    </w:p>
    <w:p w14:paraId="4DD36F1C" w14:textId="1BFD457C" w:rsidR="007704C7" w:rsidRDefault="007704C7" w:rsidP="008B1408">
      <w:pPr>
        <w:numPr>
          <w:ilvl w:val="0"/>
          <w:numId w:val="2"/>
        </w:numPr>
        <w:tabs>
          <w:tab w:val="clear" w:pos="170"/>
          <w:tab w:val="num" w:pos="-840"/>
          <w:tab w:val="num" w:pos="-426"/>
        </w:tabs>
        <w:ind w:left="-851" w:firstLine="0"/>
        <w:rPr>
          <w:rFonts w:cs="Arial"/>
          <w:sz w:val="22"/>
        </w:rPr>
      </w:pPr>
      <w:r>
        <w:rPr>
          <w:b/>
          <w:sz w:val="22"/>
        </w:rPr>
        <w:t>Disposing of Data and Information</w:t>
      </w:r>
      <w:r>
        <w:rPr>
          <w:sz w:val="22"/>
        </w:rPr>
        <w:t xml:space="preserve"> – </w:t>
      </w:r>
      <w:r w:rsidR="00961067">
        <w:rPr>
          <w:sz w:val="22"/>
        </w:rPr>
        <w:t>a</w:t>
      </w:r>
      <w:r>
        <w:rPr>
          <w:sz w:val="22"/>
        </w:rPr>
        <w:t>s a reviewer, you are responsible for ensuring that all data and information (electronic, hard copy - including notes) that has been provided to you</w:t>
      </w:r>
      <w:r w:rsidR="00594649">
        <w:rPr>
          <w:sz w:val="22"/>
        </w:rPr>
        <w:t>,</w:t>
      </w:r>
      <w:r>
        <w:rPr>
          <w:sz w:val="22"/>
        </w:rPr>
        <w:t xml:space="preserve"> </w:t>
      </w:r>
      <w:r w:rsidR="00961067">
        <w:rPr>
          <w:sz w:val="22"/>
        </w:rPr>
        <w:t>or</w:t>
      </w:r>
      <w:r>
        <w:rPr>
          <w:sz w:val="22"/>
        </w:rPr>
        <w:t xml:space="preserve"> generated by you</w:t>
      </w:r>
      <w:r w:rsidR="00594649">
        <w:rPr>
          <w:sz w:val="22"/>
        </w:rPr>
        <w:t>,</w:t>
      </w:r>
      <w:r>
        <w:rPr>
          <w:sz w:val="22"/>
        </w:rPr>
        <w:t xml:space="preserve"> for the </w:t>
      </w:r>
      <w:r w:rsidR="00961067">
        <w:rPr>
          <w:sz w:val="22"/>
        </w:rPr>
        <w:t>r</w:t>
      </w:r>
      <w:r>
        <w:rPr>
          <w:sz w:val="22"/>
        </w:rPr>
        <w:t>eview</w:t>
      </w:r>
      <w:r w:rsidR="00594649">
        <w:rPr>
          <w:sz w:val="22"/>
        </w:rPr>
        <w:t xml:space="preserve"> is disposed of securely or returned to the </w:t>
      </w:r>
      <w:r>
        <w:rPr>
          <w:sz w:val="22"/>
        </w:rPr>
        <w:t xml:space="preserve">programme/project team for disposal at the end of the </w:t>
      </w:r>
      <w:r w:rsidR="00961067">
        <w:rPr>
          <w:sz w:val="22"/>
        </w:rPr>
        <w:t>review</w:t>
      </w:r>
      <w:r>
        <w:rPr>
          <w:sz w:val="22"/>
        </w:rPr>
        <w:t xml:space="preserve">.  Any reviewer that is discovered to be holding any data or information after the </w:t>
      </w:r>
      <w:r w:rsidR="00961067">
        <w:rPr>
          <w:sz w:val="22"/>
        </w:rPr>
        <w:t>r</w:t>
      </w:r>
      <w:r>
        <w:rPr>
          <w:sz w:val="22"/>
        </w:rPr>
        <w:t xml:space="preserve">eview is completed (including the Final Review Report) may have their </w:t>
      </w:r>
      <w:r w:rsidR="00961067">
        <w:rPr>
          <w:sz w:val="22"/>
        </w:rPr>
        <w:t>assurance</w:t>
      </w:r>
      <w:r>
        <w:rPr>
          <w:sz w:val="22"/>
        </w:rPr>
        <w:t xml:space="preserve"> </w:t>
      </w:r>
      <w:r w:rsidR="00961067">
        <w:rPr>
          <w:sz w:val="22"/>
        </w:rPr>
        <w:t>r</w:t>
      </w:r>
      <w:r>
        <w:rPr>
          <w:sz w:val="22"/>
        </w:rPr>
        <w:t xml:space="preserve">eviewer </w:t>
      </w:r>
      <w:r w:rsidR="00961067">
        <w:rPr>
          <w:sz w:val="22"/>
        </w:rPr>
        <w:t>a</w:t>
      </w:r>
      <w:r>
        <w:rPr>
          <w:sz w:val="22"/>
        </w:rPr>
        <w:t xml:space="preserve">ccreditation revoked.  </w:t>
      </w:r>
    </w:p>
    <w:p w14:paraId="4ADC3809" w14:textId="536035C0" w:rsidR="007704C7" w:rsidRPr="000D501B" w:rsidRDefault="000D501B" w:rsidP="000D501B">
      <w:pPr>
        <w:pStyle w:val="Heading2"/>
        <w:numPr>
          <w:ilvl w:val="0"/>
          <w:numId w:val="0"/>
        </w:numPr>
        <w:ind w:left="-851"/>
        <w:rPr>
          <w:rFonts w:ascii="Arial Black" w:hAnsi="Arial Black"/>
          <w:b w:val="0"/>
          <w:i w:val="0"/>
        </w:rPr>
      </w:pPr>
      <w:bookmarkStart w:id="3" w:name="_Toc454544935"/>
      <w:r w:rsidRPr="000D501B">
        <w:rPr>
          <w:rFonts w:ascii="Arial Black" w:hAnsi="Arial Black"/>
          <w:b w:val="0"/>
          <w:i w:val="0"/>
          <w:color w:val="2E74B5" w:themeColor="accent1" w:themeShade="BF"/>
        </w:rPr>
        <w:t xml:space="preserve">3. </w:t>
      </w:r>
      <w:r w:rsidR="007704C7" w:rsidRPr="000D501B">
        <w:rPr>
          <w:rFonts w:ascii="Arial Black" w:hAnsi="Arial Black"/>
          <w:b w:val="0"/>
          <w:i w:val="0"/>
          <w:color w:val="2E74B5" w:themeColor="accent1" w:themeShade="BF"/>
        </w:rPr>
        <w:t xml:space="preserve">Procedures for </w:t>
      </w:r>
      <w:r w:rsidR="00D84867" w:rsidRPr="000D501B">
        <w:rPr>
          <w:rFonts w:ascii="Arial Black" w:hAnsi="Arial Black"/>
          <w:b w:val="0"/>
          <w:i w:val="0"/>
          <w:color w:val="2E74B5" w:themeColor="accent1" w:themeShade="BF"/>
        </w:rPr>
        <w:t>hand</w:t>
      </w:r>
      <w:r w:rsidR="00594649" w:rsidRPr="000D501B">
        <w:rPr>
          <w:rFonts w:ascii="Arial Black" w:hAnsi="Arial Black"/>
          <w:b w:val="0"/>
          <w:i w:val="0"/>
          <w:color w:val="2E74B5" w:themeColor="accent1" w:themeShade="BF"/>
        </w:rPr>
        <w:t>l</w:t>
      </w:r>
      <w:r w:rsidR="00D84867" w:rsidRPr="000D501B">
        <w:rPr>
          <w:rFonts w:ascii="Arial Black" w:hAnsi="Arial Black"/>
          <w:b w:val="0"/>
          <w:i w:val="0"/>
          <w:color w:val="2E74B5" w:themeColor="accent1" w:themeShade="BF"/>
        </w:rPr>
        <w:t>ing a loss of d</w:t>
      </w:r>
      <w:r w:rsidR="007704C7" w:rsidRPr="000D501B">
        <w:rPr>
          <w:rFonts w:ascii="Arial Black" w:hAnsi="Arial Black"/>
          <w:b w:val="0"/>
          <w:i w:val="0"/>
          <w:color w:val="2E74B5" w:themeColor="accent1" w:themeShade="BF"/>
        </w:rPr>
        <w:t xml:space="preserve">ata or </w:t>
      </w:r>
      <w:r w:rsidR="00D84867" w:rsidRPr="000D501B">
        <w:rPr>
          <w:rFonts w:ascii="Arial Black" w:hAnsi="Arial Black"/>
          <w:b w:val="0"/>
          <w:i w:val="0"/>
          <w:color w:val="2E74B5" w:themeColor="accent1" w:themeShade="BF"/>
        </w:rPr>
        <w:t>i</w:t>
      </w:r>
      <w:r w:rsidR="007704C7" w:rsidRPr="000D501B">
        <w:rPr>
          <w:rFonts w:ascii="Arial Black" w:hAnsi="Arial Black"/>
          <w:b w:val="0"/>
          <w:i w:val="0"/>
          <w:color w:val="2E74B5" w:themeColor="accent1" w:themeShade="BF"/>
        </w:rPr>
        <w:t xml:space="preserve">nformation </w:t>
      </w:r>
      <w:r w:rsidR="00D84867" w:rsidRPr="000D501B">
        <w:rPr>
          <w:rFonts w:ascii="Arial Black" w:hAnsi="Arial Black"/>
          <w:b w:val="0"/>
          <w:i w:val="0"/>
          <w:color w:val="2E74B5" w:themeColor="accent1" w:themeShade="BF"/>
        </w:rPr>
        <w:t>from your</w:t>
      </w:r>
      <w:r w:rsidRPr="000D501B">
        <w:rPr>
          <w:rFonts w:ascii="Arial Black" w:hAnsi="Arial Black"/>
          <w:b w:val="0"/>
          <w:i w:val="0"/>
          <w:color w:val="2E74B5" w:themeColor="accent1" w:themeShade="BF"/>
        </w:rPr>
        <w:t xml:space="preserve"> </w:t>
      </w:r>
      <w:r w:rsidR="00D84867" w:rsidRPr="000D501B">
        <w:rPr>
          <w:rFonts w:ascii="Arial Black" w:hAnsi="Arial Black"/>
          <w:b w:val="0"/>
          <w:i w:val="0"/>
          <w:color w:val="2E74B5" w:themeColor="accent1" w:themeShade="BF"/>
        </w:rPr>
        <w:t>c</w:t>
      </w:r>
      <w:r w:rsidR="007704C7" w:rsidRPr="000D501B">
        <w:rPr>
          <w:rFonts w:ascii="Arial Black" w:hAnsi="Arial Black"/>
          <w:b w:val="0"/>
          <w:i w:val="0"/>
          <w:color w:val="2E74B5" w:themeColor="accent1" w:themeShade="BF"/>
        </w:rPr>
        <w:t>are</w:t>
      </w:r>
      <w:bookmarkEnd w:id="3"/>
      <w:r w:rsidR="007704C7" w:rsidRPr="000D501B">
        <w:rPr>
          <w:rFonts w:ascii="Arial Black" w:hAnsi="Arial Black"/>
          <w:b w:val="0"/>
          <w:i w:val="0"/>
          <w:color w:val="2E74B5" w:themeColor="accent1" w:themeShade="BF"/>
        </w:rPr>
        <w:t xml:space="preserve"> </w:t>
      </w:r>
    </w:p>
    <w:p w14:paraId="7D5E8BDB" w14:textId="77777777" w:rsidR="007704C7" w:rsidRDefault="007704C7" w:rsidP="008B1408">
      <w:pPr>
        <w:ind w:left="-851"/>
      </w:pPr>
    </w:p>
    <w:p w14:paraId="2F28418D" w14:textId="77777777" w:rsidR="007704C7" w:rsidRDefault="007704C7" w:rsidP="008B1408">
      <w:pPr>
        <w:ind w:left="-851"/>
        <w:rPr>
          <w:sz w:val="22"/>
        </w:rPr>
      </w:pPr>
      <w:r>
        <w:rPr>
          <w:sz w:val="22"/>
        </w:rPr>
        <w:t>If you are conducting a</w:t>
      </w:r>
      <w:r w:rsidR="00D84867">
        <w:rPr>
          <w:sz w:val="22"/>
        </w:rPr>
        <w:t>n assurance</w:t>
      </w:r>
      <w:r>
        <w:rPr>
          <w:sz w:val="22"/>
        </w:rPr>
        <w:t xml:space="preserve"> </w:t>
      </w:r>
      <w:r w:rsidR="00D84867">
        <w:rPr>
          <w:sz w:val="22"/>
        </w:rPr>
        <w:t>r</w:t>
      </w:r>
      <w:r>
        <w:rPr>
          <w:sz w:val="22"/>
        </w:rPr>
        <w:t xml:space="preserve">eview and have become aware </w:t>
      </w:r>
      <w:r w:rsidR="00D84867">
        <w:rPr>
          <w:sz w:val="22"/>
        </w:rPr>
        <w:t>that</w:t>
      </w:r>
      <w:r>
        <w:rPr>
          <w:sz w:val="22"/>
        </w:rPr>
        <w:t xml:space="preserve"> data or information in your care is missing, the following steps must be taken:</w:t>
      </w:r>
    </w:p>
    <w:p w14:paraId="366794C4" w14:textId="77777777" w:rsidR="00D84867" w:rsidRDefault="00D84867" w:rsidP="008B1408">
      <w:pPr>
        <w:ind w:left="-851"/>
        <w:rPr>
          <w:sz w:val="22"/>
        </w:rPr>
      </w:pPr>
    </w:p>
    <w:p w14:paraId="3EC2F52D" w14:textId="0DA09CD6" w:rsidR="007704C7" w:rsidRDefault="00D84867" w:rsidP="00D84867">
      <w:pPr>
        <w:numPr>
          <w:ilvl w:val="0"/>
          <w:numId w:val="5"/>
        </w:numPr>
        <w:tabs>
          <w:tab w:val="clear" w:pos="720"/>
          <w:tab w:val="num" w:pos="0"/>
          <w:tab w:val="left" w:pos="900"/>
        </w:tabs>
        <w:ind w:left="0" w:hanging="426"/>
        <w:rPr>
          <w:rFonts w:cs="Arial"/>
          <w:sz w:val="22"/>
        </w:rPr>
      </w:pPr>
      <w:r>
        <w:rPr>
          <w:rFonts w:cs="Arial"/>
          <w:sz w:val="22"/>
        </w:rPr>
        <w:t>y</w:t>
      </w:r>
      <w:r w:rsidR="007704C7">
        <w:rPr>
          <w:rFonts w:cs="Arial"/>
          <w:sz w:val="22"/>
        </w:rPr>
        <w:t xml:space="preserve">ou should identify the last time the information was seen and take appropriate actions </w:t>
      </w:r>
      <w:r>
        <w:rPr>
          <w:rFonts w:cs="Arial"/>
          <w:sz w:val="22"/>
        </w:rPr>
        <w:t xml:space="preserve">to try to recover it </w:t>
      </w:r>
      <w:r w:rsidR="007704C7">
        <w:rPr>
          <w:rFonts w:cs="Arial"/>
          <w:sz w:val="22"/>
        </w:rPr>
        <w:t>(e.g. contacting the lost and found services at the appropriate train station, train services, nearest police station, etc</w:t>
      </w:r>
      <w:r w:rsidR="00594649">
        <w:rPr>
          <w:rFonts w:cs="Arial"/>
          <w:sz w:val="22"/>
        </w:rPr>
        <w:t>.</w:t>
      </w:r>
      <w:r w:rsidR="007704C7">
        <w:rPr>
          <w:rFonts w:cs="Arial"/>
          <w:sz w:val="22"/>
        </w:rPr>
        <w:t>)</w:t>
      </w:r>
      <w:r>
        <w:rPr>
          <w:rFonts w:cs="Arial"/>
          <w:sz w:val="22"/>
        </w:rPr>
        <w:t>;</w:t>
      </w:r>
      <w:r w:rsidR="007704C7">
        <w:rPr>
          <w:rFonts w:cs="Arial"/>
          <w:sz w:val="22"/>
        </w:rPr>
        <w:t xml:space="preserve"> </w:t>
      </w:r>
    </w:p>
    <w:p w14:paraId="58448E3F" w14:textId="77777777" w:rsidR="007704C7" w:rsidRDefault="00D84867" w:rsidP="00D84867">
      <w:pPr>
        <w:numPr>
          <w:ilvl w:val="0"/>
          <w:numId w:val="5"/>
        </w:numPr>
        <w:tabs>
          <w:tab w:val="clear" w:pos="720"/>
          <w:tab w:val="num" w:pos="0"/>
          <w:tab w:val="left" w:pos="900"/>
        </w:tabs>
        <w:ind w:left="0" w:hanging="426"/>
        <w:rPr>
          <w:rFonts w:cs="Arial"/>
          <w:sz w:val="22"/>
        </w:rPr>
      </w:pPr>
      <w:r>
        <w:rPr>
          <w:rFonts w:cs="Arial"/>
          <w:snapToGrid w:val="0"/>
          <w:sz w:val="22"/>
          <w:lang w:val="en-AU"/>
        </w:rPr>
        <w:t xml:space="preserve">you must contact the </w:t>
      </w:r>
      <w:r w:rsidR="007704C7">
        <w:rPr>
          <w:rFonts w:cs="Arial"/>
          <w:snapToGrid w:val="0"/>
          <w:sz w:val="22"/>
          <w:lang w:val="en-AU"/>
        </w:rPr>
        <w:t xml:space="preserve">SRO and programme/project team to inform them of the incident and </w:t>
      </w:r>
      <w:r>
        <w:rPr>
          <w:rFonts w:cs="Arial"/>
          <w:snapToGrid w:val="0"/>
          <w:sz w:val="22"/>
          <w:lang w:val="en-AU"/>
        </w:rPr>
        <w:t xml:space="preserve">any </w:t>
      </w:r>
      <w:r w:rsidR="007704C7">
        <w:rPr>
          <w:rFonts w:cs="Arial"/>
          <w:snapToGrid w:val="0"/>
          <w:sz w:val="22"/>
          <w:lang w:val="en-AU"/>
        </w:rPr>
        <w:t>actions you have taken to try and recover the data and information.  The programme/project team may request that further actions be conducted, if deemed appropriate</w:t>
      </w:r>
      <w:r>
        <w:rPr>
          <w:rFonts w:cs="Arial"/>
          <w:snapToGrid w:val="0"/>
          <w:sz w:val="22"/>
          <w:lang w:val="en-AU"/>
        </w:rPr>
        <w:t>; and</w:t>
      </w:r>
    </w:p>
    <w:p w14:paraId="5911EAFD" w14:textId="77777777" w:rsidR="007704C7" w:rsidRDefault="00D84867" w:rsidP="00D84867">
      <w:pPr>
        <w:numPr>
          <w:ilvl w:val="0"/>
          <w:numId w:val="5"/>
        </w:numPr>
        <w:tabs>
          <w:tab w:val="clear" w:pos="720"/>
          <w:tab w:val="num" w:pos="0"/>
          <w:tab w:val="left" w:pos="900"/>
        </w:tabs>
        <w:ind w:left="0" w:hanging="426"/>
        <w:rPr>
          <w:rFonts w:cs="Arial"/>
          <w:snapToGrid w:val="0"/>
          <w:sz w:val="22"/>
          <w:lang w:val="en-AU"/>
        </w:rPr>
      </w:pPr>
      <w:r>
        <w:rPr>
          <w:rFonts w:cs="Arial"/>
          <w:snapToGrid w:val="0"/>
          <w:sz w:val="22"/>
          <w:lang w:val="en-AU"/>
        </w:rPr>
        <w:t>t</w:t>
      </w:r>
      <w:r w:rsidR="007704C7">
        <w:rPr>
          <w:rFonts w:cs="Arial"/>
          <w:snapToGrid w:val="0"/>
          <w:sz w:val="22"/>
          <w:lang w:val="en-AU"/>
        </w:rPr>
        <w:t xml:space="preserve">he Review Team Leader (RTL) who is leading the </w:t>
      </w:r>
      <w:r>
        <w:rPr>
          <w:rFonts w:cs="Arial"/>
          <w:snapToGrid w:val="0"/>
          <w:sz w:val="22"/>
          <w:lang w:val="en-AU"/>
        </w:rPr>
        <w:t>re</w:t>
      </w:r>
      <w:r w:rsidR="007704C7">
        <w:rPr>
          <w:rFonts w:cs="Arial"/>
          <w:snapToGrid w:val="0"/>
          <w:sz w:val="22"/>
          <w:lang w:val="en-AU"/>
        </w:rPr>
        <w:t xml:space="preserve">view should be informed of the incident.  The RTL will be responsible for ensuring that the appropriate </w:t>
      </w:r>
      <w:r>
        <w:rPr>
          <w:rFonts w:cs="Arial"/>
          <w:snapToGrid w:val="0"/>
          <w:sz w:val="22"/>
          <w:lang w:val="en-AU"/>
        </w:rPr>
        <w:t>assurance re</w:t>
      </w:r>
      <w:r w:rsidR="007704C7">
        <w:rPr>
          <w:rFonts w:cs="Arial"/>
          <w:snapToGrid w:val="0"/>
          <w:sz w:val="22"/>
          <w:lang w:val="en-AU"/>
        </w:rPr>
        <w:t xml:space="preserve">presentative within the </w:t>
      </w:r>
      <w:r w:rsidR="007704C7" w:rsidRPr="00FB3FF9">
        <w:rPr>
          <w:rFonts w:cs="Arial"/>
          <w:snapToGrid w:val="0"/>
          <w:sz w:val="22"/>
          <w:lang w:val="en-AU"/>
        </w:rPr>
        <w:t xml:space="preserve">Department (i.e. </w:t>
      </w:r>
      <w:r w:rsidR="00FB3FF9">
        <w:rPr>
          <w:rFonts w:cs="Arial"/>
          <w:snapToGrid w:val="0"/>
          <w:sz w:val="22"/>
          <w:lang w:val="en-AU"/>
        </w:rPr>
        <w:t xml:space="preserve">the </w:t>
      </w:r>
      <w:r w:rsidR="007704C7" w:rsidRPr="00FB3FF9">
        <w:rPr>
          <w:rFonts w:cs="Arial"/>
          <w:snapToGrid w:val="0"/>
          <w:sz w:val="22"/>
          <w:lang w:val="en-AU"/>
        </w:rPr>
        <w:t>D</w:t>
      </w:r>
      <w:r w:rsidR="00FB3FF9">
        <w:rPr>
          <w:rFonts w:cs="Arial"/>
          <w:snapToGrid w:val="0"/>
          <w:sz w:val="22"/>
          <w:lang w:val="en-AU"/>
        </w:rPr>
        <w:t>epartmental Assurance Co-ordinator</w:t>
      </w:r>
      <w:r w:rsidR="007704C7" w:rsidRPr="00FB3FF9">
        <w:rPr>
          <w:rFonts w:cs="Arial"/>
          <w:snapToGrid w:val="0"/>
          <w:sz w:val="22"/>
          <w:lang w:val="en-AU"/>
        </w:rPr>
        <w:t>)</w:t>
      </w:r>
      <w:r w:rsidR="007704C7">
        <w:rPr>
          <w:rFonts w:cs="Arial"/>
          <w:snapToGrid w:val="0"/>
          <w:sz w:val="22"/>
          <w:lang w:val="en-AU"/>
        </w:rPr>
        <w:t xml:space="preserve"> is informed of the incident, as </w:t>
      </w:r>
      <w:r w:rsidR="00FB3FF9">
        <w:rPr>
          <w:rFonts w:cs="Arial"/>
          <w:snapToGrid w:val="0"/>
          <w:sz w:val="22"/>
          <w:lang w:val="en-AU"/>
        </w:rPr>
        <w:t>well as</w:t>
      </w:r>
      <w:r w:rsidR="007704C7">
        <w:rPr>
          <w:rFonts w:cs="Arial"/>
          <w:snapToGrid w:val="0"/>
          <w:sz w:val="22"/>
          <w:lang w:val="en-AU"/>
        </w:rPr>
        <w:t xml:space="preserve"> the </w:t>
      </w:r>
      <w:r w:rsidR="00BB363F">
        <w:rPr>
          <w:rFonts w:cs="Arial"/>
          <w:snapToGrid w:val="0"/>
          <w:sz w:val="22"/>
          <w:lang w:val="en-AU"/>
        </w:rPr>
        <w:t xml:space="preserve">appropriate assurance </w:t>
      </w:r>
      <w:r w:rsidR="007704C7">
        <w:rPr>
          <w:rFonts w:cs="Arial"/>
          <w:snapToGrid w:val="0"/>
          <w:sz w:val="22"/>
          <w:lang w:val="en-AU"/>
        </w:rPr>
        <w:t xml:space="preserve">Hub (i.e. </w:t>
      </w:r>
      <w:r w:rsidR="00BB363F">
        <w:rPr>
          <w:rFonts w:cs="Arial"/>
          <w:snapToGrid w:val="0"/>
          <w:sz w:val="22"/>
          <w:lang w:val="en-AU"/>
        </w:rPr>
        <w:t>IPA</w:t>
      </w:r>
      <w:r w:rsidR="007704C7">
        <w:rPr>
          <w:rFonts w:cs="Arial"/>
          <w:snapToGrid w:val="0"/>
          <w:sz w:val="22"/>
          <w:lang w:val="en-AU"/>
        </w:rPr>
        <w:t xml:space="preserve">, MoD, </w:t>
      </w:r>
      <w:r w:rsidR="00BB363F">
        <w:rPr>
          <w:rFonts w:cs="Arial"/>
          <w:snapToGrid w:val="0"/>
          <w:sz w:val="22"/>
          <w:lang w:val="en-AU"/>
        </w:rPr>
        <w:t>Devolved Administrations, Local Government</w:t>
      </w:r>
      <w:r w:rsidR="007704C7">
        <w:rPr>
          <w:rFonts w:cs="Arial"/>
          <w:snapToGrid w:val="0"/>
          <w:sz w:val="22"/>
          <w:lang w:val="en-AU"/>
        </w:rPr>
        <w:t xml:space="preserve">). </w:t>
      </w:r>
    </w:p>
    <w:p w14:paraId="79AADE19" w14:textId="7DD78327" w:rsidR="007704C7" w:rsidRPr="000D501B" w:rsidRDefault="000D501B" w:rsidP="000D501B">
      <w:pPr>
        <w:pStyle w:val="Heading2"/>
        <w:numPr>
          <w:ilvl w:val="0"/>
          <w:numId w:val="0"/>
        </w:numPr>
        <w:ind w:left="-851"/>
        <w:rPr>
          <w:rFonts w:ascii="Arial Black" w:hAnsi="Arial Black"/>
          <w:i w:val="0"/>
          <w:color w:val="2E74B5" w:themeColor="accent1" w:themeShade="BF"/>
        </w:rPr>
      </w:pPr>
      <w:bookmarkStart w:id="4" w:name="_Toc454544936"/>
      <w:r w:rsidRPr="000D501B">
        <w:rPr>
          <w:rFonts w:ascii="Arial Black" w:hAnsi="Arial Black"/>
          <w:i w:val="0"/>
          <w:color w:val="2E74B5" w:themeColor="accent1" w:themeShade="BF"/>
        </w:rPr>
        <w:t>4.</w:t>
      </w:r>
      <w:r>
        <w:rPr>
          <w:rFonts w:ascii="Arial Black" w:hAnsi="Arial Black"/>
          <w:i w:val="0"/>
          <w:color w:val="2E74B5" w:themeColor="accent1" w:themeShade="BF"/>
        </w:rPr>
        <w:t xml:space="preserve"> </w:t>
      </w:r>
      <w:r w:rsidR="007704C7" w:rsidRPr="000D501B">
        <w:rPr>
          <w:rFonts w:ascii="Arial Black" w:hAnsi="Arial Black"/>
          <w:i w:val="0"/>
          <w:color w:val="2E74B5" w:themeColor="accent1" w:themeShade="BF"/>
        </w:rPr>
        <w:t xml:space="preserve">Further </w:t>
      </w:r>
      <w:r w:rsidR="001B7408" w:rsidRPr="000D501B">
        <w:rPr>
          <w:rFonts w:ascii="Arial Black" w:hAnsi="Arial Black"/>
          <w:i w:val="0"/>
          <w:color w:val="2E74B5" w:themeColor="accent1" w:themeShade="BF"/>
        </w:rPr>
        <w:t>information</w:t>
      </w:r>
      <w:bookmarkEnd w:id="4"/>
    </w:p>
    <w:p w14:paraId="2B176762" w14:textId="77777777" w:rsidR="007704C7" w:rsidRDefault="007704C7" w:rsidP="008B1408">
      <w:pPr>
        <w:pStyle w:val="Header"/>
        <w:tabs>
          <w:tab w:val="clear" w:pos="4320"/>
          <w:tab w:val="clear" w:pos="8640"/>
        </w:tabs>
        <w:ind w:left="-851"/>
        <w:rPr>
          <w:rFonts w:ascii="Arial" w:eastAsia="Times New Roman" w:hAnsi="Arial"/>
          <w:szCs w:val="24"/>
        </w:rPr>
      </w:pPr>
    </w:p>
    <w:p w14:paraId="57E20893" w14:textId="02989941" w:rsidR="005C0390" w:rsidRPr="005C0390" w:rsidRDefault="005C0390" w:rsidP="005C0390">
      <w:pPr>
        <w:pStyle w:val="ListParagraph"/>
        <w:numPr>
          <w:ilvl w:val="0"/>
          <w:numId w:val="11"/>
        </w:numPr>
        <w:tabs>
          <w:tab w:val="left" w:pos="900"/>
        </w:tabs>
        <w:rPr>
          <w:rStyle w:val="Hyperlink"/>
          <w:color w:val="auto"/>
          <w:u w:val="none"/>
        </w:rPr>
      </w:pPr>
      <w:r w:rsidRPr="005C0390">
        <w:rPr>
          <w:sz w:val="22"/>
        </w:rPr>
        <w:t>I</w:t>
      </w:r>
      <w:r w:rsidR="007704C7" w:rsidRPr="005C0390">
        <w:rPr>
          <w:sz w:val="22"/>
        </w:rPr>
        <w:t>nformation Commissioner</w:t>
      </w:r>
      <w:r w:rsidR="00BB363F" w:rsidRPr="005C0390">
        <w:rPr>
          <w:sz w:val="22"/>
        </w:rPr>
        <w:t>’s</w:t>
      </w:r>
      <w:r w:rsidR="007704C7" w:rsidRPr="005C0390">
        <w:rPr>
          <w:sz w:val="22"/>
        </w:rPr>
        <w:t xml:space="preserve"> Office – P</w:t>
      </w:r>
      <w:r w:rsidR="004B7B6B" w:rsidRPr="005C0390">
        <w:rPr>
          <w:sz w:val="22"/>
        </w:rPr>
        <w:t>rivacy Impact Assessments (PIA)</w:t>
      </w:r>
      <w:r>
        <w:rPr>
          <w:sz w:val="22"/>
        </w:rPr>
        <w:t>:</w:t>
      </w:r>
      <w:r>
        <w:t xml:space="preserve"> </w:t>
      </w:r>
      <w:hyperlink r:id="rId15" w:history="1">
        <w:r w:rsidR="004B7B6B" w:rsidRPr="00201CA6">
          <w:rPr>
            <w:rStyle w:val="Hyperlink"/>
          </w:rPr>
          <w:t>https://ico.org.uk/media/for-organisations/documents/1595/pia-code-of-practice.pdf</w:t>
        </w:r>
      </w:hyperlink>
    </w:p>
    <w:p w14:paraId="793BB4EB" w14:textId="77777777" w:rsidR="005C0390" w:rsidRDefault="005C0390" w:rsidP="005C0390">
      <w:pPr>
        <w:pStyle w:val="ListParagraph"/>
        <w:tabs>
          <w:tab w:val="left" w:pos="900"/>
        </w:tabs>
        <w:ind w:left="294"/>
      </w:pPr>
    </w:p>
    <w:p w14:paraId="59B16891" w14:textId="56EA0E7F" w:rsidR="005C0390" w:rsidRDefault="00F623D3" w:rsidP="0055676F">
      <w:pPr>
        <w:pStyle w:val="ListParagraph"/>
        <w:numPr>
          <w:ilvl w:val="0"/>
          <w:numId w:val="11"/>
        </w:numPr>
        <w:tabs>
          <w:tab w:val="left" w:pos="900"/>
        </w:tabs>
      </w:pPr>
      <w:r w:rsidRPr="005C0390">
        <w:rPr>
          <w:sz w:val="22"/>
          <w:szCs w:val="22"/>
        </w:rPr>
        <w:t>Information on programme/project Information Risk Management</w:t>
      </w:r>
      <w:r w:rsidR="005C0390" w:rsidRPr="005C0390">
        <w:rPr>
          <w:sz w:val="22"/>
          <w:szCs w:val="22"/>
        </w:rPr>
        <w:t>:</w:t>
      </w:r>
    </w:p>
    <w:p w14:paraId="75C9CC59" w14:textId="2B52A13E" w:rsidR="005C0390" w:rsidRDefault="001A739C" w:rsidP="005C0390">
      <w:pPr>
        <w:pStyle w:val="ListParagraph"/>
        <w:tabs>
          <w:tab w:val="left" w:pos="900"/>
        </w:tabs>
        <w:ind w:left="294"/>
      </w:pPr>
      <w:hyperlink r:id="rId16" w:history="1">
        <w:r w:rsidR="005C0390" w:rsidRPr="00463BF4">
          <w:rPr>
            <w:rStyle w:val="Hyperlink"/>
          </w:rPr>
          <w:t>https://www.gov.uk/government/collections/risk-management-guidance</w:t>
        </w:r>
      </w:hyperlink>
    </w:p>
    <w:p w14:paraId="6C3B1173" w14:textId="77777777" w:rsidR="005C0390" w:rsidRPr="005C0390" w:rsidRDefault="005C0390" w:rsidP="005C0390">
      <w:pPr>
        <w:pStyle w:val="ListParagraph"/>
        <w:tabs>
          <w:tab w:val="left" w:pos="900"/>
        </w:tabs>
        <w:ind w:left="294"/>
      </w:pPr>
    </w:p>
    <w:p w14:paraId="42D75E35" w14:textId="77777777" w:rsidR="00F623D3" w:rsidRPr="001B7408" w:rsidRDefault="00F623D3" w:rsidP="008B1408">
      <w:pPr>
        <w:tabs>
          <w:tab w:val="left" w:pos="900"/>
        </w:tabs>
        <w:ind w:left="-851"/>
        <w:rPr>
          <w:sz w:val="22"/>
          <w:szCs w:val="22"/>
        </w:rPr>
      </w:pPr>
    </w:p>
    <w:p w14:paraId="5B45ED7F" w14:textId="576EE2F8" w:rsidR="007704C7" w:rsidRDefault="007704C7" w:rsidP="00D52F37">
      <w:pPr>
        <w:tabs>
          <w:tab w:val="left" w:pos="900"/>
        </w:tabs>
      </w:pPr>
      <w:r>
        <w:t xml:space="preserve"> </w:t>
      </w:r>
    </w:p>
    <w:p w14:paraId="24B4FD9A" w14:textId="77777777" w:rsidR="007704C7" w:rsidRDefault="007704C7" w:rsidP="008B1408">
      <w:pPr>
        <w:tabs>
          <w:tab w:val="left" w:pos="900"/>
        </w:tabs>
        <w:ind w:left="-851"/>
      </w:pPr>
    </w:p>
    <w:p w14:paraId="4E71B5F7" w14:textId="77777777" w:rsidR="007704C7" w:rsidRDefault="007704C7" w:rsidP="007E1C8C">
      <w:pPr>
        <w:ind w:left="-1134"/>
        <w:rPr>
          <w:rFonts w:cs="Arial"/>
          <w:sz w:val="22"/>
        </w:rPr>
        <w:sectPr w:rsidR="007704C7" w:rsidSect="000D501B">
          <w:headerReference w:type="default" r:id="rId17"/>
          <w:footerReference w:type="default" r:id="rId18"/>
          <w:headerReference w:type="first" r:id="rId19"/>
          <w:footerReference w:type="first" r:id="rId20"/>
          <w:pgSz w:w="11906" w:h="16838" w:code="9"/>
          <w:pgMar w:top="1440" w:right="986" w:bottom="1440" w:left="1843" w:header="709" w:footer="709" w:gutter="0"/>
          <w:pgNumType w:start="1" w:chapStyle="1"/>
          <w:cols w:space="708"/>
          <w:titlePg/>
          <w:docGrid w:linePitch="360"/>
        </w:sectPr>
      </w:pPr>
    </w:p>
    <w:p w14:paraId="79466994" w14:textId="77777777" w:rsidR="007704C7" w:rsidRPr="000D501B" w:rsidRDefault="007704C7" w:rsidP="000D501B">
      <w:pPr>
        <w:pStyle w:val="Heading2"/>
        <w:numPr>
          <w:ilvl w:val="0"/>
          <w:numId w:val="0"/>
        </w:numPr>
        <w:ind w:left="576" w:hanging="576"/>
        <w:rPr>
          <w:rFonts w:ascii="Arial Black" w:hAnsi="Arial Black"/>
          <w:i w:val="0"/>
          <w:color w:val="2E74B5" w:themeColor="accent1" w:themeShade="BF"/>
        </w:rPr>
      </w:pPr>
      <w:bookmarkStart w:id="5" w:name="_Toc454544937"/>
      <w:r w:rsidRPr="000D501B">
        <w:rPr>
          <w:rFonts w:ascii="Arial Black" w:hAnsi="Arial Black"/>
          <w:i w:val="0"/>
          <w:color w:val="2E74B5" w:themeColor="accent1" w:themeShade="BF"/>
        </w:rPr>
        <w:t>Annex A – Protective markings and document security</w:t>
      </w:r>
      <w:bookmarkEnd w:id="5"/>
      <w:r w:rsidRPr="000D501B">
        <w:rPr>
          <w:rFonts w:ascii="Arial Black" w:hAnsi="Arial Black"/>
          <w:i w:val="0"/>
          <w:color w:val="2E74B5" w:themeColor="accent1" w:themeShade="BF"/>
        </w:rPr>
        <w:t xml:space="preserve"> </w:t>
      </w:r>
    </w:p>
    <w:p w14:paraId="3721EC1F" w14:textId="77777777" w:rsidR="00603813" w:rsidRDefault="00603813" w:rsidP="00292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75"/>
        <w:gridCol w:w="2890"/>
        <w:gridCol w:w="2856"/>
        <w:gridCol w:w="2856"/>
      </w:tblGrid>
      <w:tr w:rsidR="001E1A94" w14:paraId="0F09B7A8" w14:textId="77777777" w:rsidTr="0017008E">
        <w:tc>
          <w:tcPr>
            <w:tcW w:w="2907" w:type="dxa"/>
            <w:shd w:val="clear" w:color="auto" w:fill="auto"/>
          </w:tcPr>
          <w:p w14:paraId="2B6C39D4" w14:textId="77777777" w:rsidR="008B1408" w:rsidRPr="0017008E" w:rsidRDefault="008B1408" w:rsidP="002924A6">
            <w:pPr>
              <w:rPr>
                <w:sz w:val="22"/>
                <w:szCs w:val="22"/>
              </w:rPr>
            </w:pPr>
            <w:r w:rsidRPr="0017008E">
              <w:rPr>
                <w:sz w:val="22"/>
                <w:szCs w:val="22"/>
              </w:rPr>
              <w:t>Classification Marking</w:t>
            </w:r>
          </w:p>
        </w:tc>
        <w:tc>
          <w:tcPr>
            <w:tcW w:w="5814" w:type="dxa"/>
            <w:gridSpan w:val="2"/>
            <w:shd w:val="clear" w:color="auto" w:fill="99CCFF"/>
          </w:tcPr>
          <w:p w14:paraId="71F34850" w14:textId="77777777" w:rsidR="008B1408" w:rsidRPr="0017008E" w:rsidRDefault="008B1408" w:rsidP="00405C60">
            <w:pPr>
              <w:jc w:val="center"/>
              <w:rPr>
                <w:sz w:val="22"/>
                <w:szCs w:val="22"/>
              </w:rPr>
            </w:pPr>
            <w:r w:rsidRPr="0017008E">
              <w:rPr>
                <w:sz w:val="22"/>
                <w:szCs w:val="22"/>
              </w:rPr>
              <w:t>OFFICIAL</w:t>
            </w:r>
          </w:p>
        </w:tc>
        <w:tc>
          <w:tcPr>
            <w:tcW w:w="2908" w:type="dxa"/>
            <w:shd w:val="clear" w:color="auto" w:fill="00CC66"/>
          </w:tcPr>
          <w:p w14:paraId="1D2A1E26" w14:textId="77777777" w:rsidR="008B1408" w:rsidRPr="0017008E" w:rsidRDefault="00BC468C" w:rsidP="00405C60">
            <w:pPr>
              <w:jc w:val="center"/>
              <w:rPr>
                <w:sz w:val="22"/>
                <w:szCs w:val="22"/>
              </w:rPr>
            </w:pPr>
            <w:r w:rsidRPr="0017008E">
              <w:rPr>
                <w:sz w:val="22"/>
                <w:szCs w:val="22"/>
              </w:rPr>
              <w:t>SECRET</w:t>
            </w:r>
          </w:p>
        </w:tc>
        <w:tc>
          <w:tcPr>
            <w:tcW w:w="2908" w:type="dxa"/>
            <w:shd w:val="clear" w:color="auto" w:fill="FF3300"/>
          </w:tcPr>
          <w:p w14:paraId="73D35FA8" w14:textId="77777777" w:rsidR="008B1408" w:rsidRPr="0017008E" w:rsidRDefault="00BC468C" w:rsidP="00405C60">
            <w:pPr>
              <w:jc w:val="center"/>
              <w:rPr>
                <w:sz w:val="22"/>
                <w:szCs w:val="22"/>
              </w:rPr>
            </w:pPr>
            <w:r w:rsidRPr="0017008E">
              <w:rPr>
                <w:sz w:val="22"/>
                <w:szCs w:val="22"/>
              </w:rPr>
              <w:t>TOP SECRET</w:t>
            </w:r>
          </w:p>
        </w:tc>
      </w:tr>
      <w:tr w:rsidR="00E54FCD" w14:paraId="4A65CFA4" w14:textId="77777777" w:rsidTr="0017008E">
        <w:tc>
          <w:tcPr>
            <w:tcW w:w="2907" w:type="dxa"/>
            <w:shd w:val="clear" w:color="auto" w:fill="auto"/>
          </w:tcPr>
          <w:p w14:paraId="02D752D2" w14:textId="77777777" w:rsidR="008B1408" w:rsidRPr="0017008E" w:rsidRDefault="00BC468C" w:rsidP="002924A6">
            <w:pPr>
              <w:rPr>
                <w:sz w:val="22"/>
                <w:szCs w:val="22"/>
              </w:rPr>
            </w:pPr>
            <w:r w:rsidRPr="0017008E">
              <w:rPr>
                <w:sz w:val="22"/>
                <w:szCs w:val="22"/>
              </w:rPr>
              <w:t>Classification Caveat</w:t>
            </w:r>
          </w:p>
        </w:tc>
        <w:tc>
          <w:tcPr>
            <w:tcW w:w="2907" w:type="dxa"/>
            <w:shd w:val="clear" w:color="auto" w:fill="99CCFF"/>
          </w:tcPr>
          <w:p w14:paraId="1990EAE7" w14:textId="77777777" w:rsidR="008B1408" w:rsidRPr="0017008E" w:rsidRDefault="008B1408" w:rsidP="002924A6">
            <w:pPr>
              <w:rPr>
                <w:sz w:val="22"/>
                <w:szCs w:val="22"/>
              </w:rPr>
            </w:pPr>
          </w:p>
        </w:tc>
        <w:tc>
          <w:tcPr>
            <w:tcW w:w="2907" w:type="dxa"/>
            <w:shd w:val="clear" w:color="auto" w:fill="66CCFF"/>
          </w:tcPr>
          <w:p w14:paraId="679064A1" w14:textId="77777777" w:rsidR="008B1408" w:rsidRPr="0017008E" w:rsidRDefault="00BC468C" w:rsidP="00405C60">
            <w:pPr>
              <w:jc w:val="center"/>
              <w:rPr>
                <w:sz w:val="22"/>
                <w:szCs w:val="22"/>
              </w:rPr>
            </w:pPr>
            <w:r w:rsidRPr="0017008E">
              <w:rPr>
                <w:sz w:val="22"/>
                <w:szCs w:val="22"/>
              </w:rPr>
              <w:t>SENSITIVE</w:t>
            </w:r>
          </w:p>
        </w:tc>
        <w:tc>
          <w:tcPr>
            <w:tcW w:w="2908" w:type="dxa"/>
            <w:shd w:val="clear" w:color="auto" w:fill="00CC66"/>
          </w:tcPr>
          <w:p w14:paraId="2971549F" w14:textId="77777777" w:rsidR="008B1408" w:rsidRPr="0017008E" w:rsidRDefault="008B1408" w:rsidP="002924A6">
            <w:pPr>
              <w:rPr>
                <w:sz w:val="22"/>
                <w:szCs w:val="22"/>
              </w:rPr>
            </w:pPr>
          </w:p>
        </w:tc>
        <w:tc>
          <w:tcPr>
            <w:tcW w:w="2908" w:type="dxa"/>
            <w:shd w:val="clear" w:color="auto" w:fill="FF3300"/>
          </w:tcPr>
          <w:p w14:paraId="7BC83352" w14:textId="77777777" w:rsidR="008B1408" w:rsidRPr="0017008E" w:rsidRDefault="008B1408" w:rsidP="002924A6">
            <w:pPr>
              <w:rPr>
                <w:sz w:val="22"/>
                <w:szCs w:val="22"/>
              </w:rPr>
            </w:pPr>
          </w:p>
        </w:tc>
      </w:tr>
      <w:tr w:rsidR="00E54FCD" w14:paraId="1F3F08BB" w14:textId="77777777" w:rsidTr="0017008E">
        <w:tc>
          <w:tcPr>
            <w:tcW w:w="2907" w:type="dxa"/>
            <w:shd w:val="clear" w:color="auto" w:fill="auto"/>
          </w:tcPr>
          <w:p w14:paraId="3EDBB459" w14:textId="77777777" w:rsidR="008B1408" w:rsidRPr="0017008E" w:rsidRDefault="00BC468C" w:rsidP="002924A6">
            <w:pPr>
              <w:rPr>
                <w:sz w:val="22"/>
                <w:szCs w:val="22"/>
              </w:rPr>
            </w:pPr>
            <w:r w:rsidRPr="0017008E">
              <w:rPr>
                <w:sz w:val="22"/>
                <w:szCs w:val="22"/>
              </w:rPr>
              <w:t>What security clearance level is required to access information?</w:t>
            </w:r>
          </w:p>
        </w:tc>
        <w:tc>
          <w:tcPr>
            <w:tcW w:w="2907" w:type="dxa"/>
            <w:shd w:val="clear" w:color="auto" w:fill="99CCFF"/>
          </w:tcPr>
          <w:p w14:paraId="0DA29825" w14:textId="77777777" w:rsidR="008B1408" w:rsidRPr="0017008E" w:rsidRDefault="00BC468C" w:rsidP="008541E5">
            <w:pPr>
              <w:rPr>
                <w:sz w:val="22"/>
                <w:szCs w:val="22"/>
              </w:rPr>
            </w:pPr>
            <w:r w:rsidRPr="0017008E">
              <w:rPr>
                <w:sz w:val="22"/>
                <w:szCs w:val="22"/>
              </w:rPr>
              <w:t>BPSS (Baseline Personal Security Standard)</w:t>
            </w:r>
            <w:r w:rsidR="000B4001" w:rsidRPr="0017008E">
              <w:rPr>
                <w:sz w:val="22"/>
                <w:szCs w:val="22"/>
              </w:rPr>
              <w:t>.</w:t>
            </w:r>
          </w:p>
        </w:tc>
        <w:tc>
          <w:tcPr>
            <w:tcW w:w="2907" w:type="dxa"/>
            <w:shd w:val="clear" w:color="auto" w:fill="66CCFF"/>
          </w:tcPr>
          <w:p w14:paraId="31B386CE" w14:textId="77777777" w:rsidR="008B1408" w:rsidRPr="0017008E" w:rsidRDefault="00BC468C" w:rsidP="002924A6">
            <w:pPr>
              <w:rPr>
                <w:sz w:val="22"/>
                <w:szCs w:val="22"/>
              </w:rPr>
            </w:pPr>
            <w:r w:rsidRPr="0017008E">
              <w:rPr>
                <w:sz w:val="22"/>
                <w:szCs w:val="22"/>
              </w:rPr>
              <w:t>BPSS</w:t>
            </w:r>
            <w:r w:rsidR="000B4001" w:rsidRPr="0017008E">
              <w:rPr>
                <w:sz w:val="22"/>
                <w:szCs w:val="22"/>
              </w:rPr>
              <w:t>.</w:t>
            </w:r>
            <w:r w:rsidRPr="0017008E">
              <w:rPr>
                <w:sz w:val="22"/>
                <w:szCs w:val="22"/>
              </w:rPr>
              <w:t xml:space="preserve"> </w:t>
            </w:r>
          </w:p>
          <w:p w14:paraId="4F474BA0" w14:textId="77777777" w:rsidR="00BC468C" w:rsidRPr="0017008E" w:rsidRDefault="00BC468C" w:rsidP="00BC468C">
            <w:pPr>
              <w:rPr>
                <w:sz w:val="22"/>
                <w:szCs w:val="22"/>
              </w:rPr>
            </w:pPr>
            <w:r w:rsidRPr="0017008E">
              <w:rPr>
                <w:sz w:val="22"/>
                <w:szCs w:val="22"/>
              </w:rPr>
              <w:t xml:space="preserve">NB: BPSS clearance allows </w:t>
            </w:r>
            <w:r w:rsidRPr="0017008E">
              <w:rPr>
                <w:sz w:val="22"/>
                <w:szCs w:val="22"/>
                <w:shd w:val="clear" w:color="auto" w:fill="66CCFF"/>
              </w:rPr>
              <w:t>for</w:t>
            </w:r>
            <w:r w:rsidRPr="0017008E">
              <w:rPr>
                <w:sz w:val="22"/>
                <w:szCs w:val="22"/>
              </w:rPr>
              <w:t xml:space="preserve"> occasional, limited access to SECRET assets</w:t>
            </w:r>
            <w:r w:rsidR="000B4001" w:rsidRPr="0017008E">
              <w:rPr>
                <w:sz w:val="22"/>
                <w:szCs w:val="22"/>
              </w:rPr>
              <w:t>.</w:t>
            </w:r>
          </w:p>
        </w:tc>
        <w:tc>
          <w:tcPr>
            <w:tcW w:w="2908" w:type="dxa"/>
            <w:shd w:val="clear" w:color="auto" w:fill="00CC66"/>
          </w:tcPr>
          <w:p w14:paraId="7D2D1B34" w14:textId="77777777" w:rsidR="008B1408" w:rsidRPr="0017008E" w:rsidRDefault="00BC468C" w:rsidP="002924A6">
            <w:pPr>
              <w:rPr>
                <w:sz w:val="22"/>
                <w:szCs w:val="22"/>
              </w:rPr>
            </w:pPr>
            <w:r w:rsidRPr="0017008E">
              <w:rPr>
                <w:sz w:val="22"/>
                <w:szCs w:val="22"/>
              </w:rPr>
              <w:t>SC (Security Check)</w:t>
            </w:r>
            <w:r w:rsidR="000B4001" w:rsidRPr="0017008E">
              <w:rPr>
                <w:sz w:val="22"/>
                <w:szCs w:val="22"/>
              </w:rPr>
              <w:t>.</w:t>
            </w:r>
          </w:p>
          <w:p w14:paraId="4679912D" w14:textId="6EE806C0" w:rsidR="00BC468C" w:rsidRPr="0017008E" w:rsidRDefault="00BC468C" w:rsidP="00A31662">
            <w:pPr>
              <w:rPr>
                <w:sz w:val="22"/>
                <w:szCs w:val="22"/>
              </w:rPr>
            </w:pPr>
            <w:r w:rsidRPr="0017008E">
              <w:rPr>
                <w:sz w:val="22"/>
                <w:szCs w:val="22"/>
              </w:rPr>
              <w:t xml:space="preserve">NB: SC clearance allows for </w:t>
            </w:r>
            <w:r w:rsidR="008541E5" w:rsidRPr="0017008E">
              <w:rPr>
                <w:sz w:val="22"/>
                <w:szCs w:val="22"/>
              </w:rPr>
              <w:t>occasional supervised access to TOP SECRET assets</w:t>
            </w:r>
            <w:r w:rsidR="000B4001" w:rsidRPr="0017008E">
              <w:rPr>
                <w:sz w:val="22"/>
                <w:szCs w:val="22"/>
              </w:rPr>
              <w:t>.</w:t>
            </w:r>
            <w:r w:rsidRPr="0017008E">
              <w:rPr>
                <w:sz w:val="22"/>
                <w:szCs w:val="22"/>
              </w:rPr>
              <w:t xml:space="preserve"> </w:t>
            </w:r>
          </w:p>
        </w:tc>
        <w:tc>
          <w:tcPr>
            <w:tcW w:w="2908" w:type="dxa"/>
            <w:shd w:val="clear" w:color="auto" w:fill="FF3300"/>
          </w:tcPr>
          <w:p w14:paraId="40C34BC8" w14:textId="77777777" w:rsidR="008B1408" w:rsidRPr="0017008E" w:rsidRDefault="00BC468C" w:rsidP="002924A6">
            <w:pPr>
              <w:rPr>
                <w:sz w:val="22"/>
                <w:szCs w:val="22"/>
              </w:rPr>
            </w:pPr>
            <w:r w:rsidRPr="0017008E">
              <w:rPr>
                <w:sz w:val="22"/>
                <w:szCs w:val="22"/>
              </w:rPr>
              <w:t>DV (Developed Vetting)</w:t>
            </w:r>
            <w:r w:rsidR="000B4001" w:rsidRPr="0017008E">
              <w:rPr>
                <w:sz w:val="22"/>
                <w:szCs w:val="22"/>
              </w:rPr>
              <w:t>.</w:t>
            </w:r>
          </w:p>
        </w:tc>
      </w:tr>
      <w:tr w:rsidR="001E1A94" w14:paraId="5679ADBA" w14:textId="77777777" w:rsidTr="0017008E">
        <w:tc>
          <w:tcPr>
            <w:tcW w:w="2907" w:type="dxa"/>
            <w:shd w:val="clear" w:color="auto" w:fill="auto"/>
          </w:tcPr>
          <w:p w14:paraId="6722359E" w14:textId="5204B652" w:rsidR="001E1A94" w:rsidRPr="0017008E" w:rsidRDefault="001E1A94" w:rsidP="001E1A94">
            <w:pPr>
              <w:rPr>
                <w:sz w:val="22"/>
                <w:szCs w:val="22"/>
              </w:rPr>
            </w:pPr>
            <w:r>
              <w:rPr>
                <w:sz w:val="22"/>
                <w:szCs w:val="22"/>
              </w:rPr>
              <w:t>What material does the classification include?</w:t>
            </w:r>
          </w:p>
        </w:tc>
        <w:tc>
          <w:tcPr>
            <w:tcW w:w="2907" w:type="dxa"/>
            <w:shd w:val="clear" w:color="auto" w:fill="99CCFF"/>
          </w:tcPr>
          <w:p w14:paraId="19D35530" w14:textId="0362EBEC" w:rsidR="001E1A94" w:rsidRPr="00A31662" w:rsidRDefault="001E1A94" w:rsidP="00A31662">
            <w:pPr>
              <w:pStyle w:val="ListParagraph"/>
              <w:numPr>
                <w:ilvl w:val="0"/>
                <w:numId w:val="12"/>
              </w:numPr>
              <w:ind w:left="436"/>
              <w:rPr>
                <w:sz w:val="22"/>
                <w:szCs w:val="22"/>
              </w:rPr>
            </w:pPr>
            <w:r w:rsidRPr="00A31662">
              <w:rPr>
                <w:sz w:val="22"/>
                <w:szCs w:val="22"/>
              </w:rPr>
              <w:t>Routine correspondence.</w:t>
            </w:r>
          </w:p>
          <w:p w14:paraId="1E0FE6C0" w14:textId="050160C7" w:rsidR="001E1A94" w:rsidRPr="00A31662" w:rsidRDefault="001E1A94" w:rsidP="00A31662">
            <w:pPr>
              <w:pStyle w:val="ListParagraph"/>
              <w:numPr>
                <w:ilvl w:val="0"/>
                <w:numId w:val="12"/>
              </w:numPr>
              <w:ind w:left="441"/>
              <w:rPr>
                <w:sz w:val="22"/>
                <w:szCs w:val="22"/>
              </w:rPr>
            </w:pPr>
            <w:r w:rsidRPr="00A31662">
              <w:rPr>
                <w:sz w:val="22"/>
                <w:szCs w:val="22"/>
              </w:rPr>
              <w:t>Basic/routine personal information.</w:t>
            </w:r>
          </w:p>
          <w:p w14:paraId="2BFF705F" w14:textId="20EA73EF" w:rsidR="001E1A94" w:rsidRPr="00A31662" w:rsidRDefault="001E1A94" w:rsidP="00A31662">
            <w:pPr>
              <w:pStyle w:val="ListParagraph"/>
              <w:numPr>
                <w:ilvl w:val="0"/>
                <w:numId w:val="12"/>
              </w:numPr>
              <w:ind w:left="441"/>
              <w:rPr>
                <w:sz w:val="22"/>
                <w:szCs w:val="22"/>
              </w:rPr>
            </w:pPr>
            <w:r w:rsidRPr="00A31662">
              <w:rPr>
                <w:sz w:val="22"/>
                <w:szCs w:val="22"/>
              </w:rPr>
              <w:t>Routine departmental management information.</w:t>
            </w:r>
          </w:p>
          <w:p w14:paraId="2A9F5A6E" w14:textId="5D6E4FCB" w:rsidR="001E1A94" w:rsidRPr="00A31662" w:rsidRDefault="001E1A94" w:rsidP="00A31662">
            <w:pPr>
              <w:pStyle w:val="ListParagraph"/>
              <w:numPr>
                <w:ilvl w:val="0"/>
                <w:numId w:val="12"/>
              </w:numPr>
              <w:ind w:left="441"/>
              <w:rPr>
                <w:sz w:val="22"/>
                <w:szCs w:val="22"/>
              </w:rPr>
            </w:pPr>
            <w:r w:rsidRPr="00A31662">
              <w:rPr>
                <w:sz w:val="22"/>
                <w:szCs w:val="22"/>
              </w:rPr>
              <w:t>Policy advice.</w:t>
            </w:r>
          </w:p>
          <w:p w14:paraId="266FD820" w14:textId="6BF812E2" w:rsidR="001E1A94" w:rsidRPr="00A31662" w:rsidRDefault="001E1A94" w:rsidP="00A31662">
            <w:pPr>
              <w:pStyle w:val="ListParagraph"/>
              <w:numPr>
                <w:ilvl w:val="0"/>
                <w:numId w:val="12"/>
              </w:numPr>
              <w:ind w:left="441"/>
              <w:rPr>
                <w:sz w:val="22"/>
                <w:szCs w:val="22"/>
              </w:rPr>
            </w:pPr>
            <w:r w:rsidRPr="00A31662">
              <w:rPr>
                <w:sz w:val="22"/>
                <w:szCs w:val="22"/>
              </w:rPr>
              <w:t>Minutes of meetings.</w:t>
            </w:r>
          </w:p>
        </w:tc>
        <w:tc>
          <w:tcPr>
            <w:tcW w:w="2907" w:type="dxa"/>
            <w:shd w:val="clear" w:color="auto" w:fill="66CCFF"/>
          </w:tcPr>
          <w:p w14:paraId="66904EE5" w14:textId="26F956C6" w:rsidR="001E1A94" w:rsidRPr="00A31662" w:rsidRDefault="001E1A94" w:rsidP="00A31662">
            <w:pPr>
              <w:pStyle w:val="ListParagraph"/>
              <w:numPr>
                <w:ilvl w:val="0"/>
                <w:numId w:val="12"/>
              </w:numPr>
              <w:ind w:left="409"/>
              <w:rPr>
                <w:sz w:val="22"/>
                <w:szCs w:val="22"/>
              </w:rPr>
            </w:pPr>
            <w:r w:rsidRPr="00A31662">
              <w:rPr>
                <w:sz w:val="22"/>
                <w:szCs w:val="22"/>
              </w:rPr>
              <w:t>Detailed personnel records.</w:t>
            </w:r>
          </w:p>
          <w:p w14:paraId="02DA9B3E" w14:textId="4682A858" w:rsidR="001E1A94" w:rsidRPr="00A31662" w:rsidRDefault="001E1A94" w:rsidP="00A31662">
            <w:pPr>
              <w:pStyle w:val="ListParagraph"/>
              <w:numPr>
                <w:ilvl w:val="0"/>
                <w:numId w:val="12"/>
              </w:numPr>
              <w:ind w:left="409"/>
              <w:rPr>
                <w:sz w:val="22"/>
                <w:szCs w:val="22"/>
              </w:rPr>
            </w:pPr>
            <w:r w:rsidRPr="00A31662">
              <w:rPr>
                <w:sz w:val="22"/>
                <w:szCs w:val="22"/>
              </w:rPr>
              <w:t>Contractual information considered commercially confidential by the provider.</w:t>
            </w:r>
          </w:p>
          <w:p w14:paraId="7E82D724" w14:textId="34AA4697" w:rsidR="001E1A94" w:rsidRPr="00A31662" w:rsidRDefault="001E1A94" w:rsidP="00A31662">
            <w:pPr>
              <w:pStyle w:val="ListParagraph"/>
              <w:numPr>
                <w:ilvl w:val="0"/>
                <w:numId w:val="12"/>
              </w:numPr>
              <w:ind w:left="409"/>
              <w:rPr>
                <w:sz w:val="22"/>
                <w:szCs w:val="22"/>
              </w:rPr>
            </w:pPr>
            <w:r w:rsidRPr="00A31662">
              <w:rPr>
                <w:sz w:val="22"/>
                <w:szCs w:val="22"/>
              </w:rPr>
              <w:t>Policy development/advice to Ministers.</w:t>
            </w:r>
          </w:p>
          <w:p w14:paraId="2BC3026B" w14:textId="2031E1A5" w:rsidR="001E1A94" w:rsidRPr="00A31662" w:rsidRDefault="001E1A94" w:rsidP="00A31662">
            <w:pPr>
              <w:pStyle w:val="ListParagraph"/>
              <w:numPr>
                <w:ilvl w:val="0"/>
                <w:numId w:val="12"/>
              </w:numPr>
              <w:ind w:left="409"/>
              <w:rPr>
                <w:sz w:val="22"/>
                <w:szCs w:val="22"/>
              </w:rPr>
            </w:pPr>
            <w:r w:rsidRPr="00A31662">
              <w:rPr>
                <w:sz w:val="22"/>
                <w:szCs w:val="22"/>
              </w:rPr>
              <w:t xml:space="preserve">Information about defence or security which could damage capabilities or effectiveness </w:t>
            </w:r>
          </w:p>
        </w:tc>
        <w:tc>
          <w:tcPr>
            <w:tcW w:w="2908" w:type="dxa"/>
            <w:shd w:val="clear" w:color="auto" w:fill="00CC66"/>
          </w:tcPr>
          <w:p w14:paraId="3EE7F65E" w14:textId="77777777" w:rsidR="001E1A94" w:rsidRPr="00A31662" w:rsidRDefault="001E1A94" w:rsidP="00A31662">
            <w:pPr>
              <w:pStyle w:val="ListParagraph"/>
              <w:numPr>
                <w:ilvl w:val="0"/>
                <w:numId w:val="12"/>
              </w:numPr>
              <w:ind w:left="363"/>
              <w:rPr>
                <w:sz w:val="22"/>
                <w:szCs w:val="22"/>
              </w:rPr>
            </w:pPr>
            <w:r w:rsidRPr="00A31662">
              <w:rPr>
                <w:sz w:val="22"/>
                <w:szCs w:val="22"/>
              </w:rPr>
              <w:t>Sensitive counter-espionage and counter terrorism related activities.</w:t>
            </w:r>
          </w:p>
          <w:p w14:paraId="3E64400D" w14:textId="77777777" w:rsidR="001E1A94" w:rsidRPr="00A31662" w:rsidRDefault="001E1A94" w:rsidP="00A31662">
            <w:pPr>
              <w:pStyle w:val="ListParagraph"/>
              <w:numPr>
                <w:ilvl w:val="0"/>
                <w:numId w:val="12"/>
              </w:numPr>
              <w:ind w:left="363"/>
              <w:rPr>
                <w:sz w:val="22"/>
                <w:szCs w:val="22"/>
              </w:rPr>
            </w:pPr>
            <w:r w:rsidRPr="00A31662">
              <w:rPr>
                <w:sz w:val="22"/>
                <w:szCs w:val="22"/>
              </w:rPr>
              <w:t>Joint Intelligence Committee assessments, intelligence summaries.</w:t>
            </w:r>
          </w:p>
          <w:p w14:paraId="73407E96" w14:textId="0BE62A6F" w:rsidR="001E1A94" w:rsidRPr="00A31662" w:rsidRDefault="001E1A94" w:rsidP="00A31662">
            <w:pPr>
              <w:pStyle w:val="ListParagraph"/>
              <w:numPr>
                <w:ilvl w:val="0"/>
                <w:numId w:val="12"/>
              </w:numPr>
              <w:ind w:left="363"/>
              <w:rPr>
                <w:sz w:val="22"/>
                <w:szCs w:val="22"/>
              </w:rPr>
            </w:pPr>
            <w:r w:rsidRPr="00A31662">
              <w:rPr>
                <w:sz w:val="22"/>
                <w:szCs w:val="22"/>
              </w:rPr>
              <w:t>National Security Policy.</w:t>
            </w:r>
          </w:p>
        </w:tc>
        <w:tc>
          <w:tcPr>
            <w:tcW w:w="2908" w:type="dxa"/>
            <w:shd w:val="clear" w:color="auto" w:fill="FF3300"/>
          </w:tcPr>
          <w:p w14:paraId="17F690FC" w14:textId="77777777" w:rsidR="001E1A94" w:rsidRPr="00A31662" w:rsidRDefault="001E1A94" w:rsidP="00A31662">
            <w:pPr>
              <w:pStyle w:val="ListParagraph"/>
              <w:numPr>
                <w:ilvl w:val="0"/>
                <w:numId w:val="12"/>
              </w:numPr>
              <w:ind w:left="355"/>
              <w:rPr>
                <w:sz w:val="22"/>
                <w:szCs w:val="22"/>
              </w:rPr>
            </w:pPr>
            <w:r w:rsidRPr="00A31662">
              <w:rPr>
                <w:sz w:val="22"/>
                <w:szCs w:val="22"/>
              </w:rPr>
              <w:t>Highly sensitive intelligence material.</w:t>
            </w:r>
          </w:p>
          <w:p w14:paraId="0C4537C8" w14:textId="446F71C8" w:rsidR="001E1A94" w:rsidRPr="00A31662" w:rsidRDefault="001E1A94" w:rsidP="00A31662">
            <w:pPr>
              <w:pStyle w:val="ListParagraph"/>
              <w:numPr>
                <w:ilvl w:val="0"/>
                <w:numId w:val="12"/>
              </w:numPr>
              <w:ind w:left="355"/>
              <w:rPr>
                <w:sz w:val="22"/>
                <w:szCs w:val="22"/>
              </w:rPr>
            </w:pPr>
            <w:r w:rsidRPr="00A31662">
              <w:rPr>
                <w:sz w:val="22"/>
                <w:szCs w:val="22"/>
              </w:rPr>
              <w:t>Joint Intelligence Committee assessments.</w:t>
            </w:r>
          </w:p>
        </w:tc>
      </w:tr>
      <w:tr w:rsidR="00E54FCD" w14:paraId="1F29E6F4" w14:textId="77777777" w:rsidTr="0017008E">
        <w:tc>
          <w:tcPr>
            <w:tcW w:w="2907" w:type="dxa"/>
            <w:shd w:val="clear" w:color="auto" w:fill="auto"/>
          </w:tcPr>
          <w:p w14:paraId="503EB5F0" w14:textId="6924D0E9" w:rsidR="008B1408" w:rsidRPr="0017008E" w:rsidRDefault="000B4001" w:rsidP="002924A6">
            <w:pPr>
              <w:rPr>
                <w:sz w:val="22"/>
                <w:szCs w:val="22"/>
              </w:rPr>
            </w:pPr>
            <w:r w:rsidRPr="0017008E">
              <w:rPr>
                <w:sz w:val="22"/>
                <w:szCs w:val="22"/>
              </w:rPr>
              <w:t>Can I email it?</w:t>
            </w:r>
          </w:p>
        </w:tc>
        <w:tc>
          <w:tcPr>
            <w:tcW w:w="2907" w:type="dxa"/>
            <w:shd w:val="clear" w:color="auto" w:fill="99CCFF"/>
          </w:tcPr>
          <w:p w14:paraId="10D6A762" w14:textId="35F4B585" w:rsidR="003C57DB" w:rsidRPr="0017008E" w:rsidRDefault="000B4001" w:rsidP="003C57DB">
            <w:pPr>
              <w:rPr>
                <w:sz w:val="22"/>
                <w:szCs w:val="22"/>
              </w:rPr>
            </w:pPr>
            <w:r w:rsidRPr="0017008E">
              <w:rPr>
                <w:sz w:val="22"/>
                <w:szCs w:val="22"/>
              </w:rPr>
              <w:t>Yes</w:t>
            </w:r>
            <w:r w:rsidR="00A31662">
              <w:rPr>
                <w:sz w:val="22"/>
                <w:szCs w:val="22"/>
              </w:rPr>
              <w:t>,</w:t>
            </w:r>
            <w:r w:rsidRPr="0017008E">
              <w:rPr>
                <w:sz w:val="22"/>
                <w:szCs w:val="22"/>
              </w:rPr>
              <w:t xml:space="preserve"> can normally be emailed to non-GSI addresses without further encryption.</w:t>
            </w:r>
            <w:r w:rsidR="003C57DB" w:rsidRPr="0017008E">
              <w:rPr>
                <w:sz w:val="22"/>
                <w:szCs w:val="22"/>
              </w:rPr>
              <w:t xml:space="preserve">  </w:t>
            </w:r>
          </w:p>
          <w:p w14:paraId="15E0235C" w14:textId="77777777" w:rsidR="008B1408" w:rsidRPr="0017008E" w:rsidRDefault="003C57DB" w:rsidP="003C57DB">
            <w:pPr>
              <w:rPr>
                <w:sz w:val="22"/>
                <w:szCs w:val="22"/>
              </w:rPr>
            </w:pPr>
            <w:r w:rsidRPr="0017008E">
              <w:rPr>
                <w:sz w:val="22"/>
                <w:szCs w:val="22"/>
              </w:rPr>
              <w:t xml:space="preserve">Be aware of sending large amounts of material which may, when aggregated, require encryption. </w:t>
            </w:r>
          </w:p>
        </w:tc>
        <w:tc>
          <w:tcPr>
            <w:tcW w:w="2907" w:type="dxa"/>
            <w:shd w:val="clear" w:color="auto" w:fill="66CCFF"/>
          </w:tcPr>
          <w:p w14:paraId="52B94235" w14:textId="77777777" w:rsidR="008B1408" w:rsidRPr="0017008E" w:rsidRDefault="000B4001" w:rsidP="000B4001">
            <w:pPr>
              <w:rPr>
                <w:sz w:val="22"/>
                <w:szCs w:val="22"/>
              </w:rPr>
            </w:pPr>
            <w:r w:rsidRPr="0017008E">
              <w:rPr>
                <w:sz w:val="22"/>
                <w:szCs w:val="22"/>
              </w:rPr>
              <w:t>Yes, but ensure encryption is used if sending to non-GSI addresses (i.e. beyond .x.gsi, .police.pnn, .nhs or the Criminal Justice Secure Mail (CJSM) system).</w:t>
            </w:r>
          </w:p>
          <w:p w14:paraId="282DD787" w14:textId="77777777" w:rsidR="00D5213B" w:rsidRPr="0017008E" w:rsidRDefault="00D5213B" w:rsidP="000B4001">
            <w:pPr>
              <w:rPr>
                <w:sz w:val="22"/>
                <w:szCs w:val="22"/>
              </w:rPr>
            </w:pPr>
            <w:r w:rsidRPr="0017008E">
              <w:rPr>
                <w:sz w:val="22"/>
                <w:szCs w:val="22"/>
              </w:rPr>
              <w:t>When sending on secure networks, best practice is to use password protection of files.</w:t>
            </w:r>
          </w:p>
        </w:tc>
        <w:tc>
          <w:tcPr>
            <w:tcW w:w="2908" w:type="dxa"/>
            <w:shd w:val="clear" w:color="auto" w:fill="00CC66"/>
          </w:tcPr>
          <w:p w14:paraId="01B21B95" w14:textId="77777777" w:rsidR="008B1408" w:rsidRPr="0017008E" w:rsidRDefault="00D5213B" w:rsidP="00D5213B">
            <w:pPr>
              <w:rPr>
                <w:sz w:val="22"/>
                <w:szCs w:val="22"/>
              </w:rPr>
            </w:pPr>
            <w:r w:rsidRPr="0017008E">
              <w:rPr>
                <w:sz w:val="22"/>
                <w:szCs w:val="22"/>
              </w:rPr>
              <w:t>Only via appropriately accredited secure systems to known recipients</w:t>
            </w:r>
            <w:r w:rsidR="000B4001" w:rsidRPr="0017008E">
              <w:rPr>
                <w:sz w:val="22"/>
                <w:szCs w:val="22"/>
              </w:rPr>
              <w:t>.</w:t>
            </w:r>
            <w:r w:rsidR="007337E2" w:rsidRPr="0017008E">
              <w:rPr>
                <w:sz w:val="22"/>
                <w:szCs w:val="22"/>
              </w:rPr>
              <w:t xml:space="preserve"> If in any doubt, ask the review SRO.</w:t>
            </w:r>
          </w:p>
        </w:tc>
        <w:tc>
          <w:tcPr>
            <w:tcW w:w="2908" w:type="dxa"/>
            <w:shd w:val="clear" w:color="auto" w:fill="FF3300"/>
          </w:tcPr>
          <w:p w14:paraId="28D8C5D3" w14:textId="77777777" w:rsidR="008B1408" w:rsidRPr="0017008E" w:rsidRDefault="00D5213B" w:rsidP="00D5213B">
            <w:pPr>
              <w:rPr>
                <w:sz w:val="22"/>
                <w:szCs w:val="22"/>
              </w:rPr>
            </w:pPr>
            <w:r w:rsidRPr="0017008E">
              <w:rPr>
                <w:sz w:val="22"/>
                <w:szCs w:val="22"/>
              </w:rPr>
              <w:t>Only via appropriately accredited secure systems to known recipients.</w:t>
            </w:r>
            <w:r w:rsidR="007337E2" w:rsidRPr="0017008E">
              <w:rPr>
                <w:sz w:val="22"/>
                <w:szCs w:val="22"/>
              </w:rPr>
              <w:t xml:space="preserve">  If in any doubt, ask the review SRO.</w:t>
            </w:r>
          </w:p>
        </w:tc>
      </w:tr>
      <w:tr w:rsidR="00E54FCD" w14:paraId="635E8A9F" w14:textId="77777777" w:rsidTr="0017008E">
        <w:tc>
          <w:tcPr>
            <w:tcW w:w="2907" w:type="dxa"/>
            <w:shd w:val="clear" w:color="auto" w:fill="auto"/>
          </w:tcPr>
          <w:p w14:paraId="258DEB12" w14:textId="77777777" w:rsidR="008B1408" w:rsidRPr="0017008E" w:rsidRDefault="00CD0650" w:rsidP="002924A6">
            <w:pPr>
              <w:rPr>
                <w:sz w:val="22"/>
                <w:szCs w:val="22"/>
              </w:rPr>
            </w:pPr>
            <w:r w:rsidRPr="0017008E">
              <w:rPr>
                <w:sz w:val="22"/>
                <w:szCs w:val="22"/>
              </w:rPr>
              <w:t>Can I fax it?</w:t>
            </w:r>
          </w:p>
        </w:tc>
        <w:tc>
          <w:tcPr>
            <w:tcW w:w="2907" w:type="dxa"/>
            <w:shd w:val="clear" w:color="auto" w:fill="99CCFF"/>
          </w:tcPr>
          <w:p w14:paraId="507FCF81" w14:textId="77777777" w:rsidR="008B1408" w:rsidRPr="0017008E" w:rsidRDefault="00CD0650" w:rsidP="002924A6">
            <w:pPr>
              <w:rPr>
                <w:sz w:val="22"/>
                <w:szCs w:val="22"/>
              </w:rPr>
            </w:pPr>
            <w:r w:rsidRPr="0017008E">
              <w:rPr>
                <w:sz w:val="22"/>
                <w:szCs w:val="22"/>
              </w:rPr>
              <w:t>Yes, but make sure the recipient is expecting your fax and check their fax number.</w:t>
            </w:r>
          </w:p>
        </w:tc>
        <w:tc>
          <w:tcPr>
            <w:tcW w:w="2907" w:type="dxa"/>
            <w:shd w:val="clear" w:color="auto" w:fill="66CCFF"/>
          </w:tcPr>
          <w:p w14:paraId="52486A05" w14:textId="77777777" w:rsidR="008B1408" w:rsidRPr="0017008E" w:rsidRDefault="00CD0650" w:rsidP="002924A6">
            <w:pPr>
              <w:rPr>
                <w:sz w:val="22"/>
                <w:szCs w:val="22"/>
              </w:rPr>
            </w:pPr>
            <w:r w:rsidRPr="0017008E">
              <w:rPr>
                <w:sz w:val="22"/>
                <w:szCs w:val="22"/>
              </w:rPr>
              <w:t>Yes, but make sure the recipient is expecting your fax and check their fax number.</w:t>
            </w:r>
          </w:p>
        </w:tc>
        <w:tc>
          <w:tcPr>
            <w:tcW w:w="2908" w:type="dxa"/>
            <w:shd w:val="clear" w:color="auto" w:fill="00CC66"/>
          </w:tcPr>
          <w:p w14:paraId="3F1819B5" w14:textId="77777777" w:rsidR="008B1408" w:rsidRPr="0017008E" w:rsidRDefault="00D5213B" w:rsidP="002924A6">
            <w:pPr>
              <w:rPr>
                <w:sz w:val="22"/>
                <w:szCs w:val="22"/>
              </w:rPr>
            </w:pPr>
            <w:r w:rsidRPr="0017008E">
              <w:rPr>
                <w:sz w:val="22"/>
                <w:szCs w:val="22"/>
              </w:rPr>
              <w:t>Only via appropriate secure equipment.</w:t>
            </w:r>
          </w:p>
        </w:tc>
        <w:tc>
          <w:tcPr>
            <w:tcW w:w="2908" w:type="dxa"/>
            <w:shd w:val="clear" w:color="auto" w:fill="FF3300"/>
          </w:tcPr>
          <w:p w14:paraId="1A9F1111" w14:textId="77777777" w:rsidR="008B1408" w:rsidRPr="0017008E" w:rsidRDefault="00377C1B" w:rsidP="002924A6">
            <w:pPr>
              <w:rPr>
                <w:sz w:val="22"/>
                <w:szCs w:val="22"/>
              </w:rPr>
            </w:pPr>
            <w:r w:rsidRPr="0017008E">
              <w:rPr>
                <w:sz w:val="22"/>
                <w:szCs w:val="22"/>
              </w:rPr>
              <w:t>Only via appropriate secure equipment.</w:t>
            </w:r>
          </w:p>
        </w:tc>
      </w:tr>
      <w:tr w:rsidR="00E54FCD" w14:paraId="63E652A8" w14:textId="77777777" w:rsidTr="0017008E">
        <w:tc>
          <w:tcPr>
            <w:tcW w:w="2907" w:type="dxa"/>
            <w:shd w:val="clear" w:color="auto" w:fill="auto"/>
          </w:tcPr>
          <w:p w14:paraId="3CF8E09C" w14:textId="77777777" w:rsidR="00CD0650" w:rsidRPr="0017008E" w:rsidRDefault="00CD0650" w:rsidP="002924A6">
            <w:pPr>
              <w:rPr>
                <w:sz w:val="22"/>
                <w:szCs w:val="22"/>
              </w:rPr>
            </w:pPr>
            <w:r w:rsidRPr="0017008E">
              <w:rPr>
                <w:sz w:val="22"/>
                <w:szCs w:val="22"/>
              </w:rPr>
              <w:t>Can I post it?</w:t>
            </w:r>
          </w:p>
        </w:tc>
        <w:tc>
          <w:tcPr>
            <w:tcW w:w="2907" w:type="dxa"/>
            <w:shd w:val="clear" w:color="auto" w:fill="99CCFF"/>
          </w:tcPr>
          <w:p w14:paraId="32CD9B43" w14:textId="77777777" w:rsidR="00CD0650" w:rsidRPr="0017008E" w:rsidRDefault="00377C1B" w:rsidP="00377C1B">
            <w:pPr>
              <w:rPr>
                <w:sz w:val="22"/>
                <w:szCs w:val="22"/>
              </w:rPr>
            </w:pPr>
            <w:r w:rsidRPr="0017008E">
              <w:rPr>
                <w:sz w:val="22"/>
                <w:szCs w:val="22"/>
              </w:rPr>
              <w:t xml:space="preserve">Yes, </w:t>
            </w:r>
            <w:r w:rsidR="00472F57" w:rsidRPr="0017008E">
              <w:rPr>
                <w:sz w:val="22"/>
                <w:szCs w:val="22"/>
              </w:rPr>
              <w:t>via 1</w:t>
            </w:r>
            <w:r w:rsidR="00472F57" w:rsidRPr="0017008E">
              <w:rPr>
                <w:sz w:val="22"/>
                <w:szCs w:val="22"/>
                <w:vertAlign w:val="superscript"/>
              </w:rPr>
              <w:t>st</w:t>
            </w:r>
            <w:r w:rsidR="00472F57" w:rsidRPr="0017008E">
              <w:rPr>
                <w:sz w:val="22"/>
                <w:szCs w:val="22"/>
              </w:rPr>
              <w:t xml:space="preserve"> or 2</w:t>
            </w:r>
            <w:r w:rsidR="00472F57" w:rsidRPr="0017008E">
              <w:rPr>
                <w:sz w:val="22"/>
                <w:szCs w:val="22"/>
                <w:vertAlign w:val="superscript"/>
              </w:rPr>
              <w:t>nd</w:t>
            </w:r>
            <w:r w:rsidR="00472F57" w:rsidRPr="0017008E">
              <w:rPr>
                <w:sz w:val="22"/>
                <w:szCs w:val="22"/>
              </w:rPr>
              <w:t xml:space="preserve"> class post</w:t>
            </w:r>
            <w:r w:rsidRPr="0017008E">
              <w:rPr>
                <w:sz w:val="22"/>
                <w:szCs w:val="22"/>
              </w:rPr>
              <w:t xml:space="preserve">. </w:t>
            </w:r>
          </w:p>
          <w:p w14:paraId="14CA23F9" w14:textId="77777777" w:rsidR="00377C1B" w:rsidRPr="0017008E" w:rsidRDefault="00377C1B" w:rsidP="00472F57">
            <w:pPr>
              <w:rPr>
                <w:sz w:val="22"/>
                <w:szCs w:val="22"/>
              </w:rPr>
            </w:pPr>
            <w:r w:rsidRPr="0017008E">
              <w:rPr>
                <w:sz w:val="22"/>
                <w:szCs w:val="22"/>
              </w:rPr>
              <w:t xml:space="preserve">NB: Items posted to Northern Ireland should </w:t>
            </w:r>
            <w:r w:rsidRPr="0017008E">
              <w:rPr>
                <w:sz w:val="22"/>
                <w:szCs w:val="22"/>
                <w:u w:val="single"/>
              </w:rPr>
              <w:t>not</w:t>
            </w:r>
            <w:r w:rsidRPr="0017008E">
              <w:rPr>
                <w:sz w:val="22"/>
                <w:szCs w:val="22"/>
              </w:rPr>
              <w:t xml:space="preserve"> </w:t>
            </w:r>
            <w:r w:rsidR="00472F57" w:rsidRPr="0017008E">
              <w:rPr>
                <w:sz w:val="22"/>
                <w:szCs w:val="22"/>
              </w:rPr>
              <w:t xml:space="preserve">have any markings which designate that they come </w:t>
            </w:r>
            <w:r w:rsidRPr="0017008E">
              <w:rPr>
                <w:sz w:val="22"/>
                <w:szCs w:val="22"/>
              </w:rPr>
              <w:t>from a government department</w:t>
            </w:r>
            <w:r w:rsidR="00472F57" w:rsidRPr="0017008E">
              <w:rPr>
                <w:sz w:val="22"/>
                <w:szCs w:val="22"/>
              </w:rPr>
              <w:t>.</w:t>
            </w:r>
          </w:p>
        </w:tc>
        <w:tc>
          <w:tcPr>
            <w:tcW w:w="2907" w:type="dxa"/>
            <w:shd w:val="clear" w:color="auto" w:fill="66CCFF"/>
          </w:tcPr>
          <w:p w14:paraId="29D2B7A3" w14:textId="733F4176" w:rsidR="00CD0650" w:rsidRPr="0017008E" w:rsidRDefault="00377C1B" w:rsidP="00472F57">
            <w:pPr>
              <w:rPr>
                <w:sz w:val="22"/>
                <w:szCs w:val="22"/>
              </w:rPr>
            </w:pPr>
            <w:r w:rsidRPr="0017008E">
              <w:rPr>
                <w:sz w:val="22"/>
                <w:szCs w:val="22"/>
              </w:rPr>
              <w:t>Yes,</w:t>
            </w:r>
            <w:r w:rsidR="00472F57" w:rsidRPr="0017008E">
              <w:rPr>
                <w:sz w:val="22"/>
                <w:szCs w:val="22"/>
              </w:rPr>
              <w:t xml:space="preserve"> doubled enveloped</w:t>
            </w:r>
            <w:r w:rsidRPr="0017008E">
              <w:rPr>
                <w:sz w:val="22"/>
                <w:szCs w:val="22"/>
              </w:rPr>
              <w:t xml:space="preserve"> </w:t>
            </w:r>
            <w:r w:rsidR="00472F57" w:rsidRPr="0017008E">
              <w:rPr>
                <w:sz w:val="22"/>
                <w:szCs w:val="22"/>
              </w:rPr>
              <w:t>via Royal Mail Special Delivery</w:t>
            </w:r>
            <w:r w:rsidR="00514C71">
              <w:rPr>
                <w:sz w:val="22"/>
                <w:szCs w:val="22"/>
              </w:rPr>
              <w:t>, obtaining a signature upon delivery</w:t>
            </w:r>
            <w:r w:rsidR="00472F57" w:rsidRPr="0017008E">
              <w:rPr>
                <w:sz w:val="22"/>
                <w:szCs w:val="22"/>
              </w:rPr>
              <w:t xml:space="preserve">. </w:t>
            </w:r>
          </w:p>
        </w:tc>
        <w:tc>
          <w:tcPr>
            <w:tcW w:w="2908" w:type="dxa"/>
            <w:shd w:val="clear" w:color="auto" w:fill="00CC66"/>
          </w:tcPr>
          <w:p w14:paraId="13DBBA30" w14:textId="1770B0D4" w:rsidR="00CD0650" w:rsidRPr="0017008E" w:rsidRDefault="00514C71" w:rsidP="002924A6">
            <w:pPr>
              <w:rPr>
                <w:sz w:val="22"/>
                <w:szCs w:val="22"/>
              </w:rPr>
            </w:pPr>
            <w:r>
              <w:rPr>
                <w:sz w:val="22"/>
                <w:szCs w:val="22"/>
              </w:rPr>
              <w:t xml:space="preserve">Only via appropriate departmental distribution service. </w:t>
            </w:r>
          </w:p>
          <w:p w14:paraId="6F829256" w14:textId="77777777" w:rsidR="00472F57" w:rsidRPr="0017008E" w:rsidRDefault="00472F57" w:rsidP="002924A6">
            <w:pPr>
              <w:rPr>
                <w:sz w:val="22"/>
                <w:szCs w:val="22"/>
              </w:rPr>
            </w:pPr>
          </w:p>
          <w:p w14:paraId="7F34D158" w14:textId="77777777" w:rsidR="00472F57" w:rsidRPr="0017008E" w:rsidRDefault="00472F57" w:rsidP="002924A6">
            <w:pPr>
              <w:rPr>
                <w:sz w:val="22"/>
                <w:szCs w:val="22"/>
              </w:rPr>
            </w:pPr>
          </w:p>
          <w:p w14:paraId="28501096" w14:textId="77777777" w:rsidR="00472F57" w:rsidRPr="0017008E" w:rsidRDefault="00472F57" w:rsidP="002924A6">
            <w:pPr>
              <w:rPr>
                <w:sz w:val="22"/>
                <w:szCs w:val="22"/>
              </w:rPr>
            </w:pPr>
          </w:p>
        </w:tc>
        <w:tc>
          <w:tcPr>
            <w:tcW w:w="2908" w:type="dxa"/>
            <w:shd w:val="clear" w:color="auto" w:fill="FF3300"/>
          </w:tcPr>
          <w:p w14:paraId="22990876" w14:textId="593C7A9F" w:rsidR="00CD0650" w:rsidRPr="0017008E" w:rsidRDefault="00514C71" w:rsidP="002924A6">
            <w:pPr>
              <w:rPr>
                <w:sz w:val="22"/>
                <w:szCs w:val="22"/>
              </w:rPr>
            </w:pPr>
            <w:r>
              <w:rPr>
                <w:sz w:val="22"/>
                <w:szCs w:val="22"/>
              </w:rPr>
              <w:t>Only via appropriate departmental distribution service.</w:t>
            </w:r>
          </w:p>
        </w:tc>
      </w:tr>
      <w:tr w:rsidR="00E54FCD" w14:paraId="276F1C10" w14:textId="77777777" w:rsidTr="0017008E">
        <w:tc>
          <w:tcPr>
            <w:tcW w:w="2907" w:type="dxa"/>
            <w:shd w:val="clear" w:color="auto" w:fill="auto"/>
          </w:tcPr>
          <w:p w14:paraId="15FDF54A" w14:textId="6CEA2A7E" w:rsidR="00CD0650" w:rsidRPr="0017008E" w:rsidRDefault="00CD0650" w:rsidP="002924A6">
            <w:pPr>
              <w:rPr>
                <w:sz w:val="22"/>
                <w:szCs w:val="22"/>
              </w:rPr>
            </w:pPr>
            <w:r w:rsidRPr="0017008E">
              <w:rPr>
                <w:sz w:val="22"/>
                <w:szCs w:val="22"/>
              </w:rPr>
              <w:t>Can I take papers out of the office or work on them at home</w:t>
            </w:r>
            <w:r w:rsidR="00E05926">
              <w:rPr>
                <w:sz w:val="22"/>
                <w:szCs w:val="22"/>
              </w:rPr>
              <w:t xml:space="preserve"> if they cannot be worked on remotely</w:t>
            </w:r>
            <w:r w:rsidRPr="0017008E">
              <w:rPr>
                <w:sz w:val="22"/>
                <w:szCs w:val="22"/>
              </w:rPr>
              <w:t>?</w:t>
            </w:r>
          </w:p>
        </w:tc>
        <w:tc>
          <w:tcPr>
            <w:tcW w:w="2907" w:type="dxa"/>
            <w:shd w:val="clear" w:color="auto" w:fill="99CCFF"/>
          </w:tcPr>
          <w:p w14:paraId="4AB7CDD5" w14:textId="77777777" w:rsidR="00CD0650" w:rsidRPr="0017008E" w:rsidRDefault="00CD0650" w:rsidP="00356EDE">
            <w:pPr>
              <w:rPr>
                <w:sz w:val="22"/>
                <w:szCs w:val="22"/>
              </w:rPr>
            </w:pPr>
            <w:r w:rsidRPr="0017008E">
              <w:rPr>
                <w:sz w:val="22"/>
                <w:szCs w:val="22"/>
              </w:rPr>
              <w:t xml:space="preserve">This is to be avoided if possible, consider </w:t>
            </w:r>
            <w:r w:rsidR="003C57DB" w:rsidRPr="0017008E">
              <w:rPr>
                <w:sz w:val="22"/>
                <w:szCs w:val="22"/>
              </w:rPr>
              <w:t>other alternatives</w:t>
            </w:r>
            <w:r w:rsidRPr="0017008E">
              <w:rPr>
                <w:sz w:val="22"/>
                <w:szCs w:val="22"/>
              </w:rPr>
              <w:t xml:space="preserve">. </w:t>
            </w:r>
            <w:r w:rsidR="003C57DB" w:rsidRPr="0017008E">
              <w:rPr>
                <w:sz w:val="22"/>
                <w:szCs w:val="22"/>
              </w:rPr>
              <w:t xml:space="preserve"> If you take such material out of the office </w:t>
            </w:r>
            <w:r w:rsidR="00356EDE" w:rsidRPr="0017008E">
              <w:rPr>
                <w:sz w:val="22"/>
                <w:szCs w:val="22"/>
              </w:rPr>
              <w:t>it must be carried in a container (ideally a lockable one) which does not allow anyone to see the material.</w:t>
            </w:r>
          </w:p>
        </w:tc>
        <w:tc>
          <w:tcPr>
            <w:tcW w:w="2907" w:type="dxa"/>
            <w:shd w:val="clear" w:color="auto" w:fill="66CCFF"/>
          </w:tcPr>
          <w:p w14:paraId="086035D4" w14:textId="0CB1BBE4" w:rsidR="00CD0650" w:rsidRPr="0017008E" w:rsidRDefault="00CD0650" w:rsidP="00356EDE">
            <w:pPr>
              <w:rPr>
                <w:sz w:val="22"/>
                <w:szCs w:val="22"/>
              </w:rPr>
            </w:pPr>
            <w:r w:rsidRPr="0017008E">
              <w:rPr>
                <w:sz w:val="22"/>
                <w:szCs w:val="22"/>
              </w:rPr>
              <w:t>This is to be avoided if possible, but if necessary, you must have the prior agreement of your line manager</w:t>
            </w:r>
            <w:r w:rsidR="005C0390">
              <w:rPr>
                <w:sz w:val="22"/>
                <w:szCs w:val="22"/>
              </w:rPr>
              <w:t xml:space="preserve"> (or the SRO </w:t>
            </w:r>
            <w:r w:rsidR="005A3A08">
              <w:rPr>
                <w:sz w:val="22"/>
                <w:szCs w:val="22"/>
              </w:rPr>
              <w:t>in the context of reviews)</w:t>
            </w:r>
            <w:r w:rsidR="003C57DB" w:rsidRPr="0017008E">
              <w:rPr>
                <w:sz w:val="22"/>
                <w:szCs w:val="22"/>
              </w:rPr>
              <w:t xml:space="preserve">.  If you take such material out of the office </w:t>
            </w:r>
            <w:r w:rsidR="00356EDE" w:rsidRPr="0017008E">
              <w:rPr>
                <w:sz w:val="22"/>
                <w:szCs w:val="22"/>
              </w:rPr>
              <w:t>it must be carried in a container (ideally a lockable one) which does not allow anyone to see the material.</w:t>
            </w:r>
          </w:p>
        </w:tc>
        <w:tc>
          <w:tcPr>
            <w:tcW w:w="2908" w:type="dxa"/>
            <w:shd w:val="clear" w:color="auto" w:fill="00CC66"/>
          </w:tcPr>
          <w:p w14:paraId="6DFDCA7F" w14:textId="48EA7E3C" w:rsidR="00CD0650" w:rsidRPr="0017008E" w:rsidRDefault="00D5213B" w:rsidP="00E05926">
            <w:pPr>
              <w:rPr>
                <w:sz w:val="22"/>
                <w:szCs w:val="22"/>
              </w:rPr>
            </w:pPr>
            <w:r w:rsidRPr="0017008E">
              <w:rPr>
                <w:sz w:val="22"/>
                <w:szCs w:val="22"/>
              </w:rPr>
              <w:t xml:space="preserve">This is to be avoided, but </w:t>
            </w:r>
            <w:r w:rsidR="00356EDE" w:rsidRPr="0017008E">
              <w:rPr>
                <w:sz w:val="22"/>
                <w:szCs w:val="22"/>
              </w:rPr>
              <w:t>is possible in rare and exceptional circumstances where no other option exists</w:t>
            </w:r>
            <w:r w:rsidR="00E05926">
              <w:rPr>
                <w:sz w:val="22"/>
                <w:szCs w:val="22"/>
              </w:rPr>
              <w:t>.</w:t>
            </w:r>
            <w:r w:rsidRPr="0017008E">
              <w:rPr>
                <w:sz w:val="22"/>
                <w:szCs w:val="22"/>
              </w:rPr>
              <w:t xml:space="preserve"> </w:t>
            </w:r>
            <w:r w:rsidR="00E05926">
              <w:rPr>
                <w:sz w:val="22"/>
                <w:szCs w:val="22"/>
              </w:rPr>
              <w:t>Y</w:t>
            </w:r>
            <w:r w:rsidRPr="0017008E">
              <w:rPr>
                <w:sz w:val="22"/>
                <w:szCs w:val="22"/>
              </w:rPr>
              <w:t>ou must obtain the prior agreement of your Head of Management Unit.</w:t>
            </w:r>
          </w:p>
        </w:tc>
        <w:tc>
          <w:tcPr>
            <w:tcW w:w="2908" w:type="dxa"/>
            <w:shd w:val="clear" w:color="auto" w:fill="FF3300"/>
          </w:tcPr>
          <w:p w14:paraId="3C4E6B17" w14:textId="77729864" w:rsidR="00CD0650" w:rsidRPr="0017008E" w:rsidRDefault="00D5213B" w:rsidP="00E05926">
            <w:pPr>
              <w:rPr>
                <w:sz w:val="22"/>
                <w:szCs w:val="22"/>
              </w:rPr>
            </w:pPr>
            <w:r w:rsidRPr="0017008E">
              <w:rPr>
                <w:sz w:val="22"/>
                <w:szCs w:val="22"/>
              </w:rPr>
              <w:t xml:space="preserve">This is to be avoided, but </w:t>
            </w:r>
            <w:r w:rsidR="00356EDE" w:rsidRPr="0017008E">
              <w:rPr>
                <w:sz w:val="22"/>
                <w:szCs w:val="22"/>
              </w:rPr>
              <w:t>is possible in rare and exceptional circumstances where no other option exists</w:t>
            </w:r>
            <w:r w:rsidR="00E05926">
              <w:rPr>
                <w:sz w:val="22"/>
                <w:szCs w:val="22"/>
              </w:rPr>
              <w:t>.</w:t>
            </w:r>
            <w:r w:rsidRPr="0017008E">
              <w:rPr>
                <w:sz w:val="22"/>
                <w:szCs w:val="22"/>
              </w:rPr>
              <w:t xml:space="preserve"> </w:t>
            </w:r>
            <w:r w:rsidR="00E05926">
              <w:rPr>
                <w:sz w:val="22"/>
                <w:szCs w:val="22"/>
              </w:rPr>
              <w:t>Y</w:t>
            </w:r>
            <w:r w:rsidRPr="0017008E">
              <w:rPr>
                <w:sz w:val="22"/>
                <w:szCs w:val="22"/>
              </w:rPr>
              <w:t xml:space="preserve">ou must have the prior agreement of your Head of Management Unit and </w:t>
            </w:r>
            <w:r w:rsidR="00356EDE" w:rsidRPr="0017008E">
              <w:rPr>
                <w:sz w:val="22"/>
                <w:szCs w:val="22"/>
              </w:rPr>
              <w:t xml:space="preserve">Departmental Security Officer and </w:t>
            </w:r>
            <w:r w:rsidRPr="0017008E">
              <w:rPr>
                <w:sz w:val="22"/>
                <w:szCs w:val="22"/>
              </w:rPr>
              <w:t xml:space="preserve">a risk assessment must </w:t>
            </w:r>
            <w:r w:rsidR="00377C1B" w:rsidRPr="0017008E">
              <w:rPr>
                <w:sz w:val="22"/>
                <w:szCs w:val="22"/>
              </w:rPr>
              <w:t xml:space="preserve">also </w:t>
            </w:r>
            <w:r w:rsidRPr="0017008E">
              <w:rPr>
                <w:sz w:val="22"/>
                <w:szCs w:val="22"/>
              </w:rPr>
              <w:t>be undertaken beforehand.</w:t>
            </w:r>
          </w:p>
        </w:tc>
      </w:tr>
      <w:tr w:rsidR="00E54FCD" w14:paraId="3C7A9AD2" w14:textId="77777777" w:rsidTr="0017008E">
        <w:tc>
          <w:tcPr>
            <w:tcW w:w="2907" w:type="dxa"/>
            <w:shd w:val="clear" w:color="auto" w:fill="auto"/>
          </w:tcPr>
          <w:p w14:paraId="6C9448F5" w14:textId="77777777" w:rsidR="003C57DB" w:rsidRPr="0017008E" w:rsidRDefault="003C57DB" w:rsidP="003C57DB">
            <w:pPr>
              <w:rPr>
                <w:sz w:val="22"/>
                <w:szCs w:val="22"/>
              </w:rPr>
            </w:pPr>
            <w:r w:rsidRPr="0017008E">
              <w:rPr>
                <w:sz w:val="22"/>
                <w:szCs w:val="22"/>
              </w:rPr>
              <w:t>How do I store it?</w:t>
            </w:r>
          </w:p>
        </w:tc>
        <w:tc>
          <w:tcPr>
            <w:tcW w:w="2907" w:type="dxa"/>
            <w:shd w:val="clear" w:color="auto" w:fill="99CCFF"/>
          </w:tcPr>
          <w:p w14:paraId="0FBFD339" w14:textId="77777777" w:rsidR="003C57DB" w:rsidRPr="0017008E" w:rsidRDefault="00DE013D" w:rsidP="003C57DB">
            <w:pPr>
              <w:rPr>
                <w:sz w:val="22"/>
                <w:szCs w:val="22"/>
              </w:rPr>
            </w:pPr>
            <w:r w:rsidRPr="0017008E">
              <w:rPr>
                <w:sz w:val="22"/>
                <w:szCs w:val="22"/>
              </w:rPr>
              <w:t>On official premises, l</w:t>
            </w:r>
            <w:r w:rsidR="003C57DB" w:rsidRPr="0017008E">
              <w:rPr>
                <w:sz w:val="22"/>
                <w:szCs w:val="22"/>
              </w:rPr>
              <w:t xml:space="preserve">ock OFFICIAL assets </w:t>
            </w:r>
            <w:r w:rsidRPr="0017008E">
              <w:rPr>
                <w:sz w:val="22"/>
                <w:szCs w:val="22"/>
              </w:rPr>
              <w:t xml:space="preserve">(including papers and equipment) </w:t>
            </w:r>
            <w:r w:rsidR="003C57DB" w:rsidRPr="0017008E">
              <w:rPr>
                <w:sz w:val="22"/>
                <w:szCs w:val="22"/>
              </w:rPr>
              <w:t>away when not in use.</w:t>
            </w:r>
          </w:p>
          <w:p w14:paraId="4D16DAB1" w14:textId="77777777" w:rsidR="00DE013D" w:rsidRPr="0017008E" w:rsidRDefault="00DE013D" w:rsidP="003C57DB">
            <w:pPr>
              <w:rPr>
                <w:sz w:val="22"/>
                <w:szCs w:val="22"/>
              </w:rPr>
            </w:pPr>
          </w:p>
          <w:p w14:paraId="00D09FDB" w14:textId="03DA5A7F" w:rsidR="00DE013D" w:rsidRPr="0017008E" w:rsidRDefault="00DE013D" w:rsidP="003C57DB">
            <w:pPr>
              <w:rPr>
                <w:sz w:val="22"/>
                <w:szCs w:val="22"/>
              </w:rPr>
            </w:pPr>
            <w:r w:rsidRPr="0017008E">
              <w:rPr>
                <w:sz w:val="22"/>
                <w:szCs w:val="22"/>
              </w:rPr>
              <w:t xml:space="preserve">At home, </w:t>
            </w:r>
            <w:r w:rsidR="00E54FCD">
              <w:rPr>
                <w:sz w:val="22"/>
                <w:szCs w:val="22"/>
              </w:rPr>
              <w:t>lock OFFICIAL assets away when not in use.</w:t>
            </w:r>
          </w:p>
          <w:p w14:paraId="5E914915" w14:textId="77777777" w:rsidR="00DE013D" w:rsidRPr="0017008E" w:rsidRDefault="00DE013D" w:rsidP="003C57DB">
            <w:pPr>
              <w:rPr>
                <w:sz w:val="22"/>
                <w:szCs w:val="22"/>
              </w:rPr>
            </w:pPr>
          </w:p>
          <w:p w14:paraId="06AD9123" w14:textId="77777777" w:rsidR="00DE013D" w:rsidRPr="0017008E" w:rsidRDefault="00DE013D" w:rsidP="003C57DB">
            <w:pPr>
              <w:rPr>
                <w:sz w:val="22"/>
                <w:szCs w:val="22"/>
              </w:rPr>
            </w:pPr>
          </w:p>
          <w:p w14:paraId="4BA596E0" w14:textId="77777777" w:rsidR="00DE013D" w:rsidRPr="0017008E" w:rsidRDefault="00DE013D" w:rsidP="003C57DB">
            <w:pPr>
              <w:rPr>
                <w:sz w:val="22"/>
                <w:szCs w:val="22"/>
              </w:rPr>
            </w:pPr>
          </w:p>
        </w:tc>
        <w:tc>
          <w:tcPr>
            <w:tcW w:w="2907" w:type="dxa"/>
            <w:shd w:val="clear" w:color="auto" w:fill="66CCFF"/>
          </w:tcPr>
          <w:p w14:paraId="6ACE7E3F" w14:textId="77777777" w:rsidR="003C57DB" w:rsidRDefault="003C57DB" w:rsidP="003C57DB">
            <w:pPr>
              <w:rPr>
                <w:sz w:val="22"/>
                <w:szCs w:val="22"/>
              </w:rPr>
            </w:pPr>
            <w:r w:rsidRPr="0017008E">
              <w:rPr>
                <w:sz w:val="22"/>
                <w:szCs w:val="22"/>
              </w:rPr>
              <w:t>Lock OFFICIAL assets away when not in use.</w:t>
            </w:r>
          </w:p>
          <w:p w14:paraId="0ECE1500" w14:textId="77777777" w:rsidR="00E54FCD" w:rsidRDefault="00E54FCD" w:rsidP="003C57DB">
            <w:pPr>
              <w:rPr>
                <w:sz w:val="22"/>
                <w:szCs w:val="22"/>
              </w:rPr>
            </w:pPr>
          </w:p>
          <w:p w14:paraId="2A99DAD4" w14:textId="7D5AC094" w:rsidR="00E54FCD" w:rsidRPr="0017008E" w:rsidRDefault="00E54FCD" w:rsidP="00E54FCD">
            <w:pPr>
              <w:rPr>
                <w:sz w:val="22"/>
                <w:szCs w:val="22"/>
              </w:rPr>
            </w:pPr>
            <w:r>
              <w:rPr>
                <w:sz w:val="22"/>
                <w:szCs w:val="22"/>
              </w:rPr>
              <w:t>At home, follow departmental guidelines established when agreement to remove the papers from the office was given.</w:t>
            </w:r>
          </w:p>
        </w:tc>
        <w:tc>
          <w:tcPr>
            <w:tcW w:w="2908" w:type="dxa"/>
            <w:shd w:val="clear" w:color="auto" w:fill="00CC66"/>
          </w:tcPr>
          <w:p w14:paraId="6B6CCD7B" w14:textId="77777777" w:rsidR="003C57DB" w:rsidRPr="0017008E" w:rsidRDefault="003C57DB" w:rsidP="00356EDE">
            <w:pPr>
              <w:rPr>
                <w:sz w:val="22"/>
                <w:szCs w:val="22"/>
                <w:highlight w:val="yellow"/>
              </w:rPr>
            </w:pPr>
            <w:r w:rsidRPr="00E54FCD">
              <w:rPr>
                <w:sz w:val="22"/>
                <w:szCs w:val="22"/>
              </w:rPr>
              <w:t xml:space="preserve">Locked in an approved container </w:t>
            </w:r>
            <w:r w:rsidR="00356EDE" w:rsidRPr="00E54FCD">
              <w:rPr>
                <w:sz w:val="22"/>
                <w:szCs w:val="22"/>
              </w:rPr>
              <w:t xml:space="preserve">(e.g. Mersey cabinet) </w:t>
            </w:r>
            <w:r w:rsidRPr="00E54FCD">
              <w:rPr>
                <w:sz w:val="22"/>
                <w:szCs w:val="22"/>
              </w:rPr>
              <w:t xml:space="preserve">on </w:t>
            </w:r>
            <w:r w:rsidR="00356EDE" w:rsidRPr="00E54FCD">
              <w:rPr>
                <w:sz w:val="22"/>
                <w:szCs w:val="22"/>
              </w:rPr>
              <w:t>official premises.</w:t>
            </w:r>
          </w:p>
        </w:tc>
        <w:tc>
          <w:tcPr>
            <w:tcW w:w="2908" w:type="dxa"/>
            <w:shd w:val="clear" w:color="auto" w:fill="FF3300"/>
          </w:tcPr>
          <w:p w14:paraId="4813D90D" w14:textId="09434CAF" w:rsidR="003C57DB" w:rsidRPr="0017008E" w:rsidRDefault="003C57DB" w:rsidP="00E54FCD">
            <w:pPr>
              <w:rPr>
                <w:sz w:val="22"/>
                <w:szCs w:val="22"/>
              </w:rPr>
            </w:pPr>
            <w:r w:rsidRPr="00E54FCD">
              <w:rPr>
                <w:sz w:val="22"/>
                <w:szCs w:val="22"/>
              </w:rPr>
              <w:t xml:space="preserve">Locked in an approved container </w:t>
            </w:r>
            <w:r w:rsidR="00356EDE" w:rsidRPr="00E54FCD">
              <w:rPr>
                <w:sz w:val="22"/>
                <w:szCs w:val="22"/>
              </w:rPr>
              <w:t>(e.g. Mersey cabinet) on official premises</w:t>
            </w:r>
            <w:r w:rsidR="00692686" w:rsidRPr="0017008E">
              <w:rPr>
                <w:sz w:val="22"/>
                <w:szCs w:val="22"/>
              </w:rPr>
              <w:t>.</w:t>
            </w:r>
          </w:p>
        </w:tc>
      </w:tr>
      <w:tr w:rsidR="00E54FCD" w14:paraId="7E231556" w14:textId="77777777" w:rsidTr="00E54FCD">
        <w:tc>
          <w:tcPr>
            <w:tcW w:w="2907" w:type="dxa"/>
            <w:shd w:val="clear" w:color="auto" w:fill="auto"/>
          </w:tcPr>
          <w:p w14:paraId="46922EA0" w14:textId="77777777" w:rsidR="003C57DB" w:rsidRPr="0017008E" w:rsidRDefault="003C57DB" w:rsidP="003C57DB">
            <w:pPr>
              <w:rPr>
                <w:sz w:val="22"/>
                <w:szCs w:val="22"/>
              </w:rPr>
            </w:pPr>
            <w:r w:rsidRPr="0017008E">
              <w:rPr>
                <w:sz w:val="22"/>
                <w:szCs w:val="22"/>
              </w:rPr>
              <w:t>How do I dispose of it?</w:t>
            </w:r>
          </w:p>
        </w:tc>
        <w:tc>
          <w:tcPr>
            <w:tcW w:w="2907" w:type="dxa"/>
            <w:shd w:val="clear" w:color="auto" w:fill="99CCFF"/>
          </w:tcPr>
          <w:p w14:paraId="71137CC6" w14:textId="38F32ACD" w:rsidR="003C57DB" w:rsidRPr="0017008E" w:rsidRDefault="007337E2" w:rsidP="003C57DB">
            <w:pPr>
              <w:rPr>
                <w:sz w:val="22"/>
                <w:szCs w:val="22"/>
              </w:rPr>
            </w:pPr>
            <w:r w:rsidRPr="0017008E">
              <w:rPr>
                <w:sz w:val="22"/>
                <w:szCs w:val="22"/>
              </w:rPr>
              <w:t>Return documents to the office for disposal</w:t>
            </w:r>
            <w:r w:rsidR="00E54FCD">
              <w:rPr>
                <w:sz w:val="22"/>
                <w:szCs w:val="22"/>
              </w:rPr>
              <w:t xml:space="preserve"> in accordance with departmental guidelines</w:t>
            </w:r>
            <w:r w:rsidRPr="0017008E">
              <w:rPr>
                <w:sz w:val="22"/>
                <w:szCs w:val="22"/>
              </w:rPr>
              <w:t>.</w:t>
            </w:r>
          </w:p>
        </w:tc>
        <w:tc>
          <w:tcPr>
            <w:tcW w:w="2907" w:type="dxa"/>
            <w:shd w:val="clear" w:color="auto" w:fill="66CCFF"/>
          </w:tcPr>
          <w:p w14:paraId="13A6B12B" w14:textId="3DF52C36" w:rsidR="003C57DB" w:rsidRPr="0017008E" w:rsidRDefault="00E54FCD" w:rsidP="003C57DB">
            <w:pPr>
              <w:rPr>
                <w:sz w:val="22"/>
                <w:szCs w:val="22"/>
              </w:rPr>
            </w:pPr>
            <w:r>
              <w:rPr>
                <w:sz w:val="22"/>
                <w:szCs w:val="22"/>
              </w:rPr>
              <w:t>Return documents to the office for disposal in accordance with departmental guidelines.</w:t>
            </w:r>
          </w:p>
        </w:tc>
        <w:tc>
          <w:tcPr>
            <w:tcW w:w="2908" w:type="dxa"/>
            <w:shd w:val="clear" w:color="auto" w:fill="00CC66"/>
          </w:tcPr>
          <w:p w14:paraId="7CE76E32" w14:textId="78E0B466" w:rsidR="003C57DB" w:rsidRPr="0017008E" w:rsidRDefault="00E54FCD" w:rsidP="00E54FCD">
            <w:pPr>
              <w:rPr>
                <w:sz w:val="22"/>
                <w:szCs w:val="22"/>
              </w:rPr>
            </w:pPr>
            <w:r>
              <w:rPr>
                <w:sz w:val="22"/>
                <w:szCs w:val="22"/>
              </w:rPr>
              <w:t>Return documents to the office for disposal in accordance with departmental guidelines</w:t>
            </w:r>
          </w:p>
        </w:tc>
        <w:tc>
          <w:tcPr>
            <w:tcW w:w="2908" w:type="dxa"/>
            <w:shd w:val="clear" w:color="auto" w:fill="FF3300"/>
          </w:tcPr>
          <w:p w14:paraId="557B817A" w14:textId="5F759C2C" w:rsidR="003C57DB" w:rsidRPr="0017008E" w:rsidRDefault="00E54FCD" w:rsidP="003C57DB">
            <w:pPr>
              <w:rPr>
                <w:sz w:val="22"/>
                <w:szCs w:val="22"/>
              </w:rPr>
            </w:pPr>
            <w:r>
              <w:rPr>
                <w:sz w:val="22"/>
                <w:szCs w:val="22"/>
              </w:rPr>
              <w:t>Return documents to the office for disposal in accordance with departmental guidelines.</w:t>
            </w:r>
          </w:p>
        </w:tc>
      </w:tr>
    </w:tbl>
    <w:p w14:paraId="22F6734A" w14:textId="77777777" w:rsidR="008B1408" w:rsidRDefault="008B1408" w:rsidP="002924A6"/>
    <w:p w14:paraId="5398DE09" w14:textId="4254770B" w:rsidR="00566C3C" w:rsidRDefault="00566C3C" w:rsidP="002924A6">
      <w:r>
        <w:rPr>
          <w:rFonts w:cs="Arial"/>
          <w:sz w:val="22"/>
        </w:rPr>
        <w:t>The information provided above should be seen as a guide only.  Arrangements for data and information security for the review must be agreed with the</w:t>
      </w:r>
      <w:r w:rsidR="002B6826">
        <w:rPr>
          <w:rFonts w:cs="Arial"/>
          <w:sz w:val="22"/>
        </w:rPr>
        <w:t xml:space="preserve"> programme/project team at the a</w:t>
      </w:r>
      <w:r>
        <w:rPr>
          <w:rFonts w:cs="Arial"/>
          <w:sz w:val="22"/>
        </w:rPr>
        <w:t>s</w:t>
      </w:r>
      <w:r w:rsidR="002B6826">
        <w:rPr>
          <w:rFonts w:cs="Arial"/>
          <w:sz w:val="22"/>
        </w:rPr>
        <w:t>sessment and planning m</w:t>
      </w:r>
      <w:r>
        <w:rPr>
          <w:rFonts w:cs="Arial"/>
          <w:sz w:val="22"/>
        </w:rPr>
        <w:t>eeting</w:t>
      </w:r>
      <w:r w:rsidR="002B6826">
        <w:rPr>
          <w:rFonts w:cs="Arial"/>
          <w:sz w:val="22"/>
        </w:rPr>
        <w:t>s</w:t>
      </w:r>
      <w:r w:rsidR="00EE08FA">
        <w:rPr>
          <w:rFonts w:cs="Arial"/>
          <w:sz w:val="22"/>
        </w:rPr>
        <w:t xml:space="preserve">. </w:t>
      </w:r>
      <w:r>
        <w:rPr>
          <w:rFonts w:cs="Arial"/>
          <w:sz w:val="22"/>
        </w:rPr>
        <w:t xml:space="preserve">The storage, disposal and transmission of information, including that classified as </w:t>
      </w:r>
      <w:r>
        <w:rPr>
          <w:sz w:val="22"/>
        </w:rPr>
        <w:t xml:space="preserve">Secret and Top Secret should be discussed </w:t>
      </w:r>
      <w:r w:rsidR="00616314">
        <w:rPr>
          <w:sz w:val="22"/>
        </w:rPr>
        <w:t xml:space="preserve">and agreed </w:t>
      </w:r>
      <w:r>
        <w:rPr>
          <w:sz w:val="22"/>
        </w:rPr>
        <w:t>with the</w:t>
      </w:r>
      <w:r w:rsidR="002B6826">
        <w:rPr>
          <w:sz w:val="22"/>
        </w:rPr>
        <w:t xml:space="preserve"> programme/project team at the a</w:t>
      </w:r>
      <w:r>
        <w:rPr>
          <w:sz w:val="22"/>
        </w:rPr>
        <w:t>sses</w:t>
      </w:r>
      <w:r w:rsidR="002B6826">
        <w:rPr>
          <w:sz w:val="22"/>
        </w:rPr>
        <w:t>sment and p</w:t>
      </w:r>
      <w:r>
        <w:rPr>
          <w:sz w:val="22"/>
        </w:rPr>
        <w:t xml:space="preserve">lanning </w:t>
      </w:r>
      <w:r w:rsidR="002B6826">
        <w:rPr>
          <w:sz w:val="22"/>
        </w:rPr>
        <w:t>m</w:t>
      </w:r>
      <w:r>
        <w:rPr>
          <w:sz w:val="22"/>
        </w:rPr>
        <w:t>eeting</w:t>
      </w:r>
      <w:r w:rsidR="002B6826">
        <w:rPr>
          <w:sz w:val="22"/>
        </w:rPr>
        <w:t>s</w:t>
      </w:r>
      <w:r>
        <w:rPr>
          <w:sz w:val="22"/>
        </w:rPr>
        <w:t>.  Where deemed appropriate by the programme/project team and in consultation with the review team, the review team may b</w:t>
      </w:r>
      <w:r w:rsidR="002B6826">
        <w:rPr>
          <w:sz w:val="22"/>
        </w:rPr>
        <w:t>e required to have an internal reading d</w:t>
      </w:r>
      <w:r>
        <w:rPr>
          <w:sz w:val="22"/>
        </w:rPr>
        <w:t xml:space="preserve">ay within the programme/project office before the </w:t>
      </w:r>
      <w:r w:rsidR="00616314">
        <w:rPr>
          <w:sz w:val="22"/>
        </w:rPr>
        <w:t>r</w:t>
      </w:r>
      <w:r>
        <w:rPr>
          <w:sz w:val="22"/>
        </w:rPr>
        <w:t>eview is conducted.</w:t>
      </w:r>
    </w:p>
    <w:p w14:paraId="2A8ACF72" w14:textId="77777777" w:rsidR="00566C3C" w:rsidRDefault="00566C3C" w:rsidP="002924A6"/>
    <w:p w14:paraId="49FCBB85" w14:textId="373549B1" w:rsidR="007704C7" w:rsidRDefault="007704C7" w:rsidP="00566C3C"/>
    <w:sectPr w:rsidR="007704C7" w:rsidSect="000F280E">
      <w:headerReference w:type="default" r:id="rId21"/>
      <w:footerReference w:type="default" r:id="rId22"/>
      <w:pgSz w:w="16838" w:h="11906" w:orient="landscape" w:code="9"/>
      <w:pgMar w:top="1797" w:right="1440" w:bottom="1797"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E8FC6" w14:textId="77777777" w:rsidR="001A739C" w:rsidRDefault="001A739C">
      <w:r>
        <w:separator/>
      </w:r>
    </w:p>
  </w:endnote>
  <w:endnote w:type="continuationSeparator" w:id="0">
    <w:p w14:paraId="187E9F5A" w14:textId="77777777" w:rsidR="001A739C" w:rsidRDefault="001A739C">
      <w:r>
        <w:continuationSeparator/>
      </w:r>
    </w:p>
  </w:endnote>
  <w:endnote w:type="continuationNotice" w:id="1">
    <w:p w14:paraId="2E39F405" w14:textId="77777777" w:rsidR="001A739C" w:rsidRDefault="001A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04455"/>
      <w:docPartObj>
        <w:docPartGallery w:val="Page Numbers (Bottom of Page)"/>
        <w:docPartUnique/>
      </w:docPartObj>
    </w:sdtPr>
    <w:sdtEndPr>
      <w:rPr>
        <w:noProof/>
      </w:rPr>
    </w:sdtEndPr>
    <w:sdtContent>
      <w:p w14:paraId="5312C8CD" w14:textId="3FE06DAB" w:rsidR="001A739C" w:rsidRDefault="001A739C">
        <w:pPr>
          <w:pStyle w:val="Footer"/>
          <w:jc w:val="right"/>
        </w:pPr>
        <w:r>
          <w:fldChar w:fldCharType="begin"/>
        </w:r>
        <w:r>
          <w:instrText xml:space="preserve"> PAGE   \* MERGEFORMAT </w:instrText>
        </w:r>
        <w:r>
          <w:fldChar w:fldCharType="separate"/>
        </w:r>
        <w:r w:rsidR="00640EAE">
          <w:rPr>
            <w:noProof/>
          </w:rPr>
          <w:t>2</w:t>
        </w:r>
        <w:r>
          <w:rPr>
            <w:noProof/>
          </w:rPr>
          <w:fldChar w:fldCharType="end"/>
        </w:r>
      </w:p>
    </w:sdtContent>
  </w:sdt>
  <w:p w14:paraId="2A4F232A" w14:textId="30D61CDD" w:rsidR="001A739C" w:rsidRPr="0017008E" w:rsidRDefault="001A739C" w:rsidP="00A31662">
    <w:pPr>
      <w:pStyle w:val="Footer"/>
      <w:ind w:left="-993"/>
      <w:rPr>
        <w:sz w:val="18"/>
        <w:szCs w:val="18"/>
      </w:rPr>
    </w:pPr>
    <w:r w:rsidRPr="008752FC">
      <w:rPr>
        <w:noProof/>
        <w:lang w:eastAsia="en-GB"/>
      </w:rPr>
      <w:drawing>
        <wp:inline distT="0" distB="0" distL="0" distR="0" wp14:anchorId="211E1F55" wp14:editId="1BA4B994">
          <wp:extent cx="1917700" cy="311150"/>
          <wp:effectExtent l="0" t="0" r="6350" b="0"/>
          <wp:docPr id="4" name="Picture 4" descr="IPA_BLK_Strapline_2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_BLK_Strapline_2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111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706B4" w14:textId="1B54BB1D" w:rsidR="001A739C" w:rsidRPr="00C90871" w:rsidRDefault="001A739C" w:rsidP="008638AD">
    <w:pPr>
      <w:pStyle w:val="Footer"/>
      <w:ind w:left="-993"/>
    </w:pPr>
    <w:r w:rsidRPr="008752FC">
      <w:rPr>
        <w:noProof/>
        <w:lang w:eastAsia="en-GB"/>
      </w:rPr>
      <w:drawing>
        <wp:inline distT="0" distB="0" distL="0" distR="0" wp14:anchorId="7C3BB8A2" wp14:editId="1EF79A1C">
          <wp:extent cx="1917700" cy="311150"/>
          <wp:effectExtent l="0" t="0" r="6350" b="0"/>
          <wp:docPr id="9" name="Picture 9" descr="IPA_BLK_Strapline_2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_BLK_Strapline_2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11150"/>
                  </a:xfrm>
                  <a:prstGeom prst="rect">
                    <a:avLst/>
                  </a:prstGeom>
                  <a:noFill/>
                  <a:ln>
                    <a:noFill/>
                  </a:ln>
                </pic:spPr>
              </pic:pic>
            </a:graphicData>
          </a:graphic>
        </wp:inline>
      </w:drawing>
    </w:r>
  </w:p>
  <w:p w14:paraId="362CA0DB" w14:textId="2E7D506C" w:rsidR="001A739C" w:rsidRPr="0017008E" w:rsidRDefault="001A739C" w:rsidP="008638AD">
    <w:pPr>
      <w:pStyle w:val="Footer"/>
      <w:rPr>
        <w:sz w:val="18"/>
        <w:szCs w:val="18"/>
      </w:rPr>
    </w:pPr>
    <w:r>
      <w:rPr>
        <w:sz w:val="18"/>
        <w:szCs w:val="18"/>
      </w:rPr>
      <w:t xml:space="preserve">                                                                         </w:t>
    </w:r>
    <w:r w:rsidRPr="0017008E">
      <w:rPr>
        <w:sz w:val="18"/>
        <w:szCs w:val="18"/>
      </w:rPr>
      <w:t>UNCLASSIFIED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5191"/>
      <w:docPartObj>
        <w:docPartGallery w:val="Page Numbers (Bottom of Page)"/>
        <w:docPartUnique/>
      </w:docPartObj>
    </w:sdtPr>
    <w:sdtEndPr>
      <w:rPr>
        <w:noProof/>
      </w:rPr>
    </w:sdtEndPr>
    <w:sdtContent>
      <w:p w14:paraId="04DD579D" w14:textId="7D6DE2CD" w:rsidR="001A739C" w:rsidRDefault="001A739C" w:rsidP="000F280E">
        <w:pPr>
          <w:pStyle w:val="Footer"/>
          <w:ind w:right="713"/>
          <w:jc w:val="right"/>
        </w:pPr>
        <w:r>
          <w:fldChar w:fldCharType="begin"/>
        </w:r>
        <w:r>
          <w:instrText xml:space="preserve"> PAGE   \* MERGEFORMAT </w:instrText>
        </w:r>
        <w:r>
          <w:fldChar w:fldCharType="separate"/>
        </w:r>
        <w:r w:rsidR="00640EAE">
          <w:rPr>
            <w:noProof/>
          </w:rPr>
          <w:t>2</w:t>
        </w:r>
        <w:r>
          <w:rPr>
            <w:noProof/>
          </w:rPr>
          <w:fldChar w:fldCharType="end"/>
        </w:r>
      </w:p>
    </w:sdtContent>
  </w:sdt>
  <w:p w14:paraId="195D6A33" w14:textId="2E3A1250" w:rsidR="001A739C" w:rsidRPr="00C90871" w:rsidRDefault="001A739C" w:rsidP="000F280E">
    <w:pPr>
      <w:pStyle w:val="Footer"/>
      <w:tabs>
        <w:tab w:val="clear" w:pos="4153"/>
        <w:tab w:val="clear" w:pos="8306"/>
        <w:tab w:val="left" w:pos="13620"/>
      </w:tabs>
      <w:ind w:right="11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E39F2" w14:textId="77777777" w:rsidR="001A739C" w:rsidRDefault="001A739C">
      <w:r>
        <w:separator/>
      </w:r>
    </w:p>
  </w:footnote>
  <w:footnote w:type="continuationSeparator" w:id="0">
    <w:p w14:paraId="24E73FD3" w14:textId="77777777" w:rsidR="001A739C" w:rsidRDefault="001A739C">
      <w:r>
        <w:continuationSeparator/>
      </w:r>
    </w:p>
  </w:footnote>
  <w:footnote w:type="continuationNotice" w:id="1">
    <w:p w14:paraId="46FCF006" w14:textId="77777777" w:rsidR="001A739C" w:rsidRDefault="001A73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C0EC" w14:textId="77777777" w:rsidR="001A739C" w:rsidRPr="00D132C4" w:rsidRDefault="001A739C" w:rsidP="00D132C4">
    <w:pPr>
      <w:pStyle w:val="Header"/>
      <w:ind w:hanging="993"/>
      <w:rPr>
        <w:rFonts w:ascii="Arial" w:hAnsi="Arial" w:cs="Arial"/>
        <w:szCs w:val="24"/>
      </w:rPr>
    </w:pPr>
    <w:r w:rsidRPr="00470B8B">
      <w:rPr>
        <w:noProof/>
        <w:lang w:eastAsia="en-GB"/>
      </w:rPr>
      <w:drawing>
        <wp:inline distT="0" distB="0" distL="0" distR="0" wp14:anchorId="47339A94" wp14:editId="21BDE800">
          <wp:extent cx="1256030" cy="995045"/>
          <wp:effectExtent l="0" t="0" r="0" b="0"/>
          <wp:docPr id="8"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95045"/>
                  </a:xfrm>
                  <a:prstGeom prst="rect">
                    <a:avLst/>
                  </a:prstGeom>
                  <a:noFill/>
                  <a:ln>
                    <a:noFill/>
                  </a:ln>
                </pic:spPr>
              </pic:pic>
            </a:graphicData>
          </a:graphic>
        </wp:inline>
      </w:drawing>
    </w:r>
    <w:r>
      <w:rPr>
        <w:rFonts w:ascii="Arial" w:hAnsi="Arial" w:cs="Arial"/>
        <w:b/>
        <w:sz w:val="18"/>
        <w:szCs w:val="18"/>
      </w:rPr>
      <w:tab/>
    </w:r>
    <w:r w:rsidRPr="0017008E">
      <w:rPr>
        <w:rFonts w:ascii="Arial" w:hAnsi="Arial" w:cs="Arial"/>
        <w:sz w:val="18"/>
        <w:szCs w:val="18"/>
      </w:rPr>
      <w:t>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F8C0" w14:textId="77777777" w:rsidR="001A739C" w:rsidRPr="00563BA7" w:rsidRDefault="001A739C" w:rsidP="00563BA7">
    <w:pPr>
      <w:pStyle w:val="Header"/>
      <w:jc w:val="right"/>
      <w:rPr>
        <w:rFonts w:ascii="Arial" w:hAnsi="Arial" w:cs="Arial"/>
        <w:b/>
        <w:sz w:val="18"/>
        <w:szCs w:val="18"/>
      </w:rPr>
    </w:pPr>
    <w:r w:rsidRPr="00563BA7">
      <w:rPr>
        <w:rFonts w:ascii="Arial" w:hAnsi="Arial" w:cs="Arial"/>
        <w:b/>
        <w:sz w:val="18"/>
        <w:szCs w:val="18"/>
      </w:rPr>
      <w:t xml:space="preserve">Data and Information Security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7D6C" w14:textId="3A49087D" w:rsidR="001A739C" w:rsidRPr="0017008E" w:rsidRDefault="001A739C" w:rsidP="00603813">
    <w:pPr>
      <w:pStyle w:val="Header"/>
      <w:rPr>
        <w:rFonts w:ascii="Arial" w:hAnsi="Arial" w:cs="Arial"/>
        <w:sz w:val="18"/>
        <w:szCs w:val="18"/>
      </w:rPr>
    </w:pPr>
    <w:r w:rsidRPr="00470B8B">
      <w:rPr>
        <w:noProof/>
        <w:lang w:eastAsia="en-GB"/>
      </w:rPr>
      <w:drawing>
        <wp:inline distT="0" distB="0" distL="0" distR="0" wp14:anchorId="0D79FF60" wp14:editId="1C46C245">
          <wp:extent cx="1256030" cy="995045"/>
          <wp:effectExtent l="0" t="0" r="0" b="0"/>
          <wp:docPr id="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95045"/>
                  </a:xfrm>
                  <a:prstGeom prst="rect">
                    <a:avLst/>
                  </a:prstGeom>
                  <a:noFill/>
                  <a:ln>
                    <a:noFill/>
                  </a:ln>
                </pic:spPr>
              </pic:pic>
            </a:graphicData>
          </a:graphic>
        </wp:inline>
      </w:drawing>
    </w:r>
    <w:r>
      <w:tab/>
      <w:t xml:space="preserve">                                                                                 </w:t>
    </w:r>
    <w:r w:rsidRPr="0017008E">
      <w:rPr>
        <w:rFonts w:ascii="Arial" w:hAnsi="Arial" w:cs="Arial"/>
        <w:sz w:val="18"/>
        <w:szCs w:val="18"/>
      </w:rPr>
      <w:t>UNCLASSIFIED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2BB"/>
    <w:multiLevelType w:val="multilevel"/>
    <w:tmpl w:val="5A2227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D064280"/>
    <w:multiLevelType w:val="hybridMultilevel"/>
    <w:tmpl w:val="4CDE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4237A"/>
    <w:multiLevelType w:val="hybridMultilevel"/>
    <w:tmpl w:val="6E3A019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907554E"/>
    <w:multiLevelType w:val="multilevel"/>
    <w:tmpl w:val="9E6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D22D3"/>
    <w:multiLevelType w:val="hybridMultilevel"/>
    <w:tmpl w:val="216A490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4CFB0AD5"/>
    <w:multiLevelType w:val="hybridMultilevel"/>
    <w:tmpl w:val="096C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70542"/>
    <w:multiLevelType w:val="hybridMultilevel"/>
    <w:tmpl w:val="0862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5FBE"/>
    <w:multiLevelType w:val="hybridMultilevel"/>
    <w:tmpl w:val="6138220C"/>
    <w:lvl w:ilvl="0" w:tplc="769CB7DE">
      <w:start w:val="1"/>
      <w:numFmt w:val="decimal"/>
      <w:lvlText w:val="%1."/>
      <w:lvlJc w:val="left"/>
      <w:pPr>
        <w:tabs>
          <w:tab w:val="num" w:pos="170"/>
        </w:tabs>
        <w:ind w:left="170" w:hanging="17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5739B4"/>
    <w:multiLevelType w:val="hybridMultilevel"/>
    <w:tmpl w:val="97EEF684"/>
    <w:lvl w:ilvl="0" w:tplc="D542C02A">
      <w:start w:val="1"/>
      <w:numFmt w:val="decimal"/>
      <w:lvlText w:val="%1."/>
      <w:lvlJc w:val="left"/>
      <w:pPr>
        <w:ind w:left="-491" w:hanging="360"/>
      </w:pPr>
      <w:rPr>
        <w:rFonts w:hint="default"/>
        <w:sz w:val="28"/>
        <w:szCs w:val="28"/>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9" w15:restartNumberingAfterBreak="0">
    <w:nsid w:val="7C924687"/>
    <w:multiLevelType w:val="hybridMultilevel"/>
    <w:tmpl w:val="D0EA3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7D2B346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1"/>
  </w:num>
  <w:num w:numId="5">
    <w:abstractNumId w:val="10"/>
  </w:num>
  <w:num w:numId="6">
    <w:abstractNumId w:val="4"/>
  </w:num>
  <w:num w:numId="7">
    <w:abstractNumId w:val="3"/>
  </w:num>
  <w:num w:numId="8">
    <w:abstractNumId w:val="2"/>
  </w:num>
  <w:num w:numId="9">
    <w:abstractNumId w:val="8"/>
  </w:num>
  <w:num w:numId="10">
    <w:abstractNumId w:val="0"/>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noPunctuationKerning/>
  <w:characterSpacingControl w:val="doNotCompress"/>
  <w:hdrShapeDefaults>
    <o:shapedefaults v:ext="edit" spidmax="10241">
      <o:colormru v:ext="edit" colors="#e0ad12,#426b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9D"/>
    <w:rsid w:val="000B3E72"/>
    <w:rsid w:val="000B4001"/>
    <w:rsid w:val="000C3604"/>
    <w:rsid w:val="000C459D"/>
    <w:rsid w:val="000D501B"/>
    <w:rsid w:val="000F280E"/>
    <w:rsid w:val="00120649"/>
    <w:rsid w:val="0017008E"/>
    <w:rsid w:val="001A739C"/>
    <w:rsid w:val="001B34B4"/>
    <w:rsid w:val="001B7408"/>
    <w:rsid w:val="001E1A94"/>
    <w:rsid w:val="002924A6"/>
    <w:rsid w:val="002B6826"/>
    <w:rsid w:val="00356EDE"/>
    <w:rsid w:val="003779EE"/>
    <w:rsid w:val="00377C1B"/>
    <w:rsid w:val="003C1C66"/>
    <w:rsid w:val="003C2D4A"/>
    <w:rsid w:val="003C57DB"/>
    <w:rsid w:val="00405C60"/>
    <w:rsid w:val="00472F57"/>
    <w:rsid w:val="004B7B6B"/>
    <w:rsid w:val="00513D0B"/>
    <w:rsid w:val="00514C71"/>
    <w:rsid w:val="0055676F"/>
    <w:rsid w:val="00563BA7"/>
    <w:rsid w:val="00566C3C"/>
    <w:rsid w:val="00594649"/>
    <w:rsid w:val="005A3A08"/>
    <w:rsid w:val="005C0390"/>
    <w:rsid w:val="00603813"/>
    <w:rsid w:val="00616314"/>
    <w:rsid w:val="00640EAE"/>
    <w:rsid w:val="00653DC8"/>
    <w:rsid w:val="006906E1"/>
    <w:rsid w:val="00692686"/>
    <w:rsid w:val="00697FFA"/>
    <w:rsid w:val="007337E2"/>
    <w:rsid w:val="007704C7"/>
    <w:rsid w:val="007E1C8C"/>
    <w:rsid w:val="007F32E5"/>
    <w:rsid w:val="00813B80"/>
    <w:rsid w:val="008541E5"/>
    <w:rsid w:val="008638AD"/>
    <w:rsid w:val="008975BD"/>
    <w:rsid w:val="008B1408"/>
    <w:rsid w:val="008D342C"/>
    <w:rsid w:val="00945E91"/>
    <w:rsid w:val="00955106"/>
    <w:rsid w:val="00961067"/>
    <w:rsid w:val="00A31662"/>
    <w:rsid w:val="00A739E5"/>
    <w:rsid w:val="00B9310E"/>
    <w:rsid w:val="00BB1162"/>
    <w:rsid w:val="00BB363F"/>
    <w:rsid w:val="00BC468C"/>
    <w:rsid w:val="00BF09F3"/>
    <w:rsid w:val="00C433A4"/>
    <w:rsid w:val="00C6410A"/>
    <w:rsid w:val="00CD0650"/>
    <w:rsid w:val="00D132C4"/>
    <w:rsid w:val="00D5213B"/>
    <w:rsid w:val="00D52F37"/>
    <w:rsid w:val="00D84867"/>
    <w:rsid w:val="00D87890"/>
    <w:rsid w:val="00D9654A"/>
    <w:rsid w:val="00DE013D"/>
    <w:rsid w:val="00DF5AEB"/>
    <w:rsid w:val="00E02419"/>
    <w:rsid w:val="00E05926"/>
    <w:rsid w:val="00E2594E"/>
    <w:rsid w:val="00E54FCD"/>
    <w:rsid w:val="00EE0510"/>
    <w:rsid w:val="00EE08FA"/>
    <w:rsid w:val="00EE2836"/>
    <w:rsid w:val="00F358DD"/>
    <w:rsid w:val="00F623D3"/>
    <w:rsid w:val="00FB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0ad12,#426bba"/>
    </o:shapedefaults>
    <o:shapelayout v:ext="edit">
      <o:idmap v:ext="edit" data="1"/>
    </o:shapelayout>
  </w:shapeDefaults>
  <w:decimalSymbol w:val="."/>
  <w:listSeparator w:val=","/>
  <w14:docId w14:val="0F14BF88"/>
  <w15:chartTrackingRefBased/>
  <w15:docId w15:val="{4598B536-E345-44F9-A68E-5AAD761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numPr>
        <w:numId w:val="1"/>
      </w:numPr>
      <w:outlineLvl w:val="0"/>
    </w:pPr>
    <w:rPr>
      <w:rFonts w:ascii="Arial Black" w:eastAsia="Times" w:hAnsi="Arial Black"/>
      <w:color w:val="3366FF"/>
      <w:szCs w:val="20"/>
    </w:rPr>
  </w:style>
  <w:style w:type="paragraph" w:styleId="Heading2">
    <w:name w:val="heading 2"/>
    <w:basedOn w:val="Normal"/>
    <w:next w:val="Normal"/>
    <w:qFormat/>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w:eastAsia="Times" w:hAnsi="Times"/>
      <w:szCs w:val="20"/>
    </w:rPr>
  </w:style>
  <w:style w:type="paragraph" w:styleId="BodyText">
    <w:name w:val="Body Text"/>
    <w:basedOn w:val="Normal"/>
    <w:semiHidden/>
    <w:rPr>
      <w:rFonts w:ascii="Arial Black" w:eastAsia="Times" w:hAnsi="Arial Black"/>
      <w:sz w:val="48"/>
      <w:szCs w:val="20"/>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rPr>
      <w:rFonts w:eastAsia="Times"/>
      <w:sz w:val="18"/>
      <w:szCs w:val="20"/>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rPr>
      <w:rFonts w:cs="Arial"/>
      <w:color w:val="000000"/>
      <w:sz w:val="18"/>
    </w:rPr>
  </w:style>
  <w:style w:type="paragraph" w:customStyle="1" w:styleId="FooterAddress">
    <w:name w:val="FooterAddress"/>
    <w:basedOn w:val="Footer"/>
    <w:pPr>
      <w:tabs>
        <w:tab w:val="clear" w:pos="4153"/>
        <w:tab w:val="clear" w:pos="8306"/>
        <w:tab w:val="center" w:pos="3969"/>
        <w:tab w:val="right" w:pos="7938"/>
      </w:tabs>
      <w:spacing w:line="200" w:lineRule="atLeast"/>
    </w:pPr>
    <w:rPr>
      <w:sz w:val="14"/>
    </w:rPr>
  </w:style>
  <w:style w:type="character" w:styleId="PageNumber">
    <w:name w:val="page number"/>
    <w:basedOn w:val="DefaultParagraphFont"/>
    <w:semiHidden/>
  </w:style>
  <w:style w:type="paragraph" w:styleId="BodyTextIndent">
    <w:name w:val="Body Text Indent"/>
    <w:basedOn w:val="Normal"/>
    <w:semiHidden/>
    <w:pPr>
      <w:ind w:left="720"/>
    </w:pPr>
    <w:rPr>
      <w:rFonts w:cs="Arial"/>
      <w:color w:val="000000"/>
    </w:rPr>
  </w:style>
  <w:style w:type="paragraph" w:styleId="BodyTextIndent2">
    <w:name w:val="Body Text Indent 2"/>
    <w:basedOn w:val="Normal"/>
    <w:semiHidden/>
    <w:pPr>
      <w:autoSpaceDE w:val="0"/>
      <w:autoSpaceDN w:val="0"/>
      <w:adjustRightInd w:val="0"/>
      <w:spacing w:before="60"/>
      <w:ind w:left="1440"/>
    </w:pPr>
  </w:style>
  <w:style w:type="paragraph" w:styleId="BodyTextIndent3">
    <w:name w:val="Body Text Indent 3"/>
    <w:basedOn w:val="Normal"/>
    <w:semiHidden/>
    <w:pPr>
      <w:autoSpaceDE w:val="0"/>
      <w:autoSpaceDN w:val="0"/>
      <w:adjustRightInd w:val="0"/>
      <w:spacing w:before="60"/>
      <w:ind w:left="1440"/>
    </w:pPr>
    <w:rPr>
      <w:color w:val="000000"/>
    </w:rPr>
  </w:style>
  <w:style w:type="paragraph" w:styleId="BalloonText">
    <w:name w:val="Balloon Text"/>
    <w:basedOn w:val="Normal"/>
    <w:semiHidden/>
    <w:rPr>
      <w:rFonts w:ascii="Tahoma" w:hAnsi="Tahoma" w:cs="Tahoma"/>
      <w:sz w:val="16"/>
      <w:szCs w:val="16"/>
    </w:rPr>
  </w:style>
  <w:style w:type="paragraph" w:customStyle="1" w:styleId="TableHeaders">
    <w:name w:val="Table Headers"/>
    <w:basedOn w:val="Normal"/>
    <w:pPr>
      <w:spacing w:before="120" w:after="120"/>
      <w:jc w:val="center"/>
    </w:pPr>
    <w:rPr>
      <w:b/>
      <w:sz w:val="20"/>
      <w:szCs w:val="20"/>
    </w:rPr>
  </w:style>
  <w:style w:type="paragraph" w:customStyle="1" w:styleId="TableContent">
    <w:name w:val="Table Content"/>
    <w:basedOn w:val="Normal"/>
    <w:pPr>
      <w:spacing w:before="120" w:after="60"/>
    </w:pPr>
    <w:rPr>
      <w:sz w:val="18"/>
      <w:szCs w:val="20"/>
    </w:rPr>
  </w:style>
  <w:style w:type="paragraph" w:customStyle="1" w:styleId="BaseHeading">
    <w:name w:val="Base Heading"/>
    <w:next w:val="Normal"/>
    <w:pPr>
      <w:keepNext/>
      <w:spacing w:after="240"/>
    </w:pPr>
    <w:rPr>
      <w:rFonts w:ascii="Arial" w:hAnsi="Arial"/>
      <w:b/>
      <w:sz w:val="24"/>
      <w:lang w:val="en-US" w:eastAsia="en-US"/>
    </w:rPr>
  </w:style>
  <w:style w:type="character" w:styleId="Emphasis">
    <w:name w:val="Emphasis"/>
    <w:qFormat/>
    <w:rPr>
      <w:i/>
      <w:iCs/>
    </w:rPr>
  </w:style>
  <w:style w:type="paragraph" w:styleId="FootnoteText">
    <w:name w:val="footnote text"/>
    <w:basedOn w:val="Normal"/>
    <w:semiHidden/>
    <w:rPr>
      <w:rFonts w:ascii="Times New Roman" w:hAnsi="Times New Roman"/>
      <w:sz w:val="20"/>
      <w:szCs w:val="20"/>
      <w:lang w:eastAsia="en-GB"/>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D84867"/>
    <w:rPr>
      <w:sz w:val="16"/>
      <w:szCs w:val="16"/>
    </w:rPr>
  </w:style>
  <w:style w:type="paragraph" w:styleId="CommentText">
    <w:name w:val="annotation text"/>
    <w:basedOn w:val="Normal"/>
    <w:link w:val="CommentTextChar"/>
    <w:uiPriority w:val="99"/>
    <w:semiHidden/>
    <w:unhideWhenUsed/>
    <w:rsid w:val="00D84867"/>
    <w:rPr>
      <w:sz w:val="20"/>
      <w:szCs w:val="20"/>
    </w:rPr>
  </w:style>
  <w:style w:type="character" w:customStyle="1" w:styleId="CommentTextChar">
    <w:name w:val="Comment Text Char"/>
    <w:link w:val="CommentText"/>
    <w:uiPriority w:val="99"/>
    <w:semiHidden/>
    <w:rsid w:val="00D8486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84867"/>
    <w:rPr>
      <w:b/>
      <w:bCs/>
    </w:rPr>
  </w:style>
  <w:style w:type="character" w:customStyle="1" w:styleId="CommentSubjectChar">
    <w:name w:val="Comment Subject Char"/>
    <w:link w:val="CommentSubject"/>
    <w:uiPriority w:val="99"/>
    <w:semiHidden/>
    <w:rsid w:val="00D84867"/>
    <w:rPr>
      <w:rFonts w:ascii="Arial" w:hAnsi="Arial"/>
      <w:b/>
      <w:bCs/>
      <w:lang w:eastAsia="en-US"/>
    </w:rPr>
  </w:style>
  <w:style w:type="table" w:styleId="TableGrid">
    <w:name w:val="Table Grid"/>
    <w:basedOn w:val="TableNormal"/>
    <w:uiPriority w:val="59"/>
    <w:rsid w:val="008B1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13B80"/>
    <w:rPr>
      <w:rFonts w:ascii="Arial" w:hAnsi="Arial"/>
      <w:sz w:val="24"/>
      <w:szCs w:val="24"/>
      <w:lang w:eastAsia="en-US"/>
    </w:rPr>
  </w:style>
  <w:style w:type="paragraph" w:styleId="ListParagraph">
    <w:name w:val="List Paragraph"/>
    <w:basedOn w:val="Normal"/>
    <w:uiPriority w:val="34"/>
    <w:qFormat/>
    <w:rsid w:val="00813B80"/>
    <w:pPr>
      <w:ind w:left="720"/>
      <w:contextualSpacing/>
    </w:pPr>
  </w:style>
  <w:style w:type="paragraph" w:styleId="TOCHeading">
    <w:name w:val="TOC Heading"/>
    <w:basedOn w:val="Heading1"/>
    <w:next w:val="Normal"/>
    <w:uiPriority w:val="39"/>
    <w:unhideWhenUsed/>
    <w:qFormat/>
    <w:rsid w:val="000D501B"/>
    <w:pPr>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2">
    <w:name w:val="toc 2"/>
    <w:basedOn w:val="Normal"/>
    <w:next w:val="Normal"/>
    <w:autoRedefine/>
    <w:uiPriority w:val="39"/>
    <w:unhideWhenUsed/>
    <w:rsid w:val="000D501B"/>
    <w:pPr>
      <w:tabs>
        <w:tab w:val="right" w:leader="dot" w:pos="9067"/>
      </w:tabs>
      <w:spacing w:after="100"/>
      <w:ind w:left="-851"/>
    </w:pPr>
  </w:style>
  <w:style w:type="paragraph" w:styleId="TOC1">
    <w:name w:val="toc 1"/>
    <w:basedOn w:val="Normal"/>
    <w:next w:val="Normal"/>
    <w:autoRedefine/>
    <w:uiPriority w:val="39"/>
    <w:unhideWhenUsed/>
    <w:rsid w:val="000D501B"/>
    <w:pPr>
      <w:tabs>
        <w:tab w:val="right" w:leader="dot" w:pos="9067"/>
      </w:tabs>
      <w:spacing w:after="100"/>
      <w:ind w:left="-851"/>
    </w:pPr>
  </w:style>
  <w:style w:type="paragraph" w:styleId="TOC3">
    <w:name w:val="toc 3"/>
    <w:basedOn w:val="Normal"/>
    <w:next w:val="Normal"/>
    <w:autoRedefine/>
    <w:uiPriority w:val="39"/>
    <w:unhideWhenUsed/>
    <w:rsid w:val="0055676F"/>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infrastructure-and-projects-authori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si@nationalarchives.gsi.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collections/risk-management-guid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ationalarchives.gsi.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o.org.uk/media/for-organisations/documents/1595/pia-code-of-practice.pdf" TargetMode="External"/><Relationship Id="rId23" Type="http://schemas.openxmlformats.org/officeDocument/2006/relationships/fontTable" Target="fontTable.xml"/><Relationship Id="rId10" Type="http://schemas.openxmlformats.org/officeDocument/2006/relationships/hyperlink" Target="mailto:psi@nationalarchives.gsi.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tionalarchives.gov.uk/doc/open-government-licence" TargetMode="External"/><Relationship Id="rId14" Type="http://schemas.openxmlformats.org/officeDocument/2006/relationships/image" Target="media/image2.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7920-F149-42A8-897A-17BDB2EE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Data and Information Security - Guide for Review Teams</vt:lpstr>
    </vt:vector>
  </TitlesOfParts>
  <Company>OGC</Company>
  <LinksUpToDate>false</LinksUpToDate>
  <CharactersWithSpaces>12243</CharactersWithSpaces>
  <SharedDoc>false</SharedDoc>
  <HLinks>
    <vt:vector size="18" baseType="variant">
      <vt:variant>
        <vt:i4>7012444</vt:i4>
      </vt:variant>
      <vt:variant>
        <vt:i4>6</vt:i4>
      </vt:variant>
      <vt:variant>
        <vt:i4>0</vt:i4>
      </vt:variant>
      <vt:variant>
        <vt:i4>5</vt:i4>
      </vt:variant>
      <vt:variant>
        <vt:lpwstr>mailto:datareview@cabinet-office.x.gsi.gov.uk</vt:lpwstr>
      </vt:variant>
      <vt:variant>
        <vt:lpwstr/>
      </vt:variant>
      <vt:variant>
        <vt:i4>196697</vt:i4>
      </vt:variant>
      <vt:variant>
        <vt:i4>3</vt:i4>
      </vt:variant>
      <vt:variant>
        <vt:i4>0</vt:i4>
      </vt:variant>
      <vt:variant>
        <vt:i4>5</vt:i4>
      </vt:variant>
      <vt:variant>
        <vt:lpwstr>http://www.cabinetoffice.gov.uk/csia</vt:lpwstr>
      </vt:variant>
      <vt:variant>
        <vt:lpwstr/>
      </vt:variant>
      <vt:variant>
        <vt:i4>3997811</vt:i4>
      </vt:variant>
      <vt:variant>
        <vt:i4>0</vt:i4>
      </vt:variant>
      <vt:variant>
        <vt:i4>0</vt:i4>
      </vt:variant>
      <vt:variant>
        <vt:i4>5</vt:i4>
      </vt:variant>
      <vt:variant>
        <vt:lpwstr>https://ico.org.uk/media/for-organisations/documents/1595/pia-code-of-practice.pdf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Information Security - Guide for Review Teams</dc:title>
  <dc:subject>OGC GATEWAY</dc:subject>
  <dc:creator>Andrea Whaanga</dc:creator>
  <cp:keywords/>
  <dc:description/>
  <cp:lastModifiedBy>Tracy Cooper</cp:lastModifiedBy>
  <cp:revision>13</cp:revision>
  <cp:lastPrinted>2016-05-19T11:45:00Z</cp:lastPrinted>
  <dcterms:created xsi:type="dcterms:W3CDTF">2016-05-19T14:47:00Z</dcterms:created>
  <dcterms:modified xsi:type="dcterms:W3CDTF">2016-07-20T10:54:00Z</dcterms:modified>
  <cp:category>CCG Hub Gateway Reviewer Information</cp:category>
</cp:coreProperties>
</file>