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DF" w:rsidRDefault="00DF0E24" w:rsidP="000705DF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207F3A7" wp14:editId="261B19F2">
            <wp:extent cx="13405504" cy="7123430"/>
            <wp:effectExtent l="0" t="0" r="5715" b="12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705DF" w:rsidRPr="009A4AE6" w:rsidRDefault="000705DF" w:rsidP="009A4AE6">
      <w:pPr>
        <w:spacing w:after="0"/>
        <w:rPr>
          <w:i/>
          <w:sz w:val="16"/>
          <w:szCs w:val="16"/>
        </w:rPr>
      </w:pPr>
    </w:p>
    <w:p w:rsidR="000705DF" w:rsidRPr="00CC5EF9" w:rsidRDefault="000705DF" w:rsidP="000705DF">
      <w:pPr>
        <w:rPr>
          <w:i/>
          <w:sz w:val="24"/>
          <w:szCs w:val="24"/>
        </w:rPr>
      </w:pPr>
      <w:r w:rsidRPr="00CC5EF9">
        <w:rPr>
          <w:i/>
          <w:sz w:val="24"/>
          <w:szCs w:val="24"/>
        </w:rPr>
        <w:t xml:space="preserve">Source - central government </w:t>
      </w:r>
      <w:proofErr w:type="gramStart"/>
      <w:r w:rsidRPr="00CC5EF9">
        <w:rPr>
          <w:i/>
          <w:sz w:val="24"/>
          <w:szCs w:val="24"/>
        </w:rPr>
        <w:t>department</w:t>
      </w:r>
      <w:r w:rsidR="00736A1C">
        <w:rPr>
          <w:i/>
          <w:sz w:val="24"/>
          <w:szCs w:val="24"/>
        </w:rPr>
        <w:t>s</w:t>
      </w:r>
      <w:proofErr w:type="gramEnd"/>
      <w:r w:rsidRPr="00CC5EF9">
        <w:rPr>
          <w:i/>
          <w:sz w:val="24"/>
          <w:szCs w:val="24"/>
        </w:rPr>
        <w:t xml:space="preserve"> payment performance data</w:t>
      </w:r>
      <w:r w:rsidR="00711F49">
        <w:rPr>
          <w:i/>
          <w:sz w:val="24"/>
          <w:szCs w:val="24"/>
        </w:rPr>
        <w:t xml:space="preserve"> as published on their GOV.UK pages</w:t>
      </w:r>
      <w:r>
        <w:rPr>
          <w:i/>
          <w:sz w:val="24"/>
          <w:szCs w:val="24"/>
        </w:rPr>
        <w:t>:</w:t>
      </w:r>
    </w:p>
    <w:tbl>
      <w:tblPr>
        <w:tblStyle w:val="TableGrid"/>
        <w:tblW w:w="21972" w:type="dxa"/>
        <w:tblInd w:w="-431" w:type="dxa"/>
        <w:tblLook w:val="04A0" w:firstRow="1" w:lastRow="0" w:firstColumn="1" w:lastColumn="0" w:noHBand="0" w:noVBand="1"/>
      </w:tblPr>
      <w:tblGrid>
        <w:gridCol w:w="4615"/>
        <w:gridCol w:w="4185"/>
        <w:gridCol w:w="3959"/>
        <w:gridCol w:w="4677"/>
        <w:gridCol w:w="4536"/>
      </w:tblGrid>
      <w:tr w:rsidR="000705DF" w:rsidRPr="00CC5EF9" w:rsidTr="00127020">
        <w:tc>
          <w:tcPr>
            <w:tcW w:w="4615" w:type="dxa"/>
          </w:tcPr>
          <w:p w:rsidR="000705DF" w:rsidRPr="00CC5EF9" w:rsidRDefault="000705DF" w:rsidP="00127020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DfE</w:t>
            </w:r>
            <w:proofErr w:type="spellEnd"/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inc.</w:t>
            </w:r>
            <w:proofErr w:type="spellEnd"/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NCTL &amp; STA)</w:t>
            </w:r>
            <w:r w:rsidRPr="00CC5EF9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published data </w:t>
            </w:r>
            <w:hyperlink r:id="rId6" w:history="1">
              <w:r w:rsidRPr="00E966E2">
                <w:rPr>
                  <w:rStyle w:val="Hyperlink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here</w:t>
              </w:r>
            </w:hyperlink>
          </w:p>
        </w:tc>
        <w:tc>
          <w:tcPr>
            <w:tcW w:w="4185" w:type="dxa"/>
          </w:tcPr>
          <w:p w:rsidR="000705DF" w:rsidRPr="00CC5EF9" w:rsidRDefault="000705DF" w:rsidP="00127020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DECC</w:t>
            </w:r>
            <w:r w:rsidRPr="00CC5EF9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published data </w:t>
            </w:r>
            <w:hyperlink r:id="rId7" w:anchor="prompt-payments" w:history="1">
              <w:r w:rsidRPr="00E966E2">
                <w:rPr>
                  <w:rStyle w:val="Hyperlink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here</w:t>
              </w:r>
            </w:hyperlink>
          </w:p>
        </w:tc>
        <w:tc>
          <w:tcPr>
            <w:tcW w:w="3959" w:type="dxa"/>
          </w:tcPr>
          <w:p w:rsidR="000705DF" w:rsidRPr="00CC5EF9" w:rsidRDefault="000705DF" w:rsidP="00127020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DEFRA</w:t>
            </w:r>
            <w:r w:rsidRPr="00CC5EF9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published data </w:t>
            </w:r>
            <w:hyperlink r:id="rId8" w:history="1">
              <w:r w:rsidRPr="009D133C">
                <w:rPr>
                  <w:rStyle w:val="Hyperlink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here</w:t>
              </w:r>
            </w:hyperlink>
          </w:p>
        </w:tc>
        <w:tc>
          <w:tcPr>
            <w:tcW w:w="4677" w:type="dxa"/>
          </w:tcPr>
          <w:p w:rsidR="000705DF" w:rsidRPr="00CC5EF9" w:rsidRDefault="000705DF" w:rsidP="00127020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DH</w:t>
            </w:r>
            <w:r w:rsidRPr="00CC5EF9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published data </w:t>
            </w:r>
            <w:hyperlink r:id="rId9" w:history="1">
              <w:r w:rsidRPr="002D0201">
                <w:rPr>
                  <w:rStyle w:val="Hyperlink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here</w:t>
              </w:r>
            </w:hyperlink>
            <w:r w:rsidRPr="00CC5EF9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4536" w:type="dxa"/>
          </w:tcPr>
          <w:p w:rsidR="000705DF" w:rsidRPr="00CC5EF9" w:rsidRDefault="000705DF" w:rsidP="00127020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DWP</w:t>
            </w:r>
            <w:r w:rsidRPr="00CC5EF9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published data </w:t>
            </w:r>
            <w:hyperlink r:id="rId10" w:history="1">
              <w:r w:rsidRPr="002D0201">
                <w:rPr>
                  <w:rStyle w:val="Hyperlink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here</w:t>
              </w:r>
            </w:hyperlink>
          </w:p>
        </w:tc>
      </w:tr>
      <w:tr w:rsidR="000705DF" w:rsidRPr="00CC5EF9" w:rsidTr="00127020">
        <w:tc>
          <w:tcPr>
            <w:tcW w:w="4615" w:type="dxa"/>
          </w:tcPr>
          <w:p w:rsidR="000705DF" w:rsidRPr="00CC5EF9" w:rsidRDefault="000705DF" w:rsidP="00127020">
            <w:pPr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705DF" w:rsidRPr="00CC5EF9" w:rsidRDefault="000705DF" w:rsidP="00127020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BIS</w:t>
            </w:r>
            <w:r w:rsidRPr="00CC5EF9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published data </w:t>
            </w:r>
            <w:hyperlink r:id="rId11" w:history="1">
              <w:r w:rsidRPr="00E966E2">
                <w:rPr>
                  <w:rStyle w:val="Hyperlink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here</w:t>
              </w:r>
            </w:hyperlink>
          </w:p>
        </w:tc>
        <w:tc>
          <w:tcPr>
            <w:tcW w:w="4185" w:type="dxa"/>
          </w:tcPr>
          <w:p w:rsidR="000705DF" w:rsidRPr="00CC5EF9" w:rsidRDefault="000705DF" w:rsidP="00127020">
            <w:pPr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705DF" w:rsidRPr="00CC5EF9" w:rsidRDefault="000705DF" w:rsidP="00127020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MoD</w:t>
            </w:r>
            <w:r w:rsidRPr="00CC5EF9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published data </w:t>
            </w:r>
            <w:hyperlink r:id="rId12" w:history="1">
              <w:r w:rsidRPr="00E966E2">
                <w:rPr>
                  <w:rStyle w:val="Hyperlink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here</w:t>
              </w:r>
            </w:hyperlink>
          </w:p>
        </w:tc>
        <w:tc>
          <w:tcPr>
            <w:tcW w:w="3959" w:type="dxa"/>
          </w:tcPr>
          <w:p w:rsidR="000705DF" w:rsidRPr="00CC5EF9" w:rsidRDefault="000705DF" w:rsidP="00127020">
            <w:pPr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705DF" w:rsidRPr="00CC5EF9" w:rsidRDefault="000705DF" w:rsidP="00127020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HMRC</w:t>
            </w:r>
            <w:r w:rsidRPr="00CC5EF9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published data </w:t>
            </w:r>
            <w:hyperlink r:id="rId13" w:history="1">
              <w:r w:rsidRPr="00A62C23">
                <w:rPr>
                  <w:rStyle w:val="Hyperlink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here</w:t>
              </w:r>
            </w:hyperlink>
          </w:p>
        </w:tc>
        <w:tc>
          <w:tcPr>
            <w:tcW w:w="4677" w:type="dxa"/>
          </w:tcPr>
          <w:p w:rsidR="000705DF" w:rsidRPr="00CC5EF9" w:rsidRDefault="000705DF" w:rsidP="00127020">
            <w:pPr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705DF" w:rsidRPr="00CC5EF9" w:rsidRDefault="000705DF" w:rsidP="00127020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Cabinet Office</w:t>
            </w:r>
            <w:r w:rsidRPr="00CC5EF9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published data </w:t>
            </w:r>
            <w:hyperlink r:id="rId14" w:history="1">
              <w:r w:rsidRPr="002D0201">
                <w:rPr>
                  <w:rStyle w:val="Hyperlink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here</w:t>
              </w:r>
            </w:hyperlink>
          </w:p>
        </w:tc>
        <w:tc>
          <w:tcPr>
            <w:tcW w:w="4536" w:type="dxa"/>
          </w:tcPr>
          <w:p w:rsidR="000705DF" w:rsidRPr="00CC5EF9" w:rsidRDefault="000705DF" w:rsidP="00127020">
            <w:pPr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705DF" w:rsidRPr="00CC5EF9" w:rsidRDefault="0040655A" w:rsidP="00127020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DfT</w:t>
            </w:r>
            <w:proofErr w:type="spellEnd"/>
            <w:r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(c</w:t>
            </w:r>
            <w:r w:rsidR="000705DF"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ore)</w:t>
            </w:r>
            <w:r w:rsidR="000705DF" w:rsidRPr="00CC5EF9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published data </w:t>
            </w:r>
            <w:hyperlink r:id="rId15" w:history="1">
              <w:r w:rsidR="000705DF" w:rsidRPr="0040655A">
                <w:rPr>
                  <w:rStyle w:val="Hyperlink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here</w:t>
              </w:r>
            </w:hyperlink>
          </w:p>
        </w:tc>
      </w:tr>
      <w:tr w:rsidR="000705DF" w:rsidRPr="00CC5EF9" w:rsidTr="00127020">
        <w:tc>
          <w:tcPr>
            <w:tcW w:w="4615" w:type="dxa"/>
          </w:tcPr>
          <w:p w:rsidR="000705DF" w:rsidRPr="00CC5EF9" w:rsidRDefault="000705DF" w:rsidP="00127020">
            <w:pPr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705DF" w:rsidRPr="00CC5EF9" w:rsidRDefault="000705DF" w:rsidP="00127020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DCLG</w:t>
            </w:r>
            <w:r w:rsidRPr="00CC5EF9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published data </w:t>
            </w:r>
            <w:hyperlink r:id="rId16" w:history="1">
              <w:r w:rsidRPr="00E966E2">
                <w:rPr>
                  <w:rStyle w:val="Hyperlink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here</w:t>
              </w:r>
            </w:hyperlink>
          </w:p>
        </w:tc>
        <w:tc>
          <w:tcPr>
            <w:tcW w:w="4185" w:type="dxa"/>
          </w:tcPr>
          <w:p w:rsidR="000705DF" w:rsidRPr="00CC5EF9" w:rsidRDefault="000705DF" w:rsidP="00127020">
            <w:pPr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705DF" w:rsidRPr="00CC5EF9" w:rsidRDefault="000705DF" w:rsidP="00127020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Home Office</w:t>
            </w:r>
            <w:r w:rsidRPr="00CC5EF9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published data </w:t>
            </w:r>
            <w:hyperlink r:id="rId17" w:history="1">
              <w:r w:rsidRPr="00E966E2">
                <w:rPr>
                  <w:rStyle w:val="Hyperlink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here</w:t>
              </w:r>
            </w:hyperlink>
          </w:p>
        </w:tc>
        <w:tc>
          <w:tcPr>
            <w:tcW w:w="3959" w:type="dxa"/>
          </w:tcPr>
          <w:p w:rsidR="000705DF" w:rsidRPr="00CC5EF9" w:rsidRDefault="000705DF" w:rsidP="00127020">
            <w:pPr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705DF" w:rsidRPr="00CC5EF9" w:rsidRDefault="000705DF" w:rsidP="00127020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MoJ</w:t>
            </w:r>
            <w:proofErr w:type="spellEnd"/>
            <w:r w:rsidRPr="00CC5EF9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published data </w:t>
            </w:r>
            <w:hyperlink r:id="rId18" w:history="1">
              <w:r w:rsidRPr="00A62C23">
                <w:rPr>
                  <w:rStyle w:val="Hyperlink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here</w:t>
              </w:r>
            </w:hyperlink>
          </w:p>
        </w:tc>
        <w:tc>
          <w:tcPr>
            <w:tcW w:w="4677" w:type="dxa"/>
          </w:tcPr>
          <w:p w:rsidR="000705DF" w:rsidRPr="00CC5EF9" w:rsidRDefault="000705DF" w:rsidP="00127020">
            <w:pPr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705DF" w:rsidRPr="00CC5EF9" w:rsidRDefault="000705DF" w:rsidP="00127020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FCO (</w:t>
            </w:r>
            <w:proofErr w:type="spellStart"/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inc.</w:t>
            </w:r>
            <w:proofErr w:type="spellEnd"/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FCO Services)</w:t>
            </w:r>
            <w:r w:rsidRPr="00CC5EF9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published data </w:t>
            </w:r>
            <w:hyperlink r:id="rId19" w:history="1">
              <w:r w:rsidRPr="002D0201">
                <w:rPr>
                  <w:rStyle w:val="Hyperlink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here</w:t>
              </w:r>
            </w:hyperlink>
          </w:p>
        </w:tc>
        <w:tc>
          <w:tcPr>
            <w:tcW w:w="4536" w:type="dxa"/>
          </w:tcPr>
          <w:p w:rsidR="000705DF" w:rsidRPr="00CC5EF9" w:rsidRDefault="000705DF" w:rsidP="00127020">
            <w:pPr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705DF" w:rsidRPr="00CC5EF9" w:rsidRDefault="000705DF" w:rsidP="00127020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DfID</w:t>
            </w:r>
            <w:proofErr w:type="spellEnd"/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CC5EF9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– published data </w:t>
            </w:r>
            <w:hyperlink r:id="rId20" w:history="1">
              <w:r w:rsidRPr="0040655A">
                <w:rPr>
                  <w:rStyle w:val="Hyperlink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here</w:t>
              </w:r>
            </w:hyperlink>
          </w:p>
        </w:tc>
      </w:tr>
      <w:tr w:rsidR="000705DF" w:rsidRPr="00CC5EF9" w:rsidTr="00127020">
        <w:tc>
          <w:tcPr>
            <w:tcW w:w="4615" w:type="dxa"/>
          </w:tcPr>
          <w:p w:rsidR="000705DF" w:rsidRPr="00CC5EF9" w:rsidRDefault="000705DF" w:rsidP="00127020">
            <w:pPr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705DF" w:rsidRPr="00CC5EF9" w:rsidRDefault="000705DF" w:rsidP="00127020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DCMS (core)</w:t>
            </w:r>
            <w:r w:rsidRPr="00CC5EF9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published data </w:t>
            </w:r>
            <w:hyperlink r:id="rId21" w:history="1">
              <w:r w:rsidRPr="00E966E2">
                <w:rPr>
                  <w:rStyle w:val="Hyperlink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here</w:t>
              </w:r>
            </w:hyperlink>
          </w:p>
        </w:tc>
        <w:tc>
          <w:tcPr>
            <w:tcW w:w="4185" w:type="dxa"/>
          </w:tcPr>
          <w:p w:rsidR="000705DF" w:rsidRPr="00CC5EF9" w:rsidRDefault="000705DF" w:rsidP="00127020">
            <w:pPr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0705DF" w:rsidRPr="00CC5EF9" w:rsidRDefault="000705DF" w:rsidP="00127020">
            <w:pP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C5EF9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HMT</w:t>
            </w:r>
            <w:r w:rsidR="009D133C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(group)</w:t>
            </w:r>
            <w:r w:rsidRPr="00CC5EF9"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published data </w:t>
            </w:r>
            <w:hyperlink r:id="rId22" w:history="1">
              <w:r w:rsidRPr="009D133C">
                <w:rPr>
                  <w:rStyle w:val="Hyperlink"/>
                  <w:sz w:val="24"/>
                  <w:szCs w:val="24"/>
                  <w14:textOutline w14:w="9525" w14:cap="rnd" w14:cmpd="sng" w14:algn="ctr">
                    <w14:noFill/>
                    <w14:prstDash w14:val="solid"/>
                    <w14:bevel/>
                  </w14:textOutline>
                </w:rPr>
                <w:t>here</w:t>
              </w:r>
            </w:hyperlink>
          </w:p>
        </w:tc>
        <w:tc>
          <w:tcPr>
            <w:tcW w:w="3959" w:type="dxa"/>
          </w:tcPr>
          <w:p w:rsidR="000705DF" w:rsidRPr="00CC5EF9" w:rsidRDefault="000705DF" w:rsidP="00127020">
            <w:pPr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677" w:type="dxa"/>
          </w:tcPr>
          <w:p w:rsidR="000705DF" w:rsidRPr="00CC5EF9" w:rsidRDefault="000705DF" w:rsidP="00127020">
            <w:pPr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36" w:type="dxa"/>
          </w:tcPr>
          <w:p w:rsidR="000705DF" w:rsidRPr="00CC5EF9" w:rsidRDefault="000705DF" w:rsidP="00127020">
            <w:pPr>
              <w:rPr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EE7877" w:rsidRPr="000705DF" w:rsidRDefault="00EE7877" w:rsidP="000705DF"/>
    <w:sectPr w:rsidR="00EE7877" w:rsidRPr="000705DF" w:rsidSect="000705DF">
      <w:pgSz w:w="23814" w:h="16839" w:orient="landscape" w:code="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7D"/>
    <w:rsid w:val="000705DF"/>
    <w:rsid w:val="000E40F4"/>
    <w:rsid w:val="001970BF"/>
    <w:rsid w:val="001A110E"/>
    <w:rsid w:val="002D0201"/>
    <w:rsid w:val="00303F7D"/>
    <w:rsid w:val="003C065C"/>
    <w:rsid w:val="004013EC"/>
    <w:rsid w:val="00403B03"/>
    <w:rsid w:val="0040655A"/>
    <w:rsid w:val="00417E81"/>
    <w:rsid w:val="004433E1"/>
    <w:rsid w:val="0057787E"/>
    <w:rsid w:val="0059125D"/>
    <w:rsid w:val="00667CA2"/>
    <w:rsid w:val="00711F49"/>
    <w:rsid w:val="00736A1C"/>
    <w:rsid w:val="008353A4"/>
    <w:rsid w:val="00953F3F"/>
    <w:rsid w:val="009837E2"/>
    <w:rsid w:val="009A4AE6"/>
    <w:rsid w:val="009D133C"/>
    <w:rsid w:val="00A2092D"/>
    <w:rsid w:val="00A340EE"/>
    <w:rsid w:val="00A62C23"/>
    <w:rsid w:val="00BA7E48"/>
    <w:rsid w:val="00D26BEE"/>
    <w:rsid w:val="00DF0E24"/>
    <w:rsid w:val="00DF1B6D"/>
    <w:rsid w:val="00E966E2"/>
    <w:rsid w:val="00EE7877"/>
    <w:rsid w:val="00FD1D26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E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7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05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6E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E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70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05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6E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D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v.uk/government/publications/department-of-health-prompt-payment-of-suppliers-data/department-of-health-prompt-payment-of-suppliers-data-2016" TargetMode="External"/><Relationship Id="rId20" Type="http://schemas.openxmlformats.org/officeDocument/2006/relationships/hyperlink" Target="https://www.gov.uk/government/publications/dfid-payment-performance-2015" TargetMode="External"/><Relationship Id="rId21" Type="http://schemas.openxmlformats.org/officeDocument/2006/relationships/hyperlink" Target="https://www.gov.uk/government/publications/dcms-prompt-payment-performance" TargetMode="External"/><Relationship Id="rId22" Type="http://schemas.openxmlformats.org/officeDocument/2006/relationships/hyperlink" Target="https://www.gov.uk/government/publications/hm-treasury-group-payment-performance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s://www.gov.uk/government/organisations/department-for-work-pensions/about/procurement" TargetMode="External"/><Relationship Id="rId11" Type="http://schemas.openxmlformats.org/officeDocument/2006/relationships/hyperlink" Target="https://www.gov.uk/government/collections/bis-prompt-payment-data" TargetMode="External"/><Relationship Id="rId12" Type="http://schemas.openxmlformats.org/officeDocument/2006/relationships/hyperlink" Target="https://www.gov.uk/government/collections/ministry-of-defence-supplier-invoicing-and-payment-information" TargetMode="External"/><Relationship Id="rId13" Type="http://schemas.openxmlformats.org/officeDocument/2006/relationships/hyperlink" Target="https://www.gov.uk/government/publications/hmrc-prompt-payment-performance-report/hmrc-prompt-payment-performance-results" TargetMode="External"/><Relationship Id="rId14" Type="http://schemas.openxmlformats.org/officeDocument/2006/relationships/hyperlink" Target="https://www.gov.uk/government/publications/cabinet-office-prompt-payment-data" TargetMode="External"/><Relationship Id="rId15" Type="http://schemas.openxmlformats.org/officeDocument/2006/relationships/hyperlink" Target="https://www.gov.uk/government/publications/prompt-payment-statistics" TargetMode="External"/><Relationship Id="rId16" Type="http://schemas.openxmlformats.org/officeDocument/2006/relationships/hyperlink" Target="https://www.gov.uk/government/publications/dclg-and-pins-prompt-payment-data-2015" TargetMode="External"/><Relationship Id="rId17" Type="http://schemas.openxmlformats.org/officeDocument/2006/relationships/hyperlink" Target="https://www.gov.uk/government/publications/home-office-prompt-payment-data-2015-to-2016" TargetMode="External"/><Relationship Id="rId18" Type="http://schemas.openxmlformats.org/officeDocument/2006/relationships/hyperlink" Target="https://www.gov.uk/government/organisations/ministry-of-justice/about/procurement" TargetMode="External"/><Relationship Id="rId19" Type="http://schemas.openxmlformats.org/officeDocument/2006/relationships/hyperlink" Target="https://www.gov.uk/government/collections/foreign-and-commonwealth-office-prompt-payment-data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hyperlink" Target="https://www.gov.uk/government/publications/prompt-payment-data-for-dfe-2015-to-2016-financial-year" TargetMode="External"/><Relationship Id="rId7" Type="http://schemas.openxmlformats.org/officeDocument/2006/relationships/hyperlink" Target="https://www.gov.uk/government/organisations/department-of-energy-climate-change/about/procurement" TargetMode="External"/><Relationship Id="rId8" Type="http://schemas.openxmlformats.org/officeDocument/2006/relationships/hyperlink" Target="https://www.gov.uk/government/publications/defra-prompt-payment-performance-repor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4" Type="http://schemas.microsoft.com/office/2011/relationships/chartColorStyle" Target="colors1.xml"/><Relationship Id="rId1" Type="http://schemas.openxmlformats.org/officeDocument/2006/relationships/package" Target="../embeddings/Microsoft_Excel_Sheet1.xlsx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2400"/>
              <a:t>Central government</a:t>
            </a:r>
            <a:r>
              <a:rPr lang="en-GB" sz="2400" baseline="0"/>
              <a:t> performance against paying undisputed invoices within 5 days (2015/16)</a:t>
            </a:r>
          </a:p>
        </c:rich>
      </c:tx>
      <c:layout>
        <c:manualLayout>
          <c:xMode val="edge"/>
          <c:yMode val="edge"/>
          <c:x val="0.154090740796896"/>
          <c:y val="0.0265755771354269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0503718527164193"/>
          <c:y val="0.16961662845029"/>
          <c:w val="0.949628147283581"/>
          <c:h val="0.7069466050786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Q1: April - June 2015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Sheet1!$A$2:$A$18</c:f>
              <c:strCache>
                <c:ptCount val="17"/>
                <c:pt idx="0">
                  <c:v>HMT (group)</c:v>
                </c:pt>
                <c:pt idx="1">
                  <c:v>DCMS (core)</c:v>
                </c:pt>
                <c:pt idx="2">
                  <c:v>DfID</c:v>
                </c:pt>
                <c:pt idx="3">
                  <c:v>FCO (inc. FCO Services)</c:v>
                </c:pt>
                <c:pt idx="4">
                  <c:v>MoJ</c:v>
                </c:pt>
                <c:pt idx="5">
                  <c:v>Home Office</c:v>
                </c:pt>
                <c:pt idx="6">
                  <c:v>DCLG</c:v>
                </c:pt>
                <c:pt idx="7">
                  <c:v>DfT (core)</c:v>
                </c:pt>
                <c:pt idx="8">
                  <c:v>Cabinet Office</c:v>
                </c:pt>
                <c:pt idx="9">
                  <c:v>HMRC</c:v>
                </c:pt>
                <c:pt idx="10">
                  <c:v>MoD</c:v>
                </c:pt>
                <c:pt idx="11">
                  <c:v>BIS</c:v>
                </c:pt>
                <c:pt idx="12">
                  <c:v>DWP</c:v>
                </c:pt>
                <c:pt idx="13">
                  <c:v>DH</c:v>
                </c:pt>
                <c:pt idx="14">
                  <c:v>DEFRA</c:v>
                </c:pt>
                <c:pt idx="15">
                  <c:v>DECC</c:v>
                </c:pt>
                <c:pt idx="16">
                  <c:v>DfE (inc. NCTL &amp; STA)</c:v>
                </c:pt>
              </c:strCache>
            </c:strRef>
          </c:cat>
          <c:val>
            <c:numRef>
              <c:f>Sheet1!$B$2:$B$18</c:f>
              <c:numCache>
                <c:formatCode>0%</c:formatCode>
                <c:ptCount val="17"/>
                <c:pt idx="0" formatCode="0.00%">
                  <c:v>0.7095</c:v>
                </c:pt>
                <c:pt idx="1">
                  <c:v>0.76</c:v>
                </c:pt>
                <c:pt idx="2" formatCode="0.00%">
                  <c:v>0.7783</c:v>
                </c:pt>
                <c:pt idx="3" formatCode="0.00%">
                  <c:v>0.825</c:v>
                </c:pt>
                <c:pt idx="4" formatCode="0.00%">
                  <c:v>0.826</c:v>
                </c:pt>
                <c:pt idx="5" formatCode="0.00%">
                  <c:v>0.8406</c:v>
                </c:pt>
                <c:pt idx="6">
                  <c:v>0.86</c:v>
                </c:pt>
                <c:pt idx="7" formatCode="0.00%">
                  <c:v>0.875</c:v>
                </c:pt>
                <c:pt idx="8" formatCode="0.00%">
                  <c:v>0.8997</c:v>
                </c:pt>
                <c:pt idx="9" formatCode="0.00%">
                  <c:v>0.9441</c:v>
                </c:pt>
                <c:pt idx="10" formatCode="0.00%">
                  <c:v>0.966</c:v>
                </c:pt>
                <c:pt idx="11" formatCode="0.00%">
                  <c:v>0.967</c:v>
                </c:pt>
                <c:pt idx="12" formatCode="0.00%">
                  <c:v>0.973</c:v>
                </c:pt>
                <c:pt idx="13" formatCode="0.00%">
                  <c:v>0.9859</c:v>
                </c:pt>
                <c:pt idx="14" formatCode="0.00%">
                  <c:v>0.9874</c:v>
                </c:pt>
                <c:pt idx="15" formatCode="0.00%">
                  <c:v>0.9927</c:v>
                </c:pt>
                <c:pt idx="16">
                  <c:v>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Q2: July - Sept 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Sheet1!$A$2:$A$18</c:f>
              <c:strCache>
                <c:ptCount val="17"/>
                <c:pt idx="0">
                  <c:v>HMT (group)</c:v>
                </c:pt>
                <c:pt idx="1">
                  <c:v>DCMS (core)</c:v>
                </c:pt>
                <c:pt idx="2">
                  <c:v>DfID</c:v>
                </c:pt>
                <c:pt idx="3">
                  <c:v>FCO (inc. FCO Services)</c:v>
                </c:pt>
                <c:pt idx="4">
                  <c:v>MoJ</c:v>
                </c:pt>
                <c:pt idx="5">
                  <c:v>Home Office</c:v>
                </c:pt>
                <c:pt idx="6">
                  <c:v>DCLG</c:v>
                </c:pt>
                <c:pt idx="7">
                  <c:v>DfT (core)</c:v>
                </c:pt>
                <c:pt idx="8">
                  <c:v>Cabinet Office</c:v>
                </c:pt>
                <c:pt idx="9">
                  <c:v>HMRC</c:v>
                </c:pt>
                <c:pt idx="10">
                  <c:v>MoD</c:v>
                </c:pt>
                <c:pt idx="11">
                  <c:v>BIS</c:v>
                </c:pt>
                <c:pt idx="12">
                  <c:v>DWP</c:v>
                </c:pt>
                <c:pt idx="13">
                  <c:v>DH</c:v>
                </c:pt>
                <c:pt idx="14">
                  <c:v>DEFRA</c:v>
                </c:pt>
                <c:pt idx="15">
                  <c:v>DECC</c:v>
                </c:pt>
                <c:pt idx="16">
                  <c:v>DfE (inc. NCTL &amp; STA)</c:v>
                </c:pt>
              </c:strCache>
            </c:strRef>
          </c:cat>
          <c:val>
            <c:numRef>
              <c:f>Sheet1!$C$2:$C$18</c:f>
              <c:numCache>
                <c:formatCode>0%</c:formatCode>
                <c:ptCount val="17"/>
                <c:pt idx="0" formatCode="0.00%">
                  <c:v>0.6389</c:v>
                </c:pt>
                <c:pt idx="1">
                  <c:v>0.79</c:v>
                </c:pt>
                <c:pt idx="2" formatCode="0.00%">
                  <c:v>0.8114</c:v>
                </c:pt>
                <c:pt idx="3" formatCode="0.00%">
                  <c:v>0.825</c:v>
                </c:pt>
                <c:pt idx="4" formatCode="0.00%">
                  <c:v>0.828</c:v>
                </c:pt>
                <c:pt idx="5" formatCode="0.00%">
                  <c:v>0.8688</c:v>
                </c:pt>
                <c:pt idx="6">
                  <c:v>0.86</c:v>
                </c:pt>
                <c:pt idx="7" formatCode="0.00%">
                  <c:v>0.878</c:v>
                </c:pt>
                <c:pt idx="8" formatCode="0.00%">
                  <c:v>0.8893</c:v>
                </c:pt>
                <c:pt idx="9" formatCode="0.00%">
                  <c:v>0.9867</c:v>
                </c:pt>
                <c:pt idx="10" formatCode="0.00%">
                  <c:v>0.972</c:v>
                </c:pt>
                <c:pt idx="11" formatCode="0.00%">
                  <c:v>0.968</c:v>
                </c:pt>
                <c:pt idx="12" formatCode="0.00%">
                  <c:v>0.955</c:v>
                </c:pt>
                <c:pt idx="13" formatCode="0.00%">
                  <c:v>0.9781</c:v>
                </c:pt>
                <c:pt idx="14" formatCode="0.00%">
                  <c:v>0.9871</c:v>
                </c:pt>
                <c:pt idx="15" formatCode="0.00%">
                  <c:v>0.996</c:v>
                </c:pt>
                <c:pt idx="16">
                  <c:v>1.0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Q3: Oct - Dec 2015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Sheet1!$A$2:$A$18</c:f>
              <c:strCache>
                <c:ptCount val="17"/>
                <c:pt idx="0">
                  <c:v>HMT (group)</c:v>
                </c:pt>
                <c:pt idx="1">
                  <c:v>DCMS (core)</c:v>
                </c:pt>
                <c:pt idx="2">
                  <c:v>DfID</c:v>
                </c:pt>
                <c:pt idx="3">
                  <c:v>FCO (inc. FCO Services)</c:v>
                </c:pt>
                <c:pt idx="4">
                  <c:v>MoJ</c:v>
                </c:pt>
                <c:pt idx="5">
                  <c:v>Home Office</c:v>
                </c:pt>
                <c:pt idx="6">
                  <c:v>DCLG</c:v>
                </c:pt>
                <c:pt idx="7">
                  <c:v>DfT (core)</c:v>
                </c:pt>
                <c:pt idx="8">
                  <c:v>Cabinet Office</c:v>
                </c:pt>
                <c:pt idx="9">
                  <c:v>HMRC</c:v>
                </c:pt>
                <c:pt idx="10">
                  <c:v>MoD</c:v>
                </c:pt>
                <c:pt idx="11">
                  <c:v>BIS</c:v>
                </c:pt>
                <c:pt idx="12">
                  <c:v>DWP</c:v>
                </c:pt>
                <c:pt idx="13">
                  <c:v>DH</c:v>
                </c:pt>
                <c:pt idx="14">
                  <c:v>DEFRA</c:v>
                </c:pt>
                <c:pt idx="15">
                  <c:v>DECC</c:v>
                </c:pt>
                <c:pt idx="16">
                  <c:v>DfE (inc. NCTL &amp; STA)</c:v>
                </c:pt>
              </c:strCache>
            </c:strRef>
          </c:cat>
          <c:val>
            <c:numRef>
              <c:f>Sheet1!$D$2:$D$18</c:f>
              <c:numCache>
                <c:formatCode>0%</c:formatCode>
                <c:ptCount val="17"/>
                <c:pt idx="0" formatCode="0.00%">
                  <c:v>0.7385</c:v>
                </c:pt>
                <c:pt idx="1">
                  <c:v>0.75</c:v>
                </c:pt>
                <c:pt idx="2" formatCode="0.00%">
                  <c:v>0.8232</c:v>
                </c:pt>
                <c:pt idx="3" formatCode="0.00%">
                  <c:v>0.85</c:v>
                </c:pt>
                <c:pt idx="4" formatCode="0.00%">
                  <c:v>0.8977</c:v>
                </c:pt>
                <c:pt idx="5" formatCode="0.00%">
                  <c:v>0.836</c:v>
                </c:pt>
                <c:pt idx="6">
                  <c:v>0.89</c:v>
                </c:pt>
                <c:pt idx="7" formatCode="0.00%">
                  <c:v>0.913</c:v>
                </c:pt>
                <c:pt idx="8" formatCode="0.00%">
                  <c:v>0.8973</c:v>
                </c:pt>
                <c:pt idx="9" formatCode="0.00%">
                  <c:v>0.9857</c:v>
                </c:pt>
                <c:pt idx="10" formatCode="0.00%">
                  <c:v>0.967</c:v>
                </c:pt>
                <c:pt idx="11" formatCode="0.00%">
                  <c:v>0.966</c:v>
                </c:pt>
                <c:pt idx="12" formatCode="0.00%">
                  <c:v>0.975</c:v>
                </c:pt>
                <c:pt idx="13" formatCode="0.00%">
                  <c:v>0.99</c:v>
                </c:pt>
                <c:pt idx="14" formatCode="0.00%">
                  <c:v>0.9955</c:v>
                </c:pt>
                <c:pt idx="15" formatCode="0.00%">
                  <c:v>0.9995</c:v>
                </c:pt>
                <c:pt idx="16">
                  <c:v>0.99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Q4: Jan - March 2016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Sheet1!$A$2:$A$18</c:f>
              <c:strCache>
                <c:ptCount val="17"/>
                <c:pt idx="0">
                  <c:v>HMT (group)</c:v>
                </c:pt>
                <c:pt idx="1">
                  <c:v>DCMS (core)</c:v>
                </c:pt>
                <c:pt idx="2">
                  <c:v>DfID</c:v>
                </c:pt>
                <c:pt idx="3">
                  <c:v>FCO (inc. FCO Services)</c:v>
                </c:pt>
                <c:pt idx="4">
                  <c:v>MoJ</c:v>
                </c:pt>
                <c:pt idx="5">
                  <c:v>Home Office</c:v>
                </c:pt>
                <c:pt idx="6">
                  <c:v>DCLG</c:v>
                </c:pt>
                <c:pt idx="7">
                  <c:v>DfT (core)</c:v>
                </c:pt>
                <c:pt idx="8">
                  <c:v>Cabinet Office</c:v>
                </c:pt>
                <c:pt idx="9">
                  <c:v>HMRC</c:v>
                </c:pt>
                <c:pt idx="10">
                  <c:v>MoD</c:v>
                </c:pt>
                <c:pt idx="11">
                  <c:v>BIS</c:v>
                </c:pt>
                <c:pt idx="12">
                  <c:v>DWP</c:v>
                </c:pt>
                <c:pt idx="13">
                  <c:v>DH</c:v>
                </c:pt>
                <c:pt idx="14">
                  <c:v>DEFRA</c:v>
                </c:pt>
                <c:pt idx="15">
                  <c:v>DECC</c:v>
                </c:pt>
                <c:pt idx="16">
                  <c:v>DfE (inc. NCTL &amp; STA)</c:v>
                </c:pt>
              </c:strCache>
            </c:strRef>
          </c:cat>
          <c:val>
            <c:numRef>
              <c:f>Sheet1!$E$2:$E$18</c:f>
              <c:numCache>
                <c:formatCode>0%</c:formatCode>
                <c:ptCount val="17"/>
                <c:pt idx="0" formatCode="0.00%">
                  <c:v>0.7594</c:v>
                </c:pt>
                <c:pt idx="1">
                  <c:v>0.81</c:v>
                </c:pt>
                <c:pt idx="2" formatCode="0.00%">
                  <c:v>0.8275</c:v>
                </c:pt>
                <c:pt idx="3" formatCode="0.00%">
                  <c:v>0.8325</c:v>
                </c:pt>
                <c:pt idx="4" formatCode="0.00%">
                  <c:v>0.8236</c:v>
                </c:pt>
                <c:pt idx="5" formatCode="0.00%">
                  <c:v>0.8359</c:v>
                </c:pt>
                <c:pt idx="6">
                  <c:v>0.88</c:v>
                </c:pt>
                <c:pt idx="7" formatCode="0.00%">
                  <c:v>0.9388</c:v>
                </c:pt>
                <c:pt idx="8" formatCode="0.00%">
                  <c:v>0.9137</c:v>
                </c:pt>
                <c:pt idx="9" formatCode="0.00%">
                  <c:v>0.9771</c:v>
                </c:pt>
                <c:pt idx="10" formatCode="0.00%">
                  <c:v>0.93</c:v>
                </c:pt>
                <c:pt idx="11" formatCode="0.00%">
                  <c:v>0.961</c:v>
                </c:pt>
                <c:pt idx="12" formatCode="0.00%">
                  <c:v>0.975</c:v>
                </c:pt>
                <c:pt idx="13">
                  <c:v>0.96</c:v>
                </c:pt>
                <c:pt idx="14" formatCode="0.00%">
                  <c:v>0.9052</c:v>
                </c:pt>
                <c:pt idx="16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overlap val="-17"/>
        <c:axId val="2081745624"/>
        <c:axId val="2088326904"/>
      </c:barChart>
      <c:catAx>
        <c:axId val="2081745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8326904"/>
        <c:crosses val="autoZero"/>
        <c:auto val="1"/>
        <c:lblAlgn val="ctr"/>
        <c:lblOffset val="100"/>
        <c:noMultiLvlLbl val="0"/>
      </c:catAx>
      <c:valAx>
        <c:axId val="2088326904"/>
        <c:scaling>
          <c:orientation val="minMax"/>
          <c:max val="1.0"/>
          <c:min val="0.1"/>
        </c:scaling>
        <c:delete val="0"/>
        <c:axPos val="l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81745624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6274139421308"/>
          <c:y val="0.947779889893571"/>
          <c:w val="0.454325985143198"/>
          <c:h val="0.05129215231074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0.05288</cdr:x>
      <cdr:y>0.32475</cdr:y>
    </cdr:from>
    <cdr:to>
      <cdr:x>0.98583</cdr:x>
      <cdr:y>0.32626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712341" y="2434182"/>
          <a:ext cx="12567666" cy="1131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0000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0.06879</cdr:x>
      <cdr:y>0.12485</cdr:y>
    </cdr:from>
    <cdr:to>
      <cdr:x>0.28605</cdr:x>
      <cdr:y>0.28153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914400" y="923454"/>
          <a:ext cx="2888055" cy="11588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0.06334</cdr:x>
      <cdr:y>0.14688</cdr:y>
    </cdr:from>
    <cdr:to>
      <cdr:x>0.29831</cdr:x>
      <cdr:y>0.29132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841972" y="1086416"/>
          <a:ext cx="3123445" cy="10683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GB" sz="1400">
              <a:effectLst/>
              <a:latin typeface="+mn-lt"/>
              <a:ea typeface="+mn-ea"/>
              <a:cs typeface="+mn-cs"/>
            </a:rPr>
            <a:t>Central government policy on prompt payment: pay 80% of undisputed invoices within 5 days, with the remainder paid within 30 days</a:t>
          </a:r>
        </a:p>
        <a:p xmlns:a="http://schemas.openxmlformats.org/drawingml/2006/main">
          <a:endParaRPr lang="en-GB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Shorland</dc:creator>
  <cp:keywords/>
  <dc:description/>
  <cp:lastModifiedBy>OFFICE</cp:lastModifiedBy>
  <cp:revision>2</cp:revision>
  <dcterms:created xsi:type="dcterms:W3CDTF">2016-08-09T08:48:00Z</dcterms:created>
  <dcterms:modified xsi:type="dcterms:W3CDTF">2016-08-09T08:48:00Z</dcterms:modified>
</cp:coreProperties>
</file>