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6178" w:rsidRPr="00CE58CA" w:rsidRDefault="002620ED">
      <w:pPr>
        <w:pStyle w:val="Heading1"/>
        <w:rPr>
          <w:rFonts w:asciiTheme="minorHAnsi" w:hAnsiTheme="minorHAnsi"/>
        </w:rPr>
      </w:pPr>
      <w:r w:rsidRPr="00CE58CA">
        <w:rPr>
          <w:rFonts w:asciiTheme="minorHAnsi" w:hAnsiTheme="minorHAnsi"/>
        </w:rPr>
        <w:t>BDUK NGA State Aid Assessment template</w:t>
      </w:r>
    </w:p>
    <w:p w:rsidR="00286178" w:rsidRPr="00CE58CA" w:rsidRDefault="00AA359C">
      <w:pPr>
        <w:rPr>
          <w:rFonts w:asciiTheme="minorHAnsi" w:hAnsiTheme="minorHAnsi"/>
        </w:rPr>
      </w:pPr>
      <w:r>
        <w:rPr>
          <w:rFonts w:asciiTheme="minorHAnsi" w:hAnsiTheme="minorHAnsi"/>
          <w:sz w:val="24"/>
        </w:rPr>
        <w:t>July</w:t>
      </w:r>
      <w:r w:rsidR="00490698">
        <w:rPr>
          <w:rFonts w:asciiTheme="minorHAnsi" w:hAnsiTheme="minorHAnsi"/>
          <w:sz w:val="24"/>
        </w:rPr>
        <w:t xml:space="preserve"> 2016</w:t>
      </w:r>
    </w:p>
    <w:p w:rsidR="00286178" w:rsidRPr="00CE58CA" w:rsidRDefault="00286178">
      <w:pPr>
        <w:rPr>
          <w:rFonts w:asciiTheme="minorHAnsi" w:hAnsiTheme="minorHAnsi"/>
        </w:rPr>
      </w:pPr>
    </w:p>
    <w:p w:rsidR="00286178" w:rsidRPr="00CE58CA" w:rsidRDefault="002620ED">
      <w:pPr>
        <w:rPr>
          <w:rFonts w:asciiTheme="minorHAnsi" w:hAnsiTheme="minorHAnsi"/>
        </w:rPr>
      </w:pPr>
      <w:r w:rsidRPr="00CE58CA">
        <w:rPr>
          <w:rFonts w:asciiTheme="minorHAnsi" w:eastAsia="Cambria" w:hAnsiTheme="minorHAnsi" w:cs="Cambria"/>
          <w:b/>
          <w:color w:val="365F91"/>
          <w:sz w:val="28"/>
        </w:rPr>
        <w:t>1. Introduction</w:t>
      </w:r>
    </w:p>
    <w:p w:rsidR="008C5747" w:rsidRDefault="008C5747">
      <w:pPr>
        <w:rPr>
          <w:rFonts w:asciiTheme="minorHAnsi" w:hAnsiTheme="minorHAnsi"/>
        </w:rPr>
      </w:pPr>
      <w:r>
        <w:rPr>
          <w:rFonts w:asciiTheme="minorHAnsi" w:hAnsiTheme="minorHAnsi"/>
        </w:rPr>
        <w:t xml:space="preserve">The purpose of this document is to gather and present evidence supporting suppliers’ claims for </w:t>
      </w:r>
      <w:r w:rsidR="000D6176">
        <w:rPr>
          <w:rFonts w:asciiTheme="minorHAnsi" w:hAnsiTheme="minorHAnsi"/>
        </w:rPr>
        <w:t>Next Generation Access (</w:t>
      </w:r>
      <w:r>
        <w:rPr>
          <w:rFonts w:asciiTheme="minorHAnsi" w:hAnsiTheme="minorHAnsi"/>
        </w:rPr>
        <w:t>NGA</w:t>
      </w:r>
      <w:r w:rsidR="000D6176">
        <w:rPr>
          <w:rFonts w:asciiTheme="minorHAnsi" w:hAnsiTheme="minorHAnsi"/>
        </w:rPr>
        <w:t>)</w:t>
      </w:r>
      <w:r>
        <w:rPr>
          <w:rFonts w:asciiTheme="minorHAnsi" w:hAnsiTheme="minorHAnsi"/>
        </w:rPr>
        <w:t xml:space="preserve"> compliance in accordance with BDUK</w:t>
      </w:r>
      <w:r w:rsidR="000D6176">
        <w:rPr>
          <w:rFonts w:asciiTheme="minorHAnsi" w:hAnsiTheme="minorHAnsi"/>
        </w:rPr>
        <w:t>’s</w:t>
      </w:r>
      <w:r>
        <w:rPr>
          <w:rFonts w:asciiTheme="minorHAnsi" w:hAnsiTheme="minorHAnsi"/>
        </w:rPr>
        <w:t xml:space="preserve"> NGA technology Guidance</w:t>
      </w:r>
      <w:r>
        <w:rPr>
          <w:rStyle w:val="FootnoteReference"/>
          <w:rFonts w:asciiTheme="minorHAnsi" w:hAnsiTheme="minorHAnsi"/>
        </w:rPr>
        <w:footnoteReference w:id="1"/>
      </w:r>
    </w:p>
    <w:p w:rsidR="008C5747" w:rsidRPr="00CE58CA" w:rsidRDefault="008C5747" w:rsidP="008C5747">
      <w:pPr>
        <w:rPr>
          <w:rFonts w:asciiTheme="minorHAnsi" w:hAnsiTheme="minorHAnsi"/>
        </w:rPr>
      </w:pPr>
      <w:r w:rsidRPr="00CE58CA">
        <w:rPr>
          <w:rFonts w:asciiTheme="minorHAnsi" w:hAnsiTheme="minorHAnsi"/>
        </w:rPr>
        <w:t>This template should be completed by suppliers that opera</w:t>
      </w:r>
      <w:r>
        <w:rPr>
          <w:rFonts w:asciiTheme="minorHAnsi" w:hAnsiTheme="minorHAnsi"/>
        </w:rPr>
        <w:t xml:space="preserve">te an NGA Broadband Network or </w:t>
      </w:r>
      <w:r w:rsidRPr="00CE58CA">
        <w:rPr>
          <w:rFonts w:asciiTheme="minorHAnsi" w:hAnsiTheme="minorHAnsi"/>
        </w:rPr>
        <w:t xml:space="preserve">have plans </w:t>
      </w:r>
      <w:r w:rsidR="00E52710">
        <w:rPr>
          <w:rFonts w:asciiTheme="minorHAnsi" w:hAnsiTheme="minorHAnsi"/>
        </w:rPr>
        <w:t xml:space="preserve">to </w:t>
      </w:r>
      <w:r w:rsidRPr="00CE58CA">
        <w:rPr>
          <w:rFonts w:asciiTheme="minorHAnsi" w:hAnsiTheme="minorHAnsi"/>
        </w:rPr>
        <w:t>build and operate such a network</w:t>
      </w:r>
      <w:r w:rsidR="000D6176">
        <w:rPr>
          <w:rFonts w:asciiTheme="minorHAnsi" w:hAnsiTheme="minorHAnsi"/>
        </w:rPr>
        <w:t>.</w:t>
      </w:r>
    </w:p>
    <w:p w:rsidR="00286178" w:rsidRPr="00CE58CA" w:rsidRDefault="00E52710">
      <w:pPr>
        <w:rPr>
          <w:rFonts w:asciiTheme="minorHAnsi" w:hAnsiTheme="minorHAnsi"/>
        </w:rPr>
      </w:pPr>
      <w:r>
        <w:rPr>
          <w:rFonts w:asciiTheme="minorHAnsi" w:hAnsiTheme="minorHAnsi"/>
        </w:rPr>
        <w:t>Suppliers are advised</w:t>
      </w:r>
      <w:r w:rsidR="002620ED" w:rsidRPr="00CE58CA">
        <w:rPr>
          <w:rFonts w:asciiTheme="minorHAnsi" w:hAnsiTheme="minorHAnsi"/>
        </w:rPr>
        <w:t xml:space="preserve"> to engage the services of suitably qualified individuals when completing this template, i.e. with the appropriate detailed knowledge of the technical and commercial aspects of the solution proposed and of the state aid requirements that apply to that solution. </w:t>
      </w:r>
    </w:p>
    <w:p w:rsidR="00286178" w:rsidRDefault="00E52710" w:rsidP="000D6176">
      <w:pPr>
        <w:rPr>
          <w:rFonts w:asciiTheme="minorHAnsi" w:hAnsiTheme="minorHAnsi"/>
        </w:rPr>
      </w:pPr>
      <w:r>
        <w:rPr>
          <w:rFonts w:asciiTheme="minorHAnsi" w:hAnsiTheme="minorHAnsi"/>
        </w:rPr>
        <w:t>The evidence provided</w:t>
      </w:r>
      <w:r w:rsidR="008C5747">
        <w:rPr>
          <w:rFonts w:asciiTheme="minorHAnsi" w:hAnsiTheme="minorHAnsi"/>
        </w:rPr>
        <w:t xml:space="preserve"> in the template will be used for assessment of NGA and State aid compliance by Broadband </w:t>
      </w:r>
      <w:r w:rsidR="000D6176">
        <w:rPr>
          <w:rFonts w:asciiTheme="minorHAnsi" w:hAnsiTheme="minorHAnsi"/>
        </w:rPr>
        <w:t>Delivery</w:t>
      </w:r>
      <w:r w:rsidR="008C5747">
        <w:rPr>
          <w:rFonts w:asciiTheme="minorHAnsi" w:hAnsiTheme="minorHAnsi"/>
        </w:rPr>
        <w:t xml:space="preserve"> UK’s (BDUK) National Competence Centre (NCC)</w:t>
      </w:r>
      <w:r>
        <w:rPr>
          <w:rFonts w:asciiTheme="minorHAnsi" w:hAnsiTheme="minorHAnsi"/>
        </w:rPr>
        <w:t>.</w:t>
      </w:r>
    </w:p>
    <w:p w:rsidR="000D6176" w:rsidRDefault="000D6176" w:rsidP="000D6176">
      <w:pPr>
        <w:rPr>
          <w:rFonts w:asciiTheme="minorHAnsi" w:hAnsiTheme="minorHAnsi"/>
        </w:rPr>
      </w:pPr>
    </w:p>
    <w:p w:rsidR="00040190" w:rsidRDefault="00040190" w:rsidP="000D6176">
      <w:pPr>
        <w:rPr>
          <w:rFonts w:asciiTheme="minorHAnsi" w:eastAsia="Cambria" w:hAnsiTheme="minorHAnsi" w:cs="Cambria"/>
          <w:b/>
          <w:color w:val="365F91"/>
          <w:sz w:val="28"/>
        </w:rPr>
      </w:pPr>
    </w:p>
    <w:p w:rsidR="00040190" w:rsidRDefault="00040190" w:rsidP="000D6176">
      <w:pPr>
        <w:rPr>
          <w:rFonts w:asciiTheme="minorHAnsi" w:eastAsia="Cambria" w:hAnsiTheme="minorHAnsi" w:cs="Cambria"/>
          <w:b/>
          <w:color w:val="365F91"/>
          <w:sz w:val="28"/>
        </w:rPr>
      </w:pPr>
    </w:p>
    <w:p w:rsidR="00040190" w:rsidRDefault="00040190" w:rsidP="000D6176">
      <w:pPr>
        <w:rPr>
          <w:rFonts w:asciiTheme="minorHAnsi" w:eastAsia="Cambria" w:hAnsiTheme="minorHAnsi" w:cs="Cambria"/>
          <w:b/>
          <w:color w:val="365F91"/>
          <w:sz w:val="28"/>
        </w:rPr>
      </w:pPr>
    </w:p>
    <w:p w:rsidR="000D6176" w:rsidRPr="000D6176" w:rsidRDefault="002620ED" w:rsidP="000D6176">
      <w:pPr>
        <w:rPr>
          <w:rFonts w:asciiTheme="minorHAnsi" w:hAnsiTheme="minorHAnsi"/>
        </w:rPr>
      </w:pPr>
      <w:r w:rsidRPr="00CE58CA">
        <w:rPr>
          <w:rFonts w:asciiTheme="minorHAnsi" w:eastAsia="Cambria" w:hAnsiTheme="minorHAnsi" w:cs="Cambria"/>
          <w:b/>
          <w:color w:val="365F91"/>
          <w:sz w:val="28"/>
        </w:rPr>
        <w:lastRenderedPageBreak/>
        <w:t xml:space="preserve">2. </w:t>
      </w:r>
      <w:r w:rsidR="00E52710">
        <w:rPr>
          <w:rFonts w:asciiTheme="minorHAnsi" w:eastAsia="Cambria" w:hAnsiTheme="minorHAnsi" w:cs="Cambria"/>
          <w:b/>
          <w:color w:val="365F91"/>
          <w:sz w:val="28"/>
        </w:rPr>
        <w:t>Requirement</w:t>
      </w:r>
    </w:p>
    <w:p w:rsidR="00286178" w:rsidRPr="00CE58CA" w:rsidRDefault="002620ED" w:rsidP="000D6176">
      <w:pPr>
        <w:contextualSpacing/>
        <w:rPr>
          <w:rFonts w:asciiTheme="minorHAnsi" w:hAnsiTheme="minorHAnsi"/>
          <w:b/>
          <w:sz w:val="24"/>
        </w:rPr>
      </w:pPr>
      <w:r w:rsidRPr="00CE58CA">
        <w:rPr>
          <w:rFonts w:asciiTheme="minorHAnsi" w:hAnsiTheme="minorHAnsi"/>
          <w:b/>
          <w:sz w:val="24"/>
        </w:rPr>
        <w:t xml:space="preserve">The subsidised solution must deliver a ‘step change’ in network capability and service availability and consistently provide a high </w:t>
      </w:r>
      <w:r w:rsidR="00E52710">
        <w:rPr>
          <w:rFonts w:asciiTheme="minorHAnsi" w:hAnsiTheme="minorHAnsi"/>
          <w:b/>
          <w:sz w:val="24"/>
        </w:rPr>
        <w:t>quality experience to end users.</w:t>
      </w:r>
    </w:p>
    <w:p w:rsidR="00286178" w:rsidRDefault="002620ED" w:rsidP="00E52710">
      <w:pPr>
        <w:pStyle w:val="ListParagraph"/>
        <w:numPr>
          <w:ilvl w:val="1"/>
          <w:numId w:val="36"/>
        </w:numPr>
        <w:spacing w:before="100" w:after="240" w:line="240" w:lineRule="auto"/>
        <w:ind w:left="720" w:hanging="720"/>
        <w:rPr>
          <w:rFonts w:asciiTheme="minorHAnsi" w:hAnsiTheme="minorHAnsi"/>
          <w:sz w:val="24"/>
        </w:rPr>
      </w:pPr>
      <w:r w:rsidRPr="00E52710">
        <w:rPr>
          <w:rFonts w:asciiTheme="minorHAnsi" w:hAnsiTheme="minorHAnsi"/>
          <w:sz w:val="24"/>
        </w:rPr>
        <w:t>This requirement ensures that where a basic broadband infrastructure already exists, State aid must only be used to deploy infrastructure that genuinely offers a significant new capability to end users.</w:t>
      </w:r>
    </w:p>
    <w:p w:rsidR="00E52710" w:rsidRPr="00E52710" w:rsidRDefault="00E52710" w:rsidP="00E52710">
      <w:pPr>
        <w:pStyle w:val="ListParagraph"/>
        <w:spacing w:before="100" w:after="240" w:line="240" w:lineRule="auto"/>
        <w:rPr>
          <w:rFonts w:asciiTheme="minorHAnsi" w:hAnsiTheme="minorHAnsi"/>
          <w:sz w:val="24"/>
        </w:rPr>
      </w:pPr>
    </w:p>
    <w:p w:rsidR="00286178" w:rsidRPr="00CE58CA" w:rsidRDefault="002620ED" w:rsidP="00E52710">
      <w:pPr>
        <w:pStyle w:val="ListParagraph"/>
        <w:numPr>
          <w:ilvl w:val="1"/>
          <w:numId w:val="36"/>
        </w:numPr>
        <w:spacing w:before="100" w:after="240" w:line="240" w:lineRule="auto"/>
        <w:ind w:left="720" w:hanging="720"/>
        <w:rPr>
          <w:rFonts w:asciiTheme="minorHAnsi" w:hAnsiTheme="minorHAnsi"/>
          <w:sz w:val="24"/>
        </w:rPr>
      </w:pPr>
      <w:r w:rsidRPr="00CE58CA">
        <w:rPr>
          <w:rFonts w:asciiTheme="minorHAnsi" w:hAnsiTheme="minorHAnsi"/>
          <w:sz w:val="24"/>
        </w:rPr>
        <w:t>In assessing projects for State aid approval, the NCC requires that NGA technologies that are used in NGA white intervention areas must provide the same outputs as those defined for other established NGA network deployments. Specifically, the NCC will expect to see that the technical solution:</w:t>
      </w:r>
    </w:p>
    <w:p w:rsidR="00286178" w:rsidRPr="00CE58CA" w:rsidRDefault="002620ED">
      <w:pPr>
        <w:numPr>
          <w:ilvl w:val="0"/>
          <w:numId w:val="10"/>
        </w:numPr>
        <w:spacing w:before="100" w:after="120" w:line="240" w:lineRule="auto"/>
        <w:ind w:hanging="357"/>
        <w:rPr>
          <w:rFonts w:asciiTheme="minorHAnsi" w:hAnsiTheme="minorHAnsi"/>
          <w:sz w:val="24"/>
        </w:rPr>
      </w:pPr>
      <w:r w:rsidRPr="00CE58CA">
        <w:rPr>
          <w:rFonts w:asciiTheme="minorHAnsi" w:hAnsiTheme="minorHAnsi"/>
          <w:sz w:val="24"/>
        </w:rPr>
        <w:t>is capable of providing access speeds in excess of 30Mbps download, not only by reference to theory and technical standards, but also by evidence of calibrated performance measurements of an existing deployment within the area of interest or an demonstrably equivalent  deployment in a similar geographical environment;</w:t>
      </w:r>
    </w:p>
    <w:p w:rsidR="00286178" w:rsidRPr="00CE58CA" w:rsidRDefault="002620ED">
      <w:pPr>
        <w:numPr>
          <w:ilvl w:val="0"/>
          <w:numId w:val="10"/>
        </w:numPr>
        <w:spacing w:before="100" w:after="120" w:line="240" w:lineRule="auto"/>
        <w:ind w:hanging="357"/>
        <w:rPr>
          <w:rFonts w:asciiTheme="minorHAnsi" w:hAnsiTheme="minorHAnsi"/>
          <w:sz w:val="24"/>
        </w:rPr>
      </w:pPr>
      <w:r w:rsidRPr="00CE58CA">
        <w:rPr>
          <w:rFonts w:asciiTheme="minorHAnsi" w:hAnsiTheme="minorHAnsi"/>
          <w:sz w:val="24"/>
        </w:rPr>
        <w:t xml:space="preserve">provides at least a doubling of average </w:t>
      </w:r>
      <w:bookmarkStart w:id="0" w:name="_GoBack"/>
      <w:r w:rsidR="00B66686">
        <w:rPr>
          <w:rFonts w:asciiTheme="minorHAnsi" w:hAnsiTheme="minorHAnsi"/>
          <w:sz w:val="24"/>
        </w:rPr>
        <w:t xml:space="preserve">download and upload </w:t>
      </w:r>
      <w:bookmarkEnd w:id="0"/>
      <w:r w:rsidRPr="00CE58CA">
        <w:rPr>
          <w:rFonts w:asciiTheme="minorHAnsi" w:hAnsiTheme="minorHAnsi"/>
          <w:sz w:val="24"/>
        </w:rPr>
        <w:t>access speeds in the target NGA intervention area;</w:t>
      </w:r>
    </w:p>
    <w:p w:rsidR="00286178" w:rsidRPr="00CE58CA" w:rsidRDefault="002620ED">
      <w:pPr>
        <w:numPr>
          <w:ilvl w:val="0"/>
          <w:numId w:val="10"/>
        </w:numPr>
        <w:spacing w:before="100" w:after="120" w:line="240" w:lineRule="auto"/>
        <w:ind w:hanging="357"/>
        <w:rPr>
          <w:rFonts w:asciiTheme="minorHAnsi" w:hAnsiTheme="minorHAnsi"/>
          <w:sz w:val="24"/>
        </w:rPr>
      </w:pPr>
      <w:r w:rsidRPr="00CE58CA">
        <w:rPr>
          <w:rFonts w:asciiTheme="minorHAnsi" w:hAnsiTheme="minorHAnsi"/>
          <w:sz w:val="24"/>
        </w:rPr>
        <w:t>must be designed in anti</w:t>
      </w:r>
      <w:r w:rsidR="00131086" w:rsidRPr="00CE58CA">
        <w:rPr>
          <w:rFonts w:asciiTheme="minorHAnsi" w:hAnsiTheme="minorHAnsi"/>
          <w:sz w:val="24"/>
        </w:rPr>
        <w:t xml:space="preserve">cipation of providing at least </w:t>
      </w:r>
      <w:r w:rsidRPr="00CE58CA">
        <w:rPr>
          <w:rFonts w:asciiTheme="minorHAnsi" w:hAnsiTheme="minorHAnsi"/>
          <w:sz w:val="24"/>
        </w:rPr>
        <w:t>15Mbps download speed to end-users for 90% of the time during peak times in the target area, as demonstrated by industry-standardised or reliable independent measurements;</w:t>
      </w:r>
    </w:p>
    <w:p w:rsidR="00286178" w:rsidRPr="00CE58CA" w:rsidRDefault="002620ED">
      <w:pPr>
        <w:numPr>
          <w:ilvl w:val="0"/>
          <w:numId w:val="10"/>
        </w:numPr>
        <w:spacing w:before="100" w:after="120" w:line="240" w:lineRule="auto"/>
        <w:ind w:hanging="357"/>
        <w:rPr>
          <w:rFonts w:asciiTheme="minorHAnsi" w:hAnsiTheme="minorHAnsi"/>
          <w:sz w:val="24"/>
        </w:rPr>
      </w:pPr>
      <w:r w:rsidRPr="00CE58CA">
        <w:rPr>
          <w:rFonts w:asciiTheme="minorHAnsi" w:hAnsiTheme="minorHAnsi"/>
          <w:sz w:val="24"/>
        </w:rPr>
        <w:t>must show how the solution would adapt to maintain capability and end-user experience in changes to key parameters such as increased take-up and increased demand for capacity, and be able to show using clear calculations that this is both technically and commercially viable;</w:t>
      </w:r>
    </w:p>
    <w:p w:rsidR="00286178" w:rsidRPr="00CE58CA" w:rsidRDefault="002620ED">
      <w:pPr>
        <w:numPr>
          <w:ilvl w:val="0"/>
          <w:numId w:val="10"/>
        </w:numPr>
        <w:spacing w:before="100" w:after="120" w:line="240" w:lineRule="auto"/>
        <w:ind w:hanging="357"/>
        <w:rPr>
          <w:rFonts w:asciiTheme="minorHAnsi" w:hAnsiTheme="minorHAnsi"/>
          <w:sz w:val="24"/>
        </w:rPr>
      </w:pPr>
      <w:r w:rsidRPr="00CE58CA">
        <w:rPr>
          <w:rFonts w:asciiTheme="minorHAnsi" w:hAnsiTheme="minorHAnsi"/>
          <w:sz w:val="24"/>
        </w:rPr>
        <w:t xml:space="preserve">must have characteristics (e.g. latency, jitter) that enable advanced services to be delivered e.g. video-conferencing and High Definition video streaming to be provided to end users as evidenced by trials results not necessary obtained within the area of interest; and </w:t>
      </w:r>
    </w:p>
    <w:p w:rsidR="00286178" w:rsidRPr="00CE58CA" w:rsidRDefault="002620ED">
      <w:pPr>
        <w:numPr>
          <w:ilvl w:val="0"/>
          <w:numId w:val="10"/>
        </w:numPr>
        <w:spacing w:before="100" w:after="120" w:line="240" w:lineRule="auto"/>
        <w:ind w:hanging="357"/>
        <w:rPr>
          <w:rFonts w:asciiTheme="minorHAnsi" w:hAnsiTheme="minorHAnsi"/>
          <w:sz w:val="24"/>
        </w:rPr>
      </w:pPr>
      <w:r w:rsidRPr="00CE58CA">
        <w:rPr>
          <w:rFonts w:asciiTheme="minorHAnsi" w:hAnsiTheme="minorHAnsi"/>
          <w:sz w:val="24"/>
        </w:rPr>
        <w:t>have longevity such that one might reasonably expect increases in performance within the next 7 years.</w:t>
      </w:r>
      <w:r w:rsidR="00E52710">
        <w:rPr>
          <w:rFonts w:asciiTheme="minorHAnsi" w:hAnsiTheme="minorHAnsi"/>
          <w:sz w:val="24"/>
        </w:rPr>
        <w:br/>
      </w:r>
    </w:p>
    <w:p w:rsidR="00286178" w:rsidRPr="00CE58CA" w:rsidRDefault="002620ED" w:rsidP="00E52710">
      <w:pPr>
        <w:pStyle w:val="ListParagraph"/>
        <w:numPr>
          <w:ilvl w:val="1"/>
          <w:numId w:val="36"/>
        </w:numPr>
        <w:spacing w:before="100" w:after="240" w:line="240" w:lineRule="auto"/>
        <w:ind w:left="720" w:hanging="720"/>
        <w:rPr>
          <w:rFonts w:asciiTheme="minorHAnsi" w:hAnsiTheme="minorHAnsi"/>
          <w:sz w:val="24"/>
        </w:rPr>
      </w:pPr>
      <w:r w:rsidRPr="00CE58CA">
        <w:rPr>
          <w:rFonts w:asciiTheme="minorHAnsi" w:hAnsiTheme="minorHAnsi"/>
          <w:sz w:val="24"/>
        </w:rPr>
        <w:lastRenderedPageBreak/>
        <w:t>In assessing whether the requirement is being met, the NCC will require the applicant to provide evidence of the capabilities detailed above. That evidence might include:</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t</w:t>
      </w:r>
      <w:r w:rsidR="002620ED" w:rsidRPr="00CE58CA">
        <w:rPr>
          <w:rFonts w:asciiTheme="minorHAnsi" w:hAnsiTheme="minorHAnsi"/>
          <w:sz w:val="24"/>
        </w:rPr>
        <w:t>he Business case, including scenario analysis;</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p</w:t>
      </w:r>
      <w:r w:rsidR="002620ED" w:rsidRPr="00CE58CA">
        <w:rPr>
          <w:rFonts w:asciiTheme="minorHAnsi" w:hAnsiTheme="minorHAnsi"/>
          <w:sz w:val="24"/>
        </w:rPr>
        <w:t xml:space="preserve">lanning consents having being obtained, or likely to be obtained, for the proposed developments; </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a</w:t>
      </w:r>
      <w:r w:rsidR="002620ED" w:rsidRPr="00CE58CA">
        <w:rPr>
          <w:rFonts w:asciiTheme="minorHAnsi" w:hAnsiTheme="minorHAnsi"/>
          <w:sz w:val="24"/>
        </w:rPr>
        <w:t xml:space="preserve">ctual deployment of similar scale and end-user density; </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f</w:t>
      </w:r>
      <w:r w:rsidR="002620ED" w:rsidRPr="00CE58CA">
        <w:rPr>
          <w:rFonts w:asciiTheme="minorHAnsi" w:hAnsiTheme="minorHAnsi"/>
          <w:sz w:val="24"/>
        </w:rPr>
        <w:t>ield trial or commercial deployment supplemented by modelling of different take-up scenarios;</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f</w:t>
      </w:r>
      <w:r w:rsidR="002620ED" w:rsidRPr="00CE58CA">
        <w:rPr>
          <w:rFonts w:asciiTheme="minorHAnsi" w:hAnsiTheme="minorHAnsi"/>
          <w:sz w:val="24"/>
        </w:rPr>
        <w:t>or wired NGA technologies: access network planning taking due account of wired line length and quality from existing or planned access nodes, to show that the access speeds are realistic in the geographic context;</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f</w:t>
      </w:r>
      <w:r w:rsidR="002620ED" w:rsidRPr="00CE58CA">
        <w:rPr>
          <w:rFonts w:asciiTheme="minorHAnsi" w:hAnsiTheme="minorHAnsi"/>
          <w:sz w:val="24"/>
        </w:rPr>
        <w:t>or fixed wireless NGA technologies: radio plans and interference analysis, using planning tools correctly calibrated for the target geography, to show that the access speeds are realistic and the spectrum to be used is appropriate for its geographic context;</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p</w:t>
      </w:r>
      <w:r w:rsidR="002620ED" w:rsidRPr="00CE58CA">
        <w:rPr>
          <w:rFonts w:asciiTheme="minorHAnsi" w:hAnsiTheme="minorHAnsi"/>
          <w:sz w:val="24"/>
        </w:rPr>
        <w:t xml:space="preserve">roposed product offerings and associated service level guarantees; </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n</w:t>
      </w:r>
      <w:r w:rsidR="002620ED" w:rsidRPr="00CE58CA">
        <w:rPr>
          <w:rFonts w:asciiTheme="minorHAnsi" w:hAnsiTheme="minorHAnsi"/>
          <w:sz w:val="24"/>
        </w:rPr>
        <w:t>etwork dim</w:t>
      </w:r>
      <w:r w:rsidR="00131086" w:rsidRPr="00CE58CA">
        <w:rPr>
          <w:rFonts w:asciiTheme="minorHAnsi" w:hAnsiTheme="minorHAnsi"/>
          <w:sz w:val="24"/>
        </w:rPr>
        <w:t>ensioning calculations; and</w:t>
      </w:r>
    </w:p>
    <w:p w:rsidR="00286178" w:rsidRPr="00CE58CA" w:rsidRDefault="00D15E4F">
      <w:pPr>
        <w:numPr>
          <w:ilvl w:val="0"/>
          <w:numId w:val="10"/>
        </w:numPr>
        <w:spacing w:before="100" w:after="120" w:line="240" w:lineRule="auto"/>
        <w:ind w:hanging="357"/>
        <w:rPr>
          <w:rFonts w:asciiTheme="minorHAnsi" w:hAnsiTheme="minorHAnsi"/>
          <w:sz w:val="24"/>
        </w:rPr>
      </w:pPr>
      <w:r>
        <w:rPr>
          <w:rFonts w:asciiTheme="minorHAnsi" w:hAnsiTheme="minorHAnsi"/>
          <w:sz w:val="24"/>
        </w:rPr>
        <w:t>e</w:t>
      </w:r>
      <w:r w:rsidR="002620ED" w:rsidRPr="00CE58CA">
        <w:rPr>
          <w:rFonts w:asciiTheme="minorHAnsi" w:hAnsiTheme="minorHAnsi"/>
          <w:sz w:val="24"/>
        </w:rPr>
        <w:t>vidence that the enabling technology has a future development path, such as existing internationally accredited standards, on-going development of new versions of the standards, international research working groups, and diversity of the supply chain.</w:t>
      </w:r>
    </w:p>
    <w:p w:rsidR="00131086" w:rsidRPr="00CE58CA" w:rsidRDefault="00131086">
      <w:pPr>
        <w:ind w:left="360"/>
        <w:rPr>
          <w:rFonts w:asciiTheme="minorHAnsi" w:hAnsiTheme="minorHAnsi"/>
          <w:sz w:val="24"/>
        </w:rPr>
      </w:pPr>
    </w:p>
    <w:p w:rsidR="00286178" w:rsidRPr="00CE58CA" w:rsidRDefault="002620ED">
      <w:pPr>
        <w:ind w:left="360"/>
        <w:rPr>
          <w:rFonts w:asciiTheme="minorHAnsi" w:hAnsiTheme="minorHAnsi"/>
        </w:rPr>
      </w:pPr>
      <w:r w:rsidRPr="00CE58CA">
        <w:rPr>
          <w:rFonts w:asciiTheme="minorHAnsi" w:hAnsiTheme="minorHAnsi"/>
          <w:sz w:val="24"/>
        </w:rPr>
        <w:br/>
      </w:r>
    </w:p>
    <w:p w:rsidR="00286178" w:rsidRPr="00CE58CA" w:rsidRDefault="002620ED">
      <w:pPr>
        <w:rPr>
          <w:rFonts w:asciiTheme="minorHAnsi" w:hAnsiTheme="minorHAnsi"/>
        </w:rPr>
      </w:pPr>
      <w:r w:rsidRPr="00CE58CA">
        <w:rPr>
          <w:rFonts w:asciiTheme="minorHAnsi" w:hAnsiTheme="minorHAnsi"/>
        </w:rPr>
        <w:br w:type="page"/>
      </w:r>
    </w:p>
    <w:p w:rsidR="00286178" w:rsidRPr="00CE58CA" w:rsidRDefault="002620ED" w:rsidP="00E52710">
      <w:pPr>
        <w:pStyle w:val="Heading1"/>
        <w:numPr>
          <w:ilvl w:val="0"/>
          <w:numId w:val="35"/>
        </w:numPr>
        <w:ind w:left="360"/>
        <w:rPr>
          <w:rFonts w:asciiTheme="minorHAnsi" w:hAnsiTheme="minorHAnsi"/>
        </w:rPr>
      </w:pPr>
      <w:r w:rsidRPr="00CE58CA">
        <w:rPr>
          <w:rFonts w:asciiTheme="minorHAnsi" w:hAnsiTheme="minorHAnsi"/>
        </w:rPr>
        <w:lastRenderedPageBreak/>
        <w:t>Evidence of compliance with BDUK NGA Guidelines</w:t>
      </w:r>
    </w:p>
    <w:p w:rsidR="000D6176" w:rsidRDefault="0074526A" w:rsidP="00E52710">
      <w:r w:rsidRPr="00CE58CA">
        <w:rPr>
          <w:rFonts w:asciiTheme="minorHAnsi" w:hAnsiTheme="minorHAnsi"/>
        </w:rPr>
        <w:br/>
      </w:r>
      <w:r w:rsidR="000D6176">
        <w:t>Suppliers shall present evidence in the following categories based upon the criteria listed above.</w:t>
      </w:r>
    </w:p>
    <w:tbl>
      <w:tblPr>
        <w:tblStyle w:val="a"/>
        <w:tblW w:w="141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2"/>
        <w:gridCol w:w="11742"/>
      </w:tblGrid>
      <w:tr w:rsidR="00286178" w:rsidRPr="00CE58CA" w:rsidTr="00490698">
        <w:trPr>
          <w:cantSplit/>
        </w:trPr>
        <w:tc>
          <w:tcPr>
            <w:tcW w:w="2432" w:type="dxa"/>
            <w:shd w:val="clear" w:color="auto" w:fill="C6D9F1"/>
          </w:tcPr>
          <w:p w:rsidR="00286178" w:rsidRPr="00CE58CA" w:rsidRDefault="002620ED">
            <w:pPr>
              <w:contextualSpacing w:val="0"/>
              <w:rPr>
                <w:rFonts w:asciiTheme="minorHAnsi" w:hAnsiTheme="minorHAnsi"/>
              </w:rPr>
            </w:pPr>
            <w:r w:rsidRPr="00CE58CA">
              <w:rPr>
                <w:rFonts w:asciiTheme="minorHAnsi" w:eastAsia="Arial" w:hAnsiTheme="minorHAnsi" w:cs="Arial"/>
                <w:b/>
              </w:rPr>
              <w:t>Topic</w:t>
            </w:r>
          </w:p>
        </w:tc>
        <w:tc>
          <w:tcPr>
            <w:tcW w:w="11742" w:type="dxa"/>
            <w:shd w:val="clear" w:color="auto" w:fill="C6D9F1"/>
          </w:tcPr>
          <w:p w:rsidR="00286178" w:rsidRPr="00CE58CA" w:rsidRDefault="008C5747" w:rsidP="008C5747">
            <w:pPr>
              <w:contextualSpacing w:val="0"/>
              <w:rPr>
                <w:rFonts w:asciiTheme="minorHAnsi" w:hAnsiTheme="minorHAnsi"/>
              </w:rPr>
            </w:pPr>
            <w:r>
              <w:rPr>
                <w:rFonts w:asciiTheme="minorHAnsi" w:eastAsia="Arial" w:hAnsiTheme="minorHAnsi" w:cs="Arial"/>
                <w:b/>
              </w:rPr>
              <w:t>Evidence</w:t>
            </w:r>
          </w:p>
        </w:tc>
      </w:tr>
      <w:tr w:rsidR="00286178" w:rsidRPr="00CE58CA" w:rsidTr="00490698">
        <w:trPr>
          <w:cantSplit/>
        </w:trPr>
        <w:tc>
          <w:tcPr>
            <w:tcW w:w="2432" w:type="dxa"/>
          </w:tcPr>
          <w:p w:rsidR="00286178" w:rsidRPr="00CE58CA" w:rsidRDefault="002620ED">
            <w:pPr>
              <w:contextualSpacing w:val="0"/>
              <w:rPr>
                <w:rFonts w:asciiTheme="minorHAnsi" w:hAnsiTheme="minorHAnsi"/>
              </w:rPr>
            </w:pPr>
            <w:r w:rsidRPr="00CE58CA">
              <w:rPr>
                <w:rFonts w:asciiTheme="minorHAnsi" w:eastAsia="Arial" w:hAnsiTheme="minorHAnsi" w:cs="Arial"/>
              </w:rPr>
              <w:t>30Mbps capability</w:t>
            </w:r>
          </w:p>
        </w:tc>
        <w:tc>
          <w:tcPr>
            <w:tcW w:w="11742" w:type="dxa"/>
          </w:tcPr>
          <w:p w:rsidR="00286178" w:rsidRPr="00CE58CA" w:rsidRDefault="002620ED">
            <w:pPr>
              <w:contextualSpacing w:val="0"/>
              <w:rPr>
                <w:rFonts w:asciiTheme="minorHAnsi" w:hAnsiTheme="minorHAnsi"/>
              </w:rPr>
            </w:pPr>
            <w:r w:rsidRPr="00CE58CA">
              <w:rPr>
                <w:rFonts w:asciiTheme="minorHAnsi" w:eastAsia="Arial" w:hAnsiTheme="minorHAnsi" w:cs="Arial"/>
                <w:b/>
                <w:color w:val="365F91"/>
              </w:rPr>
              <w:t>For example:</w:t>
            </w:r>
          </w:p>
          <w:p w:rsidR="009161B3" w:rsidRPr="00CE58CA" w:rsidRDefault="002620ED" w:rsidP="009161B3">
            <w:pPr>
              <w:numPr>
                <w:ilvl w:val="0"/>
                <w:numId w:val="8"/>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Evidence that physical/technological constraints are accounted for the planned coverage area (e.g. transmission line characteristics, radio propagation etc.); and</w:t>
            </w:r>
          </w:p>
          <w:p w:rsidR="009161B3" w:rsidRPr="00CE58CA" w:rsidRDefault="009161B3" w:rsidP="009161B3">
            <w:pPr>
              <w:spacing w:after="0"/>
              <w:rPr>
                <w:rFonts w:asciiTheme="minorHAnsi" w:eastAsia="Arial" w:hAnsiTheme="minorHAnsi" w:cs="Arial"/>
                <w:color w:val="auto"/>
              </w:rPr>
            </w:pPr>
          </w:p>
          <w:p w:rsidR="00286178" w:rsidRPr="00CE58CA" w:rsidRDefault="002620ED">
            <w:pPr>
              <w:numPr>
                <w:ilvl w:val="0"/>
                <w:numId w:val="8"/>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Description of the network design’s upgradeability to support 30Mbps in future; and</w:t>
            </w:r>
          </w:p>
          <w:p w:rsidR="00084420" w:rsidRPr="00CE58CA" w:rsidRDefault="00084420" w:rsidP="00084420">
            <w:pPr>
              <w:spacing w:after="0"/>
              <w:rPr>
                <w:rFonts w:asciiTheme="minorHAnsi" w:eastAsia="Arial" w:hAnsiTheme="minorHAnsi" w:cs="Arial"/>
                <w:b/>
                <w:color w:val="365F91"/>
              </w:rPr>
            </w:pPr>
          </w:p>
          <w:p w:rsidR="00286178" w:rsidRPr="00CE58CA" w:rsidRDefault="002620ED">
            <w:pPr>
              <w:numPr>
                <w:ilvl w:val="0"/>
                <w:numId w:val="8"/>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Manufacturers’ product descriptions and configuration manuals; and</w:t>
            </w:r>
          </w:p>
          <w:p w:rsidR="00084420" w:rsidRPr="00CE58CA" w:rsidRDefault="00084420" w:rsidP="00084420">
            <w:pPr>
              <w:spacing w:after="0"/>
              <w:rPr>
                <w:rFonts w:asciiTheme="minorHAnsi" w:eastAsia="Arial" w:hAnsiTheme="minorHAnsi" w:cs="Arial"/>
                <w:b/>
                <w:color w:val="365F91"/>
              </w:rPr>
            </w:pPr>
          </w:p>
          <w:p w:rsidR="00286178" w:rsidRPr="00CE58CA" w:rsidRDefault="002620ED">
            <w:pPr>
              <w:numPr>
                <w:ilvl w:val="0"/>
                <w:numId w:val="8"/>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Evidence of a commercially offered NGA-compliant 30Mbps product (e.g. on a web-site).</w:t>
            </w:r>
          </w:p>
          <w:p w:rsidR="00286178" w:rsidRPr="00CE58CA" w:rsidRDefault="00286178" w:rsidP="00B74D6F">
            <w:pPr>
              <w:spacing w:after="0"/>
              <w:rPr>
                <w:rFonts w:asciiTheme="minorHAnsi" w:hAnsiTheme="minorHAnsi"/>
              </w:rPr>
            </w:pPr>
          </w:p>
        </w:tc>
      </w:tr>
      <w:tr w:rsidR="00286178" w:rsidRPr="00CE58CA" w:rsidTr="00490698">
        <w:trPr>
          <w:cantSplit/>
        </w:trPr>
        <w:tc>
          <w:tcPr>
            <w:tcW w:w="2432" w:type="dxa"/>
          </w:tcPr>
          <w:p w:rsidR="00286178" w:rsidRPr="00CE58CA" w:rsidRDefault="002620ED">
            <w:pPr>
              <w:contextualSpacing w:val="0"/>
              <w:rPr>
                <w:rFonts w:asciiTheme="minorHAnsi" w:hAnsiTheme="minorHAnsi"/>
              </w:rPr>
            </w:pPr>
            <w:r w:rsidRPr="00CE58CA">
              <w:rPr>
                <w:rFonts w:asciiTheme="minorHAnsi" w:eastAsia="Arial" w:hAnsiTheme="minorHAnsi" w:cs="Arial"/>
              </w:rPr>
              <w:t xml:space="preserve">Doubling of </w:t>
            </w:r>
            <w:r w:rsidR="00B66686">
              <w:rPr>
                <w:rFonts w:asciiTheme="minorHAnsi" w:eastAsia="Arial" w:hAnsiTheme="minorHAnsi" w:cs="Arial"/>
              </w:rPr>
              <w:t xml:space="preserve">download </w:t>
            </w:r>
            <w:r w:rsidRPr="00CE58CA">
              <w:rPr>
                <w:rFonts w:asciiTheme="minorHAnsi" w:eastAsia="Arial" w:hAnsiTheme="minorHAnsi" w:cs="Arial"/>
              </w:rPr>
              <w:t>access speed</w:t>
            </w:r>
          </w:p>
        </w:tc>
        <w:tc>
          <w:tcPr>
            <w:tcW w:w="11742" w:type="dxa"/>
          </w:tcPr>
          <w:p w:rsidR="00286178" w:rsidRPr="00CE58CA" w:rsidRDefault="002620ED">
            <w:pPr>
              <w:contextualSpacing w:val="0"/>
              <w:rPr>
                <w:rFonts w:asciiTheme="minorHAnsi" w:hAnsiTheme="minorHAnsi"/>
              </w:rPr>
            </w:pPr>
            <w:r w:rsidRPr="00CE58CA">
              <w:rPr>
                <w:rFonts w:asciiTheme="minorHAnsi" w:eastAsia="Arial" w:hAnsiTheme="minorHAnsi" w:cs="Arial"/>
                <w:b/>
                <w:color w:val="365F91"/>
              </w:rPr>
              <w:t>For example:</w:t>
            </w:r>
          </w:p>
          <w:p w:rsidR="00286178" w:rsidRPr="00CE58CA" w:rsidRDefault="002620ED">
            <w:pPr>
              <w:numPr>
                <w:ilvl w:val="0"/>
                <w:numId w:val="6"/>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A survey of current speeds per premise/postcode e.g. from public data published by Ofcom; and</w:t>
            </w:r>
          </w:p>
          <w:p w:rsidR="00E22174" w:rsidRPr="00CE58CA" w:rsidRDefault="00E22174" w:rsidP="00E22174">
            <w:pPr>
              <w:spacing w:after="0"/>
              <w:rPr>
                <w:rFonts w:asciiTheme="minorHAnsi" w:eastAsia="Arial" w:hAnsiTheme="minorHAnsi" w:cs="Arial"/>
                <w:b/>
                <w:color w:val="365F91"/>
              </w:rPr>
            </w:pPr>
          </w:p>
          <w:p w:rsidR="00286178" w:rsidRPr="00CE58CA" w:rsidRDefault="002620ED">
            <w:pPr>
              <w:numPr>
                <w:ilvl w:val="0"/>
                <w:numId w:val="6"/>
              </w:numPr>
              <w:ind w:hanging="360"/>
              <w:rPr>
                <w:rFonts w:asciiTheme="minorHAnsi" w:eastAsia="Arial" w:hAnsiTheme="minorHAnsi" w:cs="Arial"/>
                <w:b/>
                <w:color w:val="365F91"/>
              </w:rPr>
            </w:pPr>
            <w:r w:rsidRPr="00CE58CA">
              <w:rPr>
                <w:rFonts w:asciiTheme="minorHAnsi" w:eastAsia="Arial" w:hAnsiTheme="minorHAnsi" w:cs="Arial"/>
                <w:b/>
                <w:color w:val="365F91"/>
              </w:rPr>
              <w:t>Design information showing that access speeds will be or are doubled by the new network in each premise/postcode compared with current speed data.</w:t>
            </w:r>
          </w:p>
          <w:p w:rsidR="00206CA5" w:rsidRPr="00CE58CA" w:rsidRDefault="00206CA5" w:rsidP="00B74D6F">
            <w:pPr>
              <w:spacing w:after="0"/>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rPr>
                <w:rFonts w:asciiTheme="minorHAnsi" w:eastAsia="Arial" w:hAnsiTheme="minorHAnsi" w:cs="Arial"/>
              </w:rPr>
            </w:pPr>
            <w:r w:rsidRPr="00CE58CA">
              <w:rPr>
                <w:rFonts w:asciiTheme="minorHAnsi" w:eastAsia="Arial" w:hAnsiTheme="minorHAnsi" w:cs="Arial"/>
              </w:rPr>
              <w:lastRenderedPageBreak/>
              <w:t xml:space="preserve">Doubling of </w:t>
            </w:r>
            <w:r>
              <w:rPr>
                <w:rFonts w:asciiTheme="minorHAnsi" w:eastAsia="Arial" w:hAnsiTheme="minorHAnsi" w:cs="Arial"/>
              </w:rPr>
              <w:t xml:space="preserve">upload </w:t>
            </w:r>
            <w:r w:rsidRPr="00CE58CA">
              <w:rPr>
                <w:rFonts w:asciiTheme="minorHAnsi" w:eastAsia="Arial" w:hAnsiTheme="minorHAnsi" w:cs="Arial"/>
              </w:rPr>
              <w:t>access speed</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6"/>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A survey of current speeds per premise/postcode e.g. from public data published by Ofcom; and</w:t>
            </w:r>
          </w:p>
          <w:p w:rsidR="00B66686" w:rsidRPr="00CE58CA" w:rsidRDefault="00B66686" w:rsidP="00B66686">
            <w:pPr>
              <w:spacing w:after="0"/>
              <w:rPr>
                <w:rFonts w:asciiTheme="minorHAnsi" w:eastAsia="Arial" w:hAnsiTheme="minorHAnsi" w:cs="Arial"/>
                <w:b/>
                <w:color w:val="365F91"/>
              </w:rPr>
            </w:pPr>
          </w:p>
          <w:p w:rsidR="00B66686" w:rsidRPr="00CE58CA" w:rsidRDefault="00B66686" w:rsidP="00B66686">
            <w:pPr>
              <w:numPr>
                <w:ilvl w:val="0"/>
                <w:numId w:val="6"/>
              </w:numPr>
              <w:ind w:hanging="360"/>
              <w:rPr>
                <w:rFonts w:asciiTheme="minorHAnsi" w:eastAsia="Arial" w:hAnsiTheme="minorHAnsi" w:cs="Arial"/>
                <w:b/>
                <w:color w:val="365F91"/>
              </w:rPr>
            </w:pPr>
            <w:r w:rsidRPr="00CE58CA">
              <w:rPr>
                <w:rFonts w:asciiTheme="minorHAnsi" w:eastAsia="Arial" w:hAnsiTheme="minorHAnsi" w:cs="Arial"/>
                <w:b/>
                <w:color w:val="365F91"/>
              </w:rPr>
              <w:t>Design information showing that access speeds will be or are doubled by the new network in each premise/postcode compared with current speed data.</w:t>
            </w:r>
          </w:p>
          <w:p w:rsidR="00B66686" w:rsidRPr="00CE58CA" w:rsidRDefault="00B66686" w:rsidP="00B66686">
            <w:pPr>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 xml:space="preserve">15Mbps </w:t>
            </w:r>
            <w:r>
              <w:rPr>
                <w:rFonts w:asciiTheme="minorHAnsi" w:eastAsia="Arial" w:hAnsiTheme="minorHAnsi" w:cs="Arial"/>
              </w:rPr>
              <w:t xml:space="preserve">download speed </w:t>
            </w:r>
            <w:r w:rsidRPr="00CE58CA">
              <w:rPr>
                <w:rFonts w:asciiTheme="minorHAnsi" w:eastAsia="Arial" w:hAnsiTheme="minorHAnsi" w:cs="Arial"/>
              </w:rPr>
              <w:t>90% of time in busy hour</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7"/>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A forecast of the distribution (or average) traffic demand per user over time.  Authoritative data from other comparative deployments and publically domain sources should support these forecasts; and</w:t>
            </w:r>
          </w:p>
          <w:p w:rsidR="00B66686" w:rsidRPr="00CE58CA" w:rsidRDefault="00B66686" w:rsidP="00B66686">
            <w:pPr>
              <w:spacing w:after="0"/>
              <w:rPr>
                <w:rFonts w:asciiTheme="minorHAnsi" w:eastAsia="Arial" w:hAnsiTheme="minorHAnsi" w:cs="Arial"/>
                <w:b/>
                <w:color w:val="365F91"/>
              </w:rPr>
            </w:pPr>
          </w:p>
          <w:p w:rsidR="00B66686" w:rsidRPr="00CE58CA" w:rsidRDefault="00B66686" w:rsidP="00B66686">
            <w:pPr>
              <w:numPr>
                <w:ilvl w:val="0"/>
                <w:numId w:val="7"/>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Network dimensioning of links and nodes to meet these demands (including statistical multiplexing calculations and over-dimensioning where needed to manage statistical variations); and</w:t>
            </w:r>
          </w:p>
          <w:p w:rsidR="00B66686" w:rsidRPr="00CE58CA" w:rsidRDefault="00B66686" w:rsidP="00B66686">
            <w:pPr>
              <w:rPr>
                <w:rFonts w:ascii="Arial" w:hAnsi="Arial" w:cs="Arial"/>
                <w:sz w:val="20"/>
              </w:rPr>
            </w:pPr>
          </w:p>
          <w:p w:rsidR="00B66686" w:rsidRPr="00CE58CA" w:rsidRDefault="00B66686" w:rsidP="00B66686">
            <w:pPr>
              <w:numPr>
                <w:ilvl w:val="0"/>
                <w:numId w:val="7"/>
              </w:numPr>
              <w:ind w:hanging="360"/>
              <w:rPr>
                <w:rFonts w:asciiTheme="minorHAnsi" w:eastAsia="Arial" w:hAnsiTheme="minorHAnsi" w:cs="Arial"/>
              </w:rPr>
            </w:pPr>
            <w:r w:rsidRPr="00CE58CA">
              <w:rPr>
                <w:rFonts w:asciiTheme="minorHAnsi" w:eastAsia="Arial" w:hAnsiTheme="minorHAnsi" w:cs="Arial"/>
                <w:b/>
                <w:color w:val="365F91"/>
              </w:rPr>
              <w:t>Evidence of sufficient backhaul, core network and Internet transit capacity for forecasted user traffic demands over time.</w:t>
            </w:r>
          </w:p>
          <w:p w:rsidR="00B66686" w:rsidRPr="00CE58CA" w:rsidRDefault="00B66686" w:rsidP="00B66686">
            <w:pPr>
              <w:rPr>
                <w:rFonts w:asciiTheme="minorHAnsi" w:eastAsia="Arial" w:hAnsiTheme="minorHAnsi" w:cs="Arial"/>
              </w:rPr>
            </w:pPr>
          </w:p>
          <w:p w:rsidR="00B66686" w:rsidRPr="00CE58CA" w:rsidRDefault="00B66686" w:rsidP="00B66686">
            <w:pPr>
              <w:rPr>
                <w:rFonts w:asciiTheme="minorHAnsi" w:eastAsia="Arial" w:hAnsiTheme="minorHAnsi" w:cs="Arial"/>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lastRenderedPageBreak/>
              <w:t>Future capacity</w:t>
            </w:r>
          </w:p>
        </w:tc>
        <w:tc>
          <w:tcPr>
            <w:tcW w:w="11742" w:type="dxa"/>
          </w:tcPr>
          <w:p w:rsidR="00B66686" w:rsidRPr="00CE58CA" w:rsidRDefault="00B66686" w:rsidP="00B66686">
            <w:pPr>
              <w:contextualSpacing w:val="0"/>
              <w:rPr>
                <w:rFonts w:asciiTheme="minorHAnsi" w:eastAsia="Arial" w:hAnsiTheme="minorHAnsi" w:cs="Arial"/>
                <w:b/>
                <w:color w:val="365F91"/>
              </w:rPr>
            </w:pPr>
            <w:r w:rsidRPr="00CE58CA">
              <w:rPr>
                <w:rFonts w:asciiTheme="minorHAnsi" w:eastAsia="Arial" w:hAnsiTheme="minorHAnsi" w:cs="Arial"/>
                <w:b/>
                <w:color w:val="365F91"/>
              </w:rPr>
              <w:t>For exam</w:t>
            </w:r>
            <w:r>
              <w:rPr>
                <w:rFonts w:asciiTheme="minorHAnsi" w:eastAsia="Arial" w:hAnsiTheme="minorHAnsi" w:cs="Arial"/>
                <w:b/>
                <w:color w:val="365F91"/>
              </w:rPr>
              <w:t>ple:</w:t>
            </w:r>
          </w:p>
          <w:p w:rsidR="00B66686" w:rsidRPr="00CE58CA" w:rsidRDefault="00B66686" w:rsidP="00B66686">
            <w:pPr>
              <w:numPr>
                <w:ilvl w:val="0"/>
                <w:numId w:val="5"/>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User and traffic growth forecast that are comparable with both the supplier’s business model and public domain forecasts; and</w:t>
            </w:r>
          </w:p>
          <w:p w:rsidR="00B66686" w:rsidRPr="00CE58CA" w:rsidRDefault="00B66686" w:rsidP="00B66686">
            <w:pPr>
              <w:spacing w:after="0"/>
              <w:ind w:left="720"/>
              <w:contextualSpacing w:val="0"/>
              <w:rPr>
                <w:rFonts w:asciiTheme="minorHAnsi" w:hAnsiTheme="minorHAnsi"/>
              </w:rPr>
            </w:pPr>
          </w:p>
          <w:p w:rsidR="00B66686" w:rsidRPr="00CE58CA" w:rsidRDefault="00B66686" w:rsidP="00B66686">
            <w:pPr>
              <w:numPr>
                <w:ilvl w:val="0"/>
                <w:numId w:val="5"/>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Design and dimensioning information demonstrating that network upgrade plans will match the user and traffic growth forecast; and</w:t>
            </w:r>
          </w:p>
          <w:p w:rsidR="00B66686" w:rsidRPr="00CE58CA" w:rsidRDefault="00B66686" w:rsidP="00B66686">
            <w:pPr>
              <w:spacing w:after="0"/>
              <w:ind w:left="720"/>
              <w:rPr>
                <w:rFonts w:asciiTheme="minorHAnsi" w:eastAsia="Arial" w:hAnsiTheme="minorHAnsi" w:cs="Arial"/>
                <w:b/>
                <w:color w:val="365F91"/>
              </w:rPr>
            </w:pPr>
          </w:p>
          <w:p w:rsidR="00B66686" w:rsidRPr="00CE58CA" w:rsidRDefault="00B66686" w:rsidP="00B66686">
            <w:pPr>
              <w:numPr>
                <w:ilvl w:val="0"/>
                <w:numId w:val="5"/>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Definition of triggers for individual link/node upgrades (e.g., when the use of x% of capacity is measured over a specific period).</w:t>
            </w:r>
          </w:p>
          <w:p w:rsidR="00B66686" w:rsidRPr="00CE58CA" w:rsidRDefault="00B66686" w:rsidP="00B66686">
            <w:pPr>
              <w:spacing w:after="0"/>
              <w:rPr>
                <w:rFonts w:asciiTheme="minorHAnsi" w:hAnsiTheme="minorHAnsi"/>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Latency and jitter</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4"/>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Calculations of end-to-end latency and jitter from manufacturer’s or suppliers’ specifications; and</w:t>
            </w:r>
          </w:p>
          <w:p w:rsidR="00B66686" w:rsidRPr="00CE58CA" w:rsidRDefault="00B66686" w:rsidP="00B66686">
            <w:pPr>
              <w:spacing w:after="0"/>
              <w:ind w:left="720"/>
              <w:rPr>
                <w:rFonts w:asciiTheme="minorHAnsi" w:eastAsia="Arial" w:hAnsiTheme="minorHAnsi" w:cs="Arial"/>
                <w:b/>
                <w:color w:val="365F91"/>
              </w:rPr>
            </w:pPr>
          </w:p>
          <w:p w:rsidR="00B66686" w:rsidRPr="00CE58CA" w:rsidRDefault="00B66686" w:rsidP="00B66686">
            <w:pPr>
              <w:numPr>
                <w:ilvl w:val="0"/>
                <w:numId w:val="4"/>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Measurements of latency or jitter from a reference network; and</w:t>
            </w:r>
          </w:p>
          <w:p w:rsidR="00B66686" w:rsidRPr="00CE58CA" w:rsidRDefault="00B66686" w:rsidP="00B66686">
            <w:pPr>
              <w:spacing w:after="0"/>
              <w:contextualSpacing w:val="0"/>
              <w:rPr>
                <w:rFonts w:asciiTheme="minorHAnsi" w:hAnsiTheme="minorHAnsi"/>
              </w:rPr>
            </w:pPr>
          </w:p>
          <w:p w:rsidR="00B66686" w:rsidRPr="00CE58CA" w:rsidRDefault="00B66686" w:rsidP="00B66686">
            <w:pPr>
              <w:numPr>
                <w:ilvl w:val="0"/>
                <w:numId w:val="4"/>
              </w:numPr>
              <w:ind w:hanging="360"/>
              <w:rPr>
                <w:rFonts w:asciiTheme="minorHAnsi" w:eastAsia="Arial" w:hAnsiTheme="minorHAnsi" w:cs="Arial"/>
                <w:b/>
                <w:color w:val="365F91"/>
              </w:rPr>
            </w:pPr>
            <w:r w:rsidRPr="00CE58CA">
              <w:rPr>
                <w:rFonts w:asciiTheme="minorHAnsi" w:eastAsia="Arial" w:hAnsiTheme="minorHAnsi" w:cs="Arial"/>
                <w:b/>
                <w:color w:val="365F91"/>
              </w:rPr>
              <w:t>Demonstration that latency and jitter performance meets the requirements of typical applications (e.g. video conferencing, telephony).</w:t>
            </w:r>
          </w:p>
          <w:p w:rsidR="00B66686" w:rsidRPr="00CE58CA" w:rsidRDefault="00B66686" w:rsidP="00B66686">
            <w:pPr>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Supporting business case</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3"/>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A business case that demonstrates that revenue versus cost of the proposed network provides a positive return on investment</w:t>
            </w:r>
            <w:r>
              <w:rPr>
                <w:rFonts w:asciiTheme="minorHAnsi" w:eastAsia="Arial" w:hAnsiTheme="minorHAnsi" w:cs="Arial"/>
                <w:b/>
                <w:color w:val="365F91"/>
              </w:rPr>
              <w:t xml:space="preserve"> for different take-up scenarios</w:t>
            </w:r>
            <w:r w:rsidRPr="00CE58CA">
              <w:rPr>
                <w:rFonts w:asciiTheme="minorHAnsi" w:eastAsia="Arial" w:hAnsiTheme="minorHAnsi" w:cs="Arial"/>
                <w:b/>
                <w:color w:val="365F91"/>
              </w:rPr>
              <w:t>; and</w:t>
            </w:r>
          </w:p>
          <w:p w:rsidR="00B66686" w:rsidRPr="00CE58CA" w:rsidRDefault="00B66686" w:rsidP="00B66686">
            <w:pPr>
              <w:spacing w:after="0"/>
              <w:ind w:left="720"/>
              <w:rPr>
                <w:rFonts w:asciiTheme="minorHAnsi" w:eastAsia="Arial" w:hAnsiTheme="minorHAnsi" w:cs="Arial"/>
                <w:b/>
                <w:color w:val="365F91"/>
              </w:rPr>
            </w:pPr>
          </w:p>
          <w:p w:rsidR="00B66686" w:rsidRPr="00CE58CA" w:rsidRDefault="00B66686" w:rsidP="00B66686">
            <w:pPr>
              <w:numPr>
                <w:ilvl w:val="0"/>
                <w:numId w:val="3"/>
              </w:numPr>
              <w:ind w:hanging="360"/>
              <w:rPr>
                <w:rFonts w:asciiTheme="minorHAnsi" w:eastAsia="Arial" w:hAnsiTheme="minorHAnsi" w:cs="Arial"/>
                <w:b/>
                <w:color w:val="365F91"/>
              </w:rPr>
            </w:pPr>
            <w:r w:rsidRPr="00CE58CA">
              <w:rPr>
                <w:rFonts w:asciiTheme="minorHAnsi" w:eastAsia="Arial" w:hAnsiTheme="minorHAnsi" w:cs="Arial"/>
                <w:b/>
                <w:color w:val="365F91"/>
              </w:rPr>
              <w:t>Evidence of sufficient funding availability (including an assumption of any government subsidy where appropriate) to build the network as planned.</w:t>
            </w:r>
          </w:p>
          <w:p w:rsidR="00B66686" w:rsidRPr="00CE58CA" w:rsidRDefault="00B66686" w:rsidP="00B66686">
            <w:pPr>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lastRenderedPageBreak/>
              <w:t>Planning consents</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2"/>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Sample planning consents or applications; and/or</w:t>
            </w:r>
          </w:p>
          <w:p w:rsidR="00B66686" w:rsidRPr="00CE58CA" w:rsidRDefault="00B66686" w:rsidP="00B66686">
            <w:pPr>
              <w:spacing w:after="0"/>
              <w:ind w:left="720"/>
              <w:contextualSpacing w:val="0"/>
              <w:rPr>
                <w:rFonts w:asciiTheme="minorHAnsi" w:hAnsiTheme="minorHAnsi"/>
              </w:rPr>
            </w:pPr>
          </w:p>
          <w:p w:rsidR="00B66686" w:rsidRPr="00CE58CA" w:rsidRDefault="00B66686" w:rsidP="00B66686">
            <w:pPr>
              <w:numPr>
                <w:ilvl w:val="0"/>
                <w:numId w:val="2"/>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Letters of support from local authorities and landlords; and/or</w:t>
            </w:r>
          </w:p>
          <w:p w:rsidR="00B66686" w:rsidRPr="00CE58CA" w:rsidRDefault="00B66686" w:rsidP="00B66686">
            <w:pPr>
              <w:spacing w:after="0"/>
              <w:ind w:left="720"/>
              <w:contextualSpacing w:val="0"/>
              <w:rPr>
                <w:rFonts w:asciiTheme="minorHAnsi" w:hAnsiTheme="minorHAnsi"/>
              </w:rPr>
            </w:pPr>
          </w:p>
          <w:p w:rsidR="00B66686" w:rsidRPr="00CE58CA" w:rsidRDefault="00B66686" w:rsidP="00B66686">
            <w:pPr>
              <w:numPr>
                <w:ilvl w:val="0"/>
                <w:numId w:val="2"/>
              </w:numPr>
              <w:ind w:hanging="360"/>
              <w:rPr>
                <w:rFonts w:asciiTheme="minorHAnsi" w:eastAsia="Arial" w:hAnsiTheme="minorHAnsi" w:cs="Arial"/>
                <w:b/>
                <w:color w:val="365F91"/>
              </w:rPr>
            </w:pPr>
            <w:r w:rsidRPr="00CE58CA">
              <w:rPr>
                <w:rFonts w:asciiTheme="minorHAnsi" w:eastAsia="Arial" w:hAnsiTheme="minorHAnsi" w:cs="Arial"/>
                <w:b/>
                <w:color w:val="365F91"/>
              </w:rPr>
              <w:t>Constructive correspondence with the relevant council’s planning department.</w:t>
            </w:r>
          </w:p>
          <w:p w:rsidR="00B66686" w:rsidRPr="00CE58CA" w:rsidRDefault="00B66686" w:rsidP="00B66686">
            <w:pPr>
              <w:spacing w:after="0"/>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Comparative deployments</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 and if possible:</w:t>
            </w:r>
          </w:p>
          <w:p w:rsidR="00B66686" w:rsidRPr="00CE58CA" w:rsidRDefault="00B66686" w:rsidP="00B66686">
            <w:pPr>
              <w:numPr>
                <w:ilvl w:val="0"/>
                <w:numId w:val="1"/>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Description of the comparative deployment</w:t>
            </w:r>
            <w:r>
              <w:rPr>
                <w:rFonts w:asciiTheme="minorHAnsi" w:eastAsia="Arial" w:hAnsiTheme="minorHAnsi" w:cs="Arial"/>
                <w:b/>
                <w:color w:val="365F91"/>
              </w:rPr>
              <w:t>, whether a commercial deployment or field trial,</w:t>
            </w:r>
            <w:r w:rsidRPr="00CE58CA">
              <w:rPr>
                <w:rFonts w:asciiTheme="minorHAnsi" w:eastAsia="Arial" w:hAnsiTheme="minorHAnsi" w:cs="Arial"/>
                <w:b/>
                <w:color w:val="365F91"/>
              </w:rPr>
              <w:t xml:space="preserve"> and why it is comparative (and the significance of any differences); and</w:t>
            </w:r>
          </w:p>
          <w:p w:rsidR="00B66686" w:rsidRPr="00CE58CA" w:rsidRDefault="00B66686" w:rsidP="00B66686">
            <w:pPr>
              <w:spacing w:after="0"/>
              <w:contextualSpacing w:val="0"/>
              <w:rPr>
                <w:rFonts w:asciiTheme="minorHAnsi" w:hAnsiTheme="minorHAnsi"/>
              </w:rPr>
            </w:pPr>
          </w:p>
          <w:p w:rsidR="00B66686" w:rsidRPr="00CE58CA" w:rsidRDefault="00B66686" w:rsidP="00B66686">
            <w:pPr>
              <w:numPr>
                <w:ilvl w:val="0"/>
                <w:numId w:val="1"/>
              </w:numPr>
              <w:ind w:hanging="360"/>
              <w:rPr>
                <w:rFonts w:asciiTheme="minorHAnsi" w:eastAsia="Arial" w:hAnsiTheme="minorHAnsi" w:cs="Arial"/>
                <w:b/>
                <w:color w:val="365F91"/>
              </w:rPr>
            </w:pPr>
            <w:r w:rsidRPr="00CE58CA">
              <w:rPr>
                <w:rFonts w:asciiTheme="minorHAnsi" w:eastAsia="Arial" w:hAnsiTheme="minorHAnsi" w:cs="Arial"/>
                <w:b/>
                <w:color w:val="365F91"/>
              </w:rPr>
              <w:t>Description of the comparative networks hypothetical ability to meet any or all of these NGA requirements.</w:t>
            </w:r>
          </w:p>
          <w:p w:rsidR="00B66686" w:rsidRPr="00CE58CA" w:rsidRDefault="00B66686" w:rsidP="00B66686">
            <w:pPr>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Radio and Interference plans</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B74D6F" w:rsidRDefault="00B66686" w:rsidP="00B66686">
            <w:pPr>
              <w:numPr>
                <w:ilvl w:val="0"/>
                <w:numId w:val="21"/>
              </w:numPr>
              <w:spacing w:after="0"/>
              <w:ind w:hanging="360"/>
              <w:rPr>
                <w:rFonts w:asciiTheme="minorHAnsi" w:hAnsiTheme="minorHAnsi"/>
              </w:rPr>
            </w:pPr>
            <w:r w:rsidRPr="00B74D6F">
              <w:rPr>
                <w:rFonts w:asciiTheme="minorHAnsi" w:eastAsia="Arial" w:hAnsiTheme="minorHAnsi" w:cs="Arial"/>
                <w:b/>
                <w:color w:val="365F91"/>
              </w:rPr>
              <w:t>Radio and interference plans that show which premises and postcodes could receive NGA-compliance services (e.g. colour coded by service/grade); and</w:t>
            </w:r>
          </w:p>
          <w:p w:rsidR="00B66686" w:rsidRPr="00B74D6F" w:rsidRDefault="00B66686" w:rsidP="00B66686">
            <w:pPr>
              <w:spacing w:after="0"/>
              <w:ind w:left="720"/>
              <w:rPr>
                <w:rFonts w:asciiTheme="minorHAnsi" w:hAnsiTheme="minorHAnsi"/>
              </w:rPr>
            </w:pPr>
          </w:p>
          <w:p w:rsidR="00B66686" w:rsidRDefault="00B66686" w:rsidP="00B66686">
            <w:pPr>
              <w:numPr>
                <w:ilvl w:val="0"/>
                <w:numId w:val="21"/>
              </w:numPr>
              <w:ind w:hanging="360"/>
              <w:rPr>
                <w:rFonts w:asciiTheme="minorHAnsi" w:eastAsia="Arial" w:hAnsiTheme="minorHAnsi" w:cs="Arial"/>
                <w:b/>
                <w:color w:val="365F91"/>
              </w:rPr>
            </w:pPr>
            <w:r w:rsidRPr="00CE58CA">
              <w:rPr>
                <w:rFonts w:asciiTheme="minorHAnsi" w:eastAsia="Arial" w:hAnsiTheme="minorHAnsi" w:cs="Arial"/>
                <w:b/>
                <w:color w:val="365F91"/>
              </w:rPr>
              <w:t>Frequency plan than minimises interference and demonstrates sufficient network capacity to meet the NGA requirement.</w:t>
            </w:r>
          </w:p>
          <w:p w:rsidR="00B66686" w:rsidRPr="00CE58CA" w:rsidRDefault="00B66686" w:rsidP="00B66686">
            <w:pPr>
              <w:rPr>
                <w:rFonts w:asciiTheme="minorHAnsi" w:eastAsia="Arial" w:hAnsiTheme="minorHAnsi" w:cs="Arial"/>
                <w:b/>
                <w:color w:val="365F91"/>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lastRenderedPageBreak/>
              <w:t>Product offerings and SLAs</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13"/>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Publically available product description (e.g. from a web site); and</w:t>
            </w:r>
          </w:p>
          <w:p w:rsidR="00B66686" w:rsidRPr="00CE58CA" w:rsidRDefault="00B66686" w:rsidP="00B66686">
            <w:pPr>
              <w:spacing w:after="0"/>
              <w:rPr>
                <w:rFonts w:asciiTheme="minorHAnsi" w:eastAsia="Arial" w:hAnsiTheme="minorHAnsi" w:cs="Arial"/>
                <w:b/>
                <w:color w:val="365F91"/>
              </w:rPr>
            </w:pPr>
          </w:p>
          <w:p w:rsidR="00B66686" w:rsidRPr="00CE58CA" w:rsidRDefault="00B66686" w:rsidP="00B66686">
            <w:pPr>
              <w:numPr>
                <w:ilvl w:val="0"/>
                <w:numId w:val="13"/>
              </w:numPr>
              <w:ind w:hanging="360"/>
              <w:rPr>
                <w:rFonts w:asciiTheme="minorHAnsi" w:eastAsia="Arial" w:hAnsiTheme="minorHAnsi" w:cs="Arial"/>
                <w:b/>
                <w:color w:val="365F91"/>
              </w:rPr>
            </w:pPr>
            <w:r w:rsidRPr="00CE58CA">
              <w:rPr>
                <w:rFonts w:asciiTheme="minorHAnsi" w:eastAsia="Arial" w:hAnsiTheme="minorHAnsi" w:cs="Arial"/>
                <w:b/>
                <w:color w:val="365F91"/>
              </w:rPr>
              <w:t>Sample contract terms and conditions.</w:t>
            </w:r>
          </w:p>
          <w:p w:rsidR="00B66686" w:rsidRPr="00CE58CA" w:rsidRDefault="00B66686" w:rsidP="00B66686">
            <w:pPr>
              <w:rPr>
                <w:rFonts w:asciiTheme="minorHAnsi" w:eastAsia="Arial" w:hAnsiTheme="minorHAnsi" w:cs="Arial"/>
                <w:b/>
                <w:color w:val="365F91"/>
              </w:rPr>
            </w:pPr>
          </w:p>
        </w:tc>
      </w:tr>
      <w:tr w:rsidR="00B66686" w:rsidRPr="00CE58CA" w:rsidTr="00490698">
        <w:trPr>
          <w:cantSplit/>
          <w:trHeight w:val="1680"/>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Network dimensioning</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15"/>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Full end-to-end network capacity information including per-link and per-node capacities for access, backhaul, core network and Internet transit; and</w:t>
            </w:r>
          </w:p>
          <w:p w:rsidR="00B66686" w:rsidRPr="00CE58CA" w:rsidRDefault="00B66686" w:rsidP="00B66686">
            <w:pPr>
              <w:spacing w:after="0"/>
              <w:contextualSpacing w:val="0"/>
              <w:rPr>
                <w:rFonts w:asciiTheme="minorHAnsi" w:hAnsiTheme="minorHAnsi"/>
              </w:rPr>
            </w:pPr>
          </w:p>
          <w:p w:rsidR="00B66686" w:rsidRPr="00CE58CA" w:rsidRDefault="00B66686" w:rsidP="00B66686">
            <w:pPr>
              <w:numPr>
                <w:ilvl w:val="0"/>
                <w:numId w:val="15"/>
              </w:numPr>
              <w:ind w:hanging="360"/>
              <w:rPr>
                <w:rFonts w:asciiTheme="minorHAnsi" w:eastAsia="Arial" w:hAnsiTheme="minorHAnsi" w:cs="Arial"/>
                <w:b/>
                <w:color w:val="365F91"/>
              </w:rPr>
            </w:pPr>
            <w:r w:rsidRPr="00CE58CA">
              <w:rPr>
                <w:rFonts w:asciiTheme="minorHAnsi" w:eastAsia="Arial" w:hAnsiTheme="minorHAnsi" w:cs="Arial"/>
                <w:b/>
                <w:color w:val="365F91"/>
              </w:rPr>
              <w:t>Demonstration that there are no bottlenecks anywhere in the network that would reduce performance below NGA requirements.</w:t>
            </w:r>
          </w:p>
          <w:p w:rsidR="00B66686" w:rsidRPr="00CE58CA" w:rsidRDefault="00B66686" w:rsidP="00B66686">
            <w:pPr>
              <w:rPr>
                <w:rFonts w:asciiTheme="minorHAnsi" w:eastAsia="Arial" w:hAnsiTheme="minorHAnsi" w:cs="Arial"/>
                <w:b/>
                <w:color w:val="365F91"/>
                <w:szCs w:val="22"/>
              </w:rPr>
            </w:pPr>
          </w:p>
        </w:tc>
      </w:tr>
      <w:tr w:rsidR="00B66686" w:rsidRPr="00CE58CA" w:rsidTr="00490698">
        <w:trPr>
          <w:cantSplit/>
        </w:trPr>
        <w:tc>
          <w:tcPr>
            <w:tcW w:w="243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rPr>
              <w:t>Future upgrades and longevity</w:t>
            </w:r>
          </w:p>
        </w:tc>
        <w:tc>
          <w:tcPr>
            <w:tcW w:w="11742" w:type="dxa"/>
          </w:tcPr>
          <w:p w:rsidR="00B66686" w:rsidRPr="00CE58CA" w:rsidRDefault="00B66686" w:rsidP="00B66686">
            <w:pPr>
              <w:contextualSpacing w:val="0"/>
              <w:rPr>
                <w:rFonts w:asciiTheme="minorHAnsi" w:hAnsiTheme="minorHAnsi"/>
              </w:rPr>
            </w:pPr>
            <w:r w:rsidRPr="00CE58CA">
              <w:rPr>
                <w:rFonts w:asciiTheme="minorHAnsi" w:eastAsia="Arial" w:hAnsiTheme="minorHAnsi" w:cs="Arial"/>
                <w:b/>
                <w:color w:val="365F91"/>
              </w:rPr>
              <w:t>For example:</w:t>
            </w:r>
          </w:p>
          <w:p w:rsidR="00B66686" w:rsidRPr="00CE58CA" w:rsidRDefault="00B66686" w:rsidP="00B66686">
            <w:pPr>
              <w:numPr>
                <w:ilvl w:val="0"/>
                <w:numId w:val="17"/>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Future expansion plans (linked to the required capacity growth); and/or</w:t>
            </w:r>
          </w:p>
          <w:p w:rsidR="00B66686" w:rsidRPr="00CE58CA" w:rsidRDefault="00B66686" w:rsidP="00B66686">
            <w:pPr>
              <w:spacing w:after="0"/>
              <w:ind w:left="720"/>
              <w:contextualSpacing w:val="0"/>
              <w:rPr>
                <w:rFonts w:asciiTheme="minorHAnsi" w:hAnsiTheme="minorHAnsi"/>
              </w:rPr>
            </w:pPr>
          </w:p>
          <w:p w:rsidR="00B66686" w:rsidRPr="00CE58CA" w:rsidRDefault="00B66686" w:rsidP="00B66686">
            <w:pPr>
              <w:numPr>
                <w:ilvl w:val="0"/>
                <w:numId w:val="17"/>
              </w:numPr>
              <w:spacing w:after="0"/>
              <w:ind w:hanging="360"/>
              <w:rPr>
                <w:rFonts w:asciiTheme="minorHAnsi" w:eastAsia="Arial" w:hAnsiTheme="minorHAnsi" w:cs="Arial"/>
                <w:b/>
                <w:color w:val="365F91"/>
              </w:rPr>
            </w:pPr>
            <w:r w:rsidRPr="00CE58CA">
              <w:rPr>
                <w:rFonts w:asciiTheme="minorHAnsi" w:eastAsia="Arial" w:hAnsiTheme="minorHAnsi" w:cs="Arial"/>
                <w:b/>
                <w:color w:val="365F91"/>
              </w:rPr>
              <w:t>Plans for new technology deployments in future; and/or</w:t>
            </w:r>
          </w:p>
          <w:p w:rsidR="00B66686" w:rsidRPr="00CE58CA" w:rsidRDefault="00B66686" w:rsidP="00B66686">
            <w:pPr>
              <w:spacing w:after="0"/>
              <w:rPr>
                <w:rFonts w:asciiTheme="minorHAnsi" w:hAnsiTheme="minorHAnsi"/>
              </w:rPr>
            </w:pPr>
          </w:p>
          <w:p w:rsidR="00B66686" w:rsidRPr="00490698" w:rsidRDefault="00B66686" w:rsidP="00B66686">
            <w:pPr>
              <w:numPr>
                <w:ilvl w:val="0"/>
                <w:numId w:val="17"/>
              </w:numPr>
              <w:ind w:hanging="360"/>
              <w:rPr>
                <w:rFonts w:asciiTheme="minorHAnsi" w:eastAsia="Arial" w:hAnsiTheme="minorHAnsi" w:cs="Arial"/>
                <w:b/>
                <w:color w:val="365F91"/>
                <w:szCs w:val="22"/>
              </w:rPr>
            </w:pPr>
            <w:r w:rsidRPr="00CE58CA">
              <w:rPr>
                <w:rFonts w:asciiTheme="minorHAnsi" w:eastAsia="Arial" w:hAnsiTheme="minorHAnsi" w:cs="Arial"/>
                <w:b/>
                <w:color w:val="365F91"/>
              </w:rPr>
              <w:t>Technology roadmap to support forecast future capacity and user requirements.</w:t>
            </w:r>
          </w:p>
          <w:p w:rsidR="00B66686" w:rsidRPr="00CE58CA" w:rsidRDefault="00B66686" w:rsidP="00B66686">
            <w:pPr>
              <w:rPr>
                <w:rFonts w:asciiTheme="minorHAnsi" w:eastAsia="Arial" w:hAnsiTheme="minorHAnsi" w:cs="Arial"/>
                <w:b/>
                <w:color w:val="365F91"/>
                <w:szCs w:val="22"/>
              </w:rPr>
            </w:pPr>
          </w:p>
        </w:tc>
      </w:tr>
    </w:tbl>
    <w:p w:rsidR="00286178" w:rsidRPr="00CE58CA" w:rsidRDefault="00286178" w:rsidP="00490698">
      <w:pPr>
        <w:rPr>
          <w:rFonts w:asciiTheme="minorHAnsi" w:hAnsiTheme="minorHAnsi"/>
        </w:rPr>
      </w:pPr>
    </w:p>
    <w:sectPr w:rsidR="00286178" w:rsidRPr="00CE58CA">
      <w:headerReference w:type="default" r:id="rId8"/>
      <w:footerReference w:type="default" r:id="rId9"/>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BB" w:rsidRDefault="000D04BB">
      <w:pPr>
        <w:spacing w:after="0" w:line="240" w:lineRule="auto"/>
      </w:pPr>
      <w:r>
        <w:separator/>
      </w:r>
    </w:p>
  </w:endnote>
  <w:endnote w:type="continuationSeparator" w:id="0">
    <w:p w:rsidR="000D04BB" w:rsidRDefault="000D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F2" w:rsidRDefault="006F7EF2">
    <w:pPr>
      <w:tabs>
        <w:tab w:val="center" w:pos="4513"/>
        <w:tab w:val="right" w:pos="9026"/>
      </w:tabs>
      <w:spacing w:after="0" w:line="240" w:lineRule="auto"/>
      <w:jc w:val="right"/>
    </w:pPr>
    <w:r>
      <w:t xml:space="preserve">Page </w:t>
    </w:r>
    <w:r>
      <w:fldChar w:fldCharType="begin"/>
    </w:r>
    <w:r>
      <w:instrText>PAGE</w:instrText>
    </w:r>
    <w:r>
      <w:fldChar w:fldCharType="separate"/>
    </w:r>
    <w:r w:rsidR="00485196">
      <w:rPr>
        <w:noProof/>
      </w:rPr>
      <w:t>3</w:t>
    </w:r>
    <w:r>
      <w:fldChar w:fldCharType="end"/>
    </w:r>
    <w:r>
      <w:t xml:space="preserve"> of </w:t>
    </w:r>
    <w:r>
      <w:fldChar w:fldCharType="begin"/>
    </w:r>
    <w:r>
      <w:instrText>NUMPAGES</w:instrText>
    </w:r>
    <w:r>
      <w:fldChar w:fldCharType="separate"/>
    </w:r>
    <w:r w:rsidR="00485196">
      <w:rPr>
        <w:noProof/>
      </w:rPr>
      <w:t>8</w:t>
    </w:r>
    <w:r>
      <w:fldChar w:fldCharType="end"/>
    </w:r>
  </w:p>
  <w:p w:rsidR="006F7EF2" w:rsidRDefault="006F7EF2">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BB" w:rsidRDefault="000D04BB">
      <w:pPr>
        <w:spacing w:after="0" w:line="240" w:lineRule="auto"/>
      </w:pPr>
      <w:r>
        <w:separator/>
      </w:r>
    </w:p>
  </w:footnote>
  <w:footnote w:type="continuationSeparator" w:id="0">
    <w:p w:rsidR="000D04BB" w:rsidRDefault="000D04BB">
      <w:pPr>
        <w:spacing w:after="0" w:line="240" w:lineRule="auto"/>
      </w:pPr>
      <w:r>
        <w:continuationSeparator/>
      </w:r>
    </w:p>
  </w:footnote>
  <w:footnote w:id="1">
    <w:p w:rsidR="008C5747" w:rsidRDefault="008C5747">
      <w:pPr>
        <w:pStyle w:val="FootnoteText"/>
      </w:pPr>
      <w:r>
        <w:rPr>
          <w:rStyle w:val="FootnoteReference"/>
        </w:rPr>
        <w:footnoteRef/>
      </w:r>
      <w:r>
        <w:t xml:space="preserve"> </w:t>
      </w:r>
      <w:r w:rsidR="00D15E4F">
        <w:t xml:space="preserve">BDUK, </w:t>
      </w:r>
      <w:r>
        <w:t xml:space="preserve">2016 NBS State Aid Guidance – NGA Technology, </w:t>
      </w:r>
      <w:hyperlink r:id="rId1" w:history="1">
        <w:r w:rsidRPr="007025D1">
          <w:rPr>
            <w:rStyle w:val="Hyperlink"/>
          </w:rPr>
          <w:t>https://www.gov.uk/government/publications/2016-nbs-tech-guidelines</w:t>
        </w:r>
      </w:hyperlink>
      <w:r w:rsidR="00D15E4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F2" w:rsidRDefault="006F7EF2">
    <w:pPr>
      <w:tabs>
        <w:tab w:val="center" w:pos="4513"/>
        <w:tab w:val="right" w:pos="9026"/>
      </w:tabs>
      <w:spacing w:after="0" w:line="240" w:lineRule="auto"/>
      <w:jc w:val="right"/>
    </w:pPr>
    <w:r>
      <w:rPr>
        <w:noProof/>
      </w:rPr>
      <w:drawing>
        <wp:inline distT="0" distB="0" distL="0" distR="0">
          <wp:extent cx="2228850" cy="819150"/>
          <wp:effectExtent l="0" t="0" r="0" b="0"/>
          <wp:docPr id="1" name="image01.jpg" descr="cid:image001.jpg@01CF7B53.9B28AD30"/>
          <wp:cNvGraphicFramePr/>
          <a:graphic xmlns:a="http://schemas.openxmlformats.org/drawingml/2006/main">
            <a:graphicData uri="http://schemas.openxmlformats.org/drawingml/2006/picture">
              <pic:pic xmlns:pic="http://schemas.openxmlformats.org/drawingml/2006/picture">
                <pic:nvPicPr>
                  <pic:cNvPr id="0" name="image01.jpg" descr="cid:image001.jpg@01CF7B53.9B28AD30"/>
                  <pic:cNvPicPr preferRelativeResize="0"/>
                </pic:nvPicPr>
                <pic:blipFill>
                  <a:blip r:embed="rId1"/>
                  <a:srcRect/>
                  <a:stretch>
                    <a:fillRect/>
                  </a:stretch>
                </pic:blipFill>
                <pic:spPr>
                  <a:xfrm>
                    <a:off x="0" y="0"/>
                    <a:ext cx="2228850" cy="8191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060"/>
    <w:multiLevelType w:val="multilevel"/>
    <w:tmpl w:val="3E48DDB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7B60C8"/>
    <w:multiLevelType w:val="multilevel"/>
    <w:tmpl w:val="2464759A"/>
    <w:lvl w:ilvl="0">
      <w:start w:val="1"/>
      <w:numFmt w:val="bullet"/>
      <w:lvlText w:val="●"/>
      <w:lvlJc w:val="left"/>
      <w:pPr>
        <w:ind w:left="1364" w:firstLine="1004"/>
      </w:pPr>
      <w:rPr>
        <w:rFonts w:ascii="Arial" w:eastAsia="Arial" w:hAnsi="Arial" w:cs="Arial"/>
      </w:rPr>
    </w:lvl>
    <w:lvl w:ilvl="1">
      <w:start w:val="1"/>
      <w:numFmt w:val="bullet"/>
      <w:lvlText w:val="o"/>
      <w:lvlJc w:val="left"/>
      <w:pPr>
        <w:ind w:left="2084" w:firstLine="1724"/>
      </w:pPr>
      <w:rPr>
        <w:rFonts w:ascii="Arial" w:eastAsia="Arial" w:hAnsi="Arial" w:cs="Arial"/>
      </w:rPr>
    </w:lvl>
    <w:lvl w:ilvl="2">
      <w:start w:val="1"/>
      <w:numFmt w:val="bullet"/>
      <w:lvlText w:val="▪"/>
      <w:lvlJc w:val="left"/>
      <w:pPr>
        <w:ind w:left="2804" w:firstLine="2444"/>
      </w:pPr>
      <w:rPr>
        <w:rFonts w:ascii="Arial" w:eastAsia="Arial" w:hAnsi="Arial" w:cs="Arial"/>
      </w:rPr>
    </w:lvl>
    <w:lvl w:ilvl="3">
      <w:start w:val="1"/>
      <w:numFmt w:val="bullet"/>
      <w:lvlText w:val="●"/>
      <w:lvlJc w:val="left"/>
      <w:pPr>
        <w:ind w:left="3524" w:firstLine="3164"/>
      </w:pPr>
      <w:rPr>
        <w:rFonts w:ascii="Arial" w:eastAsia="Arial" w:hAnsi="Arial" w:cs="Arial"/>
      </w:rPr>
    </w:lvl>
    <w:lvl w:ilvl="4">
      <w:start w:val="1"/>
      <w:numFmt w:val="bullet"/>
      <w:lvlText w:val="o"/>
      <w:lvlJc w:val="left"/>
      <w:pPr>
        <w:ind w:left="4244" w:firstLine="3884"/>
      </w:pPr>
      <w:rPr>
        <w:rFonts w:ascii="Arial" w:eastAsia="Arial" w:hAnsi="Arial" w:cs="Arial"/>
      </w:rPr>
    </w:lvl>
    <w:lvl w:ilvl="5">
      <w:start w:val="1"/>
      <w:numFmt w:val="bullet"/>
      <w:lvlText w:val="▪"/>
      <w:lvlJc w:val="left"/>
      <w:pPr>
        <w:ind w:left="4964" w:firstLine="4604"/>
      </w:pPr>
      <w:rPr>
        <w:rFonts w:ascii="Arial" w:eastAsia="Arial" w:hAnsi="Arial" w:cs="Arial"/>
      </w:rPr>
    </w:lvl>
    <w:lvl w:ilvl="6">
      <w:start w:val="1"/>
      <w:numFmt w:val="bullet"/>
      <w:lvlText w:val="●"/>
      <w:lvlJc w:val="left"/>
      <w:pPr>
        <w:ind w:left="5684" w:firstLine="5324"/>
      </w:pPr>
      <w:rPr>
        <w:rFonts w:ascii="Arial" w:eastAsia="Arial" w:hAnsi="Arial" w:cs="Arial"/>
      </w:rPr>
    </w:lvl>
    <w:lvl w:ilvl="7">
      <w:start w:val="1"/>
      <w:numFmt w:val="bullet"/>
      <w:lvlText w:val="o"/>
      <w:lvlJc w:val="left"/>
      <w:pPr>
        <w:ind w:left="6404" w:firstLine="6044"/>
      </w:pPr>
      <w:rPr>
        <w:rFonts w:ascii="Arial" w:eastAsia="Arial" w:hAnsi="Arial" w:cs="Arial"/>
      </w:rPr>
    </w:lvl>
    <w:lvl w:ilvl="8">
      <w:start w:val="1"/>
      <w:numFmt w:val="bullet"/>
      <w:lvlText w:val="▪"/>
      <w:lvlJc w:val="left"/>
      <w:pPr>
        <w:ind w:left="7124" w:firstLine="6764"/>
      </w:pPr>
      <w:rPr>
        <w:rFonts w:ascii="Arial" w:eastAsia="Arial" w:hAnsi="Arial" w:cs="Arial"/>
      </w:rPr>
    </w:lvl>
  </w:abstractNum>
  <w:abstractNum w:abstractNumId="2" w15:restartNumberingAfterBreak="0">
    <w:nsid w:val="051530CA"/>
    <w:multiLevelType w:val="multilevel"/>
    <w:tmpl w:val="C6705B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7A62CC8"/>
    <w:multiLevelType w:val="hybridMultilevel"/>
    <w:tmpl w:val="49722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F7971"/>
    <w:multiLevelType w:val="multilevel"/>
    <w:tmpl w:val="77BC0C3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CD876A7"/>
    <w:multiLevelType w:val="hybridMultilevel"/>
    <w:tmpl w:val="E67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44622"/>
    <w:multiLevelType w:val="multilevel"/>
    <w:tmpl w:val="B72A66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DA1EB9"/>
    <w:multiLevelType w:val="multilevel"/>
    <w:tmpl w:val="AFD03DA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5650AD4"/>
    <w:multiLevelType w:val="multilevel"/>
    <w:tmpl w:val="2542A0E6"/>
    <w:lvl w:ilvl="0">
      <w:start w:val="1"/>
      <w:numFmt w:val="lowerLetter"/>
      <w:lvlText w:val="%1."/>
      <w:lvlJc w:val="left"/>
      <w:pPr>
        <w:ind w:left="720" w:firstLine="360"/>
      </w:pPr>
      <w:rPr>
        <w:b/>
        <w:color w:val="365F91"/>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1643B9F"/>
    <w:multiLevelType w:val="multilevel"/>
    <w:tmpl w:val="100C14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16C6E13"/>
    <w:multiLevelType w:val="hybridMultilevel"/>
    <w:tmpl w:val="51CC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71237"/>
    <w:multiLevelType w:val="multilevel"/>
    <w:tmpl w:val="041297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1D73225"/>
    <w:multiLevelType w:val="multilevel"/>
    <w:tmpl w:val="C2585E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A74C8A"/>
    <w:multiLevelType w:val="multilevel"/>
    <w:tmpl w:val="0902E0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62A2E91"/>
    <w:multiLevelType w:val="hybridMultilevel"/>
    <w:tmpl w:val="5C8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10639"/>
    <w:multiLevelType w:val="multilevel"/>
    <w:tmpl w:val="CBC24DD4"/>
    <w:lvl w:ilvl="0">
      <w:start w:val="1"/>
      <w:numFmt w:val="decimal"/>
      <w:lvlText w:val="%1"/>
      <w:lvlJc w:val="left"/>
      <w:pPr>
        <w:ind w:left="360" w:firstLine="0"/>
      </w:pPr>
    </w:lvl>
    <w:lvl w:ilvl="1">
      <w:start w:val="1"/>
      <w:numFmt w:val="lowerLetter"/>
      <w:lvlText w:val="%2)"/>
      <w:lvlJc w:val="left"/>
      <w:pPr>
        <w:ind w:left="644" w:firstLine="284"/>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6" w15:restartNumberingAfterBreak="0">
    <w:nsid w:val="38FD755B"/>
    <w:multiLevelType w:val="multilevel"/>
    <w:tmpl w:val="0D526C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A46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45580"/>
    <w:multiLevelType w:val="hybridMultilevel"/>
    <w:tmpl w:val="CD5A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351DA"/>
    <w:multiLevelType w:val="hybridMultilevel"/>
    <w:tmpl w:val="AB1C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5406A"/>
    <w:multiLevelType w:val="multilevel"/>
    <w:tmpl w:val="CCCC29A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54643AEC"/>
    <w:multiLevelType w:val="hybridMultilevel"/>
    <w:tmpl w:val="619A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F5C18"/>
    <w:multiLevelType w:val="hybridMultilevel"/>
    <w:tmpl w:val="087238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A543D"/>
    <w:multiLevelType w:val="hybridMultilevel"/>
    <w:tmpl w:val="D49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821A8"/>
    <w:multiLevelType w:val="multilevel"/>
    <w:tmpl w:val="CED2FC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00E53F0"/>
    <w:multiLevelType w:val="multilevel"/>
    <w:tmpl w:val="E3AC04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1D91BC1"/>
    <w:multiLevelType w:val="multilevel"/>
    <w:tmpl w:val="E0F0E6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65F8345E"/>
    <w:multiLevelType w:val="multilevel"/>
    <w:tmpl w:val="64C67CA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78F2C93"/>
    <w:multiLevelType w:val="multilevel"/>
    <w:tmpl w:val="77EAB77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6CBC322F"/>
    <w:multiLevelType w:val="multilevel"/>
    <w:tmpl w:val="D5281B0C"/>
    <w:lvl w:ilvl="0">
      <w:start w:val="1"/>
      <w:numFmt w:val="decimal"/>
      <w:lvlText w:val="%1."/>
      <w:lvlJc w:val="left"/>
      <w:pPr>
        <w:ind w:left="360" w:firstLine="0"/>
      </w:pPr>
    </w:lvl>
    <w:lvl w:ilvl="1">
      <w:start w:val="1"/>
      <w:numFmt w:val="decimal"/>
      <w:lvlText w:val="%1.%2."/>
      <w:lvlJc w:val="left"/>
      <w:pPr>
        <w:ind w:left="792" w:firstLine="360"/>
      </w:pPr>
      <w:rPr>
        <w:b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0" w15:restartNumberingAfterBreak="0">
    <w:nsid w:val="6D3551F4"/>
    <w:multiLevelType w:val="hybridMultilevel"/>
    <w:tmpl w:val="961C3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741045"/>
    <w:multiLevelType w:val="hybridMultilevel"/>
    <w:tmpl w:val="CD3C180A"/>
    <w:lvl w:ilvl="0" w:tplc="81180BE8">
      <w:start w:val="1"/>
      <w:numFmt w:val="bullet"/>
      <w:lvlText w:val="–"/>
      <w:lvlJc w:val="left"/>
      <w:pPr>
        <w:tabs>
          <w:tab w:val="num" w:pos="720"/>
        </w:tabs>
        <w:ind w:left="720" w:hanging="360"/>
      </w:pPr>
      <w:rPr>
        <w:rFonts w:ascii="Arial" w:hAnsi="Arial" w:cs="Times New Roman" w:hint="default"/>
      </w:rPr>
    </w:lvl>
    <w:lvl w:ilvl="1" w:tplc="411A0D8E">
      <w:start w:val="1"/>
      <w:numFmt w:val="bullet"/>
      <w:lvlText w:val="–"/>
      <w:lvlJc w:val="left"/>
      <w:pPr>
        <w:tabs>
          <w:tab w:val="num" w:pos="1440"/>
        </w:tabs>
        <w:ind w:left="1440" w:hanging="360"/>
      </w:pPr>
      <w:rPr>
        <w:rFonts w:ascii="Arial" w:hAnsi="Arial" w:cs="Times New Roman" w:hint="default"/>
      </w:rPr>
    </w:lvl>
    <w:lvl w:ilvl="2" w:tplc="4EBE232C">
      <w:start w:val="1235"/>
      <w:numFmt w:val="bullet"/>
      <w:lvlText w:val="•"/>
      <w:lvlJc w:val="left"/>
      <w:pPr>
        <w:tabs>
          <w:tab w:val="num" w:pos="2160"/>
        </w:tabs>
        <w:ind w:left="2160" w:hanging="360"/>
      </w:pPr>
      <w:rPr>
        <w:rFonts w:ascii="Arial" w:hAnsi="Arial" w:cs="Times New Roman" w:hint="default"/>
      </w:rPr>
    </w:lvl>
    <w:lvl w:ilvl="3" w:tplc="B2E8F352">
      <w:start w:val="1"/>
      <w:numFmt w:val="bullet"/>
      <w:lvlText w:val="–"/>
      <w:lvlJc w:val="left"/>
      <w:pPr>
        <w:tabs>
          <w:tab w:val="num" w:pos="2880"/>
        </w:tabs>
        <w:ind w:left="2880" w:hanging="360"/>
      </w:pPr>
      <w:rPr>
        <w:rFonts w:ascii="Arial" w:hAnsi="Arial" w:cs="Times New Roman" w:hint="default"/>
      </w:rPr>
    </w:lvl>
    <w:lvl w:ilvl="4" w:tplc="43848CE0">
      <w:start w:val="1"/>
      <w:numFmt w:val="bullet"/>
      <w:lvlText w:val="–"/>
      <w:lvlJc w:val="left"/>
      <w:pPr>
        <w:tabs>
          <w:tab w:val="num" w:pos="3600"/>
        </w:tabs>
        <w:ind w:left="3600" w:hanging="360"/>
      </w:pPr>
      <w:rPr>
        <w:rFonts w:ascii="Arial" w:hAnsi="Arial" w:cs="Times New Roman" w:hint="default"/>
      </w:rPr>
    </w:lvl>
    <w:lvl w:ilvl="5" w:tplc="DF52D1E8">
      <w:start w:val="1"/>
      <w:numFmt w:val="bullet"/>
      <w:lvlText w:val="–"/>
      <w:lvlJc w:val="left"/>
      <w:pPr>
        <w:tabs>
          <w:tab w:val="num" w:pos="4320"/>
        </w:tabs>
        <w:ind w:left="4320" w:hanging="360"/>
      </w:pPr>
      <w:rPr>
        <w:rFonts w:ascii="Arial" w:hAnsi="Arial" w:cs="Times New Roman" w:hint="default"/>
      </w:rPr>
    </w:lvl>
    <w:lvl w:ilvl="6" w:tplc="4DE4740E">
      <w:start w:val="1"/>
      <w:numFmt w:val="bullet"/>
      <w:lvlText w:val="–"/>
      <w:lvlJc w:val="left"/>
      <w:pPr>
        <w:tabs>
          <w:tab w:val="num" w:pos="5040"/>
        </w:tabs>
        <w:ind w:left="5040" w:hanging="360"/>
      </w:pPr>
      <w:rPr>
        <w:rFonts w:ascii="Arial" w:hAnsi="Arial" w:cs="Times New Roman" w:hint="default"/>
      </w:rPr>
    </w:lvl>
    <w:lvl w:ilvl="7" w:tplc="98D22C6C">
      <w:start w:val="1"/>
      <w:numFmt w:val="bullet"/>
      <w:lvlText w:val="–"/>
      <w:lvlJc w:val="left"/>
      <w:pPr>
        <w:tabs>
          <w:tab w:val="num" w:pos="5760"/>
        </w:tabs>
        <w:ind w:left="5760" w:hanging="360"/>
      </w:pPr>
      <w:rPr>
        <w:rFonts w:ascii="Arial" w:hAnsi="Arial" w:cs="Times New Roman" w:hint="default"/>
      </w:rPr>
    </w:lvl>
    <w:lvl w:ilvl="8" w:tplc="A7C23360">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74321B6"/>
    <w:multiLevelType w:val="hybridMultilevel"/>
    <w:tmpl w:val="DFB6D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182ACC"/>
    <w:multiLevelType w:val="multilevel"/>
    <w:tmpl w:val="36CC85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F2756A0"/>
    <w:multiLevelType w:val="hybridMultilevel"/>
    <w:tmpl w:val="DF962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4"/>
  </w:num>
  <w:num w:numId="4">
    <w:abstractNumId w:val="25"/>
  </w:num>
  <w:num w:numId="5">
    <w:abstractNumId w:val="0"/>
  </w:num>
  <w:num w:numId="6">
    <w:abstractNumId w:val="13"/>
  </w:num>
  <w:num w:numId="7">
    <w:abstractNumId w:val="27"/>
  </w:num>
  <w:num w:numId="8">
    <w:abstractNumId w:val="20"/>
  </w:num>
  <w:num w:numId="9">
    <w:abstractNumId w:val="29"/>
  </w:num>
  <w:num w:numId="10">
    <w:abstractNumId w:val="1"/>
  </w:num>
  <w:num w:numId="11">
    <w:abstractNumId w:val="8"/>
  </w:num>
  <w:num w:numId="12">
    <w:abstractNumId w:val="9"/>
  </w:num>
  <w:num w:numId="13">
    <w:abstractNumId w:val="12"/>
  </w:num>
  <w:num w:numId="14">
    <w:abstractNumId w:val="2"/>
  </w:num>
  <w:num w:numId="15">
    <w:abstractNumId w:val="7"/>
  </w:num>
  <w:num w:numId="16">
    <w:abstractNumId w:val="15"/>
  </w:num>
  <w:num w:numId="17">
    <w:abstractNumId w:val="11"/>
  </w:num>
  <w:num w:numId="18">
    <w:abstractNumId w:val="17"/>
  </w:num>
  <w:num w:numId="19">
    <w:abstractNumId w:val="26"/>
  </w:num>
  <w:num w:numId="20">
    <w:abstractNumId w:val="28"/>
  </w:num>
  <w:num w:numId="21">
    <w:abstractNumId w:val="33"/>
  </w:num>
  <w:num w:numId="22">
    <w:abstractNumId w:val="23"/>
  </w:num>
  <w:num w:numId="23">
    <w:abstractNumId w:val="21"/>
  </w:num>
  <w:num w:numId="24">
    <w:abstractNumId w:val="10"/>
  </w:num>
  <w:num w:numId="25">
    <w:abstractNumId w:val="14"/>
  </w:num>
  <w:num w:numId="26">
    <w:abstractNumId w:val="19"/>
  </w:num>
  <w:num w:numId="27">
    <w:abstractNumId w:val="32"/>
  </w:num>
  <w:num w:numId="28">
    <w:abstractNumId w:val="31"/>
  </w:num>
  <w:num w:numId="29">
    <w:abstractNumId w:val="3"/>
  </w:num>
  <w:num w:numId="30">
    <w:abstractNumId w:val="30"/>
  </w:num>
  <w:num w:numId="31">
    <w:abstractNumId w:val="3"/>
  </w:num>
  <w:num w:numId="32">
    <w:abstractNumId w:val="18"/>
  </w:num>
  <w:num w:numId="33">
    <w:abstractNumId w:val="34"/>
  </w:num>
  <w:num w:numId="34">
    <w:abstractNumId w:val="5"/>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78"/>
    <w:rsid w:val="00040190"/>
    <w:rsid w:val="0005267D"/>
    <w:rsid w:val="00084420"/>
    <w:rsid w:val="000B23F9"/>
    <w:rsid w:val="000D04BB"/>
    <w:rsid w:val="000D6176"/>
    <w:rsid w:val="00122044"/>
    <w:rsid w:val="00123C33"/>
    <w:rsid w:val="00131086"/>
    <w:rsid w:val="0016694D"/>
    <w:rsid w:val="00180A23"/>
    <w:rsid w:val="001B7880"/>
    <w:rsid w:val="001F364A"/>
    <w:rsid w:val="00206CA5"/>
    <w:rsid w:val="00215082"/>
    <w:rsid w:val="00245968"/>
    <w:rsid w:val="00251753"/>
    <w:rsid w:val="002620ED"/>
    <w:rsid w:val="00286178"/>
    <w:rsid w:val="002A3532"/>
    <w:rsid w:val="002A5FB6"/>
    <w:rsid w:val="002B16F2"/>
    <w:rsid w:val="002C3F15"/>
    <w:rsid w:val="0033797F"/>
    <w:rsid w:val="00342B1C"/>
    <w:rsid w:val="0037733D"/>
    <w:rsid w:val="003D1AC7"/>
    <w:rsid w:val="004164AF"/>
    <w:rsid w:val="004663D7"/>
    <w:rsid w:val="00467D66"/>
    <w:rsid w:val="00477837"/>
    <w:rsid w:val="004839C6"/>
    <w:rsid w:val="00485196"/>
    <w:rsid w:val="00490698"/>
    <w:rsid w:val="004D61E6"/>
    <w:rsid w:val="004F7C2F"/>
    <w:rsid w:val="005407A4"/>
    <w:rsid w:val="0055485A"/>
    <w:rsid w:val="00557E40"/>
    <w:rsid w:val="0056561C"/>
    <w:rsid w:val="00593E92"/>
    <w:rsid w:val="005A1121"/>
    <w:rsid w:val="005F4257"/>
    <w:rsid w:val="00603CB0"/>
    <w:rsid w:val="00606854"/>
    <w:rsid w:val="00655F61"/>
    <w:rsid w:val="00665A50"/>
    <w:rsid w:val="006826F8"/>
    <w:rsid w:val="006C1744"/>
    <w:rsid w:val="006F7EF2"/>
    <w:rsid w:val="00705BB6"/>
    <w:rsid w:val="0071267F"/>
    <w:rsid w:val="0074526A"/>
    <w:rsid w:val="007561E4"/>
    <w:rsid w:val="00756F25"/>
    <w:rsid w:val="007B0817"/>
    <w:rsid w:val="007C2397"/>
    <w:rsid w:val="007D3243"/>
    <w:rsid w:val="0080034E"/>
    <w:rsid w:val="0083524F"/>
    <w:rsid w:val="008506A5"/>
    <w:rsid w:val="00872795"/>
    <w:rsid w:val="008A59D9"/>
    <w:rsid w:val="008B3323"/>
    <w:rsid w:val="008C1D04"/>
    <w:rsid w:val="008C22E8"/>
    <w:rsid w:val="008C5747"/>
    <w:rsid w:val="008D2F44"/>
    <w:rsid w:val="008D71D2"/>
    <w:rsid w:val="00906145"/>
    <w:rsid w:val="009161B3"/>
    <w:rsid w:val="00976D35"/>
    <w:rsid w:val="00987EC8"/>
    <w:rsid w:val="00995A4B"/>
    <w:rsid w:val="00A00038"/>
    <w:rsid w:val="00A0716A"/>
    <w:rsid w:val="00A11C0A"/>
    <w:rsid w:val="00A36D9A"/>
    <w:rsid w:val="00A567F2"/>
    <w:rsid w:val="00A664D7"/>
    <w:rsid w:val="00A67D56"/>
    <w:rsid w:val="00A94D05"/>
    <w:rsid w:val="00A95BA8"/>
    <w:rsid w:val="00AA3142"/>
    <w:rsid w:val="00AA359C"/>
    <w:rsid w:val="00AB696F"/>
    <w:rsid w:val="00AD13AD"/>
    <w:rsid w:val="00B05CDF"/>
    <w:rsid w:val="00B66686"/>
    <w:rsid w:val="00B74D6F"/>
    <w:rsid w:val="00BA7CCA"/>
    <w:rsid w:val="00BC5D9F"/>
    <w:rsid w:val="00BD5814"/>
    <w:rsid w:val="00C051C8"/>
    <w:rsid w:val="00C23B8B"/>
    <w:rsid w:val="00C52005"/>
    <w:rsid w:val="00C6660A"/>
    <w:rsid w:val="00C86E1A"/>
    <w:rsid w:val="00C90A7E"/>
    <w:rsid w:val="00C93ADC"/>
    <w:rsid w:val="00CB6274"/>
    <w:rsid w:val="00CB7213"/>
    <w:rsid w:val="00CB723C"/>
    <w:rsid w:val="00CC5BB4"/>
    <w:rsid w:val="00CD2546"/>
    <w:rsid w:val="00CE58CA"/>
    <w:rsid w:val="00D15E4F"/>
    <w:rsid w:val="00D917BF"/>
    <w:rsid w:val="00DC1DFB"/>
    <w:rsid w:val="00DC62DA"/>
    <w:rsid w:val="00E22174"/>
    <w:rsid w:val="00E31204"/>
    <w:rsid w:val="00E402EE"/>
    <w:rsid w:val="00E52710"/>
    <w:rsid w:val="00E96920"/>
    <w:rsid w:val="00ED70D7"/>
    <w:rsid w:val="00F312D7"/>
    <w:rsid w:val="00F4474C"/>
    <w:rsid w:val="00F47C50"/>
    <w:rsid w:val="00F71CC9"/>
    <w:rsid w:val="00F80A9A"/>
    <w:rsid w:val="00F948FD"/>
    <w:rsid w:val="00FD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2FED3-0F74-47EC-9800-503F38AC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styleId="TableGrid">
    <w:name w:val="Table Grid"/>
    <w:basedOn w:val="TableNormal"/>
    <w:uiPriority w:val="39"/>
    <w:rsid w:val="0091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CxSpLast"/>
    <w:basedOn w:val="Normal"/>
    <w:link w:val="ListParagraphChar"/>
    <w:uiPriority w:val="34"/>
    <w:qFormat/>
    <w:rsid w:val="00084420"/>
    <w:pPr>
      <w:ind w:left="720"/>
      <w:contextualSpacing/>
    </w:pPr>
  </w:style>
  <w:style w:type="character" w:styleId="Hyperlink">
    <w:name w:val="Hyperlink"/>
    <w:basedOn w:val="DefaultParagraphFont"/>
    <w:uiPriority w:val="99"/>
    <w:unhideWhenUsed/>
    <w:rsid w:val="00E22174"/>
    <w:rPr>
      <w:color w:val="0563C1" w:themeColor="hyperlink"/>
      <w:u w:val="single"/>
    </w:rPr>
  </w:style>
  <w:style w:type="character" w:customStyle="1" w:styleId="ListParagraphChar">
    <w:name w:val="List Paragraph Char"/>
    <w:aliases w:val="Bullet 1CxSpLast Char"/>
    <w:basedOn w:val="DefaultParagraphFont"/>
    <w:link w:val="ListParagraph"/>
    <w:uiPriority w:val="34"/>
    <w:locked/>
    <w:rsid w:val="00342B1C"/>
  </w:style>
  <w:style w:type="table" w:styleId="TableGridLight">
    <w:name w:val="Grid Table Light"/>
    <w:basedOn w:val="TableNormal"/>
    <w:uiPriority w:val="40"/>
    <w:rsid w:val="00F312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F312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F312D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onText">
    <w:name w:val="Balloon Text"/>
    <w:basedOn w:val="Normal"/>
    <w:link w:val="BalloonTextChar"/>
    <w:uiPriority w:val="99"/>
    <w:semiHidden/>
    <w:unhideWhenUsed/>
    <w:rsid w:val="00A56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F2"/>
    <w:rPr>
      <w:rFonts w:ascii="Segoe UI" w:hAnsi="Segoe UI" w:cs="Segoe UI"/>
      <w:sz w:val="18"/>
      <w:szCs w:val="18"/>
    </w:rPr>
  </w:style>
  <w:style w:type="paragraph" w:styleId="FootnoteText">
    <w:name w:val="footnote text"/>
    <w:basedOn w:val="Normal"/>
    <w:link w:val="FootnoteTextChar"/>
    <w:uiPriority w:val="99"/>
    <w:semiHidden/>
    <w:unhideWhenUsed/>
    <w:rsid w:val="008C5747"/>
    <w:pPr>
      <w:spacing w:after="0" w:line="240" w:lineRule="auto"/>
    </w:pPr>
    <w:rPr>
      <w:sz w:val="20"/>
    </w:rPr>
  </w:style>
  <w:style w:type="character" w:customStyle="1" w:styleId="FootnoteTextChar">
    <w:name w:val="Footnote Text Char"/>
    <w:basedOn w:val="DefaultParagraphFont"/>
    <w:link w:val="FootnoteText"/>
    <w:uiPriority w:val="99"/>
    <w:semiHidden/>
    <w:rsid w:val="008C5747"/>
    <w:rPr>
      <w:sz w:val="20"/>
    </w:rPr>
  </w:style>
  <w:style w:type="character" w:styleId="FootnoteReference">
    <w:name w:val="footnote reference"/>
    <w:basedOn w:val="DefaultParagraphFont"/>
    <w:uiPriority w:val="99"/>
    <w:semiHidden/>
    <w:unhideWhenUsed/>
    <w:rsid w:val="008C5747"/>
    <w:rPr>
      <w:vertAlign w:val="superscript"/>
    </w:rPr>
  </w:style>
  <w:style w:type="paragraph" w:styleId="NoSpacing">
    <w:name w:val="No Spacing"/>
    <w:uiPriority w:val="1"/>
    <w:qFormat/>
    <w:rsid w:val="000D6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770">
      <w:bodyDiv w:val="1"/>
      <w:marLeft w:val="0"/>
      <w:marRight w:val="0"/>
      <w:marTop w:val="0"/>
      <w:marBottom w:val="0"/>
      <w:divBdr>
        <w:top w:val="none" w:sz="0" w:space="0" w:color="auto"/>
        <w:left w:val="none" w:sz="0" w:space="0" w:color="auto"/>
        <w:bottom w:val="none" w:sz="0" w:space="0" w:color="auto"/>
        <w:right w:val="none" w:sz="0" w:space="0" w:color="auto"/>
      </w:divBdr>
    </w:div>
    <w:div w:id="1000616111">
      <w:bodyDiv w:val="1"/>
      <w:marLeft w:val="0"/>
      <w:marRight w:val="0"/>
      <w:marTop w:val="0"/>
      <w:marBottom w:val="0"/>
      <w:divBdr>
        <w:top w:val="none" w:sz="0" w:space="0" w:color="auto"/>
        <w:left w:val="none" w:sz="0" w:space="0" w:color="auto"/>
        <w:bottom w:val="none" w:sz="0" w:space="0" w:color="auto"/>
        <w:right w:val="none" w:sz="0" w:space="0" w:color="auto"/>
      </w:divBdr>
    </w:div>
    <w:div w:id="1406149633">
      <w:bodyDiv w:val="1"/>
      <w:marLeft w:val="0"/>
      <w:marRight w:val="0"/>
      <w:marTop w:val="0"/>
      <w:marBottom w:val="0"/>
      <w:divBdr>
        <w:top w:val="none" w:sz="0" w:space="0" w:color="auto"/>
        <w:left w:val="none" w:sz="0" w:space="0" w:color="auto"/>
        <w:bottom w:val="none" w:sz="0" w:space="0" w:color="auto"/>
        <w:right w:val="none" w:sz="0" w:space="0" w:color="auto"/>
      </w:divBdr>
    </w:div>
    <w:div w:id="151369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2016-nbs-tec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728F-AB11-4C33-ADA9-87BCD9C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Edge</dc:creator>
  <cp:lastModifiedBy>Anne Rimmer</cp:lastModifiedBy>
  <cp:revision>2</cp:revision>
  <dcterms:created xsi:type="dcterms:W3CDTF">2016-08-03T12:16:00Z</dcterms:created>
  <dcterms:modified xsi:type="dcterms:W3CDTF">2016-08-03T12:16:00Z</dcterms:modified>
</cp:coreProperties>
</file>