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FFFFFF"/>
          <w:left w:val="single" w:sz="4" w:space="0" w:color="FFFFFF"/>
          <w:bottom w:val="single" w:sz="4" w:space="0" w:color="FFFFFF"/>
          <w:right w:val="single" w:sz="4" w:space="0" w:color="FFFFFF"/>
        </w:tblBorders>
        <w:tblLook w:val="01E0" w:firstRow="1" w:lastRow="1" w:firstColumn="1" w:lastColumn="1" w:noHBand="0" w:noVBand="0"/>
      </w:tblPr>
      <w:tblGrid>
        <w:gridCol w:w="2100"/>
        <w:gridCol w:w="956"/>
        <w:gridCol w:w="2003"/>
        <w:gridCol w:w="1055"/>
        <w:gridCol w:w="533"/>
        <w:gridCol w:w="3812"/>
      </w:tblGrid>
      <w:tr w:rsidR="00695665" w14:paraId="3A3EBBEB" w14:textId="77777777" w:rsidTr="00CF66F0">
        <w:trPr>
          <w:trHeight w:hRule="exact" w:val="377"/>
        </w:trPr>
        <w:tc>
          <w:tcPr>
            <w:tcW w:w="3056" w:type="dxa"/>
            <w:gridSpan w:val="2"/>
            <w:tcBorders>
              <w:top w:val="single" w:sz="4" w:space="0" w:color="002F5F"/>
              <w:left w:val="single" w:sz="4" w:space="0" w:color="002F5F"/>
              <w:bottom w:val="single" w:sz="4" w:space="0" w:color="002F5F"/>
              <w:right w:val="single" w:sz="4" w:space="0" w:color="002F5F"/>
            </w:tcBorders>
            <w:shd w:val="clear" w:color="auto" w:fill="002F5F"/>
            <w:vAlign w:val="center"/>
          </w:tcPr>
          <w:p w14:paraId="719F11B4" w14:textId="2B266FE4" w:rsidR="00695665" w:rsidRPr="00397C64" w:rsidRDefault="00695665" w:rsidP="00BA1A95">
            <w:pPr>
              <w:jc w:val="left"/>
            </w:pPr>
          </w:p>
        </w:tc>
        <w:tc>
          <w:tcPr>
            <w:tcW w:w="3058" w:type="dxa"/>
            <w:gridSpan w:val="2"/>
            <w:tcBorders>
              <w:top w:val="single" w:sz="4" w:space="0" w:color="002F5F"/>
              <w:left w:val="single" w:sz="4" w:space="0" w:color="002F5F"/>
              <w:bottom w:val="single" w:sz="4" w:space="0" w:color="002F5F"/>
              <w:right w:val="single" w:sz="4" w:space="0" w:color="002F5F"/>
            </w:tcBorders>
            <w:shd w:val="clear" w:color="auto" w:fill="002F5F"/>
          </w:tcPr>
          <w:p w14:paraId="606E2627" w14:textId="77777777" w:rsidR="00695665" w:rsidRDefault="00695665" w:rsidP="00695665">
            <w:pPr>
              <w:jc w:val="right"/>
              <w:rPr>
                <w:sz w:val="28"/>
                <w:szCs w:val="28"/>
              </w:rPr>
            </w:pPr>
          </w:p>
        </w:tc>
        <w:tc>
          <w:tcPr>
            <w:tcW w:w="4345" w:type="dxa"/>
            <w:gridSpan w:val="2"/>
            <w:tcBorders>
              <w:top w:val="single" w:sz="4" w:space="0" w:color="002F5F"/>
              <w:left w:val="single" w:sz="4" w:space="0" w:color="002F5F"/>
              <w:bottom w:val="single" w:sz="4" w:space="0" w:color="002F5F"/>
              <w:right w:val="single" w:sz="4" w:space="0" w:color="002F5F"/>
            </w:tcBorders>
            <w:shd w:val="clear" w:color="auto" w:fill="002F5F"/>
            <w:vAlign w:val="center"/>
          </w:tcPr>
          <w:p w14:paraId="7E771A73" w14:textId="1F6F0F05" w:rsidR="00695665" w:rsidRPr="00397C64" w:rsidRDefault="00050AB1" w:rsidP="003D414B">
            <w:pPr>
              <w:jc w:val="right"/>
            </w:pPr>
            <w:r>
              <w:rPr>
                <w:sz w:val="28"/>
                <w:szCs w:val="28"/>
              </w:rPr>
              <w:t>08 July</w:t>
            </w:r>
            <w:r w:rsidR="00695665">
              <w:rPr>
                <w:sz w:val="28"/>
                <w:szCs w:val="28"/>
              </w:rPr>
              <w:t xml:space="preserve"> 2016</w:t>
            </w:r>
          </w:p>
        </w:tc>
      </w:tr>
      <w:tr w:rsidR="00695665" w14:paraId="7E892073" w14:textId="77777777" w:rsidTr="00CF66F0">
        <w:trPr>
          <w:trHeight w:hRule="exact" w:val="57"/>
        </w:trPr>
        <w:tc>
          <w:tcPr>
            <w:tcW w:w="2100" w:type="dxa"/>
            <w:tcBorders>
              <w:top w:val="single" w:sz="4" w:space="0" w:color="FFFFFF"/>
              <w:bottom w:val="single" w:sz="4" w:space="0" w:color="008770"/>
            </w:tcBorders>
            <w:shd w:val="clear" w:color="auto" w:fill="auto"/>
          </w:tcPr>
          <w:p w14:paraId="13BBEFE1" w14:textId="77777777" w:rsidR="00695665" w:rsidRPr="00397C64" w:rsidRDefault="00695665" w:rsidP="00BA1A95"/>
        </w:tc>
        <w:tc>
          <w:tcPr>
            <w:tcW w:w="2959" w:type="dxa"/>
            <w:gridSpan w:val="2"/>
            <w:tcBorders>
              <w:top w:val="single" w:sz="4" w:space="0" w:color="FFFFFF"/>
              <w:bottom w:val="single" w:sz="4" w:space="0" w:color="008770"/>
            </w:tcBorders>
          </w:tcPr>
          <w:p w14:paraId="1D73D45F" w14:textId="77777777" w:rsidR="00695665" w:rsidRPr="00397C64" w:rsidRDefault="00695665" w:rsidP="00BA1A95"/>
        </w:tc>
        <w:tc>
          <w:tcPr>
            <w:tcW w:w="1588" w:type="dxa"/>
            <w:gridSpan w:val="2"/>
            <w:tcBorders>
              <w:top w:val="single" w:sz="4" w:space="0" w:color="FFFFFF"/>
              <w:bottom w:val="single" w:sz="4" w:space="0" w:color="008770"/>
              <w:right w:val="single" w:sz="4" w:space="0" w:color="FFFFFF"/>
            </w:tcBorders>
            <w:shd w:val="clear" w:color="auto" w:fill="auto"/>
          </w:tcPr>
          <w:p w14:paraId="2BEE457C" w14:textId="7CBA985B" w:rsidR="00695665" w:rsidRPr="00397C64" w:rsidRDefault="00695665" w:rsidP="00BA1A95"/>
        </w:tc>
        <w:tc>
          <w:tcPr>
            <w:tcW w:w="3812" w:type="dxa"/>
            <w:tcBorders>
              <w:top w:val="single" w:sz="4" w:space="0" w:color="FFFFFF"/>
              <w:left w:val="single" w:sz="4" w:space="0" w:color="FFFFFF"/>
              <w:bottom w:val="single" w:sz="4" w:space="0" w:color="FFFFFF"/>
            </w:tcBorders>
            <w:shd w:val="clear" w:color="auto" w:fill="auto"/>
          </w:tcPr>
          <w:p w14:paraId="6EEC691B" w14:textId="77777777" w:rsidR="00695665" w:rsidRPr="00397C64" w:rsidRDefault="00695665" w:rsidP="00BA1A95"/>
        </w:tc>
      </w:tr>
      <w:tr w:rsidR="008D2502" w14:paraId="336A0CCA" w14:textId="77777777" w:rsidTr="000A77EB">
        <w:trPr>
          <w:trHeight w:hRule="exact" w:val="1701"/>
        </w:trPr>
        <w:tc>
          <w:tcPr>
            <w:tcW w:w="6647" w:type="dxa"/>
            <w:gridSpan w:val="5"/>
            <w:tcBorders>
              <w:top w:val="single" w:sz="4" w:space="0" w:color="008770"/>
              <w:left w:val="single" w:sz="4" w:space="0" w:color="008770"/>
              <w:bottom w:val="single" w:sz="4" w:space="0" w:color="008770"/>
              <w:right w:val="single" w:sz="4" w:space="0" w:color="008770"/>
            </w:tcBorders>
            <w:shd w:val="clear" w:color="auto" w:fill="008770"/>
          </w:tcPr>
          <w:p w14:paraId="6DAECE7D" w14:textId="7FA6F6FB" w:rsidR="008D2502" w:rsidRPr="00A41568" w:rsidRDefault="008D2502" w:rsidP="00BA1A95">
            <w:pPr>
              <w:jc w:val="left"/>
              <w:rPr>
                <w:rFonts w:cs="Arial"/>
                <w:b/>
                <w:bCs/>
                <w:sz w:val="16"/>
                <w:szCs w:val="16"/>
              </w:rPr>
            </w:pPr>
          </w:p>
          <w:p w14:paraId="46F584C4" w14:textId="331E3378" w:rsidR="008D2502" w:rsidRPr="00C45AE0" w:rsidRDefault="008D2502" w:rsidP="005B520C">
            <w:pPr>
              <w:jc w:val="left"/>
              <w:rPr>
                <w:rFonts w:cs="Arial"/>
                <w:b/>
                <w:bCs/>
                <w:color w:val="FFFFFF"/>
                <w:sz w:val="36"/>
                <w:szCs w:val="36"/>
              </w:rPr>
            </w:pPr>
            <w:r w:rsidRPr="00C45AE0">
              <w:rPr>
                <w:rFonts w:cs="Arial"/>
                <w:b/>
                <w:bCs/>
                <w:color w:val="FFFFFF"/>
                <w:sz w:val="36"/>
                <w:szCs w:val="36"/>
              </w:rPr>
              <w:t>Private Rental Market Statistics</w:t>
            </w:r>
            <w:r w:rsidR="00C45AE0" w:rsidRPr="00C45AE0">
              <w:rPr>
                <w:rFonts w:cs="Arial"/>
                <w:b/>
                <w:bCs/>
                <w:color w:val="FFFFFF"/>
                <w:sz w:val="36"/>
                <w:szCs w:val="36"/>
              </w:rPr>
              <w:t>: User Engagement Questionnaire Results</w:t>
            </w:r>
          </w:p>
        </w:tc>
        <w:tc>
          <w:tcPr>
            <w:tcW w:w="3812" w:type="dxa"/>
            <w:tcBorders>
              <w:top w:val="single" w:sz="4" w:space="0" w:color="FFFFFF"/>
              <w:left w:val="single" w:sz="4" w:space="0" w:color="008770"/>
              <w:bottom w:val="single" w:sz="4" w:space="0" w:color="FFFFFF"/>
            </w:tcBorders>
            <w:shd w:val="clear" w:color="auto" w:fill="auto"/>
          </w:tcPr>
          <w:p w14:paraId="53F32F4A" w14:textId="77777777" w:rsidR="008D2502" w:rsidRPr="00397C64" w:rsidRDefault="008D2502" w:rsidP="00BA1A95">
            <w:r w:rsidRPr="00A41568">
              <w:rPr>
                <w:rFonts w:cs="Arial"/>
                <w:noProof/>
                <w:lang w:eastAsia="en-GB"/>
              </w:rPr>
              <w:drawing>
                <wp:inline distT="0" distB="0" distL="0" distR="0" wp14:anchorId="640CA707" wp14:editId="3AD0DF73">
                  <wp:extent cx="2040890" cy="1028700"/>
                  <wp:effectExtent l="0" t="0" r="0" b="0"/>
                  <wp:docPr id="1" name="Picture 1" descr="VO-logo-for-Present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O-logo-for-Presentation"/>
                          <pic:cNvPicPr>
                            <a:picLocks noChangeArrowheads="1"/>
                          </pic:cNvPicPr>
                        </pic:nvPicPr>
                        <pic:blipFill>
                          <a:blip r:embed="rId8">
                            <a:extLst>
                              <a:ext uri="{28A0092B-C50C-407E-A947-70E740481C1C}">
                                <a14:useLocalDpi xmlns:a14="http://schemas.microsoft.com/office/drawing/2010/main" val="0"/>
                              </a:ext>
                            </a:extLst>
                          </a:blip>
                          <a:srcRect l="1151" t="4846" b="2077"/>
                          <a:stretch>
                            <a:fillRect/>
                          </a:stretch>
                        </pic:blipFill>
                        <pic:spPr bwMode="auto">
                          <a:xfrm>
                            <a:off x="0" y="0"/>
                            <a:ext cx="2040890" cy="1028700"/>
                          </a:xfrm>
                          <a:prstGeom prst="rect">
                            <a:avLst/>
                          </a:prstGeom>
                          <a:noFill/>
                          <a:ln>
                            <a:noFill/>
                          </a:ln>
                        </pic:spPr>
                      </pic:pic>
                    </a:graphicData>
                  </a:graphic>
                </wp:inline>
              </w:drawing>
            </w:r>
          </w:p>
        </w:tc>
      </w:tr>
      <w:tr w:rsidR="00695665" w14:paraId="0F069376" w14:textId="77777777" w:rsidTr="00CF66F0">
        <w:trPr>
          <w:trHeight w:hRule="exact" w:val="57"/>
        </w:trPr>
        <w:tc>
          <w:tcPr>
            <w:tcW w:w="2100" w:type="dxa"/>
            <w:tcBorders>
              <w:top w:val="single" w:sz="4" w:space="0" w:color="008770"/>
              <w:bottom w:val="single" w:sz="4" w:space="0" w:color="53682B"/>
            </w:tcBorders>
            <w:shd w:val="clear" w:color="auto" w:fill="auto"/>
          </w:tcPr>
          <w:p w14:paraId="0679723C" w14:textId="77777777" w:rsidR="00695665" w:rsidRPr="00397C64" w:rsidRDefault="00695665" w:rsidP="00BA1A95"/>
        </w:tc>
        <w:tc>
          <w:tcPr>
            <w:tcW w:w="2959" w:type="dxa"/>
            <w:gridSpan w:val="2"/>
            <w:tcBorders>
              <w:top w:val="single" w:sz="4" w:space="0" w:color="008770"/>
              <w:bottom w:val="single" w:sz="4" w:space="0" w:color="53682B"/>
            </w:tcBorders>
          </w:tcPr>
          <w:p w14:paraId="3C86EF65" w14:textId="77777777" w:rsidR="00695665" w:rsidRPr="00397C64" w:rsidRDefault="00695665" w:rsidP="00BA1A95"/>
        </w:tc>
        <w:tc>
          <w:tcPr>
            <w:tcW w:w="1588" w:type="dxa"/>
            <w:gridSpan w:val="2"/>
            <w:tcBorders>
              <w:top w:val="single" w:sz="4" w:space="0" w:color="008770"/>
              <w:bottom w:val="single" w:sz="4" w:space="0" w:color="53682B"/>
              <w:right w:val="single" w:sz="4" w:space="0" w:color="FFFFFF"/>
            </w:tcBorders>
            <w:shd w:val="clear" w:color="auto" w:fill="auto"/>
          </w:tcPr>
          <w:p w14:paraId="7C201AE5" w14:textId="07CF734C" w:rsidR="00695665" w:rsidRPr="00397C64" w:rsidRDefault="00695665" w:rsidP="00BA1A95"/>
        </w:tc>
        <w:tc>
          <w:tcPr>
            <w:tcW w:w="3812" w:type="dxa"/>
            <w:tcBorders>
              <w:top w:val="single" w:sz="4" w:space="0" w:color="FFFFFF"/>
              <w:left w:val="single" w:sz="4" w:space="0" w:color="FFFFFF"/>
              <w:bottom w:val="single" w:sz="4" w:space="0" w:color="53682B"/>
            </w:tcBorders>
            <w:shd w:val="clear" w:color="auto" w:fill="auto"/>
          </w:tcPr>
          <w:p w14:paraId="76B4BEBF" w14:textId="77777777" w:rsidR="00695665" w:rsidRPr="00397C64" w:rsidRDefault="00695665" w:rsidP="00BA1A95"/>
        </w:tc>
      </w:tr>
      <w:tr w:rsidR="008D2502" w14:paraId="4A68D1C3" w14:textId="77777777" w:rsidTr="00EA7EF1">
        <w:trPr>
          <w:trHeight w:hRule="exact" w:val="284"/>
        </w:trPr>
        <w:tc>
          <w:tcPr>
            <w:tcW w:w="10459" w:type="dxa"/>
            <w:gridSpan w:val="6"/>
            <w:tcBorders>
              <w:top w:val="single" w:sz="4" w:space="0" w:color="53682B"/>
              <w:left w:val="single" w:sz="4" w:space="0" w:color="53682B"/>
              <w:bottom w:val="single" w:sz="4" w:space="0" w:color="53682B"/>
              <w:right w:val="single" w:sz="4" w:space="0" w:color="53682B"/>
            </w:tcBorders>
            <w:shd w:val="clear" w:color="auto" w:fill="002F5F"/>
          </w:tcPr>
          <w:p w14:paraId="0A53C2E7" w14:textId="1F9AC5CB" w:rsidR="008D2502" w:rsidRPr="00397C64" w:rsidRDefault="008D2502" w:rsidP="00BA1A95"/>
        </w:tc>
      </w:tr>
    </w:tbl>
    <w:p w14:paraId="3244085F" w14:textId="77777777" w:rsidR="00F20377" w:rsidRDefault="00F20377" w:rsidP="00F20377">
      <w:pPr>
        <w:spacing w:after="0"/>
      </w:pPr>
    </w:p>
    <w:p w14:paraId="7701F8E1" w14:textId="77777777" w:rsidR="00F20377" w:rsidRDefault="00F20377" w:rsidP="00F20377">
      <w:pPr>
        <w:spacing w:after="0"/>
        <w:sectPr w:rsidR="00F20377" w:rsidSect="00BC5D2D">
          <w:headerReference w:type="default" r:id="rId9"/>
          <w:footerReference w:type="default" r:id="rId10"/>
          <w:pgSz w:w="11909" w:h="16834"/>
          <w:pgMar w:top="720" w:right="720" w:bottom="720" w:left="720" w:header="284" w:footer="142" w:gutter="0"/>
          <w:cols w:space="720"/>
          <w:docGrid w:linePitch="272"/>
        </w:sectPr>
      </w:pPr>
    </w:p>
    <w:p w14:paraId="6134ABB1" w14:textId="380EA375" w:rsidR="00C45AE0" w:rsidRPr="00C45AE0" w:rsidRDefault="00C45AE0" w:rsidP="007011E6">
      <w:pPr>
        <w:jc w:val="left"/>
        <w:rPr>
          <w:rFonts w:cs="Arial"/>
          <w:sz w:val="22"/>
          <w:szCs w:val="22"/>
        </w:rPr>
      </w:pPr>
      <w:r w:rsidRPr="00C45AE0">
        <w:rPr>
          <w:rFonts w:cs="Arial"/>
          <w:sz w:val="22"/>
          <w:szCs w:val="22"/>
        </w:rPr>
        <w:t xml:space="preserve">In April 2016 the Valuation Office Agency (VOA) carried out a user engagement exercise on its Private Rental Market Statistics (PRMS) via a short questionnaire. It asked questions </w:t>
      </w:r>
      <w:r w:rsidR="00D873E5">
        <w:rPr>
          <w:rFonts w:cs="Arial"/>
          <w:sz w:val="22"/>
          <w:szCs w:val="22"/>
        </w:rPr>
        <w:t>on</w:t>
      </w:r>
      <w:r w:rsidR="00D873E5" w:rsidRPr="00C45AE0">
        <w:rPr>
          <w:rFonts w:cs="Arial"/>
          <w:sz w:val="22"/>
          <w:szCs w:val="22"/>
        </w:rPr>
        <w:t xml:space="preserve"> </w:t>
      </w:r>
      <w:r w:rsidRPr="00C45AE0">
        <w:rPr>
          <w:rFonts w:cs="Arial"/>
          <w:sz w:val="22"/>
          <w:szCs w:val="22"/>
        </w:rPr>
        <w:t xml:space="preserve">how PRMS </w:t>
      </w:r>
      <w:r w:rsidR="00901FEE">
        <w:rPr>
          <w:rFonts w:cs="Arial"/>
          <w:sz w:val="22"/>
          <w:szCs w:val="22"/>
        </w:rPr>
        <w:t>are</w:t>
      </w:r>
      <w:r w:rsidRPr="00C45AE0">
        <w:rPr>
          <w:rFonts w:cs="Arial"/>
          <w:sz w:val="22"/>
          <w:szCs w:val="22"/>
        </w:rPr>
        <w:t xml:space="preserve"> used, perceived limitations and strengths, and how users would like to see the statistics developed. It also asked about the PRMS’ relationship with the Index of Private Housing Rental Prices (IPHRP) produced by the ONS from the same source of data, and </w:t>
      </w:r>
      <w:r w:rsidR="00FB7985">
        <w:rPr>
          <w:rFonts w:cs="Arial"/>
          <w:sz w:val="22"/>
          <w:szCs w:val="22"/>
        </w:rPr>
        <w:t xml:space="preserve">what </w:t>
      </w:r>
      <w:r w:rsidRPr="00C45AE0">
        <w:rPr>
          <w:rFonts w:cs="Arial"/>
          <w:sz w:val="22"/>
          <w:szCs w:val="22"/>
        </w:rPr>
        <w:t>supplementary information users would like to see PRMS contain. This report provides a high-level summary of the feedback received.</w:t>
      </w:r>
    </w:p>
    <w:p w14:paraId="1F78D0E8" w14:textId="77777777" w:rsidR="002267AE" w:rsidRDefault="002267AE" w:rsidP="00F20377">
      <w:pPr>
        <w:spacing w:after="0"/>
        <w:jc w:val="left"/>
        <w:rPr>
          <w:rFonts w:cs="Arial"/>
          <w:sz w:val="22"/>
          <w:szCs w:val="22"/>
        </w:rPr>
      </w:pPr>
    </w:p>
    <w:tbl>
      <w:tblPr>
        <w:tblW w:w="10561" w:type="dxa"/>
        <w:tblBorders>
          <w:top w:val="single" w:sz="4" w:space="0" w:color="53682B"/>
          <w:left w:val="single" w:sz="4" w:space="0" w:color="53682B"/>
          <w:bottom w:val="single" w:sz="4" w:space="0" w:color="53682B"/>
          <w:right w:val="single" w:sz="4" w:space="0" w:color="53682B"/>
        </w:tblBorders>
        <w:shd w:val="clear" w:color="auto" w:fill="53682B"/>
        <w:tblLook w:val="01E0" w:firstRow="1" w:lastRow="1" w:firstColumn="1" w:lastColumn="1" w:noHBand="0" w:noVBand="0"/>
      </w:tblPr>
      <w:tblGrid>
        <w:gridCol w:w="10561"/>
      </w:tblGrid>
      <w:tr w:rsidR="000F256E" w14:paraId="25F5C950" w14:textId="77777777" w:rsidTr="007266BE">
        <w:trPr>
          <w:trHeight w:val="396"/>
        </w:trPr>
        <w:tc>
          <w:tcPr>
            <w:tcW w:w="10561" w:type="dxa"/>
            <w:shd w:val="clear" w:color="auto" w:fill="641F45"/>
            <w:vAlign w:val="center"/>
          </w:tcPr>
          <w:p w14:paraId="2B48E13E" w14:textId="240DEB58" w:rsidR="000F256E" w:rsidRPr="00F613A0" w:rsidRDefault="002B5638" w:rsidP="00C45AE0">
            <w:pPr>
              <w:pStyle w:val="Heading1"/>
            </w:pPr>
            <w:r>
              <w:rPr>
                <w:sz w:val="22"/>
                <w:szCs w:val="22"/>
                <w:lang w:eastAsia="en-GB"/>
              </w:rPr>
              <w:br w:type="page"/>
            </w:r>
            <w:r w:rsidR="000F256E">
              <w:br w:type="column"/>
            </w:r>
            <w:r w:rsidR="00C45AE0">
              <w:t>Summary</w:t>
            </w:r>
          </w:p>
        </w:tc>
      </w:tr>
    </w:tbl>
    <w:p w14:paraId="6138C7F8" w14:textId="77777777" w:rsidR="000F256E" w:rsidRDefault="000F256E" w:rsidP="000F256E">
      <w:pPr>
        <w:spacing w:after="0"/>
        <w:jc w:val="left"/>
        <w:rPr>
          <w:rFonts w:cs="Arial"/>
          <w:sz w:val="22"/>
          <w:szCs w:val="22"/>
        </w:rPr>
      </w:pPr>
    </w:p>
    <w:p w14:paraId="453F3E76" w14:textId="42B0E23F" w:rsidR="00C45AE0" w:rsidRDefault="00D862CB" w:rsidP="00572667">
      <w:pPr>
        <w:jc w:val="left"/>
        <w:rPr>
          <w:rFonts w:cs="Arial"/>
          <w:sz w:val="22"/>
          <w:szCs w:val="22"/>
        </w:rPr>
      </w:pPr>
      <w:r w:rsidRPr="00C45AE0">
        <w:rPr>
          <w:rFonts w:cs="Arial"/>
          <w:sz w:val="22"/>
          <w:szCs w:val="22"/>
        </w:rPr>
        <w:t xml:space="preserve"> </w:t>
      </w:r>
      <w:r w:rsidR="00C45AE0" w:rsidRPr="00C45AE0">
        <w:rPr>
          <w:rFonts w:cs="Arial"/>
          <w:sz w:val="22"/>
          <w:szCs w:val="22"/>
        </w:rPr>
        <w:t xml:space="preserve">In total, there were 44 completed responses to the </w:t>
      </w:r>
      <w:r w:rsidR="002F1D1E">
        <w:rPr>
          <w:rFonts w:cs="Arial"/>
          <w:sz w:val="22"/>
          <w:szCs w:val="22"/>
        </w:rPr>
        <w:t>PRMS</w:t>
      </w:r>
      <w:r w:rsidR="00C45AE0" w:rsidRPr="00C45AE0">
        <w:rPr>
          <w:rFonts w:cs="Arial"/>
          <w:sz w:val="22"/>
          <w:szCs w:val="22"/>
        </w:rPr>
        <w:t xml:space="preserve"> user survey. </w:t>
      </w:r>
      <w:r w:rsidR="00572667">
        <w:rPr>
          <w:rFonts w:cs="Arial"/>
          <w:sz w:val="22"/>
          <w:szCs w:val="22"/>
        </w:rPr>
        <w:t>The five main results are as follows:</w:t>
      </w:r>
    </w:p>
    <w:p w14:paraId="15973A69" w14:textId="760E2BB6" w:rsidR="00572667" w:rsidRDefault="00572667" w:rsidP="00EA2B1A">
      <w:pPr>
        <w:pStyle w:val="ListParagraph"/>
        <w:numPr>
          <w:ilvl w:val="0"/>
          <w:numId w:val="13"/>
        </w:numPr>
        <w:jc w:val="left"/>
        <w:rPr>
          <w:rFonts w:cs="Arial"/>
          <w:sz w:val="22"/>
          <w:szCs w:val="22"/>
        </w:rPr>
      </w:pPr>
      <w:r w:rsidRPr="00572667">
        <w:rPr>
          <w:rFonts w:cs="Arial"/>
          <w:sz w:val="22"/>
          <w:szCs w:val="22"/>
        </w:rPr>
        <w:t>Respondents gave a number of reasons why the current PR</w:t>
      </w:r>
      <w:r w:rsidR="00474885">
        <w:rPr>
          <w:rFonts w:cs="Arial"/>
          <w:sz w:val="22"/>
          <w:szCs w:val="22"/>
        </w:rPr>
        <w:t>M</w:t>
      </w:r>
      <w:r w:rsidRPr="00572667">
        <w:rPr>
          <w:rFonts w:cs="Arial"/>
          <w:sz w:val="22"/>
          <w:szCs w:val="22"/>
        </w:rPr>
        <w:t xml:space="preserve">S do not meet their requirements, </w:t>
      </w:r>
      <w:r w:rsidR="00D873E5">
        <w:rPr>
          <w:rFonts w:cs="Arial"/>
          <w:sz w:val="22"/>
          <w:szCs w:val="22"/>
        </w:rPr>
        <w:t>with</w:t>
      </w:r>
      <w:r w:rsidRPr="00572667">
        <w:rPr>
          <w:rFonts w:cs="Arial"/>
          <w:sz w:val="22"/>
          <w:szCs w:val="22"/>
        </w:rPr>
        <w:t xml:space="preserve"> lack of granularity mentioned most frequently.</w:t>
      </w:r>
    </w:p>
    <w:p w14:paraId="3C236A94" w14:textId="1DCC876A" w:rsidR="00572667" w:rsidRDefault="00572667" w:rsidP="00EA2B1A">
      <w:pPr>
        <w:pStyle w:val="ListParagraph"/>
        <w:numPr>
          <w:ilvl w:val="0"/>
          <w:numId w:val="13"/>
        </w:numPr>
        <w:jc w:val="left"/>
        <w:rPr>
          <w:rFonts w:cs="Arial"/>
          <w:sz w:val="22"/>
          <w:szCs w:val="22"/>
        </w:rPr>
      </w:pPr>
      <w:r>
        <w:rPr>
          <w:rFonts w:cs="Arial"/>
          <w:sz w:val="22"/>
          <w:szCs w:val="22"/>
        </w:rPr>
        <w:t>Respondents expressed a strong preference for a historical time series.</w:t>
      </w:r>
    </w:p>
    <w:p w14:paraId="35BC8F26" w14:textId="3090F3D0" w:rsidR="00572667" w:rsidRDefault="00572667" w:rsidP="00EA2B1A">
      <w:pPr>
        <w:pStyle w:val="ListParagraph"/>
        <w:numPr>
          <w:ilvl w:val="0"/>
          <w:numId w:val="13"/>
        </w:numPr>
        <w:jc w:val="left"/>
        <w:rPr>
          <w:rFonts w:cs="Arial"/>
          <w:sz w:val="22"/>
          <w:szCs w:val="22"/>
        </w:rPr>
      </w:pPr>
      <w:r>
        <w:rPr>
          <w:rFonts w:cs="Arial"/>
          <w:sz w:val="22"/>
          <w:szCs w:val="22"/>
        </w:rPr>
        <w:t>Feedback shows that the ONS regional Index of Private Housing Rental Prices (IPHRP) does not satisfy the needs of most users of PRMS.</w:t>
      </w:r>
    </w:p>
    <w:p w14:paraId="61DE8493" w14:textId="2ADB7C21" w:rsidR="00572667" w:rsidRDefault="00572667" w:rsidP="00EA2B1A">
      <w:pPr>
        <w:pStyle w:val="ListParagraph"/>
        <w:numPr>
          <w:ilvl w:val="0"/>
          <w:numId w:val="13"/>
        </w:numPr>
        <w:jc w:val="left"/>
        <w:rPr>
          <w:rFonts w:cs="Arial"/>
          <w:sz w:val="22"/>
          <w:szCs w:val="22"/>
        </w:rPr>
      </w:pPr>
      <w:r>
        <w:rPr>
          <w:rFonts w:cs="Arial"/>
          <w:sz w:val="22"/>
          <w:szCs w:val="22"/>
        </w:rPr>
        <w:t xml:space="preserve">Respondents </w:t>
      </w:r>
      <w:r w:rsidR="00D873E5">
        <w:rPr>
          <w:rFonts w:cs="Arial"/>
          <w:sz w:val="22"/>
          <w:szCs w:val="22"/>
        </w:rPr>
        <w:t>would like</w:t>
      </w:r>
      <w:r>
        <w:rPr>
          <w:rFonts w:cs="Arial"/>
          <w:sz w:val="22"/>
          <w:szCs w:val="22"/>
        </w:rPr>
        <w:t xml:space="preserve"> commentary </w:t>
      </w:r>
      <w:r w:rsidR="00D873E5">
        <w:rPr>
          <w:rFonts w:cs="Arial"/>
          <w:sz w:val="22"/>
          <w:szCs w:val="22"/>
        </w:rPr>
        <w:t xml:space="preserve">which </w:t>
      </w:r>
      <w:r>
        <w:rPr>
          <w:rFonts w:cs="Arial"/>
          <w:sz w:val="22"/>
          <w:szCs w:val="22"/>
        </w:rPr>
        <w:t>interpret</w:t>
      </w:r>
      <w:r w:rsidR="00D873E5">
        <w:rPr>
          <w:rFonts w:cs="Arial"/>
          <w:sz w:val="22"/>
          <w:szCs w:val="22"/>
        </w:rPr>
        <w:t>s</w:t>
      </w:r>
      <w:r>
        <w:rPr>
          <w:rFonts w:cs="Arial"/>
          <w:sz w:val="22"/>
          <w:szCs w:val="22"/>
        </w:rPr>
        <w:t xml:space="preserve"> the differences between PRMS and the IPHRP.</w:t>
      </w:r>
    </w:p>
    <w:p w14:paraId="43E6486E" w14:textId="71827A51" w:rsidR="00572667" w:rsidRDefault="00572667" w:rsidP="00EA2B1A">
      <w:pPr>
        <w:pStyle w:val="ListParagraph"/>
        <w:numPr>
          <w:ilvl w:val="0"/>
          <w:numId w:val="13"/>
        </w:numPr>
        <w:jc w:val="left"/>
        <w:rPr>
          <w:rFonts w:cs="Arial"/>
          <w:sz w:val="22"/>
          <w:szCs w:val="22"/>
        </w:rPr>
      </w:pPr>
      <w:r>
        <w:rPr>
          <w:rFonts w:cs="Arial"/>
          <w:sz w:val="22"/>
          <w:szCs w:val="22"/>
        </w:rPr>
        <w:t>PRMS are used for a large variety of reasons by government, local government, property specialists, academics and charities.</w:t>
      </w:r>
    </w:p>
    <w:p w14:paraId="38070573" w14:textId="59555C51" w:rsidR="00D873E5" w:rsidRPr="00E04EA7" w:rsidRDefault="00D873E5" w:rsidP="00E04EA7">
      <w:pPr>
        <w:jc w:val="left"/>
        <w:rPr>
          <w:rFonts w:cs="Arial"/>
          <w:sz w:val="22"/>
          <w:szCs w:val="22"/>
        </w:rPr>
      </w:pPr>
      <w:r>
        <w:rPr>
          <w:rFonts w:cs="Arial"/>
          <w:sz w:val="22"/>
          <w:szCs w:val="22"/>
        </w:rPr>
        <w:t>Further discussion of each point is provided in the ‘VOA Initial Responses’ section.</w:t>
      </w:r>
    </w:p>
    <w:p w14:paraId="4C215B5C" w14:textId="77777777" w:rsidR="00EC1F3D" w:rsidRPr="00D063ED" w:rsidRDefault="00EC1F3D" w:rsidP="00D063ED">
      <w:pPr>
        <w:spacing w:after="0"/>
        <w:jc w:val="left"/>
        <w:rPr>
          <w:rFonts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682B"/>
        <w:tblLook w:val="01E0" w:firstRow="1" w:lastRow="1" w:firstColumn="1" w:lastColumn="1" w:noHBand="0" w:noVBand="0"/>
      </w:tblPr>
      <w:tblGrid>
        <w:gridCol w:w="10485"/>
      </w:tblGrid>
      <w:tr w:rsidR="00EC0979" w:rsidRPr="001D5DE9" w14:paraId="4ED5C7A6" w14:textId="77777777" w:rsidTr="000E20CC">
        <w:trPr>
          <w:trHeight w:val="470"/>
        </w:trPr>
        <w:tc>
          <w:tcPr>
            <w:tcW w:w="10485" w:type="dxa"/>
            <w:shd w:val="clear" w:color="auto" w:fill="641F45"/>
          </w:tcPr>
          <w:p w14:paraId="04A87D26" w14:textId="6256DB39" w:rsidR="00EC0979" w:rsidRPr="00C45AE0" w:rsidRDefault="00EC0979" w:rsidP="00C45AE0">
            <w:pPr>
              <w:pStyle w:val="Heading1"/>
              <w:rPr>
                <w:b w:val="0"/>
              </w:rPr>
            </w:pPr>
            <w:r>
              <w:rPr>
                <w:sz w:val="22"/>
                <w:szCs w:val="22"/>
              </w:rPr>
              <w:br w:type="page"/>
            </w:r>
            <w:r w:rsidR="00C45AE0" w:rsidRPr="00C45AE0">
              <w:t>Selected Detailed Results</w:t>
            </w:r>
          </w:p>
        </w:tc>
      </w:tr>
    </w:tbl>
    <w:p w14:paraId="1D08184A" w14:textId="77777777" w:rsidR="00C45AE0" w:rsidRDefault="00C45AE0" w:rsidP="00C45AE0">
      <w:pPr>
        <w:rPr>
          <w:rFonts w:cs="Arial"/>
          <w:sz w:val="22"/>
          <w:szCs w:val="22"/>
        </w:rPr>
      </w:pPr>
    </w:p>
    <w:p w14:paraId="03EC1E6E" w14:textId="5B06A12A" w:rsidR="00572667" w:rsidRPr="009610AF" w:rsidRDefault="00E73E57" w:rsidP="009610AF">
      <w:pPr>
        <w:pStyle w:val="ListParagraph"/>
        <w:numPr>
          <w:ilvl w:val="0"/>
          <w:numId w:val="9"/>
        </w:numPr>
        <w:overflowPunct/>
        <w:autoSpaceDE/>
        <w:autoSpaceDN/>
        <w:adjustRightInd/>
        <w:spacing w:after="160" w:line="259" w:lineRule="auto"/>
        <w:jc w:val="left"/>
        <w:textAlignment w:val="auto"/>
        <w:rPr>
          <w:rFonts w:cs="Arial"/>
          <w:sz w:val="22"/>
          <w:szCs w:val="22"/>
        </w:rPr>
      </w:pPr>
      <w:r>
        <w:rPr>
          <w:rFonts w:cs="Arial"/>
          <w:sz w:val="22"/>
          <w:szCs w:val="22"/>
        </w:rPr>
        <w:t xml:space="preserve">VOA’s PRMS is used by </w:t>
      </w:r>
      <w:r w:rsidR="00FE0CE1">
        <w:rPr>
          <w:rFonts w:cs="Arial"/>
          <w:sz w:val="22"/>
          <w:szCs w:val="22"/>
        </w:rPr>
        <w:t xml:space="preserve">26 </w:t>
      </w:r>
      <w:r w:rsidR="00572667" w:rsidRPr="00C45AE0">
        <w:rPr>
          <w:rFonts w:cs="Arial"/>
          <w:sz w:val="22"/>
          <w:szCs w:val="22"/>
        </w:rPr>
        <w:t>respondents</w:t>
      </w:r>
      <w:r w:rsidR="00D35572">
        <w:rPr>
          <w:rFonts w:cs="Arial"/>
          <w:sz w:val="22"/>
          <w:szCs w:val="22"/>
        </w:rPr>
        <w:t xml:space="preserve"> (59</w:t>
      </w:r>
      <w:r w:rsidR="00D35572" w:rsidRPr="00C45AE0">
        <w:rPr>
          <w:rFonts w:cs="Arial"/>
          <w:sz w:val="22"/>
          <w:szCs w:val="22"/>
        </w:rPr>
        <w:t xml:space="preserve"> per cent</w:t>
      </w:r>
      <w:r w:rsidR="00D35572">
        <w:rPr>
          <w:rFonts w:cs="Arial"/>
          <w:sz w:val="22"/>
          <w:szCs w:val="22"/>
        </w:rPr>
        <w:t>)</w:t>
      </w:r>
      <w:r w:rsidR="00D35572" w:rsidRPr="00C45AE0">
        <w:rPr>
          <w:rFonts w:cs="Arial"/>
          <w:sz w:val="22"/>
          <w:szCs w:val="22"/>
        </w:rPr>
        <w:t xml:space="preserve"> </w:t>
      </w:r>
      <w:r w:rsidR="00572667" w:rsidRPr="00C45AE0">
        <w:rPr>
          <w:rFonts w:cs="Arial"/>
          <w:sz w:val="22"/>
          <w:szCs w:val="22"/>
        </w:rPr>
        <w:t xml:space="preserve">and of these, </w:t>
      </w:r>
      <w:r w:rsidR="00FE0CE1">
        <w:rPr>
          <w:rFonts w:cs="Arial"/>
          <w:sz w:val="22"/>
          <w:szCs w:val="22"/>
        </w:rPr>
        <w:t xml:space="preserve">20 </w:t>
      </w:r>
      <w:r w:rsidR="00D35572">
        <w:rPr>
          <w:rFonts w:cs="Arial"/>
          <w:sz w:val="22"/>
          <w:szCs w:val="22"/>
        </w:rPr>
        <w:t>said</w:t>
      </w:r>
      <w:r w:rsidR="00572667" w:rsidRPr="00C45AE0">
        <w:rPr>
          <w:rFonts w:cs="Arial"/>
          <w:sz w:val="22"/>
          <w:szCs w:val="22"/>
        </w:rPr>
        <w:t xml:space="preserve"> that the current PRMS publication does not </w:t>
      </w:r>
      <w:r w:rsidR="00572667">
        <w:rPr>
          <w:rFonts w:cs="Arial"/>
          <w:sz w:val="22"/>
          <w:szCs w:val="22"/>
        </w:rPr>
        <w:t xml:space="preserve">already </w:t>
      </w:r>
      <w:r w:rsidR="00572667" w:rsidRPr="00C45AE0">
        <w:rPr>
          <w:rFonts w:cs="Arial"/>
          <w:sz w:val="22"/>
          <w:szCs w:val="22"/>
        </w:rPr>
        <w:t>meet their requirements</w:t>
      </w:r>
      <w:r w:rsidR="00C36E10">
        <w:rPr>
          <w:rFonts w:cs="Arial"/>
          <w:sz w:val="22"/>
          <w:szCs w:val="22"/>
        </w:rPr>
        <w:t>.</w:t>
      </w:r>
      <w:r w:rsidR="002A5060" w:rsidRPr="002A5060">
        <w:rPr>
          <w:rFonts w:cs="Arial"/>
          <w:sz w:val="22"/>
          <w:szCs w:val="22"/>
        </w:rPr>
        <w:t xml:space="preserve"> </w:t>
      </w:r>
      <w:r w:rsidR="009610AF">
        <w:rPr>
          <w:rFonts w:cs="Arial"/>
          <w:sz w:val="22"/>
          <w:szCs w:val="22"/>
        </w:rPr>
        <w:t xml:space="preserve">VOA’s </w:t>
      </w:r>
      <w:r w:rsidRPr="009610AF">
        <w:rPr>
          <w:rFonts w:cs="Arial"/>
          <w:sz w:val="22"/>
          <w:szCs w:val="22"/>
        </w:rPr>
        <w:t>PRMS had never been used by 16 respondents</w:t>
      </w:r>
      <w:r w:rsidR="002A5060" w:rsidRPr="009610AF">
        <w:rPr>
          <w:rFonts w:cs="Arial"/>
          <w:sz w:val="22"/>
          <w:szCs w:val="22"/>
        </w:rPr>
        <w:t xml:space="preserve">, nine of whom were not aware of </w:t>
      </w:r>
      <w:r w:rsidR="009610AF">
        <w:rPr>
          <w:rFonts w:cs="Arial"/>
          <w:sz w:val="22"/>
          <w:szCs w:val="22"/>
        </w:rPr>
        <w:t>its existence</w:t>
      </w:r>
      <w:r w:rsidR="002A5060" w:rsidRPr="009610AF">
        <w:rPr>
          <w:rFonts w:cs="Arial"/>
          <w:sz w:val="22"/>
          <w:szCs w:val="22"/>
        </w:rPr>
        <w:t>.</w:t>
      </w:r>
    </w:p>
    <w:p w14:paraId="14580388" w14:textId="09AAAAA4" w:rsidR="00572667" w:rsidRPr="00C45AE0" w:rsidRDefault="00E73E57" w:rsidP="00572667">
      <w:pPr>
        <w:pStyle w:val="ListParagraph"/>
        <w:numPr>
          <w:ilvl w:val="0"/>
          <w:numId w:val="9"/>
        </w:numPr>
        <w:overflowPunct/>
        <w:autoSpaceDE/>
        <w:autoSpaceDN/>
        <w:adjustRightInd/>
        <w:spacing w:after="160" w:line="259" w:lineRule="auto"/>
        <w:jc w:val="left"/>
        <w:textAlignment w:val="auto"/>
        <w:rPr>
          <w:rFonts w:cs="Arial"/>
          <w:sz w:val="22"/>
          <w:szCs w:val="22"/>
        </w:rPr>
      </w:pPr>
      <w:r>
        <w:rPr>
          <w:rFonts w:cs="Arial"/>
          <w:sz w:val="22"/>
          <w:szCs w:val="22"/>
        </w:rPr>
        <w:t>Property specialists</w:t>
      </w:r>
      <w:r w:rsidR="007D5721">
        <w:rPr>
          <w:rFonts w:cs="Arial"/>
          <w:sz w:val="22"/>
          <w:szCs w:val="22"/>
        </w:rPr>
        <w:t xml:space="preserve"> (such as private sector research groups)</w:t>
      </w:r>
      <w:r>
        <w:rPr>
          <w:rFonts w:cs="Arial"/>
          <w:sz w:val="22"/>
          <w:szCs w:val="22"/>
        </w:rPr>
        <w:t xml:space="preserve"> were used for information on the rental market by </w:t>
      </w:r>
      <w:r w:rsidR="00D35572">
        <w:rPr>
          <w:rFonts w:cs="Arial"/>
          <w:sz w:val="22"/>
          <w:szCs w:val="22"/>
        </w:rPr>
        <w:t>29 r</w:t>
      </w:r>
      <w:r w:rsidR="00572667" w:rsidRPr="00C45AE0">
        <w:rPr>
          <w:rFonts w:cs="Arial"/>
          <w:sz w:val="22"/>
          <w:szCs w:val="22"/>
        </w:rPr>
        <w:t>espondents</w:t>
      </w:r>
      <w:r w:rsidR="00D35572">
        <w:rPr>
          <w:rFonts w:cs="Arial"/>
          <w:sz w:val="22"/>
          <w:szCs w:val="22"/>
        </w:rPr>
        <w:t xml:space="preserve"> (66 per cent), though</w:t>
      </w:r>
      <w:r w:rsidR="00572667" w:rsidRPr="00C45AE0">
        <w:rPr>
          <w:rFonts w:cs="Arial"/>
          <w:sz w:val="22"/>
          <w:szCs w:val="22"/>
        </w:rPr>
        <w:t xml:space="preserve"> a variety of other sources</w:t>
      </w:r>
      <w:r w:rsidR="00D35572">
        <w:rPr>
          <w:rFonts w:cs="Arial"/>
          <w:sz w:val="22"/>
          <w:szCs w:val="22"/>
        </w:rPr>
        <w:t xml:space="preserve"> were</w:t>
      </w:r>
      <w:r w:rsidR="00673835">
        <w:rPr>
          <w:rFonts w:cs="Arial"/>
          <w:sz w:val="22"/>
          <w:szCs w:val="22"/>
        </w:rPr>
        <w:t xml:space="preserve"> also</w:t>
      </w:r>
      <w:r w:rsidR="00D35572">
        <w:rPr>
          <w:rFonts w:cs="Arial"/>
          <w:sz w:val="22"/>
          <w:szCs w:val="22"/>
        </w:rPr>
        <w:t xml:space="preserve"> used.</w:t>
      </w:r>
    </w:p>
    <w:p w14:paraId="11A435F2" w14:textId="77777777" w:rsidR="00572667" w:rsidRPr="00C45AE0" w:rsidRDefault="00572667" w:rsidP="00572667">
      <w:pPr>
        <w:pStyle w:val="ListParagraph"/>
        <w:numPr>
          <w:ilvl w:val="0"/>
          <w:numId w:val="9"/>
        </w:numPr>
        <w:overflowPunct/>
        <w:autoSpaceDE/>
        <w:autoSpaceDN/>
        <w:adjustRightInd/>
        <w:spacing w:after="160" w:line="259" w:lineRule="auto"/>
        <w:jc w:val="left"/>
        <w:textAlignment w:val="auto"/>
        <w:rPr>
          <w:rFonts w:cs="Arial"/>
          <w:sz w:val="22"/>
          <w:szCs w:val="22"/>
        </w:rPr>
      </w:pPr>
      <w:r w:rsidRPr="00C45AE0">
        <w:rPr>
          <w:rFonts w:cs="Arial"/>
          <w:sz w:val="22"/>
          <w:szCs w:val="22"/>
        </w:rPr>
        <w:t>Given a trade-off between data sufficiency and the frequency of publication</w:t>
      </w:r>
      <w:r>
        <w:rPr>
          <w:rFonts w:cs="Arial"/>
          <w:sz w:val="22"/>
          <w:szCs w:val="22"/>
        </w:rPr>
        <w:t>s</w:t>
      </w:r>
      <w:r w:rsidRPr="00C45AE0">
        <w:rPr>
          <w:rFonts w:cs="Arial"/>
          <w:sz w:val="22"/>
          <w:szCs w:val="22"/>
        </w:rPr>
        <w:t>, respondents ranked</w:t>
      </w:r>
      <w:r w:rsidRPr="00C45AE0">
        <w:rPr>
          <w:rStyle w:val="FootnoteReference"/>
          <w:rFonts w:cs="Arial"/>
          <w:sz w:val="22"/>
          <w:szCs w:val="22"/>
        </w:rPr>
        <w:footnoteReference w:id="1"/>
      </w:r>
      <w:r w:rsidRPr="00C45AE0">
        <w:rPr>
          <w:rFonts w:cs="Arial"/>
          <w:sz w:val="22"/>
          <w:szCs w:val="22"/>
        </w:rPr>
        <w:t xml:space="preserve"> quarterly as their most preferred frequency of publication and annual as their least preferred</w:t>
      </w:r>
      <w:r>
        <w:rPr>
          <w:rFonts w:cs="Arial"/>
          <w:sz w:val="22"/>
          <w:szCs w:val="22"/>
        </w:rPr>
        <w:t>.</w:t>
      </w:r>
    </w:p>
    <w:p w14:paraId="63B64653" w14:textId="47EDE579" w:rsidR="00572667" w:rsidRDefault="00572667" w:rsidP="00572667">
      <w:pPr>
        <w:pStyle w:val="ListParagraph"/>
        <w:numPr>
          <w:ilvl w:val="0"/>
          <w:numId w:val="9"/>
        </w:numPr>
        <w:overflowPunct/>
        <w:autoSpaceDE/>
        <w:autoSpaceDN/>
        <w:adjustRightInd/>
        <w:spacing w:after="160" w:line="259" w:lineRule="auto"/>
        <w:jc w:val="left"/>
        <w:textAlignment w:val="auto"/>
        <w:rPr>
          <w:rFonts w:cs="Arial"/>
          <w:sz w:val="22"/>
          <w:szCs w:val="22"/>
        </w:rPr>
      </w:pPr>
      <w:r w:rsidRPr="00C45AE0">
        <w:rPr>
          <w:rFonts w:cs="Arial"/>
          <w:sz w:val="22"/>
          <w:szCs w:val="22"/>
        </w:rPr>
        <w:t>Respondents ranked the median as the</w:t>
      </w:r>
      <w:r w:rsidR="00F10BDD" w:rsidRPr="00F10BDD">
        <w:rPr>
          <w:rFonts w:cs="Arial"/>
          <w:sz w:val="22"/>
          <w:szCs w:val="22"/>
        </w:rPr>
        <w:t xml:space="preserve"> </w:t>
      </w:r>
      <w:r w:rsidR="00F10BDD" w:rsidRPr="00C45AE0">
        <w:rPr>
          <w:rFonts w:cs="Arial"/>
          <w:sz w:val="22"/>
          <w:szCs w:val="22"/>
        </w:rPr>
        <w:t>most important</w:t>
      </w:r>
      <w:r w:rsidRPr="00C45AE0">
        <w:rPr>
          <w:rFonts w:cs="Arial"/>
          <w:sz w:val="22"/>
          <w:szCs w:val="22"/>
        </w:rPr>
        <w:t xml:space="preserve"> measure of PRMS</w:t>
      </w:r>
      <w:r>
        <w:rPr>
          <w:rFonts w:cs="Arial"/>
          <w:sz w:val="22"/>
          <w:szCs w:val="22"/>
        </w:rPr>
        <w:t>.</w:t>
      </w:r>
    </w:p>
    <w:p w14:paraId="2734A46C" w14:textId="0C893D0F" w:rsidR="00F10BDD" w:rsidRDefault="00673835" w:rsidP="00572667">
      <w:pPr>
        <w:pStyle w:val="ListParagraph"/>
        <w:numPr>
          <w:ilvl w:val="0"/>
          <w:numId w:val="9"/>
        </w:numPr>
        <w:overflowPunct/>
        <w:autoSpaceDE/>
        <w:autoSpaceDN/>
        <w:adjustRightInd/>
        <w:spacing w:after="160" w:line="259" w:lineRule="auto"/>
        <w:jc w:val="left"/>
        <w:textAlignment w:val="auto"/>
        <w:rPr>
          <w:rFonts w:cs="Arial"/>
          <w:sz w:val="22"/>
          <w:szCs w:val="22"/>
        </w:rPr>
      </w:pPr>
      <w:r>
        <w:rPr>
          <w:rFonts w:cs="Arial"/>
          <w:sz w:val="22"/>
          <w:szCs w:val="22"/>
        </w:rPr>
        <w:t>A break-down of results by</w:t>
      </w:r>
      <w:r w:rsidR="00F10BDD">
        <w:rPr>
          <w:rFonts w:cs="Arial"/>
          <w:sz w:val="22"/>
          <w:szCs w:val="22"/>
        </w:rPr>
        <w:t>:</w:t>
      </w:r>
    </w:p>
    <w:p w14:paraId="78D4AA1E" w14:textId="557F1752" w:rsidR="00F10BDD" w:rsidRDefault="00673835" w:rsidP="00E04EA7">
      <w:pPr>
        <w:pStyle w:val="ListParagraph"/>
        <w:numPr>
          <w:ilvl w:val="1"/>
          <w:numId w:val="9"/>
        </w:numPr>
        <w:overflowPunct/>
        <w:autoSpaceDE/>
        <w:autoSpaceDN/>
        <w:adjustRightInd/>
        <w:spacing w:after="160" w:line="259" w:lineRule="auto"/>
        <w:jc w:val="left"/>
        <w:textAlignment w:val="auto"/>
        <w:rPr>
          <w:rFonts w:cs="Arial"/>
          <w:sz w:val="22"/>
          <w:szCs w:val="22"/>
        </w:rPr>
      </w:pPr>
      <w:r>
        <w:rPr>
          <w:rFonts w:cs="Arial"/>
          <w:sz w:val="22"/>
          <w:szCs w:val="22"/>
        </w:rPr>
        <w:t xml:space="preserve">number of bedrooms was </w:t>
      </w:r>
      <w:r w:rsidR="003071C4">
        <w:rPr>
          <w:rFonts w:cs="Arial"/>
          <w:sz w:val="22"/>
          <w:szCs w:val="22"/>
        </w:rPr>
        <w:t>requested by</w:t>
      </w:r>
      <w:r>
        <w:rPr>
          <w:rFonts w:cs="Arial"/>
          <w:sz w:val="22"/>
          <w:szCs w:val="22"/>
        </w:rPr>
        <w:t xml:space="preserve"> 35 respondents (80 per cent)</w:t>
      </w:r>
      <w:r w:rsidR="00F10BDD">
        <w:rPr>
          <w:rFonts w:cs="Arial"/>
          <w:sz w:val="22"/>
          <w:szCs w:val="22"/>
        </w:rPr>
        <w:t>;</w:t>
      </w:r>
      <w:r>
        <w:rPr>
          <w:rFonts w:cs="Arial"/>
          <w:sz w:val="22"/>
          <w:szCs w:val="22"/>
        </w:rPr>
        <w:t xml:space="preserve"> </w:t>
      </w:r>
    </w:p>
    <w:p w14:paraId="3DD8AA2E" w14:textId="07AE7797" w:rsidR="00F10BDD" w:rsidRDefault="00673835" w:rsidP="00E04EA7">
      <w:pPr>
        <w:pStyle w:val="ListParagraph"/>
        <w:numPr>
          <w:ilvl w:val="1"/>
          <w:numId w:val="9"/>
        </w:numPr>
        <w:overflowPunct/>
        <w:autoSpaceDE/>
        <w:autoSpaceDN/>
        <w:adjustRightInd/>
        <w:spacing w:after="160" w:line="259" w:lineRule="auto"/>
        <w:jc w:val="left"/>
        <w:textAlignment w:val="auto"/>
        <w:rPr>
          <w:rFonts w:cs="Arial"/>
          <w:sz w:val="22"/>
          <w:szCs w:val="22"/>
        </w:rPr>
      </w:pPr>
      <w:r>
        <w:rPr>
          <w:rFonts w:cs="Arial"/>
          <w:sz w:val="22"/>
          <w:szCs w:val="22"/>
        </w:rPr>
        <w:t>region and property type (e.g. semi-d</w:t>
      </w:r>
      <w:r w:rsidR="003071C4">
        <w:rPr>
          <w:rFonts w:cs="Arial"/>
          <w:sz w:val="22"/>
          <w:szCs w:val="22"/>
        </w:rPr>
        <w:t>etached, flat/maisonette etc.) by</w:t>
      </w:r>
      <w:r>
        <w:rPr>
          <w:rFonts w:cs="Arial"/>
          <w:sz w:val="22"/>
          <w:szCs w:val="22"/>
        </w:rPr>
        <w:t xml:space="preserve"> 20 respondents</w:t>
      </w:r>
      <w:r w:rsidR="00F10BDD">
        <w:rPr>
          <w:rFonts w:cs="Arial"/>
          <w:sz w:val="22"/>
          <w:szCs w:val="22"/>
        </w:rPr>
        <w:t>;</w:t>
      </w:r>
    </w:p>
    <w:p w14:paraId="56373666" w14:textId="5296F490" w:rsidR="00F10BDD" w:rsidRDefault="00673835" w:rsidP="00E04EA7">
      <w:pPr>
        <w:pStyle w:val="ListParagraph"/>
        <w:numPr>
          <w:ilvl w:val="1"/>
          <w:numId w:val="9"/>
        </w:numPr>
        <w:overflowPunct/>
        <w:autoSpaceDE/>
        <w:autoSpaceDN/>
        <w:adjustRightInd/>
        <w:spacing w:after="160" w:line="259" w:lineRule="auto"/>
        <w:jc w:val="left"/>
        <w:textAlignment w:val="auto"/>
        <w:rPr>
          <w:rFonts w:cs="Arial"/>
          <w:sz w:val="22"/>
          <w:szCs w:val="22"/>
        </w:rPr>
      </w:pPr>
      <w:r>
        <w:rPr>
          <w:rFonts w:cs="Arial"/>
          <w:sz w:val="22"/>
          <w:szCs w:val="22"/>
        </w:rPr>
        <w:t xml:space="preserve">administrative area (local authorities, unitary authorities and London boroughs) </w:t>
      </w:r>
      <w:r w:rsidR="003071C4">
        <w:rPr>
          <w:rFonts w:cs="Arial"/>
          <w:sz w:val="22"/>
          <w:szCs w:val="22"/>
        </w:rPr>
        <w:t>by</w:t>
      </w:r>
      <w:r>
        <w:rPr>
          <w:rFonts w:cs="Arial"/>
          <w:sz w:val="22"/>
          <w:szCs w:val="22"/>
        </w:rPr>
        <w:t xml:space="preserve"> 19 respondents</w:t>
      </w:r>
      <w:r w:rsidR="00F10BDD">
        <w:rPr>
          <w:rFonts w:cs="Arial"/>
          <w:sz w:val="22"/>
          <w:szCs w:val="22"/>
        </w:rPr>
        <w:t>;</w:t>
      </w:r>
      <w:r>
        <w:rPr>
          <w:rFonts w:cs="Arial"/>
          <w:sz w:val="22"/>
          <w:szCs w:val="22"/>
        </w:rPr>
        <w:t xml:space="preserve"> and</w:t>
      </w:r>
    </w:p>
    <w:p w14:paraId="03704F93" w14:textId="684D6274" w:rsidR="00673835" w:rsidRPr="00C45AE0" w:rsidRDefault="00673835" w:rsidP="00E04EA7">
      <w:pPr>
        <w:pStyle w:val="ListParagraph"/>
        <w:numPr>
          <w:ilvl w:val="1"/>
          <w:numId w:val="9"/>
        </w:numPr>
        <w:overflowPunct/>
        <w:autoSpaceDE/>
        <w:autoSpaceDN/>
        <w:adjustRightInd/>
        <w:spacing w:after="160" w:line="259" w:lineRule="auto"/>
        <w:jc w:val="left"/>
        <w:textAlignment w:val="auto"/>
        <w:rPr>
          <w:rFonts w:cs="Arial"/>
          <w:sz w:val="22"/>
          <w:szCs w:val="22"/>
        </w:rPr>
      </w:pPr>
      <w:r>
        <w:rPr>
          <w:rFonts w:cs="Arial"/>
          <w:sz w:val="22"/>
          <w:szCs w:val="22"/>
        </w:rPr>
        <w:t xml:space="preserve">break-downs below the level of administrative area </w:t>
      </w:r>
      <w:r w:rsidR="00F10BDD">
        <w:rPr>
          <w:rFonts w:cs="Arial"/>
          <w:sz w:val="22"/>
          <w:szCs w:val="22"/>
        </w:rPr>
        <w:t>by</w:t>
      </w:r>
      <w:r>
        <w:rPr>
          <w:rFonts w:cs="Arial"/>
          <w:sz w:val="22"/>
          <w:szCs w:val="22"/>
        </w:rPr>
        <w:t xml:space="preserve"> 16 respondents.</w:t>
      </w:r>
    </w:p>
    <w:p w14:paraId="3D121FDC" w14:textId="0142BE3C" w:rsidR="00961628" w:rsidRPr="009610AF" w:rsidRDefault="0098704B" w:rsidP="009610AF">
      <w:pPr>
        <w:pStyle w:val="ListParagraph"/>
        <w:numPr>
          <w:ilvl w:val="0"/>
          <w:numId w:val="9"/>
        </w:numPr>
        <w:overflowPunct/>
        <w:autoSpaceDE/>
        <w:autoSpaceDN/>
        <w:adjustRightInd/>
        <w:spacing w:after="160" w:line="259" w:lineRule="auto"/>
        <w:jc w:val="left"/>
        <w:textAlignment w:val="auto"/>
        <w:rPr>
          <w:rFonts w:cs="Arial"/>
          <w:sz w:val="22"/>
          <w:szCs w:val="22"/>
        </w:rPr>
      </w:pPr>
      <w:r>
        <w:rPr>
          <w:rFonts w:cs="Arial"/>
          <w:sz w:val="22"/>
          <w:szCs w:val="22"/>
        </w:rPr>
        <w:t>The statement “I would like to see a historical time series” was strongly agreed with by 56 per cent of respondents, and agreed with by a further 31 per cent.</w:t>
      </w:r>
    </w:p>
    <w:p w14:paraId="34A8BB45" w14:textId="60C9352F" w:rsidR="00572667" w:rsidRPr="00C45AE0" w:rsidRDefault="009610AF" w:rsidP="00572667">
      <w:pPr>
        <w:pStyle w:val="ListParagraph"/>
        <w:numPr>
          <w:ilvl w:val="0"/>
          <w:numId w:val="9"/>
        </w:numPr>
        <w:overflowPunct/>
        <w:autoSpaceDE/>
        <w:autoSpaceDN/>
        <w:adjustRightInd/>
        <w:spacing w:after="160" w:line="259" w:lineRule="auto"/>
        <w:jc w:val="left"/>
        <w:textAlignment w:val="auto"/>
        <w:rPr>
          <w:rFonts w:cs="Arial"/>
          <w:sz w:val="22"/>
          <w:szCs w:val="22"/>
        </w:rPr>
      </w:pPr>
      <w:r>
        <w:rPr>
          <w:rFonts w:cs="Arial"/>
          <w:sz w:val="22"/>
          <w:szCs w:val="22"/>
        </w:rPr>
        <w:lastRenderedPageBreak/>
        <w:t>Eighteen</w:t>
      </w:r>
      <w:r w:rsidR="00720C71">
        <w:rPr>
          <w:rFonts w:cs="Arial"/>
          <w:sz w:val="22"/>
          <w:szCs w:val="22"/>
        </w:rPr>
        <w:t xml:space="preserve"> </w:t>
      </w:r>
      <w:r>
        <w:rPr>
          <w:rFonts w:cs="Arial"/>
          <w:sz w:val="22"/>
          <w:szCs w:val="22"/>
        </w:rPr>
        <w:t xml:space="preserve">respondents </w:t>
      </w:r>
      <w:bookmarkStart w:id="0" w:name="_GoBack"/>
      <w:bookmarkEnd w:id="0"/>
      <w:r w:rsidR="00572667" w:rsidRPr="00C45AE0">
        <w:rPr>
          <w:rFonts w:cs="Arial"/>
          <w:sz w:val="22"/>
          <w:szCs w:val="22"/>
        </w:rPr>
        <w:t>would like VOA's PRMS to include supplementary information that is not contained in the IPHRP regional rental indices</w:t>
      </w:r>
      <w:r w:rsidR="00572667">
        <w:rPr>
          <w:rFonts w:cs="Arial"/>
          <w:sz w:val="22"/>
          <w:szCs w:val="22"/>
        </w:rPr>
        <w:t>.</w:t>
      </w:r>
    </w:p>
    <w:p w14:paraId="7B5D0566" w14:textId="7D1A76FE" w:rsidR="00961628" w:rsidRDefault="00961628" w:rsidP="00572667">
      <w:pPr>
        <w:pStyle w:val="ListParagraph"/>
        <w:numPr>
          <w:ilvl w:val="0"/>
          <w:numId w:val="9"/>
        </w:numPr>
        <w:overflowPunct/>
        <w:autoSpaceDE/>
        <w:autoSpaceDN/>
        <w:adjustRightInd/>
        <w:spacing w:after="160" w:line="259" w:lineRule="auto"/>
        <w:jc w:val="left"/>
        <w:textAlignment w:val="auto"/>
        <w:rPr>
          <w:rFonts w:cs="Arial"/>
          <w:sz w:val="22"/>
          <w:szCs w:val="22"/>
        </w:rPr>
      </w:pPr>
      <w:r>
        <w:rPr>
          <w:rFonts w:cs="Arial"/>
          <w:sz w:val="22"/>
          <w:szCs w:val="22"/>
        </w:rPr>
        <w:t xml:space="preserve">The </w:t>
      </w:r>
      <w:r w:rsidRPr="00C45AE0">
        <w:rPr>
          <w:rFonts w:cs="Arial"/>
          <w:sz w:val="22"/>
          <w:szCs w:val="22"/>
        </w:rPr>
        <w:t>statement “The VOA should also provide commentary interpreting the differences with the IPHRP</w:t>
      </w:r>
      <w:r>
        <w:rPr>
          <w:rFonts w:cs="Arial"/>
          <w:sz w:val="22"/>
          <w:szCs w:val="22"/>
        </w:rPr>
        <w:t>” was agreed with by 19 respondents and strongly agreed with by a further eight.</w:t>
      </w:r>
    </w:p>
    <w:p w14:paraId="6B25D3DB" w14:textId="7BC6DAD9" w:rsidR="00C45AE0" w:rsidRDefault="00171150" w:rsidP="0098704B">
      <w:pPr>
        <w:jc w:val="left"/>
        <w:rPr>
          <w:rFonts w:cs="Arial"/>
          <w:sz w:val="22"/>
          <w:szCs w:val="22"/>
        </w:rPr>
      </w:pPr>
      <w:r>
        <w:rPr>
          <w:rFonts w:cs="Arial"/>
          <w:sz w:val="22"/>
          <w:szCs w:val="22"/>
        </w:rPr>
        <w:t>For frequency of publication, q</w:t>
      </w:r>
      <w:r w:rsidR="00C45AE0" w:rsidRPr="00C45AE0">
        <w:rPr>
          <w:rFonts w:cs="Arial"/>
          <w:sz w:val="22"/>
          <w:szCs w:val="22"/>
        </w:rPr>
        <w:t xml:space="preserve">uarterly publication of PRMS was the most preferred option for 48 per cent of respondents; and a further 33 per cent ranked quarterly publication as their second most preferred option. </w:t>
      </w:r>
      <w:r w:rsidR="00901FEE">
        <w:rPr>
          <w:rFonts w:cs="Arial"/>
          <w:sz w:val="22"/>
          <w:szCs w:val="22"/>
        </w:rPr>
        <w:t xml:space="preserve">Monthly PRMS was the preferred option for </w:t>
      </w:r>
      <w:r w:rsidR="00C45AE0" w:rsidRPr="00C45AE0">
        <w:rPr>
          <w:rFonts w:cs="Arial"/>
          <w:sz w:val="22"/>
          <w:szCs w:val="22"/>
        </w:rPr>
        <w:t>33 per cent of respondents; it was second most preferred for a further 20 per cent.</w:t>
      </w:r>
    </w:p>
    <w:p w14:paraId="1D89811E" w14:textId="16C6A774" w:rsidR="0098704B" w:rsidRDefault="00C45AE0" w:rsidP="0098704B">
      <w:pPr>
        <w:spacing w:after="0"/>
        <w:jc w:val="left"/>
        <w:rPr>
          <w:rFonts w:cs="Arial"/>
          <w:sz w:val="22"/>
          <w:szCs w:val="22"/>
        </w:rPr>
      </w:pPr>
      <w:r w:rsidRPr="00C45AE0">
        <w:rPr>
          <w:rFonts w:cs="Arial"/>
          <w:sz w:val="22"/>
          <w:szCs w:val="22"/>
        </w:rPr>
        <w:t>The mean was the most preferred measure to report for 38 per cent of respondents</w:t>
      </w:r>
      <w:r w:rsidR="009610AF">
        <w:rPr>
          <w:rFonts w:cs="Arial"/>
          <w:sz w:val="22"/>
          <w:szCs w:val="22"/>
        </w:rPr>
        <w:t>.</w:t>
      </w:r>
      <w:r w:rsidRPr="00C45AE0">
        <w:rPr>
          <w:rFonts w:cs="Arial"/>
          <w:sz w:val="22"/>
          <w:szCs w:val="22"/>
        </w:rPr>
        <w:t xml:space="preserve"> </w:t>
      </w:r>
      <w:r w:rsidR="009610AF">
        <w:rPr>
          <w:rFonts w:cs="Arial"/>
          <w:sz w:val="22"/>
          <w:szCs w:val="22"/>
        </w:rPr>
        <w:t>T</w:t>
      </w:r>
      <w:r w:rsidRPr="00C45AE0">
        <w:rPr>
          <w:rFonts w:cs="Arial"/>
          <w:sz w:val="22"/>
          <w:szCs w:val="22"/>
        </w:rPr>
        <w:t>he median was most preferred by 33 per cent of respondents</w:t>
      </w:r>
      <w:r w:rsidR="009610AF">
        <w:rPr>
          <w:rFonts w:cs="Arial"/>
          <w:sz w:val="22"/>
          <w:szCs w:val="22"/>
        </w:rPr>
        <w:t>,</w:t>
      </w:r>
      <w:r w:rsidRPr="00C45AE0">
        <w:rPr>
          <w:rFonts w:cs="Arial"/>
          <w:sz w:val="22"/>
          <w:szCs w:val="22"/>
        </w:rPr>
        <w:t xml:space="preserve"> </w:t>
      </w:r>
      <w:r w:rsidR="00171150">
        <w:rPr>
          <w:rFonts w:cs="Arial"/>
          <w:sz w:val="22"/>
          <w:szCs w:val="22"/>
        </w:rPr>
        <w:t>however, it was</w:t>
      </w:r>
      <w:r w:rsidR="008F4A61">
        <w:rPr>
          <w:rFonts w:cs="Arial"/>
          <w:sz w:val="22"/>
          <w:szCs w:val="22"/>
        </w:rPr>
        <w:t xml:space="preserve"> also</w:t>
      </w:r>
      <w:r w:rsidRPr="00C45AE0">
        <w:rPr>
          <w:rFonts w:cs="Arial"/>
          <w:sz w:val="22"/>
          <w:szCs w:val="22"/>
        </w:rPr>
        <w:t xml:space="preserve"> the second most preferred option for 49 per cent. Quartiles were the most preferred measure for 28 per cent of respondents, and a further 21 per cent chose quartiles as their second preferred option.</w:t>
      </w:r>
      <w:r w:rsidR="0098704B">
        <w:rPr>
          <w:rFonts w:cs="Arial"/>
          <w:sz w:val="22"/>
          <w:szCs w:val="22"/>
        </w:rPr>
        <w:t xml:space="preserve"> </w:t>
      </w:r>
    </w:p>
    <w:p w14:paraId="7307DB63" w14:textId="77777777" w:rsidR="0098704B" w:rsidRDefault="0098704B" w:rsidP="0098704B">
      <w:pPr>
        <w:spacing w:after="0"/>
        <w:jc w:val="left"/>
        <w:rPr>
          <w:rFonts w:cs="Arial"/>
          <w:sz w:val="22"/>
          <w:szCs w:val="22"/>
        </w:rPr>
      </w:pPr>
    </w:p>
    <w:p w14:paraId="1542163A" w14:textId="320F4450" w:rsidR="004F2BE2" w:rsidRDefault="00C45AE0" w:rsidP="009610AF">
      <w:pPr>
        <w:spacing w:after="0"/>
        <w:jc w:val="left"/>
        <w:rPr>
          <w:rFonts w:cs="Arial"/>
          <w:sz w:val="22"/>
          <w:szCs w:val="22"/>
        </w:rPr>
      </w:pPr>
      <w:r w:rsidRPr="00C45AE0">
        <w:rPr>
          <w:rFonts w:cs="Arial"/>
          <w:sz w:val="22"/>
          <w:szCs w:val="22"/>
        </w:rPr>
        <w:t xml:space="preserve">The survey asked for respondents to pick the breakdowns of data that are most useful for them. </w:t>
      </w:r>
      <w:r w:rsidR="00C42BF0">
        <w:rPr>
          <w:rFonts w:cs="Arial"/>
          <w:sz w:val="22"/>
          <w:szCs w:val="22"/>
        </w:rPr>
        <w:t>Break-downs at the level below administrative area</w:t>
      </w:r>
      <w:r w:rsidRPr="00C45AE0">
        <w:rPr>
          <w:rFonts w:cs="Arial"/>
          <w:sz w:val="22"/>
          <w:szCs w:val="22"/>
        </w:rPr>
        <w:t xml:space="preserve"> were of more interest to landlords, letting agents, investors and consultants than for government and academics, who tended to favour data at regional level. Number of bedrooms is an important breakdown for all groups. </w:t>
      </w:r>
    </w:p>
    <w:p w14:paraId="35C41C5C" w14:textId="77777777" w:rsidR="004F2BE2" w:rsidRDefault="004F2BE2" w:rsidP="004F2BE2">
      <w:pPr>
        <w:rPr>
          <w:rFonts w:cs="Arial"/>
          <w:sz w:val="22"/>
          <w:szCs w:val="22"/>
        </w:rPr>
      </w:pPr>
    </w:p>
    <w:tbl>
      <w:tblPr>
        <w:tblW w:w="10561" w:type="dxa"/>
        <w:tblBorders>
          <w:top w:val="single" w:sz="4" w:space="0" w:color="53682B"/>
          <w:left w:val="single" w:sz="4" w:space="0" w:color="53682B"/>
          <w:bottom w:val="single" w:sz="4" w:space="0" w:color="53682B"/>
          <w:right w:val="single" w:sz="4" w:space="0" w:color="53682B"/>
        </w:tblBorders>
        <w:shd w:val="clear" w:color="auto" w:fill="53682B"/>
        <w:tblLook w:val="01E0" w:firstRow="1" w:lastRow="1" w:firstColumn="1" w:lastColumn="1" w:noHBand="0" w:noVBand="0"/>
      </w:tblPr>
      <w:tblGrid>
        <w:gridCol w:w="10561"/>
      </w:tblGrid>
      <w:tr w:rsidR="004F2BE2" w14:paraId="054A963D" w14:textId="77777777" w:rsidTr="00127974">
        <w:trPr>
          <w:trHeight w:val="396"/>
        </w:trPr>
        <w:tc>
          <w:tcPr>
            <w:tcW w:w="10561" w:type="dxa"/>
            <w:shd w:val="clear" w:color="auto" w:fill="641F45"/>
            <w:vAlign w:val="center"/>
          </w:tcPr>
          <w:p w14:paraId="235B6BFD" w14:textId="5AA2CAC9" w:rsidR="004F2BE2" w:rsidRPr="00F613A0" w:rsidRDefault="004F2BE2" w:rsidP="00127974">
            <w:pPr>
              <w:pStyle w:val="Heading1"/>
            </w:pPr>
            <w:r>
              <w:rPr>
                <w:sz w:val="22"/>
                <w:szCs w:val="22"/>
                <w:lang w:eastAsia="en-GB"/>
              </w:rPr>
              <w:t xml:space="preserve">VOA </w:t>
            </w:r>
            <w:r w:rsidR="00D02244">
              <w:rPr>
                <w:sz w:val="22"/>
                <w:szCs w:val="22"/>
                <w:lang w:eastAsia="en-GB"/>
              </w:rPr>
              <w:t xml:space="preserve">Initial </w:t>
            </w:r>
            <w:r>
              <w:rPr>
                <w:sz w:val="22"/>
                <w:szCs w:val="22"/>
                <w:lang w:eastAsia="en-GB"/>
              </w:rPr>
              <w:t>Response</w:t>
            </w:r>
            <w:r w:rsidR="00D02244">
              <w:rPr>
                <w:sz w:val="22"/>
                <w:szCs w:val="22"/>
                <w:lang w:eastAsia="en-GB"/>
              </w:rPr>
              <w:t>s</w:t>
            </w:r>
          </w:p>
        </w:tc>
      </w:tr>
    </w:tbl>
    <w:p w14:paraId="455F100B" w14:textId="34B458D6" w:rsidR="00EC0979" w:rsidRDefault="00EC0979" w:rsidP="00EC0979">
      <w:pPr>
        <w:adjustRightInd/>
        <w:textAlignment w:val="auto"/>
        <w:rPr>
          <w:rFonts w:cs="Arial"/>
          <w:sz w:val="22"/>
          <w:szCs w:val="22"/>
        </w:rPr>
        <w:sectPr w:rsidR="00EC0979" w:rsidSect="00D37971">
          <w:type w:val="continuous"/>
          <w:pgSz w:w="11909" w:h="16834"/>
          <w:pgMar w:top="720" w:right="720" w:bottom="720" w:left="720" w:header="284" w:footer="142" w:gutter="0"/>
          <w:cols w:sep="1" w:space="720"/>
          <w:docGrid w:linePitch="272"/>
        </w:sectPr>
      </w:pPr>
    </w:p>
    <w:p w14:paraId="0E8883D4" w14:textId="77777777" w:rsidR="004F2BE2" w:rsidRPr="007604E9" w:rsidRDefault="004F2BE2" w:rsidP="005C086D">
      <w:pPr>
        <w:jc w:val="left"/>
        <w:rPr>
          <w:rFonts w:cs="Arial"/>
          <w:b/>
          <w:sz w:val="22"/>
          <w:szCs w:val="22"/>
        </w:rPr>
      </w:pPr>
      <w:r w:rsidRPr="007604E9">
        <w:rPr>
          <w:rFonts w:cs="Arial"/>
          <w:b/>
          <w:sz w:val="22"/>
          <w:szCs w:val="22"/>
        </w:rPr>
        <w:t>1. Respondents have expressed a number of reasons on why the current PRMS does not meet their requirements and lack of granularity is mentioned most frequently.</w:t>
      </w:r>
    </w:p>
    <w:p w14:paraId="2636272C" w14:textId="32BF41F1" w:rsidR="004F2BE2" w:rsidRPr="004F2BE2" w:rsidRDefault="004F2BE2" w:rsidP="005C086D">
      <w:pPr>
        <w:jc w:val="left"/>
        <w:rPr>
          <w:rFonts w:cs="Arial"/>
          <w:sz w:val="22"/>
          <w:szCs w:val="22"/>
        </w:rPr>
      </w:pPr>
      <w:r w:rsidRPr="004F2BE2">
        <w:rPr>
          <w:rFonts w:cs="Arial"/>
          <w:sz w:val="22"/>
          <w:szCs w:val="22"/>
        </w:rPr>
        <w:t>Out of 26 respondents who answered that the current PRMS publication does not meet their requirements 21 left a reason. Lack of granularity was the most common response, with a common point being that the administrative areas are not representative of the geographies used by the market, and some cited a need for information at the level of at least postcode sectors. Some respondents mentioned the lack of historical series and for some the six month publication frequency was too long to be able to capture the latest trends.</w:t>
      </w:r>
    </w:p>
    <w:p w14:paraId="06897D95" w14:textId="3BD0472F" w:rsidR="004F2BE2" w:rsidRPr="004F2BE2" w:rsidRDefault="004F2BE2" w:rsidP="005C086D">
      <w:pPr>
        <w:jc w:val="left"/>
        <w:rPr>
          <w:rFonts w:cs="Arial"/>
          <w:sz w:val="22"/>
          <w:szCs w:val="22"/>
        </w:rPr>
      </w:pPr>
      <w:r w:rsidRPr="007604E9">
        <w:rPr>
          <w:rFonts w:cs="Arial"/>
          <w:b/>
          <w:sz w:val="22"/>
          <w:szCs w:val="22"/>
        </w:rPr>
        <w:t>VOA response:</w:t>
      </w:r>
      <w:r w:rsidRPr="004F2BE2">
        <w:rPr>
          <w:rFonts w:cs="Arial"/>
          <w:sz w:val="22"/>
          <w:szCs w:val="22"/>
        </w:rPr>
        <w:t xml:space="preserve"> </w:t>
      </w:r>
      <w:r w:rsidR="00DA6CD2">
        <w:rPr>
          <w:rFonts w:cs="Arial"/>
          <w:sz w:val="22"/>
          <w:szCs w:val="22"/>
        </w:rPr>
        <w:t>VOA currently produce information at the level of administrative area broken down by number of bedrooms and intend to continue to do so.</w:t>
      </w:r>
      <w:r w:rsidR="00DA6CD2" w:rsidRPr="004F2BE2">
        <w:rPr>
          <w:rFonts w:cs="Arial"/>
          <w:sz w:val="22"/>
          <w:szCs w:val="22"/>
        </w:rPr>
        <w:t xml:space="preserve"> </w:t>
      </w:r>
      <w:r w:rsidR="00DA6CD2">
        <w:rPr>
          <w:rFonts w:cs="Arial"/>
          <w:sz w:val="22"/>
          <w:szCs w:val="22"/>
        </w:rPr>
        <w:t xml:space="preserve">Producing data at </w:t>
      </w:r>
      <w:r w:rsidR="00DA6CD2" w:rsidRPr="004F2BE2">
        <w:rPr>
          <w:rFonts w:cs="Arial"/>
          <w:sz w:val="22"/>
          <w:szCs w:val="22"/>
        </w:rPr>
        <w:t>postcode sector</w:t>
      </w:r>
      <w:r w:rsidR="00DA6CD2">
        <w:rPr>
          <w:rFonts w:cs="Arial"/>
          <w:sz w:val="22"/>
          <w:szCs w:val="22"/>
        </w:rPr>
        <w:t xml:space="preserve"> level</w:t>
      </w:r>
      <w:r w:rsidR="00DA6CD2" w:rsidRPr="004F2BE2">
        <w:rPr>
          <w:rFonts w:cs="Arial"/>
          <w:sz w:val="22"/>
          <w:szCs w:val="22"/>
        </w:rPr>
        <w:t xml:space="preserve"> </w:t>
      </w:r>
      <w:r w:rsidR="00DA6CD2">
        <w:rPr>
          <w:rFonts w:cs="Arial"/>
          <w:sz w:val="22"/>
          <w:szCs w:val="22"/>
        </w:rPr>
        <w:t>has</w:t>
      </w:r>
      <w:r w:rsidR="00DA6CD2" w:rsidRPr="004F2BE2">
        <w:rPr>
          <w:rFonts w:cs="Arial"/>
          <w:sz w:val="22"/>
          <w:szCs w:val="22"/>
        </w:rPr>
        <w:t xml:space="preserve"> be</w:t>
      </w:r>
      <w:r w:rsidR="00DA6CD2">
        <w:rPr>
          <w:rFonts w:cs="Arial"/>
          <w:sz w:val="22"/>
          <w:szCs w:val="22"/>
        </w:rPr>
        <w:t>en</w:t>
      </w:r>
      <w:r w:rsidR="00DA6CD2" w:rsidRPr="004F2BE2">
        <w:rPr>
          <w:rFonts w:cs="Arial"/>
          <w:sz w:val="22"/>
          <w:szCs w:val="22"/>
        </w:rPr>
        <w:t xml:space="preserve"> considered </w:t>
      </w:r>
      <w:r w:rsidR="00DA6CD2">
        <w:rPr>
          <w:rFonts w:cs="Arial"/>
          <w:sz w:val="22"/>
          <w:szCs w:val="22"/>
        </w:rPr>
        <w:t>but</w:t>
      </w:r>
      <w:r w:rsidR="00DA6CD2" w:rsidRPr="004F2BE2">
        <w:rPr>
          <w:rFonts w:cs="Arial"/>
          <w:sz w:val="22"/>
          <w:szCs w:val="22"/>
        </w:rPr>
        <w:t xml:space="preserve"> </w:t>
      </w:r>
      <w:r w:rsidR="00DA6CD2">
        <w:rPr>
          <w:rFonts w:cs="Arial"/>
          <w:sz w:val="22"/>
          <w:szCs w:val="22"/>
        </w:rPr>
        <w:t>VOA</w:t>
      </w:r>
      <w:r w:rsidR="00DA6CD2" w:rsidRPr="004F2BE2">
        <w:rPr>
          <w:rFonts w:cs="Arial"/>
          <w:sz w:val="22"/>
          <w:szCs w:val="22"/>
        </w:rPr>
        <w:t xml:space="preserve"> publish data according to the policy for local geographical data used by the ONS’ Neighbourhood Statistics introduced by the EU Nomenclature of Units for Territorial Statistics (NUTS).</w:t>
      </w:r>
      <w:r w:rsidRPr="004F2BE2">
        <w:rPr>
          <w:rFonts w:cs="Arial"/>
          <w:sz w:val="22"/>
          <w:szCs w:val="22"/>
        </w:rPr>
        <w:t>Due to data limitations</w:t>
      </w:r>
      <w:r w:rsidR="00671C95">
        <w:rPr>
          <w:rFonts w:cs="Arial"/>
          <w:sz w:val="22"/>
          <w:szCs w:val="22"/>
        </w:rPr>
        <w:t xml:space="preserve"> (principally volume, as well as avoiding disclosure)</w:t>
      </w:r>
      <w:r w:rsidRPr="004F2BE2">
        <w:rPr>
          <w:rFonts w:cs="Arial"/>
          <w:sz w:val="22"/>
          <w:szCs w:val="22"/>
        </w:rPr>
        <w:t xml:space="preserve"> there is a trade-off between granularity and reliability of results and </w:t>
      </w:r>
      <w:r w:rsidR="00091EDF">
        <w:rPr>
          <w:rFonts w:cs="Arial"/>
          <w:sz w:val="22"/>
          <w:szCs w:val="22"/>
        </w:rPr>
        <w:t>VOA</w:t>
      </w:r>
      <w:r w:rsidRPr="004F2BE2">
        <w:rPr>
          <w:rFonts w:cs="Arial"/>
          <w:sz w:val="22"/>
          <w:szCs w:val="22"/>
        </w:rPr>
        <w:t xml:space="preserve"> have to take a decision on what would be most useful to users. Users of the PRMS should note that below the level of the administrative area (e.g. super output area) there is </w:t>
      </w:r>
      <w:r w:rsidR="00505484">
        <w:rPr>
          <w:rFonts w:cs="Arial"/>
          <w:sz w:val="22"/>
          <w:szCs w:val="22"/>
        </w:rPr>
        <w:t>in</w:t>
      </w:r>
      <w:r w:rsidRPr="004F2BE2">
        <w:rPr>
          <w:rFonts w:cs="Arial"/>
          <w:sz w:val="22"/>
          <w:szCs w:val="22"/>
        </w:rPr>
        <w:t>sufficient data to produce robust, meaningful results</w:t>
      </w:r>
      <w:r w:rsidR="00091EDF">
        <w:rPr>
          <w:rFonts w:cs="Arial"/>
          <w:sz w:val="22"/>
          <w:szCs w:val="22"/>
        </w:rPr>
        <w:t>.</w:t>
      </w:r>
      <w:r w:rsidRPr="004F2BE2">
        <w:rPr>
          <w:rFonts w:cs="Arial"/>
          <w:sz w:val="22"/>
          <w:szCs w:val="22"/>
        </w:rPr>
        <w:t xml:space="preserve"> </w:t>
      </w:r>
      <w:r w:rsidR="00E54E36">
        <w:rPr>
          <w:rFonts w:cs="Arial"/>
          <w:sz w:val="22"/>
          <w:szCs w:val="22"/>
        </w:rPr>
        <w:t xml:space="preserve"> VOA are continuing to investigate improvements to the methodology of PRMS and are currently investigating the viability of improvements to our data sources and collection methods.</w:t>
      </w:r>
    </w:p>
    <w:p w14:paraId="63E21B43" w14:textId="77777777" w:rsidR="00A930DA" w:rsidRDefault="00A930DA" w:rsidP="005C086D">
      <w:pPr>
        <w:jc w:val="left"/>
        <w:rPr>
          <w:rFonts w:cs="Arial"/>
          <w:b/>
          <w:sz w:val="22"/>
          <w:szCs w:val="22"/>
        </w:rPr>
      </w:pPr>
    </w:p>
    <w:p w14:paraId="63E1FC4F" w14:textId="2427DF1D" w:rsidR="00946600" w:rsidRPr="007604E9" w:rsidRDefault="00946600" w:rsidP="005C086D">
      <w:pPr>
        <w:jc w:val="left"/>
        <w:rPr>
          <w:rFonts w:cs="Arial"/>
          <w:b/>
          <w:sz w:val="22"/>
          <w:szCs w:val="22"/>
        </w:rPr>
      </w:pPr>
      <w:r w:rsidRPr="007604E9">
        <w:rPr>
          <w:rFonts w:cs="Arial"/>
          <w:b/>
          <w:sz w:val="22"/>
          <w:szCs w:val="22"/>
        </w:rPr>
        <w:t xml:space="preserve">2. Respondents have expressed a strong </w:t>
      </w:r>
      <w:r w:rsidR="00505484">
        <w:rPr>
          <w:rFonts w:cs="Arial"/>
          <w:b/>
          <w:sz w:val="22"/>
          <w:szCs w:val="22"/>
        </w:rPr>
        <w:t xml:space="preserve">preference for </w:t>
      </w:r>
      <w:r w:rsidRPr="007604E9">
        <w:rPr>
          <w:rFonts w:cs="Arial"/>
          <w:b/>
          <w:sz w:val="22"/>
          <w:szCs w:val="22"/>
        </w:rPr>
        <w:t>a historical time series</w:t>
      </w:r>
      <w:r w:rsidR="007604E9">
        <w:rPr>
          <w:rFonts w:cs="Arial"/>
          <w:b/>
          <w:sz w:val="22"/>
          <w:szCs w:val="22"/>
        </w:rPr>
        <w:t>.</w:t>
      </w:r>
    </w:p>
    <w:p w14:paraId="6F9953D7" w14:textId="559C294B" w:rsidR="00946600" w:rsidRPr="00946600" w:rsidRDefault="00946600" w:rsidP="005C086D">
      <w:pPr>
        <w:jc w:val="left"/>
        <w:rPr>
          <w:rFonts w:cs="Arial"/>
          <w:sz w:val="22"/>
          <w:szCs w:val="22"/>
        </w:rPr>
      </w:pPr>
      <w:r w:rsidRPr="00946600">
        <w:rPr>
          <w:rFonts w:cs="Arial"/>
          <w:sz w:val="22"/>
          <w:szCs w:val="22"/>
        </w:rPr>
        <w:t>The most marked response to the user survey was that 87 per cent either agreed or strongly agreed that they would like to see</w:t>
      </w:r>
      <w:r w:rsidR="00505484">
        <w:rPr>
          <w:rFonts w:cs="Arial"/>
          <w:sz w:val="22"/>
          <w:szCs w:val="22"/>
        </w:rPr>
        <w:t xml:space="preserve"> consistent</w:t>
      </w:r>
      <w:r w:rsidRPr="00946600">
        <w:rPr>
          <w:rFonts w:cs="Arial"/>
          <w:sz w:val="22"/>
          <w:szCs w:val="22"/>
        </w:rPr>
        <w:t xml:space="preserve"> historical series of PRM data. Reasons could be summed up as providing </w:t>
      </w:r>
      <w:r w:rsidR="00505484">
        <w:rPr>
          <w:rFonts w:cs="Arial"/>
          <w:sz w:val="22"/>
          <w:szCs w:val="22"/>
        </w:rPr>
        <w:t>better</w:t>
      </w:r>
      <w:r w:rsidR="00505484" w:rsidRPr="00946600">
        <w:rPr>
          <w:rFonts w:cs="Arial"/>
          <w:sz w:val="22"/>
          <w:szCs w:val="22"/>
        </w:rPr>
        <w:t xml:space="preserve"> </w:t>
      </w:r>
      <w:r w:rsidRPr="00946600">
        <w:rPr>
          <w:rFonts w:cs="Arial"/>
          <w:sz w:val="22"/>
          <w:szCs w:val="22"/>
        </w:rPr>
        <w:t xml:space="preserve">context to current rent levels and allowing </w:t>
      </w:r>
      <w:r w:rsidR="00091EDF">
        <w:rPr>
          <w:rFonts w:cs="Arial"/>
          <w:sz w:val="22"/>
          <w:szCs w:val="22"/>
        </w:rPr>
        <w:t xml:space="preserve">historical </w:t>
      </w:r>
      <w:r w:rsidRPr="00946600">
        <w:rPr>
          <w:rFonts w:cs="Arial"/>
          <w:sz w:val="22"/>
          <w:szCs w:val="22"/>
        </w:rPr>
        <w:t>analysis of the property market trends.</w:t>
      </w:r>
    </w:p>
    <w:p w14:paraId="194A9D33" w14:textId="33290AEF" w:rsidR="00091EDF" w:rsidRDefault="00946600" w:rsidP="005C086D">
      <w:pPr>
        <w:jc w:val="left"/>
        <w:rPr>
          <w:rFonts w:cs="Arial"/>
          <w:sz w:val="22"/>
          <w:szCs w:val="22"/>
        </w:rPr>
      </w:pPr>
      <w:r w:rsidRPr="007604E9">
        <w:rPr>
          <w:rFonts w:cs="Arial"/>
          <w:b/>
          <w:sz w:val="22"/>
          <w:szCs w:val="22"/>
        </w:rPr>
        <w:t>VOA response:</w:t>
      </w:r>
      <w:r w:rsidRPr="00946600">
        <w:rPr>
          <w:rFonts w:cs="Arial"/>
          <w:sz w:val="22"/>
          <w:szCs w:val="22"/>
        </w:rPr>
        <w:t xml:space="preserve"> </w:t>
      </w:r>
      <w:r w:rsidR="00505484">
        <w:rPr>
          <w:rFonts w:cs="Arial"/>
          <w:sz w:val="22"/>
          <w:szCs w:val="22"/>
        </w:rPr>
        <w:t>Each PRMS is</w:t>
      </w:r>
      <w:r w:rsidRPr="00946600">
        <w:rPr>
          <w:rFonts w:cs="Arial"/>
          <w:sz w:val="22"/>
          <w:szCs w:val="22"/>
        </w:rPr>
        <w:t xml:space="preserve"> produced using </w:t>
      </w:r>
      <w:r w:rsidR="00505484">
        <w:rPr>
          <w:rFonts w:cs="Arial"/>
          <w:sz w:val="22"/>
          <w:szCs w:val="22"/>
        </w:rPr>
        <w:t xml:space="preserve">the latest </w:t>
      </w:r>
      <w:r w:rsidRPr="00946600">
        <w:rPr>
          <w:rFonts w:cs="Arial"/>
          <w:sz w:val="22"/>
          <w:szCs w:val="22"/>
        </w:rPr>
        <w:t xml:space="preserve">12 months of data </w:t>
      </w:r>
      <w:r w:rsidR="00505484">
        <w:rPr>
          <w:rFonts w:cs="Arial"/>
          <w:sz w:val="22"/>
          <w:szCs w:val="22"/>
        </w:rPr>
        <w:t xml:space="preserve">and </w:t>
      </w:r>
      <w:r w:rsidRPr="00946600">
        <w:rPr>
          <w:rFonts w:cs="Arial"/>
          <w:sz w:val="22"/>
          <w:szCs w:val="22"/>
        </w:rPr>
        <w:t>represent</w:t>
      </w:r>
      <w:r w:rsidR="00505484">
        <w:rPr>
          <w:rFonts w:cs="Arial"/>
          <w:sz w:val="22"/>
          <w:szCs w:val="22"/>
        </w:rPr>
        <w:t>s</w:t>
      </w:r>
      <w:r w:rsidRPr="00946600">
        <w:rPr>
          <w:rFonts w:cs="Arial"/>
          <w:sz w:val="22"/>
          <w:szCs w:val="22"/>
        </w:rPr>
        <w:t xml:space="preserve"> VOA’s best estimate of the average cost of renting </w:t>
      </w:r>
      <w:r w:rsidR="00505484">
        <w:rPr>
          <w:rFonts w:cs="Arial"/>
          <w:sz w:val="22"/>
          <w:szCs w:val="22"/>
        </w:rPr>
        <w:t>over that period</w:t>
      </w:r>
      <w:r w:rsidRPr="00946600">
        <w:rPr>
          <w:rFonts w:cs="Arial"/>
          <w:sz w:val="22"/>
          <w:szCs w:val="22"/>
        </w:rPr>
        <w:t xml:space="preserve">. To produce these more frequently than the present six monthly cycle would be possible with the existing data systems in the VOA. However even if </w:t>
      </w:r>
      <w:r w:rsidR="00091EDF">
        <w:rPr>
          <w:rFonts w:cs="Arial"/>
          <w:sz w:val="22"/>
          <w:szCs w:val="22"/>
        </w:rPr>
        <w:t>VOA</w:t>
      </w:r>
      <w:r w:rsidR="004A445D">
        <w:rPr>
          <w:rFonts w:cs="Arial"/>
          <w:sz w:val="22"/>
          <w:szCs w:val="22"/>
        </w:rPr>
        <w:t xml:space="preserve"> </w:t>
      </w:r>
      <w:r w:rsidRPr="00946600">
        <w:rPr>
          <w:rFonts w:cs="Arial"/>
          <w:sz w:val="22"/>
          <w:szCs w:val="22"/>
        </w:rPr>
        <w:t>were to produce quarterly updates</w:t>
      </w:r>
      <w:r w:rsidR="007A4D70">
        <w:rPr>
          <w:rFonts w:cs="Arial"/>
          <w:sz w:val="22"/>
          <w:szCs w:val="22"/>
        </w:rPr>
        <w:t xml:space="preserve"> with this methodology</w:t>
      </w:r>
      <w:r w:rsidRPr="00946600">
        <w:rPr>
          <w:rFonts w:cs="Arial"/>
          <w:sz w:val="22"/>
          <w:szCs w:val="22"/>
        </w:rPr>
        <w:t xml:space="preserve">, these would not reflect quarter-to-quarter price changes </w:t>
      </w:r>
      <w:r w:rsidR="004A445D">
        <w:rPr>
          <w:rFonts w:cs="Arial"/>
          <w:sz w:val="22"/>
          <w:szCs w:val="22"/>
        </w:rPr>
        <w:t xml:space="preserve">as </w:t>
      </w:r>
      <w:r w:rsidR="001E4203">
        <w:rPr>
          <w:rFonts w:cs="Arial"/>
          <w:sz w:val="22"/>
          <w:szCs w:val="22"/>
        </w:rPr>
        <w:t>three-quarters (i.e. 9 of the 12 months)</w:t>
      </w:r>
      <w:r w:rsidRPr="00946600">
        <w:rPr>
          <w:rFonts w:cs="Arial"/>
          <w:sz w:val="22"/>
          <w:szCs w:val="22"/>
        </w:rPr>
        <w:t xml:space="preserve"> of the sample would remain the same each quarter. </w:t>
      </w:r>
    </w:p>
    <w:p w14:paraId="68324395" w14:textId="6ED6FAFC" w:rsidR="00946600" w:rsidRDefault="00946600" w:rsidP="005C086D">
      <w:pPr>
        <w:jc w:val="left"/>
        <w:rPr>
          <w:rFonts w:cs="Arial"/>
          <w:sz w:val="22"/>
          <w:szCs w:val="22"/>
        </w:rPr>
      </w:pPr>
      <w:r w:rsidRPr="00946600">
        <w:rPr>
          <w:rFonts w:cs="Arial"/>
          <w:sz w:val="22"/>
          <w:szCs w:val="22"/>
        </w:rPr>
        <w:t>The IPHRP</w:t>
      </w:r>
      <w:r w:rsidR="0040212B">
        <w:rPr>
          <w:rFonts w:cs="Arial"/>
          <w:sz w:val="22"/>
          <w:szCs w:val="22"/>
        </w:rPr>
        <w:t xml:space="preserve"> (produced by the ONS)</w:t>
      </w:r>
      <w:r w:rsidRPr="00946600">
        <w:rPr>
          <w:rFonts w:cs="Arial"/>
          <w:sz w:val="22"/>
          <w:szCs w:val="22"/>
        </w:rPr>
        <w:t xml:space="preserve"> is the </w:t>
      </w:r>
      <w:r w:rsidR="001E4203">
        <w:rPr>
          <w:rFonts w:cs="Arial"/>
          <w:sz w:val="22"/>
          <w:szCs w:val="22"/>
        </w:rPr>
        <w:t>official</w:t>
      </w:r>
      <w:r w:rsidRPr="00946600">
        <w:rPr>
          <w:rFonts w:cs="Arial"/>
          <w:sz w:val="22"/>
          <w:szCs w:val="22"/>
        </w:rPr>
        <w:t xml:space="preserve"> source of information for price change and </w:t>
      </w:r>
      <w:r w:rsidR="00091EDF">
        <w:rPr>
          <w:rFonts w:cs="Arial"/>
          <w:sz w:val="22"/>
          <w:szCs w:val="22"/>
        </w:rPr>
        <w:t>the VOA</w:t>
      </w:r>
      <w:r w:rsidR="00C57218">
        <w:rPr>
          <w:rFonts w:cs="Arial"/>
          <w:sz w:val="22"/>
          <w:szCs w:val="22"/>
        </w:rPr>
        <w:t xml:space="preserve"> </w:t>
      </w:r>
      <w:r w:rsidRPr="00946600">
        <w:rPr>
          <w:rFonts w:cs="Arial"/>
          <w:sz w:val="22"/>
          <w:szCs w:val="22"/>
        </w:rPr>
        <w:t>advise</w:t>
      </w:r>
      <w:r w:rsidR="005C086D">
        <w:rPr>
          <w:rFonts w:cs="Arial"/>
          <w:sz w:val="22"/>
          <w:szCs w:val="22"/>
        </w:rPr>
        <w:t>s</w:t>
      </w:r>
      <w:r w:rsidRPr="00946600">
        <w:rPr>
          <w:rFonts w:cs="Arial"/>
          <w:sz w:val="22"/>
          <w:szCs w:val="22"/>
        </w:rPr>
        <w:t xml:space="preserve"> users of the PRMS to refer to it to understand</w:t>
      </w:r>
      <w:r w:rsidR="001E4203">
        <w:rPr>
          <w:rFonts w:cs="Arial"/>
          <w:sz w:val="22"/>
          <w:szCs w:val="22"/>
        </w:rPr>
        <w:t xml:space="preserve"> price</w:t>
      </w:r>
      <w:r w:rsidRPr="00946600">
        <w:rPr>
          <w:rFonts w:cs="Arial"/>
          <w:sz w:val="22"/>
          <w:szCs w:val="22"/>
        </w:rPr>
        <w:t xml:space="preserve"> changes in rental markets</w:t>
      </w:r>
      <w:r w:rsidR="00ED46A9">
        <w:rPr>
          <w:rFonts w:cs="Arial"/>
          <w:sz w:val="22"/>
          <w:szCs w:val="22"/>
        </w:rPr>
        <w:t xml:space="preserve"> at regional level</w:t>
      </w:r>
      <w:r w:rsidRPr="00946600">
        <w:rPr>
          <w:rFonts w:cs="Arial"/>
          <w:sz w:val="22"/>
          <w:szCs w:val="22"/>
        </w:rPr>
        <w:t xml:space="preserve">. </w:t>
      </w:r>
      <w:r w:rsidR="0040212B">
        <w:rPr>
          <w:rFonts w:cs="Arial"/>
          <w:sz w:val="22"/>
          <w:szCs w:val="22"/>
        </w:rPr>
        <w:t>Though the IPHRP and PRMS are produced from the same data, different methodologies (particularly the sample compositions) are used.</w:t>
      </w:r>
    </w:p>
    <w:p w14:paraId="4F76FAF2" w14:textId="0B61A849" w:rsidR="00C93F84" w:rsidRPr="00946600" w:rsidRDefault="00C93F84" w:rsidP="005C086D">
      <w:pPr>
        <w:jc w:val="left"/>
        <w:rPr>
          <w:rFonts w:cs="Arial"/>
          <w:sz w:val="22"/>
          <w:szCs w:val="22"/>
        </w:rPr>
      </w:pPr>
    </w:p>
    <w:p w14:paraId="743CC037" w14:textId="5E3B9F6A" w:rsidR="00A930DA" w:rsidRDefault="00A930DA" w:rsidP="005C086D">
      <w:pPr>
        <w:jc w:val="left"/>
        <w:rPr>
          <w:rFonts w:cs="Arial"/>
          <w:b/>
          <w:sz w:val="22"/>
          <w:szCs w:val="22"/>
        </w:rPr>
      </w:pPr>
    </w:p>
    <w:p w14:paraId="6B579B4B" w14:textId="3AEF3D3A" w:rsidR="00946600" w:rsidRPr="007604E9" w:rsidRDefault="00946600" w:rsidP="005C086D">
      <w:pPr>
        <w:jc w:val="left"/>
        <w:rPr>
          <w:rFonts w:cs="Arial"/>
          <w:b/>
          <w:sz w:val="22"/>
          <w:szCs w:val="22"/>
        </w:rPr>
      </w:pPr>
      <w:r w:rsidRPr="007604E9">
        <w:rPr>
          <w:rFonts w:cs="Arial"/>
          <w:b/>
          <w:sz w:val="22"/>
          <w:szCs w:val="22"/>
        </w:rPr>
        <w:t>3. Feedback shows that the ONS regional Index of Private Housing Rental Prices (IPHRP) do</w:t>
      </w:r>
      <w:r w:rsidR="004A445D">
        <w:rPr>
          <w:rFonts w:cs="Arial"/>
          <w:b/>
          <w:sz w:val="22"/>
          <w:szCs w:val="22"/>
        </w:rPr>
        <w:t>es</w:t>
      </w:r>
      <w:r w:rsidRPr="007604E9">
        <w:rPr>
          <w:rFonts w:cs="Arial"/>
          <w:b/>
          <w:sz w:val="22"/>
          <w:szCs w:val="22"/>
        </w:rPr>
        <w:t xml:space="preserve"> not satisfy the needs of most users of PRMS.</w:t>
      </w:r>
    </w:p>
    <w:p w14:paraId="1AED893B" w14:textId="38D3CF2A" w:rsidR="00946600" w:rsidRPr="00946600" w:rsidRDefault="00946600" w:rsidP="005C086D">
      <w:pPr>
        <w:jc w:val="left"/>
        <w:rPr>
          <w:rFonts w:cs="Arial"/>
          <w:sz w:val="22"/>
          <w:szCs w:val="22"/>
        </w:rPr>
      </w:pPr>
      <w:r w:rsidRPr="00946600">
        <w:rPr>
          <w:rFonts w:cs="Arial"/>
          <w:sz w:val="22"/>
          <w:szCs w:val="22"/>
        </w:rPr>
        <w:t xml:space="preserve">Respondents </w:t>
      </w:r>
      <w:r w:rsidR="007C1B91">
        <w:rPr>
          <w:rFonts w:cs="Arial"/>
          <w:sz w:val="22"/>
          <w:szCs w:val="22"/>
        </w:rPr>
        <w:t>listed</w:t>
      </w:r>
      <w:r w:rsidRPr="00946600">
        <w:rPr>
          <w:rFonts w:cs="Arial"/>
          <w:sz w:val="22"/>
          <w:szCs w:val="22"/>
        </w:rPr>
        <w:t xml:space="preserve"> a variety of information supplementary to that provided by the IPHRP which they would like the PRMS to contain, but this was </w:t>
      </w:r>
      <w:r w:rsidR="007C1B91">
        <w:rPr>
          <w:rFonts w:cs="Arial"/>
          <w:sz w:val="22"/>
          <w:szCs w:val="22"/>
        </w:rPr>
        <w:t xml:space="preserve">mostly </w:t>
      </w:r>
      <w:r w:rsidRPr="00946600">
        <w:rPr>
          <w:rFonts w:cs="Arial"/>
          <w:sz w:val="22"/>
          <w:szCs w:val="22"/>
        </w:rPr>
        <w:t xml:space="preserve">for data at a lower level of geography than for regions, and for data on price levels. As discussed earlier, a large proportion of users would like a breakdown at the level of administrative area or lower. This is </w:t>
      </w:r>
      <w:r w:rsidR="004A445D">
        <w:rPr>
          <w:rFonts w:cs="Arial"/>
          <w:sz w:val="22"/>
          <w:szCs w:val="22"/>
        </w:rPr>
        <w:t>of particular interest</w:t>
      </w:r>
      <w:r w:rsidRPr="00946600">
        <w:rPr>
          <w:rFonts w:cs="Arial"/>
          <w:sz w:val="22"/>
          <w:szCs w:val="22"/>
        </w:rPr>
        <w:t xml:space="preserve"> for users looking at data for London </w:t>
      </w:r>
      <w:r w:rsidR="004A445D">
        <w:rPr>
          <w:rFonts w:cs="Arial"/>
          <w:sz w:val="22"/>
          <w:szCs w:val="22"/>
        </w:rPr>
        <w:t>as</w:t>
      </w:r>
      <w:r w:rsidRPr="00946600">
        <w:rPr>
          <w:rFonts w:cs="Arial"/>
          <w:sz w:val="22"/>
          <w:szCs w:val="22"/>
        </w:rPr>
        <w:t xml:space="preserve"> a large differential in prices across London boroughs</w:t>
      </w:r>
      <w:r w:rsidR="004A445D">
        <w:rPr>
          <w:rFonts w:cs="Arial"/>
          <w:sz w:val="22"/>
          <w:szCs w:val="22"/>
        </w:rPr>
        <w:t xml:space="preserve"> </w:t>
      </w:r>
      <w:r w:rsidR="00EE4E20">
        <w:rPr>
          <w:rFonts w:cs="Arial"/>
          <w:sz w:val="22"/>
          <w:szCs w:val="22"/>
        </w:rPr>
        <w:t>means</w:t>
      </w:r>
      <w:r w:rsidR="00EE4E20" w:rsidRPr="00946600">
        <w:rPr>
          <w:rFonts w:cs="Arial"/>
          <w:sz w:val="22"/>
          <w:szCs w:val="22"/>
        </w:rPr>
        <w:t xml:space="preserve"> </w:t>
      </w:r>
      <w:r w:rsidRPr="00946600">
        <w:rPr>
          <w:rFonts w:cs="Arial"/>
          <w:sz w:val="22"/>
          <w:szCs w:val="22"/>
        </w:rPr>
        <w:t>it</w:t>
      </w:r>
      <w:r w:rsidR="00EE4E20">
        <w:rPr>
          <w:rFonts w:cs="Arial"/>
          <w:sz w:val="22"/>
          <w:szCs w:val="22"/>
        </w:rPr>
        <w:t xml:space="preserve"> is</w:t>
      </w:r>
      <w:r w:rsidRPr="00946600">
        <w:rPr>
          <w:rFonts w:cs="Arial"/>
          <w:sz w:val="22"/>
          <w:szCs w:val="22"/>
        </w:rPr>
        <w:t xml:space="preserve"> hard to make any inferences with no further breakdown.</w:t>
      </w:r>
    </w:p>
    <w:p w14:paraId="25B64F03" w14:textId="02BBF99B" w:rsidR="00946600" w:rsidRPr="00946600" w:rsidRDefault="00946600" w:rsidP="005C086D">
      <w:pPr>
        <w:jc w:val="left"/>
        <w:rPr>
          <w:rFonts w:cs="Arial"/>
          <w:sz w:val="22"/>
          <w:szCs w:val="22"/>
        </w:rPr>
      </w:pPr>
      <w:r w:rsidRPr="007604E9">
        <w:rPr>
          <w:rFonts w:cs="Arial"/>
          <w:b/>
          <w:sz w:val="22"/>
          <w:szCs w:val="22"/>
        </w:rPr>
        <w:t>VOA response:</w:t>
      </w:r>
      <w:r w:rsidRPr="00946600">
        <w:rPr>
          <w:rFonts w:cs="Arial"/>
          <w:sz w:val="22"/>
          <w:szCs w:val="22"/>
        </w:rPr>
        <w:t xml:space="preserve"> VOA appreciates that many users would like to see trends below the level of the regions published in the IPHRP. H</w:t>
      </w:r>
      <w:r w:rsidR="005E0D50">
        <w:rPr>
          <w:rFonts w:cs="Arial"/>
          <w:sz w:val="22"/>
          <w:szCs w:val="22"/>
        </w:rPr>
        <w:t>owever</w:t>
      </w:r>
      <w:r w:rsidRPr="00946600">
        <w:rPr>
          <w:rFonts w:cs="Arial"/>
          <w:sz w:val="22"/>
          <w:szCs w:val="22"/>
        </w:rPr>
        <w:t xml:space="preserve"> </w:t>
      </w:r>
      <w:r w:rsidR="005E0D50">
        <w:rPr>
          <w:rFonts w:cs="Arial"/>
          <w:sz w:val="22"/>
          <w:szCs w:val="22"/>
        </w:rPr>
        <w:t>following from</w:t>
      </w:r>
      <w:r w:rsidRPr="00946600">
        <w:rPr>
          <w:rFonts w:cs="Arial"/>
          <w:sz w:val="22"/>
          <w:szCs w:val="22"/>
        </w:rPr>
        <w:t xml:space="preserve"> previous point</w:t>
      </w:r>
      <w:r w:rsidR="005E0D50">
        <w:rPr>
          <w:rFonts w:cs="Arial"/>
          <w:sz w:val="22"/>
          <w:szCs w:val="22"/>
        </w:rPr>
        <w:t>s,</w:t>
      </w:r>
      <w:r w:rsidRPr="00946600">
        <w:rPr>
          <w:rFonts w:cs="Arial"/>
          <w:sz w:val="22"/>
          <w:szCs w:val="22"/>
        </w:rPr>
        <w:t xml:space="preserve"> </w:t>
      </w:r>
      <w:r w:rsidR="005E0D50">
        <w:rPr>
          <w:rFonts w:cs="Arial"/>
          <w:sz w:val="22"/>
          <w:szCs w:val="22"/>
        </w:rPr>
        <w:t>producing</w:t>
      </w:r>
      <w:r w:rsidRPr="00946600">
        <w:rPr>
          <w:rFonts w:cs="Arial"/>
          <w:sz w:val="22"/>
          <w:szCs w:val="22"/>
        </w:rPr>
        <w:t xml:space="preserve"> reliable indicators of price trends at lower levels of geography</w:t>
      </w:r>
      <w:r w:rsidR="005E0D50">
        <w:rPr>
          <w:rFonts w:cs="Arial"/>
          <w:sz w:val="22"/>
          <w:szCs w:val="22"/>
        </w:rPr>
        <w:t xml:space="preserve"> </w:t>
      </w:r>
      <w:r w:rsidR="005E0D50" w:rsidRPr="005E0D50">
        <w:rPr>
          <w:rFonts w:cs="Arial"/>
          <w:i/>
          <w:sz w:val="22"/>
          <w:szCs w:val="22"/>
        </w:rPr>
        <w:t>and</w:t>
      </w:r>
      <w:r w:rsidR="005E0D50" w:rsidRPr="005E0D50">
        <w:rPr>
          <w:rFonts w:cs="Arial"/>
          <w:sz w:val="22"/>
          <w:szCs w:val="22"/>
        </w:rPr>
        <w:t xml:space="preserve"> </w:t>
      </w:r>
      <w:r w:rsidR="005E0D50">
        <w:rPr>
          <w:rFonts w:cs="Arial"/>
          <w:sz w:val="22"/>
          <w:szCs w:val="22"/>
        </w:rPr>
        <w:t>a time series would require even more data than producing either alone</w:t>
      </w:r>
      <w:r w:rsidRPr="00946600">
        <w:rPr>
          <w:rFonts w:cs="Arial"/>
          <w:sz w:val="22"/>
          <w:szCs w:val="22"/>
        </w:rPr>
        <w:t>.</w:t>
      </w:r>
    </w:p>
    <w:p w14:paraId="59A6E6E1" w14:textId="77777777" w:rsidR="00A930DA" w:rsidRDefault="00A930DA" w:rsidP="005C086D">
      <w:pPr>
        <w:jc w:val="left"/>
        <w:rPr>
          <w:rFonts w:cs="Arial"/>
          <w:sz w:val="22"/>
          <w:szCs w:val="22"/>
        </w:rPr>
      </w:pPr>
    </w:p>
    <w:p w14:paraId="5E01F0DE" w14:textId="72F42AF7" w:rsidR="00946600" w:rsidRPr="007604E9" w:rsidRDefault="00946600" w:rsidP="005C086D">
      <w:pPr>
        <w:jc w:val="left"/>
        <w:rPr>
          <w:rFonts w:cs="Arial"/>
          <w:b/>
          <w:sz w:val="22"/>
          <w:szCs w:val="22"/>
        </w:rPr>
      </w:pPr>
      <w:r w:rsidRPr="007604E9">
        <w:rPr>
          <w:rFonts w:cs="Arial"/>
          <w:b/>
          <w:sz w:val="22"/>
          <w:szCs w:val="22"/>
        </w:rPr>
        <w:t>4. VOA should also provide commentary interpreting the differences between PRMS and the IPHRP.</w:t>
      </w:r>
    </w:p>
    <w:p w14:paraId="0B825921" w14:textId="77777777" w:rsidR="00946600" w:rsidRPr="00946600" w:rsidRDefault="00946600" w:rsidP="005C086D">
      <w:pPr>
        <w:jc w:val="left"/>
        <w:rPr>
          <w:rFonts w:cs="Arial"/>
          <w:sz w:val="22"/>
          <w:szCs w:val="22"/>
        </w:rPr>
      </w:pPr>
      <w:r w:rsidRPr="00946600">
        <w:rPr>
          <w:rFonts w:cs="Arial"/>
          <w:sz w:val="22"/>
          <w:szCs w:val="22"/>
        </w:rPr>
        <w:t>A common theme emerged from responses, which was that the existing statistics presented in the IPHRP and PRMS causes some confusion among users, with examples cited of misuse.</w:t>
      </w:r>
    </w:p>
    <w:p w14:paraId="22A210B8" w14:textId="44EB3EB6" w:rsidR="00946600" w:rsidRPr="00946600" w:rsidRDefault="00946600" w:rsidP="005C086D">
      <w:pPr>
        <w:jc w:val="left"/>
        <w:rPr>
          <w:rFonts w:cs="Arial"/>
          <w:sz w:val="22"/>
          <w:szCs w:val="22"/>
        </w:rPr>
      </w:pPr>
      <w:r w:rsidRPr="007604E9">
        <w:rPr>
          <w:rFonts w:cs="Arial"/>
          <w:b/>
          <w:sz w:val="22"/>
          <w:szCs w:val="22"/>
        </w:rPr>
        <w:t>VOA response:</w:t>
      </w:r>
      <w:r w:rsidRPr="00946600">
        <w:rPr>
          <w:rFonts w:cs="Arial"/>
          <w:sz w:val="22"/>
          <w:szCs w:val="22"/>
        </w:rPr>
        <w:t xml:space="preserve"> VOA has in the past year worked with the ONS to attempt to reconcile the differences between the PRMS and IPHRP. An article with detailed analysis on the two series was published at this web address - </w:t>
      </w:r>
      <w:hyperlink r:id="rId11" w:history="1">
        <w:r w:rsidRPr="00946600">
          <w:rPr>
            <w:rStyle w:val="Hyperlink"/>
            <w:rFonts w:cs="Arial"/>
            <w:sz w:val="22"/>
            <w:szCs w:val="22"/>
          </w:rPr>
          <w:t>http://www.ons.gov.uk/ons/guide-method/user-guidance/prices/cpi-and-rpi/explaining-private-rental-growth.pdf</w:t>
        </w:r>
      </w:hyperlink>
      <w:r w:rsidRPr="00946600">
        <w:rPr>
          <w:rStyle w:val="Hyperlink"/>
          <w:rFonts w:cs="Arial"/>
          <w:sz w:val="22"/>
          <w:szCs w:val="22"/>
        </w:rPr>
        <w:t xml:space="preserve"> </w:t>
      </w:r>
      <w:r w:rsidRPr="00946600">
        <w:rPr>
          <w:sz w:val="22"/>
          <w:szCs w:val="22"/>
        </w:rPr>
        <w:t xml:space="preserve">. </w:t>
      </w:r>
      <w:r w:rsidR="004A445D">
        <w:rPr>
          <w:sz w:val="22"/>
          <w:szCs w:val="22"/>
        </w:rPr>
        <w:t>VOA</w:t>
      </w:r>
      <w:r w:rsidR="004A445D" w:rsidRPr="00946600">
        <w:rPr>
          <w:sz w:val="22"/>
          <w:szCs w:val="22"/>
        </w:rPr>
        <w:t xml:space="preserve"> </w:t>
      </w:r>
      <w:r w:rsidRPr="00946600">
        <w:rPr>
          <w:sz w:val="22"/>
          <w:szCs w:val="22"/>
        </w:rPr>
        <w:t xml:space="preserve">will discuss this with our stakeholders and will look at how well this report meets their needs, and how it could be adapted and included in our reporting on a regular basis. </w:t>
      </w:r>
      <w:r w:rsidR="004A445D">
        <w:rPr>
          <w:sz w:val="22"/>
          <w:szCs w:val="22"/>
        </w:rPr>
        <w:t>VOA</w:t>
      </w:r>
      <w:r w:rsidR="004A445D" w:rsidRPr="00946600">
        <w:rPr>
          <w:sz w:val="22"/>
          <w:szCs w:val="22"/>
        </w:rPr>
        <w:t xml:space="preserve"> </w:t>
      </w:r>
      <w:r w:rsidRPr="00946600">
        <w:rPr>
          <w:sz w:val="22"/>
          <w:szCs w:val="22"/>
        </w:rPr>
        <w:t xml:space="preserve">will also discuss what analysis helps them interpret the two series and could help better understand </w:t>
      </w:r>
      <w:r w:rsidR="00B77BB0">
        <w:rPr>
          <w:sz w:val="22"/>
          <w:szCs w:val="22"/>
        </w:rPr>
        <w:t>market behaviour</w:t>
      </w:r>
      <w:r w:rsidR="00B77BB0" w:rsidRPr="00946600">
        <w:rPr>
          <w:sz w:val="22"/>
          <w:szCs w:val="22"/>
        </w:rPr>
        <w:t xml:space="preserve"> </w:t>
      </w:r>
      <w:r w:rsidRPr="00946600">
        <w:rPr>
          <w:sz w:val="22"/>
          <w:szCs w:val="22"/>
        </w:rPr>
        <w:t xml:space="preserve">trends within regions. </w:t>
      </w:r>
      <w:r w:rsidRPr="00946600">
        <w:rPr>
          <w:rFonts w:cs="Arial"/>
          <w:sz w:val="22"/>
          <w:szCs w:val="22"/>
        </w:rPr>
        <w:t xml:space="preserve">It is clear from responses to this user survey that additional explanation would help users to interpret the different statistics on the </w:t>
      </w:r>
      <w:r w:rsidR="00B77BB0">
        <w:rPr>
          <w:rFonts w:cs="Arial"/>
          <w:sz w:val="22"/>
          <w:szCs w:val="22"/>
        </w:rPr>
        <w:t>market</w:t>
      </w:r>
      <w:r w:rsidRPr="00946600">
        <w:rPr>
          <w:rFonts w:cs="Arial"/>
          <w:sz w:val="22"/>
          <w:szCs w:val="22"/>
        </w:rPr>
        <w:t>.</w:t>
      </w:r>
    </w:p>
    <w:p w14:paraId="1C212EC8" w14:textId="77777777" w:rsidR="00A930DA" w:rsidRDefault="00A930DA" w:rsidP="005C086D">
      <w:pPr>
        <w:jc w:val="left"/>
        <w:rPr>
          <w:rFonts w:cs="Arial"/>
          <w:b/>
          <w:sz w:val="22"/>
          <w:szCs w:val="22"/>
        </w:rPr>
      </w:pPr>
    </w:p>
    <w:p w14:paraId="01699071" w14:textId="77777777" w:rsidR="00C57218" w:rsidRDefault="00946600" w:rsidP="005C086D">
      <w:pPr>
        <w:jc w:val="left"/>
        <w:rPr>
          <w:rFonts w:cs="Arial"/>
          <w:sz w:val="22"/>
          <w:szCs w:val="22"/>
        </w:rPr>
      </w:pPr>
      <w:r w:rsidRPr="007604E9">
        <w:rPr>
          <w:rFonts w:cs="Arial"/>
          <w:b/>
          <w:sz w:val="22"/>
          <w:szCs w:val="22"/>
        </w:rPr>
        <w:t xml:space="preserve">5. </w:t>
      </w:r>
      <w:r w:rsidR="00E93EAA">
        <w:rPr>
          <w:rFonts w:cs="Arial"/>
          <w:b/>
          <w:sz w:val="22"/>
          <w:szCs w:val="22"/>
        </w:rPr>
        <w:t>PRMS are used for a large variety of reasons by</w:t>
      </w:r>
      <w:r w:rsidRPr="007604E9">
        <w:rPr>
          <w:rFonts w:cs="Arial"/>
          <w:b/>
          <w:sz w:val="22"/>
          <w:szCs w:val="22"/>
        </w:rPr>
        <w:t xml:space="preserve"> government and local government, property specialists, academics and charities.</w:t>
      </w:r>
      <w:r w:rsidRPr="00946600">
        <w:rPr>
          <w:rFonts w:cs="Arial"/>
          <w:sz w:val="22"/>
          <w:szCs w:val="22"/>
        </w:rPr>
        <w:t xml:space="preserve"> </w:t>
      </w:r>
    </w:p>
    <w:p w14:paraId="3E68327E" w14:textId="49D6FF44" w:rsidR="00946600" w:rsidRPr="00946600" w:rsidRDefault="00E93EAA" w:rsidP="005C086D">
      <w:pPr>
        <w:jc w:val="left"/>
        <w:rPr>
          <w:rFonts w:cs="Arial"/>
          <w:sz w:val="22"/>
          <w:szCs w:val="22"/>
        </w:rPr>
      </w:pPr>
      <w:r>
        <w:rPr>
          <w:rFonts w:cs="Arial"/>
          <w:sz w:val="22"/>
          <w:szCs w:val="22"/>
        </w:rPr>
        <w:t>Intended</w:t>
      </w:r>
      <w:r w:rsidR="00946600" w:rsidRPr="00946600">
        <w:rPr>
          <w:rFonts w:cs="Arial"/>
          <w:sz w:val="22"/>
          <w:szCs w:val="22"/>
        </w:rPr>
        <w:t xml:space="preserve"> future uses of PRMS included:</w:t>
      </w:r>
    </w:p>
    <w:p w14:paraId="3E65E8D6" w14:textId="31B29F81" w:rsidR="00946600" w:rsidRPr="00946600" w:rsidRDefault="00946600" w:rsidP="00901FEE">
      <w:pPr>
        <w:pStyle w:val="ListParagraph"/>
        <w:numPr>
          <w:ilvl w:val="1"/>
          <w:numId w:val="10"/>
        </w:numPr>
        <w:overflowPunct/>
        <w:autoSpaceDE/>
        <w:autoSpaceDN/>
        <w:adjustRightInd/>
        <w:spacing w:after="160" w:line="259" w:lineRule="auto"/>
        <w:jc w:val="left"/>
        <w:textAlignment w:val="auto"/>
        <w:rPr>
          <w:rFonts w:cs="Arial"/>
          <w:sz w:val="22"/>
          <w:szCs w:val="22"/>
        </w:rPr>
      </w:pPr>
      <w:r w:rsidRPr="00946600">
        <w:rPr>
          <w:rFonts w:cs="Arial"/>
          <w:sz w:val="22"/>
          <w:szCs w:val="22"/>
        </w:rPr>
        <w:t xml:space="preserve">analysis of </w:t>
      </w:r>
      <w:r w:rsidR="00DE6BB5">
        <w:rPr>
          <w:rFonts w:cs="Arial"/>
          <w:sz w:val="22"/>
          <w:szCs w:val="22"/>
        </w:rPr>
        <w:t>the rental market and modelling</w:t>
      </w:r>
    </w:p>
    <w:p w14:paraId="66A22425" w14:textId="3E1E284D" w:rsidR="00946600" w:rsidRPr="00946600" w:rsidRDefault="00946600" w:rsidP="00091EDF">
      <w:pPr>
        <w:pStyle w:val="ListParagraph"/>
        <w:numPr>
          <w:ilvl w:val="1"/>
          <w:numId w:val="10"/>
        </w:numPr>
        <w:overflowPunct/>
        <w:autoSpaceDE/>
        <w:autoSpaceDN/>
        <w:adjustRightInd/>
        <w:spacing w:after="160" w:line="259" w:lineRule="auto"/>
        <w:jc w:val="left"/>
        <w:textAlignment w:val="auto"/>
        <w:rPr>
          <w:rFonts w:cs="Arial"/>
          <w:sz w:val="22"/>
          <w:szCs w:val="22"/>
        </w:rPr>
      </w:pPr>
      <w:r w:rsidRPr="00946600">
        <w:rPr>
          <w:rFonts w:cs="Arial"/>
          <w:sz w:val="22"/>
          <w:szCs w:val="22"/>
        </w:rPr>
        <w:t>to improve local intelligence in working with landlords on supp</w:t>
      </w:r>
      <w:r w:rsidR="00DE6BB5">
        <w:rPr>
          <w:rFonts w:cs="Arial"/>
          <w:sz w:val="22"/>
          <w:szCs w:val="22"/>
        </w:rPr>
        <w:t>ly of private rented properties</w:t>
      </w:r>
    </w:p>
    <w:p w14:paraId="75518770" w14:textId="7342B87B" w:rsidR="00946600" w:rsidRPr="00946600" w:rsidRDefault="00946600" w:rsidP="00C57218">
      <w:pPr>
        <w:pStyle w:val="ListParagraph"/>
        <w:numPr>
          <w:ilvl w:val="1"/>
          <w:numId w:val="10"/>
        </w:numPr>
        <w:overflowPunct/>
        <w:autoSpaceDE/>
        <w:autoSpaceDN/>
        <w:adjustRightInd/>
        <w:spacing w:after="160" w:line="259" w:lineRule="auto"/>
        <w:jc w:val="left"/>
        <w:textAlignment w:val="auto"/>
        <w:rPr>
          <w:rFonts w:cs="Arial"/>
          <w:sz w:val="22"/>
          <w:szCs w:val="22"/>
        </w:rPr>
      </w:pPr>
      <w:r w:rsidRPr="00946600">
        <w:rPr>
          <w:rFonts w:cs="Arial"/>
          <w:sz w:val="22"/>
          <w:szCs w:val="22"/>
        </w:rPr>
        <w:t>to keep local landlords up to date o</w:t>
      </w:r>
      <w:r w:rsidR="00DE6BB5">
        <w:rPr>
          <w:rFonts w:cs="Arial"/>
          <w:sz w:val="22"/>
          <w:szCs w:val="22"/>
        </w:rPr>
        <w:t>n trends affecting their market</w:t>
      </w:r>
    </w:p>
    <w:p w14:paraId="53C5D862" w14:textId="286D6CB2" w:rsidR="00946600" w:rsidRPr="00946600" w:rsidRDefault="00946600">
      <w:pPr>
        <w:pStyle w:val="ListParagraph"/>
        <w:numPr>
          <w:ilvl w:val="1"/>
          <w:numId w:val="10"/>
        </w:numPr>
        <w:overflowPunct/>
        <w:autoSpaceDE/>
        <w:autoSpaceDN/>
        <w:adjustRightInd/>
        <w:spacing w:after="160" w:line="259" w:lineRule="auto"/>
        <w:jc w:val="left"/>
        <w:textAlignment w:val="auto"/>
        <w:rPr>
          <w:rFonts w:cs="Arial"/>
          <w:sz w:val="22"/>
          <w:szCs w:val="22"/>
        </w:rPr>
      </w:pPr>
      <w:r w:rsidRPr="00946600">
        <w:rPr>
          <w:rFonts w:cs="Arial"/>
          <w:sz w:val="22"/>
          <w:szCs w:val="22"/>
        </w:rPr>
        <w:t>to help support procurement of temporary accomm</w:t>
      </w:r>
      <w:r w:rsidR="00DE6BB5">
        <w:rPr>
          <w:rFonts w:cs="Arial"/>
          <w:sz w:val="22"/>
          <w:szCs w:val="22"/>
        </w:rPr>
        <w:t>odation for homeless households</w:t>
      </w:r>
    </w:p>
    <w:p w14:paraId="680B1BD0" w14:textId="08EFA8F5" w:rsidR="00946600" w:rsidRPr="00946600" w:rsidRDefault="00946600">
      <w:pPr>
        <w:pStyle w:val="ListParagraph"/>
        <w:numPr>
          <w:ilvl w:val="1"/>
          <w:numId w:val="10"/>
        </w:numPr>
        <w:overflowPunct/>
        <w:autoSpaceDE/>
        <w:autoSpaceDN/>
        <w:adjustRightInd/>
        <w:spacing w:after="160" w:line="259" w:lineRule="auto"/>
        <w:jc w:val="left"/>
        <w:textAlignment w:val="auto"/>
        <w:rPr>
          <w:rFonts w:cs="Arial"/>
          <w:sz w:val="22"/>
          <w:szCs w:val="22"/>
        </w:rPr>
      </w:pPr>
      <w:r w:rsidRPr="00946600">
        <w:rPr>
          <w:rFonts w:cs="Arial"/>
          <w:sz w:val="22"/>
          <w:szCs w:val="22"/>
        </w:rPr>
        <w:t>general research and benchmarking against other non-official rental statistics</w:t>
      </w:r>
    </w:p>
    <w:p w14:paraId="0D36F034" w14:textId="6D316CA2" w:rsidR="00946600" w:rsidRPr="00946600" w:rsidRDefault="00946600">
      <w:pPr>
        <w:pStyle w:val="ListParagraph"/>
        <w:numPr>
          <w:ilvl w:val="1"/>
          <w:numId w:val="10"/>
        </w:numPr>
        <w:overflowPunct/>
        <w:autoSpaceDE/>
        <w:autoSpaceDN/>
        <w:adjustRightInd/>
        <w:spacing w:after="160" w:line="259" w:lineRule="auto"/>
        <w:jc w:val="left"/>
        <w:textAlignment w:val="auto"/>
        <w:rPr>
          <w:rFonts w:cs="Arial"/>
          <w:sz w:val="22"/>
          <w:szCs w:val="22"/>
        </w:rPr>
      </w:pPr>
      <w:r w:rsidRPr="00946600">
        <w:rPr>
          <w:rFonts w:cs="Arial"/>
          <w:sz w:val="22"/>
          <w:szCs w:val="22"/>
        </w:rPr>
        <w:t>to show local areas where rents appear to be rising faster than wages</w:t>
      </w:r>
    </w:p>
    <w:p w14:paraId="0FA9B51D" w14:textId="1C217472" w:rsidR="00946600" w:rsidRPr="00946600" w:rsidRDefault="00946600">
      <w:pPr>
        <w:pStyle w:val="ListParagraph"/>
        <w:numPr>
          <w:ilvl w:val="1"/>
          <w:numId w:val="10"/>
        </w:numPr>
        <w:overflowPunct/>
        <w:autoSpaceDE/>
        <w:autoSpaceDN/>
        <w:adjustRightInd/>
        <w:spacing w:after="160" w:line="259" w:lineRule="auto"/>
        <w:jc w:val="left"/>
        <w:textAlignment w:val="auto"/>
        <w:rPr>
          <w:rFonts w:cs="Arial"/>
          <w:sz w:val="22"/>
          <w:szCs w:val="22"/>
        </w:rPr>
      </w:pPr>
      <w:r w:rsidRPr="00946600">
        <w:rPr>
          <w:rFonts w:cs="Arial"/>
          <w:sz w:val="22"/>
          <w:szCs w:val="22"/>
        </w:rPr>
        <w:t>government policy development and decision making with respect to property and land management</w:t>
      </w:r>
    </w:p>
    <w:p w14:paraId="7C95D22D" w14:textId="77777777" w:rsidR="00946600" w:rsidRPr="00946600" w:rsidRDefault="00946600" w:rsidP="005C086D">
      <w:pPr>
        <w:pStyle w:val="ListParagraph"/>
        <w:ind w:left="1440"/>
        <w:jc w:val="left"/>
        <w:rPr>
          <w:rFonts w:cs="Arial"/>
          <w:sz w:val="22"/>
          <w:szCs w:val="22"/>
        </w:rPr>
      </w:pPr>
    </w:p>
    <w:p w14:paraId="1AAD14D7" w14:textId="04868B52" w:rsidR="00946600" w:rsidRDefault="00946600" w:rsidP="005C086D">
      <w:pPr>
        <w:pStyle w:val="ListParagraph"/>
        <w:ind w:left="0"/>
        <w:jc w:val="left"/>
        <w:rPr>
          <w:rFonts w:cs="Arial"/>
          <w:sz w:val="22"/>
          <w:szCs w:val="22"/>
        </w:rPr>
      </w:pPr>
      <w:r w:rsidRPr="007604E9">
        <w:rPr>
          <w:rFonts w:cs="Arial"/>
          <w:b/>
          <w:sz w:val="22"/>
          <w:szCs w:val="22"/>
        </w:rPr>
        <w:t>VOA response:</w:t>
      </w:r>
      <w:r w:rsidRPr="00946600">
        <w:rPr>
          <w:rFonts w:cs="Arial"/>
          <w:sz w:val="22"/>
          <w:szCs w:val="22"/>
        </w:rPr>
        <w:t xml:space="preserve"> The VOA </w:t>
      </w:r>
      <w:r w:rsidR="00836FA8">
        <w:rPr>
          <w:rFonts w:cs="Arial"/>
          <w:sz w:val="22"/>
          <w:szCs w:val="22"/>
        </w:rPr>
        <w:t xml:space="preserve">understands it </w:t>
      </w:r>
      <w:r w:rsidRPr="00946600">
        <w:rPr>
          <w:rFonts w:cs="Arial"/>
          <w:sz w:val="22"/>
          <w:szCs w:val="22"/>
        </w:rPr>
        <w:t>has a wide range of users and uses for its PRMS</w:t>
      </w:r>
      <w:r w:rsidR="00E54E36">
        <w:rPr>
          <w:rFonts w:cs="Arial"/>
          <w:sz w:val="22"/>
          <w:szCs w:val="22"/>
        </w:rPr>
        <w:t xml:space="preserve"> and will continue to engage with these users</w:t>
      </w:r>
      <w:r w:rsidR="005C086D">
        <w:rPr>
          <w:rFonts w:cs="Arial"/>
          <w:sz w:val="22"/>
          <w:szCs w:val="22"/>
        </w:rPr>
        <w:t>.</w:t>
      </w:r>
      <w:r w:rsidR="00836FA8">
        <w:rPr>
          <w:rFonts w:cs="Arial"/>
          <w:sz w:val="22"/>
          <w:szCs w:val="22"/>
        </w:rPr>
        <w:t xml:space="preserve"> </w:t>
      </w:r>
    </w:p>
    <w:p w14:paraId="2DA4AEEE" w14:textId="7E06563F" w:rsidR="00B23A8C" w:rsidRDefault="00B23A8C" w:rsidP="00946600">
      <w:pPr>
        <w:pStyle w:val="ListParagraph"/>
        <w:ind w:left="0"/>
        <w:rPr>
          <w:rFonts w:cs="Arial"/>
          <w:sz w:val="22"/>
          <w:szCs w:val="22"/>
        </w:rPr>
      </w:pPr>
    </w:p>
    <w:p w14:paraId="21D7BBCD" w14:textId="77777777" w:rsidR="00B23A8C" w:rsidRDefault="00B23A8C" w:rsidP="00946600">
      <w:pPr>
        <w:pStyle w:val="ListParagraph"/>
        <w:ind w:left="0"/>
        <w:rPr>
          <w:rFonts w:cs="Arial"/>
          <w:sz w:val="22"/>
          <w:szCs w:val="22"/>
        </w:rPr>
      </w:pPr>
    </w:p>
    <w:p w14:paraId="3A1C15D0" w14:textId="77777777" w:rsidR="00B23A8C" w:rsidRDefault="00B23A8C" w:rsidP="00946600">
      <w:pPr>
        <w:pStyle w:val="ListParagraph"/>
        <w:ind w:left="0"/>
        <w:rPr>
          <w:rFonts w:cs="Arial"/>
          <w:sz w:val="22"/>
          <w:szCs w:val="22"/>
        </w:rPr>
      </w:pPr>
    </w:p>
    <w:sectPr w:rsidR="00B23A8C" w:rsidSect="00BC5D2D">
      <w:type w:val="continuous"/>
      <w:pgSz w:w="11909" w:h="16834"/>
      <w:pgMar w:top="720" w:right="720" w:bottom="720" w:left="720" w:header="284" w:footer="142"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802CB" w14:textId="77777777" w:rsidR="008C32FE" w:rsidRDefault="00DF178C">
      <w:pPr>
        <w:spacing w:after="0"/>
      </w:pPr>
      <w:r>
        <w:separator/>
      </w:r>
    </w:p>
  </w:endnote>
  <w:endnote w:type="continuationSeparator" w:id="0">
    <w:p w14:paraId="700C389E" w14:textId="77777777" w:rsidR="008C32FE" w:rsidRDefault="00DF1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8216"/>
      <w:gridCol w:w="1095"/>
    </w:tblGrid>
    <w:tr w:rsidR="00743BCF" w14:paraId="6B193F78" w14:textId="77777777" w:rsidTr="005C4E05">
      <w:trPr>
        <w:trHeight w:val="142"/>
      </w:trPr>
      <w:tc>
        <w:tcPr>
          <w:tcW w:w="500" w:type="pct"/>
          <w:tcBorders>
            <w:top w:val="single" w:sz="4" w:space="0" w:color="008770"/>
            <w:left w:val="single" w:sz="4" w:space="0" w:color="008770"/>
            <w:bottom w:val="single" w:sz="4" w:space="0" w:color="008770"/>
            <w:right w:val="single" w:sz="4" w:space="0" w:color="002F5F"/>
          </w:tcBorders>
          <w:shd w:val="clear" w:color="auto" w:fill="008770"/>
        </w:tcPr>
        <w:p w14:paraId="505CD65E" w14:textId="77777777" w:rsidR="00743BCF" w:rsidRDefault="00C735C5" w:rsidP="00743BCF">
          <w:pPr>
            <w:pStyle w:val="Footer"/>
          </w:pPr>
        </w:p>
      </w:tc>
      <w:tc>
        <w:tcPr>
          <w:tcW w:w="3750" w:type="pct"/>
          <w:tcBorders>
            <w:top w:val="single" w:sz="4" w:space="0" w:color="002F5F"/>
            <w:left w:val="single" w:sz="4" w:space="0" w:color="002F5F"/>
            <w:bottom w:val="single" w:sz="4" w:space="0" w:color="002F5F"/>
            <w:right w:val="single" w:sz="4" w:space="0" w:color="002F5F"/>
          </w:tcBorders>
          <w:shd w:val="clear" w:color="auto" w:fill="002F5F"/>
          <w:vAlign w:val="center"/>
        </w:tcPr>
        <w:p w14:paraId="1498B0C3" w14:textId="367E1F95" w:rsidR="00743BCF" w:rsidRPr="00B718D2" w:rsidRDefault="00CA48A3" w:rsidP="005B520C">
          <w:pPr>
            <w:pStyle w:val="Footer"/>
            <w:spacing w:after="0"/>
            <w:jc w:val="center"/>
            <w:rPr>
              <w:color w:val="FFFFFF"/>
              <w:sz w:val="22"/>
              <w:szCs w:val="22"/>
            </w:rPr>
          </w:pPr>
          <w:r>
            <w:rPr>
              <w:color w:val="FFFFFF"/>
              <w:sz w:val="22"/>
              <w:szCs w:val="22"/>
            </w:rPr>
            <w:t xml:space="preserve">Private Rental Market </w:t>
          </w:r>
          <w:r w:rsidR="005B520C">
            <w:rPr>
              <w:color w:val="FFFFFF"/>
              <w:sz w:val="22"/>
              <w:szCs w:val="22"/>
            </w:rPr>
            <w:t xml:space="preserve">Statistics: User Engagement Questionnaire Results </w:t>
          </w:r>
        </w:p>
      </w:tc>
      <w:tc>
        <w:tcPr>
          <w:tcW w:w="500" w:type="pct"/>
          <w:tcBorders>
            <w:top w:val="single" w:sz="4" w:space="0" w:color="008770"/>
            <w:left w:val="single" w:sz="4" w:space="0" w:color="002F5F"/>
            <w:bottom w:val="single" w:sz="4" w:space="0" w:color="008770"/>
            <w:right w:val="single" w:sz="4" w:space="0" w:color="008770"/>
          </w:tcBorders>
          <w:shd w:val="clear" w:color="auto" w:fill="008770"/>
          <w:vAlign w:val="center"/>
        </w:tcPr>
        <w:p w14:paraId="40C1EFCC" w14:textId="77777777" w:rsidR="00743BCF" w:rsidRPr="003F3460" w:rsidRDefault="00CA48A3" w:rsidP="00743BCF">
          <w:pPr>
            <w:pStyle w:val="Footer"/>
            <w:spacing w:after="0"/>
            <w:rPr>
              <w:b/>
              <w:bCs/>
            </w:rPr>
          </w:pPr>
          <w:r w:rsidRPr="007266BE">
            <w:rPr>
              <w:color w:val="FFFFFF" w:themeColor="background1"/>
            </w:rPr>
            <w:t xml:space="preserve"> </w:t>
          </w:r>
          <w:r w:rsidRPr="007266BE">
            <w:rPr>
              <w:b/>
              <w:bCs/>
              <w:color w:val="FFFFFF" w:themeColor="background1"/>
            </w:rPr>
            <w:fldChar w:fldCharType="begin"/>
          </w:r>
          <w:r w:rsidRPr="007266BE">
            <w:rPr>
              <w:b/>
              <w:bCs/>
              <w:color w:val="FFFFFF" w:themeColor="background1"/>
            </w:rPr>
            <w:instrText xml:space="preserve"> PAGE  \* Arabic  \* MERGEFORMAT </w:instrText>
          </w:r>
          <w:r w:rsidRPr="007266BE">
            <w:rPr>
              <w:b/>
              <w:bCs/>
              <w:color w:val="FFFFFF" w:themeColor="background1"/>
            </w:rPr>
            <w:fldChar w:fldCharType="separate"/>
          </w:r>
          <w:r w:rsidR="00C735C5">
            <w:rPr>
              <w:b/>
              <w:bCs/>
              <w:noProof/>
              <w:color w:val="FFFFFF" w:themeColor="background1"/>
            </w:rPr>
            <w:t>2</w:t>
          </w:r>
          <w:r w:rsidRPr="007266BE">
            <w:rPr>
              <w:b/>
              <w:bCs/>
              <w:color w:val="FFFFFF" w:themeColor="background1"/>
            </w:rPr>
            <w:fldChar w:fldCharType="end"/>
          </w:r>
          <w:r w:rsidRPr="007266BE">
            <w:rPr>
              <w:color w:val="FFFFFF" w:themeColor="background1"/>
            </w:rPr>
            <w:t xml:space="preserve"> of </w:t>
          </w:r>
          <w:r w:rsidRPr="007266BE">
            <w:rPr>
              <w:b/>
              <w:bCs/>
              <w:color w:val="FFFFFF" w:themeColor="background1"/>
            </w:rPr>
            <w:fldChar w:fldCharType="begin"/>
          </w:r>
          <w:r w:rsidRPr="007266BE">
            <w:rPr>
              <w:b/>
              <w:bCs/>
              <w:color w:val="FFFFFF" w:themeColor="background1"/>
            </w:rPr>
            <w:instrText xml:space="preserve"> NUMPAGES  \* Arabic  \* MERGEFORMAT </w:instrText>
          </w:r>
          <w:r w:rsidRPr="007266BE">
            <w:rPr>
              <w:b/>
              <w:bCs/>
              <w:color w:val="FFFFFF" w:themeColor="background1"/>
            </w:rPr>
            <w:fldChar w:fldCharType="separate"/>
          </w:r>
          <w:r w:rsidR="00C735C5">
            <w:rPr>
              <w:b/>
              <w:bCs/>
              <w:noProof/>
              <w:color w:val="FFFFFF" w:themeColor="background1"/>
            </w:rPr>
            <w:t>3</w:t>
          </w:r>
          <w:r w:rsidRPr="007266BE">
            <w:rPr>
              <w:b/>
              <w:bCs/>
              <w:color w:val="FFFFFF" w:themeColor="background1"/>
            </w:rPr>
            <w:fldChar w:fldCharType="end"/>
          </w:r>
        </w:p>
      </w:tc>
    </w:tr>
  </w:tbl>
  <w:p w14:paraId="42A4E10B" w14:textId="77777777" w:rsidR="0024236F" w:rsidRPr="00743BCF" w:rsidRDefault="00C735C5" w:rsidP="0074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7155B" w14:textId="77777777" w:rsidR="008C32FE" w:rsidRDefault="00DF178C">
      <w:pPr>
        <w:spacing w:after="0"/>
      </w:pPr>
      <w:r>
        <w:separator/>
      </w:r>
    </w:p>
  </w:footnote>
  <w:footnote w:type="continuationSeparator" w:id="0">
    <w:p w14:paraId="5EDA2853" w14:textId="77777777" w:rsidR="008C32FE" w:rsidRDefault="00DF178C">
      <w:pPr>
        <w:spacing w:after="0"/>
      </w:pPr>
      <w:r>
        <w:continuationSeparator/>
      </w:r>
    </w:p>
  </w:footnote>
  <w:footnote w:id="1">
    <w:p w14:paraId="02AD4D4F" w14:textId="77777777" w:rsidR="00572667" w:rsidRDefault="00572667" w:rsidP="00572667">
      <w:pPr>
        <w:pStyle w:val="FootnoteText"/>
      </w:pPr>
      <w:r>
        <w:rPr>
          <w:rStyle w:val="FootnoteReference"/>
        </w:rPr>
        <w:footnoteRef/>
      </w:r>
      <w:r w:rsidRPr="008035F7">
        <w:rPr>
          <w:i/>
        </w:rPr>
        <w:t xml:space="preserve"> </w:t>
      </w:r>
      <w:r w:rsidRPr="00F40A90">
        <w:t>Users ranked four options and the first preference was given four points, the next three points and so 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DA75" w14:textId="43801247" w:rsidR="00780F51" w:rsidRDefault="00780F51">
    <w:pPr>
      <w:pStyle w:val="Header"/>
    </w:pPr>
    <w:r>
      <w:t>UNCLASSIFIED</w:t>
    </w:r>
  </w:p>
  <w:p w14:paraId="023E5872" w14:textId="41E95613" w:rsidR="00743BCF" w:rsidRDefault="00C735C5" w:rsidP="00FD187C">
    <w:pPr>
      <w:pStyle w:val="Header"/>
      <w:tabs>
        <w:tab w:val="clear" w:pos="4513"/>
        <w:tab w:val="clear" w:pos="9026"/>
        <w:tab w:val="left" w:pos="57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FF9"/>
    <w:multiLevelType w:val="hybridMultilevel"/>
    <w:tmpl w:val="FD8A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7D3C"/>
    <w:multiLevelType w:val="hybridMultilevel"/>
    <w:tmpl w:val="7B32C586"/>
    <w:lvl w:ilvl="0" w:tplc="8272F62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A33E1"/>
    <w:multiLevelType w:val="hybridMultilevel"/>
    <w:tmpl w:val="1D28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82EBF"/>
    <w:multiLevelType w:val="hybridMultilevel"/>
    <w:tmpl w:val="381CDB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C7AA8"/>
    <w:multiLevelType w:val="hybridMultilevel"/>
    <w:tmpl w:val="7334213C"/>
    <w:lvl w:ilvl="0" w:tplc="9A821B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10BE6"/>
    <w:multiLevelType w:val="hybridMultilevel"/>
    <w:tmpl w:val="320C6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1788B"/>
    <w:multiLevelType w:val="hybridMultilevel"/>
    <w:tmpl w:val="A0BE486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EBF3294"/>
    <w:multiLevelType w:val="hybridMultilevel"/>
    <w:tmpl w:val="4D58BB90"/>
    <w:lvl w:ilvl="0" w:tplc="C136D95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461056"/>
    <w:multiLevelType w:val="hybridMultilevel"/>
    <w:tmpl w:val="F22AC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113C07"/>
    <w:multiLevelType w:val="hybridMultilevel"/>
    <w:tmpl w:val="13AAD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D6E98"/>
    <w:multiLevelType w:val="hybridMultilevel"/>
    <w:tmpl w:val="14C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2563F"/>
    <w:multiLevelType w:val="hybridMultilevel"/>
    <w:tmpl w:val="CBEC9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0D3FF0"/>
    <w:multiLevelType w:val="hybridMultilevel"/>
    <w:tmpl w:val="CA42B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1"/>
  </w:num>
  <w:num w:numId="6">
    <w:abstractNumId w:val="6"/>
  </w:num>
  <w:num w:numId="7">
    <w:abstractNumId w:val="10"/>
  </w:num>
  <w:num w:numId="8">
    <w:abstractNumId w:val="4"/>
  </w:num>
  <w:num w:numId="9">
    <w:abstractNumId w:val="5"/>
  </w:num>
  <w:num w:numId="10">
    <w:abstractNumId w:val="3"/>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77"/>
    <w:rsid w:val="000029A5"/>
    <w:rsid w:val="00014AD2"/>
    <w:rsid w:val="000172CD"/>
    <w:rsid w:val="00046187"/>
    <w:rsid w:val="00050AB1"/>
    <w:rsid w:val="00055F5E"/>
    <w:rsid w:val="00074BB2"/>
    <w:rsid w:val="0007501B"/>
    <w:rsid w:val="00091EDF"/>
    <w:rsid w:val="000B35CC"/>
    <w:rsid w:val="000B525B"/>
    <w:rsid w:val="000B686E"/>
    <w:rsid w:val="000C1919"/>
    <w:rsid w:val="000C345A"/>
    <w:rsid w:val="000D393C"/>
    <w:rsid w:val="000E20CC"/>
    <w:rsid w:val="000E7729"/>
    <w:rsid w:val="000F256E"/>
    <w:rsid w:val="00103D8A"/>
    <w:rsid w:val="00130028"/>
    <w:rsid w:val="001307E4"/>
    <w:rsid w:val="001437AB"/>
    <w:rsid w:val="00145269"/>
    <w:rsid w:val="00166873"/>
    <w:rsid w:val="00171150"/>
    <w:rsid w:val="00183BFB"/>
    <w:rsid w:val="0019095A"/>
    <w:rsid w:val="001A00C9"/>
    <w:rsid w:val="001B06A1"/>
    <w:rsid w:val="001D350D"/>
    <w:rsid w:val="001E36CD"/>
    <w:rsid w:val="001E4203"/>
    <w:rsid w:val="002030BE"/>
    <w:rsid w:val="00203287"/>
    <w:rsid w:val="002212E6"/>
    <w:rsid w:val="002267AE"/>
    <w:rsid w:val="0023315B"/>
    <w:rsid w:val="00244F4A"/>
    <w:rsid w:val="002521B0"/>
    <w:rsid w:val="0028269D"/>
    <w:rsid w:val="0028586A"/>
    <w:rsid w:val="00296E42"/>
    <w:rsid w:val="002A5060"/>
    <w:rsid w:val="002B0017"/>
    <w:rsid w:val="002B183F"/>
    <w:rsid w:val="002B5638"/>
    <w:rsid w:val="002D5AA3"/>
    <w:rsid w:val="002D71AD"/>
    <w:rsid w:val="002D7C69"/>
    <w:rsid w:val="002E59F0"/>
    <w:rsid w:val="002F1D1E"/>
    <w:rsid w:val="003005F4"/>
    <w:rsid w:val="003071C4"/>
    <w:rsid w:val="00313EE9"/>
    <w:rsid w:val="003171E2"/>
    <w:rsid w:val="0032387B"/>
    <w:rsid w:val="003241AA"/>
    <w:rsid w:val="00326F15"/>
    <w:rsid w:val="00333D5A"/>
    <w:rsid w:val="003503D0"/>
    <w:rsid w:val="00350CDA"/>
    <w:rsid w:val="003805D8"/>
    <w:rsid w:val="003866E8"/>
    <w:rsid w:val="0039344E"/>
    <w:rsid w:val="003A1182"/>
    <w:rsid w:val="003D414B"/>
    <w:rsid w:val="0040212B"/>
    <w:rsid w:val="004237C1"/>
    <w:rsid w:val="004468B9"/>
    <w:rsid w:val="004522A3"/>
    <w:rsid w:val="004703BB"/>
    <w:rsid w:val="00474885"/>
    <w:rsid w:val="004858CD"/>
    <w:rsid w:val="00485DD7"/>
    <w:rsid w:val="004A37DF"/>
    <w:rsid w:val="004A445D"/>
    <w:rsid w:val="004A6174"/>
    <w:rsid w:val="004B1E50"/>
    <w:rsid w:val="004C0C72"/>
    <w:rsid w:val="004C15BD"/>
    <w:rsid w:val="004C372C"/>
    <w:rsid w:val="004C54A4"/>
    <w:rsid w:val="004E4F05"/>
    <w:rsid w:val="004F0C81"/>
    <w:rsid w:val="004F2BE2"/>
    <w:rsid w:val="00501B16"/>
    <w:rsid w:val="00505484"/>
    <w:rsid w:val="00532B88"/>
    <w:rsid w:val="00553C13"/>
    <w:rsid w:val="00561462"/>
    <w:rsid w:val="00561F84"/>
    <w:rsid w:val="00572667"/>
    <w:rsid w:val="00584E9D"/>
    <w:rsid w:val="005B520C"/>
    <w:rsid w:val="005B607C"/>
    <w:rsid w:val="005C086D"/>
    <w:rsid w:val="005C4470"/>
    <w:rsid w:val="005E0D50"/>
    <w:rsid w:val="005F03F9"/>
    <w:rsid w:val="00607B4A"/>
    <w:rsid w:val="006207B9"/>
    <w:rsid w:val="00627145"/>
    <w:rsid w:val="00640934"/>
    <w:rsid w:val="00671C95"/>
    <w:rsid w:val="00673835"/>
    <w:rsid w:val="00674743"/>
    <w:rsid w:val="00695665"/>
    <w:rsid w:val="006A1D13"/>
    <w:rsid w:val="006A2482"/>
    <w:rsid w:val="006B2D5F"/>
    <w:rsid w:val="006C0065"/>
    <w:rsid w:val="006C1FB1"/>
    <w:rsid w:val="006E78EC"/>
    <w:rsid w:val="006F475A"/>
    <w:rsid w:val="007011E6"/>
    <w:rsid w:val="00702F06"/>
    <w:rsid w:val="007035D7"/>
    <w:rsid w:val="0070660E"/>
    <w:rsid w:val="00720C71"/>
    <w:rsid w:val="007266BE"/>
    <w:rsid w:val="0075072D"/>
    <w:rsid w:val="007519A1"/>
    <w:rsid w:val="007604E9"/>
    <w:rsid w:val="00761D89"/>
    <w:rsid w:val="00780DEA"/>
    <w:rsid w:val="00780F51"/>
    <w:rsid w:val="007819F5"/>
    <w:rsid w:val="007873EE"/>
    <w:rsid w:val="007A4D70"/>
    <w:rsid w:val="007B0611"/>
    <w:rsid w:val="007C1B91"/>
    <w:rsid w:val="007D5721"/>
    <w:rsid w:val="007E46F0"/>
    <w:rsid w:val="007F5EF9"/>
    <w:rsid w:val="00823402"/>
    <w:rsid w:val="00830B40"/>
    <w:rsid w:val="008312C4"/>
    <w:rsid w:val="00836FA8"/>
    <w:rsid w:val="00846893"/>
    <w:rsid w:val="0088349D"/>
    <w:rsid w:val="00894761"/>
    <w:rsid w:val="008C32FE"/>
    <w:rsid w:val="008D2502"/>
    <w:rsid w:val="008D51B4"/>
    <w:rsid w:val="008F4A61"/>
    <w:rsid w:val="00901FEE"/>
    <w:rsid w:val="009157C3"/>
    <w:rsid w:val="00922C1E"/>
    <w:rsid w:val="00932896"/>
    <w:rsid w:val="00946600"/>
    <w:rsid w:val="00956EF0"/>
    <w:rsid w:val="009610AF"/>
    <w:rsid w:val="00961628"/>
    <w:rsid w:val="00963557"/>
    <w:rsid w:val="009812DA"/>
    <w:rsid w:val="00981DCC"/>
    <w:rsid w:val="00986896"/>
    <w:rsid w:val="0098704B"/>
    <w:rsid w:val="009B06A7"/>
    <w:rsid w:val="009C26F5"/>
    <w:rsid w:val="009C7ECC"/>
    <w:rsid w:val="009D1789"/>
    <w:rsid w:val="009E3EDE"/>
    <w:rsid w:val="00A0125E"/>
    <w:rsid w:val="00A03FA6"/>
    <w:rsid w:val="00A31AE9"/>
    <w:rsid w:val="00A345E9"/>
    <w:rsid w:val="00A44AB7"/>
    <w:rsid w:val="00A5689F"/>
    <w:rsid w:val="00A930DA"/>
    <w:rsid w:val="00A93A23"/>
    <w:rsid w:val="00A970E6"/>
    <w:rsid w:val="00B23A8C"/>
    <w:rsid w:val="00B2531F"/>
    <w:rsid w:val="00B64C30"/>
    <w:rsid w:val="00B77BB0"/>
    <w:rsid w:val="00B77E19"/>
    <w:rsid w:val="00BD561A"/>
    <w:rsid w:val="00BD7E51"/>
    <w:rsid w:val="00BE2375"/>
    <w:rsid w:val="00BF3772"/>
    <w:rsid w:val="00C012D4"/>
    <w:rsid w:val="00C063B7"/>
    <w:rsid w:val="00C23CB0"/>
    <w:rsid w:val="00C27034"/>
    <w:rsid w:val="00C36E10"/>
    <w:rsid w:val="00C42BF0"/>
    <w:rsid w:val="00C45AE0"/>
    <w:rsid w:val="00C56DA0"/>
    <w:rsid w:val="00C57218"/>
    <w:rsid w:val="00C735C5"/>
    <w:rsid w:val="00C93F84"/>
    <w:rsid w:val="00C954E8"/>
    <w:rsid w:val="00C960DD"/>
    <w:rsid w:val="00C967A3"/>
    <w:rsid w:val="00C97023"/>
    <w:rsid w:val="00CA48A3"/>
    <w:rsid w:val="00CA5D16"/>
    <w:rsid w:val="00CC4B00"/>
    <w:rsid w:val="00CC546C"/>
    <w:rsid w:val="00CD0C33"/>
    <w:rsid w:val="00CE75DC"/>
    <w:rsid w:val="00CF66F0"/>
    <w:rsid w:val="00D02244"/>
    <w:rsid w:val="00D063ED"/>
    <w:rsid w:val="00D30177"/>
    <w:rsid w:val="00D3329A"/>
    <w:rsid w:val="00D34BAB"/>
    <w:rsid w:val="00D35572"/>
    <w:rsid w:val="00D452B9"/>
    <w:rsid w:val="00D536E9"/>
    <w:rsid w:val="00D57641"/>
    <w:rsid w:val="00D76802"/>
    <w:rsid w:val="00D862CB"/>
    <w:rsid w:val="00D873E5"/>
    <w:rsid w:val="00DA6CD2"/>
    <w:rsid w:val="00DD207D"/>
    <w:rsid w:val="00DD265D"/>
    <w:rsid w:val="00DE4FAB"/>
    <w:rsid w:val="00DE6BB5"/>
    <w:rsid w:val="00DF1011"/>
    <w:rsid w:val="00DF178C"/>
    <w:rsid w:val="00E04EA7"/>
    <w:rsid w:val="00E54E36"/>
    <w:rsid w:val="00E560C4"/>
    <w:rsid w:val="00E64427"/>
    <w:rsid w:val="00E73E57"/>
    <w:rsid w:val="00E75897"/>
    <w:rsid w:val="00E84DD4"/>
    <w:rsid w:val="00E86C8C"/>
    <w:rsid w:val="00E93EAA"/>
    <w:rsid w:val="00EA2B1A"/>
    <w:rsid w:val="00EC0979"/>
    <w:rsid w:val="00EC1F3D"/>
    <w:rsid w:val="00EC7BC7"/>
    <w:rsid w:val="00ED46A9"/>
    <w:rsid w:val="00EE4E20"/>
    <w:rsid w:val="00EF1C21"/>
    <w:rsid w:val="00EF5039"/>
    <w:rsid w:val="00F01226"/>
    <w:rsid w:val="00F05C4C"/>
    <w:rsid w:val="00F10BDD"/>
    <w:rsid w:val="00F14656"/>
    <w:rsid w:val="00F17D7B"/>
    <w:rsid w:val="00F20377"/>
    <w:rsid w:val="00F36757"/>
    <w:rsid w:val="00F47479"/>
    <w:rsid w:val="00F5359B"/>
    <w:rsid w:val="00F5401E"/>
    <w:rsid w:val="00F5745F"/>
    <w:rsid w:val="00F6391E"/>
    <w:rsid w:val="00FA2764"/>
    <w:rsid w:val="00FA3CA8"/>
    <w:rsid w:val="00FA6425"/>
    <w:rsid w:val="00FB7985"/>
    <w:rsid w:val="00FC2F15"/>
    <w:rsid w:val="00FC6450"/>
    <w:rsid w:val="00FD187C"/>
    <w:rsid w:val="00FE0CE1"/>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1B4BD"/>
  <w15:chartTrackingRefBased/>
  <w15:docId w15:val="{D61AC9D3-0266-4769-9362-DEDB6636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77"/>
    <w:pPr>
      <w:overflowPunct w:val="0"/>
      <w:autoSpaceDE w:val="0"/>
      <w:autoSpaceDN w:val="0"/>
      <w:adjustRightInd w:val="0"/>
      <w:spacing w:after="120"/>
      <w:jc w:val="both"/>
      <w:textAlignment w:val="baseline"/>
    </w:pPr>
    <w:rPr>
      <w:sz w:val="20"/>
      <w:lang w:eastAsia="en-US"/>
    </w:rPr>
  </w:style>
  <w:style w:type="paragraph" w:styleId="Heading1">
    <w:name w:val="heading 1"/>
    <w:basedOn w:val="Normal"/>
    <w:next w:val="Normal"/>
    <w:link w:val="Heading1Char"/>
    <w:qFormat/>
    <w:rsid w:val="00F20377"/>
    <w:pPr>
      <w:spacing w:before="120"/>
      <w:jc w:val="left"/>
      <w:outlineLvl w:val="0"/>
    </w:pPr>
    <w:rPr>
      <w:rFonts w:cs="Arial"/>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F20377"/>
    <w:rPr>
      <w:rFonts w:cs="Arial"/>
      <w:b/>
      <w:color w:val="FFFFFF"/>
      <w:szCs w:val="24"/>
      <w:lang w:eastAsia="en-US"/>
    </w:rPr>
  </w:style>
  <w:style w:type="paragraph" w:styleId="Footer">
    <w:name w:val="footer"/>
    <w:basedOn w:val="Normal"/>
    <w:link w:val="FooterChar"/>
    <w:uiPriority w:val="99"/>
    <w:rsid w:val="00F20377"/>
    <w:pPr>
      <w:tabs>
        <w:tab w:val="center" w:pos="4153"/>
        <w:tab w:val="right" w:pos="8306"/>
      </w:tabs>
    </w:pPr>
  </w:style>
  <w:style w:type="character" w:customStyle="1" w:styleId="FooterChar">
    <w:name w:val="Footer Char"/>
    <w:basedOn w:val="DefaultParagraphFont"/>
    <w:link w:val="Footer"/>
    <w:uiPriority w:val="99"/>
    <w:rsid w:val="00F20377"/>
    <w:rPr>
      <w:sz w:val="20"/>
      <w:lang w:eastAsia="en-US"/>
    </w:rPr>
  </w:style>
  <w:style w:type="character" w:styleId="Hyperlink">
    <w:name w:val="Hyperlink"/>
    <w:uiPriority w:val="99"/>
    <w:rsid w:val="00F20377"/>
    <w:rPr>
      <w:color w:val="0000FF"/>
      <w:u w:val="single"/>
    </w:rPr>
  </w:style>
  <w:style w:type="paragraph" w:styleId="NormalWeb">
    <w:name w:val="Normal (Web)"/>
    <w:basedOn w:val="Normal"/>
    <w:rsid w:val="00F20377"/>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Default">
    <w:name w:val="Default"/>
    <w:rsid w:val="00F20377"/>
    <w:pPr>
      <w:autoSpaceDE w:val="0"/>
      <w:autoSpaceDN w:val="0"/>
      <w:adjustRightInd w:val="0"/>
    </w:pPr>
    <w:rPr>
      <w:rFonts w:cs="Arial"/>
      <w:color w:val="000000"/>
      <w:szCs w:val="24"/>
    </w:rPr>
  </w:style>
  <w:style w:type="paragraph" w:styleId="TOC1">
    <w:name w:val="toc 1"/>
    <w:basedOn w:val="Normal"/>
    <w:next w:val="Normal"/>
    <w:autoRedefine/>
    <w:uiPriority w:val="39"/>
    <w:rsid w:val="00F20377"/>
    <w:pPr>
      <w:tabs>
        <w:tab w:val="left" w:pos="2694"/>
        <w:tab w:val="right" w:leader="dot" w:pos="6728"/>
      </w:tabs>
    </w:pPr>
  </w:style>
  <w:style w:type="paragraph" w:styleId="Header">
    <w:name w:val="header"/>
    <w:basedOn w:val="Normal"/>
    <w:link w:val="HeaderChar"/>
    <w:uiPriority w:val="99"/>
    <w:rsid w:val="00F20377"/>
    <w:pPr>
      <w:tabs>
        <w:tab w:val="center" w:pos="4513"/>
        <w:tab w:val="right" w:pos="9026"/>
      </w:tabs>
    </w:pPr>
  </w:style>
  <w:style w:type="character" w:customStyle="1" w:styleId="HeaderChar">
    <w:name w:val="Header Char"/>
    <w:basedOn w:val="DefaultParagraphFont"/>
    <w:link w:val="Header"/>
    <w:uiPriority w:val="99"/>
    <w:rsid w:val="00F20377"/>
    <w:rPr>
      <w:sz w:val="20"/>
      <w:lang w:eastAsia="en-US"/>
    </w:rPr>
  </w:style>
  <w:style w:type="paragraph" w:styleId="FootnoteText">
    <w:name w:val="footnote text"/>
    <w:basedOn w:val="Normal"/>
    <w:link w:val="FootnoteTextChar"/>
    <w:uiPriority w:val="99"/>
    <w:rsid w:val="000F256E"/>
    <w:pPr>
      <w:spacing w:after="0"/>
    </w:pPr>
  </w:style>
  <w:style w:type="character" w:customStyle="1" w:styleId="FootnoteTextChar">
    <w:name w:val="Footnote Text Char"/>
    <w:basedOn w:val="DefaultParagraphFont"/>
    <w:link w:val="FootnoteText"/>
    <w:uiPriority w:val="99"/>
    <w:rsid w:val="000F256E"/>
    <w:rPr>
      <w:sz w:val="20"/>
      <w:lang w:eastAsia="en-US"/>
    </w:rPr>
  </w:style>
  <w:style w:type="character" w:styleId="FootnoteReference">
    <w:name w:val="footnote reference"/>
    <w:basedOn w:val="DefaultParagraphFont"/>
    <w:uiPriority w:val="99"/>
    <w:rsid w:val="000F256E"/>
    <w:rPr>
      <w:vertAlign w:val="superscript"/>
    </w:rPr>
  </w:style>
  <w:style w:type="paragraph" w:styleId="ListParagraph">
    <w:name w:val="List Paragraph"/>
    <w:basedOn w:val="Normal"/>
    <w:uiPriority w:val="34"/>
    <w:qFormat/>
    <w:rsid w:val="004A6174"/>
    <w:pPr>
      <w:ind w:left="720"/>
      <w:contextualSpacing/>
    </w:pPr>
  </w:style>
  <w:style w:type="paragraph" w:styleId="BalloonText">
    <w:name w:val="Balloon Text"/>
    <w:basedOn w:val="Normal"/>
    <w:link w:val="BalloonTextChar"/>
    <w:rsid w:val="002B5638"/>
    <w:pPr>
      <w:spacing w:after="0"/>
    </w:pPr>
    <w:rPr>
      <w:rFonts w:ascii="Segoe UI" w:hAnsi="Segoe UI" w:cs="Segoe UI"/>
      <w:sz w:val="18"/>
      <w:szCs w:val="18"/>
    </w:rPr>
  </w:style>
  <w:style w:type="character" w:customStyle="1" w:styleId="BalloonTextChar">
    <w:name w:val="Balloon Text Char"/>
    <w:basedOn w:val="DefaultParagraphFont"/>
    <w:link w:val="BalloonText"/>
    <w:rsid w:val="002B5638"/>
    <w:rPr>
      <w:rFonts w:ascii="Segoe UI" w:hAnsi="Segoe UI" w:cs="Segoe UI"/>
      <w:sz w:val="18"/>
      <w:szCs w:val="18"/>
      <w:lang w:eastAsia="en-US"/>
    </w:rPr>
  </w:style>
  <w:style w:type="character" w:styleId="CommentReference">
    <w:name w:val="annotation reference"/>
    <w:basedOn w:val="DefaultParagraphFont"/>
    <w:rsid w:val="00FC6450"/>
    <w:rPr>
      <w:sz w:val="16"/>
      <w:szCs w:val="16"/>
    </w:rPr>
  </w:style>
  <w:style w:type="paragraph" w:styleId="CommentText">
    <w:name w:val="annotation text"/>
    <w:basedOn w:val="Normal"/>
    <w:link w:val="CommentTextChar"/>
    <w:rsid w:val="00FC6450"/>
  </w:style>
  <w:style w:type="character" w:customStyle="1" w:styleId="CommentTextChar">
    <w:name w:val="Comment Text Char"/>
    <w:basedOn w:val="DefaultParagraphFont"/>
    <w:link w:val="CommentText"/>
    <w:rsid w:val="00FC6450"/>
    <w:rPr>
      <w:sz w:val="20"/>
      <w:lang w:eastAsia="en-US"/>
    </w:rPr>
  </w:style>
  <w:style w:type="paragraph" w:styleId="CommentSubject">
    <w:name w:val="annotation subject"/>
    <w:basedOn w:val="CommentText"/>
    <w:next w:val="CommentText"/>
    <w:link w:val="CommentSubjectChar"/>
    <w:rsid w:val="00FC6450"/>
    <w:rPr>
      <w:b/>
      <w:bCs/>
    </w:rPr>
  </w:style>
  <w:style w:type="character" w:customStyle="1" w:styleId="CommentSubjectChar">
    <w:name w:val="Comment Subject Char"/>
    <w:basedOn w:val="CommentTextChar"/>
    <w:link w:val="CommentSubject"/>
    <w:rsid w:val="00FC6450"/>
    <w:rPr>
      <w:b/>
      <w:bCs/>
      <w:sz w:val="20"/>
      <w:lang w:eastAsia="en-US"/>
    </w:rPr>
  </w:style>
  <w:style w:type="character" w:styleId="FollowedHyperlink">
    <w:name w:val="FollowedHyperlink"/>
    <w:basedOn w:val="DefaultParagraphFont"/>
    <w:rsid w:val="003866E8"/>
    <w:rPr>
      <w:color w:val="954F72" w:themeColor="followedHyperlink"/>
      <w:u w:val="single"/>
    </w:rPr>
  </w:style>
  <w:style w:type="paragraph" w:styleId="Revision">
    <w:name w:val="Revision"/>
    <w:hidden/>
    <w:uiPriority w:val="99"/>
    <w:semiHidden/>
    <w:rsid w:val="00145269"/>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ons/guide-method/user-guidance/prices/cpi-and-rpi/explaining-private-rental-growth.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DDD1-56A1-44AE-A273-2A69A15C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FFFC7009</Template>
  <TotalTime>12</TotalTime>
  <Pages>3</Pages>
  <Words>1590</Words>
  <Characters>8474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Adrian</dc:creator>
  <cp:keywords/>
  <dc:description/>
  <cp:lastModifiedBy>Davis, Robin</cp:lastModifiedBy>
  <cp:revision>4</cp:revision>
  <cp:lastPrinted>2016-07-05T09:00:00Z</cp:lastPrinted>
  <dcterms:created xsi:type="dcterms:W3CDTF">2016-07-12T13:26:00Z</dcterms:created>
  <dcterms:modified xsi:type="dcterms:W3CDTF">2016-07-20T09:05:00Z</dcterms:modified>
</cp:coreProperties>
</file>