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5D" w:rsidRPr="00DE5B50" w:rsidRDefault="007F2D5D" w:rsidP="0015558D">
      <w:pPr>
        <w:pStyle w:val="Default"/>
        <w:rPr>
          <w:sz w:val="52"/>
          <w:szCs w:val="52"/>
        </w:rPr>
      </w:pPr>
      <w:r w:rsidRPr="00DE5B50">
        <w:rPr>
          <w:b/>
          <w:bCs/>
          <w:sz w:val="52"/>
          <w:szCs w:val="52"/>
        </w:rPr>
        <w:t>Annex A</w:t>
      </w:r>
    </w:p>
    <w:p w:rsidR="007F2D5D" w:rsidRDefault="007F2D5D" w:rsidP="0015558D">
      <w:pPr>
        <w:rPr>
          <w:sz w:val="48"/>
          <w:szCs w:val="48"/>
        </w:rPr>
      </w:pPr>
      <w:bookmarkStart w:id="0" w:name="_GoBack"/>
      <w:r w:rsidRPr="00DE5B50">
        <w:rPr>
          <w:sz w:val="48"/>
          <w:szCs w:val="48"/>
        </w:rPr>
        <w:t>Changes to published</w:t>
      </w:r>
      <w:r>
        <w:rPr>
          <w:sz w:val="48"/>
          <w:szCs w:val="48"/>
        </w:rPr>
        <w:t xml:space="preserve"> </w:t>
      </w:r>
      <w:r w:rsidRPr="00DE5B50">
        <w:rPr>
          <w:sz w:val="48"/>
          <w:szCs w:val="48"/>
        </w:rPr>
        <w:t xml:space="preserve">Home Detention Curfew caseload </w:t>
      </w:r>
    </w:p>
    <w:bookmarkEnd w:id="0"/>
    <w:p w:rsidR="007F2D5D" w:rsidRDefault="00B351FC" w:rsidP="0015558D">
      <w:r>
        <w:rPr>
          <w:sz w:val="23"/>
          <w:szCs w:val="23"/>
        </w:rPr>
        <w:t xml:space="preserve">1 April </w:t>
      </w:r>
      <w:r w:rsidR="007F2D5D" w:rsidRPr="00DE5B50">
        <w:rPr>
          <w:sz w:val="23"/>
          <w:szCs w:val="23"/>
        </w:rPr>
        <w:t>2016</w:t>
      </w:r>
      <w:r w:rsidR="007F2D5D">
        <w:br w:type="page"/>
      </w:r>
    </w:p>
    <w:p w:rsidR="007F2D5D" w:rsidRDefault="007F2D5D" w:rsidP="00CD13FA">
      <w:pPr>
        <w:pStyle w:val="Default"/>
        <w:rPr>
          <w:b/>
          <w:bCs/>
          <w:sz w:val="32"/>
          <w:szCs w:val="32"/>
        </w:rPr>
      </w:pPr>
      <w:r>
        <w:rPr>
          <w:b/>
          <w:bCs/>
          <w:sz w:val="32"/>
          <w:szCs w:val="32"/>
        </w:rPr>
        <w:t xml:space="preserve">Introduction </w:t>
      </w:r>
    </w:p>
    <w:p w:rsidR="007F2D5D" w:rsidRDefault="007F2D5D" w:rsidP="00CD13FA">
      <w:pPr>
        <w:pStyle w:val="Default"/>
        <w:rPr>
          <w:sz w:val="32"/>
          <w:szCs w:val="32"/>
        </w:rPr>
      </w:pPr>
    </w:p>
    <w:p w:rsidR="007F2D5D" w:rsidRPr="00FC22F7" w:rsidRDefault="007F2D5D" w:rsidP="00FC22F7">
      <w:r>
        <w:t xml:space="preserve">From this edition of Population Bulletin: weekly, as a result of improvements to the administrative data source, we are able refine our figures for the number of prisoners currently held under Home Detention Curfew. </w:t>
      </w:r>
      <w:r w:rsidRPr="00FC22F7">
        <w:t>HDC allows for the early release of suitable, low-risk offenders, subject to an electronically monitored curfew.</w:t>
      </w:r>
    </w:p>
    <w:p w:rsidR="007F2D5D" w:rsidRPr="00E2736C" w:rsidRDefault="007F2D5D" w:rsidP="0015558D">
      <w:pPr>
        <w:pStyle w:val="Default"/>
        <w:rPr>
          <w:sz w:val="22"/>
          <w:szCs w:val="22"/>
        </w:rPr>
      </w:pPr>
    </w:p>
    <w:p w:rsidR="007F2D5D" w:rsidRDefault="007F2D5D" w:rsidP="0015558D">
      <w:pPr>
        <w:pStyle w:val="Default"/>
        <w:rPr>
          <w:rFonts w:ascii="Calibri" w:hAnsi="Calibri" w:cs="Times New Roman"/>
          <w:color w:val="auto"/>
          <w:sz w:val="22"/>
          <w:szCs w:val="22"/>
        </w:rPr>
      </w:pPr>
    </w:p>
    <w:p w:rsidR="007F2D5D" w:rsidRDefault="007F2D5D" w:rsidP="0015558D">
      <w:pPr>
        <w:pStyle w:val="Default"/>
        <w:rPr>
          <w:b/>
          <w:bCs/>
          <w:sz w:val="22"/>
          <w:szCs w:val="22"/>
        </w:rPr>
      </w:pPr>
      <w:r w:rsidRPr="0015558D">
        <w:rPr>
          <w:b/>
          <w:bCs/>
          <w:sz w:val="22"/>
          <w:szCs w:val="22"/>
        </w:rPr>
        <w:t xml:space="preserve">Changes to </w:t>
      </w:r>
      <w:r>
        <w:rPr>
          <w:b/>
          <w:bCs/>
          <w:sz w:val="22"/>
          <w:szCs w:val="22"/>
        </w:rPr>
        <w:t>reporting of Home Detention Curfew caseload</w:t>
      </w:r>
    </w:p>
    <w:p w:rsidR="007F2D5D" w:rsidRPr="0015558D" w:rsidRDefault="007F2D5D" w:rsidP="0015558D">
      <w:pPr>
        <w:pStyle w:val="Default"/>
        <w:rPr>
          <w:b/>
          <w:bCs/>
          <w:sz w:val="22"/>
          <w:szCs w:val="22"/>
        </w:rPr>
      </w:pPr>
    </w:p>
    <w:p w:rsidR="007F2D5D" w:rsidRDefault="007F2D5D" w:rsidP="00CD13FA">
      <w:pPr>
        <w:pStyle w:val="Default"/>
        <w:rPr>
          <w:b/>
          <w:bCs/>
          <w:sz w:val="22"/>
          <w:szCs w:val="22"/>
        </w:rPr>
      </w:pPr>
    </w:p>
    <w:p w:rsidR="007F2D5D" w:rsidRDefault="007F2D5D" w:rsidP="00CD13FA">
      <w:pPr>
        <w:pStyle w:val="Default"/>
        <w:rPr>
          <w:b/>
          <w:bCs/>
          <w:sz w:val="22"/>
          <w:szCs w:val="22"/>
        </w:rPr>
      </w:pPr>
      <w:r>
        <w:rPr>
          <w:b/>
          <w:bCs/>
          <w:sz w:val="22"/>
          <w:szCs w:val="22"/>
        </w:rPr>
        <w:t>Previous Home Detention Curfew caseload</w:t>
      </w:r>
    </w:p>
    <w:p w:rsidR="007F2D5D" w:rsidRDefault="007F2D5D" w:rsidP="00CD13FA">
      <w:pPr>
        <w:pStyle w:val="Default"/>
        <w:rPr>
          <w:b/>
          <w:bCs/>
          <w:sz w:val="22"/>
          <w:szCs w:val="22"/>
        </w:rPr>
      </w:pPr>
    </w:p>
    <w:p w:rsidR="007F2D5D" w:rsidRDefault="007F2D5D" w:rsidP="00FC22F7">
      <w:r>
        <w:t>Previously these figures included all those where:</w:t>
      </w:r>
    </w:p>
    <w:p w:rsidR="007F2D5D" w:rsidRDefault="007F2D5D" w:rsidP="00D9720B">
      <w:pPr>
        <w:numPr>
          <w:ilvl w:val="0"/>
          <w:numId w:val="1"/>
        </w:numPr>
      </w:pPr>
      <w:r>
        <w:t xml:space="preserve">the last movement of the prisoner is recorded as a “Home Detention Release” and </w:t>
      </w:r>
    </w:p>
    <w:p w:rsidR="007F2D5D" w:rsidRPr="00FC22F7" w:rsidRDefault="007F2D5D" w:rsidP="00D9720B">
      <w:pPr>
        <w:numPr>
          <w:ilvl w:val="0"/>
          <w:numId w:val="1"/>
        </w:numPr>
      </w:pPr>
      <w:proofErr w:type="gramStart"/>
      <w:r>
        <w:t>the</w:t>
      </w:r>
      <w:proofErr w:type="gramEnd"/>
      <w:r>
        <w:t xml:space="preserve"> expected release date (either</w:t>
      </w:r>
      <w:r w:rsidRPr="0090671C">
        <w:t xml:space="preserve"> Automatic Release Date or Conditional Release Date) </w:t>
      </w:r>
      <w:r>
        <w:t>is later than data extraction date.</w:t>
      </w:r>
    </w:p>
    <w:p w:rsidR="007F2D5D" w:rsidRDefault="007F2D5D" w:rsidP="00CD13FA">
      <w:pPr>
        <w:pStyle w:val="Default"/>
        <w:rPr>
          <w:b/>
          <w:bCs/>
          <w:sz w:val="22"/>
          <w:szCs w:val="22"/>
        </w:rPr>
      </w:pPr>
    </w:p>
    <w:p w:rsidR="007F2D5D" w:rsidRDefault="007F2D5D" w:rsidP="0090419C">
      <w:pPr>
        <w:pStyle w:val="Default"/>
        <w:rPr>
          <w:b/>
          <w:bCs/>
          <w:sz w:val="22"/>
          <w:szCs w:val="22"/>
        </w:rPr>
      </w:pPr>
      <w:r>
        <w:rPr>
          <w:b/>
          <w:bCs/>
          <w:sz w:val="22"/>
          <w:szCs w:val="22"/>
        </w:rPr>
        <w:t xml:space="preserve">New Home Detention Curfew caseload </w:t>
      </w:r>
    </w:p>
    <w:p w:rsidR="007F2D5D" w:rsidRDefault="007F2D5D" w:rsidP="0090419C">
      <w:pPr>
        <w:pStyle w:val="Default"/>
        <w:rPr>
          <w:b/>
          <w:bCs/>
          <w:sz w:val="22"/>
          <w:szCs w:val="22"/>
        </w:rPr>
      </w:pPr>
    </w:p>
    <w:p w:rsidR="007F2D5D" w:rsidRDefault="007F2D5D" w:rsidP="00FC22F7">
      <w:r>
        <w:t xml:space="preserve">As of </w:t>
      </w:r>
      <w:r w:rsidR="00B351FC">
        <w:t>1</w:t>
      </w:r>
      <w:r w:rsidR="00B351FC" w:rsidRPr="001C22A8">
        <w:rPr>
          <w:vertAlign w:val="superscript"/>
        </w:rPr>
        <w:t>st</w:t>
      </w:r>
      <w:r w:rsidR="00B351FC">
        <w:t xml:space="preserve"> April </w:t>
      </w:r>
      <w:r>
        <w:t>2016 these figures will still include all those where the last movement of the prisoner is recorded as a “Home Detention Release” and the expected release date is later than the current date, as previously. However, the new data source allows us to apply further criteria to the extraction process in which to reflect the maximum period that an individual can spend on HDC (135 days).</w:t>
      </w:r>
    </w:p>
    <w:p w:rsidR="007F2D5D" w:rsidRPr="00FC22F7" w:rsidRDefault="007F2D5D" w:rsidP="00FC22F7">
      <w:r>
        <w:t>Any individual where the last recorded movement is a “Home Detention Curfew” release, and the date was in excess of 135 days prior to the extract date, will now be excluded from these figures and no longer considered to be part of the HDC caseload.</w:t>
      </w:r>
    </w:p>
    <w:p w:rsidR="007F2D5D" w:rsidRDefault="007F2D5D" w:rsidP="00644198">
      <w:r>
        <w:t> </w:t>
      </w:r>
    </w:p>
    <w:p w:rsidR="007F2D5D" w:rsidRDefault="007F2D5D" w:rsidP="00AC2571">
      <w:pPr>
        <w:pStyle w:val="Default"/>
        <w:rPr>
          <w:b/>
          <w:bCs/>
          <w:sz w:val="22"/>
          <w:szCs w:val="22"/>
        </w:rPr>
      </w:pPr>
      <w:r>
        <w:rPr>
          <w:b/>
          <w:bCs/>
          <w:sz w:val="22"/>
          <w:szCs w:val="22"/>
        </w:rPr>
        <w:t>Comparative data</w:t>
      </w:r>
    </w:p>
    <w:p w:rsidR="007F2D5D" w:rsidRDefault="007F2D5D" w:rsidP="00AC2571">
      <w:r>
        <w:t>This change means that we will now show a lower Home Detention Curfew caseload although the trend is expected to be unchanged. Please see table 1 below for comparative data for the past three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2102"/>
        <w:gridCol w:w="2102"/>
        <w:gridCol w:w="2102"/>
      </w:tblGrid>
      <w:tr w:rsidR="007F2D5D" w:rsidTr="00310548">
        <w:tc>
          <w:tcPr>
            <w:tcW w:w="2710" w:type="dxa"/>
          </w:tcPr>
          <w:p w:rsidR="007F2D5D" w:rsidRDefault="007F2D5D" w:rsidP="00AC2571">
            <w:r>
              <w:t>Table 1</w:t>
            </w:r>
          </w:p>
        </w:tc>
        <w:tc>
          <w:tcPr>
            <w:tcW w:w="2102" w:type="dxa"/>
          </w:tcPr>
          <w:p w:rsidR="007F2D5D" w:rsidRDefault="007F2D5D" w:rsidP="00310548">
            <w:pPr>
              <w:jc w:val="center"/>
            </w:pPr>
            <w:r>
              <w:t>29/01/2016</w:t>
            </w:r>
          </w:p>
        </w:tc>
        <w:tc>
          <w:tcPr>
            <w:tcW w:w="2102" w:type="dxa"/>
          </w:tcPr>
          <w:p w:rsidR="007F2D5D" w:rsidRDefault="007F2D5D" w:rsidP="00310548">
            <w:pPr>
              <w:jc w:val="center"/>
            </w:pPr>
            <w:r>
              <w:t>26/02/2016</w:t>
            </w:r>
          </w:p>
        </w:tc>
        <w:tc>
          <w:tcPr>
            <w:tcW w:w="2102" w:type="dxa"/>
          </w:tcPr>
          <w:p w:rsidR="007F2D5D" w:rsidRDefault="00B351FC" w:rsidP="00310548">
            <w:pPr>
              <w:jc w:val="center"/>
            </w:pPr>
            <w:r>
              <w:t>1/4/2016</w:t>
            </w:r>
          </w:p>
        </w:tc>
      </w:tr>
      <w:tr w:rsidR="007F2D5D" w:rsidTr="00310548">
        <w:tc>
          <w:tcPr>
            <w:tcW w:w="2710" w:type="dxa"/>
          </w:tcPr>
          <w:p w:rsidR="007F2D5D" w:rsidRDefault="007F2D5D" w:rsidP="00AC2571">
            <w:r>
              <w:t>Previous HDC caseload data</w:t>
            </w:r>
          </w:p>
        </w:tc>
        <w:tc>
          <w:tcPr>
            <w:tcW w:w="2102" w:type="dxa"/>
          </w:tcPr>
          <w:p w:rsidR="007F2D5D" w:rsidRDefault="007F2D5D" w:rsidP="00310548">
            <w:pPr>
              <w:jc w:val="center"/>
            </w:pPr>
            <w:r>
              <w:t>2,119</w:t>
            </w:r>
          </w:p>
        </w:tc>
        <w:tc>
          <w:tcPr>
            <w:tcW w:w="2102" w:type="dxa"/>
          </w:tcPr>
          <w:p w:rsidR="007F2D5D" w:rsidRDefault="007F2D5D" w:rsidP="00310548">
            <w:pPr>
              <w:jc w:val="center"/>
            </w:pPr>
            <w:r>
              <w:t>2,064</w:t>
            </w:r>
          </w:p>
        </w:tc>
        <w:tc>
          <w:tcPr>
            <w:tcW w:w="2102" w:type="dxa"/>
          </w:tcPr>
          <w:p w:rsidR="007F2D5D" w:rsidRDefault="0060198B" w:rsidP="00310548">
            <w:pPr>
              <w:jc w:val="center"/>
            </w:pPr>
            <w:r>
              <w:t>2,102</w:t>
            </w:r>
          </w:p>
        </w:tc>
      </w:tr>
      <w:tr w:rsidR="007F2D5D" w:rsidTr="00310548">
        <w:tc>
          <w:tcPr>
            <w:tcW w:w="2710" w:type="dxa"/>
          </w:tcPr>
          <w:p w:rsidR="007F2D5D" w:rsidRDefault="007F2D5D" w:rsidP="004B1806">
            <w:r>
              <w:t>New HDC caseload data</w:t>
            </w:r>
          </w:p>
        </w:tc>
        <w:tc>
          <w:tcPr>
            <w:tcW w:w="2102" w:type="dxa"/>
          </w:tcPr>
          <w:p w:rsidR="007F2D5D" w:rsidRDefault="007F2D5D" w:rsidP="00310548">
            <w:pPr>
              <w:jc w:val="center"/>
            </w:pPr>
            <w:r>
              <w:t>1,963</w:t>
            </w:r>
          </w:p>
        </w:tc>
        <w:tc>
          <w:tcPr>
            <w:tcW w:w="2102" w:type="dxa"/>
          </w:tcPr>
          <w:p w:rsidR="007F2D5D" w:rsidRDefault="007F2D5D" w:rsidP="00310548">
            <w:pPr>
              <w:jc w:val="center"/>
            </w:pPr>
            <w:r>
              <w:t>1,891</w:t>
            </w:r>
          </w:p>
        </w:tc>
        <w:tc>
          <w:tcPr>
            <w:tcW w:w="2102" w:type="dxa"/>
          </w:tcPr>
          <w:p w:rsidR="007F2D5D" w:rsidRDefault="00B351FC" w:rsidP="00310548">
            <w:pPr>
              <w:jc w:val="center"/>
            </w:pPr>
            <w:r>
              <w:t>1,927</w:t>
            </w:r>
          </w:p>
        </w:tc>
      </w:tr>
      <w:tr w:rsidR="007F2D5D" w:rsidTr="00310548">
        <w:tc>
          <w:tcPr>
            <w:tcW w:w="2710" w:type="dxa"/>
          </w:tcPr>
          <w:p w:rsidR="007F2D5D" w:rsidRDefault="007F2D5D" w:rsidP="004B1806">
            <w:r>
              <w:t>Difference (%)</w:t>
            </w:r>
          </w:p>
        </w:tc>
        <w:tc>
          <w:tcPr>
            <w:tcW w:w="2102" w:type="dxa"/>
          </w:tcPr>
          <w:p w:rsidR="007F2D5D" w:rsidRDefault="007F2D5D" w:rsidP="00310548">
            <w:pPr>
              <w:jc w:val="center"/>
            </w:pPr>
            <w:r>
              <w:t>-156 (-7%)</w:t>
            </w:r>
          </w:p>
        </w:tc>
        <w:tc>
          <w:tcPr>
            <w:tcW w:w="2102" w:type="dxa"/>
          </w:tcPr>
          <w:p w:rsidR="007F2D5D" w:rsidRDefault="007F2D5D" w:rsidP="00F806AA">
            <w:pPr>
              <w:jc w:val="center"/>
            </w:pPr>
            <w:r>
              <w:t>-173 (-8%)</w:t>
            </w:r>
          </w:p>
        </w:tc>
        <w:tc>
          <w:tcPr>
            <w:tcW w:w="2102" w:type="dxa"/>
          </w:tcPr>
          <w:p w:rsidR="007F2D5D" w:rsidRDefault="0060198B" w:rsidP="00310548">
            <w:pPr>
              <w:jc w:val="center"/>
            </w:pPr>
            <w:r>
              <w:t>-175 (-8%)</w:t>
            </w:r>
          </w:p>
        </w:tc>
      </w:tr>
    </w:tbl>
    <w:p w:rsidR="007F2D5D" w:rsidRDefault="007F2D5D" w:rsidP="0039266C"/>
    <w:sectPr w:rsidR="007F2D5D" w:rsidSect="00C73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0F0"/>
    <w:multiLevelType w:val="hybridMultilevel"/>
    <w:tmpl w:val="1230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11C"/>
    <w:rsid w:val="00053E98"/>
    <w:rsid w:val="0015558D"/>
    <w:rsid w:val="001C22A8"/>
    <w:rsid w:val="00302ACA"/>
    <w:rsid w:val="00310548"/>
    <w:rsid w:val="0039266C"/>
    <w:rsid w:val="00402380"/>
    <w:rsid w:val="0048763A"/>
    <w:rsid w:val="004B1806"/>
    <w:rsid w:val="004B1D89"/>
    <w:rsid w:val="004D6FF8"/>
    <w:rsid w:val="0059576A"/>
    <w:rsid w:val="005E4851"/>
    <w:rsid w:val="0060198B"/>
    <w:rsid w:val="00644198"/>
    <w:rsid w:val="00754022"/>
    <w:rsid w:val="00762AC0"/>
    <w:rsid w:val="00762E01"/>
    <w:rsid w:val="007770AC"/>
    <w:rsid w:val="00794E30"/>
    <w:rsid w:val="007F2D5D"/>
    <w:rsid w:val="008C3D3B"/>
    <w:rsid w:val="0090011C"/>
    <w:rsid w:val="0090419C"/>
    <w:rsid w:val="0090671C"/>
    <w:rsid w:val="00936B3C"/>
    <w:rsid w:val="009865E2"/>
    <w:rsid w:val="00AA2556"/>
    <w:rsid w:val="00AC2571"/>
    <w:rsid w:val="00B351FC"/>
    <w:rsid w:val="00B75A07"/>
    <w:rsid w:val="00B87019"/>
    <w:rsid w:val="00C73A3A"/>
    <w:rsid w:val="00CD13FA"/>
    <w:rsid w:val="00D828DD"/>
    <w:rsid w:val="00D9720B"/>
    <w:rsid w:val="00DC7329"/>
    <w:rsid w:val="00DE5B50"/>
    <w:rsid w:val="00E0485D"/>
    <w:rsid w:val="00E23461"/>
    <w:rsid w:val="00E2736C"/>
    <w:rsid w:val="00E4355E"/>
    <w:rsid w:val="00ED1213"/>
    <w:rsid w:val="00F806AA"/>
    <w:rsid w:val="00FC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2FE40F-072E-4560-ACE8-7CF7E9D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3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0011C"/>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rsid w:val="00302A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53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3E98"/>
    <w:rPr>
      <w:rFonts w:ascii="Segoe UI" w:hAnsi="Segoe UI" w:cs="Segoe UI"/>
      <w:sz w:val="18"/>
      <w:szCs w:val="18"/>
      <w:lang w:eastAsia="en-US"/>
    </w:rPr>
  </w:style>
  <w:style w:type="character" w:styleId="CommentReference">
    <w:name w:val="annotation reference"/>
    <w:basedOn w:val="DefaultParagraphFont"/>
    <w:uiPriority w:val="99"/>
    <w:semiHidden/>
    <w:rsid w:val="00053E98"/>
    <w:rPr>
      <w:rFonts w:cs="Times New Roman"/>
      <w:sz w:val="16"/>
      <w:szCs w:val="16"/>
    </w:rPr>
  </w:style>
  <w:style w:type="paragraph" w:styleId="CommentText">
    <w:name w:val="annotation text"/>
    <w:basedOn w:val="Normal"/>
    <w:link w:val="CommentTextChar"/>
    <w:uiPriority w:val="99"/>
    <w:semiHidden/>
    <w:rsid w:val="00053E98"/>
    <w:rPr>
      <w:sz w:val="20"/>
      <w:szCs w:val="20"/>
    </w:rPr>
  </w:style>
  <w:style w:type="character" w:customStyle="1" w:styleId="CommentTextChar">
    <w:name w:val="Comment Text Char"/>
    <w:basedOn w:val="DefaultParagraphFont"/>
    <w:link w:val="CommentText"/>
    <w:uiPriority w:val="99"/>
    <w:semiHidden/>
    <w:locked/>
    <w:rsid w:val="00053E9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53E98"/>
    <w:rPr>
      <w:b/>
      <w:bCs/>
    </w:rPr>
  </w:style>
  <w:style w:type="character" w:customStyle="1" w:styleId="CommentSubjectChar">
    <w:name w:val="Comment Subject Char"/>
    <w:basedOn w:val="CommentTextChar"/>
    <w:link w:val="CommentSubject"/>
    <w:uiPriority w:val="99"/>
    <w:semiHidden/>
    <w:locked/>
    <w:rsid w:val="00053E9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1098">
      <w:marLeft w:val="0"/>
      <w:marRight w:val="0"/>
      <w:marTop w:val="0"/>
      <w:marBottom w:val="0"/>
      <w:divBdr>
        <w:top w:val="none" w:sz="0" w:space="0" w:color="auto"/>
        <w:left w:val="none" w:sz="0" w:space="0" w:color="auto"/>
        <w:bottom w:val="none" w:sz="0" w:space="0" w:color="auto"/>
        <w:right w:val="none" w:sz="0" w:space="0" w:color="auto"/>
      </w:divBdr>
    </w:div>
    <w:div w:id="370111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Annex A</vt:lpstr>
    </vt:vector>
  </TitlesOfParts>
  <Company>MOJ</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Changes to published Home Detention Curfew caseload </dc:title>
  <dc:subject/>
  <dc:creator>National Offender Management Service]</dc:creator>
  <cp:keywords/>
  <dc:description/>
  <cp:lastModifiedBy>Cecil-Smith, Alison</cp:lastModifiedBy>
  <cp:revision>7</cp:revision>
  <dcterms:created xsi:type="dcterms:W3CDTF">2016-02-26T13:32:00Z</dcterms:created>
  <dcterms:modified xsi:type="dcterms:W3CDTF">2016-04-09T10:13:00Z</dcterms:modified>
</cp:coreProperties>
</file>