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957.79527559055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46.2970026855246"/>
        <w:gridCol w:w="2469.652611300342"/>
        <w:gridCol w:w="3610.8024385908448"/>
        <w:gridCol w:w="5331.043223013841"/>
        <w:tblGridChange w:id="0">
          <w:tblGrid>
            <w:gridCol w:w="2546.2970026855246"/>
            <w:gridCol w:w="2469.652611300342"/>
            <w:gridCol w:w="3610.8024385908448"/>
            <w:gridCol w:w="5331.043223013841"/>
          </w:tblGrid>
        </w:tblGridChange>
      </w:tblGrid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shd w:fill="cccccc" w:val="clear"/>
                <w:rtl w:val="0"/>
              </w:rPr>
              <w:t xml:space="preserve">Table 3: For any off-payroll engagements of board members, and/or, senior officials with significant financial responsibility, between 1 April 2014 and 31 March 2015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hd w:fill="cccc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cccccc" w:val="clear"/>
                <w:rtl w:val="0"/>
              </w:rPr>
              <w:t xml:space="preserve">Department /ALB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No. of off-payroll engagements of board members, and/or, senior officials with significant financial responsibility, during the financial year.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No. of individuals that have been deemed “board members, and/or, senior officials with significant financial responsibility”, during the financial year. This figure should include both off-payroll and on-payroll engagements.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In any cases where individuals are included within the first column of this table the department should set out:</w:t>
            </w:r>
          </w:p>
          <w:p w:rsidR="00000000" w:rsidDel="00000000" w:rsidP="00000000" w:rsidRDefault="00000000" w:rsidRPr="00000000">
            <w:pPr>
              <w:ind w:left="880" w:right="16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shd w:fill="cccccc" w:val="clear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Details of the exceptional circumstances that led to each of these engagements.</w:t>
            </w:r>
          </w:p>
          <w:p w:rsidR="00000000" w:rsidDel="00000000" w:rsidP="00000000" w:rsidRDefault="00000000" w:rsidRPr="00000000">
            <w:pPr>
              <w:ind w:left="880" w:right="16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shd w:fill="cccccc" w:val="clear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Details of the length of time each of these exceptional engagements lasted.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DCMS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British Film Institute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British Library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British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EHRC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Ofcom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Olympic Delivery Authority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UK Sport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V&amp;A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Visit Britain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5" w:right="16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engagements were for interim  positions pending recruitment of on-payroll staff once the Triennial Review had been completed.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20" w:lineRule="auto"/>
              <w:ind w:left="720" w:right="16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of Business Services (Interim) 17/02/2014 to 23/09/2014; then payroll from 24/09/2014 to 16/01/2015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20" w:lineRule="auto"/>
              <w:ind w:left="720" w:right="16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Replacement Director of Business Services (Interim) from 05/01/2015 to 30/04/2015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20" w:lineRule="auto"/>
              <w:ind w:left="720" w:right="16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of Procurement (Interim) ongoing from 20 November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Arts Council England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Churches Conservation Trust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English Heritage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Gambling Commission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Geffrye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Horniman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Horserace Betting Levy Board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Imperial War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National Gallery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National Heritage Memorial Fund /Heritage Lottery Fund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Natural History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National Museums Liverpool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National Portrait Gallery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Royal Armouries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Royal Museums Greenwich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Science Museum Group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Sir John Soane’s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Sport England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Sports Ground Safety Authority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The Royal Parks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UKAD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Wallace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0" w:right="16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Following resignation of Finance Director, an Interim was recruited to provide cover until a new Financial Director could be appointed. Interim provided through recruitment consultants from 19th January 2015 to 31 March 2015.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