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CF" w:rsidRPr="00D44383" w:rsidRDefault="00B675CF">
      <w:pPr>
        <w:rPr>
          <w:rFonts w:ascii="Garamond" w:hAnsi="Garamond"/>
          <w:b/>
          <w:szCs w:val="24"/>
        </w:rPr>
      </w:pPr>
    </w:p>
    <w:p w:rsidR="00B675CF" w:rsidRPr="00D44383" w:rsidRDefault="00B675CF" w:rsidP="00B675CF">
      <w:pPr>
        <w:autoSpaceDE w:val="0"/>
        <w:autoSpaceDN w:val="0"/>
        <w:adjustRightInd w:val="0"/>
        <w:jc w:val="center"/>
        <w:rPr>
          <w:rFonts w:ascii="Garamond" w:hAnsi="Garamond"/>
          <w:b/>
          <w:bCs/>
          <w:szCs w:val="24"/>
        </w:rPr>
      </w:pPr>
      <w:r w:rsidRPr="00D44383">
        <w:rPr>
          <w:rFonts w:ascii="Garamond" w:hAnsi="Garamond"/>
          <w:b/>
          <w:bCs/>
          <w:szCs w:val="24"/>
        </w:rPr>
        <w:t xml:space="preserve">DELEGATED POWERS </w:t>
      </w:r>
      <w:smartTag w:uri="urn:schemas-microsoft-com:office:smarttags" w:element="stockticker">
        <w:r w:rsidRPr="00D44383">
          <w:rPr>
            <w:rFonts w:ascii="Garamond" w:hAnsi="Garamond"/>
            <w:b/>
            <w:bCs/>
            <w:szCs w:val="24"/>
          </w:rPr>
          <w:t>AND</w:t>
        </w:r>
      </w:smartTag>
      <w:r w:rsidRPr="00D44383">
        <w:rPr>
          <w:rFonts w:ascii="Garamond" w:hAnsi="Garamond"/>
          <w:b/>
          <w:bCs/>
          <w:szCs w:val="24"/>
        </w:rPr>
        <w:t xml:space="preserve"> REGULATORY REFORM COMMITTEE</w:t>
      </w:r>
    </w:p>
    <w:p w:rsidR="00B675CF" w:rsidRPr="00D44383" w:rsidRDefault="00B675CF" w:rsidP="00B675CF">
      <w:pPr>
        <w:autoSpaceDE w:val="0"/>
        <w:autoSpaceDN w:val="0"/>
        <w:adjustRightInd w:val="0"/>
        <w:jc w:val="center"/>
        <w:rPr>
          <w:rFonts w:ascii="Garamond" w:hAnsi="Garamond"/>
          <w:b/>
          <w:bCs/>
          <w:szCs w:val="24"/>
        </w:rPr>
      </w:pPr>
    </w:p>
    <w:p w:rsidR="00B675CF" w:rsidRPr="00D44383" w:rsidRDefault="00B675CF" w:rsidP="00B675CF">
      <w:pPr>
        <w:autoSpaceDE w:val="0"/>
        <w:autoSpaceDN w:val="0"/>
        <w:adjustRightInd w:val="0"/>
        <w:jc w:val="center"/>
        <w:rPr>
          <w:rFonts w:ascii="Garamond" w:hAnsi="Garamond"/>
          <w:b/>
          <w:bCs/>
          <w:szCs w:val="24"/>
        </w:rPr>
      </w:pPr>
      <w:r w:rsidRPr="00D44383">
        <w:rPr>
          <w:rFonts w:ascii="Garamond" w:hAnsi="Garamond"/>
          <w:b/>
          <w:bCs/>
          <w:szCs w:val="24"/>
        </w:rPr>
        <w:t>NORTHERN IRELAND</w:t>
      </w:r>
      <w:r w:rsidR="0001448A">
        <w:rPr>
          <w:rFonts w:ascii="Garamond" w:hAnsi="Garamond"/>
          <w:b/>
          <w:bCs/>
          <w:szCs w:val="24"/>
        </w:rPr>
        <w:t xml:space="preserve"> (STORMONT AGREEMENT AND IMPLEMENTATION PLAN)</w:t>
      </w:r>
      <w:r w:rsidRPr="00D44383">
        <w:rPr>
          <w:rFonts w:ascii="Garamond" w:hAnsi="Garamond"/>
          <w:b/>
          <w:bCs/>
          <w:szCs w:val="24"/>
        </w:rPr>
        <w:t xml:space="preserve"> BILL 2016</w:t>
      </w:r>
    </w:p>
    <w:p w:rsidR="00B675CF" w:rsidRPr="00D44383" w:rsidRDefault="00B675CF" w:rsidP="00B675CF">
      <w:pPr>
        <w:autoSpaceDE w:val="0"/>
        <w:autoSpaceDN w:val="0"/>
        <w:adjustRightInd w:val="0"/>
        <w:rPr>
          <w:rFonts w:ascii="Garamond" w:hAnsi="Garamond"/>
          <w:b/>
          <w:bCs/>
          <w:szCs w:val="24"/>
        </w:rPr>
      </w:pPr>
    </w:p>
    <w:p w:rsidR="00B675CF" w:rsidRPr="00D82A4F" w:rsidRDefault="00B675CF" w:rsidP="00B675CF">
      <w:pPr>
        <w:autoSpaceDE w:val="0"/>
        <w:autoSpaceDN w:val="0"/>
        <w:adjustRightInd w:val="0"/>
        <w:jc w:val="center"/>
        <w:rPr>
          <w:rFonts w:ascii="Garamond" w:hAnsi="Garamond"/>
          <w:b/>
          <w:bCs/>
          <w:szCs w:val="24"/>
        </w:rPr>
      </w:pPr>
      <w:r w:rsidRPr="00D82A4F">
        <w:rPr>
          <w:rFonts w:ascii="Garamond" w:hAnsi="Garamond"/>
          <w:b/>
          <w:bCs/>
          <w:szCs w:val="24"/>
        </w:rPr>
        <w:t>Memorandum by the Northern Ireland Office</w:t>
      </w:r>
    </w:p>
    <w:p w:rsidR="00B675CF" w:rsidRPr="00D82A4F" w:rsidRDefault="00B675CF" w:rsidP="00B675CF">
      <w:pPr>
        <w:autoSpaceDE w:val="0"/>
        <w:autoSpaceDN w:val="0"/>
        <w:adjustRightInd w:val="0"/>
        <w:jc w:val="center"/>
        <w:rPr>
          <w:rFonts w:ascii="Garamond" w:hAnsi="Garamond"/>
          <w:b/>
          <w:bCs/>
          <w:szCs w:val="24"/>
        </w:rPr>
      </w:pPr>
    </w:p>
    <w:p w:rsidR="00B675CF" w:rsidRPr="00D82A4F" w:rsidRDefault="00B675CF" w:rsidP="00B675CF">
      <w:pPr>
        <w:autoSpaceDE w:val="0"/>
        <w:autoSpaceDN w:val="0"/>
        <w:adjustRightInd w:val="0"/>
        <w:rPr>
          <w:rFonts w:ascii="Garamond" w:hAnsi="Garamond"/>
          <w:b/>
          <w:bCs/>
          <w:szCs w:val="24"/>
        </w:rPr>
      </w:pPr>
      <w:r w:rsidRPr="00D82A4F">
        <w:rPr>
          <w:rFonts w:ascii="Garamond" w:hAnsi="Garamond"/>
          <w:b/>
          <w:bCs/>
          <w:szCs w:val="24"/>
        </w:rPr>
        <w:t>Introduction</w:t>
      </w:r>
    </w:p>
    <w:p w:rsidR="00B675CF" w:rsidRPr="00D82A4F" w:rsidRDefault="00B675CF" w:rsidP="00B675CF">
      <w:pPr>
        <w:autoSpaceDE w:val="0"/>
        <w:autoSpaceDN w:val="0"/>
        <w:adjustRightInd w:val="0"/>
        <w:jc w:val="both"/>
        <w:rPr>
          <w:rFonts w:ascii="Garamond" w:hAnsi="Garamond"/>
          <w:szCs w:val="24"/>
        </w:rPr>
      </w:pPr>
    </w:p>
    <w:p w:rsidR="00B675CF" w:rsidRPr="00D82A4F" w:rsidRDefault="00B675CF" w:rsidP="00B675CF">
      <w:pPr>
        <w:pStyle w:val="ListParagraph"/>
        <w:numPr>
          <w:ilvl w:val="0"/>
          <w:numId w:val="1"/>
        </w:numPr>
        <w:autoSpaceDE w:val="0"/>
        <w:autoSpaceDN w:val="0"/>
        <w:adjustRightInd w:val="0"/>
        <w:ind w:left="567" w:hanging="567"/>
        <w:jc w:val="both"/>
        <w:rPr>
          <w:rFonts w:ascii="Garamond" w:hAnsi="Garamond" w:cs="Arial"/>
          <w:b/>
          <w:sz w:val="24"/>
        </w:rPr>
      </w:pPr>
      <w:r w:rsidRPr="00D82A4F">
        <w:rPr>
          <w:rFonts w:ascii="Garamond" w:eastAsia="Calibri" w:hAnsi="Garamond" w:cs="Arial"/>
          <w:sz w:val="24"/>
          <w:lang w:eastAsia="en-US"/>
        </w:rPr>
        <w:t>This Memorandum has been prepared by the Northern Ireland Office to assist in the examination of delegated powers in the Northern Ireland</w:t>
      </w:r>
      <w:r w:rsidR="0001448A" w:rsidRPr="00D82A4F">
        <w:rPr>
          <w:rFonts w:ascii="Garamond" w:eastAsia="Calibri" w:hAnsi="Garamond" w:cs="Arial"/>
          <w:sz w:val="24"/>
          <w:lang w:eastAsia="en-US"/>
        </w:rPr>
        <w:t xml:space="preserve"> (Stormont Agreement and Implementation Plan)</w:t>
      </w:r>
      <w:r w:rsidRPr="00D82A4F">
        <w:rPr>
          <w:rFonts w:ascii="Garamond" w:eastAsia="Calibri" w:hAnsi="Garamond" w:cs="Arial"/>
          <w:sz w:val="24"/>
          <w:lang w:eastAsia="en-US"/>
        </w:rPr>
        <w:t xml:space="preserve"> Bill 2016. It outlines the provisions in the Bill which confer powers to make delegated legislation, and explains why these powers have been taken and the nature of, and reason for, the procedure selected for exercising those powers. </w:t>
      </w:r>
    </w:p>
    <w:p w:rsidR="00B675CF" w:rsidRPr="00D82A4F" w:rsidRDefault="00B675CF" w:rsidP="00B675CF">
      <w:pPr>
        <w:pStyle w:val="ListParagraph"/>
        <w:autoSpaceDE w:val="0"/>
        <w:autoSpaceDN w:val="0"/>
        <w:adjustRightInd w:val="0"/>
        <w:ind w:left="567"/>
        <w:jc w:val="both"/>
        <w:rPr>
          <w:rFonts w:ascii="Garamond" w:hAnsi="Garamond" w:cs="Arial"/>
          <w:b/>
          <w:sz w:val="24"/>
        </w:rPr>
      </w:pPr>
    </w:p>
    <w:p w:rsidR="00D44383" w:rsidRPr="00D82A4F" w:rsidRDefault="00B675CF" w:rsidP="00D44383">
      <w:pPr>
        <w:pStyle w:val="ListParagraph"/>
        <w:numPr>
          <w:ilvl w:val="0"/>
          <w:numId w:val="1"/>
        </w:numPr>
        <w:autoSpaceDE w:val="0"/>
        <w:autoSpaceDN w:val="0"/>
        <w:adjustRightInd w:val="0"/>
        <w:ind w:left="567" w:hanging="567"/>
        <w:jc w:val="both"/>
        <w:rPr>
          <w:rFonts w:ascii="Garamond" w:hAnsi="Garamond" w:cs="Arial"/>
          <w:b/>
          <w:sz w:val="24"/>
        </w:rPr>
      </w:pPr>
      <w:r w:rsidRPr="00D82A4F">
        <w:rPr>
          <w:rFonts w:ascii="Garamond" w:eastAsia="Calibri" w:hAnsi="Garamond" w:cs="Arial"/>
          <w:sz w:val="24"/>
          <w:lang w:eastAsia="en-US"/>
        </w:rPr>
        <w:t xml:space="preserve">The purpose of the Bill is to </w:t>
      </w:r>
      <w:r w:rsidR="00D44383" w:rsidRPr="00D82A4F">
        <w:rPr>
          <w:rFonts w:ascii="Garamond" w:eastAsia="Calibri" w:hAnsi="Garamond" w:cs="Arial"/>
          <w:sz w:val="24"/>
          <w:lang w:eastAsia="en-US"/>
        </w:rPr>
        <w:t xml:space="preserve">make provision in relation to </w:t>
      </w:r>
      <w:r w:rsidRPr="00D82A4F">
        <w:rPr>
          <w:rFonts w:ascii="Garamond" w:eastAsia="Calibri" w:hAnsi="Garamond" w:cs="Arial"/>
          <w:sz w:val="24"/>
          <w:lang w:eastAsia="en-US"/>
        </w:rPr>
        <w:t xml:space="preserve">a number of the measures in A Fresh Start: the Stormont House Agreement and Implementation </w:t>
      </w:r>
      <w:r w:rsidR="005A3AF5" w:rsidRPr="00D82A4F">
        <w:rPr>
          <w:rFonts w:ascii="Garamond" w:eastAsia="Calibri" w:hAnsi="Garamond" w:cs="Arial"/>
          <w:sz w:val="24"/>
          <w:lang w:eastAsia="en-US"/>
        </w:rPr>
        <w:t>Plan</w:t>
      </w:r>
      <w:r w:rsidRPr="00D82A4F">
        <w:rPr>
          <w:rFonts w:ascii="Garamond" w:eastAsia="Calibri" w:hAnsi="Garamond" w:cs="Arial"/>
          <w:sz w:val="24"/>
          <w:lang w:eastAsia="en-US"/>
        </w:rPr>
        <w:t xml:space="preserve"> (“the Fresh Start Agreement”) dated 17 November 2015</w:t>
      </w:r>
      <w:r w:rsidR="004C0D10" w:rsidRPr="00D82A4F">
        <w:rPr>
          <w:rStyle w:val="FootnoteReference"/>
          <w:rFonts w:ascii="Garamond" w:eastAsia="Calibri" w:hAnsi="Garamond" w:cs="Arial"/>
          <w:sz w:val="24"/>
          <w:lang w:eastAsia="en-US"/>
        </w:rPr>
        <w:footnoteReference w:id="1"/>
      </w:r>
      <w:r w:rsidRPr="00D82A4F">
        <w:rPr>
          <w:rFonts w:ascii="Garamond" w:eastAsia="Calibri" w:hAnsi="Garamond" w:cs="Arial"/>
          <w:sz w:val="24"/>
          <w:lang w:eastAsia="en-US"/>
        </w:rPr>
        <w:t>:</w:t>
      </w:r>
    </w:p>
    <w:p w:rsidR="00D44383" w:rsidRPr="00D82A4F" w:rsidRDefault="00D44383" w:rsidP="00D44383">
      <w:pPr>
        <w:pStyle w:val="ListParagraph"/>
        <w:autoSpaceDE w:val="0"/>
        <w:autoSpaceDN w:val="0"/>
        <w:adjustRightInd w:val="0"/>
        <w:ind w:left="567"/>
        <w:jc w:val="both"/>
        <w:rPr>
          <w:rFonts w:ascii="Garamond" w:hAnsi="Garamond" w:cs="Arial"/>
          <w:b/>
          <w:sz w:val="24"/>
        </w:rPr>
      </w:pPr>
    </w:p>
    <w:p w:rsidR="008A129C" w:rsidRPr="00D82A4F" w:rsidRDefault="00D44383" w:rsidP="00D44383">
      <w:pPr>
        <w:pStyle w:val="ListParagraph"/>
        <w:numPr>
          <w:ilvl w:val="1"/>
          <w:numId w:val="1"/>
        </w:numPr>
        <w:autoSpaceDE w:val="0"/>
        <w:autoSpaceDN w:val="0"/>
        <w:adjustRightInd w:val="0"/>
        <w:jc w:val="both"/>
        <w:rPr>
          <w:rFonts w:ascii="Garamond" w:hAnsi="Garamond" w:cs="Arial"/>
          <w:b/>
          <w:sz w:val="24"/>
        </w:rPr>
      </w:pPr>
      <w:r w:rsidRPr="00D82A4F">
        <w:rPr>
          <w:rFonts w:ascii="Garamond" w:hAnsi="Garamond"/>
          <w:sz w:val="24"/>
        </w:rPr>
        <w:t xml:space="preserve">financial responsibility - the UK Government agreed to legislate, with </w:t>
      </w:r>
      <w:r w:rsidR="005A3AF5" w:rsidRPr="00D82A4F">
        <w:rPr>
          <w:rFonts w:ascii="Garamond" w:hAnsi="Garamond"/>
          <w:sz w:val="24"/>
        </w:rPr>
        <w:t xml:space="preserve">Northern Ireland </w:t>
      </w:r>
      <w:r w:rsidRPr="00D82A4F">
        <w:rPr>
          <w:rFonts w:ascii="Garamond" w:hAnsi="Garamond"/>
          <w:sz w:val="24"/>
        </w:rPr>
        <w:t xml:space="preserve">Assembly consent, to ensure that the Assembly cannot consider spending plans which exceed the Block Grant allocated by </w:t>
      </w:r>
      <w:r w:rsidR="00F235D7">
        <w:rPr>
          <w:rFonts w:ascii="Garamond" w:hAnsi="Garamond"/>
          <w:sz w:val="24"/>
          <w:lang w:val="en-GB"/>
        </w:rPr>
        <w:t>HM</w:t>
      </w:r>
      <w:r w:rsidR="00F235D7" w:rsidRPr="00D82A4F">
        <w:rPr>
          <w:rFonts w:ascii="Garamond" w:hAnsi="Garamond"/>
          <w:sz w:val="24"/>
        </w:rPr>
        <w:t xml:space="preserve"> </w:t>
      </w:r>
      <w:r w:rsidRPr="00D82A4F">
        <w:rPr>
          <w:rFonts w:ascii="Garamond" w:hAnsi="Garamond"/>
          <w:sz w:val="24"/>
        </w:rPr>
        <w:t>Treasury or the Northern Ireland Executive’s borrowing limits, where planned spending relies on those funding sources;</w:t>
      </w:r>
    </w:p>
    <w:p w:rsidR="00D44383" w:rsidRPr="00D82A4F" w:rsidRDefault="00D44383" w:rsidP="008A129C">
      <w:pPr>
        <w:pStyle w:val="ListParagraph"/>
        <w:autoSpaceDE w:val="0"/>
        <w:autoSpaceDN w:val="0"/>
        <w:adjustRightInd w:val="0"/>
        <w:ind w:left="1440"/>
        <w:jc w:val="both"/>
        <w:rPr>
          <w:rFonts w:ascii="Garamond" w:hAnsi="Garamond" w:cs="Arial"/>
          <w:b/>
          <w:sz w:val="24"/>
        </w:rPr>
      </w:pPr>
    </w:p>
    <w:p w:rsidR="00D44383" w:rsidRPr="00D82A4F" w:rsidRDefault="00D44383" w:rsidP="00D44383">
      <w:pPr>
        <w:pStyle w:val="ListParagraph"/>
        <w:numPr>
          <w:ilvl w:val="1"/>
          <w:numId w:val="1"/>
        </w:numPr>
        <w:autoSpaceDE w:val="0"/>
        <w:autoSpaceDN w:val="0"/>
        <w:adjustRightInd w:val="0"/>
        <w:jc w:val="both"/>
        <w:rPr>
          <w:rFonts w:ascii="Garamond" w:hAnsi="Garamond" w:cs="Arial"/>
          <w:b/>
          <w:sz w:val="24"/>
        </w:rPr>
      </w:pPr>
      <w:r w:rsidRPr="00D82A4F">
        <w:rPr>
          <w:rFonts w:ascii="Garamond" w:hAnsi="Garamond"/>
          <w:sz w:val="24"/>
        </w:rPr>
        <w:t xml:space="preserve">measures aimed at dealing with continuing paramilitary activity: </w:t>
      </w:r>
    </w:p>
    <w:p w:rsidR="00D44383" w:rsidRPr="00D82A4F" w:rsidRDefault="00D44383" w:rsidP="00D44383">
      <w:pPr>
        <w:pStyle w:val="ListParagraph"/>
        <w:numPr>
          <w:ilvl w:val="2"/>
          <w:numId w:val="2"/>
        </w:numPr>
        <w:spacing w:before="300" w:after="200" w:line="276" w:lineRule="auto"/>
        <w:contextualSpacing w:val="0"/>
        <w:jc w:val="both"/>
        <w:rPr>
          <w:rFonts w:ascii="Garamond" w:hAnsi="Garamond"/>
          <w:sz w:val="24"/>
        </w:rPr>
      </w:pPr>
      <w:r w:rsidRPr="00D82A4F">
        <w:rPr>
          <w:rFonts w:ascii="Garamond" w:hAnsi="Garamond"/>
          <w:sz w:val="24"/>
        </w:rPr>
        <w:t>changes to the Ministerial pledge of office</w:t>
      </w:r>
      <w:r w:rsidR="00442648" w:rsidRPr="00D82A4F">
        <w:rPr>
          <w:rFonts w:ascii="Garamond" w:hAnsi="Garamond"/>
          <w:sz w:val="24"/>
        </w:rPr>
        <w:t xml:space="preserve"> to include additional commitments relating to ending paramilitary activity</w:t>
      </w:r>
      <w:r w:rsidRPr="00D82A4F">
        <w:rPr>
          <w:rFonts w:ascii="Garamond" w:hAnsi="Garamond"/>
          <w:sz w:val="24"/>
        </w:rPr>
        <w:t xml:space="preserve"> and introduction of a</w:t>
      </w:r>
      <w:r w:rsidR="00442648" w:rsidRPr="00D82A4F">
        <w:rPr>
          <w:rFonts w:ascii="Garamond" w:hAnsi="Garamond"/>
          <w:sz w:val="24"/>
        </w:rPr>
        <w:t xml:space="preserve"> corresponding </w:t>
      </w:r>
      <w:r w:rsidR="0001448A" w:rsidRPr="00D82A4F">
        <w:rPr>
          <w:rFonts w:ascii="Garamond" w:hAnsi="Garamond"/>
          <w:sz w:val="24"/>
        </w:rPr>
        <w:t>undertaking</w:t>
      </w:r>
      <w:r w:rsidRPr="00D82A4F">
        <w:rPr>
          <w:rFonts w:ascii="Garamond" w:hAnsi="Garamond"/>
          <w:sz w:val="24"/>
        </w:rPr>
        <w:t xml:space="preserve"> for Members of the Legislative Assembly;</w:t>
      </w:r>
    </w:p>
    <w:p w:rsidR="00D44383" w:rsidRPr="00D82A4F" w:rsidRDefault="004C0D10" w:rsidP="00D44383">
      <w:pPr>
        <w:pStyle w:val="ListParagraph"/>
        <w:numPr>
          <w:ilvl w:val="2"/>
          <w:numId w:val="2"/>
        </w:numPr>
        <w:spacing w:before="300" w:after="200" w:line="276" w:lineRule="auto"/>
        <w:contextualSpacing w:val="0"/>
        <w:jc w:val="both"/>
        <w:rPr>
          <w:rFonts w:ascii="Garamond" w:hAnsi="Garamond"/>
          <w:sz w:val="24"/>
        </w:rPr>
      </w:pPr>
      <w:r w:rsidRPr="00D82A4F">
        <w:rPr>
          <w:rFonts w:ascii="Garamond" w:hAnsi="Garamond"/>
          <w:sz w:val="24"/>
        </w:rPr>
        <w:t xml:space="preserve">the </w:t>
      </w:r>
      <w:r w:rsidR="00D44383" w:rsidRPr="00D82A4F">
        <w:rPr>
          <w:rFonts w:ascii="Garamond" w:hAnsi="Garamond"/>
          <w:sz w:val="24"/>
        </w:rPr>
        <w:t>creation of a</w:t>
      </w:r>
      <w:r w:rsidR="00B93C6C" w:rsidRPr="00D82A4F">
        <w:rPr>
          <w:rFonts w:ascii="Garamond" w:hAnsi="Garamond"/>
          <w:sz w:val="24"/>
        </w:rPr>
        <w:t>n</w:t>
      </w:r>
      <w:r w:rsidR="00D44383" w:rsidRPr="00D82A4F">
        <w:rPr>
          <w:rFonts w:ascii="Garamond" w:hAnsi="Garamond"/>
          <w:sz w:val="24"/>
        </w:rPr>
        <w:t xml:space="preserve"> </w:t>
      </w:r>
      <w:r w:rsidR="00B93C6C" w:rsidRPr="00D82A4F">
        <w:rPr>
          <w:rFonts w:ascii="Garamond" w:hAnsi="Garamond"/>
          <w:sz w:val="24"/>
        </w:rPr>
        <w:t xml:space="preserve">independent, international </w:t>
      </w:r>
      <w:r w:rsidR="00D44383" w:rsidRPr="00D82A4F">
        <w:rPr>
          <w:rFonts w:ascii="Garamond" w:hAnsi="Garamond"/>
          <w:sz w:val="24"/>
        </w:rPr>
        <w:t>body, by agreement between the</w:t>
      </w:r>
      <w:r w:rsidR="00B93C6C" w:rsidRPr="00D82A4F">
        <w:rPr>
          <w:rFonts w:ascii="Garamond" w:hAnsi="Garamond"/>
          <w:sz w:val="24"/>
        </w:rPr>
        <w:t xml:space="preserve"> UK Government and</w:t>
      </w:r>
      <w:r w:rsidR="00D44383" w:rsidRPr="00D82A4F">
        <w:rPr>
          <w:rFonts w:ascii="Garamond" w:hAnsi="Garamond"/>
          <w:sz w:val="24"/>
        </w:rPr>
        <w:t xml:space="preserve"> Irish</w:t>
      </w:r>
      <w:r w:rsidR="00B93C6C" w:rsidRPr="00D82A4F">
        <w:rPr>
          <w:rFonts w:ascii="Garamond" w:hAnsi="Garamond"/>
          <w:sz w:val="24"/>
        </w:rPr>
        <w:t xml:space="preserve"> Government</w:t>
      </w:r>
      <w:r w:rsidR="00D44383" w:rsidRPr="00D82A4F">
        <w:rPr>
          <w:rFonts w:ascii="Garamond" w:hAnsi="Garamond"/>
          <w:sz w:val="24"/>
        </w:rPr>
        <w:t>, to report on progress towards ending paramilitary activity in Northern Ireland;</w:t>
      </w:r>
    </w:p>
    <w:p w:rsidR="00B675CF" w:rsidRPr="00D82A4F" w:rsidRDefault="00D44383" w:rsidP="00D44383">
      <w:pPr>
        <w:spacing w:before="300"/>
        <w:ind w:left="1440" w:hanging="360"/>
        <w:jc w:val="both"/>
        <w:rPr>
          <w:rFonts w:ascii="Garamond" w:eastAsia="Times New Roman" w:hAnsi="Garamond" w:cs="Times New Roman"/>
          <w:szCs w:val="24"/>
          <w:lang w:eastAsia="en-GB"/>
        </w:rPr>
      </w:pPr>
      <w:proofErr w:type="gramStart"/>
      <w:r w:rsidRPr="00D82A4F">
        <w:rPr>
          <w:rFonts w:ascii="Garamond" w:hAnsi="Garamond"/>
          <w:szCs w:val="24"/>
        </w:rPr>
        <w:t>c</w:t>
      </w:r>
      <w:proofErr w:type="gramEnd"/>
      <w:r w:rsidRPr="00D82A4F">
        <w:rPr>
          <w:rFonts w:ascii="Garamond" w:hAnsi="Garamond"/>
          <w:szCs w:val="24"/>
        </w:rPr>
        <w:t>.</w:t>
      </w:r>
      <w:r w:rsidRPr="00D82A4F">
        <w:rPr>
          <w:rFonts w:ascii="Garamond" w:hAnsi="Garamond"/>
          <w:szCs w:val="24"/>
        </w:rPr>
        <w:tab/>
      </w:r>
      <w:r w:rsidR="00B93C6C" w:rsidRPr="00D82A4F">
        <w:rPr>
          <w:rFonts w:ascii="Garamond" w:hAnsi="Garamond"/>
          <w:szCs w:val="24"/>
        </w:rPr>
        <w:t>an extension</w:t>
      </w:r>
      <w:r w:rsidRPr="00D82A4F">
        <w:rPr>
          <w:rFonts w:ascii="Garamond" w:hAnsi="Garamond"/>
          <w:szCs w:val="24"/>
        </w:rPr>
        <w:t xml:space="preserve"> to the time available to</w:t>
      </w:r>
      <w:r w:rsidR="00B93C6C" w:rsidRPr="00D82A4F">
        <w:rPr>
          <w:rFonts w:ascii="Garamond" w:hAnsi="Garamond"/>
          <w:szCs w:val="24"/>
        </w:rPr>
        <w:t xml:space="preserve"> agree a Programme for Government and</w:t>
      </w:r>
      <w:r w:rsidRPr="00D82A4F">
        <w:rPr>
          <w:rFonts w:ascii="Garamond" w:hAnsi="Garamond"/>
          <w:szCs w:val="24"/>
        </w:rPr>
        <w:t xml:space="preserve"> allocate Ministerial positions</w:t>
      </w:r>
      <w:r w:rsidR="00B93C6C" w:rsidRPr="00D82A4F">
        <w:rPr>
          <w:rFonts w:ascii="Garamond" w:hAnsi="Garamond"/>
          <w:szCs w:val="24"/>
        </w:rPr>
        <w:t xml:space="preserve"> in the Northern Ireland Executive</w:t>
      </w:r>
      <w:r w:rsidRPr="00D82A4F">
        <w:rPr>
          <w:rFonts w:ascii="Garamond" w:hAnsi="Garamond"/>
          <w:szCs w:val="24"/>
        </w:rPr>
        <w:t xml:space="preserve"> from 7 days to 14 days after the Assembly first meets following an election. </w:t>
      </w:r>
    </w:p>
    <w:p w:rsidR="00B675CF" w:rsidRPr="00D82A4F" w:rsidRDefault="00B675CF" w:rsidP="00B675CF">
      <w:pPr>
        <w:jc w:val="both"/>
        <w:rPr>
          <w:rFonts w:ascii="Garamond" w:hAnsi="Garamond"/>
          <w:szCs w:val="24"/>
        </w:rPr>
      </w:pPr>
    </w:p>
    <w:p w:rsidR="00046C69" w:rsidRPr="00B84BFF" w:rsidRDefault="00046C69" w:rsidP="00046C69">
      <w:pPr>
        <w:pStyle w:val="ListParagraph"/>
        <w:autoSpaceDE w:val="0"/>
        <w:autoSpaceDN w:val="0"/>
        <w:adjustRightInd w:val="0"/>
        <w:ind w:left="0"/>
        <w:jc w:val="both"/>
        <w:rPr>
          <w:rFonts w:ascii="Garamond" w:hAnsi="Garamond" w:cs="Arial"/>
          <w:b/>
          <w:i/>
          <w:sz w:val="24"/>
          <w:u w:val="single"/>
          <w:lang w:val="en-GB"/>
        </w:rPr>
      </w:pPr>
      <w:r w:rsidRPr="00D82A4F">
        <w:rPr>
          <w:rFonts w:ascii="Garamond" w:hAnsi="Garamond" w:cs="Arial"/>
          <w:b/>
          <w:sz w:val="24"/>
          <w:u w:val="single"/>
        </w:rPr>
        <w:t xml:space="preserve">Clause </w:t>
      </w:r>
      <w:r w:rsidR="00314761" w:rsidRPr="00D82A4F">
        <w:rPr>
          <w:rFonts w:ascii="Garamond" w:hAnsi="Garamond" w:cs="Arial"/>
          <w:b/>
          <w:sz w:val="24"/>
          <w:u w:val="single"/>
        </w:rPr>
        <w:t>2</w:t>
      </w:r>
      <w:r w:rsidR="00F7132D" w:rsidRPr="00D82A4F">
        <w:rPr>
          <w:rFonts w:ascii="Garamond" w:hAnsi="Garamond" w:cs="Arial"/>
          <w:b/>
          <w:sz w:val="24"/>
          <w:u w:val="single"/>
        </w:rPr>
        <w:t>(5)</w:t>
      </w:r>
      <w:r w:rsidRPr="00D82A4F">
        <w:rPr>
          <w:rFonts w:ascii="Garamond" w:hAnsi="Garamond" w:cs="Arial"/>
          <w:b/>
          <w:sz w:val="24"/>
          <w:u w:val="single"/>
        </w:rPr>
        <w:t>: Exercise of functions – duty on Secretary of State to issue guidance to the Commission about information</w:t>
      </w:r>
      <w:r w:rsidR="00B84BFF">
        <w:rPr>
          <w:rFonts w:ascii="Garamond" w:hAnsi="Garamond" w:cs="Arial"/>
          <w:b/>
          <w:sz w:val="24"/>
          <w:u w:val="single"/>
          <w:lang w:val="en-GB"/>
        </w:rPr>
        <w:t>:</w:t>
      </w:r>
    </w:p>
    <w:p w:rsidR="00046C69" w:rsidRPr="00D82A4F" w:rsidRDefault="00046C69" w:rsidP="00046C69">
      <w:pPr>
        <w:pStyle w:val="ListParagraph"/>
        <w:rPr>
          <w:rFonts w:ascii="Garamond" w:hAnsi="Garamond" w:cs="Arial"/>
          <w:b/>
          <w:sz w:val="24"/>
        </w:rPr>
      </w:pPr>
    </w:p>
    <w:p w:rsidR="00046C69" w:rsidRPr="00D82A4F" w:rsidRDefault="00046C69" w:rsidP="00046C69">
      <w:pPr>
        <w:pStyle w:val="ListParagraph"/>
        <w:jc w:val="both"/>
        <w:rPr>
          <w:rFonts w:ascii="Garamond" w:hAnsi="Garamond" w:cs="Arial"/>
          <w:i/>
          <w:sz w:val="24"/>
        </w:rPr>
      </w:pPr>
      <w:r w:rsidRPr="00D82A4F">
        <w:rPr>
          <w:rFonts w:ascii="Garamond" w:hAnsi="Garamond" w:cs="Arial"/>
          <w:i/>
          <w:sz w:val="24"/>
        </w:rPr>
        <w:t>Power conferred on:</w:t>
      </w:r>
      <w:r w:rsidRPr="00D82A4F">
        <w:rPr>
          <w:rFonts w:ascii="Garamond" w:hAnsi="Garamond" w:cs="Arial"/>
          <w:i/>
          <w:sz w:val="24"/>
        </w:rPr>
        <w:tab/>
      </w:r>
      <w:r w:rsidRPr="00D82A4F">
        <w:rPr>
          <w:rFonts w:ascii="Garamond" w:hAnsi="Garamond" w:cs="Arial"/>
          <w:i/>
          <w:sz w:val="24"/>
        </w:rPr>
        <w:tab/>
        <w:t>Secretary of State</w:t>
      </w:r>
    </w:p>
    <w:p w:rsidR="00046C69" w:rsidRPr="00D82A4F" w:rsidRDefault="00046C69" w:rsidP="00046C69">
      <w:pPr>
        <w:pStyle w:val="ListParagraph"/>
        <w:jc w:val="both"/>
        <w:rPr>
          <w:rFonts w:ascii="Garamond" w:hAnsi="Garamond" w:cs="Arial"/>
          <w:i/>
          <w:sz w:val="24"/>
        </w:rPr>
      </w:pPr>
      <w:r w:rsidRPr="00D82A4F">
        <w:rPr>
          <w:rFonts w:ascii="Garamond" w:hAnsi="Garamond" w:cs="Arial"/>
          <w:i/>
          <w:sz w:val="24"/>
        </w:rPr>
        <w:t>Power exercisable by:</w:t>
      </w:r>
      <w:r w:rsidRPr="00D82A4F">
        <w:rPr>
          <w:rFonts w:ascii="Garamond" w:hAnsi="Garamond" w:cs="Arial"/>
          <w:i/>
          <w:sz w:val="24"/>
        </w:rPr>
        <w:tab/>
      </w:r>
      <w:r w:rsidRPr="00D82A4F">
        <w:rPr>
          <w:rFonts w:ascii="Garamond" w:hAnsi="Garamond" w:cs="Arial"/>
          <w:i/>
          <w:sz w:val="24"/>
        </w:rPr>
        <w:tab/>
        <w:t>Guidance</w:t>
      </w:r>
    </w:p>
    <w:p w:rsidR="00046C69" w:rsidRPr="00D82A4F" w:rsidRDefault="00046C69" w:rsidP="00046C69">
      <w:pPr>
        <w:pStyle w:val="ListParagraph"/>
        <w:jc w:val="both"/>
        <w:rPr>
          <w:rFonts w:ascii="Garamond" w:hAnsi="Garamond" w:cs="Arial"/>
          <w:sz w:val="24"/>
        </w:rPr>
      </w:pPr>
      <w:r w:rsidRPr="00D82A4F">
        <w:rPr>
          <w:rFonts w:ascii="Garamond" w:hAnsi="Garamond" w:cs="Arial"/>
          <w:i/>
          <w:sz w:val="24"/>
        </w:rPr>
        <w:t>Parliamentary Procedure:</w:t>
      </w:r>
      <w:r w:rsidRPr="00D82A4F">
        <w:rPr>
          <w:rFonts w:ascii="Garamond" w:hAnsi="Garamond" w:cs="Arial"/>
          <w:i/>
          <w:sz w:val="24"/>
        </w:rPr>
        <w:tab/>
      </w:r>
      <w:r w:rsidRPr="00D82A4F">
        <w:rPr>
          <w:rFonts w:ascii="Garamond" w:hAnsi="Garamond" w:cs="Arial"/>
          <w:i/>
          <w:sz w:val="24"/>
        </w:rPr>
        <w:tab/>
        <w:t>None</w:t>
      </w:r>
    </w:p>
    <w:p w:rsidR="00046C69" w:rsidRPr="00D82A4F" w:rsidRDefault="00046C69" w:rsidP="00046C69">
      <w:pPr>
        <w:pStyle w:val="ListParagraph"/>
        <w:ind w:left="0"/>
        <w:rPr>
          <w:rFonts w:ascii="Garamond" w:hAnsi="Garamond" w:cs="Arial"/>
          <w:b/>
          <w:sz w:val="24"/>
        </w:rPr>
      </w:pPr>
    </w:p>
    <w:p w:rsidR="00046C69" w:rsidRPr="00D82A4F" w:rsidRDefault="00046C69" w:rsidP="00046C69">
      <w:pPr>
        <w:pStyle w:val="ListParagraph"/>
        <w:autoSpaceDE w:val="0"/>
        <w:autoSpaceDN w:val="0"/>
        <w:adjustRightInd w:val="0"/>
        <w:jc w:val="both"/>
        <w:rPr>
          <w:rFonts w:ascii="Garamond" w:hAnsi="Garamond" w:cs="Arial"/>
          <w:b/>
          <w:sz w:val="24"/>
        </w:rPr>
      </w:pPr>
      <w:r w:rsidRPr="00D82A4F">
        <w:rPr>
          <w:rFonts w:ascii="Garamond" w:hAnsi="Garamond" w:cs="Arial"/>
          <w:b/>
          <w:sz w:val="24"/>
        </w:rPr>
        <w:t>Introduction</w:t>
      </w:r>
    </w:p>
    <w:p w:rsidR="00046C69" w:rsidRPr="00D82A4F" w:rsidRDefault="00046C69" w:rsidP="00046C69">
      <w:pPr>
        <w:pStyle w:val="ListParagraph"/>
        <w:autoSpaceDE w:val="0"/>
        <w:autoSpaceDN w:val="0"/>
        <w:adjustRightInd w:val="0"/>
        <w:jc w:val="both"/>
        <w:rPr>
          <w:rFonts w:ascii="Garamond" w:hAnsi="Garamond" w:cs="Arial"/>
          <w:b/>
          <w:sz w:val="24"/>
        </w:rPr>
      </w:pPr>
    </w:p>
    <w:p w:rsidR="00046C69" w:rsidRPr="00D82A4F" w:rsidRDefault="00046C69" w:rsidP="00046C69">
      <w:pPr>
        <w:pStyle w:val="ListParagraph"/>
        <w:numPr>
          <w:ilvl w:val="0"/>
          <w:numId w:val="1"/>
        </w:numPr>
        <w:autoSpaceDE w:val="0"/>
        <w:autoSpaceDN w:val="0"/>
        <w:adjustRightInd w:val="0"/>
        <w:jc w:val="both"/>
        <w:rPr>
          <w:rFonts w:ascii="Garamond" w:hAnsi="Garamond" w:cs="Arial"/>
          <w:sz w:val="24"/>
        </w:rPr>
      </w:pPr>
      <w:r w:rsidRPr="00D82A4F">
        <w:rPr>
          <w:rFonts w:ascii="Garamond" w:hAnsi="Garamond" w:cs="Arial"/>
          <w:sz w:val="24"/>
        </w:rPr>
        <w:t xml:space="preserve">Clause </w:t>
      </w:r>
      <w:r w:rsidR="00314761" w:rsidRPr="00D82A4F">
        <w:rPr>
          <w:rFonts w:ascii="Garamond" w:hAnsi="Garamond" w:cs="Arial"/>
          <w:sz w:val="24"/>
        </w:rPr>
        <w:t>2</w:t>
      </w:r>
      <w:r w:rsidRPr="00D82A4F">
        <w:rPr>
          <w:rFonts w:ascii="Garamond" w:hAnsi="Garamond" w:cs="Arial"/>
          <w:sz w:val="24"/>
        </w:rPr>
        <w:t xml:space="preserve">(5) requires the Secretary of State to issue guidance to the </w:t>
      </w:r>
      <w:r w:rsidR="00B84BFF">
        <w:rPr>
          <w:rFonts w:ascii="Garamond" w:hAnsi="Garamond" w:cs="Arial"/>
          <w:sz w:val="24"/>
          <w:lang w:val="en-GB"/>
        </w:rPr>
        <w:t xml:space="preserve">Independent Reporting </w:t>
      </w:r>
      <w:r w:rsidRPr="00D82A4F">
        <w:rPr>
          <w:rFonts w:ascii="Garamond" w:hAnsi="Garamond" w:cs="Arial"/>
          <w:sz w:val="24"/>
        </w:rPr>
        <w:t xml:space="preserve">Commission </w:t>
      </w:r>
      <w:r w:rsidR="00B84BFF">
        <w:rPr>
          <w:rFonts w:ascii="Garamond" w:hAnsi="Garamond" w:cs="Arial"/>
          <w:sz w:val="24"/>
          <w:lang w:val="en-GB"/>
        </w:rPr>
        <w:t xml:space="preserve">(“the Commission”) </w:t>
      </w:r>
      <w:r w:rsidRPr="00D82A4F">
        <w:rPr>
          <w:rFonts w:ascii="Garamond" w:hAnsi="Garamond" w:cs="Arial"/>
          <w:sz w:val="24"/>
        </w:rPr>
        <w:t xml:space="preserve">about the exercise of the Commission’s functions in relation to certain types of information. </w:t>
      </w:r>
    </w:p>
    <w:p w:rsidR="00046C69" w:rsidRPr="00D82A4F" w:rsidRDefault="00046C69" w:rsidP="00046C69">
      <w:pPr>
        <w:pStyle w:val="ListParagraph"/>
        <w:rPr>
          <w:rFonts w:ascii="Garamond" w:hAnsi="Garamond" w:cs="Arial"/>
          <w:sz w:val="24"/>
        </w:rPr>
      </w:pPr>
    </w:p>
    <w:p w:rsidR="00046C69" w:rsidRPr="00D82A4F" w:rsidRDefault="00046C69" w:rsidP="00046C69">
      <w:pPr>
        <w:pStyle w:val="ListParagraph"/>
        <w:autoSpaceDE w:val="0"/>
        <w:autoSpaceDN w:val="0"/>
        <w:adjustRightInd w:val="0"/>
        <w:rPr>
          <w:rFonts w:ascii="Garamond" w:hAnsi="Garamond" w:cs="Arial"/>
          <w:b/>
          <w:sz w:val="24"/>
        </w:rPr>
      </w:pPr>
      <w:r w:rsidRPr="00D82A4F">
        <w:rPr>
          <w:rFonts w:ascii="Garamond" w:hAnsi="Garamond" w:cs="Arial"/>
          <w:b/>
          <w:sz w:val="24"/>
        </w:rPr>
        <w:t>Effect of the provision</w:t>
      </w:r>
    </w:p>
    <w:p w:rsidR="00046C69" w:rsidRPr="00D82A4F" w:rsidRDefault="00046C69" w:rsidP="00046C69">
      <w:pPr>
        <w:pStyle w:val="ListParagraph"/>
        <w:rPr>
          <w:rFonts w:ascii="Garamond" w:hAnsi="Garamond" w:cs="Arial"/>
          <w:sz w:val="24"/>
        </w:rPr>
      </w:pPr>
    </w:p>
    <w:p w:rsidR="00046C69" w:rsidRPr="00D82A4F" w:rsidRDefault="00046C69" w:rsidP="00FB17E8">
      <w:pPr>
        <w:pStyle w:val="ListParagraph"/>
        <w:numPr>
          <w:ilvl w:val="0"/>
          <w:numId w:val="1"/>
        </w:numPr>
        <w:autoSpaceDE w:val="0"/>
        <w:autoSpaceDN w:val="0"/>
        <w:adjustRightInd w:val="0"/>
        <w:jc w:val="both"/>
        <w:rPr>
          <w:rFonts w:ascii="Garamond" w:hAnsi="Garamond" w:cs="Arial"/>
          <w:sz w:val="24"/>
        </w:rPr>
      </w:pPr>
      <w:r w:rsidRPr="00D82A4F">
        <w:rPr>
          <w:rFonts w:ascii="Garamond" w:hAnsi="Garamond" w:cs="Arial"/>
          <w:sz w:val="24"/>
        </w:rPr>
        <w:t xml:space="preserve">Clause </w:t>
      </w:r>
      <w:r w:rsidR="00314761" w:rsidRPr="00D82A4F">
        <w:rPr>
          <w:rFonts w:ascii="Garamond" w:hAnsi="Garamond" w:cs="Arial"/>
          <w:sz w:val="24"/>
        </w:rPr>
        <w:t>2</w:t>
      </w:r>
      <w:r w:rsidRPr="00D82A4F">
        <w:rPr>
          <w:rFonts w:ascii="Garamond" w:hAnsi="Garamond" w:cs="Arial"/>
          <w:sz w:val="24"/>
        </w:rPr>
        <w:t xml:space="preserve">(5) </w:t>
      </w:r>
      <w:r w:rsidR="00FB17E8" w:rsidRPr="00D82A4F">
        <w:rPr>
          <w:rFonts w:ascii="Garamond" w:hAnsi="Garamond" w:cs="Arial"/>
          <w:sz w:val="24"/>
        </w:rPr>
        <w:t>imposes a duty on</w:t>
      </w:r>
      <w:r w:rsidRPr="00D82A4F">
        <w:rPr>
          <w:rFonts w:ascii="Garamond" w:hAnsi="Garamond" w:cs="Arial"/>
          <w:sz w:val="24"/>
        </w:rPr>
        <w:t xml:space="preserve"> the Secretary of State to issue guidance to the Commission about the exercise of the Commission’s functions in relation to information, the disclosure of which might (a) prejudice </w:t>
      </w:r>
      <w:r w:rsidR="00FB17E8" w:rsidRPr="00D82A4F">
        <w:rPr>
          <w:rFonts w:ascii="Garamond" w:hAnsi="Garamond" w:cs="Arial"/>
          <w:sz w:val="24"/>
        </w:rPr>
        <w:t xml:space="preserve">the </w:t>
      </w:r>
      <w:r w:rsidRPr="00D82A4F">
        <w:rPr>
          <w:rFonts w:ascii="Garamond" w:hAnsi="Garamond" w:cs="Arial"/>
          <w:sz w:val="24"/>
        </w:rPr>
        <w:t>national security interests of the United Kingdom or Ireland, or (b) put at risk the life or safety of any person.</w:t>
      </w:r>
      <w:r w:rsidR="00FB17E8" w:rsidRPr="00D82A4F">
        <w:rPr>
          <w:rFonts w:ascii="Garamond" w:hAnsi="Garamond" w:cs="Arial"/>
          <w:sz w:val="24"/>
        </w:rPr>
        <w:t xml:space="preserve">   The Commission must have regard to the guidance when exercising its functions.  The Secretary of State may amend or replace the guidance and must publish the current guidance. </w:t>
      </w:r>
    </w:p>
    <w:p w:rsidR="00046C69" w:rsidRPr="00D44383" w:rsidRDefault="00046C69" w:rsidP="00046C69">
      <w:pPr>
        <w:pStyle w:val="ListParagraph"/>
        <w:rPr>
          <w:rFonts w:ascii="Garamond" w:hAnsi="Garamond" w:cs="Arial"/>
        </w:rPr>
      </w:pPr>
    </w:p>
    <w:p w:rsidR="00046C69" w:rsidRPr="00D82A4F" w:rsidRDefault="00046C69" w:rsidP="00046C69">
      <w:pPr>
        <w:pStyle w:val="ListParagraph"/>
        <w:autoSpaceDE w:val="0"/>
        <w:autoSpaceDN w:val="0"/>
        <w:adjustRightInd w:val="0"/>
        <w:rPr>
          <w:rFonts w:ascii="Garamond" w:hAnsi="Garamond" w:cs="Arial"/>
          <w:b/>
          <w:sz w:val="24"/>
        </w:rPr>
      </w:pPr>
      <w:r w:rsidRPr="00D82A4F">
        <w:rPr>
          <w:rFonts w:ascii="Garamond" w:hAnsi="Garamond" w:cs="Arial"/>
          <w:b/>
          <w:sz w:val="24"/>
        </w:rPr>
        <w:t>Justification of the Delegation</w:t>
      </w:r>
    </w:p>
    <w:p w:rsidR="00046C69" w:rsidRPr="00D44383" w:rsidRDefault="00046C69" w:rsidP="00046C69">
      <w:pPr>
        <w:pStyle w:val="ListParagraph"/>
        <w:rPr>
          <w:rFonts w:ascii="Garamond" w:hAnsi="Garamond" w:cs="Arial"/>
        </w:rPr>
      </w:pPr>
    </w:p>
    <w:p w:rsidR="00195FB6" w:rsidRPr="00195FB6" w:rsidRDefault="00FB17E8" w:rsidP="00195FB6">
      <w:pPr>
        <w:numPr>
          <w:ilvl w:val="0"/>
          <w:numId w:val="1"/>
        </w:numPr>
        <w:spacing w:after="0" w:line="240" w:lineRule="auto"/>
        <w:jc w:val="both"/>
        <w:rPr>
          <w:rFonts w:ascii="Garamond" w:hAnsi="Garamond"/>
        </w:rPr>
      </w:pPr>
      <w:r>
        <w:rPr>
          <w:rFonts w:ascii="Garamond" w:hAnsi="Garamond"/>
          <w:bCs/>
        </w:rPr>
        <w:t xml:space="preserve">Clause </w:t>
      </w:r>
      <w:r w:rsidR="00314761">
        <w:rPr>
          <w:rFonts w:ascii="Garamond" w:hAnsi="Garamond"/>
          <w:bCs/>
        </w:rPr>
        <w:t>2</w:t>
      </w:r>
      <w:r>
        <w:rPr>
          <w:rFonts w:ascii="Garamond" w:hAnsi="Garamond"/>
          <w:bCs/>
        </w:rPr>
        <w:t xml:space="preserve">(3) prohibits the Commission, when exercising its functions, from doing anything which might (a) prejudice the national </w:t>
      </w:r>
      <w:r w:rsidR="009155C1">
        <w:rPr>
          <w:rFonts w:ascii="Garamond" w:hAnsi="Garamond"/>
          <w:bCs/>
        </w:rPr>
        <w:t>security</w:t>
      </w:r>
      <w:r>
        <w:rPr>
          <w:rFonts w:ascii="Garamond" w:hAnsi="Garamond"/>
          <w:bCs/>
        </w:rPr>
        <w:t xml:space="preserve"> interests of the United Kingdom or Ireland, (b) put at risk the life </w:t>
      </w:r>
      <w:r w:rsidR="00B84BFF">
        <w:rPr>
          <w:rFonts w:ascii="Garamond" w:hAnsi="Garamond"/>
          <w:bCs/>
        </w:rPr>
        <w:t xml:space="preserve">or </w:t>
      </w:r>
      <w:r>
        <w:rPr>
          <w:rFonts w:ascii="Garamond" w:hAnsi="Garamond"/>
          <w:bCs/>
        </w:rPr>
        <w:t>safety of any person, (c) have a prejudicial effect on the prevention, investigation or detection of crime, or (d) have a prejudicial effect on any actual or prospective legal proceedings.   Due to the part</w:t>
      </w:r>
      <w:r w:rsidR="004C0D10">
        <w:rPr>
          <w:rFonts w:ascii="Garamond" w:hAnsi="Garamond"/>
          <w:bCs/>
        </w:rPr>
        <w:t xml:space="preserve">icular risk </w:t>
      </w:r>
      <w:r>
        <w:rPr>
          <w:rFonts w:ascii="Garamond" w:hAnsi="Garamond"/>
          <w:bCs/>
        </w:rPr>
        <w:t xml:space="preserve">posed by (a) and (b), it is considered that the Secretary of State should </w:t>
      </w:r>
      <w:r w:rsidR="004C0D10">
        <w:rPr>
          <w:rFonts w:ascii="Garamond" w:hAnsi="Garamond"/>
          <w:bCs/>
        </w:rPr>
        <w:t xml:space="preserve">be required to </w:t>
      </w:r>
      <w:r>
        <w:rPr>
          <w:rFonts w:ascii="Garamond" w:hAnsi="Garamond"/>
          <w:bCs/>
        </w:rPr>
        <w:t>issue the Commission with further guidanc</w:t>
      </w:r>
      <w:r w:rsidR="004C0D10">
        <w:rPr>
          <w:rFonts w:ascii="Garamond" w:hAnsi="Garamond"/>
          <w:bCs/>
        </w:rPr>
        <w:t>e</w:t>
      </w:r>
      <w:r w:rsidR="00195FB6">
        <w:rPr>
          <w:rFonts w:ascii="Garamond" w:hAnsi="Garamond"/>
          <w:bCs/>
        </w:rPr>
        <w:t>, in order to assist it in identifying such information and fulfilling its statutory duties</w:t>
      </w:r>
      <w:r>
        <w:rPr>
          <w:rFonts w:ascii="Garamond" w:hAnsi="Garamond"/>
          <w:bCs/>
        </w:rPr>
        <w:t xml:space="preserve">.  </w:t>
      </w:r>
      <w:r w:rsidR="00314761">
        <w:rPr>
          <w:rFonts w:ascii="Garamond" w:hAnsi="Garamond"/>
          <w:bCs/>
        </w:rPr>
        <w:t>The guidance is likely to include guidance about the handling and use of</w:t>
      </w:r>
      <w:r w:rsidR="00195FB6">
        <w:rPr>
          <w:rFonts w:ascii="Garamond" w:hAnsi="Garamond"/>
          <w:bCs/>
        </w:rPr>
        <w:t>, and access to</w:t>
      </w:r>
      <w:r w:rsidR="008408FE">
        <w:rPr>
          <w:rFonts w:ascii="Garamond" w:hAnsi="Garamond"/>
          <w:bCs/>
        </w:rPr>
        <w:t>,</w:t>
      </w:r>
      <w:r w:rsidR="00314761">
        <w:rPr>
          <w:rFonts w:ascii="Garamond" w:hAnsi="Garamond"/>
          <w:bCs/>
        </w:rPr>
        <w:t xml:space="preserve"> such information. </w:t>
      </w:r>
      <w:r>
        <w:rPr>
          <w:rFonts w:ascii="Garamond" w:hAnsi="Garamond"/>
          <w:bCs/>
        </w:rPr>
        <w:t xml:space="preserve"> The Secretary of State will need the flexibility to ensure that the guidance is, and remains, appropriate in light of experience and setting out the detail on the face of the Bill would be very difficult and would unduly burden the Bill.</w:t>
      </w:r>
      <w:r w:rsidR="009155C1">
        <w:rPr>
          <w:rFonts w:ascii="Garamond" w:hAnsi="Garamond"/>
          <w:bCs/>
        </w:rPr>
        <w:t xml:space="preserve">   Further, the guidance will </w:t>
      </w:r>
      <w:r w:rsidR="00314761">
        <w:rPr>
          <w:rFonts w:ascii="Garamond" w:hAnsi="Garamond"/>
          <w:bCs/>
        </w:rPr>
        <w:t xml:space="preserve">relate to </w:t>
      </w:r>
      <w:r w:rsidR="009155C1">
        <w:rPr>
          <w:rFonts w:ascii="Garamond" w:hAnsi="Garamond"/>
          <w:bCs/>
        </w:rPr>
        <w:t xml:space="preserve">the general duty at clause </w:t>
      </w:r>
      <w:r w:rsidR="00314761">
        <w:rPr>
          <w:rFonts w:ascii="Garamond" w:hAnsi="Garamond"/>
          <w:bCs/>
        </w:rPr>
        <w:t>2</w:t>
      </w:r>
      <w:r w:rsidR="009155C1">
        <w:rPr>
          <w:rFonts w:ascii="Garamond" w:hAnsi="Garamond"/>
          <w:bCs/>
        </w:rPr>
        <w:t>(3</w:t>
      </w:r>
      <w:proofErr w:type="gramStart"/>
      <w:r w:rsidR="009155C1">
        <w:rPr>
          <w:rFonts w:ascii="Garamond" w:hAnsi="Garamond"/>
          <w:bCs/>
        </w:rPr>
        <w:t>)(</w:t>
      </w:r>
      <w:proofErr w:type="gramEnd"/>
      <w:r w:rsidR="009155C1">
        <w:rPr>
          <w:rFonts w:ascii="Garamond" w:hAnsi="Garamond"/>
          <w:bCs/>
        </w:rPr>
        <w:t>a) and (b) which Parliament will have approved.</w:t>
      </w:r>
      <w:r w:rsidR="00195FB6">
        <w:rPr>
          <w:rFonts w:ascii="Garamond" w:hAnsi="Garamond"/>
          <w:bCs/>
        </w:rPr>
        <w:t xml:space="preserve"> </w:t>
      </w:r>
      <w:r w:rsidR="00195FB6" w:rsidRPr="00B655DA">
        <w:rPr>
          <w:rFonts w:ascii="Garamond" w:hAnsi="Garamond"/>
        </w:rPr>
        <w:t xml:space="preserve">In addition, in relation to </w:t>
      </w:r>
      <w:r w:rsidR="008408FE" w:rsidRPr="00B655DA">
        <w:rPr>
          <w:rFonts w:ascii="Garamond" w:hAnsi="Garamond"/>
        </w:rPr>
        <w:t xml:space="preserve">some </w:t>
      </w:r>
      <w:r w:rsidR="00195FB6" w:rsidRPr="00B655DA">
        <w:rPr>
          <w:rFonts w:ascii="Garamond" w:hAnsi="Garamond"/>
        </w:rPr>
        <w:t xml:space="preserve">existing </w:t>
      </w:r>
      <w:r w:rsidR="008408FE" w:rsidRPr="00B655DA">
        <w:rPr>
          <w:rFonts w:ascii="Garamond" w:hAnsi="Garamond"/>
        </w:rPr>
        <w:t xml:space="preserve">policing and justice </w:t>
      </w:r>
      <w:r w:rsidR="00195FB6" w:rsidRPr="00B655DA">
        <w:rPr>
          <w:rFonts w:ascii="Garamond" w:hAnsi="Garamond"/>
        </w:rPr>
        <w:t xml:space="preserve">bodies, provision in respect of the holding of information </w:t>
      </w:r>
      <w:r w:rsidR="00F235D7">
        <w:rPr>
          <w:rFonts w:ascii="Garamond" w:hAnsi="Garamond"/>
        </w:rPr>
        <w:t>has been</w:t>
      </w:r>
      <w:r w:rsidR="00195FB6" w:rsidRPr="00B655DA">
        <w:rPr>
          <w:rFonts w:ascii="Garamond" w:hAnsi="Garamond"/>
        </w:rPr>
        <w:t xml:space="preserve"> made using Memorandums of Understanding or service level agreements.</w:t>
      </w:r>
      <w:r w:rsidR="00195FB6" w:rsidRPr="00195FB6">
        <w:rPr>
          <w:rFonts w:ascii="Garamond" w:hAnsi="Garamond"/>
        </w:rPr>
        <w:t xml:space="preserve"> </w:t>
      </w:r>
    </w:p>
    <w:p w:rsidR="00046C69" w:rsidRPr="00D44383" w:rsidRDefault="00046C69" w:rsidP="00903007">
      <w:pPr>
        <w:spacing w:after="0" w:line="240" w:lineRule="auto"/>
        <w:jc w:val="both"/>
        <w:rPr>
          <w:rFonts w:ascii="Garamond" w:hAnsi="Garamond"/>
        </w:rPr>
      </w:pPr>
    </w:p>
    <w:p w:rsidR="00046C69" w:rsidRPr="00D82A4F" w:rsidRDefault="00046C69" w:rsidP="00046C69">
      <w:pPr>
        <w:pStyle w:val="ListParagraph"/>
        <w:autoSpaceDE w:val="0"/>
        <w:autoSpaceDN w:val="0"/>
        <w:adjustRightInd w:val="0"/>
        <w:rPr>
          <w:rFonts w:ascii="Garamond" w:hAnsi="Garamond" w:cs="Arial"/>
          <w:b/>
          <w:sz w:val="24"/>
        </w:rPr>
      </w:pPr>
      <w:r w:rsidRPr="00D82A4F">
        <w:rPr>
          <w:rFonts w:ascii="Garamond" w:hAnsi="Garamond" w:cs="Arial"/>
          <w:b/>
          <w:sz w:val="24"/>
        </w:rPr>
        <w:t>Justification of the level of Parliamentary Scrutiny</w:t>
      </w:r>
    </w:p>
    <w:p w:rsidR="00046C69" w:rsidRPr="00D44383" w:rsidRDefault="00046C69" w:rsidP="00046C69">
      <w:pPr>
        <w:pStyle w:val="ListParagraph"/>
        <w:autoSpaceDE w:val="0"/>
        <w:autoSpaceDN w:val="0"/>
        <w:adjustRightInd w:val="0"/>
        <w:rPr>
          <w:rFonts w:ascii="Garamond" w:hAnsi="Garamond" w:cs="Arial"/>
          <w:b/>
        </w:rPr>
      </w:pPr>
    </w:p>
    <w:p w:rsidR="00E1672F" w:rsidRPr="00E1672F" w:rsidRDefault="00E1672F" w:rsidP="00E1672F">
      <w:pPr>
        <w:numPr>
          <w:ilvl w:val="0"/>
          <w:numId w:val="1"/>
        </w:numPr>
        <w:spacing w:after="0" w:line="240" w:lineRule="auto"/>
        <w:jc w:val="both"/>
        <w:rPr>
          <w:rFonts w:ascii="Garamond" w:hAnsi="Garamond"/>
          <w:b/>
          <w:u w:val="single"/>
        </w:rPr>
      </w:pPr>
      <w:r>
        <w:rPr>
          <w:rFonts w:ascii="Garamond" w:hAnsi="Garamond"/>
          <w:bCs/>
        </w:rPr>
        <w:t>T</w:t>
      </w:r>
      <w:r w:rsidR="00903007">
        <w:rPr>
          <w:rFonts w:ascii="Garamond" w:hAnsi="Garamond"/>
          <w:bCs/>
        </w:rPr>
        <w:t xml:space="preserve">he guidance will provide a framework for the handling of information </w:t>
      </w:r>
      <w:r w:rsidR="00314761">
        <w:rPr>
          <w:rFonts w:ascii="Garamond" w:hAnsi="Garamond"/>
          <w:bCs/>
        </w:rPr>
        <w:t xml:space="preserve">related to </w:t>
      </w:r>
      <w:r w:rsidR="00903007">
        <w:rPr>
          <w:rFonts w:ascii="Garamond" w:hAnsi="Garamond"/>
          <w:bCs/>
        </w:rPr>
        <w:t xml:space="preserve">the general duties at clause </w:t>
      </w:r>
      <w:r w:rsidR="00314761">
        <w:rPr>
          <w:rFonts w:ascii="Garamond" w:hAnsi="Garamond"/>
          <w:bCs/>
        </w:rPr>
        <w:t>2</w:t>
      </w:r>
      <w:r w:rsidR="00903007">
        <w:rPr>
          <w:rFonts w:ascii="Garamond" w:hAnsi="Garamond"/>
          <w:bCs/>
        </w:rPr>
        <w:t>(3</w:t>
      </w:r>
      <w:proofErr w:type="gramStart"/>
      <w:r w:rsidR="00903007">
        <w:rPr>
          <w:rFonts w:ascii="Garamond" w:hAnsi="Garamond"/>
          <w:bCs/>
        </w:rPr>
        <w:t>)(</w:t>
      </w:r>
      <w:proofErr w:type="gramEnd"/>
      <w:r w:rsidR="00903007">
        <w:rPr>
          <w:rFonts w:ascii="Garamond" w:hAnsi="Garamond"/>
          <w:bCs/>
        </w:rPr>
        <w:t>a) and (</w:t>
      </w:r>
      <w:r w:rsidR="004C0D10">
        <w:rPr>
          <w:rFonts w:ascii="Garamond" w:hAnsi="Garamond"/>
          <w:bCs/>
        </w:rPr>
        <w:t>b)</w:t>
      </w:r>
      <w:r>
        <w:rPr>
          <w:rFonts w:ascii="Garamond" w:hAnsi="Garamond"/>
          <w:bCs/>
        </w:rPr>
        <w:t xml:space="preserve">. </w:t>
      </w:r>
      <w:r w:rsidR="00AE66F1">
        <w:rPr>
          <w:rFonts w:ascii="Garamond" w:hAnsi="Garamond"/>
          <w:bCs/>
        </w:rPr>
        <w:t>Existing p</w:t>
      </w:r>
      <w:r w:rsidRPr="00022D75">
        <w:rPr>
          <w:rFonts w:ascii="Garamond" w:hAnsi="Garamond"/>
        </w:rPr>
        <w:t xml:space="preserve">rovisions in relation to holding information </w:t>
      </w:r>
      <w:r w:rsidR="00AE66F1">
        <w:rPr>
          <w:rFonts w:ascii="Garamond" w:hAnsi="Garamond"/>
        </w:rPr>
        <w:t>have been</w:t>
      </w:r>
      <w:r w:rsidRPr="00022D75">
        <w:rPr>
          <w:rFonts w:ascii="Garamond" w:hAnsi="Garamond"/>
        </w:rPr>
        <w:t xml:space="preserve"> the subject of Memorandums of Understanding and </w:t>
      </w:r>
      <w:r>
        <w:rPr>
          <w:rFonts w:ascii="Garamond" w:hAnsi="Garamond"/>
        </w:rPr>
        <w:t>service level agreements</w:t>
      </w:r>
      <w:r w:rsidR="008408FE">
        <w:rPr>
          <w:rFonts w:ascii="Garamond" w:hAnsi="Garamond"/>
        </w:rPr>
        <w:t xml:space="preserve">; this guidance </w:t>
      </w:r>
      <w:r w:rsidR="004C0D10">
        <w:rPr>
          <w:rFonts w:ascii="Garamond" w:hAnsi="Garamond"/>
          <w:bCs/>
        </w:rPr>
        <w:t>is statutory guidance</w:t>
      </w:r>
      <w:r>
        <w:rPr>
          <w:rFonts w:ascii="Garamond" w:hAnsi="Garamond"/>
          <w:bCs/>
        </w:rPr>
        <w:t xml:space="preserve"> and its subject matter is</w:t>
      </w:r>
      <w:r w:rsidR="004C0D10">
        <w:rPr>
          <w:rFonts w:ascii="Garamond" w:hAnsi="Garamond"/>
          <w:bCs/>
        </w:rPr>
        <w:t xml:space="preserve"> referred to on the face of the Bill</w:t>
      </w:r>
      <w:r w:rsidR="008408FE">
        <w:rPr>
          <w:rFonts w:ascii="Garamond" w:hAnsi="Garamond"/>
          <w:bCs/>
        </w:rPr>
        <w:t xml:space="preserve">.  There is also a requirement </w:t>
      </w:r>
      <w:r w:rsidR="00314761">
        <w:rPr>
          <w:rFonts w:ascii="Garamond" w:hAnsi="Garamond"/>
          <w:bCs/>
        </w:rPr>
        <w:t xml:space="preserve">for the guidance to </w:t>
      </w:r>
      <w:r w:rsidR="008408FE">
        <w:rPr>
          <w:rFonts w:ascii="Garamond" w:hAnsi="Garamond"/>
          <w:bCs/>
        </w:rPr>
        <w:t>be published.  For those reasons</w:t>
      </w:r>
      <w:r w:rsidR="00903007">
        <w:rPr>
          <w:rFonts w:ascii="Garamond" w:hAnsi="Garamond"/>
          <w:bCs/>
        </w:rPr>
        <w:t xml:space="preserve"> it is considered appropriate for this not to be subject to a Parliamentary approval process.  A copy of the guidance will be placed in the library of each House</w:t>
      </w:r>
      <w:r>
        <w:rPr>
          <w:rFonts w:ascii="Garamond" w:hAnsi="Garamond"/>
          <w:bCs/>
        </w:rPr>
        <w:t xml:space="preserve"> on publication</w:t>
      </w:r>
      <w:r w:rsidR="00903007">
        <w:rPr>
          <w:rFonts w:ascii="Garamond" w:hAnsi="Garamond"/>
          <w:bCs/>
        </w:rPr>
        <w:t xml:space="preserve">. </w:t>
      </w:r>
    </w:p>
    <w:p w:rsidR="00903007" w:rsidRDefault="00903007" w:rsidP="00903007">
      <w:pPr>
        <w:spacing w:after="0" w:line="240" w:lineRule="auto"/>
        <w:ind w:left="720"/>
        <w:jc w:val="both"/>
        <w:rPr>
          <w:rFonts w:ascii="Garamond" w:hAnsi="Garamond"/>
          <w:b/>
          <w:u w:val="single"/>
        </w:rPr>
      </w:pPr>
    </w:p>
    <w:p w:rsidR="00046C69" w:rsidRDefault="00046C69" w:rsidP="00B675CF">
      <w:pPr>
        <w:pStyle w:val="ListParagraph"/>
        <w:autoSpaceDE w:val="0"/>
        <w:autoSpaceDN w:val="0"/>
        <w:adjustRightInd w:val="0"/>
        <w:ind w:left="0"/>
        <w:jc w:val="both"/>
        <w:rPr>
          <w:rFonts w:ascii="Garamond" w:hAnsi="Garamond" w:cs="Arial"/>
          <w:b/>
          <w:u w:val="single"/>
        </w:rPr>
      </w:pPr>
    </w:p>
    <w:p w:rsidR="00046C69" w:rsidRDefault="00046C69" w:rsidP="00B675CF">
      <w:pPr>
        <w:pStyle w:val="ListParagraph"/>
        <w:autoSpaceDE w:val="0"/>
        <w:autoSpaceDN w:val="0"/>
        <w:adjustRightInd w:val="0"/>
        <w:ind w:left="0"/>
        <w:jc w:val="both"/>
        <w:rPr>
          <w:rFonts w:ascii="Garamond" w:hAnsi="Garamond" w:cs="Arial"/>
          <w:b/>
          <w:u w:val="single"/>
        </w:rPr>
      </w:pPr>
    </w:p>
    <w:p w:rsidR="00B675CF" w:rsidRPr="00D82A4F" w:rsidRDefault="00B675CF" w:rsidP="00B675CF">
      <w:pPr>
        <w:pStyle w:val="ListParagraph"/>
        <w:autoSpaceDE w:val="0"/>
        <w:autoSpaceDN w:val="0"/>
        <w:adjustRightInd w:val="0"/>
        <w:ind w:left="0"/>
        <w:jc w:val="both"/>
        <w:rPr>
          <w:rFonts w:ascii="Garamond" w:hAnsi="Garamond" w:cs="Arial"/>
          <w:b/>
          <w:i/>
          <w:sz w:val="24"/>
          <w:u w:val="single"/>
        </w:rPr>
      </w:pPr>
      <w:r w:rsidRPr="00D82A4F">
        <w:rPr>
          <w:rFonts w:ascii="Garamond" w:hAnsi="Garamond" w:cs="Arial"/>
          <w:b/>
          <w:sz w:val="24"/>
          <w:u w:val="single"/>
        </w:rPr>
        <w:t xml:space="preserve">Clause </w:t>
      </w:r>
      <w:r w:rsidR="00F7132D" w:rsidRPr="00D82A4F">
        <w:rPr>
          <w:rFonts w:ascii="Garamond" w:hAnsi="Garamond" w:cs="Arial"/>
          <w:b/>
          <w:sz w:val="24"/>
          <w:u w:val="single"/>
        </w:rPr>
        <w:t>3(3)</w:t>
      </w:r>
      <w:r w:rsidRPr="00D82A4F">
        <w:rPr>
          <w:rFonts w:ascii="Garamond" w:hAnsi="Garamond" w:cs="Arial"/>
          <w:b/>
          <w:sz w:val="24"/>
          <w:u w:val="single"/>
        </w:rPr>
        <w:t xml:space="preserve">: </w:t>
      </w:r>
      <w:r w:rsidR="005D765E" w:rsidRPr="00D82A4F">
        <w:rPr>
          <w:rFonts w:ascii="Garamond" w:hAnsi="Garamond" w:cs="Arial"/>
          <w:b/>
          <w:sz w:val="24"/>
          <w:u w:val="single"/>
        </w:rPr>
        <w:t xml:space="preserve">Legal privileges etc </w:t>
      </w:r>
      <w:r w:rsidR="00B45C07" w:rsidRPr="00D82A4F">
        <w:rPr>
          <w:rFonts w:ascii="Garamond" w:hAnsi="Garamond" w:cs="Arial"/>
          <w:b/>
          <w:sz w:val="24"/>
          <w:u w:val="single"/>
        </w:rPr>
        <w:t>- p</w:t>
      </w:r>
      <w:r w:rsidR="00D44383" w:rsidRPr="00D82A4F">
        <w:rPr>
          <w:rFonts w:ascii="Garamond" w:hAnsi="Garamond" w:cs="Arial"/>
          <w:b/>
          <w:sz w:val="24"/>
          <w:u w:val="single"/>
        </w:rPr>
        <w:t>ower to confer further privileges</w:t>
      </w:r>
      <w:r w:rsidR="00F7132D" w:rsidRPr="00D82A4F">
        <w:rPr>
          <w:rFonts w:ascii="Garamond" w:hAnsi="Garamond" w:cs="Arial"/>
          <w:b/>
          <w:sz w:val="24"/>
          <w:u w:val="single"/>
        </w:rPr>
        <w:t xml:space="preserve"> etc </w:t>
      </w:r>
      <w:r w:rsidR="00D44383" w:rsidRPr="00D82A4F">
        <w:rPr>
          <w:rFonts w:ascii="Garamond" w:hAnsi="Garamond" w:cs="Arial"/>
          <w:b/>
          <w:sz w:val="24"/>
          <w:u w:val="single"/>
        </w:rPr>
        <w:t>on the Commission, members and staff of the Commission and members of their families</w:t>
      </w:r>
      <w:r w:rsidRPr="00D82A4F">
        <w:rPr>
          <w:rFonts w:ascii="Garamond" w:hAnsi="Garamond" w:cs="Arial"/>
          <w:b/>
          <w:sz w:val="24"/>
          <w:u w:val="single"/>
        </w:rPr>
        <w:t>:</w:t>
      </w:r>
    </w:p>
    <w:p w:rsidR="00B675CF" w:rsidRPr="00D82A4F" w:rsidRDefault="00B675CF" w:rsidP="00B675CF">
      <w:pPr>
        <w:pStyle w:val="ListParagraph"/>
        <w:rPr>
          <w:rFonts w:ascii="Garamond" w:hAnsi="Garamond" w:cs="Arial"/>
          <w:b/>
          <w:sz w:val="24"/>
        </w:rPr>
      </w:pPr>
    </w:p>
    <w:p w:rsidR="00B675CF" w:rsidRPr="00D82A4F" w:rsidRDefault="00B675CF" w:rsidP="00B675CF">
      <w:pPr>
        <w:pStyle w:val="ListParagraph"/>
        <w:jc w:val="both"/>
        <w:rPr>
          <w:rFonts w:ascii="Garamond" w:hAnsi="Garamond" w:cs="Arial"/>
          <w:i/>
          <w:sz w:val="24"/>
        </w:rPr>
      </w:pPr>
      <w:r w:rsidRPr="00D82A4F">
        <w:rPr>
          <w:rFonts w:ascii="Garamond" w:hAnsi="Garamond" w:cs="Arial"/>
          <w:i/>
          <w:sz w:val="24"/>
        </w:rPr>
        <w:t>Power conferred on:</w:t>
      </w:r>
      <w:r w:rsidRPr="00D82A4F">
        <w:rPr>
          <w:rFonts w:ascii="Garamond" w:hAnsi="Garamond" w:cs="Arial"/>
          <w:i/>
          <w:sz w:val="24"/>
        </w:rPr>
        <w:tab/>
      </w:r>
      <w:r w:rsidRPr="00D82A4F">
        <w:rPr>
          <w:rFonts w:ascii="Garamond" w:hAnsi="Garamond" w:cs="Arial"/>
          <w:i/>
          <w:sz w:val="24"/>
        </w:rPr>
        <w:tab/>
        <w:t>Secretary of State</w:t>
      </w:r>
    </w:p>
    <w:p w:rsidR="00B675CF" w:rsidRPr="00D82A4F" w:rsidRDefault="00B675CF" w:rsidP="00B675CF">
      <w:pPr>
        <w:pStyle w:val="ListParagraph"/>
        <w:jc w:val="both"/>
        <w:rPr>
          <w:rFonts w:ascii="Garamond" w:hAnsi="Garamond" w:cs="Arial"/>
          <w:i/>
          <w:sz w:val="24"/>
        </w:rPr>
      </w:pPr>
      <w:r w:rsidRPr="00D82A4F">
        <w:rPr>
          <w:rFonts w:ascii="Garamond" w:hAnsi="Garamond" w:cs="Arial"/>
          <w:i/>
          <w:sz w:val="24"/>
        </w:rPr>
        <w:t>Power exercisable by:</w:t>
      </w:r>
      <w:r w:rsidRPr="00D82A4F">
        <w:rPr>
          <w:rFonts w:ascii="Garamond" w:hAnsi="Garamond" w:cs="Arial"/>
          <w:i/>
          <w:sz w:val="24"/>
        </w:rPr>
        <w:tab/>
      </w:r>
      <w:r w:rsidRPr="00D82A4F">
        <w:rPr>
          <w:rFonts w:ascii="Garamond" w:hAnsi="Garamond" w:cs="Arial"/>
          <w:i/>
          <w:sz w:val="24"/>
        </w:rPr>
        <w:tab/>
        <w:t>Regulations made by statutory instrument</w:t>
      </w:r>
    </w:p>
    <w:p w:rsidR="00B675CF" w:rsidRPr="00D82A4F" w:rsidRDefault="00B675CF" w:rsidP="00B675CF">
      <w:pPr>
        <w:pStyle w:val="ListParagraph"/>
        <w:jc w:val="both"/>
        <w:rPr>
          <w:rFonts w:ascii="Garamond" w:hAnsi="Garamond" w:cs="Arial"/>
          <w:sz w:val="24"/>
        </w:rPr>
      </w:pPr>
      <w:r w:rsidRPr="00D82A4F">
        <w:rPr>
          <w:rFonts w:ascii="Garamond" w:hAnsi="Garamond" w:cs="Arial"/>
          <w:i/>
          <w:sz w:val="24"/>
        </w:rPr>
        <w:t>Parliamentary Procedure:</w:t>
      </w:r>
      <w:r w:rsidRPr="00D82A4F">
        <w:rPr>
          <w:rFonts w:ascii="Garamond" w:hAnsi="Garamond" w:cs="Arial"/>
          <w:i/>
          <w:sz w:val="24"/>
        </w:rPr>
        <w:tab/>
      </w:r>
      <w:r w:rsidRPr="00D82A4F">
        <w:rPr>
          <w:rFonts w:ascii="Garamond" w:hAnsi="Garamond" w:cs="Arial"/>
          <w:i/>
          <w:sz w:val="24"/>
        </w:rPr>
        <w:tab/>
        <w:t>Negative resolution</w:t>
      </w:r>
    </w:p>
    <w:p w:rsidR="00B675CF" w:rsidRPr="00D82A4F" w:rsidRDefault="00B675CF" w:rsidP="00B675CF">
      <w:pPr>
        <w:pStyle w:val="ListParagraph"/>
        <w:ind w:left="0"/>
        <w:rPr>
          <w:rFonts w:ascii="Garamond" w:hAnsi="Garamond" w:cs="Arial"/>
          <w:b/>
          <w:sz w:val="24"/>
        </w:rPr>
      </w:pPr>
    </w:p>
    <w:p w:rsidR="00B675CF" w:rsidRPr="00D82A4F" w:rsidRDefault="00B675CF" w:rsidP="00B675CF">
      <w:pPr>
        <w:pStyle w:val="ListParagraph"/>
        <w:autoSpaceDE w:val="0"/>
        <w:autoSpaceDN w:val="0"/>
        <w:adjustRightInd w:val="0"/>
        <w:jc w:val="both"/>
        <w:rPr>
          <w:rFonts w:ascii="Garamond" w:hAnsi="Garamond" w:cs="Arial"/>
          <w:b/>
          <w:sz w:val="24"/>
        </w:rPr>
      </w:pPr>
      <w:r w:rsidRPr="00D82A4F">
        <w:rPr>
          <w:rFonts w:ascii="Garamond" w:hAnsi="Garamond" w:cs="Arial"/>
          <w:b/>
          <w:sz w:val="24"/>
        </w:rPr>
        <w:t>Introduction</w:t>
      </w:r>
    </w:p>
    <w:p w:rsidR="00B675CF" w:rsidRPr="00D82A4F" w:rsidRDefault="00B675CF" w:rsidP="00B675CF">
      <w:pPr>
        <w:pStyle w:val="ListParagraph"/>
        <w:autoSpaceDE w:val="0"/>
        <w:autoSpaceDN w:val="0"/>
        <w:adjustRightInd w:val="0"/>
        <w:jc w:val="both"/>
        <w:rPr>
          <w:rFonts w:ascii="Garamond" w:hAnsi="Garamond" w:cs="Arial"/>
          <w:b/>
          <w:sz w:val="24"/>
        </w:rPr>
      </w:pPr>
    </w:p>
    <w:p w:rsidR="00B675CF" w:rsidRPr="00D82A4F" w:rsidRDefault="00B45C07" w:rsidP="00B675CF">
      <w:pPr>
        <w:pStyle w:val="ListParagraph"/>
        <w:numPr>
          <w:ilvl w:val="0"/>
          <w:numId w:val="1"/>
        </w:numPr>
        <w:autoSpaceDE w:val="0"/>
        <w:autoSpaceDN w:val="0"/>
        <w:adjustRightInd w:val="0"/>
        <w:jc w:val="both"/>
        <w:rPr>
          <w:rFonts w:ascii="Garamond" w:hAnsi="Garamond" w:cs="Arial"/>
          <w:sz w:val="24"/>
        </w:rPr>
      </w:pPr>
      <w:r w:rsidRPr="00D82A4F">
        <w:rPr>
          <w:rFonts w:ascii="Garamond" w:hAnsi="Garamond" w:cs="Arial"/>
          <w:sz w:val="24"/>
        </w:rPr>
        <w:t xml:space="preserve">Clause </w:t>
      </w:r>
      <w:r w:rsidR="00F7132D" w:rsidRPr="00D82A4F">
        <w:rPr>
          <w:rFonts w:ascii="Garamond" w:hAnsi="Garamond" w:cs="Arial"/>
          <w:sz w:val="24"/>
        </w:rPr>
        <w:t>3</w:t>
      </w:r>
      <w:r w:rsidRPr="00D82A4F">
        <w:rPr>
          <w:rFonts w:ascii="Garamond" w:hAnsi="Garamond" w:cs="Arial"/>
          <w:sz w:val="24"/>
        </w:rPr>
        <w:t xml:space="preserve">(1) and (2) confer </w:t>
      </w:r>
      <w:r w:rsidR="005D765E" w:rsidRPr="00D82A4F">
        <w:rPr>
          <w:rFonts w:ascii="Garamond" w:hAnsi="Garamond" w:cs="Arial"/>
          <w:sz w:val="24"/>
        </w:rPr>
        <w:t xml:space="preserve">immunity from suit and legal process, and inviolability of archives and premises, </w:t>
      </w:r>
      <w:r w:rsidRPr="00D82A4F">
        <w:rPr>
          <w:rFonts w:ascii="Garamond" w:hAnsi="Garamond" w:cs="Arial"/>
          <w:sz w:val="24"/>
        </w:rPr>
        <w:t xml:space="preserve">on the Commission.  </w:t>
      </w:r>
      <w:r w:rsidR="005D765E" w:rsidRPr="00D82A4F">
        <w:rPr>
          <w:rFonts w:ascii="Garamond" w:hAnsi="Garamond"/>
          <w:bCs/>
          <w:sz w:val="24"/>
        </w:rPr>
        <w:t xml:space="preserve">Clause </w:t>
      </w:r>
      <w:r w:rsidR="00F7132D" w:rsidRPr="00D82A4F">
        <w:rPr>
          <w:rFonts w:ascii="Garamond" w:hAnsi="Garamond"/>
          <w:bCs/>
          <w:sz w:val="24"/>
        </w:rPr>
        <w:t>3</w:t>
      </w:r>
      <w:r w:rsidR="005D765E" w:rsidRPr="00D82A4F">
        <w:rPr>
          <w:rFonts w:ascii="Garamond" w:hAnsi="Garamond"/>
          <w:bCs/>
          <w:sz w:val="24"/>
        </w:rPr>
        <w:t>(3) allows the Secretary of State to make regulations, subject to the negative resolution procedure, conferring certain further privileges and immunities on the Commission, and on Commissioners and staff of the Commission, and members of their families who form part of their households</w:t>
      </w:r>
      <w:r w:rsidR="0083497A" w:rsidRPr="00D82A4F">
        <w:rPr>
          <w:rFonts w:ascii="Garamond" w:hAnsi="Garamond"/>
          <w:bCs/>
          <w:sz w:val="24"/>
        </w:rPr>
        <w:t>.</w:t>
      </w:r>
    </w:p>
    <w:p w:rsidR="00B675CF" w:rsidRPr="00D82A4F" w:rsidRDefault="00B675CF" w:rsidP="00B675CF">
      <w:pPr>
        <w:pStyle w:val="ListParagraph"/>
        <w:rPr>
          <w:rFonts w:ascii="Garamond" w:hAnsi="Garamond" w:cs="Arial"/>
          <w:sz w:val="24"/>
        </w:rPr>
      </w:pPr>
    </w:p>
    <w:p w:rsidR="00B675CF" w:rsidRPr="00D82A4F" w:rsidRDefault="00B675CF" w:rsidP="00B675CF">
      <w:pPr>
        <w:pStyle w:val="ListParagraph"/>
        <w:autoSpaceDE w:val="0"/>
        <w:autoSpaceDN w:val="0"/>
        <w:adjustRightInd w:val="0"/>
        <w:rPr>
          <w:rFonts w:ascii="Garamond" w:hAnsi="Garamond" w:cs="Arial"/>
          <w:b/>
          <w:sz w:val="24"/>
        </w:rPr>
      </w:pPr>
      <w:r w:rsidRPr="00D82A4F">
        <w:rPr>
          <w:rFonts w:ascii="Garamond" w:hAnsi="Garamond" w:cs="Arial"/>
          <w:b/>
          <w:sz w:val="24"/>
        </w:rPr>
        <w:t>Effect of the provision</w:t>
      </w:r>
    </w:p>
    <w:p w:rsidR="00B675CF" w:rsidRPr="00D82A4F" w:rsidRDefault="00B675CF" w:rsidP="00B675CF">
      <w:pPr>
        <w:pStyle w:val="ListParagraph"/>
        <w:rPr>
          <w:rFonts w:ascii="Garamond" w:hAnsi="Garamond" w:cs="Arial"/>
          <w:sz w:val="24"/>
        </w:rPr>
      </w:pPr>
    </w:p>
    <w:p w:rsidR="005D765E" w:rsidRPr="005D765E" w:rsidRDefault="005D765E" w:rsidP="005D765E">
      <w:pPr>
        <w:numPr>
          <w:ilvl w:val="0"/>
          <w:numId w:val="1"/>
        </w:numPr>
        <w:spacing w:after="0" w:line="240" w:lineRule="auto"/>
        <w:jc w:val="both"/>
        <w:rPr>
          <w:rFonts w:ascii="Garamond" w:hAnsi="Garamond"/>
        </w:rPr>
      </w:pPr>
      <w:r w:rsidRPr="00F90AD4">
        <w:rPr>
          <w:rFonts w:ascii="Garamond" w:hAnsi="Garamond"/>
          <w:bCs/>
        </w:rPr>
        <w:t xml:space="preserve">Clause </w:t>
      </w:r>
      <w:r w:rsidR="00F7132D">
        <w:rPr>
          <w:rFonts w:ascii="Garamond" w:hAnsi="Garamond"/>
        </w:rPr>
        <w:t>3</w:t>
      </w:r>
      <w:r>
        <w:rPr>
          <w:rFonts w:ascii="Garamond" w:hAnsi="Garamond"/>
          <w:bCs/>
        </w:rPr>
        <w:t xml:space="preserve">(3)(a) </w:t>
      </w:r>
      <w:r w:rsidRPr="00F90AD4">
        <w:rPr>
          <w:rFonts w:ascii="Garamond" w:hAnsi="Garamond"/>
          <w:bCs/>
        </w:rPr>
        <w:t xml:space="preserve">enables the Secretary of State to make regulations conferring </w:t>
      </w:r>
      <w:r>
        <w:rPr>
          <w:rFonts w:ascii="Garamond" w:hAnsi="Garamond"/>
          <w:bCs/>
        </w:rPr>
        <w:t xml:space="preserve">on the Commission any of the </w:t>
      </w:r>
      <w:r w:rsidRPr="00F90AD4">
        <w:rPr>
          <w:rFonts w:ascii="Garamond" w:hAnsi="Garamond"/>
          <w:bCs/>
        </w:rPr>
        <w:t xml:space="preserve">immunities and privileges set out at </w:t>
      </w:r>
      <w:r>
        <w:rPr>
          <w:rFonts w:ascii="Garamond" w:hAnsi="Garamond"/>
          <w:bCs/>
        </w:rPr>
        <w:t xml:space="preserve">Part 1 of Schedule 1 to the International Organisations Act 1968 (“the 1968 Act”) which are not already conferred by clause </w:t>
      </w:r>
      <w:r w:rsidR="00F7132D">
        <w:rPr>
          <w:rFonts w:ascii="Garamond" w:hAnsi="Garamond"/>
        </w:rPr>
        <w:t>3</w:t>
      </w:r>
      <w:r>
        <w:rPr>
          <w:rFonts w:ascii="Garamond" w:hAnsi="Garamond"/>
          <w:bCs/>
        </w:rPr>
        <w:t xml:space="preserve">(1) and (2). </w:t>
      </w:r>
    </w:p>
    <w:p w:rsidR="005D765E" w:rsidRPr="005D765E" w:rsidRDefault="005D765E" w:rsidP="005D765E">
      <w:pPr>
        <w:spacing w:after="0" w:line="240" w:lineRule="auto"/>
        <w:ind w:left="720"/>
        <w:jc w:val="both"/>
        <w:rPr>
          <w:rFonts w:ascii="Garamond" w:hAnsi="Garamond"/>
        </w:rPr>
      </w:pPr>
    </w:p>
    <w:p w:rsidR="005D765E" w:rsidRPr="005D765E" w:rsidRDefault="005D765E" w:rsidP="005D765E">
      <w:pPr>
        <w:numPr>
          <w:ilvl w:val="0"/>
          <w:numId w:val="1"/>
        </w:numPr>
        <w:spacing w:after="0" w:line="240" w:lineRule="auto"/>
        <w:jc w:val="both"/>
        <w:rPr>
          <w:rFonts w:ascii="Garamond" w:hAnsi="Garamond"/>
        </w:rPr>
      </w:pPr>
      <w:r>
        <w:rPr>
          <w:rFonts w:ascii="Garamond" w:hAnsi="Garamond"/>
          <w:bCs/>
        </w:rPr>
        <w:t xml:space="preserve">Clause </w:t>
      </w:r>
      <w:r w:rsidR="00F7132D">
        <w:rPr>
          <w:rFonts w:ascii="Garamond" w:hAnsi="Garamond"/>
        </w:rPr>
        <w:t>3</w:t>
      </w:r>
      <w:r>
        <w:rPr>
          <w:rFonts w:ascii="Garamond" w:hAnsi="Garamond"/>
        </w:rPr>
        <w:t xml:space="preserve">(3)(b) enables the Secretary of State to make regulations conferring any of the privileges and immunities set out in </w:t>
      </w:r>
      <w:r w:rsidRPr="00F90AD4">
        <w:rPr>
          <w:rFonts w:ascii="Garamond" w:hAnsi="Garamond"/>
          <w:bCs/>
        </w:rPr>
        <w:t xml:space="preserve">Parts 2, 3 and 5 of Schedule 1 to the 1968 </w:t>
      </w:r>
      <w:r>
        <w:rPr>
          <w:rFonts w:ascii="Garamond" w:hAnsi="Garamond"/>
          <w:bCs/>
        </w:rPr>
        <w:t xml:space="preserve">Act </w:t>
      </w:r>
      <w:r w:rsidRPr="00F90AD4">
        <w:rPr>
          <w:rFonts w:ascii="Garamond" w:hAnsi="Garamond"/>
          <w:bCs/>
        </w:rPr>
        <w:t xml:space="preserve">on Commissioners and staff of the Commission, and members of their families who </w:t>
      </w:r>
      <w:r>
        <w:rPr>
          <w:rFonts w:ascii="Garamond" w:hAnsi="Garamond"/>
          <w:bCs/>
        </w:rPr>
        <w:t>form part of their households.</w:t>
      </w:r>
      <w:r w:rsidR="0083497A" w:rsidRPr="0083497A">
        <w:rPr>
          <w:rFonts w:ascii="Garamond" w:hAnsi="Garamond"/>
          <w:bCs/>
        </w:rPr>
        <w:t xml:space="preserve"> </w:t>
      </w:r>
      <w:r w:rsidR="0083497A">
        <w:rPr>
          <w:rFonts w:ascii="Garamond" w:hAnsi="Garamond"/>
          <w:bCs/>
        </w:rPr>
        <w:t>Both clause 3(3</w:t>
      </w:r>
      <w:proofErr w:type="gramStart"/>
      <w:r w:rsidR="0083497A">
        <w:rPr>
          <w:rFonts w:ascii="Garamond" w:hAnsi="Garamond"/>
          <w:bCs/>
        </w:rPr>
        <w:t>)(</w:t>
      </w:r>
      <w:proofErr w:type="gramEnd"/>
      <w:r w:rsidR="0083497A">
        <w:rPr>
          <w:rFonts w:ascii="Garamond" w:hAnsi="Garamond"/>
          <w:bCs/>
        </w:rPr>
        <w:t>a) and (b) include</w:t>
      </w:r>
      <w:r w:rsidR="0083497A" w:rsidRPr="00F90AD4">
        <w:rPr>
          <w:rFonts w:ascii="Garamond" w:hAnsi="Garamond"/>
          <w:bCs/>
        </w:rPr>
        <w:t xml:space="preserve"> a discretion for the Secretary of State to modify these privileges and immunities.</w:t>
      </w:r>
    </w:p>
    <w:p w:rsidR="005D765E" w:rsidRPr="005D765E" w:rsidRDefault="005D765E" w:rsidP="005D765E">
      <w:pPr>
        <w:spacing w:after="0" w:line="240" w:lineRule="auto"/>
        <w:ind w:left="720"/>
        <w:jc w:val="both"/>
        <w:rPr>
          <w:rFonts w:ascii="Garamond" w:hAnsi="Garamond"/>
        </w:rPr>
      </w:pPr>
    </w:p>
    <w:p w:rsidR="005D765E" w:rsidRPr="00EF1903" w:rsidRDefault="005D765E" w:rsidP="005D765E">
      <w:pPr>
        <w:numPr>
          <w:ilvl w:val="0"/>
          <w:numId w:val="1"/>
        </w:numPr>
        <w:spacing w:after="0" w:line="240" w:lineRule="auto"/>
        <w:jc w:val="both"/>
        <w:rPr>
          <w:rFonts w:ascii="Garamond" w:hAnsi="Garamond"/>
        </w:rPr>
      </w:pPr>
      <w:r>
        <w:rPr>
          <w:rFonts w:ascii="Garamond" w:hAnsi="Garamond"/>
        </w:rPr>
        <w:t xml:space="preserve">Clause </w:t>
      </w:r>
      <w:r w:rsidR="00F7132D">
        <w:rPr>
          <w:rFonts w:ascii="Garamond" w:hAnsi="Garamond"/>
        </w:rPr>
        <w:t>3</w:t>
      </w:r>
      <w:r>
        <w:rPr>
          <w:rFonts w:ascii="Garamond" w:hAnsi="Garamond"/>
        </w:rPr>
        <w:t>(3</w:t>
      </w:r>
      <w:proofErr w:type="gramStart"/>
      <w:r>
        <w:rPr>
          <w:rFonts w:ascii="Garamond" w:hAnsi="Garamond"/>
        </w:rPr>
        <w:t>)(</w:t>
      </w:r>
      <w:proofErr w:type="gramEnd"/>
      <w:r>
        <w:rPr>
          <w:rFonts w:ascii="Garamond" w:hAnsi="Garamond"/>
        </w:rPr>
        <w:t xml:space="preserve">c) enables the Secretary of State to </w:t>
      </w:r>
      <w:r w:rsidRPr="00F90AD4">
        <w:rPr>
          <w:rFonts w:ascii="Garamond" w:hAnsi="Garamond"/>
          <w:bCs/>
        </w:rPr>
        <w:t>make provision in the regulations relating to the waiver of t</w:t>
      </w:r>
      <w:r>
        <w:rPr>
          <w:rFonts w:ascii="Garamond" w:hAnsi="Garamond"/>
          <w:bCs/>
        </w:rPr>
        <w:t>hese privileges and immunities.</w:t>
      </w:r>
    </w:p>
    <w:p w:rsidR="00EF1903" w:rsidRPr="00EF1903" w:rsidRDefault="00EF1903" w:rsidP="00EF1903">
      <w:pPr>
        <w:spacing w:after="0" w:line="240" w:lineRule="auto"/>
        <w:ind w:left="720"/>
        <w:jc w:val="both"/>
        <w:rPr>
          <w:rFonts w:ascii="Garamond" w:hAnsi="Garamond"/>
        </w:rPr>
      </w:pPr>
    </w:p>
    <w:p w:rsidR="00EF1903" w:rsidRDefault="00EF1903" w:rsidP="005D765E">
      <w:pPr>
        <w:numPr>
          <w:ilvl w:val="0"/>
          <w:numId w:val="1"/>
        </w:numPr>
        <w:spacing w:after="0" w:line="240" w:lineRule="auto"/>
        <w:jc w:val="both"/>
        <w:rPr>
          <w:rFonts w:ascii="Garamond" w:hAnsi="Garamond"/>
        </w:rPr>
      </w:pPr>
      <w:r>
        <w:rPr>
          <w:rFonts w:ascii="Garamond" w:hAnsi="Garamond"/>
        </w:rPr>
        <w:t>As a result of clause 10(4), any regulations made under clause 3(3) may make different provision for different purposes or cases; incidental, supplementary or consequential provision; and transitional or transitory provision or savings.</w:t>
      </w:r>
    </w:p>
    <w:p w:rsidR="00B675CF" w:rsidRPr="00D44383" w:rsidRDefault="00B675CF" w:rsidP="00B675CF">
      <w:pPr>
        <w:pStyle w:val="ListParagraph"/>
        <w:rPr>
          <w:rFonts w:ascii="Garamond" w:hAnsi="Garamond" w:cs="Arial"/>
        </w:rPr>
      </w:pPr>
    </w:p>
    <w:p w:rsidR="00B675CF" w:rsidRPr="00D82A4F" w:rsidRDefault="00B675CF" w:rsidP="00B675CF">
      <w:pPr>
        <w:pStyle w:val="ListParagraph"/>
        <w:autoSpaceDE w:val="0"/>
        <w:autoSpaceDN w:val="0"/>
        <w:adjustRightInd w:val="0"/>
        <w:rPr>
          <w:rFonts w:ascii="Garamond" w:hAnsi="Garamond" w:cs="Arial"/>
          <w:b/>
          <w:sz w:val="24"/>
        </w:rPr>
      </w:pPr>
      <w:r w:rsidRPr="00D82A4F">
        <w:rPr>
          <w:rFonts w:ascii="Garamond" w:hAnsi="Garamond" w:cs="Arial"/>
          <w:b/>
          <w:sz w:val="24"/>
        </w:rPr>
        <w:t>Justification of the Delegation</w:t>
      </w:r>
    </w:p>
    <w:p w:rsidR="00B675CF" w:rsidRPr="00D82A4F" w:rsidRDefault="00B675CF" w:rsidP="00B675CF">
      <w:pPr>
        <w:pStyle w:val="ListParagraph"/>
        <w:rPr>
          <w:rFonts w:ascii="Garamond" w:hAnsi="Garamond" w:cs="Arial"/>
          <w:sz w:val="24"/>
        </w:rPr>
      </w:pPr>
    </w:p>
    <w:p w:rsidR="001259A4" w:rsidRPr="00D82A4F" w:rsidRDefault="001259A4" w:rsidP="001259A4">
      <w:pPr>
        <w:numPr>
          <w:ilvl w:val="0"/>
          <w:numId w:val="1"/>
        </w:numPr>
        <w:spacing w:after="0" w:line="240" w:lineRule="auto"/>
        <w:jc w:val="both"/>
        <w:rPr>
          <w:rFonts w:ascii="Garamond" w:hAnsi="Garamond"/>
          <w:szCs w:val="24"/>
        </w:rPr>
      </w:pPr>
      <w:r w:rsidRPr="00D82A4F">
        <w:rPr>
          <w:rFonts w:ascii="Garamond" w:hAnsi="Garamond"/>
          <w:bCs/>
          <w:szCs w:val="24"/>
        </w:rPr>
        <w:t xml:space="preserve">The key immunities conferred on the Commission by clause </w:t>
      </w:r>
      <w:r w:rsidR="00F7132D" w:rsidRPr="00D82A4F">
        <w:rPr>
          <w:rFonts w:ascii="Garamond" w:hAnsi="Garamond"/>
          <w:bCs/>
          <w:szCs w:val="24"/>
        </w:rPr>
        <w:t>3</w:t>
      </w:r>
      <w:r w:rsidRPr="00D82A4F">
        <w:rPr>
          <w:rFonts w:ascii="Garamond" w:hAnsi="Garamond"/>
          <w:bCs/>
          <w:szCs w:val="24"/>
        </w:rPr>
        <w:t>(1) and (2) are fundamental to the operation of the Commission and will not change throughout the Commission’s lifespan.  By contrast, the Secretary of State will need the flexibility to decide whether</w:t>
      </w:r>
      <w:r w:rsidR="00EF1903">
        <w:rPr>
          <w:rFonts w:ascii="Garamond" w:hAnsi="Garamond"/>
          <w:bCs/>
          <w:szCs w:val="24"/>
        </w:rPr>
        <w:t>, including to what extent,</w:t>
      </w:r>
      <w:r w:rsidRPr="00D82A4F">
        <w:rPr>
          <w:rFonts w:ascii="Garamond" w:hAnsi="Garamond"/>
          <w:bCs/>
          <w:szCs w:val="24"/>
        </w:rPr>
        <w:t xml:space="preserve"> any of the other immunities and privileges set out in Part 1 of Schedule 1 to the 1968 Act might need to be conferred on the Commission (clause </w:t>
      </w:r>
      <w:r w:rsidR="00F7132D" w:rsidRPr="00D82A4F">
        <w:rPr>
          <w:rFonts w:ascii="Garamond" w:hAnsi="Garamond"/>
          <w:bCs/>
          <w:szCs w:val="24"/>
        </w:rPr>
        <w:t>3</w:t>
      </w:r>
      <w:r w:rsidRPr="00D82A4F">
        <w:rPr>
          <w:rFonts w:ascii="Garamond" w:hAnsi="Garamond"/>
          <w:bCs/>
          <w:szCs w:val="24"/>
        </w:rPr>
        <w:t>(3)(a)).  The Secretary of State will also need the flexibility to decide whether</w:t>
      </w:r>
      <w:r w:rsidR="00EF1903">
        <w:rPr>
          <w:rFonts w:ascii="Garamond" w:hAnsi="Garamond"/>
          <w:bCs/>
          <w:szCs w:val="24"/>
        </w:rPr>
        <w:t>, including to what extent,</w:t>
      </w:r>
      <w:r w:rsidR="00F7132D" w:rsidRPr="00D82A4F">
        <w:rPr>
          <w:rFonts w:ascii="Garamond" w:hAnsi="Garamond"/>
          <w:bCs/>
          <w:szCs w:val="24"/>
        </w:rPr>
        <w:t xml:space="preserve"> it is appropriate to confer</w:t>
      </w:r>
      <w:r w:rsidRPr="00D82A4F">
        <w:rPr>
          <w:rFonts w:ascii="Garamond" w:hAnsi="Garamond"/>
          <w:bCs/>
          <w:szCs w:val="24"/>
        </w:rPr>
        <w:t xml:space="preserve"> any of the privileges and immunities in Parts 2, 3 and 5 of the 1968 Act on Commissioners, staff and their households (clause </w:t>
      </w:r>
      <w:r w:rsidR="00F7132D" w:rsidRPr="00D82A4F">
        <w:rPr>
          <w:rFonts w:ascii="Garamond" w:hAnsi="Garamond"/>
          <w:bCs/>
          <w:szCs w:val="24"/>
        </w:rPr>
        <w:t>3</w:t>
      </w:r>
      <w:r w:rsidRPr="00D82A4F">
        <w:rPr>
          <w:rFonts w:ascii="Garamond" w:hAnsi="Garamond"/>
          <w:bCs/>
          <w:szCs w:val="24"/>
        </w:rPr>
        <w:t>(3</w:t>
      </w:r>
      <w:proofErr w:type="gramStart"/>
      <w:r w:rsidRPr="00D82A4F">
        <w:rPr>
          <w:rFonts w:ascii="Garamond" w:hAnsi="Garamond"/>
          <w:bCs/>
          <w:szCs w:val="24"/>
        </w:rPr>
        <w:t>)(</w:t>
      </w:r>
      <w:proofErr w:type="gramEnd"/>
      <w:r w:rsidRPr="00D82A4F">
        <w:rPr>
          <w:rFonts w:ascii="Garamond" w:hAnsi="Garamond"/>
          <w:bCs/>
          <w:szCs w:val="24"/>
        </w:rPr>
        <w:t>b)), on a case by case basis, as well as deciding provisions relating to the waiver of those immunities on a case by case basis</w:t>
      </w:r>
      <w:r w:rsidR="00F7132D" w:rsidRPr="00D82A4F">
        <w:rPr>
          <w:rFonts w:ascii="Garamond" w:hAnsi="Garamond"/>
          <w:bCs/>
          <w:szCs w:val="24"/>
        </w:rPr>
        <w:t xml:space="preserve"> (clause 3(3)(c))</w:t>
      </w:r>
      <w:r w:rsidRPr="00D82A4F">
        <w:rPr>
          <w:rFonts w:ascii="Garamond" w:hAnsi="Garamond"/>
          <w:bCs/>
          <w:szCs w:val="24"/>
        </w:rPr>
        <w:t>.</w:t>
      </w:r>
    </w:p>
    <w:p w:rsidR="001259A4" w:rsidRPr="00D82A4F" w:rsidRDefault="001259A4" w:rsidP="001259A4">
      <w:pPr>
        <w:spacing w:after="0" w:line="240" w:lineRule="auto"/>
        <w:ind w:left="720"/>
        <w:jc w:val="both"/>
        <w:rPr>
          <w:rFonts w:ascii="Garamond" w:hAnsi="Garamond"/>
          <w:szCs w:val="24"/>
        </w:rPr>
      </w:pPr>
      <w:r w:rsidRPr="00D82A4F">
        <w:rPr>
          <w:rFonts w:ascii="Garamond" w:hAnsi="Garamond"/>
          <w:bCs/>
          <w:szCs w:val="24"/>
        </w:rPr>
        <w:t xml:space="preserve"> </w:t>
      </w:r>
    </w:p>
    <w:p w:rsidR="001259A4" w:rsidRPr="00D82A4F" w:rsidRDefault="001259A4" w:rsidP="00046C69">
      <w:pPr>
        <w:numPr>
          <w:ilvl w:val="0"/>
          <w:numId w:val="1"/>
        </w:numPr>
        <w:spacing w:after="0" w:line="240" w:lineRule="auto"/>
        <w:jc w:val="both"/>
        <w:rPr>
          <w:rFonts w:ascii="Garamond" w:hAnsi="Garamond"/>
          <w:szCs w:val="24"/>
        </w:rPr>
      </w:pPr>
      <w:r w:rsidRPr="00EF1903">
        <w:rPr>
          <w:rFonts w:ascii="Garamond" w:hAnsi="Garamond"/>
          <w:szCs w:val="24"/>
        </w:rPr>
        <w:t>I</w:t>
      </w:r>
      <w:r w:rsidRPr="00D82A4F">
        <w:rPr>
          <w:rFonts w:ascii="Garamond" w:hAnsi="Garamond"/>
          <w:szCs w:val="24"/>
        </w:rPr>
        <w:t xml:space="preserve">t is recognised that the </w:t>
      </w:r>
      <w:r w:rsidR="00F7132D" w:rsidRPr="00D82A4F">
        <w:rPr>
          <w:rFonts w:ascii="Garamond" w:hAnsi="Garamond"/>
          <w:szCs w:val="24"/>
        </w:rPr>
        <w:t xml:space="preserve">powers to </w:t>
      </w:r>
      <w:r w:rsidR="00503893" w:rsidRPr="00D82A4F">
        <w:rPr>
          <w:rFonts w:ascii="Garamond" w:hAnsi="Garamond"/>
          <w:szCs w:val="24"/>
        </w:rPr>
        <w:t>confer</w:t>
      </w:r>
      <w:r w:rsidRPr="00D82A4F">
        <w:rPr>
          <w:rFonts w:ascii="Garamond" w:hAnsi="Garamond"/>
          <w:szCs w:val="24"/>
        </w:rPr>
        <w:t xml:space="preserve"> privileges and immunities at clause </w:t>
      </w:r>
      <w:r w:rsidR="00F7132D" w:rsidRPr="00D82A4F">
        <w:rPr>
          <w:rFonts w:ascii="Garamond" w:hAnsi="Garamond"/>
          <w:szCs w:val="24"/>
        </w:rPr>
        <w:t>3</w:t>
      </w:r>
      <w:r w:rsidRPr="00D82A4F">
        <w:rPr>
          <w:rFonts w:ascii="Garamond" w:hAnsi="Garamond"/>
          <w:szCs w:val="24"/>
        </w:rPr>
        <w:t>(3</w:t>
      </w:r>
      <w:proofErr w:type="gramStart"/>
      <w:r w:rsidRPr="00D82A4F">
        <w:rPr>
          <w:rFonts w:ascii="Garamond" w:hAnsi="Garamond"/>
          <w:szCs w:val="24"/>
        </w:rPr>
        <w:t>)(</w:t>
      </w:r>
      <w:proofErr w:type="gramEnd"/>
      <w:r w:rsidRPr="00D82A4F">
        <w:rPr>
          <w:rFonts w:ascii="Garamond" w:hAnsi="Garamond"/>
          <w:szCs w:val="24"/>
        </w:rPr>
        <w:t xml:space="preserve">a) to (c) </w:t>
      </w:r>
      <w:r w:rsidR="00F7132D" w:rsidRPr="00D82A4F">
        <w:rPr>
          <w:rFonts w:ascii="Garamond" w:hAnsi="Garamond"/>
          <w:szCs w:val="24"/>
        </w:rPr>
        <w:t xml:space="preserve">are </w:t>
      </w:r>
      <w:r w:rsidRPr="00D82A4F">
        <w:rPr>
          <w:rFonts w:ascii="Garamond" w:hAnsi="Garamond"/>
          <w:szCs w:val="24"/>
        </w:rPr>
        <w:t xml:space="preserve">important </w:t>
      </w:r>
      <w:r w:rsidR="00F7132D" w:rsidRPr="00D82A4F">
        <w:rPr>
          <w:rFonts w:ascii="Garamond" w:hAnsi="Garamond"/>
          <w:szCs w:val="24"/>
        </w:rPr>
        <w:t>ones</w:t>
      </w:r>
      <w:r w:rsidRPr="00D82A4F">
        <w:rPr>
          <w:rFonts w:ascii="Garamond" w:hAnsi="Garamond"/>
          <w:szCs w:val="24"/>
        </w:rPr>
        <w:t>, but the essential decisions will be taken by Parliament in passing the primary legislation</w:t>
      </w:r>
      <w:r w:rsidR="0083497A" w:rsidRPr="00D82A4F">
        <w:rPr>
          <w:rFonts w:ascii="Garamond" w:hAnsi="Garamond"/>
          <w:szCs w:val="24"/>
        </w:rPr>
        <w:t>,</w:t>
      </w:r>
      <w:r w:rsidRPr="00D82A4F">
        <w:rPr>
          <w:rFonts w:ascii="Garamond" w:hAnsi="Garamond"/>
          <w:szCs w:val="24"/>
        </w:rPr>
        <w:t xml:space="preserve"> including the key immuniti</w:t>
      </w:r>
      <w:r w:rsidR="00046C69" w:rsidRPr="00D82A4F">
        <w:rPr>
          <w:rFonts w:ascii="Garamond" w:hAnsi="Garamond"/>
          <w:szCs w:val="24"/>
        </w:rPr>
        <w:t xml:space="preserve">es for the Commission at clause </w:t>
      </w:r>
      <w:r w:rsidR="00F7132D" w:rsidRPr="00D82A4F">
        <w:rPr>
          <w:rFonts w:ascii="Garamond" w:hAnsi="Garamond"/>
          <w:szCs w:val="24"/>
        </w:rPr>
        <w:t>3</w:t>
      </w:r>
      <w:r w:rsidR="00046C69" w:rsidRPr="00D82A4F">
        <w:rPr>
          <w:rFonts w:ascii="Garamond" w:hAnsi="Garamond"/>
          <w:szCs w:val="24"/>
        </w:rPr>
        <w:t>(1) and (2)</w:t>
      </w:r>
      <w:r w:rsidR="00F7132D" w:rsidRPr="00D82A4F">
        <w:rPr>
          <w:rFonts w:ascii="Garamond" w:hAnsi="Garamond"/>
          <w:szCs w:val="24"/>
        </w:rPr>
        <w:t xml:space="preserve">.  </w:t>
      </w:r>
      <w:r w:rsidR="00E5519C">
        <w:rPr>
          <w:rFonts w:ascii="Garamond" w:hAnsi="Garamond"/>
          <w:szCs w:val="24"/>
        </w:rPr>
        <w:t>Further, t</w:t>
      </w:r>
      <w:r w:rsidRPr="00D82A4F">
        <w:rPr>
          <w:rFonts w:ascii="Garamond" w:hAnsi="Garamond"/>
          <w:szCs w:val="24"/>
        </w:rPr>
        <w:t xml:space="preserve">he parameters of </w:t>
      </w:r>
      <w:r w:rsidR="00046C69" w:rsidRPr="00D82A4F">
        <w:rPr>
          <w:rFonts w:ascii="Garamond" w:hAnsi="Garamond"/>
          <w:szCs w:val="24"/>
        </w:rPr>
        <w:t xml:space="preserve">the powers in clause </w:t>
      </w:r>
      <w:r w:rsidR="00F7132D" w:rsidRPr="00D82A4F">
        <w:rPr>
          <w:rFonts w:ascii="Garamond" w:hAnsi="Garamond"/>
          <w:szCs w:val="24"/>
        </w:rPr>
        <w:t>3</w:t>
      </w:r>
      <w:r w:rsidR="00046C69" w:rsidRPr="00D82A4F">
        <w:rPr>
          <w:rFonts w:ascii="Garamond" w:hAnsi="Garamond"/>
          <w:szCs w:val="24"/>
        </w:rPr>
        <w:t xml:space="preserve">(3)(a) to (c) to grant further immunities </w:t>
      </w:r>
      <w:r w:rsidR="0083497A" w:rsidRPr="00D82A4F">
        <w:rPr>
          <w:rFonts w:ascii="Garamond" w:hAnsi="Garamond"/>
          <w:szCs w:val="24"/>
        </w:rPr>
        <w:t xml:space="preserve">and privileges </w:t>
      </w:r>
      <w:r w:rsidR="00503893" w:rsidRPr="00D82A4F">
        <w:rPr>
          <w:rFonts w:ascii="Garamond" w:hAnsi="Garamond"/>
          <w:szCs w:val="24"/>
        </w:rPr>
        <w:t>to</w:t>
      </w:r>
      <w:r w:rsidR="0083497A" w:rsidRPr="00D82A4F">
        <w:rPr>
          <w:rFonts w:ascii="Garamond" w:hAnsi="Garamond"/>
          <w:szCs w:val="24"/>
        </w:rPr>
        <w:t xml:space="preserve"> the</w:t>
      </w:r>
      <w:r w:rsidR="00503893" w:rsidRPr="00D82A4F">
        <w:rPr>
          <w:rFonts w:ascii="Garamond" w:hAnsi="Garamond"/>
          <w:szCs w:val="24"/>
        </w:rPr>
        <w:t xml:space="preserve"> Commission</w:t>
      </w:r>
      <w:r w:rsidRPr="00D82A4F">
        <w:rPr>
          <w:rFonts w:ascii="Garamond" w:hAnsi="Garamond"/>
          <w:szCs w:val="24"/>
        </w:rPr>
        <w:t xml:space="preserve">, </w:t>
      </w:r>
      <w:r w:rsidR="00046C69" w:rsidRPr="00D82A4F">
        <w:rPr>
          <w:rFonts w:ascii="Garamond" w:hAnsi="Garamond"/>
          <w:szCs w:val="24"/>
        </w:rPr>
        <w:t xml:space="preserve">and to grant immunities and privileges to </w:t>
      </w:r>
      <w:r w:rsidR="00503893" w:rsidRPr="00D82A4F">
        <w:rPr>
          <w:rFonts w:ascii="Garamond" w:hAnsi="Garamond"/>
          <w:szCs w:val="24"/>
        </w:rPr>
        <w:t xml:space="preserve">members of the Commission, </w:t>
      </w:r>
      <w:r w:rsidRPr="00D82A4F">
        <w:rPr>
          <w:rFonts w:ascii="Garamond" w:hAnsi="Garamond"/>
          <w:szCs w:val="24"/>
        </w:rPr>
        <w:t>staff and their families</w:t>
      </w:r>
      <w:r w:rsidR="00046C69" w:rsidRPr="00D82A4F">
        <w:rPr>
          <w:rFonts w:ascii="Garamond" w:hAnsi="Garamond"/>
          <w:szCs w:val="24"/>
        </w:rPr>
        <w:t>,</w:t>
      </w:r>
      <w:r w:rsidRPr="00D82A4F">
        <w:rPr>
          <w:rFonts w:ascii="Garamond" w:hAnsi="Garamond"/>
          <w:szCs w:val="24"/>
        </w:rPr>
        <w:t xml:space="preserve"> are clearly delineated</w:t>
      </w:r>
      <w:r w:rsidR="00046C69" w:rsidRPr="00D82A4F">
        <w:rPr>
          <w:rFonts w:ascii="Garamond" w:hAnsi="Garamond"/>
          <w:szCs w:val="24"/>
        </w:rPr>
        <w:t xml:space="preserve"> by reference to the 1968 Act. </w:t>
      </w:r>
    </w:p>
    <w:p w:rsidR="00046C69" w:rsidRPr="00D82A4F" w:rsidRDefault="00046C69" w:rsidP="00046C69">
      <w:pPr>
        <w:spacing w:after="0" w:line="240" w:lineRule="auto"/>
        <w:ind w:left="720"/>
        <w:jc w:val="both"/>
        <w:rPr>
          <w:rFonts w:ascii="Garamond" w:hAnsi="Garamond"/>
          <w:szCs w:val="24"/>
        </w:rPr>
      </w:pPr>
    </w:p>
    <w:p w:rsidR="00046C69" w:rsidRPr="00D82A4F" w:rsidRDefault="001259A4" w:rsidP="001259A4">
      <w:pPr>
        <w:numPr>
          <w:ilvl w:val="0"/>
          <w:numId w:val="1"/>
        </w:numPr>
        <w:spacing w:after="0" w:line="240" w:lineRule="auto"/>
        <w:jc w:val="both"/>
        <w:rPr>
          <w:rFonts w:ascii="Garamond" w:hAnsi="Garamond"/>
          <w:szCs w:val="24"/>
        </w:rPr>
      </w:pPr>
      <w:r w:rsidRPr="00D82A4F">
        <w:rPr>
          <w:rFonts w:ascii="Garamond" w:hAnsi="Garamond"/>
          <w:bCs/>
          <w:szCs w:val="24"/>
        </w:rPr>
        <w:t xml:space="preserve">A similar approach to the delegation of the power on the Secretary of State to confer such privileges and immunities on </w:t>
      </w:r>
      <w:r w:rsidR="00046C69" w:rsidRPr="00D82A4F">
        <w:rPr>
          <w:rFonts w:ascii="Garamond" w:hAnsi="Garamond"/>
          <w:bCs/>
          <w:szCs w:val="24"/>
        </w:rPr>
        <w:t xml:space="preserve">the Commission, </w:t>
      </w:r>
      <w:r w:rsidRPr="00D82A4F">
        <w:rPr>
          <w:rFonts w:ascii="Garamond" w:hAnsi="Garamond"/>
          <w:bCs/>
          <w:szCs w:val="24"/>
        </w:rPr>
        <w:t>Commissioners, their staff and families was taken in relation to the Independent Commission for the Location of Victims</w:t>
      </w:r>
      <w:r w:rsidR="00E5519C">
        <w:rPr>
          <w:rFonts w:ascii="Garamond" w:hAnsi="Garamond"/>
          <w:bCs/>
          <w:szCs w:val="24"/>
        </w:rPr>
        <w:t>’</w:t>
      </w:r>
      <w:r w:rsidRPr="00D82A4F">
        <w:rPr>
          <w:rFonts w:ascii="Garamond" w:hAnsi="Garamond"/>
          <w:bCs/>
          <w:szCs w:val="24"/>
        </w:rPr>
        <w:t xml:space="preserve"> Remains (see s</w:t>
      </w:r>
      <w:r w:rsidR="00F7132D" w:rsidRPr="00D82A4F">
        <w:rPr>
          <w:rFonts w:ascii="Garamond" w:hAnsi="Garamond"/>
          <w:bCs/>
          <w:szCs w:val="24"/>
        </w:rPr>
        <w:t xml:space="preserve">ection </w:t>
      </w:r>
      <w:r w:rsidRPr="00D82A4F">
        <w:rPr>
          <w:rFonts w:ascii="Garamond" w:hAnsi="Garamond"/>
          <w:bCs/>
          <w:szCs w:val="24"/>
        </w:rPr>
        <w:t>2(1)</w:t>
      </w:r>
      <w:r w:rsidR="00E5519C">
        <w:rPr>
          <w:rFonts w:ascii="Garamond" w:hAnsi="Garamond"/>
          <w:bCs/>
          <w:szCs w:val="24"/>
        </w:rPr>
        <w:t xml:space="preserve">(b) and </w:t>
      </w:r>
      <w:r w:rsidRPr="00D82A4F">
        <w:rPr>
          <w:rFonts w:ascii="Garamond" w:hAnsi="Garamond"/>
          <w:bCs/>
          <w:szCs w:val="24"/>
        </w:rPr>
        <w:t>(c) of the Northern Ireland (Location of Victims’ Remains) Act 1999), and the Independent Monitoring Commission (see section 1(2)</w:t>
      </w:r>
      <w:r w:rsidR="00E5519C">
        <w:rPr>
          <w:rFonts w:ascii="Garamond" w:hAnsi="Garamond"/>
          <w:bCs/>
          <w:szCs w:val="24"/>
        </w:rPr>
        <w:t xml:space="preserve">(b) and </w:t>
      </w:r>
      <w:r w:rsidRPr="00D82A4F">
        <w:rPr>
          <w:rFonts w:ascii="Garamond" w:hAnsi="Garamond"/>
          <w:bCs/>
          <w:szCs w:val="24"/>
        </w:rPr>
        <w:t>(c) of the Northern Ireland (Monitoring Commission etc.) Act 2003.</w:t>
      </w:r>
    </w:p>
    <w:p w:rsidR="00B675CF" w:rsidRPr="00D82A4F" w:rsidRDefault="001259A4" w:rsidP="00F7132D">
      <w:pPr>
        <w:spacing w:after="0" w:line="240" w:lineRule="auto"/>
        <w:ind w:left="720"/>
        <w:jc w:val="both"/>
        <w:rPr>
          <w:rFonts w:ascii="Garamond" w:hAnsi="Garamond"/>
          <w:szCs w:val="24"/>
        </w:rPr>
      </w:pPr>
      <w:r w:rsidRPr="00D82A4F">
        <w:rPr>
          <w:rFonts w:ascii="Garamond" w:hAnsi="Garamond"/>
          <w:bCs/>
          <w:szCs w:val="24"/>
        </w:rPr>
        <w:t xml:space="preserve">  </w:t>
      </w:r>
    </w:p>
    <w:p w:rsidR="00B675CF" w:rsidRPr="00D82A4F" w:rsidRDefault="00B675CF" w:rsidP="00B675CF">
      <w:pPr>
        <w:pStyle w:val="ListParagraph"/>
        <w:autoSpaceDE w:val="0"/>
        <w:autoSpaceDN w:val="0"/>
        <w:adjustRightInd w:val="0"/>
        <w:rPr>
          <w:rFonts w:ascii="Garamond" w:hAnsi="Garamond" w:cs="Arial"/>
          <w:b/>
          <w:sz w:val="24"/>
        </w:rPr>
      </w:pPr>
      <w:r w:rsidRPr="00D82A4F">
        <w:rPr>
          <w:rFonts w:ascii="Garamond" w:hAnsi="Garamond" w:cs="Arial"/>
          <w:b/>
          <w:sz w:val="24"/>
        </w:rPr>
        <w:t>Justification of the level of Parliamentary Scrutiny</w:t>
      </w:r>
    </w:p>
    <w:p w:rsidR="00B675CF" w:rsidRPr="00D44383" w:rsidRDefault="00B675CF" w:rsidP="00B675CF">
      <w:pPr>
        <w:pStyle w:val="ListParagraph"/>
        <w:autoSpaceDE w:val="0"/>
        <w:autoSpaceDN w:val="0"/>
        <w:adjustRightInd w:val="0"/>
        <w:rPr>
          <w:rFonts w:ascii="Garamond" w:hAnsi="Garamond" w:cs="Arial"/>
          <w:b/>
        </w:rPr>
      </w:pPr>
    </w:p>
    <w:p w:rsidR="00046C69" w:rsidRDefault="00046C69" w:rsidP="00046C69">
      <w:pPr>
        <w:numPr>
          <w:ilvl w:val="0"/>
          <w:numId w:val="1"/>
        </w:numPr>
        <w:spacing w:after="0" w:line="240" w:lineRule="auto"/>
        <w:jc w:val="both"/>
        <w:rPr>
          <w:rFonts w:ascii="Garamond" w:hAnsi="Garamond"/>
        </w:rPr>
      </w:pPr>
      <w:r w:rsidRPr="00F90AD4">
        <w:rPr>
          <w:rFonts w:ascii="Garamond" w:hAnsi="Garamond"/>
          <w:bCs/>
        </w:rPr>
        <w:t xml:space="preserve">The parameters of the delegation are clearly described in clause </w:t>
      </w:r>
      <w:r w:rsidR="00F7132D">
        <w:rPr>
          <w:rFonts w:ascii="Garamond" w:hAnsi="Garamond"/>
          <w:bCs/>
        </w:rPr>
        <w:t>3</w:t>
      </w:r>
      <w:r w:rsidRPr="00F90AD4">
        <w:rPr>
          <w:rFonts w:ascii="Garamond" w:hAnsi="Garamond"/>
          <w:bCs/>
        </w:rPr>
        <w:t xml:space="preserve">(3), and the nature and scope of </w:t>
      </w:r>
      <w:r w:rsidR="00F3353A">
        <w:rPr>
          <w:rFonts w:ascii="Garamond" w:hAnsi="Garamond"/>
          <w:bCs/>
        </w:rPr>
        <w:t xml:space="preserve">the </w:t>
      </w:r>
      <w:r w:rsidRPr="00F90AD4">
        <w:rPr>
          <w:rFonts w:ascii="Garamond" w:hAnsi="Garamond"/>
          <w:bCs/>
        </w:rPr>
        <w:t xml:space="preserve">immunities and privileges in question are well established in </w:t>
      </w:r>
      <w:r>
        <w:rPr>
          <w:rFonts w:ascii="Garamond" w:hAnsi="Garamond"/>
          <w:bCs/>
        </w:rPr>
        <w:t>the 1968</w:t>
      </w:r>
      <w:r w:rsidRPr="00F90AD4">
        <w:rPr>
          <w:rFonts w:ascii="Garamond" w:hAnsi="Garamond"/>
          <w:bCs/>
        </w:rPr>
        <w:t xml:space="preserve"> </w:t>
      </w:r>
      <w:r>
        <w:rPr>
          <w:rFonts w:ascii="Garamond" w:hAnsi="Garamond"/>
          <w:bCs/>
        </w:rPr>
        <w:t xml:space="preserve">Act </w:t>
      </w:r>
      <w:r w:rsidRPr="00F90AD4">
        <w:rPr>
          <w:rFonts w:ascii="Garamond" w:hAnsi="Garamond"/>
          <w:bCs/>
        </w:rPr>
        <w:t>and by precedent</w:t>
      </w:r>
      <w:r w:rsidRPr="00F5115C">
        <w:rPr>
          <w:rFonts w:ascii="Garamond" w:hAnsi="Garamond"/>
          <w:bCs/>
        </w:rPr>
        <w:t>.</w:t>
      </w:r>
      <w:r w:rsidRPr="00F5115C">
        <w:rPr>
          <w:rFonts w:ascii="Garamond" w:hAnsi="Garamond"/>
        </w:rPr>
        <w:t xml:space="preserve"> </w:t>
      </w:r>
      <w:r>
        <w:rPr>
          <w:rFonts w:ascii="Garamond" w:hAnsi="Garamond"/>
        </w:rPr>
        <w:t xml:space="preserve">The powers in clause </w:t>
      </w:r>
      <w:r w:rsidR="00F7132D">
        <w:rPr>
          <w:rFonts w:ascii="Garamond" w:hAnsi="Garamond"/>
        </w:rPr>
        <w:t>3</w:t>
      </w:r>
      <w:r w:rsidRPr="00F5115C">
        <w:rPr>
          <w:rFonts w:ascii="Garamond" w:hAnsi="Garamond"/>
        </w:rPr>
        <w:t xml:space="preserve">(3) </w:t>
      </w:r>
      <w:r>
        <w:rPr>
          <w:rFonts w:ascii="Garamond" w:hAnsi="Garamond"/>
        </w:rPr>
        <w:t>foll</w:t>
      </w:r>
      <w:r w:rsidR="00F7132D">
        <w:rPr>
          <w:rFonts w:ascii="Garamond" w:hAnsi="Garamond"/>
        </w:rPr>
        <w:t>ow</w:t>
      </w:r>
      <w:r>
        <w:rPr>
          <w:rFonts w:ascii="Garamond" w:hAnsi="Garamond"/>
        </w:rPr>
        <w:t xml:space="preserve"> the approach to levels of parliamentary scrutiny taken in </w:t>
      </w:r>
      <w:r w:rsidRPr="00F5115C">
        <w:rPr>
          <w:rFonts w:ascii="Garamond" w:hAnsi="Garamond"/>
        </w:rPr>
        <w:t>section 7(2</w:t>
      </w:r>
      <w:proofErr w:type="gramStart"/>
      <w:r w:rsidRPr="00F5115C">
        <w:rPr>
          <w:rFonts w:ascii="Garamond" w:hAnsi="Garamond"/>
        </w:rPr>
        <w:t>)</w:t>
      </w:r>
      <w:r w:rsidR="00E5519C">
        <w:rPr>
          <w:rFonts w:ascii="Garamond" w:hAnsi="Garamond"/>
        </w:rPr>
        <w:t>(</w:t>
      </w:r>
      <w:proofErr w:type="gramEnd"/>
      <w:r w:rsidR="00E5519C">
        <w:rPr>
          <w:rFonts w:ascii="Garamond" w:hAnsi="Garamond"/>
        </w:rPr>
        <w:t xml:space="preserve">b) and </w:t>
      </w:r>
      <w:r>
        <w:rPr>
          <w:rFonts w:ascii="Garamond" w:hAnsi="Garamond"/>
        </w:rPr>
        <w:t>(c)</w:t>
      </w:r>
      <w:r w:rsidRPr="00F5115C">
        <w:rPr>
          <w:rFonts w:ascii="Garamond" w:hAnsi="Garamond"/>
        </w:rPr>
        <w:t xml:space="preserve"> of the Northern I</w:t>
      </w:r>
      <w:r>
        <w:rPr>
          <w:rFonts w:ascii="Garamond" w:hAnsi="Garamond"/>
        </w:rPr>
        <w:t xml:space="preserve">reland </w:t>
      </w:r>
      <w:r w:rsidR="00E5519C">
        <w:rPr>
          <w:rFonts w:ascii="Garamond" w:hAnsi="Garamond"/>
        </w:rPr>
        <w:t xml:space="preserve">Arms </w:t>
      </w:r>
      <w:r>
        <w:rPr>
          <w:rFonts w:ascii="Garamond" w:hAnsi="Garamond"/>
        </w:rPr>
        <w:t xml:space="preserve">Decommissioning Act 1997, </w:t>
      </w:r>
      <w:r w:rsidRPr="00F5115C">
        <w:rPr>
          <w:rFonts w:ascii="Garamond" w:hAnsi="Garamond"/>
        </w:rPr>
        <w:t>section 1(2)</w:t>
      </w:r>
      <w:r>
        <w:rPr>
          <w:rFonts w:ascii="Garamond" w:hAnsi="Garamond"/>
        </w:rPr>
        <w:t>(c)</w:t>
      </w:r>
      <w:r w:rsidRPr="00F5115C">
        <w:rPr>
          <w:rFonts w:ascii="Garamond" w:hAnsi="Garamond"/>
        </w:rPr>
        <w:t xml:space="preserve"> of the Northern Ireland (Monitoring Commission etc.) Act 2003, and section 2(1</w:t>
      </w:r>
      <w:proofErr w:type="gramStart"/>
      <w:r w:rsidRPr="00F5115C">
        <w:rPr>
          <w:rFonts w:ascii="Garamond" w:hAnsi="Garamond"/>
        </w:rPr>
        <w:t>)</w:t>
      </w:r>
      <w:r w:rsidR="00E5519C">
        <w:rPr>
          <w:rFonts w:ascii="Garamond" w:hAnsi="Garamond"/>
        </w:rPr>
        <w:t>(</w:t>
      </w:r>
      <w:proofErr w:type="gramEnd"/>
      <w:r w:rsidR="00E5519C">
        <w:rPr>
          <w:rFonts w:ascii="Garamond" w:hAnsi="Garamond"/>
        </w:rPr>
        <w:t xml:space="preserve">b) and </w:t>
      </w:r>
      <w:r>
        <w:rPr>
          <w:rFonts w:ascii="Garamond" w:hAnsi="Garamond"/>
        </w:rPr>
        <w:t>(c)</w:t>
      </w:r>
      <w:r w:rsidRPr="00F5115C">
        <w:rPr>
          <w:rFonts w:ascii="Garamond" w:hAnsi="Garamond"/>
        </w:rPr>
        <w:t xml:space="preserve"> of the Northern Ireland (Location of Victims' Remains) Act 1999. The negative resolution procedure applies to orders made under these provisions (section 7(3</w:t>
      </w:r>
      <w:proofErr w:type="gramStart"/>
      <w:r w:rsidRPr="00F5115C">
        <w:rPr>
          <w:rFonts w:ascii="Garamond" w:hAnsi="Garamond"/>
        </w:rPr>
        <w:t>)(</w:t>
      </w:r>
      <w:proofErr w:type="gramEnd"/>
      <w:r w:rsidRPr="00F5115C">
        <w:rPr>
          <w:rFonts w:ascii="Garamond" w:hAnsi="Garamond"/>
        </w:rPr>
        <w:t>b)</w:t>
      </w:r>
      <w:r>
        <w:rPr>
          <w:rFonts w:ascii="Garamond" w:hAnsi="Garamond"/>
        </w:rPr>
        <w:t>,</w:t>
      </w:r>
      <w:r w:rsidRPr="00F5115C">
        <w:rPr>
          <w:rFonts w:ascii="Garamond" w:hAnsi="Garamond"/>
        </w:rPr>
        <w:t xml:space="preserve"> section 1(4)(b), and section 2(2)(b) respectively).</w:t>
      </w:r>
    </w:p>
    <w:p w:rsidR="00046C69" w:rsidRDefault="00046C69" w:rsidP="00046C69">
      <w:pPr>
        <w:spacing w:after="0" w:line="240" w:lineRule="auto"/>
        <w:ind w:left="720"/>
        <w:jc w:val="both"/>
        <w:rPr>
          <w:rFonts w:ascii="Garamond" w:hAnsi="Garamond"/>
        </w:rPr>
      </w:pPr>
    </w:p>
    <w:p w:rsidR="00046C69" w:rsidRDefault="00046C69" w:rsidP="00046C69">
      <w:pPr>
        <w:numPr>
          <w:ilvl w:val="0"/>
          <w:numId w:val="1"/>
        </w:numPr>
        <w:spacing w:after="0" w:line="240" w:lineRule="auto"/>
        <w:jc w:val="both"/>
        <w:rPr>
          <w:rFonts w:ascii="Garamond" w:hAnsi="Garamond"/>
        </w:rPr>
      </w:pPr>
      <w:r w:rsidRPr="00046C69">
        <w:rPr>
          <w:rFonts w:ascii="Garamond" w:hAnsi="Garamond"/>
        </w:rPr>
        <w:t xml:space="preserve">It is expected that </w:t>
      </w:r>
      <w:r>
        <w:rPr>
          <w:rFonts w:ascii="Garamond" w:hAnsi="Garamond"/>
        </w:rPr>
        <w:t xml:space="preserve">regulations made under clause </w:t>
      </w:r>
      <w:r w:rsidR="00F7132D">
        <w:rPr>
          <w:rFonts w:ascii="Garamond" w:hAnsi="Garamond"/>
        </w:rPr>
        <w:t>3</w:t>
      </w:r>
      <w:r>
        <w:rPr>
          <w:rFonts w:ascii="Garamond" w:hAnsi="Garamond"/>
        </w:rPr>
        <w:t xml:space="preserve">(3) </w:t>
      </w:r>
      <w:r w:rsidRPr="00046C69">
        <w:rPr>
          <w:rFonts w:ascii="Garamond" w:hAnsi="Garamond"/>
        </w:rPr>
        <w:t>will make provision similar</w:t>
      </w:r>
      <w:r>
        <w:rPr>
          <w:rFonts w:ascii="Garamond" w:hAnsi="Garamond"/>
        </w:rPr>
        <w:t xml:space="preserve"> to that contained in the orders</w:t>
      </w:r>
      <w:r w:rsidRPr="00046C69">
        <w:rPr>
          <w:rFonts w:ascii="Garamond" w:hAnsi="Garamond"/>
        </w:rPr>
        <w:t xml:space="preserve"> made under those provisions (the Northern Ireland (Monitoring Commission etc</w:t>
      </w:r>
      <w:r w:rsidR="00E5519C">
        <w:rPr>
          <w:rFonts w:ascii="Garamond" w:hAnsi="Garamond"/>
        </w:rPr>
        <w:t>.</w:t>
      </w:r>
      <w:r w:rsidRPr="00046C69">
        <w:rPr>
          <w:rFonts w:ascii="Garamond" w:hAnsi="Garamond"/>
        </w:rPr>
        <w:t xml:space="preserve">) Act 2003 (Immunities and Privileges) Order 2003 (S.I. 2003/3126), the Northern Ireland </w:t>
      </w:r>
      <w:r w:rsidR="00E5519C">
        <w:rPr>
          <w:rFonts w:ascii="Garamond" w:hAnsi="Garamond"/>
        </w:rPr>
        <w:t xml:space="preserve">Arms </w:t>
      </w:r>
      <w:r w:rsidRPr="00046C69">
        <w:rPr>
          <w:rFonts w:ascii="Garamond" w:hAnsi="Garamond"/>
        </w:rPr>
        <w:t>Decommissioning Act 1997 (Immunities and Privileges) Order 1997 (S.I. 1997/2231) and the Northern Ireland (Location of Victims</w:t>
      </w:r>
      <w:r w:rsidR="00E5519C">
        <w:rPr>
          <w:rFonts w:ascii="Garamond" w:hAnsi="Garamond"/>
        </w:rPr>
        <w:t>’</w:t>
      </w:r>
      <w:r w:rsidRPr="00046C69">
        <w:rPr>
          <w:rFonts w:ascii="Garamond" w:hAnsi="Garamond"/>
        </w:rPr>
        <w:t xml:space="preserve"> Remains) Act 1999 (Immunities and Privileges) Order 1999 (S.I. 1999/1437)).</w:t>
      </w:r>
    </w:p>
    <w:p w:rsidR="00046C69" w:rsidRPr="00046C69" w:rsidRDefault="00046C69" w:rsidP="00046C69">
      <w:pPr>
        <w:spacing w:after="0" w:line="240" w:lineRule="auto"/>
        <w:ind w:left="720"/>
        <w:jc w:val="both"/>
        <w:rPr>
          <w:rFonts w:ascii="Garamond" w:hAnsi="Garamond"/>
        </w:rPr>
      </w:pPr>
    </w:p>
    <w:p w:rsidR="00046C69" w:rsidRPr="00046C69" w:rsidRDefault="00046C69" w:rsidP="00046C69">
      <w:pPr>
        <w:numPr>
          <w:ilvl w:val="0"/>
          <w:numId w:val="1"/>
        </w:numPr>
        <w:spacing w:after="0" w:line="240" w:lineRule="auto"/>
        <w:jc w:val="both"/>
        <w:rPr>
          <w:rFonts w:ascii="Garamond" w:hAnsi="Garamond"/>
        </w:rPr>
      </w:pPr>
      <w:r w:rsidRPr="00F90AD4">
        <w:rPr>
          <w:rFonts w:ascii="Garamond" w:hAnsi="Garamond"/>
          <w:bCs/>
        </w:rPr>
        <w:t xml:space="preserve">On that basis it is considered that the negative resolution procedure provides an appropriate level of Parliamentary scrutiny. </w:t>
      </w:r>
    </w:p>
    <w:p w:rsidR="00046C69" w:rsidRPr="00D82A4F" w:rsidRDefault="00046C69" w:rsidP="00046C69">
      <w:pPr>
        <w:spacing w:after="0" w:line="240" w:lineRule="auto"/>
        <w:ind w:left="720"/>
        <w:jc w:val="both"/>
        <w:rPr>
          <w:rFonts w:ascii="Garamond" w:hAnsi="Garamond"/>
          <w:szCs w:val="24"/>
        </w:rPr>
      </w:pPr>
      <w:r>
        <w:rPr>
          <w:rFonts w:ascii="Garamond" w:hAnsi="Garamond"/>
          <w:bCs/>
        </w:rPr>
        <w:br/>
      </w:r>
    </w:p>
    <w:p w:rsidR="00046C69" w:rsidRPr="00D82A4F" w:rsidRDefault="00046C69" w:rsidP="00046C69">
      <w:pPr>
        <w:pStyle w:val="ListParagraph"/>
        <w:autoSpaceDE w:val="0"/>
        <w:autoSpaceDN w:val="0"/>
        <w:adjustRightInd w:val="0"/>
        <w:ind w:left="0"/>
        <w:jc w:val="both"/>
        <w:rPr>
          <w:rFonts w:ascii="Garamond" w:hAnsi="Garamond" w:cs="Arial"/>
          <w:b/>
          <w:i/>
          <w:sz w:val="24"/>
          <w:u w:val="single"/>
        </w:rPr>
      </w:pPr>
      <w:r w:rsidRPr="00D82A4F">
        <w:rPr>
          <w:rFonts w:ascii="Garamond" w:hAnsi="Garamond" w:cs="Arial"/>
          <w:b/>
          <w:sz w:val="24"/>
          <w:u w:val="single"/>
        </w:rPr>
        <w:t xml:space="preserve">Clause </w:t>
      </w:r>
      <w:r w:rsidR="00F7132D" w:rsidRPr="00D82A4F">
        <w:rPr>
          <w:rFonts w:ascii="Garamond" w:hAnsi="Garamond" w:cs="Arial"/>
          <w:b/>
          <w:sz w:val="24"/>
          <w:u w:val="single"/>
        </w:rPr>
        <w:t>4(2)</w:t>
      </w:r>
      <w:r w:rsidRPr="00D82A4F">
        <w:rPr>
          <w:rFonts w:ascii="Garamond" w:hAnsi="Garamond" w:cs="Arial"/>
          <w:b/>
          <w:sz w:val="24"/>
          <w:u w:val="single"/>
        </w:rPr>
        <w:t xml:space="preserve">: </w:t>
      </w:r>
      <w:r w:rsidR="00903007" w:rsidRPr="00D82A4F">
        <w:rPr>
          <w:rFonts w:ascii="Garamond" w:hAnsi="Garamond" w:cs="Arial"/>
          <w:b/>
          <w:sz w:val="24"/>
          <w:u w:val="single"/>
        </w:rPr>
        <w:t>Interpretation and supplementary provision – power to make provision for giving full effect to the agreement</w:t>
      </w:r>
      <w:r w:rsidR="001B6689" w:rsidRPr="00D82A4F">
        <w:rPr>
          <w:rFonts w:ascii="Garamond" w:hAnsi="Garamond" w:cs="Arial"/>
          <w:b/>
          <w:sz w:val="24"/>
          <w:u w:val="single"/>
        </w:rPr>
        <w:t xml:space="preserve"> relating to paramilitary activity</w:t>
      </w:r>
      <w:r w:rsidRPr="00D82A4F">
        <w:rPr>
          <w:rFonts w:ascii="Garamond" w:hAnsi="Garamond" w:cs="Arial"/>
          <w:b/>
          <w:sz w:val="24"/>
          <w:u w:val="single"/>
        </w:rPr>
        <w:t>:</w:t>
      </w:r>
    </w:p>
    <w:p w:rsidR="00046C69" w:rsidRPr="00D82A4F" w:rsidRDefault="00046C69" w:rsidP="00046C69">
      <w:pPr>
        <w:pStyle w:val="ListParagraph"/>
        <w:rPr>
          <w:rFonts w:ascii="Garamond" w:hAnsi="Garamond" w:cs="Arial"/>
          <w:b/>
          <w:sz w:val="24"/>
        </w:rPr>
      </w:pPr>
    </w:p>
    <w:p w:rsidR="00046C69" w:rsidRPr="00D82A4F" w:rsidRDefault="00046C69" w:rsidP="00046C69">
      <w:pPr>
        <w:pStyle w:val="ListParagraph"/>
        <w:jc w:val="both"/>
        <w:rPr>
          <w:rFonts w:ascii="Garamond" w:hAnsi="Garamond" w:cs="Arial"/>
          <w:i/>
          <w:sz w:val="24"/>
        </w:rPr>
      </w:pPr>
      <w:r w:rsidRPr="00D82A4F">
        <w:rPr>
          <w:rFonts w:ascii="Garamond" w:hAnsi="Garamond" w:cs="Arial"/>
          <w:i/>
          <w:sz w:val="24"/>
        </w:rPr>
        <w:t>Power conferred on:</w:t>
      </w:r>
      <w:r w:rsidRPr="00D82A4F">
        <w:rPr>
          <w:rFonts w:ascii="Garamond" w:hAnsi="Garamond" w:cs="Arial"/>
          <w:i/>
          <w:sz w:val="24"/>
        </w:rPr>
        <w:tab/>
      </w:r>
      <w:r w:rsidRPr="00D82A4F">
        <w:rPr>
          <w:rFonts w:ascii="Garamond" w:hAnsi="Garamond" w:cs="Arial"/>
          <w:i/>
          <w:sz w:val="24"/>
        </w:rPr>
        <w:tab/>
        <w:t>Secretary of State</w:t>
      </w:r>
    </w:p>
    <w:p w:rsidR="00046C69" w:rsidRPr="00D82A4F" w:rsidRDefault="00046C69" w:rsidP="00046C69">
      <w:pPr>
        <w:pStyle w:val="ListParagraph"/>
        <w:jc w:val="both"/>
        <w:rPr>
          <w:rFonts w:ascii="Garamond" w:hAnsi="Garamond" w:cs="Arial"/>
          <w:i/>
          <w:sz w:val="24"/>
        </w:rPr>
      </w:pPr>
      <w:r w:rsidRPr="00D82A4F">
        <w:rPr>
          <w:rFonts w:ascii="Garamond" w:hAnsi="Garamond" w:cs="Arial"/>
          <w:i/>
          <w:sz w:val="24"/>
        </w:rPr>
        <w:t>Power exercisable by:</w:t>
      </w:r>
      <w:r w:rsidRPr="00D82A4F">
        <w:rPr>
          <w:rFonts w:ascii="Garamond" w:hAnsi="Garamond" w:cs="Arial"/>
          <w:i/>
          <w:sz w:val="24"/>
        </w:rPr>
        <w:tab/>
      </w:r>
      <w:r w:rsidRPr="00D82A4F">
        <w:rPr>
          <w:rFonts w:ascii="Garamond" w:hAnsi="Garamond" w:cs="Arial"/>
          <w:i/>
          <w:sz w:val="24"/>
        </w:rPr>
        <w:tab/>
        <w:t>Regulations made by statutory instrument</w:t>
      </w:r>
    </w:p>
    <w:p w:rsidR="00046C69" w:rsidRPr="00D82A4F" w:rsidRDefault="00046C69" w:rsidP="00046C69">
      <w:pPr>
        <w:pStyle w:val="ListParagraph"/>
        <w:jc w:val="both"/>
        <w:rPr>
          <w:rFonts w:ascii="Garamond" w:hAnsi="Garamond" w:cs="Arial"/>
          <w:sz w:val="24"/>
        </w:rPr>
      </w:pPr>
      <w:r w:rsidRPr="00D82A4F">
        <w:rPr>
          <w:rFonts w:ascii="Garamond" w:hAnsi="Garamond" w:cs="Arial"/>
          <w:i/>
          <w:sz w:val="24"/>
        </w:rPr>
        <w:t>Parliamentary Procedure:</w:t>
      </w:r>
      <w:r w:rsidRPr="00D82A4F">
        <w:rPr>
          <w:rFonts w:ascii="Garamond" w:hAnsi="Garamond" w:cs="Arial"/>
          <w:i/>
          <w:sz w:val="24"/>
        </w:rPr>
        <w:tab/>
      </w:r>
      <w:r w:rsidRPr="00D82A4F">
        <w:rPr>
          <w:rFonts w:ascii="Garamond" w:hAnsi="Garamond" w:cs="Arial"/>
          <w:i/>
          <w:sz w:val="24"/>
        </w:rPr>
        <w:tab/>
      </w:r>
      <w:r w:rsidR="00903007" w:rsidRPr="00D82A4F">
        <w:rPr>
          <w:rFonts w:ascii="Garamond" w:hAnsi="Garamond" w:cs="Arial"/>
          <w:i/>
          <w:sz w:val="24"/>
        </w:rPr>
        <w:t xml:space="preserve">Affirmative </w:t>
      </w:r>
      <w:r w:rsidRPr="00D82A4F">
        <w:rPr>
          <w:rFonts w:ascii="Garamond" w:hAnsi="Garamond" w:cs="Arial"/>
          <w:i/>
          <w:sz w:val="24"/>
        </w:rPr>
        <w:t>resolution</w:t>
      </w:r>
    </w:p>
    <w:p w:rsidR="00046C69" w:rsidRPr="00D82A4F" w:rsidRDefault="00046C69" w:rsidP="00046C69">
      <w:pPr>
        <w:pStyle w:val="ListParagraph"/>
        <w:ind w:left="0"/>
        <w:rPr>
          <w:rFonts w:ascii="Garamond" w:hAnsi="Garamond" w:cs="Arial"/>
          <w:b/>
          <w:sz w:val="24"/>
        </w:rPr>
      </w:pPr>
    </w:p>
    <w:p w:rsidR="00046C69" w:rsidRPr="00D82A4F" w:rsidRDefault="00046C69" w:rsidP="00046C69">
      <w:pPr>
        <w:pStyle w:val="ListParagraph"/>
        <w:autoSpaceDE w:val="0"/>
        <w:autoSpaceDN w:val="0"/>
        <w:adjustRightInd w:val="0"/>
        <w:jc w:val="both"/>
        <w:rPr>
          <w:rFonts w:ascii="Garamond" w:hAnsi="Garamond" w:cs="Arial"/>
          <w:b/>
          <w:sz w:val="24"/>
        </w:rPr>
      </w:pPr>
      <w:r w:rsidRPr="00D82A4F">
        <w:rPr>
          <w:rFonts w:ascii="Garamond" w:hAnsi="Garamond" w:cs="Arial"/>
          <w:b/>
          <w:sz w:val="24"/>
        </w:rPr>
        <w:t>Introduction</w:t>
      </w:r>
    </w:p>
    <w:p w:rsidR="00046C69" w:rsidRPr="00D82A4F" w:rsidRDefault="00046C69" w:rsidP="00046C69">
      <w:pPr>
        <w:pStyle w:val="ListParagraph"/>
        <w:autoSpaceDE w:val="0"/>
        <w:autoSpaceDN w:val="0"/>
        <w:adjustRightInd w:val="0"/>
        <w:jc w:val="both"/>
        <w:rPr>
          <w:rFonts w:ascii="Garamond" w:hAnsi="Garamond" w:cs="Arial"/>
          <w:b/>
          <w:sz w:val="24"/>
        </w:rPr>
      </w:pPr>
    </w:p>
    <w:p w:rsidR="00AD4307" w:rsidRPr="00D82A4F" w:rsidRDefault="00903007" w:rsidP="00AD4307">
      <w:pPr>
        <w:pStyle w:val="ListParagraph"/>
        <w:numPr>
          <w:ilvl w:val="0"/>
          <w:numId w:val="1"/>
        </w:numPr>
        <w:autoSpaceDE w:val="0"/>
        <w:autoSpaceDN w:val="0"/>
        <w:adjustRightInd w:val="0"/>
        <w:jc w:val="both"/>
        <w:rPr>
          <w:rFonts w:ascii="Garamond" w:hAnsi="Garamond" w:cs="Arial"/>
          <w:sz w:val="24"/>
        </w:rPr>
      </w:pPr>
      <w:r w:rsidRPr="00D82A4F">
        <w:rPr>
          <w:rFonts w:ascii="Garamond" w:hAnsi="Garamond" w:cs="Arial"/>
          <w:sz w:val="24"/>
        </w:rPr>
        <w:t>The Commission will be established by an international agreement between the Government of the United Kingdom and</w:t>
      </w:r>
      <w:r w:rsidR="001B6689" w:rsidRPr="00D82A4F">
        <w:rPr>
          <w:rFonts w:ascii="Garamond" w:hAnsi="Garamond" w:cs="Arial"/>
          <w:sz w:val="24"/>
        </w:rPr>
        <w:t xml:space="preserve"> the Government of</w:t>
      </w:r>
      <w:r w:rsidRPr="00D82A4F">
        <w:rPr>
          <w:rFonts w:ascii="Garamond" w:hAnsi="Garamond" w:cs="Arial"/>
          <w:sz w:val="24"/>
        </w:rPr>
        <w:t xml:space="preserve"> Ireland, referred to in the Bill as the </w:t>
      </w:r>
      <w:r w:rsidR="001130E0">
        <w:rPr>
          <w:rFonts w:ascii="Garamond" w:hAnsi="Garamond" w:cs="Arial"/>
          <w:sz w:val="24"/>
          <w:lang w:val="en-GB"/>
        </w:rPr>
        <w:t>“</w:t>
      </w:r>
      <w:r w:rsidR="00AD4307" w:rsidRPr="00D82A4F">
        <w:rPr>
          <w:rFonts w:ascii="Garamond" w:hAnsi="Garamond" w:cs="Arial"/>
          <w:sz w:val="24"/>
        </w:rPr>
        <w:t xml:space="preserve">agreement relating to </w:t>
      </w:r>
      <w:r w:rsidRPr="00D82A4F">
        <w:rPr>
          <w:rFonts w:ascii="Garamond" w:hAnsi="Garamond" w:cs="Arial"/>
          <w:sz w:val="24"/>
        </w:rPr>
        <w:t xml:space="preserve">paramilitary </w:t>
      </w:r>
      <w:r w:rsidR="00AD4307" w:rsidRPr="00D82A4F">
        <w:rPr>
          <w:rFonts w:ascii="Garamond" w:hAnsi="Garamond" w:cs="Arial"/>
          <w:sz w:val="24"/>
        </w:rPr>
        <w:t>activity</w:t>
      </w:r>
      <w:r w:rsidRPr="00D82A4F">
        <w:rPr>
          <w:rFonts w:ascii="Garamond" w:hAnsi="Garamond" w:cs="Arial"/>
          <w:sz w:val="24"/>
        </w:rPr>
        <w:t xml:space="preserve">”.   </w:t>
      </w:r>
      <w:r w:rsidR="00BD2FE5" w:rsidRPr="00D82A4F">
        <w:rPr>
          <w:rFonts w:ascii="Garamond" w:hAnsi="Garamond" w:cs="Arial"/>
          <w:sz w:val="24"/>
        </w:rPr>
        <w:t xml:space="preserve">Clause </w:t>
      </w:r>
      <w:r w:rsidR="00F7132D" w:rsidRPr="00D82A4F">
        <w:rPr>
          <w:rFonts w:ascii="Garamond" w:hAnsi="Garamond" w:cs="Arial"/>
          <w:sz w:val="24"/>
        </w:rPr>
        <w:t>4</w:t>
      </w:r>
      <w:r w:rsidR="00046C69" w:rsidRPr="00D82A4F">
        <w:rPr>
          <w:rFonts w:ascii="Garamond" w:hAnsi="Garamond" w:cs="Arial"/>
          <w:sz w:val="24"/>
        </w:rPr>
        <w:t>(2) confer</w:t>
      </w:r>
      <w:r w:rsidR="00BD2FE5" w:rsidRPr="00D82A4F">
        <w:rPr>
          <w:rFonts w:ascii="Garamond" w:hAnsi="Garamond" w:cs="Arial"/>
          <w:sz w:val="24"/>
        </w:rPr>
        <w:t xml:space="preserve">s power on the Secretary of State to </w:t>
      </w:r>
      <w:r w:rsidR="00F7132D" w:rsidRPr="00D82A4F">
        <w:rPr>
          <w:rFonts w:ascii="Garamond" w:hAnsi="Garamond" w:cs="Arial"/>
          <w:sz w:val="24"/>
        </w:rPr>
        <w:t xml:space="preserve">make </w:t>
      </w:r>
      <w:r w:rsidR="00BD2FE5" w:rsidRPr="00D82A4F">
        <w:rPr>
          <w:rFonts w:ascii="Garamond" w:hAnsi="Garamond" w:cs="Arial"/>
          <w:sz w:val="24"/>
        </w:rPr>
        <w:t>regulations containing provision for giving full effect to that agreement.</w:t>
      </w:r>
    </w:p>
    <w:p w:rsidR="00046C69" w:rsidRPr="00D82A4F" w:rsidRDefault="00BD2FE5" w:rsidP="00BD2FE5">
      <w:pPr>
        <w:pStyle w:val="ListParagraph"/>
        <w:autoSpaceDE w:val="0"/>
        <w:autoSpaceDN w:val="0"/>
        <w:adjustRightInd w:val="0"/>
        <w:jc w:val="both"/>
        <w:rPr>
          <w:rFonts w:ascii="Garamond" w:hAnsi="Garamond" w:cs="Arial"/>
          <w:sz w:val="24"/>
        </w:rPr>
      </w:pPr>
      <w:r w:rsidRPr="00D82A4F">
        <w:rPr>
          <w:rFonts w:ascii="Garamond" w:hAnsi="Garamond" w:cs="Arial"/>
          <w:sz w:val="24"/>
        </w:rPr>
        <w:t xml:space="preserve"> </w:t>
      </w:r>
    </w:p>
    <w:p w:rsidR="00046C69" w:rsidRPr="00D82A4F" w:rsidRDefault="00046C69" w:rsidP="00046C69">
      <w:pPr>
        <w:pStyle w:val="ListParagraph"/>
        <w:autoSpaceDE w:val="0"/>
        <w:autoSpaceDN w:val="0"/>
        <w:adjustRightInd w:val="0"/>
        <w:rPr>
          <w:rFonts w:ascii="Garamond" w:hAnsi="Garamond" w:cs="Arial"/>
          <w:b/>
          <w:sz w:val="24"/>
        </w:rPr>
      </w:pPr>
      <w:r w:rsidRPr="00D82A4F">
        <w:rPr>
          <w:rFonts w:ascii="Garamond" w:hAnsi="Garamond" w:cs="Arial"/>
          <w:b/>
          <w:sz w:val="24"/>
        </w:rPr>
        <w:t>Effect of the provision</w:t>
      </w:r>
    </w:p>
    <w:p w:rsidR="00046C69" w:rsidRPr="00D44383" w:rsidRDefault="00046C69" w:rsidP="00046C69">
      <w:pPr>
        <w:pStyle w:val="ListParagraph"/>
        <w:rPr>
          <w:rFonts w:ascii="Garamond" w:hAnsi="Garamond" w:cs="Arial"/>
        </w:rPr>
      </w:pPr>
    </w:p>
    <w:p w:rsidR="001130E0" w:rsidRDefault="00046C69" w:rsidP="001130E0">
      <w:pPr>
        <w:numPr>
          <w:ilvl w:val="0"/>
          <w:numId w:val="1"/>
        </w:numPr>
        <w:spacing w:after="0" w:line="240" w:lineRule="auto"/>
        <w:jc w:val="both"/>
        <w:rPr>
          <w:rFonts w:ascii="Garamond" w:hAnsi="Garamond"/>
        </w:rPr>
      </w:pPr>
      <w:r w:rsidRPr="00F90AD4">
        <w:rPr>
          <w:rFonts w:ascii="Garamond" w:hAnsi="Garamond"/>
          <w:bCs/>
        </w:rPr>
        <w:t xml:space="preserve">Clause </w:t>
      </w:r>
      <w:r w:rsidR="000A77AA">
        <w:rPr>
          <w:rFonts w:ascii="Garamond" w:hAnsi="Garamond"/>
        </w:rPr>
        <w:t>4</w:t>
      </w:r>
      <w:r w:rsidR="00BD2FE5">
        <w:rPr>
          <w:rFonts w:ascii="Garamond" w:hAnsi="Garamond"/>
          <w:bCs/>
        </w:rPr>
        <w:t>(2</w:t>
      </w:r>
      <w:r>
        <w:rPr>
          <w:rFonts w:ascii="Garamond" w:hAnsi="Garamond"/>
          <w:bCs/>
        </w:rPr>
        <w:t xml:space="preserve">) </w:t>
      </w:r>
      <w:r w:rsidRPr="00F90AD4">
        <w:rPr>
          <w:rFonts w:ascii="Garamond" w:hAnsi="Garamond"/>
          <w:bCs/>
        </w:rPr>
        <w:t>enables the Secretary of State to make regulations</w:t>
      </w:r>
      <w:r w:rsidR="00BD2FE5">
        <w:rPr>
          <w:rFonts w:ascii="Garamond" w:hAnsi="Garamond"/>
          <w:bCs/>
        </w:rPr>
        <w:t>, subject to the affirmative resolution procedure,</w:t>
      </w:r>
      <w:r w:rsidRPr="00F90AD4">
        <w:rPr>
          <w:rFonts w:ascii="Garamond" w:hAnsi="Garamond"/>
          <w:bCs/>
        </w:rPr>
        <w:t xml:space="preserve"> </w:t>
      </w:r>
      <w:r w:rsidR="00F7132D">
        <w:rPr>
          <w:rFonts w:ascii="Garamond" w:hAnsi="Garamond"/>
          <w:bCs/>
        </w:rPr>
        <w:t xml:space="preserve">containing </w:t>
      </w:r>
      <w:r w:rsidR="00BD2FE5">
        <w:rPr>
          <w:rFonts w:ascii="Garamond" w:hAnsi="Garamond"/>
          <w:bCs/>
        </w:rPr>
        <w:t xml:space="preserve">such provision as the Secretary of State considers appropriate for giving full effect to the </w:t>
      </w:r>
      <w:r w:rsidR="00AD4307">
        <w:rPr>
          <w:rFonts w:ascii="Garamond" w:hAnsi="Garamond"/>
        </w:rPr>
        <w:t xml:space="preserve">agreement relating to </w:t>
      </w:r>
      <w:r w:rsidR="00AD4307" w:rsidRPr="00BD2FE5">
        <w:rPr>
          <w:rFonts w:ascii="Garamond" w:hAnsi="Garamond"/>
        </w:rPr>
        <w:t xml:space="preserve">paramilitary </w:t>
      </w:r>
      <w:r w:rsidR="00AD4307">
        <w:rPr>
          <w:rFonts w:ascii="Garamond" w:hAnsi="Garamond"/>
        </w:rPr>
        <w:t>activity</w:t>
      </w:r>
      <w:r w:rsidR="00C13ADC">
        <w:rPr>
          <w:rFonts w:ascii="Garamond" w:hAnsi="Garamond"/>
          <w:bCs/>
        </w:rPr>
        <w:t xml:space="preserve"> which will establish the Commission</w:t>
      </w:r>
      <w:r w:rsidR="00BD2FE5">
        <w:rPr>
          <w:rFonts w:ascii="Garamond" w:hAnsi="Garamond"/>
          <w:bCs/>
        </w:rPr>
        <w:t>.</w:t>
      </w:r>
      <w:r w:rsidR="000A77AA">
        <w:rPr>
          <w:rFonts w:ascii="Garamond" w:hAnsi="Garamond"/>
          <w:bCs/>
        </w:rPr>
        <w:t xml:space="preserve">   Clause 4(3) provides that such regulations </w:t>
      </w:r>
      <w:r w:rsidR="00254B56">
        <w:rPr>
          <w:rFonts w:ascii="Garamond" w:hAnsi="Garamond"/>
          <w:bCs/>
        </w:rPr>
        <w:t xml:space="preserve">may </w:t>
      </w:r>
      <w:r w:rsidR="000A77AA">
        <w:rPr>
          <w:rFonts w:ascii="Garamond" w:hAnsi="Garamond"/>
          <w:bCs/>
        </w:rPr>
        <w:t>amend, repeal or revoke an enactment or confer functions on the Secretary of State or any other person.</w:t>
      </w:r>
      <w:r w:rsidR="001130E0">
        <w:rPr>
          <w:rFonts w:ascii="Garamond" w:hAnsi="Garamond"/>
          <w:bCs/>
        </w:rPr>
        <w:t xml:space="preserve">  </w:t>
      </w:r>
      <w:r w:rsidR="001130E0">
        <w:rPr>
          <w:rFonts w:ascii="Garamond" w:hAnsi="Garamond"/>
        </w:rPr>
        <w:t>As a result of clause 10(4), any regulations made under clause 4(2) may make different provision for different purposes or cases; incidental, supplementary or consequential provision; and transitional or transitory provision or savings.</w:t>
      </w:r>
    </w:p>
    <w:p w:rsidR="00046C69" w:rsidRPr="001130E0" w:rsidRDefault="00046C69" w:rsidP="00F7132D">
      <w:pPr>
        <w:pStyle w:val="ListParagraph"/>
        <w:ind w:left="0"/>
        <w:rPr>
          <w:rFonts w:ascii="Garamond" w:hAnsi="Garamond" w:cs="Arial"/>
          <w:lang w:val="en-GB"/>
        </w:rPr>
      </w:pPr>
    </w:p>
    <w:p w:rsidR="00046C69" w:rsidRPr="00D82A4F" w:rsidRDefault="00046C69" w:rsidP="00046C69">
      <w:pPr>
        <w:pStyle w:val="ListParagraph"/>
        <w:autoSpaceDE w:val="0"/>
        <w:autoSpaceDN w:val="0"/>
        <w:adjustRightInd w:val="0"/>
        <w:rPr>
          <w:rFonts w:ascii="Garamond" w:hAnsi="Garamond" w:cs="Arial"/>
          <w:b/>
          <w:sz w:val="24"/>
        </w:rPr>
      </w:pPr>
      <w:r w:rsidRPr="00D82A4F">
        <w:rPr>
          <w:rFonts w:ascii="Garamond" w:hAnsi="Garamond" w:cs="Arial"/>
          <w:b/>
          <w:sz w:val="24"/>
        </w:rPr>
        <w:t>Justification of the Delegation</w:t>
      </w:r>
    </w:p>
    <w:p w:rsidR="00046C69" w:rsidRPr="00D44383" w:rsidRDefault="00046C69" w:rsidP="00046C69">
      <w:pPr>
        <w:pStyle w:val="ListParagraph"/>
        <w:rPr>
          <w:rFonts w:ascii="Garamond" w:hAnsi="Garamond" w:cs="Arial"/>
        </w:rPr>
      </w:pPr>
    </w:p>
    <w:p w:rsidR="00046C69" w:rsidRPr="006559EC" w:rsidRDefault="00046C69" w:rsidP="004C3400">
      <w:pPr>
        <w:numPr>
          <w:ilvl w:val="0"/>
          <w:numId w:val="1"/>
        </w:numPr>
        <w:spacing w:after="0" w:line="240" w:lineRule="auto"/>
        <w:jc w:val="both"/>
        <w:rPr>
          <w:rFonts w:ascii="Garamond" w:hAnsi="Garamond"/>
        </w:rPr>
      </w:pPr>
      <w:r w:rsidRPr="00F90AD4">
        <w:rPr>
          <w:rFonts w:ascii="Garamond" w:hAnsi="Garamond"/>
          <w:bCs/>
        </w:rPr>
        <w:t xml:space="preserve">The </w:t>
      </w:r>
      <w:r w:rsidR="00BD2FE5">
        <w:rPr>
          <w:rFonts w:ascii="Garamond" w:hAnsi="Garamond"/>
          <w:bCs/>
        </w:rPr>
        <w:t>key provisions about the Commission are set out on the face of the Bill</w:t>
      </w:r>
      <w:r w:rsidR="00AD4307">
        <w:rPr>
          <w:rFonts w:ascii="Garamond" w:hAnsi="Garamond"/>
          <w:bCs/>
        </w:rPr>
        <w:t>, including</w:t>
      </w:r>
      <w:r w:rsidR="00B655DA">
        <w:rPr>
          <w:rFonts w:ascii="Garamond" w:hAnsi="Garamond"/>
          <w:bCs/>
        </w:rPr>
        <w:t xml:space="preserve"> reference to</w:t>
      </w:r>
      <w:r w:rsidR="00AD4307">
        <w:rPr>
          <w:rFonts w:ascii="Garamond" w:hAnsi="Garamond"/>
          <w:bCs/>
        </w:rPr>
        <w:t xml:space="preserve"> its functions</w:t>
      </w:r>
      <w:r w:rsidR="001130E0">
        <w:rPr>
          <w:rFonts w:ascii="Garamond" w:hAnsi="Garamond"/>
          <w:bCs/>
        </w:rPr>
        <w:t xml:space="preserve"> and objective (clause 1(1) and 2(1))</w:t>
      </w:r>
      <w:r w:rsidR="00AD4307">
        <w:rPr>
          <w:rFonts w:ascii="Garamond" w:hAnsi="Garamond"/>
          <w:bCs/>
        </w:rPr>
        <w:t>, conferral of immunity from suit and legal process and inviolability of its archives and premises</w:t>
      </w:r>
      <w:r w:rsidR="001130E0">
        <w:rPr>
          <w:rFonts w:ascii="Garamond" w:hAnsi="Garamond"/>
          <w:bCs/>
        </w:rPr>
        <w:t xml:space="preserve"> (clause 3(1) and (2))</w:t>
      </w:r>
      <w:r w:rsidR="00AD4307">
        <w:rPr>
          <w:rFonts w:ascii="Garamond" w:hAnsi="Garamond"/>
          <w:bCs/>
        </w:rPr>
        <w:t>, as well as its statutory duties not to do anything which might put at risk the life or safety of any person</w:t>
      </w:r>
      <w:r w:rsidR="001130E0">
        <w:rPr>
          <w:rFonts w:ascii="Garamond" w:hAnsi="Garamond"/>
          <w:bCs/>
        </w:rPr>
        <w:t xml:space="preserve"> (clause 2(3))</w:t>
      </w:r>
      <w:r w:rsidR="00AD4307">
        <w:rPr>
          <w:rFonts w:ascii="Garamond" w:hAnsi="Garamond"/>
          <w:bCs/>
        </w:rPr>
        <w:t>, for example</w:t>
      </w:r>
      <w:r w:rsidR="00BD2FE5">
        <w:rPr>
          <w:rFonts w:ascii="Garamond" w:hAnsi="Garamond"/>
          <w:bCs/>
        </w:rPr>
        <w:t xml:space="preserve">.   </w:t>
      </w:r>
      <w:r w:rsidR="004C3400">
        <w:rPr>
          <w:rFonts w:ascii="Garamond" w:hAnsi="Garamond"/>
          <w:bCs/>
        </w:rPr>
        <w:t xml:space="preserve"> But it may </w:t>
      </w:r>
      <w:r w:rsidR="00C7266E">
        <w:rPr>
          <w:rFonts w:ascii="Garamond" w:hAnsi="Garamond"/>
          <w:bCs/>
        </w:rPr>
        <w:t xml:space="preserve">be appropriate to make further </w:t>
      </w:r>
      <w:r w:rsidR="00F7132D">
        <w:rPr>
          <w:rFonts w:ascii="Garamond" w:hAnsi="Garamond"/>
          <w:bCs/>
        </w:rPr>
        <w:t xml:space="preserve">provision, in addition to that </w:t>
      </w:r>
      <w:r w:rsidR="004C3400">
        <w:rPr>
          <w:rFonts w:ascii="Garamond" w:hAnsi="Garamond"/>
          <w:bCs/>
        </w:rPr>
        <w:t xml:space="preserve">on the face of the Bill, </w:t>
      </w:r>
      <w:r w:rsidR="00BD2FE5">
        <w:rPr>
          <w:rFonts w:ascii="Garamond" w:hAnsi="Garamond"/>
          <w:bCs/>
        </w:rPr>
        <w:t xml:space="preserve">to give full domestic effect to the </w:t>
      </w:r>
      <w:r w:rsidR="00AD4307" w:rsidRPr="00AD4307">
        <w:rPr>
          <w:rFonts w:ascii="Garamond" w:hAnsi="Garamond"/>
        </w:rPr>
        <w:t>agreement relating to paramilitary activity</w:t>
      </w:r>
      <w:r w:rsidR="000A77AA">
        <w:rPr>
          <w:rFonts w:ascii="Garamond" w:hAnsi="Garamond"/>
          <w:bCs/>
        </w:rPr>
        <w:t xml:space="preserve">, both before the start of the Commission’s work and to react to any further circumstances that may only become apparent once the Commission has started its work. </w:t>
      </w:r>
      <w:r w:rsidR="004C3400">
        <w:rPr>
          <w:rFonts w:ascii="Garamond" w:hAnsi="Garamond"/>
          <w:bCs/>
        </w:rPr>
        <w:t>E</w:t>
      </w:r>
      <w:r w:rsidR="00BD2FE5">
        <w:rPr>
          <w:rFonts w:ascii="Garamond" w:hAnsi="Garamond"/>
          <w:bCs/>
        </w:rPr>
        <w:t>xample</w:t>
      </w:r>
      <w:r w:rsidR="004C3400">
        <w:rPr>
          <w:rFonts w:ascii="Garamond" w:hAnsi="Garamond"/>
          <w:bCs/>
        </w:rPr>
        <w:t>s</w:t>
      </w:r>
      <w:r w:rsidR="00BD2FE5">
        <w:rPr>
          <w:rFonts w:ascii="Garamond" w:hAnsi="Garamond"/>
          <w:bCs/>
        </w:rPr>
        <w:t xml:space="preserve"> might</w:t>
      </w:r>
      <w:r w:rsidR="004C3400">
        <w:rPr>
          <w:rFonts w:ascii="Garamond" w:hAnsi="Garamond"/>
          <w:bCs/>
        </w:rPr>
        <w:t xml:space="preserve"> include provision about accounts</w:t>
      </w:r>
      <w:r w:rsidR="00C7266E">
        <w:rPr>
          <w:rFonts w:ascii="Garamond" w:hAnsi="Garamond"/>
          <w:bCs/>
        </w:rPr>
        <w:t xml:space="preserve"> and audit and provision about </w:t>
      </w:r>
      <w:r w:rsidR="004C3400">
        <w:rPr>
          <w:rFonts w:ascii="Garamond" w:hAnsi="Garamond"/>
          <w:bCs/>
        </w:rPr>
        <w:t>decision making and quorum.</w:t>
      </w:r>
      <w:r w:rsidR="000A77AA">
        <w:rPr>
          <w:rFonts w:ascii="Garamond" w:hAnsi="Garamond"/>
          <w:bCs/>
        </w:rPr>
        <w:t xml:space="preserve">   It may prove necessary to amend </w:t>
      </w:r>
      <w:r w:rsidR="00503893">
        <w:rPr>
          <w:rFonts w:ascii="Garamond" w:hAnsi="Garamond"/>
          <w:bCs/>
        </w:rPr>
        <w:t>legislation</w:t>
      </w:r>
      <w:r w:rsidR="000A77AA">
        <w:rPr>
          <w:rFonts w:ascii="Garamond" w:hAnsi="Garamond"/>
          <w:bCs/>
        </w:rPr>
        <w:t xml:space="preserve">, including primary legislation, or to confer functions </w:t>
      </w:r>
      <w:r w:rsidR="00254B56">
        <w:rPr>
          <w:rFonts w:ascii="Garamond" w:hAnsi="Garamond"/>
          <w:bCs/>
        </w:rPr>
        <w:t xml:space="preserve">on </w:t>
      </w:r>
      <w:r w:rsidR="000A77AA">
        <w:rPr>
          <w:rFonts w:ascii="Garamond" w:hAnsi="Garamond"/>
          <w:bCs/>
        </w:rPr>
        <w:t>the Secretary of State or other persons.</w:t>
      </w:r>
      <w:r w:rsidR="004C3400">
        <w:rPr>
          <w:rFonts w:ascii="Garamond" w:hAnsi="Garamond"/>
          <w:bCs/>
        </w:rPr>
        <w:t xml:space="preserve">  The scope of the power in clause </w:t>
      </w:r>
      <w:r w:rsidR="000A77AA">
        <w:rPr>
          <w:rFonts w:ascii="Garamond" w:hAnsi="Garamond"/>
          <w:bCs/>
        </w:rPr>
        <w:t>4</w:t>
      </w:r>
      <w:r w:rsidR="004C3400">
        <w:rPr>
          <w:rFonts w:ascii="Garamond" w:hAnsi="Garamond"/>
          <w:bCs/>
        </w:rPr>
        <w:t xml:space="preserve">(2) will be </w:t>
      </w:r>
      <w:r w:rsidR="00E31846">
        <w:rPr>
          <w:rFonts w:ascii="Garamond" w:hAnsi="Garamond"/>
          <w:bCs/>
        </w:rPr>
        <w:t xml:space="preserve">determined </w:t>
      </w:r>
      <w:r w:rsidR="004C3400">
        <w:rPr>
          <w:rFonts w:ascii="Garamond" w:hAnsi="Garamond"/>
          <w:bCs/>
        </w:rPr>
        <w:t xml:space="preserve">by the terms of the </w:t>
      </w:r>
      <w:r w:rsidR="00AD4307">
        <w:rPr>
          <w:rFonts w:ascii="Garamond" w:hAnsi="Garamond"/>
          <w:bCs/>
        </w:rPr>
        <w:t>agreement relating to paramilitary activity</w:t>
      </w:r>
      <w:r w:rsidR="00264440">
        <w:rPr>
          <w:rFonts w:ascii="Garamond" w:hAnsi="Garamond"/>
          <w:bCs/>
        </w:rPr>
        <w:t xml:space="preserve"> as the power can only be used </w:t>
      </w:r>
      <w:r w:rsidR="00C13ADC">
        <w:rPr>
          <w:rFonts w:ascii="Garamond" w:hAnsi="Garamond"/>
          <w:bCs/>
        </w:rPr>
        <w:t xml:space="preserve">to </w:t>
      </w:r>
      <w:r w:rsidR="00264440">
        <w:rPr>
          <w:rFonts w:ascii="Garamond" w:hAnsi="Garamond"/>
          <w:bCs/>
        </w:rPr>
        <w:t xml:space="preserve">make provision considered appropriate to give full effect </w:t>
      </w:r>
      <w:r w:rsidR="00E31846">
        <w:rPr>
          <w:rFonts w:ascii="Garamond" w:hAnsi="Garamond"/>
          <w:bCs/>
        </w:rPr>
        <w:t>to that agreement</w:t>
      </w:r>
      <w:r w:rsidR="004C3400">
        <w:rPr>
          <w:rFonts w:ascii="Garamond" w:hAnsi="Garamond"/>
          <w:bCs/>
        </w:rPr>
        <w:t xml:space="preserve">. </w:t>
      </w:r>
      <w:r w:rsidRPr="00F90AD4">
        <w:rPr>
          <w:rFonts w:ascii="Garamond" w:hAnsi="Garamond"/>
          <w:bCs/>
        </w:rPr>
        <w:t xml:space="preserve">  </w:t>
      </w:r>
      <w:r w:rsidR="00C7266E">
        <w:rPr>
          <w:rFonts w:ascii="Garamond" w:hAnsi="Garamond"/>
          <w:bCs/>
        </w:rPr>
        <w:t xml:space="preserve">Although the agreement between the UK Government and the Irish Government is not available at the date of this memorandum, </w:t>
      </w:r>
      <w:r w:rsidR="001130E0">
        <w:rPr>
          <w:rFonts w:ascii="Garamond" w:hAnsi="Garamond"/>
          <w:bCs/>
        </w:rPr>
        <w:t xml:space="preserve">the </w:t>
      </w:r>
      <w:r w:rsidR="00C7266E">
        <w:rPr>
          <w:rFonts w:ascii="Garamond" w:hAnsi="Garamond"/>
          <w:bCs/>
        </w:rPr>
        <w:t>t</w:t>
      </w:r>
      <w:r w:rsidR="00503893">
        <w:rPr>
          <w:rFonts w:ascii="Garamond" w:hAnsi="Garamond"/>
          <w:bCs/>
        </w:rPr>
        <w:t>erms of t</w:t>
      </w:r>
      <w:r w:rsidR="00C7266E">
        <w:rPr>
          <w:rFonts w:ascii="Garamond" w:hAnsi="Garamond"/>
          <w:bCs/>
        </w:rPr>
        <w:t>he agreement would be available to Parliament before or at the same time as asking Parliament to approve any regulations to be made under this power</w:t>
      </w:r>
      <w:r w:rsidR="00C13ADC">
        <w:rPr>
          <w:rFonts w:ascii="Garamond" w:hAnsi="Garamond"/>
          <w:bCs/>
        </w:rPr>
        <w:t xml:space="preserve"> and </w:t>
      </w:r>
      <w:r w:rsidR="00C13ADC">
        <w:rPr>
          <w:rFonts w:ascii="Garamond" w:hAnsi="Garamond"/>
        </w:rPr>
        <w:t>t</w:t>
      </w:r>
      <w:r w:rsidR="00C13ADC" w:rsidRPr="00AD4307">
        <w:rPr>
          <w:rFonts w:ascii="Garamond" w:hAnsi="Garamond"/>
        </w:rPr>
        <w:t>he agreement will</w:t>
      </w:r>
      <w:r w:rsidR="00C13ADC">
        <w:rPr>
          <w:rFonts w:ascii="Garamond" w:hAnsi="Garamond"/>
        </w:rPr>
        <w:t xml:space="preserve"> </w:t>
      </w:r>
      <w:r w:rsidR="00C13ADC" w:rsidRPr="00AD4307">
        <w:rPr>
          <w:rFonts w:ascii="Garamond" w:hAnsi="Garamond"/>
        </w:rPr>
        <w:t>be subject to Parliamentary scrutiny under the Constitutional Reform and Governance Act 2010</w:t>
      </w:r>
      <w:r w:rsidR="00C7266E">
        <w:rPr>
          <w:rFonts w:ascii="Garamond" w:hAnsi="Garamond"/>
          <w:bCs/>
        </w:rPr>
        <w:t>.</w:t>
      </w:r>
    </w:p>
    <w:p w:rsidR="00046C69" w:rsidRPr="00D44383" w:rsidRDefault="00046C69" w:rsidP="00046C69">
      <w:pPr>
        <w:pStyle w:val="ListParagraph"/>
        <w:rPr>
          <w:rFonts w:ascii="Garamond" w:hAnsi="Garamond" w:cs="Arial"/>
        </w:rPr>
      </w:pPr>
    </w:p>
    <w:p w:rsidR="00046C69" w:rsidRPr="001130E0" w:rsidRDefault="00046C69" w:rsidP="00046C69">
      <w:pPr>
        <w:pStyle w:val="ListParagraph"/>
        <w:autoSpaceDE w:val="0"/>
        <w:autoSpaceDN w:val="0"/>
        <w:adjustRightInd w:val="0"/>
        <w:rPr>
          <w:rFonts w:ascii="Garamond" w:hAnsi="Garamond" w:cs="Arial"/>
          <w:b/>
          <w:sz w:val="24"/>
        </w:rPr>
      </w:pPr>
      <w:r w:rsidRPr="001130E0">
        <w:rPr>
          <w:rFonts w:ascii="Garamond" w:hAnsi="Garamond" w:cs="Arial"/>
          <w:b/>
          <w:sz w:val="24"/>
        </w:rPr>
        <w:t>Justification of the level of Parliamentary Scrutiny</w:t>
      </w:r>
    </w:p>
    <w:p w:rsidR="00046C69" w:rsidRPr="00D44383" w:rsidRDefault="00046C69" w:rsidP="00046C69">
      <w:pPr>
        <w:pStyle w:val="ListParagraph"/>
        <w:autoSpaceDE w:val="0"/>
        <w:autoSpaceDN w:val="0"/>
        <w:adjustRightInd w:val="0"/>
        <w:rPr>
          <w:rFonts w:ascii="Garamond" w:hAnsi="Garamond" w:cs="Arial"/>
          <w:b/>
        </w:rPr>
      </w:pPr>
    </w:p>
    <w:p w:rsidR="00046C69" w:rsidRPr="00E31846" w:rsidRDefault="00C7266E" w:rsidP="00E31846">
      <w:pPr>
        <w:numPr>
          <w:ilvl w:val="0"/>
          <w:numId w:val="1"/>
        </w:numPr>
        <w:spacing w:after="0" w:line="240" w:lineRule="auto"/>
        <w:jc w:val="both"/>
        <w:rPr>
          <w:rFonts w:ascii="Garamond" w:hAnsi="Garamond"/>
        </w:rPr>
      </w:pPr>
      <w:r>
        <w:rPr>
          <w:rFonts w:ascii="Garamond" w:hAnsi="Garamond"/>
          <w:bCs/>
        </w:rPr>
        <w:t>I</w:t>
      </w:r>
      <w:r w:rsidR="00E31846">
        <w:rPr>
          <w:rFonts w:ascii="Garamond" w:hAnsi="Garamond"/>
          <w:bCs/>
        </w:rPr>
        <w:t xml:space="preserve">t is considered that the appropriate level of Parliamentary scrutiny for the power in clause </w:t>
      </w:r>
      <w:r w:rsidR="000A77AA">
        <w:rPr>
          <w:rFonts w:ascii="Garamond" w:hAnsi="Garamond"/>
          <w:bCs/>
        </w:rPr>
        <w:t>4</w:t>
      </w:r>
      <w:r w:rsidR="00E31846">
        <w:rPr>
          <w:rFonts w:ascii="Garamond" w:hAnsi="Garamond"/>
          <w:bCs/>
        </w:rPr>
        <w:t xml:space="preserve">(2) is that offered by the affirmative resolution procedure, which will allow Parliament the opportunity to give its prior approval to further provision about the Commission that may be appropriate </w:t>
      </w:r>
      <w:r w:rsidR="00503893">
        <w:rPr>
          <w:rFonts w:ascii="Garamond" w:hAnsi="Garamond"/>
          <w:bCs/>
        </w:rPr>
        <w:t xml:space="preserve">(in addition to the key provisions included in the primary legislation) </w:t>
      </w:r>
      <w:r w:rsidR="00E31846">
        <w:rPr>
          <w:rFonts w:ascii="Garamond" w:hAnsi="Garamond"/>
          <w:bCs/>
        </w:rPr>
        <w:t xml:space="preserve">to give full effect to the </w:t>
      </w:r>
      <w:r w:rsidR="00AD4307">
        <w:rPr>
          <w:rFonts w:ascii="Garamond" w:hAnsi="Garamond"/>
          <w:bCs/>
        </w:rPr>
        <w:t>agreement relating to paramilitary activity</w:t>
      </w:r>
      <w:r w:rsidR="00E31846">
        <w:rPr>
          <w:rFonts w:ascii="Garamond" w:hAnsi="Garamond"/>
          <w:bCs/>
        </w:rPr>
        <w:t xml:space="preserve">. </w:t>
      </w:r>
    </w:p>
    <w:p w:rsidR="00E31846" w:rsidRPr="00E31846" w:rsidRDefault="00E31846" w:rsidP="00E31846">
      <w:pPr>
        <w:spacing w:after="0" w:line="240" w:lineRule="auto"/>
        <w:ind w:left="720"/>
        <w:jc w:val="both"/>
        <w:rPr>
          <w:rFonts w:ascii="Garamond" w:hAnsi="Garamond"/>
        </w:rPr>
      </w:pPr>
      <w:r>
        <w:rPr>
          <w:rFonts w:ascii="Garamond" w:hAnsi="Garamond"/>
          <w:bCs/>
        </w:rPr>
        <w:br/>
      </w:r>
    </w:p>
    <w:p w:rsidR="00E31846" w:rsidRPr="00D82A4F" w:rsidRDefault="00E31846" w:rsidP="00E31846">
      <w:pPr>
        <w:pStyle w:val="ListParagraph"/>
        <w:autoSpaceDE w:val="0"/>
        <w:autoSpaceDN w:val="0"/>
        <w:adjustRightInd w:val="0"/>
        <w:ind w:left="0"/>
        <w:jc w:val="both"/>
        <w:rPr>
          <w:rFonts w:ascii="Garamond" w:hAnsi="Garamond" w:cs="Arial"/>
          <w:b/>
          <w:i/>
          <w:sz w:val="24"/>
          <w:u w:val="single"/>
        </w:rPr>
      </w:pPr>
      <w:r w:rsidRPr="00D82A4F">
        <w:rPr>
          <w:rFonts w:ascii="Garamond" w:hAnsi="Garamond" w:cs="Arial"/>
          <w:b/>
          <w:sz w:val="24"/>
          <w:u w:val="single"/>
        </w:rPr>
        <w:t xml:space="preserve">Clause </w:t>
      </w:r>
      <w:r w:rsidR="000A77AA" w:rsidRPr="00D82A4F">
        <w:rPr>
          <w:rFonts w:ascii="Garamond" w:hAnsi="Garamond" w:cs="Arial"/>
          <w:b/>
          <w:sz w:val="24"/>
          <w:u w:val="single"/>
        </w:rPr>
        <w:t>5(1)</w:t>
      </w:r>
      <w:r w:rsidRPr="00D82A4F">
        <w:rPr>
          <w:rFonts w:ascii="Garamond" w:hAnsi="Garamond" w:cs="Arial"/>
          <w:b/>
          <w:sz w:val="24"/>
          <w:u w:val="single"/>
        </w:rPr>
        <w:t xml:space="preserve">: Conclusion of the Commission’s work – power to </w:t>
      </w:r>
      <w:r w:rsidR="00904389" w:rsidRPr="00D82A4F">
        <w:rPr>
          <w:rFonts w:ascii="Garamond" w:hAnsi="Garamond" w:cs="Arial"/>
          <w:b/>
          <w:sz w:val="24"/>
          <w:u w:val="single"/>
        </w:rPr>
        <w:t>authorise or require the destruction of rel</w:t>
      </w:r>
      <w:r w:rsidR="00254B56" w:rsidRPr="00D82A4F">
        <w:rPr>
          <w:rFonts w:ascii="Garamond" w:hAnsi="Garamond" w:cs="Arial"/>
          <w:b/>
          <w:sz w:val="24"/>
          <w:u w:val="single"/>
        </w:rPr>
        <w:t>e</w:t>
      </w:r>
      <w:r w:rsidR="00904389" w:rsidRPr="00D82A4F">
        <w:rPr>
          <w:rFonts w:ascii="Garamond" w:hAnsi="Garamond" w:cs="Arial"/>
          <w:b/>
          <w:sz w:val="24"/>
          <w:u w:val="single"/>
        </w:rPr>
        <w:t>vant information when the Commission’s functions cease</w:t>
      </w:r>
      <w:r w:rsidRPr="00D82A4F">
        <w:rPr>
          <w:rFonts w:ascii="Garamond" w:hAnsi="Garamond" w:cs="Arial"/>
          <w:b/>
          <w:sz w:val="24"/>
          <w:u w:val="single"/>
        </w:rPr>
        <w:t>:</w:t>
      </w:r>
    </w:p>
    <w:p w:rsidR="00E31846" w:rsidRPr="00D82A4F" w:rsidRDefault="00E31846" w:rsidP="00E31846">
      <w:pPr>
        <w:pStyle w:val="ListParagraph"/>
        <w:rPr>
          <w:rFonts w:ascii="Garamond" w:hAnsi="Garamond" w:cs="Arial"/>
          <w:b/>
          <w:sz w:val="24"/>
        </w:rPr>
      </w:pPr>
    </w:p>
    <w:p w:rsidR="00E31846" w:rsidRPr="00D82A4F" w:rsidRDefault="00E31846" w:rsidP="00E31846">
      <w:pPr>
        <w:pStyle w:val="ListParagraph"/>
        <w:jc w:val="both"/>
        <w:rPr>
          <w:rFonts w:ascii="Garamond" w:hAnsi="Garamond" w:cs="Arial"/>
          <w:i/>
          <w:sz w:val="24"/>
        </w:rPr>
      </w:pPr>
      <w:r w:rsidRPr="00D82A4F">
        <w:rPr>
          <w:rFonts w:ascii="Garamond" w:hAnsi="Garamond" w:cs="Arial"/>
          <w:i/>
          <w:sz w:val="24"/>
        </w:rPr>
        <w:t>Power conferred on:</w:t>
      </w:r>
      <w:r w:rsidRPr="00D82A4F">
        <w:rPr>
          <w:rFonts w:ascii="Garamond" w:hAnsi="Garamond" w:cs="Arial"/>
          <w:i/>
          <w:sz w:val="24"/>
        </w:rPr>
        <w:tab/>
      </w:r>
      <w:r w:rsidRPr="00D82A4F">
        <w:rPr>
          <w:rFonts w:ascii="Garamond" w:hAnsi="Garamond" w:cs="Arial"/>
          <w:i/>
          <w:sz w:val="24"/>
        </w:rPr>
        <w:tab/>
        <w:t>Secretary of State</w:t>
      </w:r>
    </w:p>
    <w:p w:rsidR="00E31846" w:rsidRPr="00D82A4F" w:rsidRDefault="00E31846" w:rsidP="00E31846">
      <w:pPr>
        <w:pStyle w:val="ListParagraph"/>
        <w:jc w:val="both"/>
        <w:rPr>
          <w:rFonts w:ascii="Garamond" w:hAnsi="Garamond" w:cs="Arial"/>
          <w:i/>
          <w:sz w:val="24"/>
        </w:rPr>
      </w:pPr>
      <w:r w:rsidRPr="00D82A4F">
        <w:rPr>
          <w:rFonts w:ascii="Garamond" w:hAnsi="Garamond" w:cs="Arial"/>
          <w:i/>
          <w:sz w:val="24"/>
        </w:rPr>
        <w:t>Power exercisable by:</w:t>
      </w:r>
      <w:r w:rsidRPr="00D82A4F">
        <w:rPr>
          <w:rFonts w:ascii="Garamond" w:hAnsi="Garamond" w:cs="Arial"/>
          <w:i/>
          <w:sz w:val="24"/>
        </w:rPr>
        <w:tab/>
      </w:r>
      <w:r w:rsidRPr="00D82A4F">
        <w:rPr>
          <w:rFonts w:ascii="Garamond" w:hAnsi="Garamond" w:cs="Arial"/>
          <w:i/>
          <w:sz w:val="24"/>
        </w:rPr>
        <w:tab/>
        <w:t>Regulations made by statutory instrument</w:t>
      </w:r>
    </w:p>
    <w:p w:rsidR="00E31846" w:rsidRPr="00D82A4F" w:rsidRDefault="00E31846" w:rsidP="00E31846">
      <w:pPr>
        <w:pStyle w:val="ListParagraph"/>
        <w:jc w:val="both"/>
        <w:rPr>
          <w:rFonts w:ascii="Garamond" w:hAnsi="Garamond" w:cs="Arial"/>
          <w:sz w:val="24"/>
        </w:rPr>
      </w:pPr>
      <w:r w:rsidRPr="00D82A4F">
        <w:rPr>
          <w:rFonts w:ascii="Garamond" w:hAnsi="Garamond" w:cs="Arial"/>
          <w:i/>
          <w:sz w:val="24"/>
        </w:rPr>
        <w:t>Parliamentary Procedure:</w:t>
      </w:r>
      <w:r w:rsidRPr="00D82A4F">
        <w:rPr>
          <w:rFonts w:ascii="Garamond" w:hAnsi="Garamond" w:cs="Arial"/>
          <w:i/>
          <w:sz w:val="24"/>
        </w:rPr>
        <w:tab/>
      </w:r>
      <w:r w:rsidRPr="00D82A4F">
        <w:rPr>
          <w:rFonts w:ascii="Garamond" w:hAnsi="Garamond" w:cs="Arial"/>
          <w:i/>
          <w:sz w:val="24"/>
        </w:rPr>
        <w:tab/>
        <w:t>Affirmative resolution</w:t>
      </w:r>
    </w:p>
    <w:p w:rsidR="00E31846" w:rsidRPr="00D82A4F" w:rsidRDefault="00E31846" w:rsidP="00E31846">
      <w:pPr>
        <w:pStyle w:val="ListParagraph"/>
        <w:ind w:left="0"/>
        <w:rPr>
          <w:rFonts w:ascii="Garamond" w:hAnsi="Garamond" w:cs="Arial"/>
          <w:b/>
          <w:sz w:val="24"/>
        </w:rPr>
      </w:pPr>
    </w:p>
    <w:p w:rsidR="00E31846" w:rsidRPr="00D82A4F" w:rsidRDefault="00E31846" w:rsidP="00DF405A">
      <w:pPr>
        <w:ind w:firstLine="360"/>
        <w:jc w:val="both"/>
        <w:rPr>
          <w:rFonts w:ascii="Garamond" w:hAnsi="Garamond"/>
          <w:b/>
          <w:szCs w:val="24"/>
        </w:rPr>
      </w:pPr>
      <w:r w:rsidRPr="00D82A4F">
        <w:rPr>
          <w:rFonts w:ascii="Garamond" w:hAnsi="Garamond"/>
          <w:b/>
          <w:szCs w:val="24"/>
        </w:rPr>
        <w:t>Introduction</w:t>
      </w:r>
    </w:p>
    <w:p w:rsidR="00E31846" w:rsidRDefault="00E31846" w:rsidP="00E31846">
      <w:pPr>
        <w:numPr>
          <w:ilvl w:val="0"/>
          <w:numId w:val="1"/>
        </w:numPr>
        <w:spacing w:after="0" w:line="240" w:lineRule="auto"/>
        <w:jc w:val="both"/>
        <w:rPr>
          <w:rFonts w:ascii="Garamond" w:hAnsi="Garamond"/>
          <w:b/>
        </w:rPr>
      </w:pPr>
      <w:r w:rsidRPr="00DC1505">
        <w:rPr>
          <w:rFonts w:ascii="Garamond" w:hAnsi="Garamond"/>
        </w:rPr>
        <w:t xml:space="preserve">Clause </w:t>
      </w:r>
      <w:r w:rsidR="000A77AA">
        <w:rPr>
          <w:rFonts w:ascii="Garamond" w:hAnsi="Garamond"/>
        </w:rPr>
        <w:t>5</w:t>
      </w:r>
      <w:r>
        <w:rPr>
          <w:rFonts w:ascii="Garamond" w:hAnsi="Garamond"/>
        </w:rPr>
        <w:t>(</w:t>
      </w:r>
      <w:r w:rsidR="00C7266E">
        <w:rPr>
          <w:rFonts w:ascii="Garamond" w:hAnsi="Garamond"/>
        </w:rPr>
        <w:t>1</w:t>
      </w:r>
      <w:r>
        <w:rPr>
          <w:rFonts w:ascii="Garamond" w:hAnsi="Garamond"/>
        </w:rPr>
        <w:t xml:space="preserve">) </w:t>
      </w:r>
      <w:r w:rsidRPr="00DC1505">
        <w:rPr>
          <w:rFonts w:ascii="Garamond" w:hAnsi="Garamond"/>
        </w:rPr>
        <w:t>allows the Secretary of State to make regulations, subject to the aff</w:t>
      </w:r>
      <w:r w:rsidR="00904389">
        <w:rPr>
          <w:rFonts w:ascii="Garamond" w:hAnsi="Garamond"/>
        </w:rPr>
        <w:t xml:space="preserve">irmative resolution procedure, </w:t>
      </w:r>
      <w:r w:rsidR="00241AFA">
        <w:rPr>
          <w:rFonts w:ascii="Garamond" w:hAnsi="Garamond"/>
        </w:rPr>
        <w:t>to provide for the winding up of the Commission.</w:t>
      </w:r>
    </w:p>
    <w:p w:rsidR="00E31846" w:rsidRPr="00E31846" w:rsidRDefault="00E31846" w:rsidP="00E31846">
      <w:pPr>
        <w:spacing w:after="0" w:line="240" w:lineRule="auto"/>
        <w:ind w:left="720"/>
        <w:jc w:val="both"/>
        <w:rPr>
          <w:rFonts w:ascii="Garamond" w:hAnsi="Garamond"/>
          <w:b/>
        </w:rPr>
      </w:pPr>
    </w:p>
    <w:p w:rsidR="00E31846" w:rsidRPr="00E31846" w:rsidRDefault="00E31846" w:rsidP="00DF405A">
      <w:pPr>
        <w:ind w:firstLine="360"/>
        <w:jc w:val="both"/>
        <w:rPr>
          <w:rFonts w:ascii="Garamond" w:hAnsi="Garamond"/>
          <w:b/>
        </w:rPr>
      </w:pPr>
      <w:r w:rsidRPr="00DC1505">
        <w:rPr>
          <w:rFonts w:ascii="Garamond" w:hAnsi="Garamond"/>
          <w:b/>
        </w:rPr>
        <w:t>Effect of the provision</w:t>
      </w:r>
    </w:p>
    <w:p w:rsidR="00904389" w:rsidRPr="00241AFA" w:rsidRDefault="00904389" w:rsidP="00241AFA">
      <w:pPr>
        <w:numPr>
          <w:ilvl w:val="0"/>
          <w:numId w:val="1"/>
        </w:numPr>
        <w:spacing w:after="0" w:line="240" w:lineRule="auto"/>
        <w:jc w:val="both"/>
        <w:rPr>
          <w:rFonts w:ascii="Garamond" w:hAnsi="Garamond"/>
        </w:rPr>
      </w:pPr>
      <w:r>
        <w:rPr>
          <w:rFonts w:ascii="Garamond" w:hAnsi="Garamond"/>
        </w:rPr>
        <w:t xml:space="preserve">Clause </w:t>
      </w:r>
      <w:r w:rsidR="000A77AA">
        <w:rPr>
          <w:rFonts w:ascii="Garamond" w:hAnsi="Garamond"/>
        </w:rPr>
        <w:t>5</w:t>
      </w:r>
      <w:r>
        <w:rPr>
          <w:rFonts w:ascii="Garamond" w:hAnsi="Garamond"/>
        </w:rPr>
        <w:t xml:space="preserve">(1) enables the Secretary of State to make regulations to </w:t>
      </w:r>
      <w:r w:rsidR="00241AFA">
        <w:rPr>
          <w:rFonts w:ascii="Garamond" w:hAnsi="Garamond"/>
        </w:rPr>
        <w:t>make provision for winding up the Commission</w:t>
      </w:r>
      <w:r w:rsidR="00717441">
        <w:rPr>
          <w:rFonts w:ascii="Garamond" w:hAnsi="Garamond"/>
        </w:rPr>
        <w:t xml:space="preserve"> when it ceases to operate</w:t>
      </w:r>
      <w:r w:rsidR="00241AFA">
        <w:rPr>
          <w:rFonts w:ascii="Garamond" w:hAnsi="Garamond"/>
        </w:rPr>
        <w:t xml:space="preserve">.    </w:t>
      </w:r>
      <w:r w:rsidR="00717441">
        <w:rPr>
          <w:rFonts w:ascii="Garamond" w:hAnsi="Garamond"/>
        </w:rPr>
        <w:t xml:space="preserve">As the Commission is established via an international agreement with the Irish Government, </w:t>
      </w:r>
      <w:r w:rsidR="00241AFA">
        <w:rPr>
          <w:rFonts w:ascii="Garamond" w:hAnsi="Garamond"/>
        </w:rPr>
        <w:t xml:space="preserve"> </w:t>
      </w:r>
      <w:r w:rsidR="00256040">
        <w:rPr>
          <w:rFonts w:ascii="Garamond" w:hAnsi="Garamond"/>
        </w:rPr>
        <w:t xml:space="preserve">before making any such regulations, </w:t>
      </w:r>
      <w:r w:rsidR="00241AFA">
        <w:rPr>
          <w:rFonts w:ascii="Garamond" w:hAnsi="Garamond"/>
        </w:rPr>
        <w:t>clause 5(2) require</w:t>
      </w:r>
      <w:r w:rsidR="00717441">
        <w:rPr>
          <w:rFonts w:ascii="Garamond" w:hAnsi="Garamond"/>
        </w:rPr>
        <w:t>s</w:t>
      </w:r>
      <w:r w:rsidR="00241AFA">
        <w:rPr>
          <w:rFonts w:ascii="Garamond" w:hAnsi="Garamond"/>
        </w:rPr>
        <w:t xml:space="preserve"> the Secretary of State to consult the Minister of Justice and Equality in the Government of Ireland </w:t>
      </w:r>
      <w:r w:rsidR="00256040">
        <w:rPr>
          <w:rFonts w:ascii="Garamond" w:hAnsi="Garamond"/>
        </w:rPr>
        <w:t xml:space="preserve">(or such other Minister as the Secretary of State considers appropriate).  Clause 5(2) also requires the Secretary of State to consult the First Minister and deputy First Minister </w:t>
      </w:r>
      <w:r w:rsidR="00241AFA">
        <w:rPr>
          <w:rFonts w:ascii="Garamond" w:hAnsi="Garamond"/>
        </w:rPr>
        <w:t>and any other person the Secretary of State considers appropriate.   Clause 5(3) gives particular examples of what such regulations may contain: the repeal of any substantive provision in the Bill about the Commission with the exception of that in clause 3 (legal privileges etc); amending or revoking any other enactment; conferring functions on the Secretary of State or any other person; provision about the destruction of information or records held by the Commission.   The latter would, for example, allow the regulations to contain provision requiring the Commission, or another person on behalf of the Commission, to destroy information and records relating to the Commission’s functions under paragraph 5.1 of Section A of t</w:t>
      </w:r>
      <w:r w:rsidR="00717441">
        <w:rPr>
          <w:rFonts w:ascii="Garamond" w:hAnsi="Garamond"/>
        </w:rPr>
        <w:t>h</w:t>
      </w:r>
      <w:r w:rsidR="00241AFA">
        <w:rPr>
          <w:rFonts w:ascii="Garamond" w:hAnsi="Garamond"/>
        </w:rPr>
        <w:t xml:space="preserve">e Fresh Start Agreement. </w:t>
      </w:r>
      <w:r w:rsidR="00241AFA" w:rsidRPr="00241AFA">
        <w:rPr>
          <w:rFonts w:ascii="Garamond" w:hAnsi="Garamond"/>
        </w:rPr>
        <w:t xml:space="preserve"> </w:t>
      </w:r>
      <w:r w:rsidR="00256040">
        <w:rPr>
          <w:rFonts w:ascii="Garamond" w:hAnsi="Garamond"/>
        </w:rPr>
        <w:t>As a result of clause 10(4), any regulations made under clause 4(2) may make different provision for different purposes or cases; incidental, supplementary or consequential provision; and transitional or transitory provision or savings.</w:t>
      </w:r>
    </w:p>
    <w:p w:rsidR="00E31846" w:rsidRPr="00DC1505" w:rsidRDefault="00E31846" w:rsidP="00E31846">
      <w:pPr>
        <w:jc w:val="both"/>
        <w:rPr>
          <w:rFonts w:ascii="Garamond" w:hAnsi="Garamond"/>
        </w:rPr>
      </w:pPr>
    </w:p>
    <w:p w:rsidR="00E31846" w:rsidRPr="00D82A4F" w:rsidRDefault="00E31846" w:rsidP="00DF405A">
      <w:pPr>
        <w:ind w:firstLine="360"/>
        <w:jc w:val="both"/>
        <w:rPr>
          <w:rFonts w:ascii="Garamond" w:hAnsi="Garamond"/>
          <w:b/>
          <w:szCs w:val="24"/>
        </w:rPr>
      </w:pPr>
      <w:r w:rsidRPr="00D82A4F">
        <w:rPr>
          <w:rFonts w:ascii="Garamond" w:hAnsi="Garamond"/>
          <w:b/>
          <w:szCs w:val="24"/>
        </w:rPr>
        <w:t>Justification of the Delegation</w:t>
      </w:r>
    </w:p>
    <w:p w:rsidR="00241AFA" w:rsidRPr="00D82A4F" w:rsidRDefault="00241AFA" w:rsidP="00241AFA">
      <w:pPr>
        <w:pStyle w:val="ListParagraph"/>
        <w:numPr>
          <w:ilvl w:val="0"/>
          <w:numId w:val="1"/>
        </w:numPr>
        <w:jc w:val="both"/>
        <w:rPr>
          <w:rFonts w:ascii="Garamond" w:hAnsi="Garamond" w:cs="Arial"/>
          <w:sz w:val="24"/>
        </w:rPr>
      </w:pPr>
      <w:r w:rsidRPr="00D82A4F">
        <w:rPr>
          <w:rFonts w:ascii="Garamond" w:hAnsi="Garamond"/>
          <w:bCs/>
          <w:sz w:val="24"/>
        </w:rPr>
        <w:t xml:space="preserve">In the Fresh Start Agreement it is envisaged that the reports of the Commission will inform the Programme for Government of the Northern Ireland Executive through to 2021. </w:t>
      </w:r>
      <w:r w:rsidRPr="00D82A4F">
        <w:rPr>
          <w:rFonts w:ascii="Garamond" w:hAnsi="Garamond"/>
          <w:sz w:val="24"/>
        </w:rPr>
        <w:t>It is intended that the agreement between the UK Government and the Irish Government establishing the Commission will not specify a particular end date but will allow for the agreement relating to paramilitary activity to end by mutual agreement.</w:t>
      </w:r>
      <w:r w:rsidRPr="00D82A4F">
        <w:rPr>
          <w:rFonts w:ascii="Garamond" w:hAnsi="Garamond"/>
          <w:bCs/>
          <w:sz w:val="24"/>
        </w:rPr>
        <w:t xml:space="preserve">   If it were agreed that the Commission should cease to exist, it is important that the Secretary of State has power to make provision for winding it up.   </w:t>
      </w:r>
      <w:r w:rsidRPr="00D82A4F">
        <w:rPr>
          <w:rFonts w:ascii="Garamond" w:hAnsi="Garamond"/>
          <w:sz w:val="24"/>
        </w:rPr>
        <w:t xml:space="preserve">It is considered that prescribing a definitive date in primary legislation for the repeal of the clauses in the Bill concerning the Commission would pre-empt any such mutual agreement and that prescribing the date for repeal should be delegated to secondary legislation to allow that decision to be made in full cognisance of the circumstances at the time.  </w:t>
      </w:r>
      <w:r w:rsidRPr="00D82A4F">
        <w:rPr>
          <w:rFonts w:ascii="Garamond" w:hAnsi="Garamond"/>
          <w:bCs/>
          <w:sz w:val="24"/>
        </w:rPr>
        <w:t>As well as the possibility of provision to make sure that any requirement to destroy relevant information can be fulfilled once the Commission has ceased its functions, it is also important for the Secretary of State to maintain flexibility as to which parts of the provisions of the Bill in relation to the Commission should be repealed</w:t>
      </w:r>
      <w:r w:rsidR="0055506F">
        <w:rPr>
          <w:rFonts w:ascii="Garamond" w:hAnsi="Garamond"/>
          <w:bCs/>
          <w:sz w:val="24"/>
          <w:lang w:val="en-GB"/>
        </w:rPr>
        <w:t xml:space="preserve"> (although </w:t>
      </w:r>
      <w:r w:rsidRPr="00D82A4F">
        <w:rPr>
          <w:rFonts w:ascii="Garamond" w:hAnsi="Garamond"/>
          <w:bCs/>
          <w:sz w:val="24"/>
        </w:rPr>
        <w:t>the provisions of clause 3 will stay in force after the Commission has been wound up</w:t>
      </w:r>
      <w:r w:rsidR="0055506F">
        <w:rPr>
          <w:rFonts w:ascii="Garamond" w:hAnsi="Garamond"/>
          <w:bCs/>
          <w:sz w:val="24"/>
          <w:lang w:val="en-GB"/>
        </w:rPr>
        <w:t>)</w:t>
      </w:r>
      <w:r w:rsidRPr="00D82A4F">
        <w:rPr>
          <w:rFonts w:ascii="Garamond" w:hAnsi="Garamond"/>
          <w:bCs/>
          <w:sz w:val="24"/>
        </w:rPr>
        <w:t xml:space="preserve">. </w:t>
      </w:r>
    </w:p>
    <w:p w:rsidR="00E31846" w:rsidRPr="00D82A4F" w:rsidRDefault="00503893" w:rsidP="00241AFA">
      <w:pPr>
        <w:pStyle w:val="ListParagraph"/>
        <w:jc w:val="both"/>
        <w:rPr>
          <w:rFonts w:ascii="Garamond" w:hAnsi="Garamond" w:cs="Arial"/>
          <w:b/>
          <w:sz w:val="24"/>
        </w:rPr>
      </w:pPr>
      <w:r w:rsidRPr="00D82A4F">
        <w:rPr>
          <w:rFonts w:ascii="Garamond" w:hAnsi="Garamond" w:cs="Arial"/>
          <w:b/>
          <w:sz w:val="24"/>
        </w:rPr>
        <w:t xml:space="preserve"> </w:t>
      </w:r>
    </w:p>
    <w:p w:rsidR="000E6907" w:rsidRPr="00D82A4F" w:rsidRDefault="000E6907" w:rsidP="000E6907">
      <w:pPr>
        <w:pStyle w:val="ListParagraph"/>
        <w:jc w:val="both"/>
        <w:rPr>
          <w:rFonts w:ascii="Garamond" w:hAnsi="Garamond" w:cs="Arial"/>
          <w:sz w:val="24"/>
        </w:rPr>
      </w:pPr>
    </w:p>
    <w:p w:rsidR="00E31846" w:rsidRPr="00D82A4F" w:rsidRDefault="00E31846" w:rsidP="00DF405A">
      <w:pPr>
        <w:ind w:firstLine="360"/>
        <w:jc w:val="both"/>
        <w:rPr>
          <w:rFonts w:ascii="Garamond" w:hAnsi="Garamond"/>
          <w:b/>
          <w:szCs w:val="24"/>
        </w:rPr>
      </w:pPr>
      <w:r w:rsidRPr="00D82A4F">
        <w:rPr>
          <w:rFonts w:ascii="Garamond" w:hAnsi="Garamond"/>
          <w:b/>
          <w:szCs w:val="24"/>
        </w:rPr>
        <w:t>Justification of the level of Parliamentary Scrutiny</w:t>
      </w:r>
    </w:p>
    <w:p w:rsidR="00241AFA" w:rsidRPr="00D82A4F" w:rsidRDefault="00241AFA" w:rsidP="00241AFA">
      <w:pPr>
        <w:pStyle w:val="ListParagraph"/>
        <w:numPr>
          <w:ilvl w:val="0"/>
          <w:numId w:val="1"/>
        </w:numPr>
        <w:jc w:val="both"/>
        <w:rPr>
          <w:rFonts w:ascii="Garamond" w:hAnsi="Garamond" w:cs="Arial"/>
          <w:sz w:val="24"/>
        </w:rPr>
      </w:pPr>
      <w:r w:rsidRPr="00D82A4F">
        <w:rPr>
          <w:rFonts w:ascii="Garamond" w:hAnsi="Garamond" w:cs="Arial"/>
          <w:sz w:val="24"/>
        </w:rPr>
        <w:t xml:space="preserve">In the light of the important work of the Commission and the degree of public interest in its operation, it is considered that the affirmative resolution procedure is appropriate in relation to scrutinising decisions in relation to the winding up </w:t>
      </w:r>
      <w:r w:rsidR="00420727">
        <w:rPr>
          <w:rFonts w:ascii="Garamond" w:hAnsi="Garamond" w:cs="Arial"/>
          <w:sz w:val="24"/>
          <w:lang w:val="en-GB"/>
        </w:rPr>
        <w:t xml:space="preserve">of </w:t>
      </w:r>
      <w:r w:rsidRPr="00D82A4F">
        <w:rPr>
          <w:rFonts w:ascii="Garamond" w:hAnsi="Garamond" w:cs="Arial"/>
          <w:sz w:val="24"/>
        </w:rPr>
        <w:t>the Commission.</w:t>
      </w:r>
    </w:p>
    <w:p w:rsidR="007047D9" w:rsidRPr="00256040" w:rsidRDefault="007047D9" w:rsidP="007047D9">
      <w:pPr>
        <w:spacing w:after="0" w:line="240" w:lineRule="auto"/>
        <w:jc w:val="both"/>
        <w:rPr>
          <w:rFonts w:ascii="Garamond" w:hAnsi="Garamond"/>
        </w:rPr>
      </w:pPr>
    </w:p>
    <w:p w:rsidR="0074732F" w:rsidRDefault="0074732F" w:rsidP="0074732F">
      <w:pPr>
        <w:pStyle w:val="ListParagraph"/>
        <w:autoSpaceDE w:val="0"/>
        <w:autoSpaceDN w:val="0"/>
        <w:adjustRightInd w:val="0"/>
        <w:ind w:left="0"/>
        <w:jc w:val="both"/>
        <w:rPr>
          <w:rFonts w:ascii="Garamond" w:hAnsi="Garamond" w:cs="Arial"/>
          <w:sz w:val="24"/>
          <w:lang w:val="en-GB"/>
        </w:rPr>
      </w:pPr>
    </w:p>
    <w:p w:rsidR="0074732F" w:rsidRPr="00256040" w:rsidRDefault="0074732F" w:rsidP="0074732F">
      <w:pPr>
        <w:pStyle w:val="ListParagraph"/>
        <w:autoSpaceDE w:val="0"/>
        <w:autoSpaceDN w:val="0"/>
        <w:adjustRightInd w:val="0"/>
        <w:ind w:left="0"/>
        <w:jc w:val="both"/>
        <w:rPr>
          <w:rFonts w:ascii="Garamond" w:eastAsia="Calibri" w:hAnsi="Garamond" w:cs="Arial"/>
          <w:b/>
          <w:i/>
          <w:sz w:val="24"/>
          <w:u w:val="single"/>
          <w:lang w:val="en-GB" w:eastAsia="en-US"/>
        </w:rPr>
      </w:pPr>
      <w:r w:rsidRPr="00256040">
        <w:rPr>
          <w:rFonts w:ascii="Garamond" w:eastAsia="Calibri" w:hAnsi="Garamond" w:cs="Arial"/>
          <w:b/>
          <w:sz w:val="24"/>
          <w:u w:val="single"/>
          <w:lang w:val="en-GB" w:eastAsia="en-US"/>
        </w:rPr>
        <w:t>Clause 8 and Schedule</w:t>
      </w:r>
      <w:r w:rsidR="000500B0">
        <w:rPr>
          <w:rFonts w:ascii="Garamond" w:eastAsia="Calibri" w:hAnsi="Garamond" w:cs="Arial"/>
          <w:b/>
          <w:sz w:val="24"/>
          <w:u w:val="single"/>
          <w:lang w:val="en-GB" w:eastAsia="en-US"/>
        </w:rPr>
        <w:t xml:space="preserve"> 2</w:t>
      </w:r>
      <w:r w:rsidRPr="00256040">
        <w:rPr>
          <w:rFonts w:ascii="Garamond" w:eastAsia="Calibri" w:hAnsi="Garamond" w:cs="Arial"/>
          <w:b/>
          <w:sz w:val="24"/>
          <w:u w:val="single"/>
          <w:lang w:eastAsia="en-US"/>
        </w:rPr>
        <w:t>:</w:t>
      </w:r>
      <w:r w:rsidRPr="00256040">
        <w:rPr>
          <w:rFonts w:ascii="Garamond" w:eastAsia="Calibri" w:hAnsi="Garamond" w:cs="Arial"/>
          <w:b/>
          <w:sz w:val="24"/>
          <w:u w:val="single"/>
          <w:lang w:val="en-GB" w:eastAsia="en-US"/>
        </w:rPr>
        <w:t xml:space="preserve"> Undertaking by members of the Assembly and Transitional Provision</w:t>
      </w:r>
      <w:r w:rsidR="00256040" w:rsidRPr="00256040">
        <w:rPr>
          <w:rFonts w:ascii="Garamond" w:eastAsia="Calibri" w:hAnsi="Garamond" w:cs="Arial"/>
          <w:b/>
          <w:sz w:val="24"/>
          <w:u w:val="single"/>
          <w:lang w:val="en-GB" w:eastAsia="en-US"/>
        </w:rPr>
        <w:t>:</w:t>
      </w:r>
    </w:p>
    <w:p w:rsidR="0074732F" w:rsidRPr="00256040" w:rsidRDefault="0074732F" w:rsidP="0074732F">
      <w:pPr>
        <w:pStyle w:val="ListParagraph"/>
        <w:autoSpaceDE w:val="0"/>
        <w:autoSpaceDN w:val="0"/>
        <w:adjustRightInd w:val="0"/>
        <w:ind w:left="0"/>
        <w:jc w:val="both"/>
        <w:rPr>
          <w:rFonts w:ascii="Garamond" w:eastAsia="Calibri" w:hAnsi="Garamond" w:cs="Arial"/>
          <w:b/>
          <w:sz w:val="24"/>
          <w:lang w:eastAsia="en-US"/>
        </w:rPr>
      </w:pPr>
    </w:p>
    <w:p w:rsidR="0074732F" w:rsidRPr="00256040" w:rsidRDefault="0074732F" w:rsidP="00256040">
      <w:pPr>
        <w:pStyle w:val="ListParagraph"/>
        <w:autoSpaceDE w:val="0"/>
        <w:autoSpaceDN w:val="0"/>
        <w:adjustRightInd w:val="0"/>
        <w:ind w:left="2880" w:hanging="2160"/>
        <w:rPr>
          <w:rFonts w:ascii="Garamond" w:hAnsi="Garamond" w:cs="Arial"/>
          <w:i/>
          <w:sz w:val="24"/>
          <w:lang w:val="en-GB"/>
        </w:rPr>
      </w:pPr>
      <w:r w:rsidRPr="00256040">
        <w:rPr>
          <w:rFonts w:ascii="Garamond" w:hAnsi="Garamond" w:cs="Arial"/>
          <w:i/>
          <w:sz w:val="24"/>
        </w:rPr>
        <w:t>Power conferred on:</w:t>
      </w:r>
      <w:r w:rsidRPr="00256040">
        <w:rPr>
          <w:rFonts w:ascii="Garamond" w:hAnsi="Garamond" w:cs="Arial"/>
          <w:i/>
          <w:sz w:val="24"/>
        </w:rPr>
        <w:tab/>
      </w:r>
      <w:r w:rsidRPr="00256040">
        <w:rPr>
          <w:rFonts w:ascii="Garamond" w:hAnsi="Garamond" w:cs="Arial"/>
          <w:i/>
          <w:sz w:val="24"/>
          <w:lang w:val="en-GB"/>
        </w:rPr>
        <w:t>(1) The Northern Ireland Assembly, and (2) the Outgoing Speaker or Acting Speaker of the Northern Ireland Assembly</w:t>
      </w:r>
    </w:p>
    <w:p w:rsidR="0074732F" w:rsidRPr="00256040" w:rsidRDefault="0074732F" w:rsidP="00256040">
      <w:pPr>
        <w:pStyle w:val="ListParagraph"/>
        <w:autoSpaceDE w:val="0"/>
        <w:autoSpaceDN w:val="0"/>
        <w:adjustRightInd w:val="0"/>
        <w:ind w:left="2880" w:hanging="2160"/>
        <w:rPr>
          <w:rFonts w:ascii="Garamond" w:hAnsi="Garamond" w:cs="Arial"/>
          <w:i/>
          <w:sz w:val="24"/>
          <w:lang w:val="en-GB"/>
        </w:rPr>
      </w:pPr>
      <w:r w:rsidRPr="00256040">
        <w:rPr>
          <w:rFonts w:ascii="Garamond" w:hAnsi="Garamond" w:cs="Arial"/>
          <w:i/>
          <w:sz w:val="24"/>
        </w:rPr>
        <w:t>Power exercisable by:</w:t>
      </w:r>
      <w:r w:rsidRPr="00256040">
        <w:rPr>
          <w:rFonts w:ascii="Garamond" w:hAnsi="Garamond" w:cs="Arial"/>
          <w:i/>
          <w:sz w:val="24"/>
        </w:rPr>
        <w:tab/>
      </w:r>
      <w:r w:rsidRPr="00256040">
        <w:rPr>
          <w:rFonts w:ascii="Garamond" w:hAnsi="Garamond" w:cs="Arial"/>
          <w:i/>
          <w:sz w:val="24"/>
          <w:lang w:val="en-GB"/>
        </w:rPr>
        <w:t>(1) Resolution of the Northern Ireland Assembly, and (2) no procedure</w:t>
      </w:r>
    </w:p>
    <w:p w:rsidR="0074732F" w:rsidRPr="00256040" w:rsidRDefault="0074732F" w:rsidP="00256040">
      <w:pPr>
        <w:pStyle w:val="ListParagraph"/>
        <w:autoSpaceDE w:val="0"/>
        <w:autoSpaceDN w:val="0"/>
        <w:adjustRightInd w:val="0"/>
        <w:ind w:left="0" w:firstLine="720"/>
        <w:rPr>
          <w:rFonts w:ascii="Garamond" w:hAnsi="Garamond" w:cs="Arial"/>
          <w:sz w:val="24"/>
        </w:rPr>
      </w:pPr>
      <w:r w:rsidRPr="00256040">
        <w:rPr>
          <w:rFonts w:ascii="Garamond" w:hAnsi="Garamond" w:cs="Arial"/>
          <w:i/>
          <w:sz w:val="24"/>
        </w:rPr>
        <w:t>Parliamentary Procedure:</w:t>
      </w:r>
      <w:r w:rsidRPr="00256040">
        <w:rPr>
          <w:rFonts w:ascii="Garamond" w:hAnsi="Garamond" w:cs="Arial"/>
          <w:i/>
          <w:sz w:val="24"/>
        </w:rPr>
        <w:tab/>
        <w:t>No procedure</w:t>
      </w:r>
    </w:p>
    <w:p w:rsidR="0074732F" w:rsidRPr="00256040" w:rsidRDefault="0074732F" w:rsidP="0074732F">
      <w:pPr>
        <w:jc w:val="both"/>
        <w:rPr>
          <w:rFonts w:ascii="Garamond" w:hAnsi="Garamond"/>
          <w:b/>
          <w:szCs w:val="24"/>
        </w:rPr>
      </w:pPr>
    </w:p>
    <w:p w:rsidR="0074732F" w:rsidRPr="00256040" w:rsidRDefault="0074732F" w:rsidP="00DF405A">
      <w:pPr>
        <w:ind w:firstLine="360"/>
        <w:jc w:val="both"/>
        <w:rPr>
          <w:rFonts w:ascii="Garamond" w:hAnsi="Garamond"/>
          <w:b/>
        </w:rPr>
      </w:pPr>
      <w:r w:rsidRPr="00256040">
        <w:rPr>
          <w:rFonts w:ascii="Garamond" w:hAnsi="Garamond"/>
          <w:b/>
        </w:rPr>
        <w:t>Introduction</w:t>
      </w:r>
    </w:p>
    <w:p w:rsidR="0074732F" w:rsidRPr="00256040" w:rsidRDefault="0074732F" w:rsidP="0074732F">
      <w:pPr>
        <w:numPr>
          <w:ilvl w:val="0"/>
          <w:numId w:val="1"/>
        </w:numPr>
        <w:spacing w:after="0" w:line="240" w:lineRule="auto"/>
        <w:jc w:val="both"/>
        <w:rPr>
          <w:rFonts w:ascii="Garamond" w:hAnsi="Garamond"/>
          <w:b/>
        </w:rPr>
      </w:pPr>
      <w:r w:rsidRPr="00256040">
        <w:rPr>
          <w:rFonts w:ascii="Garamond" w:hAnsi="Garamond"/>
        </w:rPr>
        <w:t xml:space="preserve">Clause 8 </w:t>
      </w:r>
      <w:r w:rsidR="0054557F">
        <w:rPr>
          <w:rFonts w:ascii="Garamond" w:hAnsi="Garamond"/>
        </w:rPr>
        <w:t xml:space="preserve">creates a new </w:t>
      </w:r>
      <w:r w:rsidR="003A394E">
        <w:rPr>
          <w:rFonts w:ascii="Garamond" w:hAnsi="Garamond"/>
        </w:rPr>
        <w:t>section</w:t>
      </w:r>
      <w:r w:rsidR="0054557F">
        <w:rPr>
          <w:rFonts w:ascii="Garamond" w:hAnsi="Garamond"/>
        </w:rPr>
        <w:t xml:space="preserve"> 40A in the Northern Ireland Act 1998, which </w:t>
      </w:r>
      <w:r w:rsidRPr="00256040">
        <w:rPr>
          <w:rFonts w:ascii="Garamond" w:hAnsi="Garamond"/>
        </w:rPr>
        <w:t xml:space="preserve">establishes a new undertaking to be taken by Members of the Legislative Assembly (“MLAs”) as a condition of their participation in proceedings of the Assembly and their having any of the other rights and privileges enjoyed by members of the Assembly who have taken their seats.  Subsection (2) </w:t>
      </w:r>
      <w:r w:rsidR="0054557F">
        <w:rPr>
          <w:rFonts w:ascii="Garamond" w:hAnsi="Garamond"/>
        </w:rPr>
        <w:t xml:space="preserve">of clause 40A </w:t>
      </w:r>
      <w:r w:rsidRPr="00256040">
        <w:rPr>
          <w:rFonts w:ascii="Garamond" w:hAnsi="Garamond"/>
        </w:rPr>
        <w:t xml:space="preserve">states that the procedure for giving the undertaking shall be set out in </w:t>
      </w:r>
      <w:r w:rsidR="009C7172">
        <w:rPr>
          <w:rFonts w:ascii="Garamond" w:hAnsi="Garamond"/>
        </w:rPr>
        <w:t>Assembly</w:t>
      </w:r>
      <w:r w:rsidR="009C7172" w:rsidRPr="00256040">
        <w:rPr>
          <w:rFonts w:ascii="Garamond" w:hAnsi="Garamond"/>
        </w:rPr>
        <w:t xml:space="preserve"> </w:t>
      </w:r>
      <w:r w:rsidRPr="00256040">
        <w:rPr>
          <w:rFonts w:ascii="Garamond" w:hAnsi="Garamond"/>
        </w:rPr>
        <w:t xml:space="preserve">standing orders. </w:t>
      </w:r>
    </w:p>
    <w:p w:rsidR="0074732F" w:rsidRPr="00256040" w:rsidRDefault="0074732F" w:rsidP="0074732F">
      <w:pPr>
        <w:spacing w:after="0" w:line="240" w:lineRule="auto"/>
        <w:ind w:left="720"/>
        <w:jc w:val="both"/>
        <w:rPr>
          <w:rFonts w:ascii="Garamond" w:hAnsi="Garamond"/>
          <w:b/>
        </w:rPr>
      </w:pPr>
    </w:p>
    <w:p w:rsidR="0074732F" w:rsidRPr="00256040" w:rsidRDefault="0074732F" w:rsidP="009C066C">
      <w:pPr>
        <w:numPr>
          <w:ilvl w:val="0"/>
          <w:numId w:val="1"/>
        </w:numPr>
        <w:spacing w:after="0" w:line="240" w:lineRule="auto"/>
        <w:jc w:val="both"/>
        <w:rPr>
          <w:rFonts w:ascii="Garamond" w:hAnsi="Garamond"/>
          <w:b/>
        </w:rPr>
      </w:pPr>
      <w:r w:rsidRPr="00256040">
        <w:rPr>
          <w:rFonts w:ascii="Garamond" w:hAnsi="Garamond"/>
        </w:rPr>
        <w:t>However the</w:t>
      </w:r>
      <w:r w:rsidR="00B72507">
        <w:rPr>
          <w:rFonts w:ascii="Garamond" w:hAnsi="Garamond"/>
        </w:rPr>
        <w:t>re is insufficient time for the</w:t>
      </w:r>
      <w:r w:rsidRPr="00256040">
        <w:rPr>
          <w:rFonts w:ascii="Garamond" w:hAnsi="Garamond"/>
        </w:rPr>
        <w:t xml:space="preserve"> Assembly to </w:t>
      </w:r>
      <w:r w:rsidR="00B72507">
        <w:rPr>
          <w:rFonts w:ascii="Garamond" w:hAnsi="Garamond"/>
        </w:rPr>
        <w:t>set out</w:t>
      </w:r>
      <w:r w:rsidRPr="00256040">
        <w:rPr>
          <w:rFonts w:ascii="Garamond" w:hAnsi="Garamond"/>
        </w:rPr>
        <w:t xml:space="preserve"> this new process </w:t>
      </w:r>
      <w:r w:rsidR="00B72507">
        <w:rPr>
          <w:rFonts w:ascii="Garamond" w:hAnsi="Garamond"/>
        </w:rPr>
        <w:t xml:space="preserve">in its </w:t>
      </w:r>
      <w:r w:rsidR="000500B0">
        <w:rPr>
          <w:rFonts w:ascii="Garamond" w:hAnsi="Garamond"/>
        </w:rPr>
        <w:t>s</w:t>
      </w:r>
      <w:r w:rsidR="00B72507">
        <w:rPr>
          <w:rFonts w:ascii="Garamond" w:hAnsi="Garamond"/>
        </w:rPr>
        <w:t xml:space="preserve">tanding </w:t>
      </w:r>
      <w:r w:rsidR="000500B0">
        <w:rPr>
          <w:rFonts w:ascii="Garamond" w:hAnsi="Garamond"/>
        </w:rPr>
        <w:t>o</w:t>
      </w:r>
      <w:r w:rsidR="00B72507">
        <w:rPr>
          <w:rFonts w:ascii="Garamond" w:hAnsi="Garamond"/>
        </w:rPr>
        <w:t xml:space="preserve">rders </w:t>
      </w:r>
      <w:r w:rsidRPr="00256040">
        <w:rPr>
          <w:rFonts w:ascii="Garamond" w:hAnsi="Garamond"/>
        </w:rPr>
        <w:t xml:space="preserve">in time for the 2016 election.  </w:t>
      </w:r>
      <w:r w:rsidR="00B72507">
        <w:rPr>
          <w:rFonts w:ascii="Garamond" w:hAnsi="Garamond"/>
        </w:rPr>
        <w:t>Making t</w:t>
      </w:r>
      <w:r w:rsidRPr="00256040">
        <w:rPr>
          <w:rFonts w:ascii="Garamond" w:hAnsi="Garamond"/>
        </w:rPr>
        <w:t xml:space="preserve">ransitional provision </w:t>
      </w:r>
      <w:r w:rsidR="00B72507">
        <w:rPr>
          <w:rFonts w:ascii="Garamond" w:hAnsi="Garamond"/>
        </w:rPr>
        <w:t xml:space="preserve">through this Bill, in consultation with the Executive and Assembly, </w:t>
      </w:r>
      <w:r w:rsidRPr="00256040">
        <w:rPr>
          <w:rFonts w:ascii="Garamond" w:hAnsi="Garamond"/>
        </w:rPr>
        <w:t xml:space="preserve">is therefore </w:t>
      </w:r>
      <w:r w:rsidR="00B72507">
        <w:rPr>
          <w:rFonts w:ascii="Garamond" w:hAnsi="Garamond"/>
        </w:rPr>
        <w:t>a practical solution</w:t>
      </w:r>
      <w:r w:rsidRPr="00256040">
        <w:rPr>
          <w:rFonts w:ascii="Garamond" w:hAnsi="Garamond"/>
        </w:rPr>
        <w:t xml:space="preserve"> to ensure that a workable process is in place for MLAs elected at the 2016 election to take the new undertaking.  </w:t>
      </w:r>
      <w:r w:rsidR="00DF405A">
        <w:rPr>
          <w:rFonts w:ascii="Garamond" w:hAnsi="Garamond"/>
        </w:rPr>
        <w:t xml:space="preserve">Paragraph </w:t>
      </w:r>
      <w:r w:rsidRPr="00256040">
        <w:rPr>
          <w:rFonts w:ascii="Garamond" w:hAnsi="Garamond"/>
        </w:rPr>
        <w:t xml:space="preserve">2(2) of Schedule </w:t>
      </w:r>
      <w:r w:rsidR="000500B0">
        <w:rPr>
          <w:rFonts w:ascii="Garamond" w:hAnsi="Garamond"/>
        </w:rPr>
        <w:t xml:space="preserve">2 </w:t>
      </w:r>
      <w:r w:rsidRPr="00256040">
        <w:rPr>
          <w:rFonts w:ascii="Garamond" w:hAnsi="Garamond"/>
        </w:rPr>
        <w:t xml:space="preserve">states that the transitional procedure for MLAs taking the new undertaking will be determined by the person </w:t>
      </w:r>
      <w:r w:rsidR="000500B0">
        <w:rPr>
          <w:rFonts w:ascii="Garamond" w:hAnsi="Garamond"/>
        </w:rPr>
        <w:t>who</w:t>
      </w:r>
      <w:r w:rsidRPr="00256040">
        <w:rPr>
          <w:rFonts w:ascii="Garamond" w:hAnsi="Garamond"/>
        </w:rPr>
        <w:t xml:space="preserve"> under the Assembly’s standing </w:t>
      </w:r>
      <w:proofErr w:type="gramStart"/>
      <w:r w:rsidRPr="00256040">
        <w:rPr>
          <w:rFonts w:ascii="Garamond" w:hAnsi="Garamond"/>
        </w:rPr>
        <w:t>orders</w:t>
      </w:r>
      <w:r w:rsidR="000500B0">
        <w:rPr>
          <w:rFonts w:ascii="Garamond" w:hAnsi="Garamond"/>
        </w:rPr>
        <w:t>,</w:t>
      </w:r>
      <w:proofErr w:type="gramEnd"/>
      <w:r w:rsidRPr="00256040">
        <w:rPr>
          <w:rFonts w:ascii="Garamond" w:hAnsi="Garamond"/>
        </w:rPr>
        <w:t xml:space="preserve"> take</w:t>
      </w:r>
      <w:r w:rsidR="000500B0">
        <w:rPr>
          <w:rFonts w:ascii="Garamond" w:hAnsi="Garamond"/>
        </w:rPr>
        <w:t>s</w:t>
      </w:r>
      <w:r w:rsidRPr="00256040">
        <w:rPr>
          <w:rFonts w:ascii="Garamond" w:hAnsi="Garamond"/>
        </w:rPr>
        <w:t xml:space="preserve"> the chair at the first meeting of the new Assembly.  </w:t>
      </w:r>
    </w:p>
    <w:p w:rsidR="0074732F" w:rsidRPr="00256040" w:rsidRDefault="0074732F" w:rsidP="0074732F">
      <w:pPr>
        <w:spacing w:after="0" w:line="240" w:lineRule="auto"/>
        <w:ind w:left="720"/>
        <w:jc w:val="both"/>
        <w:rPr>
          <w:rFonts w:ascii="Garamond" w:hAnsi="Garamond"/>
          <w:b/>
        </w:rPr>
      </w:pPr>
    </w:p>
    <w:p w:rsidR="0074732F" w:rsidRPr="00256040" w:rsidRDefault="0074732F" w:rsidP="00DF405A">
      <w:pPr>
        <w:ind w:firstLine="360"/>
        <w:jc w:val="both"/>
        <w:rPr>
          <w:rFonts w:ascii="Garamond" w:hAnsi="Garamond"/>
          <w:b/>
        </w:rPr>
      </w:pPr>
      <w:r w:rsidRPr="00256040">
        <w:rPr>
          <w:rFonts w:ascii="Garamond" w:hAnsi="Garamond"/>
          <w:b/>
        </w:rPr>
        <w:t>Effect of the provision</w:t>
      </w:r>
    </w:p>
    <w:p w:rsidR="0074732F" w:rsidRPr="00BB7A1C" w:rsidRDefault="0074732F" w:rsidP="009C066C">
      <w:pPr>
        <w:numPr>
          <w:ilvl w:val="0"/>
          <w:numId w:val="1"/>
        </w:numPr>
        <w:spacing w:after="0" w:line="240" w:lineRule="auto"/>
        <w:jc w:val="both"/>
        <w:rPr>
          <w:rFonts w:ascii="Garamond" w:hAnsi="Garamond"/>
        </w:rPr>
      </w:pPr>
      <w:r w:rsidRPr="00256040">
        <w:rPr>
          <w:rFonts w:ascii="Garamond" w:hAnsi="Garamond"/>
        </w:rPr>
        <w:t xml:space="preserve"> </w:t>
      </w:r>
      <w:r w:rsidR="009C7172">
        <w:rPr>
          <w:rFonts w:ascii="Garamond" w:hAnsi="Garamond"/>
          <w:szCs w:val="24"/>
        </w:rPr>
        <w:t>S</w:t>
      </w:r>
      <w:r w:rsidRPr="00256040">
        <w:rPr>
          <w:rFonts w:ascii="Garamond" w:hAnsi="Garamond"/>
          <w:szCs w:val="24"/>
        </w:rPr>
        <w:t>ection 41(1) of the Northern Ireland Act 1998</w:t>
      </w:r>
      <w:r w:rsidR="009C066C">
        <w:rPr>
          <w:rFonts w:ascii="Garamond" w:hAnsi="Garamond"/>
          <w:szCs w:val="24"/>
        </w:rPr>
        <w:t xml:space="preserve"> sets out</w:t>
      </w:r>
      <w:r w:rsidRPr="009C066C">
        <w:rPr>
          <w:rFonts w:ascii="Garamond" w:hAnsi="Garamond"/>
          <w:szCs w:val="24"/>
        </w:rPr>
        <w:t xml:space="preserve"> that the Assembly has the power to regulate its proceedings by standing orders.</w:t>
      </w:r>
      <w:r w:rsidRPr="009C066C">
        <w:rPr>
          <w:rFonts w:ascii="Garamond" w:hAnsi="Garamond"/>
        </w:rPr>
        <w:t xml:space="preserve">  </w:t>
      </w:r>
      <w:r w:rsidR="009C7172" w:rsidRPr="009C066C">
        <w:rPr>
          <w:rFonts w:ascii="Garamond" w:hAnsi="Garamond"/>
        </w:rPr>
        <w:t xml:space="preserve">Subsection </w:t>
      </w:r>
      <w:r w:rsidR="00FB349E" w:rsidRPr="009C066C">
        <w:rPr>
          <w:rFonts w:ascii="Garamond" w:hAnsi="Garamond"/>
        </w:rPr>
        <w:t>(</w:t>
      </w:r>
      <w:r w:rsidR="009C7172" w:rsidRPr="009C066C">
        <w:rPr>
          <w:rFonts w:ascii="Garamond" w:hAnsi="Garamond"/>
        </w:rPr>
        <w:t>2</w:t>
      </w:r>
      <w:r w:rsidR="00FB349E" w:rsidRPr="005D6688">
        <w:rPr>
          <w:rFonts w:ascii="Garamond" w:hAnsi="Garamond"/>
        </w:rPr>
        <w:t>)</w:t>
      </w:r>
      <w:r w:rsidR="009C7172" w:rsidRPr="005D6688">
        <w:rPr>
          <w:rFonts w:ascii="Garamond" w:hAnsi="Garamond"/>
        </w:rPr>
        <w:t xml:space="preserve"> of clause 40A clarifies that this power applies in relation to the procedure for taking the MLA un</w:t>
      </w:r>
      <w:r w:rsidR="009C7172" w:rsidRPr="00BB7A1C">
        <w:rPr>
          <w:rFonts w:ascii="Garamond" w:hAnsi="Garamond"/>
        </w:rPr>
        <w:t>dertaking.</w:t>
      </w:r>
    </w:p>
    <w:p w:rsidR="0074732F" w:rsidRPr="00256040" w:rsidRDefault="0074732F" w:rsidP="0074732F">
      <w:pPr>
        <w:spacing w:after="0" w:line="240" w:lineRule="auto"/>
        <w:ind w:left="720"/>
        <w:jc w:val="both"/>
        <w:rPr>
          <w:rFonts w:ascii="Garamond" w:hAnsi="Garamond"/>
        </w:rPr>
      </w:pPr>
    </w:p>
    <w:p w:rsidR="0074732F" w:rsidRPr="00256040" w:rsidRDefault="0074732F" w:rsidP="0074732F">
      <w:pPr>
        <w:numPr>
          <w:ilvl w:val="0"/>
          <w:numId w:val="1"/>
        </w:numPr>
        <w:spacing w:after="0" w:line="240" w:lineRule="auto"/>
        <w:jc w:val="both"/>
        <w:rPr>
          <w:rFonts w:ascii="Garamond" w:hAnsi="Garamond"/>
        </w:rPr>
      </w:pPr>
      <w:r w:rsidRPr="00256040">
        <w:rPr>
          <w:rFonts w:ascii="Garamond" w:hAnsi="Garamond"/>
        </w:rPr>
        <w:t xml:space="preserve">The effect of </w:t>
      </w:r>
      <w:r w:rsidR="00DF405A">
        <w:rPr>
          <w:rFonts w:ascii="Garamond" w:hAnsi="Garamond"/>
        </w:rPr>
        <w:t>paragraph</w:t>
      </w:r>
      <w:r w:rsidRPr="00256040">
        <w:rPr>
          <w:rFonts w:ascii="Garamond" w:hAnsi="Garamond"/>
        </w:rPr>
        <w:t xml:space="preserve"> 2(2)</w:t>
      </w:r>
      <w:r w:rsidR="00DF405A">
        <w:rPr>
          <w:rFonts w:ascii="Garamond" w:hAnsi="Garamond"/>
        </w:rPr>
        <w:t xml:space="preserve"> of Schedule</w:t>
      </w:r>
      <w:r w:rsidR="000500B0">
        <w:rPr>
          <w:rFonts w:ascii="Garamond" w:hAnsi="Garamond"/>
        </w:rPr>
        <w:t xml:space="preserve"> 2</w:t>
      </w:r>
      <w:r w:rsidRPr="00256040">
        <w:rPr>
          <w:rFonts w:ascii="Garamond" w:hAnsi="Garamond"/>
        </w:rPr>
        <w:t xml:space="preserve">, when read in conjunction with Assembly standing order 3 (which sets out the procedure for the first meeting of a new Assembly), is that either the outgoing Speaker of the Assembly or the </w:t>
      </w:r>
      <w:r w:rsidR="0054557F">
        <w:rPr>
          <w:rFonts w:ascii="Garamond" w:hAnsi="Garamond"/>
        </w:rPr>
        <w:t>a</w:t>
      </w:r>
      <w:r w:rsidRPr="00256040">
        <w:rPr>
          <w:rFonts w:ascii="Garamond" w:hAnsi="Garamond"/>
        </w:rPr>
        <w:t xml:space="preserve">cting Speaker (the oldest member present at the first meeting of the Assembly) should the outgoing </w:t>
      </w:r>
      <w:r w:rsidR="009C7172">
        <w:rPr>
          <w:rFonts w:ascii="Garamond" w:hAnsi="Garamond"/>
        </w:rPr>
        <w:t>S</w:t>
      </w:r>
      <w:r w:rsidRPr="00256040">
        <w:rPr>
          <w:rFonts w:ascii="Garamond" w:hAnsi="Garamond"/>
        </w:rPr>
        <w:t xml:space="preserve">peaker be unable to act, will have responsibility for deciding the transitional procedure.  </w:t>
      </w:r>
    </w:p>
    <w:p w:rsidR="0074732F" w:rsidRPr="00256040" w:rsidRDefault="0074732F" w:rsidP="0074732F">
      <w:pPr>
        <w:spacing w:after="0" w:line="240" w:lineRule="auto"/>
        <w:ind w:left="720"/>
        <w:jc w:val="both"/>
        <w:rPr>
          <w:rFonts w:ascii="Garamond" w:hAnsi="Garamond"/>
        </w:rPr>
      </w:pPr>
    </w:p>
    <w:p w:rsidR="0074732F" w:rsidRPr="00256040" w:rsidRDefault="0074732F" w:rsidP="0074732F">
      <w:pPr>
        <w:numPr>
          <w:ilvl w:val="0"/>
          <w:numId w:val="1"/>
        </w:numPr>
        <w:spacing w:after="0" w:line="240" w:lineRule="auto"/>
        <w:jc w:val="both"/>
        <w:rPr>
          <w:rFonts w:ascii="Garamond" w:hAnsi="Garamond"/>
        </w:rPr>
      </w:pPr>
      <w:r w:rsidRPr="00256040">
        <w:rPr>
          <w:rFonts w:ascii="Garamond" w:hAnsi="Garamond"/>
        </w:rPr>
        <w:t xml:space="preserve">The transitional procedure and authority under </w:t>
      </w:r>
      <w:r w:rsidR="00DF405A">
        <w:rPr>
          <w:rFonts w:ascii="Garamond" w:hAnsi="Garamond"/>
        </w:rPr>
        <w:t>paragraph</w:t>
      </w:r>
      <w:r w:rsidRPr="00256040">
        <w:rPr>
          <w:rFonts w:ascii="Garamond" w:hAnsi="Garamond"/>
        </w:rPr>
        <w:t xml:space="preserve"> 2(2) of Schedule </w:t>
      </w:r>
      <w:r w:rsidR="000500B0">
        <w:rPr>
          <w:rFonts w:ascii="Garamond" w:hAnsi="Garamond"/>
        </w:rPr>
        <w:t xml:space="preserve">2 </w:t>
      </w:r>
      <w:r w:rsidRPr="00256040">
        <w:rPr>
          <w:rFonts w:ascii="Garamond" w:hAnsi="Garamond"/>
        </w:rPr>
        <w:t xml:space="preserve">relate to the 2016 election only.  Thereafter the provisions of </w:t>
      </w:r>
      <w:r w:rsidR="0054557F">
        <w:rPr>
          <w:rFonts w:ascii="Garamond" w:hAnsi="Garamond"/>
        </w:rPr>
        <w:t xml:space="preserve">subsection </w:t>
      </w:r>
      <w:r w:rsidR="00442C8C">
        <w:rPr>
          <w:rFonts w:ascii="Garamond" w:hAnsi="Garamond"/>
        </w:rPr>
        <w:t>(</w:t>
      </w:r>
      <w:r w:rsidR="0054557F">
        <w:rPr>
          <w:rFonts w:ascii="Garamond" w:hAnsi="Garamond"/>
        </w:rPr>
        <w:t>2</w:t>
      </w:r>
      <w:r w:rsidR="00442C8C">
        <w:rPr>
          <w:rFonts w:ascii="Garamond" w:hAnsi="Garamond"/>
        </w:rPr>
        <w:t>)</w:t>
      </w:r>
      <w:r w:rsidR="0054557F">
        <w:rPr>
          <w:rFonts w:ascii="Garamond" w:hAnsi="Garamond"/>
        </w:rPr>
        <w:t xml:space="preserve"> of the new clause 40A</w:t>
      </w:r>
      <w:r w:rsidRPr="00256040">
        <w:rPr>
          <w:rFonts w:ascii="Garamond" w:hAnsi="Garamond"/>
        </w:rPr>
        <w:t xml:space="preserve"> will have effect, and the Assembly will </w:t>
      </w:r>
      <w:r w:rsidR="00B72507">
        <w:rPr>
          <w:rFonts w:ascii="Garamond" w:hAnsi="Garamond"/>
        </w:rPr>
        <w:t>determine</w:t>
      </w:r>
      <w:r w:rsidRPr="00256040">
        <w:rPr>
          <w:rFonts w:ascii="Garamond" w:hAnsi="Garamond"/>
        </w:rPr>
        <w:t xml:space="preserve"> the process</w:t>
      </w:r>
      <w:r w:rsidR="00B72507">
        <w:rPr>
          <w:rFonts w:ascii="Garamond" w:hAnsi="Garamond"/>
        </w:rPr>
        <w:t xml:space="preserve"> through a change in </w:t>
      </w:r>
      <w:r w:rsidR="009C7172">
        <w:rPr>
          <w:rFonts w:ascii="Garamond" w:hAnsi="Garamond"/>
        </w:rPr>
        <w:t>s</w:t>
      </w:r>
      <w:r w:rsidR="00B72507">
        <w:rPr>
          <w:rFonts w:ascii="Garamond" w:hAnsi="Garamond"/>
        </w:rPr>
        <w:t xml:space="preserve">tanding </w:t>
      </w:r>
      <w:r w:rsidR="009C7172">
        <w:rPr>
          <w:rFonts w:ascii="Garamond" w:hAnsi="Garamond"/>
        </w:rPr>
        <w:t>o</w:t>
      </w:r>
      <w:r w:rsidR="00B72507">
        <w:rPr>
          <w:rFonts w:ascii="Garamond" w:hAnsi="Garamond"/>
        </w:rPr>
        <w:t>rders</w:t>
      </w:r>
      <w:r w:rsidRPr="00256040">
        <w:rPr>
          <w:rFonts w:ascii="Garamond" w:hAnsi="Garamond"/>
        </w:rPr>
        <w:t xml:space="preserve">.  </w:t>
      </w:r>
    </w:p>
    <w:p w:rsidR="0074732F" w:rsidRPr="00256040" w:rsidRDefault="0074732F" w:rsidP="0074732F">
      <w:pPr>
        <w:spacing w:after="0" w:line="240" w:lineRule="auto"/>
        <w:ind w:left="720"/>
        <w:jc w:val="both"/>
        <w:rPr>
          <w:rFonts w:ascii="Garamond" w:hAnsi="Garamond"/>
        </w:rPr>
      </w:pPr>
    </w:p>
    <w:p w:rsidR="0074732F" w:rsidRPr="00256040" w:rsidRDefault="0074732F" w:rsidP="00DF405A">
      <w:pPr>
        <w:ind w:firstLine="360"/>
        <w:jc w:val="both"/>
        <w:rPr>
          <w:rFonts w:ascii="Garamond" w:hAnsi="Garamond"/>
          <w:b/>
        </w:rPr>
      </w:pPr>
      <w:r w:rsidRPr="00256040">
        <w:rPr>
          <w:rFonts w:ascii="Garamond" w:hAnsi="Garamond"/>
          <w:b/>
        </w:rPr>
        <w:t>Justification of the Delegation</w:t>
      </w:r>
    </w:p>
    <w:p w:rsidR="0074732F" w:rsidRPr="00256040" w:rsidRDefault="0054557F" w:rsidP="0074732F">
      <w:pPr>
        <w:numPr>
          <w:ilvl w:val="0"/>
          <w:numId w:val="1"/>
        </w:numPr>
        <w:autoSpaceDE w:val="0"/>
        <w:autoSpaceDN w:val="0"/>
        <w:adjustRightInd w:val="0"/>
        <w:spacing w:after="0" w:line="240" w:lineRule="auto"/>
        <w:ind w:right="26"/>
        <w:jc w:val="both"/>
        <w:rPr>
          <w:rFonts w:ascii="Garamond" w:hAnsi="Garamond"/>
          <w:b/>
          <w:i/>
          <w:szCs w:val="24"/>
        </w:rPr>
      </w:pPr>
      <w:r>
        <w:rPr>
          <w:rFonts w:ascii="Garamond" w:hAnsi="Garamond"/>
        </w:rPr>
        <w:t xml:space="preserve">Subsection </w:t>
      </w:r>
      <w:r w:rsidR="00442C8C">
        <w:rPr>
          <w:rFonts w:ascii="Garamond" w:hAnsi="Garamond"/>
        </w:rPr>
        <w:t>(</w:t>
      </w:r>
      <w:r>
        <w:rPr>
          <w:rFonts w:ascii="Garamond" w:hAnsi="Garamond"/>
        </w:rPr>
        <w:t>2</w:t>
      </w:r>
      <w:r w:rsidR="00442C8C">
        <w:rPr>
          <w:rFonts w:ascii="Garamond" w:hAnsi="Garamond"/>
        </w:rPr>
        <w:t>)</w:t>
      </w:r>
      <w:r>
        <w:rPr>
          <w:rFonts w:ascii="Garamond" w:hAnsi="Garamond"/>
        </w:rPr>
        <w:t xml:space="preserve"> of clause 40A</w:t>
      </w:r>
      <w:r w:rsidRPr="00256040">
        <w:rPr>
          <w:rFonts w:ascii="Garamond" w:hAnsi="Garamond"/>
        </w:rPr>
        <w:t xml:space="preserve"> </w:t>
      </w:r>
      <w:r w:rsidR="0074732F" w:rsidRPr="00256040">
        <w:rPr>
          <w:rFonts w:ascii="Garamond" w:hAnsi="Garamond"/>
          <w:szCs w:val="24"/>
        </w:rPr>
        <w:t>is not a new delegation of power – the Assembly already has the power under section 41(1) of the Northern Ireland Act 1998 to regulate its proceedings by standing orders.  It is appropriate and desirable for the Assembly to set it</w:t>
      </w:r>
      <w:r w:rsidR="006E3B41">
        <w:rPr>
          <w:rFonts w:ascii="Garamond" w:hAnsi="Garamond"/>
          <w:szCs w:val="24"/>
        </w:rPr>
        <w:t>s</w:t>
      </w:r>
      <w:r w:rsidR="0074732F" w:rsidRPr="00256040">
        <w:rPr>
          <w:rFonts w:ascii="Garamond" w:hAnsi="Garamond"/>
          <w:szCs w:val="24"/>
        </w:rPr>
        <w:t xml:space="preserve"> own process in this instance, rather than this being provided in legislation.  The scope of delegation is in any case narrow.  </w:t>
      </w:r>
    </w:p>
    <w:p w:rsidR="0074732F" w:rsidRPr="00256040" w:rsidRDefault="0074732F" w:rsidP="0074732F">
      <w:pPr>
        <w:autoSpaceDE w:val="0"/>
        <w:autoSpaceDN w:val="0"/>
        <w:adjustRightInd w:val="0"/>
        <w:spacing w:after="0" w:line="240" w:lineRule="auto"/>
        <w:ind w:left="720" w:right="26"/>
        <w:jc w:val="both"/>
        <w:rPr>
          <w:rFonts w:ascii="Garamond" w:hAnsi="Garamond"/>
          <w:b/>
          <w:i/>
          <w:szCs w:val="24"/>
        </w:rPr>
      </w:pPr>
    </w:p>
    <w:p w:rsidR="0074732F" w:rsidRPr="00256040" w:rsidRDefault="0074732F" w:rsidP="0074732F">
      <w:pPr>
        <w:numPr>
          <w:ilvl w:val="0"/>
          <w:numId w:val="1"/>
        </w:numPr>
        <w:autoSpaceDE w:val="0"/>
        <w:autoSpaceDN w:val="0"/>
        <w:adjustRightInd w:val="0"/>
        <w:spacing w:after="0" w:line="240" w:lineRule="auto"/>
        <w:ind w:right="26"/>
        <w:jc w:val="both"/>
        <w:rPr>
          <w:rFonts w:ascii="Garamond" w:hAnsi="Garamond"/>
          <w:szCs w:val="24"/>
        </w:rPr>
      </w:pPr>
      <w:r w:rsidRPr="00256040">
        <w:rPr>
          <w:rFonts w:ascii="Garamond" w:hAnsi="Garamond"/>
          <w:szCs w:val="24"/>
        </w:rPr>
        <w:t xml:space="preserve">The conferral of power to the outgoing Speaker (or acting Speaker) alone at </w:t>
      </w:r>
      <w:r w:rsidR="00DF405A">
        <w:rPr>
          <w:rFonts w:ascii="Garamond" w:hAnsi="Garamond"/>
          <w:szCs w:val="24"/>
        </w:rPr>
        <w:t xml:space="preserve">paragraph </w:t>
      </w:r>
      <w:r w:rsidRPr="00256040">
        <w:rPr>
          <w:rFonts w:ascii="Garamond" w:hAnsi="Garamond"/>
          <w:szCs w:val="24"/>
        </w:rPr>
        <w:t>2(2) of Schedule</w:t>
      </w:r>
      <w:r w:rsidR="000500B0">
        <w:rPr>
          <w:rFonts w:ascii="Garamond" w:hAnsi="Garamond"/>
          <w:szCs w:val="24"/>
        </w:rPr>
        <w:t xml:space="preserve"> 2</w:t>
      </w:r>
      <w:r w:rsidRPr="00256040">
        <w:rPr>
          <w:rFonts w:ascii="Garamond" w:hAnsi="Garamond"/>
          <w:szCs w:val="24"/>
        </w:rPr>
        <w:t xml:space="preserve"> is required as a practical measure to ensure that a workable process is in place in time for MLAs elected at the 2016 election.  For the same reasons as outlined above, it is desirable to delegate this power to the outgoing or acting Speaker as a representative of the Assembly so that the Assembly can (so far as possible) manage its own procedures.  As a safeguard, </w:t>
      </w:r>
      <w:r w:rsidR="0054557F">
        <w:rPr>
          <w:rFonts w:ascii="Garamond" w:hAnsi="Garamond"/>
          <w:szCs w:val="24"/>
        </w:rPr>
        <w:t>sub-</w:t>
      </w:r>
      <w:r w:rsidR="00DF405A">
        <w:rPr>
          <w:rFonts w:ascii="Garamond" w:hAnsi="Garamond"/>
        </w:rPr>
        <w:t xml:space="preserve">paragraphs </w:t>
      </w:r>
      <w:r w:rsidR="003A394E">
        <w:rPr>
          <w:rFonts w:ascii="Garamond" w:hAnsi="Garamond"/>
        </w:rPr>
        <w:t>(</w:t>
      </w:r>
      <w:r w:rsidRPr="00256040">
        <w:rPr>
          <w:rFonts w:ascii="Garamond" w:hAnsi="Garamond"/>
        </w:rPr>
        <w:t>3</w:t>
      </w:r>
      <w:r w:rsidR="003A394E">
        <w:rPr>
          <w:rFonts w:ascii="Garamond" w:hAnsi="Garamond"/>
        </w:rPr>
        <w:t>)</w:t>
      </w:r>
      <w:r w:rsidRPr="00256040">
        <w:rPr>
          <w:rFonts w:ascii="Garamond" w:hAnsi="Garamond"/>
        </w:rPr>
        <w:t xml:space="preserve">, </w:t>
      </w:r>
      <w:r w:rsidR="003A394E">
        <w:rPr>
          <w:rFonts w:ascii="Garamond" w:hAnsi="Garamond"/>
        </w:rPr>
        <w:t>(</w:t>
      </w:r>
      <w:r w:rsidRPr="00256040">
        <w:rPr>
          <w:rFonts w:ascii="Garamond" w:hAnsi="Garamond"/>
        </w:rPr>
        <w:t>4</w:t>
      </w:r>
      <w:r w:rsidR="003A394E">
        <w:rPr>
          <w:rFonts w:ascii="Garamond" w:hAnsi="Garamond"/>
        </w:rPr>
        <w:t>)</w:t>
      </w:r>
      <w:r w:rsidRPr="00256040">
        <w:rPr>
          <w:rFonts w:ascii="Garamond" w:hAnsi="Garamond"/>
        </w:rPr>
        <w:t xml:space="preserve"> and </w:t>
      </w:r>
      <w:r w:rsidR="003A394E">
        <w:rPr>
          <w:rFonts w:ascii="Garamond" w:hAnsi="Garamond"/>
        </w:rPr>
        <w:t>(</w:t>
      </w:r>
      <w:r w:rsidRPr="00256040">
        <w:rPr>
          <w:rFonts w:ascii="Garamond" w:hAnsi="Garamond"/>
        </w:rPr>
        <w:t>5</w:t>
      </w:r>
      <w:r w:rsidR="003A394E">
        <w:rPr>
          <w:rFonts w:ascii="Garamond" w:hAnsi="Garamond"/>
        </w:rPr>
        <w:t>)</w:t>
      </w:r>
      <w:r w:rsidRPr="00256040">
        <w:rPr>
          <w:rFonts w:ascii="Garamond" w:hAnsi="Garamond"/>
        </w:rPr>
        <w:t xml:space="preserve"> of </w:t>
      </w:r>
      <w:r w:rsidR="009C7172">
        <w:rPr>
          <w:rFonts w:ascii="Garamond" w:hAnsi="Garamond"/>
        </w:rPr>
        <w:t>paragraph 2 of</w:t>
      </w:r>
      <w:r w:rsidR="0054557F">
        <w:rPr>
          <w:rFonts w:ascii="Garamond" w:hAnsi="Garamond"/>
        </w:rPr>
        <w:t xml:space="preserve"> </w:t>
      </w:r>
      <w:r w:rsidRPr="00256040">
        <w:rPr>
          <w:rFonts w:ascii="Garamond" w:hAnsi="Garamond"/>
        </w:rPr>
        <w:t>Schedule</w:t>
      </w:r>
      <w:r w:rsidR="000500B0">
        <w:rPr>
          <w:rFonts w:ascii="Garamond" w:hAnsi="Garamond"/>
        </w:rPr>
        <w:t xml:space="preserve"> 2</w:t>
      </w:r>
      <w:r w:rsidRPr="00256040">
        <w:rPr>
          <w:rFonts w:ascii="Garamond" w:hAnsi="Garamond"/>
        </w:rPr>
        <w:t xml:space="preserve"> set out specific requirements for the transitional procedure to be implemented. </w:t>
      </w:r>
      <w:r w:rsidRPr="00256040">
        <w:rPr>
          <w:rFonts w:ascii="Garamond" w:hAnsi="Garamond"/>
          <w:szCs w:val="24"/>
        </w:rPr>
        <w:t xml:space="preserve">  </w:t>
      </w:r>
    </w:p>
    <w:p w:rsidR="0074732F" w:rsidRPr="00256040" w:rsidRDefault="0074732F" w:rsidP="0074732F">
      <w:pPr>
        <w:autoSpaceDE w:val="0"/>
        <w:autoSpaceDN w:val="0"/>
        <w:adjustRightInd w:val="0"/>
        <w:spacing w:after="0" w:line="240" w:lineRule="auto"/>
        <w:ind w:left="720" w:right="26"/>
        <w:jc w:val="both"/>
        <w:rPr>
          <w:rFonts w:ascii="Garamond" w:hAnsi="Garamond"/>
          <w:b/>
          <w:i/>
          <w:szCs w:val="24"/>
        </w:rPr>
      </w:pPr>
    </w:p>
    <w:p w:rsidR="0074732F" w:rsidRPr="00256040" w:rsidRDefault="0074732F" w:rsidP="00DF405A">
      <w:pPr>
        <w:ind w:firstLine="360"/>
        <w:jc w:val="both"/>
        <w:rPr>
          <w:rFonts w:ascii="Garamond" w:hAnsi="Garamond"/>
          <w:b/>
          <w:szCs w:val="24"/>
        </w:rPr>
      </w:pPr>
      <w:r w:rsidRPr="00256040">
        <w:rPr>
          <w:rFonts w:ascii="Garamond" w:hAnsi="Garamond"/>
          <w:b/>
          <w:szCs w:val="24"/>
        </w:rPr>
        <w:t>Justification of the level of Parliamentary Scrutiny</w:t>
      </w:r>
    </w:p>
    <w:p w:rsidR="0074732F" w:rsidRPr="00256040" w:rsidRDefault="0074732F" w:rsidP="0074732F">
      <w:pPr>
        <w:pStyle w:val="ListParagraph"/>
        <w:numPr>
          <w:ilvl w:val="0"/>
          <w:numId w:val="1"/>
        </w:numPr>
        <w:autoSpaceDE w:val="0"/>
        <w:autoSpaceDN w:val="0"/>
        <w:adjustRightInd w:val="0"/>
        <w:jc w:val="both"/>
        <w:rPr>
          <w:rFonts w:ascii="Garamond" w:hAnsi="Garamond" w:cs="Arial"/>
          <w:sz w:val="24"/>
        </w:rPr>
      </w:pPr>
      <w:r w:rsidRPr="00256040">
        <w:rPr>
          <w:rFonts w:ascii="Garamond" w:hAnsi="Garamond" w:cs="Arial"/>
          <w:sz w:val="24"/>
          <w:lang w:val="en-GB"/>
        </w:rPr>
        <w:t>The standing orders of the Northern Ireland Assembly are not</w:t>
      </w:r>
      <w:r w:rsidRPr="00256040">
        <w:rPr>
          <w:rFonts w:ascii="Garamond" w:hAnsi="Garamond" w:cs="Arial"/>
          <w:sz w:val="24"/>
        </w:rPr>
        <w:t xml:space="preserve"> subject to Parliamentary procedure. </w:t>
      </w:r>
      <w:r w:rsidRPr="00256040">
        <w:rPr>
          <w:rFonts w:ascii="Garamond" w:hAnsi="Garamond" w:cs="Arial"/>
          <w:sz w:val="24"/>
          <w:lang w:val="en-GB"/>
        </w:rPr>
        <w:t xml:space="preserve"> Similarly, it would not be necessary or appropriate for the transitional process set by the outgoing or acting Speaker to be subject to Parliamentary scrutiny.</w:t>
      </w:r>
    </w:p>
    <w:p w:rsidR="0074732F" w:rsidRDefault="0074732F" w:rsidP="007047D9">
      <w:pPr>
        <w:jc w:val="both"/>
        <w:rPr>
          <w:rFonts w:ascii="Garamond" w:hAnsi="Garamond"/>
          <w:b/>
          <w:bCs/>
          <w:szCs w:val="24"/>
          <w:u w:val="single"/>
        </w:rPr>
      </w:pPr>
    </w:p>
    <w:p w:rsidR="00803A7D" w:rsidRPr="00803A7D" w:rsidRDefault="00803A7D" w:rsidP="00996225">
      <w:pPr>
        <w:ind w:left="720"/>
        <w:jc w:val="both"/>
        <w:rPr>
          <w:rFonts w:ascii="Garamond" w:hAnsi="Garamond"/>
        </w:rPr>
      </w:pPr>
    </w:p>
    <w:p w:rsidR="007047D9" w:rsidRPr="00D82A4F" w:rsidRDefault="007047D9" w:rsidP="007047D9">
      <w:pPr>
        <w:pStyle w:val="ListParagraph"/>
        <w:autoSpaceDE w:val="0"/>
        <w:autoSpaceDN w:val="0"/>
        <w:adjustRightInd w:val="0"/>
        <w:ind w:left="0"/>
        <w:jc w:val="both"/>
        <w:rPr>
          <w:rFonts w:ascii="Garamond" w:eastAsia="Calibri" w:hAnsi="Garamond" w:cs="Arial"/>
          <w:b/>
          <w:i/>
          <w:sz w:val="24"/>
          <w:u w:val="single"/>
          <w:lang w:eastAsia="en-US"/>
        </w:rPr>
      </w:pPr>
      <w:r w:rsidRPr="00D82A4F">
        <w:rPr>
          <w:rFonts w:ascii="Garamond" w:eastAsia="Calibri" w:hAnsi="Garamond" w:cs="Arial"/>
          <w:b/>
          <w:sz w:val="24"/>
          <w:u w:val="single"/>
          <w:lang w:eastAsia="en-US"/>
        </w:rPr>
        <w:t>Clause</w:t>
      </w:r>
      <w:r w:rsidR="00905810" w:rsidRPr="00D82A4F">
        <w:rPr>
          <w:rFonts w:ascii="Garamond" w:eastAsia="Calibri" w:hAnsi="Garamond" w:cs="Arial"/>
          <w:b/>
          <w:sz w:val="24"/>
          <w:u w:val="single"/>
          <w:lang w:eastAsia="en-US"/>
        </w:rPr>
        <w:t xml:space="preserve"> 1</w:t>
      </w:r>
      <w:r w:rsidR="00DF405A">
        <w:rPr>
          <w:rFonts w:ascii="Garamond" w:eastAsia="Calibri" w:hAnsi="Garamond" w:cs="Arial"/>
          <w:b/>
          <w:sz w:val="24"/>
          <w:u w:val="single"/>
          <w:lang w:val="en-GB" w:eastAsia="en-US"/>
        </w:rPr>
        <w:t>1</w:t>
      </w:r>
      <w:r w:rsidR="00905810" w:rsidRPr="00D82A4F">
        <w:rPr>
          <w:rFonts w:ascii="Garamond" w:eastAsia="Calibri" w:hAnsi="Garamond" w:cs="Arial"/>
          <w:b/>
          <w:sz w:val="24"/>
          <w:u w:val="single"/>
          <w:lang w:eastAsia="en-US"/>
        </w:rPr>
        <w:t>(3)</w:t>
      </w:r>
      <w:r w:rsidRPr="00D82A4F">
        <w:rPr>
          <w:rFonts w:ascii="Garamond" w:eastAsia="Calibri" w:hAnsi="Garamond" w:cs="Arial"/>
          <w:b/>
          <w:sz w:val="24"/>
          <w:u w:val="single"/>
          <w:lang w:eastAsia="en-US"/>
        </w:rPr>
        <w:t xml:space="preserve"> : </w:t>
      </w:r>
      <w:r w:rsidRPr="00DF405A">
        <w:rPr>
          <w:rFonts w:ascii="Garamond" w:eastAsia="Calibri" w:hAnsi="Garamond" w:cs="Arial"/>
          <w:b/>
          <w:sz w:val="24"/>
          <w:u w:val="single"/>
          <w:lang w:eastAsia="en-US"/>
        </w:rPr>
        <w:t>Commencement</w:t>
      </w:r>
    </w:p>
    <w:p w:rsidR="007047D9" w:rsidRPr="00D82A4F" w:rsidRDefault="007047D9" w:rsidP="007047D9">
      <w:pPr>
        <w:pStyle w:val="ListParagraph"/>
        <w:autoSpaceDE w:val="0"/>
        <w:autoSpaceDN w:val="0"/>
        <w:adjustRightInd w:val="0"/>
        <w:ind w:left="0"/>
        <w:jc w:val="both"/>
        <w:rPr>
          <w:rFonts w:ascii="Garamond" w:eastAsia="Calibri" w:hAnsi="Garamond" w:cs="Arial"/>
          <w:b/>
          <w:sz w:val="24"/>
          <w:lang w:eastAsia="en-US"/>
        </w:rPr>
      </w:pPr>
    </w:p>
    <w:p w:rsidR="007047D9" w:rsidRPr="00D82A4F" w:rsidRDefault="00DF405A" w:rsidP="00DF405A">
      <w:pPr>
        <w:pStyle w:val="ListParagraph"/>
        <w:autoSpaceDE w:val="0"/>
        <w:autoSpaceDN w:val="0"/>
        <w:adjustRightInd w:val="0"/>
        <w:ind w:left="0" w:firstLine="720"/>
        <w:rPr>
          <w:rFonts w:ascii="Garamond" w:hAnsi="Garamond" w:cs="Arial"/>
          <w:i/>
          <w:sz w:val="24"/>
        </w:rPr>
      </w:pPr>
      <w:r>
        <w:rPr>
          <w:rFonts w:ascii="Garamond" w:hAnsi="Garamond" w:cs="Arial"/>
          <w:i/>
          <w:sz w:val="24"/>
        </w:rPr>
        <w:t>Power conferred on:</w:t>
      </w:r>
      <w:r>
        <w:rPr>
          <w:rFonts w:ascii="Garamond" w:hAnsi="Garamond" w:cs="Arial"/>
          <w:i/>
          <w:sz w:val="24"/>
          <w:lang w:val="en-GB"/>
        </w:rPr>
        <w:tab/>
      </w:r>
      <w:r w:rsidR="007047D9" w:rsidRPr="00D82A4F">
        <w:rPr>
          <w:rFonts w:ascii="Garamond" w:hAnsi="Garamond" w:cs="Arial"/>
          <w:i/>
          <w:sz w:val="24"/>
        </w:rPr>
        <w:t>Secretary of State</w:t>
      </w:r>
    </w:p>
    <w:p w:rsidR="007047D9" w:rsidRPr="00D82A4F" w:rsidRDefault="00DF405A" w:rsidP="00DF405A">
      <w:pPr>
        <w:pStyle w:val="ListParagraph"/>
        <w:autoSpaceDE w:val="0"/>
        <w:autoSpaceDN w:val="0"/>
        <w:adjustRightInd w:val="0"/>
        <w:ind w:left="0" w:firstLine="720"/>
        <w:rPr>
          <w:rFonts w:ascii="Garamond" w:hAnsi="Garamond" w:cs="Arial"/>
          <w:i/>
          <w:sz w:val="24"/>
        </w:rPr>
      </w:pPr>
      <w:r>
        <w:rPr>
          <w:rFonts w:ascii="Garamond" w:hAnsi="Garamond" w:cs="Arial"/>
          <w:i/>
          <w:sz w:val="24"/>
        </w:rPr>
        <w:t>Power exercisable by:</w:t>
      </w:r>
      <w:r>
        <w:rPr>
          <w:rFonts w:ascii="Garamond" w:hAnsi="Garamond" w:cs="Arial"/>
          <w:i/>
          <w:sz w:val="24"/>
        </w:rPr>
        <w:tab/>
      </w:r>
      <w:r w:rsidR="007047D9" w:rsidRPr="00D82A4F">
        <w:rPr>
          <w:rFonts w:ascii="Garamond" w:hAnsi="Garamond" w:cs="Arial"/>
          <w:i/>
          <w:sz w:val="24"/>
        </w:rPr>
        <w:t>Regulations made by statutory instrument</w:t>
      </w:r>
    </w:p>
    <w:p w:rsidR="007047D9" w:rsidRPr="00D82A4F" w:rsidRDefault="00DF405A" w:rsidP="00DF405A">
      <w:pPr>
        <w:pStyle w:val="ListParagraph"/>
        <w:autoSpaceDE w:val="0"/>
        <w:autoSpaceDN w:val="0"/>
        <w:adjustRightInd w:val="0"/>
        <w:ind w:left="0" w:firstLine="720"/>
        <w:rPr>
          <w:rFonts w:ascii="Garamond" w:hAnsi="Garamond" w:cs="Arial"/>
          <w:sz w:val="24"/>
        </w:rPr>
      </w:pPr>
      <w:r>
        <w:rPr>
          <w:rFonts w:ascii="Garamond" w:hAnsi="Garamond" w:cs="Arial"/>
          <w:i/>
          <w:sz w:val="24"/>
        </w:rPr>
        <w:t>Parliamentary Procedure:</w:t>
      </w:r>
      <w:r>
        <w:rPr>
          <w:rFonts w:ascii="Garamond" w:hAnsi="Garamond" w:cs="Arial"/>
          <w:i/>
          <w:sz w:val="24"/>
        </w:rPr>
        <w:tab/>
      </w:r>
      <w:r w:rsidR="007047D9" w:rsidRPr="00D82A4F">
        <w:rPr>
          <w:rFonts w:ascii="Garamond" w:hAnsi="Garamond" w:cs="Arial"/>
          <w:i/>
          <w:sz w:val="24"/>
        </w:rPr>
        <w:t>No procedure</w:t>
      </w:r>
    </w:p>
    <w:p w:rsidR="007047D9" w:rsidRPr="00D82A4F" w:rsidRDefault="007047D9" w:rsidP="00D82A4F">
      <w:pPr>
        <w:jc w:val="both"/>
        <w:rPr>
          <w:rFonts w:ascii="Garamond" w:hAnsi="Garamond"/>
          <w:b/>
          <w:szCs w:val="24"/>
        </w:rPr>
      </w:pPr>
    </w:p>
    <w:p w:rsidR="007047D9" w:rsidRPr="00DC1505" w:rsidRDefault="007047D9" w:rsidP="00D82A4F">
      <w:pPr>
        <w:jc w:val="both"/>
        <w:rPr>
          <w:rFonts w:ascii="Garamond" w:hAnsi="Garamond"/>
          <w:b/>
        </w:rPr>
      </w:pPr>
      <w:r w:rsidRPr="00DC1505">
        <w:rPr>
          <w:rFonts w:ascii="Garamond" w:hAnsi="Garamond"/>
          <w:b/>
        </w:rPr>
        <w:t>Introduction</w:t>
      </w:r>
    </w:p>
    <w:p w:rsidR="007047D9" w:rsidRPr="00DC1505" w:rsidRDefault="007047D9" w:rsidP="0074732F">
      <w:pPr>
        <w:numPr>
          <w:ilvl w:val="0"/>
          <w:numId w:val="1"/>
        </w:numPr>
        <w:spacing w:after="0" w:line="240" w:lineRule="auto"/>
        <w:jc w:val="both"/>
        <w:rPr>
          <w:rFonts w:ascii="Garamond" w:hAnsi="Garamond"/>
          <w:b/>
        </w:rPr>
      </w:pPr>
      <w:r w:rsidRPr="00DC1505">
        <w:rPr>
          <w:rFonts w:ascii="Garamond" w:hAnsi="Garamond"/>
        </w:rPr>
        <w:t xml:space="preserve">Clause </w:t>
      </w:r>
      <w:r w:rsidR="00905810">
        <w:rPr>
          <w:rFonts w:ascii="Garamond" w:hAnsi="Garamond"/>
        </w:rPr>
        <w:t>10</w:t>
      </w:r>
      <w:r w:rsidR="002B755C">
        <w:rPr>
          <w:rFonts w:ascii="Garamond" w:hAnsi="Garamond"/>
        </w:rPr>
        <w:t xml:space="preserve">(3) </w:t>
      </w:r>
      <w:r w:rsidRPr="00DC1505">
        <w:rPr>
          <w:rFonts w:ascii="Garamond" w:hAnsi="Garamond"/>
        </w:rPr>
        <w:t xml:space="preserve">allows the Secretary of State to make </w:t>
      </w:r>
      <w:r w:rsidR="002B755C">
        <w:rPr>
          <w:rFonts w:ascii="Garamond" w:hAnsi="Garamond"/>
        </w:rPr>
        <w:t xml:space="preserve">regulations </w:t>
      </w:r>
      <w:r w:rsidRPr="00DC1505">
        <w:rPr>
          <w:rFonts w:ascii="Garamond" w:hAnsi="Garamond"/>
        </w:rPr>
        <w:t xml:space="preserve">to commence the </w:t>
      </w:r>
      <w:r w:rsidR="002B755C">
        <w:rPr>
          <w:rFonts w:ascii="Garamond" w:hAnsi="Garamond"/>
        </w:rPr>
        <w:t>provisions in the Bill that will not already commence on Royal Assent</w:t>
      </w:r>
      <w:r w:rsidRPr="00DC1505">
        <w:rPr>
          <w:rFonts w:ascii="Garamond" w:hAnsi="Garamond"/>
        </w:rPr>
        <w:t xml:space="preserve">.  </w:t>
      </w:r>
    </w:p>
    <w:p w:rsidR="007047D9" w:rsidRPr="00DC1505" w:rsidRDefault="007047D9" w:rsidP="00D82A4F">
      <w:pPr>
        <w:jc w:val="both"/>
        <w:rPr>
          <w:rFonts w:ascii="Garamond" w:hAnsi="Garamond"/>
          <w:b/>
          <w:i/>
        </w:rPr>
      </w:pPr>
    </w:p>
    <w:p w:rsidR="007047D9" w:rsidRPr="002B755C" w:rsidRDefault="007047D9" w:rsidP="00D82A4F">
      <w:pPr>
        <w:jc w:val="both"/>
        <w:rPr>
          <w:rFonts w:ascii="Garamond" w:hAnsi="Garamond"/>
          <w:b/>
        </w:rPr>
      </w:pPr>
      <w:r w:rsidRPr="00DC1505">
        <w:rPr>
          <w:rFonts w:ascii="Garamond" w:hAnsi="Garamond"/>
          <w:b/>
        </w:rPr>
        <w:t>Effect of the provision</w:t>
      </w:r>
    </w:p>
    <w:p w:rsidR="007047D9" w:rsidRDefault="00905810" w:rsidP="0074732F">
      <w:pPr>
        <w:numPr>
          <w:ilvl w:val="0"/>
          <w:numId w:val="1"/>
        </w:numPr>
        <w:spacing w:after="0" w:line="240" w:lineRule="auto"/>
        <w:jc w:val="both"/>
        <w:rPr>
          <w:rFonts w:ascii="Garamond" w:hAnsi="Garamond"/>
        </w:rPr>
      </w:pPr>
      <w:r>
        <w:rPr>
          <w:rFonts w:ascii="Garamond" w:hAnsi="Garamond"/>
        </w:rPr>
        <w:t>Clause 10(3) enables the Secretary of State to commence the provisions of the Bill that do not commence on Royal Assent by way of commencement regulations.  Clause 10(4) allows for provisions to be commenced on different days for different purposes.</w:t>
      </w:r>
    </w:p>
    <w:p w:rsidR="002B755C" w:rsidRPr="002B755C" w:rsidRDefault="002B755C" w:rsidP="00D82A4F">
      <w:pPr>
        <w:spacing w:after="0" w:line="240" w:lineRule="auto"/>
        <w:ind w:left="720"/>
        <w:jc w:val="both"/>
        <w:rPr>
          <w:rFonts w:ascii="Garamond" w:hAnsi="Garamond"/>
        </w:rPr>
      </w:pPr>
    </w:p>
    <w:p w:rsidR="007047D9" w:rsidRPr="00DC1505" w:rsidRDefault="007047D9" w:rsidP="00D82A4F">
      <w:pPr>
        <w:jc w:val="both"/>
        <w:rPr>
          <w:rFonts w:ascii="Garamond" w:hAnsi="Garamond"/>
          <w:b/>
        </w:rPr>
      </w:pPr>
      <w:r w:rsidRPr="00DC1505">
        <w:rPr>
          <w:rFonts w:ascii="Garamond" w:hAnsi="Garamond"/>
          <w:b/>
        </w:rPr>
        <w:t>Justification of the Delegation</w:t>
      </w:r>
    </w:p>
    <w:p w:rsidR="007047D9" w:rsidRPr="00DC1505" w:rsidRDefault="002B755C" w:rsidP="0074732F">
      <w:pPr>
        <w:numPr>
          <w:ilvl w:val="0"/>
          <w:numId w:val="1"/>
        </w:numPr>
        <w:autoSpaceDE w:val="0"/>
        <w:autoSpaceDN w:val="0"/>
        <w:adjustRightInd w:val="0"/>
        <w:spacing w:after="0" w:line="240" w:lineRule="auto"/>
        <w:ind w:right="26"/>
        <w:jc w:val="both"/>
        <w:rPr>
          <w:rFonts w:ascii="Garamond" w:hAnsi="Garamond"/>
        </w:rPr>
      </w:pPr>
      <w:r>
        <w:rPr>
          <w:rFonts w:ascii="Garamond" w:hAnsi="Garamond"/>
        </w:rPr>
        <w:t xml:space="preserve">Clauses </w:t>
      </w:r>
      <w:r w:rsidR="00C554DB">
        <w:rPr>
          <w:rFonts w:ascii="Garamond" w:hAnsi="Garamond"/>
        </w:rPr>
        <w:t xml:space="preserve">6 </w:t>
      </w:r>
      <w:r w:rsidR="00803A7D">
        <w:rPr>
          <w:rFonts w:ascii="Garamond" w:hAnsi="Garamond"/>
        </w:rPr>
        <w:t>to</w:t>
      </w:r>
      <w:r w:rsidR="00DF405A">
        <w:rPr>
          <w:rFonts w:ascii="Garamond" w:hAnsi="Garamond"/>
        </w:rPr>
        <w:t xml:space="preserve"> 8, the Schedule, and clause </w:t>
      </w:r>
      <w:r w:rsidR="00C554DB">
        <w:rPr>
          <w:rFonts w:ascii="Garamond" w:hAnsi="Garamond"/>
        </w:rPr>
        <w:t>10</w:t>
      </w:r>
      <w:r>
        <w:rPr>
          <w:rFonts w:ascii="Garamond" w:hAnsi="Garamond"/>
        </w:rPr>
        <w:t xml:space="preserve"> </w:t>
      </w:r>
      <w:r w:rsidR="00DF405A">
        <w:rPr>
          <w:rFonts w:ascii="Garamond" w:hAnsi="Garamond"/>
        </w:rPr>
        <w:t xml:space="preserve">of the Bill </w:t>
      </w:r>
      <w:r>
        <w:rPr>
          <w:rFonts w:ascii="Garamond" w:hAnsi="Garamond"/>
        </w:rPr>
        <w:t xml:space="preserve">will commence on Royal Assent.   The power to commence the other provisions of the Bill by way of commencement regulations therefore attaches to the provisions in relation to the Commission and the provision in relation to financial responsibility.   </w:t>
      </w:r>
      <w:r w:rsidR="007047D9" w:rsidRPr="00DC1505">
        <w:rPr>
          <w:rFonts w:ascii="Garamond" w:hAnsi="Garamond"/>
        </w:rPr>
        <w:t xml:space="preserve">The flexibility in timing </w:t>
      </w:r>
      <w:r w:rsidR="00C554DB">
        <w:rPr>
          <w:rFonts w:ascii="Garamond" w:hAnsi="Garamond"/>
        </w:rPr>
        <w:t xml:space="preserve">provided </w:t>
      </w:r>
      <w:r w:rsidR="007047D9" w:rsidRPr="00DC1505">
        <w:rPr>
          <w:rFonts w:ascii="Garamond" w:hAnsi="Garamond"/>
        </w:rPr>
        <w:t xml:space="preserve">will enable the Secretary of State to commence the provisions </w:t>
      </w:r>
      <w:r>
        <w:rPr>
          <w:rFonts w:ascii="Garamond" w:hAnsi="Garamond"/>
        </w:rPr>
        <w:t xml:space="preserve">in relation the Commission at the appropriate time to enable the Commission to be established and start its work.   It will also enable the provision in relation to financial responsibility to be commenced at the most appropriate time. </w:t>
      </w:r>
    </w:p>
    <w:p w:rsidR="007047D9" w:rsidRPr="00D82A4F" w:rsidRDefault="007047D9" w:rsidP="00D82A4F">
      <w:pPr>
        <w:jc w:val="both"/>
        <w:rPr>
          <w:rFonts w:ascii="Garamond" w:hAnsi="Garamond"/>
          <w:b/>
          <w:i/>
          <w:szCs w:val="24"/>
        </w:rPr>
      </w:pPr>
    </w:p>
    <w:p w:rsidR="007047D9" w:rsidRPr="00D82A4F" w:rsidRDefault="007047D9" w:rsidP="00D82A4F">
      <w:pPr>
        <w:jc w:val="both"/>
        <w:rPr>
          <w:rFonts w:ascii="Garamond" w:hAnsi="Garamond"/>
          <w:b/>
          <w:szCs w:val="24"/>
        </w:rPr>
      </w:pPr>
      <w:r w:rsidRPr="00D82A4F">
        <w:rPr>
          <w:rFonts w:ascii="Garamond" w:hAnsi="Garamond"/>
          <w:b/>
          <w:szCs w:val="24"/>
        </w:rPr>
        <w:t>Justification of the level of Parliamentary Scrutiny</w:t>
      </w:r>
    </w:p>
    <w:p w:rsidR="007047D9" w:rsidRPr="00D82A4F" w:rsidRDefault="007047D9" w:rsidP="00D82A4F">
      <w:pPr>
        <w:pStyle w:val="ListParagraph"/>
        <w:autoSpaceDE w:val="0"/>
        <w:autoSpaceDN w:val="0"/>
        <w:adjustRightInd w:val="0"/>
        <w:ind w:left="0"/>
        <w:jc w:val="both"/>
        <w:rPr>
          <w:rFonts w:ascii="Garamond" w:hAnsi="Garamond" w:cs="Arial"/>
          <w:sz w:val="24"/>
        </w:rPr>
      </w:pPr>
    </w:p>
    <w:p w:rsidR="00B675CF" w:rsidRPr="00DF3E70" w:rsidRDefault="007047D9" w:rsidP="0074732F">
      <w:pPr>
        <w:pStyle w:val="ListParagraph"/>
        <w:numPr>
          <w:ilvl w:val="0"/>
          <w:numId w:val="1"/>
        </w:numPr>
        <w:autoSpaceDE w:val="0"/>
        <w:autoSpaceDN w:val="0"/>
        <w:adjustRightInd w:val="0"/>
        <w:jc w:val="both"/>
        <w:rPr>
          <w:rFonts w:ascii="Garamond" w:hAnsi="Garamond" w:cs="Arial"/>
          <w:sz w:val="24"/>
        </w:rPr>
      </w:pPr>
      <w:r w:rsidRPr="00D82A4F">
        <w:rPr>
          <w:rFonts w:ascii="Garamond" w:hAnsi="Garamond" w:cs="Arial"/>
          <w:sz w:val="24"/>
        </w:rPr>
        <w:t>It is usual for commencement regulations to be subject to no Parliamentary procedure. The expectation is that primary legislation that has been debated by Parliament will be brought into force by the Government at the most convenient time.</w:t>
      </w:r>
    </w:p>
    <w:p w:rsidR="00DF3E70" w:rsidRPr="00D82A4F" w:rsidRDefault="00DF3E70" w:rsidP="00DF3E70">
      <w:pPr>
        <w:pStyle w:val="ListParagraph"/>
        <w:autoSpaceDE w:val="0"/>
        <w:autoSpaceDN w:val="0"/>
        <w:adjustRightInd w:val="0"/>
        <w:ind w:left="0"/>
        <w:jc w:val="both"/>
        <w:rPr>
          <w:rFonts w:ascii="Garamond" w:hAnsi="Garamond" w:cs="Arial"/>
          <w:sz w:val="24"/>
        </w:rPr>
      </w:pPr>
    </w:p>
    <w:sectPr w:rsidR="00DF3E70" w:rsidRPr="00D82A4F" w:rsidSect="00D728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A9" w:rsidRDefault="00EC37A9" w:rsidP="002B755C">
      <w:pPr>
        <w:spacing w:after="0" w:line="240" w:lineRule="auto"/>
      </w:pPr>
      <w:r>
        <w:separator/>
      </w:r>
    </w:p>
  </w:endnote>
  <w:endnote w:type="continuationSeparator" w:id="0">
    <w:p w:rsidR="00EC37A9" w:rsidRDefault="00EC37A9" w:rsidP="002B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A9" w:rsidRDefault="00EC37A9" w:rsidP="002B755C">
      <w:pPr>
        <w:spacing w:after="0" w:line="240" w:lineRule="auto"/>
      </w:pPr>
      <w:r>
        <w:separator/>
      </w:r>
    </w:p>
  </w:footnote>
  <w:footnote w:type="continuationSeparator" w:id="0">
    <w:p w:rsidR="00EC37A9" w:rsidRDefault="00EC37A9" w:rsidP="002B755C">
      <w:pPr>
        <w:spacing w:after="0" w:line="240" w:lineRule="auto"/>
      </w:pPr>
      <w:r>
        <w:continuationSeparator/>
      </w:r>
    </w:p>
  </w:footnote>
  <w:footnote w:id="1">
    <w:p w:rsidR="003A394E" w:rsidRDefault="003A394E">
      <w:pPr>
        <w:pStyle w:val="FootnoteText"/>
      </w:pPr>
      <w:r>
        <w:rPr>
          <w:rStyle w:val="FootnoteReference"/>
        </w:rPr>
        <w:footnoteRef/>
      </w:r>
      <w:r>
        <w:t xml:space="preserve"> </w:t>
      </w:r>
      <w:hyperlink r:id="rId1" w:history="1">
        <w:r w:rsidRPr="004C0D10">
          <w:rPr>
            <w:rStyle w:val="Hyperlink"/>
            <w:rFonts w:ascii="Garamond" w:hAnsi="Garamond"/>
          </w:rPr>
          <w:t>https://www.gov.uk/government/uploads/system/uploads/attachment_data/file/479116/A_Fresh_Start_-_The_Stormont_Agreement_and_Implementation_Plan_-_Final_Version_20_Nov_2015_for_PDF.pdf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4E" w:rsidRPr="002B755C" w:rsidRDefault="005D6688" w:rsidP="002B755C">
    <w:pPr>
      <w:rPr>
        <w:rFonts w:ascii="Garamond" w:hAnsi="Garamond"/>
        <w:szCs w:val="24"/>
      </w:rPr>
    </w:pPr>
    <w:r>
      <w:rPr>
        <w:rFonts w:ascii="Garamond" w:hAnsi="Garamond"/>
        <w:szCs w:val="24"/>
      </w:rPr>
      <w:t>10</w:t>
    </w:r>
    <w:r w:rsidR="003A394E">
      <w:rPr>
        <w:rFonts w:ascii="Garamond" w:hAnsi="Garamond"/>
        <w:szCs w:val="24"/>
      </w:rPr>
      <w:t xml:space="preserve">.02.2016 </w:t>
    </w:r>
    <w:r w:rsidR="003A394E" w:rsidRPr="002B755C">
      <w:rPr>
        <w:rFonts w:ascii="Garamond" w:hAnsi="Garamond"/>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8E"/>
    <w:multiLevelType w:val="hybridMultilevel"/>
    <w:tmpl w:val="6CFA43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D844B2"/>
    <w:multiLevelType w:val="hybridMultilevel"/>
    <w:tmpl w:val="1D8E4F9E"/>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071CC"/>
    <w:multiLevelType w:val="hybridMultilevel"/>
    <w:tmpl w:val="FC3C4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2873E0"/>
    <w:multiLevelType w:val="hybridMultilevel"/>
    <w:tmpl w:val="FB34B2D0"/>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A572C"/>
    <w:multiLevelType w:val="hybridMultilevel"/>
    <w:tmpl w:val="2280D680"/>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E34E4B"/>
    <w:multiLevelType w:val="hybridMultilevel"/>
    <w:tmpl w:val="C37028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A6B2B6C"/>
    <w:multiLevelType w:val="hybridMultilevel"/>
    <w:tmpl w:val="501EE5E2"/>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684EE1"/>
    <w:multiLevelType w:val="hybridMultilevel"/>
    <w:tmpl w:val="F9D898E2"/>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E40DAC"/>
    <w:multiLevelType w:val="hybridMultilevel"/>
    <w:tmpl w:val="782E1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C14350"/>
    <w:multiLevelType w:val="hybridMultilevel"/>
    <w:tmpl w:val="64F0A5CA"/>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A85480"/>
    <w:multiLevelType w:val="hybridMultilevel"/>
    <w:tmpl w:val="0E3685E8"/>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36171"/>
    <w:multiLevelType w:val="hybridMultilevel"/>
    <w:tmpl w:val="F9D898E2"/>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D21E4C"/>
    <w:multiLevelType w:val="hybridMultilevel"/>
    <w:tmpl w:val="CC78B0D4"/>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356E7F"/>
    <w:multiLevelType w:val="hybridMultilevel"/>
    <w:tmpl w:val="F5EE4FC6"/>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C85F25"/>
    <w:multiLevelType w:val="hybridMultilevel"/>
    <w:tmpl w:val="D200E670"/>
    <w:lvl w:ilvl="0" w:tplc="D1123FA8">
      <w:start w:val="1"/>
      <w:numFmt w:val="decimal"/>
      <w:lvlText w:val="%1."/>
      <w:lvlJc w:val="left"/>
      <w:pPr>
        <w:ind w:left="720" w:hanging="360"/>
      </w:pPr>
      <w:rPr>
        <w:rFonts w:ascii="Garamond" w:hAnsi="Garamond" w:hint="default"/>
        <w:b w:val="0"/>
        <w:i w:val="0"/>
      </w:rPr>
    </w:lvl>
    <w:lvl w:ilvl="1" w:tplc="6C2644F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1"/>
  </w:num>
  <w:num w:numId="8">
    <w:abstractNumId w:val="3"/>
  </w:num>
  <w:num w:numId="9">
    <w:abstractNumId w:val="0"/>
  </w:num>
  <w:num w:numId="10">
    <w:abstractNumId w:val="10"/>
  </w:num>
  <w:num w:numId="11">
    <w:abstractNumId w:val="13"/>
  </w:num>
  <w:num w:numId="12">
    <w:abstractNumId w:val="1"/>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5CF"/>
    <w:rsid w:val="00002A44"/>
    <w:rsid w:val="00005321"/>
    <w:rsid w:val="00006383"/>
    <w:rsid w:val="00007690"/>
    <w:rsid w:val="00011C41"/>
    <w:rsid w:val="0001348B"/>
    <w:rsid w:val="0001433E"/>
    <w:rsid w:val="0001448A"/>
    <w:rsid w:val="00017A7C"/>
    <w:rsid w:val="0002078D"/>
    <w:rsid w:val="00027D30"/>
    <w:rsid w:val="00031FF2"/>
    <w:rsid w:val="00036CE3"/>
    <w:rsid w:val="00045880"/>
    <w:rsid w:val="00046C69"/>
    <w:rsid w:val="000500B0"/>
    <w:rsid w:val="0006573C"/>
    <w:rsid w:val="00066129"/>
    <w:rsid w:val="0007590E"/>
    <w:rsid w:val="00076B6C"/>
    <w:rsid w:val="00080899"/>
    <w:rsid w:val="00081BAC"/>
    <w:rsid w:val="00081CD3"/>
    <w:rsid w:val="00087B82"/>
    <w:rsid w:val="0009022D"/>
    <w:rsid w:val="00093090"/>
    <w:rsid w:val="000A77AA"/>
    <w:rsid w:val="000B18EB"/>
    <w:rsid w:val="000B6C59"/>
    <w:rsid w:val="000C1B71"/>
    <w:rsid w:val="000C63AB"/>
    <w:rsid w:val="000C6E15"/>
    <w:rsid w:val="000D2457"/>
    <w:rsid w:val="000D6115"/>
    <w:rsid w:val="000D69E7"/>
    <w:rsid w:val="000E000D"/>
    <w:rsid w:val="000E0A57"/>
    <w:rsid w:val="000E1764"/>
    <w:rsid w:val="000E6907"/>
    <w:rsid w:val="000F125C"/>
    <w:rsid w:val="001025F6"/>
    <w:rsid w:val="001028C8"/>
    <w:rsid w:val="00112313"/>
    <w:rsid w:val="00112321"/>
    <w:rsid w:val="001130E0"/>
    <w:rsid w:val="001227C7"/>
    <w:rsid w:val="001259A4"/>
    <w:rsid w:val="001269AF"/>
    <w:rsid w:val="00130589"/>
    <w:rsid w:val="00133A04"/>
    <w:rsid w:val="001352CC"/>
    <w:rsid w:val="00146ADF"/>
    <w:rsid w:val="00151123"/>
    <w:rsid w:val="00154FFB"/>
    <w:rsid w:val="001603DF"/>
    <w:rsid w:val="00163114"/>
    <w:rsid w:val="00166146"/>
    <w:rsid w:val="00167E8E"/>
    <w:rsid w:val="0017433A"/>
    <w:rsid w:val="001804C3"/>
    <w:rsid w:val="001866C1"/>
    <w:rsid w:val="00190C92"/>
    <w:rsid w:val="0019177F"/>
    <w:rsid w:val="00195FB6"/>
    <w:rsid w:val="001A17C5"/>
    <w:rsid w:val="001A2BEB"/>
    <w:rsid w:val="001A67A2"/>
    <w:rsid w:val="001B291D"/>
    <w:rsid w:val="001B6689"/>
    <w:rsid w:val="001C0180"/>
    <w:rsid w:val="001E0A03"/>
    <w:rsid w:val="001E0B45"/>
    <w:rsid w:val="001E38DC"/>
    <w:rsid w:val="001E5B7C"/>
    <w:rsid w:val="001E6325"/>
    <w:rsid w:val="001E7050"/>
    <w:rsid w:val="001E787A"/>
    <w:rsid w:val="00200940"/>
    <w:rsid w:val="00207E3D"/>
    <w:rsid w:val="00220AAE"/>
    <w:rsid w:val="00227AF4"/>
    <w:rsid w:val="00232BFE"/>
    <w:rsid w:val="002334D4"/>
    <w:rsid w:val="0023566A"/>
    <w:rsid w:val="002364DD"/>
    <w:rsid w:val="00241057"/>
    <w:rsid w:val="00241AFA"/>
    <w:rsid w:val="002505EF"/>
    <w:rsid w:val="0025167A"/>
    <w:rsid w:val="0025455F"/>
    <w:rsid w:val="00254B56"/>
    <w:rsid w:val="00256040"/>
    <w:rsid w:val="00264440"/>
    <w:rsid w:val="002655B0"/>
    <w:rsid w:val="002731CA"/>
    <w:rsid w:val="00277288"/>
    <w:rsid w:val="00283690"/>
    <w:rsid w:val="00283A67"/>
    <w:rsid w:val="002865B8"/>
    <w:rsid w:val="002872D5"/>
    <w:rsid w:val="002967A0"/>
    <w:rsid w:val="002B755C"/>
    <w:rsid w:val="002C4120"/>
    <w:rsid w:val="002D6448"/>
    <w:rsid w:val="002F39A0"/>
    <w:rsid w:val="002F7E4D"/>
    <w:rsid w:val="003019A6"/>
    <w:rsid w:val="00307843"/>
    <w:rsid w:val="00314761"/>
    <w:rsid w:val="00314BAD"/>
    <w:rsid w:val="00321F8F"/>
    <w:rsid w:val="00326B1C"/>
    <w:rsid w:val="003272F6"/>
    <w:rsid w:val="0034580D"/>
    <w:rsid w:val="0035378D"/>
    <w:rsid w:val="00362B6F"/>
    <w:rsid w:val="00362DD3"/>
    <w:rsid w:val="003757E1"/>
    <w:rsid w:val="00391722"/>
    <w:rsid w:val="003927FA"/>
    <w:rsid w:val="003A394E"/>
    <w:rsid w:val="003A6449"/>
    <w:rsid w:val="003B4B1A"/>
    <w:rsid w:val="003B5261"/>
    <w:rsid w:val="003C0355"/>
    <w:rsid w:val="003C1A4A"/>
    <w:rsid w:val="003D3B62"/>
    <w:rsid w:val="003D52FD"/>
    <w:rsid w:val="003D7AA6"/>
    <w:rsid w:val="003D7BDE"/>
    <w:rsid w:val="003E5796"/>
    <w:rsid w:val="003E61DC"/>
    <w:rsid w:val="003F1800"/>
    <w:rsid w:val="003F661E"/>
    <w:rsid w:val="003F73C8"/>
    <w:rsid w:val="00412D6B"/>
    <w:rsid w:val="00420727"/>
    <w:rsid w:val="00442648"/>
    <w:rsid w:val="00442C8C"/>
    <w:rsid w:val="00445C22"/>
    <w:rsid w:val="0045006C"/>
    <w:rsid w:val="004527F3"/>
    <w:rsid w:val="004667DB"/>
    <w:rsid w:val="00471EC3"/>
    <w:rsid w:val="00472AB9"/>
    <w:rsid w:val="00483B4D"/>
    <w:rsid w:val="004879C1"/>
    <w:rsid w:val="0049018B"/>
    <w:rsid w:val="00490E4C"/>
    <w:rsid w:val="004A4E15"/>
    <w:rsid w:val="004A73CD"/>
    <w:rsid w:val="004A752D"/>
    <w:rsid w:val="004B507F"/>
    <w:rsid w:val="004C0D10"/>
    <w:rsid w:val="004C29AF"/>
    <w:rsid w:val="004C3400"/>
    <w:rsid w:val="004C6785"/>
    <w:rsid w:val="004C7312"/>
    <w:rsid w:val="004C7431"/>
    <w:rsid w:val="004D082A"/>
    <w:rsid w:val="004D5513"/>
    <w:rsid w:val="004E0AF4"/>
    <w:rsid w:val="004E1470"/>
    <w:rsid w:val="004E149D"/>
    <w:rsid w:val="004F3137"/>
    <w:rsid w:val="004F5C86"/>
    <w:rsid w:val="005004B2"/>
    <w:rsid w:val="00503893"/>
    <w:rsid w:val="00511835"/>
    <w:rsid w:val="00513CCD"/>
    <w:rsid w:val="00523F4B"/>
    <w:rsid w:val="005242A8"/>
    <w:rsid w:val="00526187"/>
    <w:rsid w:val="0053583E"/>
    <w:rsid w:val="00536D39"/>
    <w:rsid w:val="0054557F"/>
    <w:rsid w:val="00550752"/>
    <w:rsid w:val="00550F2C"/>
    <w:rsid w:val="0055506F"/>
    <w:rsid w:val="00556D89"/>
    <w:rsid w:val="00557AB2"/>
    <w:rsid w:val="00563565"/>
    <w:rsid w:val="00564B0B"/>
    <w:rsid w:val="00566824"/>
    <w:rsid w:val="005710E9"/>
    <w:rsid w:val="0057171A"/>
    <w:rsid w:val="00577D0B"/>
    <w:rsid w:val="00586297"/>
    <w:rsid w:val="005863D7"/>
    <w:rsid w:val="005921A0"/>
    <w:rsid w:val="005924B7"/>
    <w:rsid w:val="005A04D9"/>
    <w:rsid w:val="005A268D"/>
    <w:rsid w:val="005A3AF5"/>
    <w:rsid w:val="005A3F58"/>
    <w:rsid w:val="005B0661"/>
    <w:rsid w:val="005C20A8"/>
    <w:rsid w:val="005C5091"/>
    <w:rsid w:val="005C5DDB"/>
    <w:rsid w:val="005D0C18"/>
    <w:rsid w:val="005D1081"/>
    <w:rsid w:val="005D6688"/>
    <w:rsid w:val="005D765E"/>
    <w:rsid w:val="005E0D58"/>
    <w:rsid w:val="005E2239"/>
    <w:rsid w:val="005F121D"/>
    <w:rsid w:val="005F1D8A"/>
    <w:rsid w:val="005F62D9"/>
    <w:rsid w:val="00601A99"/>
    <w:rsid w:val="00604C3B"/>
    <w:rsid w:val="006153C2"/>
    <w:rsid w:val="0061711F"/>
    <w:rsid w:val="006221E5"/>
    <w:rsid w:val="0062404A"/>
    <w:rsid w:val="0062608E"/>
    <w:rsid w:val="00630C37"/>
    <w:rsid w:val="00632B7A"/>
    <w:rsid w:val="006363EE"/>
    <w:rsid w:val="00641880"/>
    <w:rsid w:val="00645B79"/>
    <w:rsid w:val="00651FB3"/>
    <w:rsid w:val="0065508B"/>
    <w:rsid w:val="00661E77"/>
    <w:rsid w:val="006661F5"/>
    <w:rsid w:val="006703B0"/>
    <w:rsid w:val="006755E5"/>
    <w:rsid w:val="0068087C"/>
    <w:rsid w:val="00680AD4"/>
    <w:rsid w:val="006810B8"/>
    <w:rsid w:val="00684EBD"/>
    <w:rsid w:val="00685F36"/>
    <w:rsid w:val="00686CBD"/>
    <w:rsid w:val="00687830"/>
    <w:rsid w:val="00687D24"/>
    <w:rsid w:val="00690ED8"/>
    <w:rsid w:val="00691449"/>
    <w:rsid w:val="006A00F5"/>
    <w:rsid w:val="006A378F"/>
    <w:rsid w:val="006A44FF"/>
    <w:rsid w:val="006A660A"/>
    <w:rsid w:val="006B4B28"/>
    <w:rsid w:val="006B654E"/>
    <w:rsid w:val="006B6806"/>
    <w:rsid w:val="006C695B"/>
    <w:rsid w:val="006D339A"/>
    <w:rsid w:val="006D6D97"/>
    <w:rsid w:val="006D761C"/>
    <w:rsid w:val="006E240C"/>
    <w:rsid w:val="006E3B41"/>
    <w:rsid w:val="006E4C32"/>
    <w:rsid w:val="006E7717"/>
    <w:rsid w:val="006F5F54"/>
    <w:rsid w:val="00700013"/>
    <w:rsid w:val="00703DD5"/>
    <w:rsid w:val="007047D9"/>
    <w:rsid w:val="007072D5"/>
    <w:rsid w:val="00717441"/>
    <w:rsid w:val="0072040C"/>
    <w:rsid w:val="007231BC"/>
    <w:rsid w:val="007258F3"/>
    <w:rsid w:val="00732542"/>
    <w:rsid w:val="0074027B"/>
    <w:rsid w:val="00746CF5"/>
    <w:rsid w:val="0074732F"/>
    <w:rsid w:val="007563A8"/>
    <w:rsid w:val="007650E3"/>
    <w:rsid w:val="00766389"/>
    <w:rsid w:val="00766609"/>
    <w:rsid w:val="007768A0"/>
    <w:rsid w:val="00776C85"/>
    <w:rsid w:val="00776DD4"/>
    <w:rsid w:val="00782833"/>
    <w:rsid w:val="00784474"/>
    <w:rsid w:val="00785217"/>
    <w:rsid w:val="00786126"/>
    <w:rsid w:val="00793284"/>
    <w:rsid w:val="007A0F7B"/>
    <w:rsid w:val="007A57C3"/>
    <w:rsid w:val="007A7A99"/>
    <w:rsid w:val="007B0636"/>
    <w:rsid w:val="007B0CFC"/>
    <w:rsid w:val="007C1B01"/>
    <w:rsid w:val="007C6CE4"/>
    <w:rsid w:val="007D5F58"/>
    <w:rsid w:val="007D60D7"/>
    <w:rsid w:val="007F5FEB"/>
    <w:rsid w:val="00803A7D"/>
    <w:rsid w:val="008112FB"/>
    <w:rsid w:val="0082111B"/>
    <w:rsid w:val="00831CF9"/>
    <w:rsid w:val="00832D13"/>
    <w:rsid w:val="0083497A"/>
    <w:rsid w:val="008408FE"/>
    <w:rsid w:val="00842133"/>
    <w:rsid w:val="00846680"/>
    <w:rsid w:val="008473A4"/>
    <w:rsid w:val="00850516"/>
    <w:rsid w:val="00852B5B"/>
    <w:rsid w:val="008630B3"/>
    <w:rsid w:val="00865AA1"/>
    <w:rsid w:val="00865D03"/>
    <w:rsid w:val="0087717C"/>
    <w:rsid w:val="00884E74"/>
    <w:rsid w:val="008853B5"/>
    <w:rsid w:val="0088654A"/>
    <w:rsid w:val="008A129C"/>
    <w:rsid w:val="008A41D9"/>
    <w:rsid w:val="008C09F3"/>
    <w:rsid w:val="008C7F58"/>
    <w:rsid w:val="008D3578"/>
    <w:rsid w:val="008F01D1"/>
    <w:rsid w:val="008F07A7"/>
    <w:rsid w:val="008F3D44"/>
    <w:rsid w:val="008F6F67"/>
    <w:rsid w:val="009025F2"/>
    <w:rsid w:val="00903007"/>
    <w:rsid w:val="00904389"/>
    <w:rsid w:val="00905810"/>
    <w:rsid w:val="0090794C"/>
    <w:rsid w:val="009116B2"/>
    <w:rsid w:val="009124FC"/>
    <w:rsid w:val="009155C1"/>
    <w:rsid w:val="00915A82"/>
    <w:rsid w:val="00922D38"/>
    <w:rsid w:val="009323E0"/>
    <w:rsid w:val="00934371"/>
    <w:rsid w:val="00935D5B"/>
    <w:rsid w:val="009405CE"/>
    <w:rsid w:val="00943DF0"/>
    <w:rsid w:val="009555ED"/>
    <w:rsid w:val="00960452"/>
    <w:rsid w:val="0096418A"/>
    <w:rsid w:val="00965447"/>
    <w:rsid w:val="00970BF4"/>
    <w:rsid w:val="00982B76"/>
    <w:rsid w:val="00985526"/>
    <w:rsid w:val="0098712B"/>
    <w:rsid w:val="009908B1"/>
    <w:rsid w:val="00990B66"/>
    <w:rsid w:val="00995831"/>
    <w:rsid w:val="00996225"/>
    <w:rsid w:val="00997071"/>
    <w:rsid w:val="009A0825"/>
    <w:rsid w:val="009B1CE1"/>
    <w:rsid w:val="009B7868"/>
    <w:rsid w:val="009C066C"/>
    <w:rsid w:val="009C7172"/>
    <w:rsid w:val="009D54CD"/>
    <w:rsid w:val="009E2CA4"/>
    <w:rsid w:val="009E38E6"/>
    <w:rsid w:val="009E5A3A"/>
    <w:rsid w:val="009F3C8D"/>
    <w:rsid w:val="009F4B66"/>
    <w:rsid w:val="009F6E10"/>
    <w:rsid w:val="00A0478E"/>
    <w:rsid w:val="00A06533"/>
    <w:rsid w:val="00A20427"/>
    <w:rsid w:val="00A20CB5"/>
    <w:rsid w:val="00A246DF"/>
    <w:rsid w:val="00A30074"/>
    <w:rsid w:val="00A372BC"/>
    <w:rsid w:val="00A45794"/>
    <w:rsid w:val="00A60ECA"/>
    <w:rsid w:val="00A60F8E"/>
    <w:rsid w:val="00A6193A"/>
    <w:rsid w:val="00A6719B"/>
    <w:rsid w:val="00A67FB9"/>
    <w:rsid w:val="00A82A03"/>
    <w:rsid w:val="00A93E51"/>
    <w:rsid w:val="00A96E29"/>
    <w:rsid w:val="00AA1598"/>
    <w:rsid w:val="00AA1B4A"/>
    <w:rsid w:val="00AB4A08"/>
    <w:rsid w:val="00AD4307"/>
    <w:rsid w:val="00AE110A"/>
    <w:rsid w:val="00AE2D59"/>
    <w:rsid w:val="00AE64C6"/>
    <w:rsid w:val="00AE66F1"/>
    <w:rsid w:val="00AE716D"/>
    <w:rsid w:val="00AF41A1"/>
    <w:rsid w:val="00B025B3"/>
    <w:rsid w:val="00B06DC7"/>
    <w:rsid w:val="00B14AED"/>
    <w:rsid w:val="00B15F12"/>
    <w:rsid w:val="00B273D5"/>
    <w:rsid w:val="00B42D4E"/>
    <w:rsid w:val="00B45C07"/>
    <w:rsid w:val="00B52367"/>
    <w:rsid w:val="00B56DC3"/>
    <w:rsid w:val="00B57C52"/>
    <w:rsid w:val="00B622D6"/>
    <w:rsid w:val="00B63C55"/>
    <w:rsid w:val="00B655DA"/>
    <w:rsid w:val="00B659B7"/>
    <w:rsid w:val="00B66DF9"/>
    <w:rsid w:val="00B675CF"/>
    <w:rsid w:val="00B67936"/>
    <w:rsid w:val="00B71235"/>
    <w:rsid w:val="00B72074"/>
    <w:rsid w:val="00B72507"/>
    <w:rsid w:val="00B75AF8"/>
    <w:rsid w:val="00B76653"/>
    <w:rsid w:val="00B83C4E"/>
    <w:rsid w:val="00B84BFF"/>
    <w:rsid w:val="00B87584"/>
    <w:rsid w:val="00B93C6C"/>
    <w:rsid w:val="00B960DA"/>
    <w:rsid w:val="00B96A88"/>
    <w:rsid w:val="00BB4358"/>
    <w:rsid w:val="00BB62AC"/>
    <w:rsid w:val="00BB7A1C"/>
    <w:rsid w:val="00BD2FE5"/>
    <w:rsid w:val="00BD6563"/>
    <w:rsid w:val="00BE3865"/>
    <w:rsid w:val="00BE5AED"/>
    <w:rsid w:val="00BF04A2"/>
    <w:rsid w:val="00BF0CF3"/>
    <w:rsid w:val="00BF341A"/>
    <w:rsid w:val="00BF4044"/>
    <w:rsid w:val="00BF62CD"/>
    <w:rsid w:val="00C00302"/>
    <w:rsid w:val="00C019EC"/>
    <w:rsid w:val="00C02FA1"/>
    <w:rsid w:val="00C05C69"/>
    <w:rsid w:val="00C13ADC"/>
    <w:rsid w:val="00C20759"/>
    <w:rsid w:val="00C31425"/>
    <w:rsid w:val="00C34214"/>
    <w:rsid w:val="00C400BC"/>
    <w:rsid w:val="00C4457B"/>
    <w:rsid w:val="00C46885"/>
    <w:rsid w:val="00C548C4"/>
    <w:rsid w:val="00C554DB"/>
    <w:rsid w:val="00C60AE5"/>
    <w:rsid w:val="00C7266E"/>
    <w:rsid w:val="00C873F9"/>
    <w:rsid w:val="00CA21E9"/>
    <w:rsid w:val="00CB01DA"/>
    <w:rsid w:val="00CB2069"/>
    <w:rsid w:val="00CB4B24"/>
    <w:rsid w:val="00CC15AB"/>
    <w:rsid w:val="00CC3C2D"/>
    <w:rsid w:val="00CD0F3E"/>
    <w:rsid w:val="00CD2967"/>
    <w:rsid w:val="00CD5E2E"/>
    <w:rsid w:val="00CD7D07"/>
    <w:rsid w:val="00CE056B"/>
    <w:rsid w:val="00CE094F"/>
    <w:rsid w:val="00CE2B63"/>
    <w:rsid w:val="00CE58CE"/>
    <w:rsid w:val="00CF2EFA"/>
    <w:rsid w:val="00CF591B"/>
    <w:rsid w:val="00CF5B54"/>
    <w:rsid w:val="00CF7CFB"/>
    <w:rsid w:val="00D021EF"/>
    <w:rsid w:val="00D068E3"/>
    <w:rsid w:val="00D124B8"/>
    <w:rsid w:val="00D1400F"/>
    <w:rsid w:val="00D23BAD"/>
    <w:rsid w:val="00D277B8"/>
    <w:rsid w:val="00D324B1"/>
    <w:rsid w:val="00D36B48"/>
    <w:rsid w:val="00D37E76"/>
    <w:rsid w:val="00D41A65"/>
    <w:rsid w:val="00D42E65"/>
    <w:rsid w:val="00D442C7"/>
    <w:rsid w:val="00D44383"/>
    <w:rsid w:val="00D46E74"/>
    <w:rsid w:val="00D52A99"/>
    <w:rsid w:val="00D544A4"/>
    <w:rsid w:val="00D61DF4"/>
    <w:rsid w:val="00D728BE"/>
    <w:rsid w:val="00D763D6"/>
    <w:rsid w:val="00D768DB"/>
    <w:rsid w:val="00D826E8"/>
    <w:rsid w:val="00D82A4F"/>
    <w:rsid w:val="00D836EB"/>
    <w:rsid w:val="00D86CD7"/>
    <w:rsid w:val="00D86EF4"/>
    <w:rsid w:val="00D94E7D"/>
    <w:rsid w:val="00D973DB"/>
    <w:rsid w:val="00DA2B09"/>
    <w:rsid w:val="00DB6931"/>
    <w:rsid w:val="00DC5287"/>
    <w:rsid w:val="00DC5E89"/>
    <w:rsid w:val="00DC6337"/>
    <w:rsid w:val="00DD4503"/>
    <w:rsid w:val="00DD56C3"/>
    <w:rsid w:val="00DD5913"/>
    <w:rsid w:val="00DE5C29"/>
    <w:rsid w:val="00DE64C2"/>
    <w:rsid w:val="00DE709A"/>
    <w:rsid w:val="00DF04B3"/>
    <w:rsid w:val="00DF1AA4"/>
    <w:rsid w:val="00DF3E70"/>
    <w:rsid w:val="00DF405A"/>
    <w:rsid w:val="00E06CFA"/>
    <w:rsid w:val="00E1072F"/>
    <w:rsid w:val="00E1672F"/>
    <w:rsid w:val="00E23BDA"/>
    <w:rsid w:val="00E2468E"/>
    <w:rsid w:val="00E31846"/>
    <w:rsid w:val="00E34D29"/>
    <w:rsid w:val="00E366DC"/>
    <w:rsid w:val="00E404B7"/>
    <w:rsid w:val="00E4197B"/>
    <w:rsid w:val="00E41FFD"/>
    <w:rsid w:val="00E42C32"/>
    <w:rsid w:val="00E44724"/>
    <w:rsid w:val="00E50A20"/>
    <w:rsid w:val="00E51EA5"/>
    <w:rsid w:val="00E5519C"/>
    <w:rsid w:val="00E600A3"/>
    <w:rsid w:val="00E7003A"/>
    <w:rsid w:val="00E7286D"/>
    <w:rsid w:val="00E745B3"/>
    <w:rsid w:val="00E75BBA"/>
    <w:rsid w:val="00E84BE8"/>
    <w:rsid w:val="00E85554"/>
    <w:rsid w:val="00E857A6"/>
    <w:rsid w:val="00E87F4A"/>
    <w:rsid w:val="00E92FE6"/>
    <w:rsid w:val="00E959FF"/>
    <w:rsid w:val="00EA35C9"/>
    <w:rsid w:val="00EA4ED6"/>
    <w:rsid w:val="00EB4130"/>
    <w:rsid w:val="00EB4246"/>
    <w:rsid w:val="00EC0810"/>
    <w:rsid w:val="00EC37A9"/>
    <w:rsid w:val="00EC7522"/>
    <w:rsid w:val="00ED1E4F"/>
    <w:rsid w:val="00ED2237"/>
    <w:rsid w:val="00ED4E57"/>
    <w:rsid w:val="00EE26A4"/>
    <w:rsid w:val="00EF1903"/>
    <w:rsid w:val="00EF4D78"/>
    <w:rsid w:val="00EF64C5"/>
    <w:rsid w:val="00EF6F19"/>
    <w:rsid w:val="00F207EA"/>
    <w:rsid w:val="00F2280F"/>
    <w:rsid w:val="00F22B2A"/>
    <w:rsid w:val="00F233CA"/>
    <w:rsid w:val="00F235D7"/>
    <w:rsid w:val="00F30E85"/>
    <w:rsid w:val="00F3353A"/>
    <w:rsid w:val="00F41474"/>
    <w:rsid w:val="00F43EF4"/>
    <w:rsid w:val="00F449D0"/>
    <w:rsid w:val="00F4703F"/>
    <w:rsid w:val="00F61E65"/>
    <w:rsid w:val="00F665DF"/>
    <w:rsid w:val="00F7132D"/>
    <w:rsid w:val="00F904D1"/>
    <w:rsid w:val="00F94CD4"/>
    <w:rsid w:val="00FA02A1"/>
    <w:rsid w:val="00FA100D"/>
    <w:rsid w:val="00FA481B"/>
    <w:rsid w:val="00FB17E8"/>
    <w:rsid w:val="00FB349E"/>
    <w:rsid w:val="00FD116B"/>
    <w:rsid w:val="00FD433B"/>
    <w:rsid w:val="00FD4B3F"/>
    <w:rsid w:val="00FE58AD"/>
    <w:rsid w:val="00FF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D44383"/>
    <w:pPr>
      <w:keepNext/>
      <w:keepLines/>
      <w:pBdr>
        <w:bottom w:val="single" w:sz="4" w:space="1" w:color="auto"/>
      </w:pBdr>
      <w:spacing w:before="480" w:after="300"/>
      <w:outlineLvl w:val="0"/>
    </w:pPr>
    <w:rPr>
      <w:rFonts w:ascii="Calibri" w:eastAsia="Times New Roman" w:hAnsi="Calibri"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11,Colorful List - Accent 11,Bullet 1,Bullet Points,MAIN CONTENT,No Spacing1,List Paragraph Char Char Char,Indicator Text,Numbered Para 1,Párrafo de lista,Recommendation,Normal numbered"/>
    <w:basedOn w:val="Normal"/>
    <w:link w:val="ListParagraphChar"/>
    <w:uiPriority w:val="34"/>
    <w:qFormat/>
    <w:rsid w:val="00B675CF"/>
    <w:pPr>
      <w:spacing w:after="0" w:line="240" w:lineRule="auto"/>
      <w:ind w:left="720"/>
      <w:contextualSpacing/>
    </w:pPr>
    <w:rPr>
      <w:rFonts w:ascii="Times New Roman" w:eastAsia="Times New Roman" w:hAnsi="Times New Roman" w:cs="Times New Roman"/>
      <w:sz w:val="20"/>
      <w:szCs w:val="24"/>
      <w:lang w:val="x-none" w:eastAsia="en-GB"/>
    </w:rPr>
  </w:style>
  <w:style w:type="character" w:customStyle="1" w:styleId="ListParagraphChar">
    <w:name w:val="List Paragraph Char"/>
    <w:aliases w:val="Dot pt Char,F5 List Paragraph Char,List Paragraph1 Char,List Paragraph11 Char,Colorful List - Accent 11 Char,Bullet 1 Char,Bullet Points Char,MAIN CONTENT Char,No Spacing1 Char,List Paragraph Char Char Char Char,Indicator Text Char"/>
    <w:link w:val="ListParagraph"/>
    <w:uiPriority w:val="34"/>
    <w:qFormat/>
    <w:locked/>
    <w:rsid w:val="00B675CF"/>
    <w:rPr>
      <w:rFonts w:ascii="Times New Roman" w:eastAsia="Times New Roman" w:hAnsi="Times New Roman" w:cs="Times New Roman"/>
      <w:szCs w:val="24"/>
      <w:lang w:eastAsia="en-GB"/>
    </w:rPr>
  </w:style>
  <w:style w:type="character" w:styleId="CommentReference">
    <w:name w:val="annotation reference"/>
    <w:uiPriority w:val="99"/>
    <w:semiHidden/>
    <w:unhideWhenUsed/>
    <w:rsid w:val="00B675CF"/>
    <w:rPr>
      <w:sz w:val="16"/>
      <w:szCs w:val="16"/>
    </w:rPr>
  </w:style>
  <w:style w:type="paragraph" w:styleId="CommentText">
    <w:name w:val="annotation text"/>
    <w:basedOn w:val="Normal"/>
    <w:link w:val="CommentTextChar"/>
    <w:uiPriority w:val="99"/>
    <w:semiHidden/>
    <w:unhideWhenUsed/>
    <w:rsid w:val="00B675CF"/>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675CF"/>
    <w:rPr>
      <w:sz w:val="20"/>
      <w:szCs w:val="20"/>
    </w:rPr>
  </w:style>
  <w:style w:type="paragraph" w:styleId="CommentSubject">
    <w:name w:val="annotation subject"/>
    <w:basedOn w:val="CommentText"/>
    <w:next w:val="CommentText"/>
    <w:link w:val="CommentSubjectChar"/>
    <w:uiPriority w:val="99"/>
    <w:semiHidden/>
    <w:unhideWhenUsed/>
    <w:rsid w:val="00B675CF"/>
    <w:rPr>
      <w:b/>
      <w:bCs/>
    </w:rPr>
  </w:style>
  <w:style w:type="character" w:customStyle="1" w:styleId="CommentSubjectChar">
    <w:name w:val="Comment Subject Char"/>
    <w:link w:val="CommentSubject"/>
    <w:uiPriority w:val="99"/>
    <w:semiHidden/>
    <w:rsid w:val="00B675CF"/>
    <w:rPr>
      <w:b/>
      <w:bCs/>
      <w:sz w:val="20"/>
      <w:szCs w:val="20"/>
    </w:rPr>
  </w:style>
  <w:style w:type="paragraph" w:styleId="BalloonText">
    <w:name w:val="Balloon Text"/>
    <w:basedOn w:val="Normal"/>
    <w:link w:val="BalloonTextChar"/>
    <w:uiPriority w:val="99"/>
    <w:semiHidden/>
    <w:unhideWhenUsed/>
    <w:rsid w:val="00B675C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675CF"/>
    <w:rPr>
      <w:rFonts w:ascii="Tahoma" w:hAnsi="Tahoma" w:cs="Tahoma"/>
      <w:sz w:val="16"/>
      <w:szCs w:val="16"/>
    </w:rPr>
  </w:style>
  <w:style w:type="character" w:customStyle="1" w:styleId="Heading1Char">
    <w:name w:val="Heading 1 Char"/>
    <w:link w:val="Heading1"/>
    <w:uiPriority w:val="9"/>
    <w:rsid w:val="00D44383"/>
    <w:rPr>
      <w:rFonts w:ascii="Calibri" w:eastAsia="Times New Roman" w:hAnsi="Calibri" w:cs="Times New Roman"/>
      <w:b/>
      <w:bCs/>
      <w:color w:val="365F91"/>
      <w:sz w:val="28"/>
      <w:szCs w:val="28"/>
      <w:lang w:val="x-none"/>
    </w:rPr>
  </w:style>
  <w:style w:type="paragraph" w:styleId="Header">
    <w:name w:val="header"/>
    <w:basedOn w:val="Normal"/>
    <w:link w:val="HeaderChar"/>
    <w:uiPriority w:val="99"/>
    <w:unhideWhenUsed/>
    <w:rsid w:val="002B755C"/>
    <w:pPr>
      <w:tabs>
        <w:tab w:val="center" w:pos="4513"/>
        <w:tab w:val="right" w:pos="9026"/>
      </w:tabs>
    </w:pPr>
    <w:rPr>
      <w:rFonts w:cs="Times New Roman"/>
      <w:lang w:val="x-none"/>
    </w:rPr>
  </w:style>
  <w:style w:type="character" w:customStyle="1" w:styleId="HeaderChar">
    <w:name w:val="Header Char"/>
    <w:link w:val="Header"/>
    <w:uiPriority w:val="99"/>
    <w:rsid w:val="002B755C"/>
    <w:rPr>
      <w:sz w:val="24"/>
      <w:szCs w:val="22"/>
      <w:lang w:eastAsia="en-US"/>
    </w:rPr>
  </w:style>
  <w:style w:type="paragraph" w:styleId="Footer">
    <w:name w:val="footer"/>
    <w:basedOn w:val="Normal"/>
    <w:link w:val="FooterChar"/>
    <w:uiPriority w:val="99"/>
    <w:unhideWhenUsed/>
    <w:rsid w:val="002B755C"/>
    <w:pPr>
      <w:tabs>
        <w:tab w:val="center" w:pos="4513"/>
        <w:tab w:val="right" w:pos="9026"/>
      </w:tabs>
    </w:pPr>
    <w:rPr>
      <w:rFonts w:cs="Times New Roman"/>
      <w:lang w:val="x-none"/>
    </w:rPr>
  </w:style>
  <w:style w:type="character" w:customStyle="1" w:styleId="FooterChar">
    <w:name w:val="Footer Char"/>
    <w:link w:val="Footer"/>
    <w:uiPriority w:val="99"/>
    <w:rsid w:val="002B755C"/>
    <w:rPr>
      <w:sz w:val="24"/>
      <w:szCs w:val="22"/>
      <w:lang w:eastAsia="en-US"/>
    </w:rPr>
  </w:style>
  <w:style w:type="paragraph" w:styleId="FootnoteText">
    <w:name w:val="footnote text"/>
    <w:basedOn w:val="Normal"/>
    <w:link w:val="FootnoteTextChar"/>
    <w:uiPriority w:val="99"/>
    <w:semiHidden/>
    <w:unhideWhenUsed/>
    <w:rsid w:val="004C0D10"/>
    <w:rPr>
      <w:rFonts w:cs="Times New Roman"/>
      <w:sz w:val="20"/>
      <w:szCs w:val="20"/>
      <w:lang w:val="x-none"/>
    </w:rPr>
  </w:style>
  <w:style w:type="character" w:customStyle="1" w:styleId="FootnoteTextChar">
    <w:name w:val="Footnote Text Char"/>
    <w:link w:val="FootnoteText"/>
    <w:uiPriority w:val="99"/>
    <w:semiHidden/>
    <w:rsid w:val="004C0D10"/>
    <w:rPr>
      <w:lang w:eastAsia="en-US"/>
    </w:rPr>
  </w:style>
  <w:style w:type="character" w:styleId="FootnoteReference">
    <w:name w:val="footnote reference"/>
    <w:uiPriority w:val="99"/>
    <w:semiHidden/>
    <w:unhideWhenUsed/>
    <w:rsid w:val="004C0D10"/>
    <w:rPr>
      <w:vertAlign w:val="superscript"/>
    </w:rPr>
  </w:style>
  <w:style w:type="character" w:styleId="Hyperlink">
    <w:name w:val="Hyperlink"/>
    <w:uiPriority w:val="99"/>
    <w:unhideWhenUsed/>
    <w:rsid w:val="004C0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79116/A_Fresh_Start_-_The_Stormont_Agreement_and_Implementation_Plan_-_Final_Version_20_Nov_2015_for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0F132-52B9-45FC-A172-285B46B7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3597</Words>
  <Characters>19173</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22659</CharactersWithSpaces>
  <SharedDoc>false</SharedDoc>
  <HLinks>
    <vt:vector size="6" baseType="variant">
      <vt:variant>
        <vt:i4>3932195</vt:i4>
      </vt:variant>
      <vt:variant>
        <vt:i4>0</vt:i4>
      </vt:variant>
      <vt:variant>
        <vt:i4>0</vt:i4>
      </vt:variant>
      <vt:variant>
        <vt:i4>5</vt:i4>
      </vt:variant>
      <vt:variant>
        <vt:lpwstr>https://www.gov.uk/government/uploads/system/uploads/attachment_data/file/479116/A_Fresh_Start_-_The_Stormont_Agreement_and_Implementation_Plan_-_Final_Version_20_Nov_2015_for_PDF.pdf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Westlake</dc:creator>
  <cp:keywords/>
  <cp:lastModifiedBy>Megan Rooney</cp:lastModifiedBy>
  <cp:revision>2</cp:revision>
  <cp:lastPrinted>2016-02-05T18:06:00Z</cp:lastPrinted>
  <dcterms:created xsi:type="dcterms:W3CDTF">2016-02-10T10:01:00Z</dcterms:created>
  <dcterms:modified xsi:type="dcterms:W3CDTF">2016-02-10T10:01:00Z</dcterms:modified>
</cp:coreProperties>
</file>