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E" w:rsidRPr="00664C7A" w:rsidRDefault="0087557F" w:rsidP="007A4F01">
      <w:r w:rsidRPr="0087557F">
        <w:rPr>
          <w:rFonts w:cs="Arial"/>
          <w:b/>
          <w:noProof/>
          <w:sz w:val="28"/>
          <w:szCs w:val="28"/>
        </w:rPr>
        <w:pict>
          <v:rect id="Rectangle 2" o:spid="_x0000_s1026" style="position:absolute;margin-left:.7pt;margin-top:19.45pt;width:492pt;height:10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L0NZqotAgAAVAQAAA4AAAAAAAAAAAAAAAAALgIAAGRycy9l&#10;Mm9Eb2MueG1sUEsBAi0AFAAGAAgAAAAhAKL3kQLbAAAACAEAAA8AAAAAAAAAAAAAAAAAhwQAAGRy&#10;cy9kb3ducmV2LnhtbFBLBQYAAAAABAAEAPMAAACPBQAAAAA=&#10;" strokeweight="3pt">
            <v:stroke linestyle="thinThin"/>
            <v:textbox>
              <w:txbxContent>
                <w:p w:rsidR="00740E72" w:rsidRDefault="00740E72" w:rsidP="001D678E">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740E72" w:rsidRPr="001D678E" w:rsidRDefault="00740E72" w:rsidP="001D678E"/>
                <w:p w:rsidR="00740E72" w:rsidRPr="007A4F01" w:rsidRDefault="00740E72" w:rsidP="0047440A">
                  <w:pPr>
                    <w:pStyle w:val="Heading1"/>
                    <w:jc w:val="center"/>
                    <w:rPr>
                      <w:rFonts w:ascii="Arial" w:hAnsi="Arial" w:cs="Arial"/>
                      <w:bCs/>
                      <w:sz w:val="24"/>
                      <w:szCs w:val="24"/>
                    </w:rPr>
                  </w:pPr>
                  <w:r w:rsidRPr="007A4F01">
                    <w:rPr>
                      <w:rFonts w:ascii="Arial" w:hAnsi="Arial" w:cs="Arial"/>
                      <w:sz w:val="24"/>
                      <w:szCs w:val="24"/>
                    </w:rPr>
                    <w:t xml:space="preserve">Supply of oseltamivir 75mg and 30mg capsules </w:t>
                  </w:r>
                  <w:r w:rsidRPr="007A4F01">
                    <w:rPr>
                      <w:rFonts w:ascii="Arial" w:hAnsi="Arial" w:cs="Arial"/>
                      <w:bCs/>
                      <w:sz w:val="24"/>
                      <w:szCs w:val="24"/>
                    </w:rPr>
                    <w:t>for post</w:t>
                  </w:r>
                  <w:r>
                    <w:rPr>
                      <w:rFonts w:ascii="Arial" w:hAnsi="Arial" w:cs="Arial"/>
                      <w:bCs/>
                      <w:sz w:val="24"/>
                      <w:szCs w:val="24"/>
                    </w:rPr>
                    <w:t xml:space="preserve"> </w:t>
                  </w:r>
                  <w:r w:rsidRPr="007A4F01">
                    <w:rPr>
                      <w:rFonts w:ascii="Arial" w:hAnsi="Arial" w:cs="Arial"/>
                      <w:bCs/>
                      <w:sz w:val="24"/>
                      <w:szCs w:val="24"/>
                    </w:rPr>
                    <w:t xml:space="preserve">exposure prophylaxis of influenza </w:t>
                  </w:r>
                </w:p>
                <w:p w:rsidR="00740E72" w:rsidRPr="007A4F01" w:rsidRDefault="00740E72" w:rsidP="0047440A">
                  <w:pPr>
                    <w:pStyle w:val="Heading1"/>
                    <w:jc w:val="center"/>
                    <w:rPr>
                      <w:rFonts w:ascii="Arial" w:hAnsi="Arial" w:cs="Arial"/>
                      <w:bCs/>
                      <w:sz w:val="24"/>
                      <w:szCs w:val="24"/>
                    </w:rPr>
                  </w:pPr>
                  <w:r>
                    <w:rPr>
                      <w:rFonts w:ascii="Arial" w:hAnsi="Arial" w:cs="Arial"/>
                      <w:bCs/>
                      <w:sz w:val="24"/>
                      <w:szCs w:val="24"/>
                    </w:rPr>
                    <w:t>A</w:t>
                  </w:r>
                  <w:r w:rsidRPr="007A4F01">
                    <w:rPr>
                      <w:rFonts w:ascii="Arial" w:hAnsi="Arial" w:cs="Arial"/>
                      <w:bCs/>
                      <w:sz w:val="24"/>
                      <w:szCs w:val="24"/>
                    </w:rPr>
                    <w:t>dult residents and staff of care homes (with or without nursing)</w:t>
                  </w:r>
                </w:p>
                <w:p w:rsidR="00740E72" w:rsidRPr="007E045E" w:rsidRDefault="00740E72" w:rsidP="0047440A">
                  <w:pPr>
                    <w:rPr>
                      <w:color w:val="FF0000"/>
                    </w:rPr>
                  </w:pPr>
                </w:p>
              </w:txbxContent>
            </v:textbox>
            <w10:wrap type="topAndBottom"/>
          </v:rect>
        </w:pict>
      </w:r>
      <w:r w:rsidR="007A4F01" w:rsidRPr="00664C7A">
        <w:rPr>
          <w:b/>
        </w:rPr>
        <w:t xml:space="preserve">PHE publications gateway number: </w:t>
      </w:r>
      <w:r w:rsidR="007A35A7" w:rsidRPr="007A35A7">
        <w:rPr>
          <w:b/>
        </w:rPr>
        <w:t>2015-531</w:t>
      </w:r>
      <w:r w:rsidR="007A35A7">
        <w:rPr>
          <w:color w:val="1F497D"/>
        </w:rPr>
        <w:t>             </w:t>
      </w:r>
    </w:p>
    <w:p w:rsidR="0047440A" w:rsidRPr="00664C7A" w:rsidRDefault="0047440A" w:rsidP="009D2426">
      <w:pPr>
        <w:pStyle w:val="Heading1"/>
        <w:spacing w:before="120" w:after="0"/>
        <w:rPr>
          <w:rFonts w:ascii="Arial" w:hAnsi="Arial" w:cs="Arial"/>
          <w:bCs/>
          <w:sz w:val="24"/>
          <w:szCs w:val="24"/>
        </w:rPr>
      </w:pPr>
      <w:r w:rsidRPr="00664C7A">
        <w:rPr>
          <w:rFonts w:ascii="Arial" w:hAnsi="Arial" w:cs="Arial"/>
          <w:sz w:val="24"/>
          <w:szCs w:val="24"/>
        </w:rPr>
        <w:t>For the supply of oseltamivir 75mg</w:t>
      </w:r>
      <w:r w:rsidR="00DB2824">
        <w:rPr>
          <w:rFonts w:ascii="Arial" w:hAnsi="Arial" w:cs="Arial"/>
          <w:sz w:val="24"/>
          <w:szCs w:val="24"/>
        </w:rPr>
        <w:t xml:space="preserve"> and</w:t>
      </w:r>
      <w:r w:rsidR="001F43C6" w:rsidRPr="00664C7A">
        <w:rPr>
          <w:rFonts w:ascii="Arial" w:hAnsi="Arial" w:cs="Arial"/>
          <w:sz w:val="24"/>
          <w:szCs w:val="24"/>
        </w:rPr>
        <w:t xml:space="preserve"> 30mg</w:t>
      </w:r>
      <w:r w:rsidRPr="00664C7A">
        <w:rPr>
          <w:rFonts w:ascii="Arial" w:hAnsi="Arial" w:cs="Arial"/>
          <w:sz w:val="24"/>
          <w:szCs w:val="24"/>
        </w:rPr>
        <w:t xml:space="preserve"> capsules </w:t>
      </w:r>
      <w:r w:rsidRPr="00664C7A">
        <w:rPr>
          <w:rFonts w:ascii="Arial" w:hAnsi="Arial" w:cs="Arial"/>
          <w:bCs/>
          <w:sz w:val="24"/>
          <w:szCs w:val="24"/>
        </w:rPr>
        <w:t>for pos</w:t>
      </w:r>
      <w:r w:rsidR="009D2426" w:rsidRPr="00664C7A">
        <w:rPr>
          <w:rFonts w:ascii="Arial" w:hAnsi="Arial" w:cs="Arial"/>
          <w:bCs/>
          <w:sz w:val="24"/>
          <w:szCs w:val="24"/>
        </w:rPr>
        <w:t xml:space="preserve">t </w:t>
      </w:r>
      <w:r w:rsidRPr="00664C7A">
        <w:rPr>
          <w:rFonts w:ascii="Arial" w:hAnsi="Arial" w:cs="Arial"/>
          <w:bCs/>
          <w:sz w:val="24"/>
          <w:szCs w:val="24"/>
        </w:rPr>
        <w:t xml:space="preserve">exposure prophylaxis of influenza for adult residents </w:t>
      </w:r>
      <w:r w:rsidR="007B23D4" w:rsidRPr="00664C7A">
        <w:rPr>
          <w:rFonts w:ascii="Arial" w:hAnsi="Arial" w:cs="Arial"/>
          <w:bCs/>
          <w:sz w:val="24"/>
          <w:szCs w:val="24"/>
        </w:rPr>
        <w:t xml:space="preserve">and staff </w:t>
      </w:r>
      <w:r w:rsidRPr="00664C7A">
        <w:rPr>
          <w:rFonts w:ascii="Arial" w:hAnsi="Arial" w:cs="Arial"/>
          <w:bCs/>
          <w:sz w:val="24"/>
          <w:szCs w:val="24"/>
        </w:rPr>
        <w:t>of care homes (with or without nursing)</w:t>
      </w:r>
      <w:r w:rsidR="00120EBC" w:rsidRPr="00664C7A">
        <w:rPr>
          <w:rFonts w:ascii="Arial" w:hAnsi="Arial" w:cs="Arial"/>
          <w:bCs/>
          <w:sz w:val="24"/>
          <w:szCs w:val="24"/>
        </w:rPr>
        <w:t xml:space="preserve"> by  </w:t>
      </w:r>
      <w:permStart w:id="0" w:edGrp="everyone"/>
      <w:r w:rsidR="00120EBC" w:rsidRPr="00664C7A">
        <w:rPr>
          <w:rStyle w:val="yiv436687422763514114-05042013"/>
          <w:rFonts w:ascii="Arial" w:hAnsi="Arial" w:cs="Arial"/>
          <w:b/>
          <w:sz w:val="24"/>
          <w:szCs w:val="24"/>
        </w:rPr>
        <w:t>INSERT HEALTHCARE PROFESSIONAL GROUPS WHICH CAN SUPPLY UNDER THE PGD</w:t>
      </w:r>
      <w:r w:rsidR="00120EBC" w:rsidRPr="00664C7A">
        <w:rPr>
          <w:rFonts w:ascii="Arial" w:hAnsi="Arial" w:cs="Arial"/>
          <w:b/>
          <w:bCs/>
          <w:sz w:val="24"/>
          <w:szCs w:val="24"/>
        </w:rPr>
        <w:t xml:space="preserve">  </w:t>
      </w:r>
      <w:r w:rsidR="00B47AAA" w:rsidRPr="00664C7A">
        <w:rPr>
          <w:rStyle w:val="FootnoteReference"/>
          <w:rFonts w:ascii="Arial" w:hAnsi="Arial" w:cs="Arial"/>
          <w:b/>
          <w:bCs/>
          <w:sz w:val="24"/>
          <w:szCs w:val="24"/>
        </w:rPr>
        <w:footnoteReference w:id="1"/>
      </w:r>
      <w:permEnd w:id="0"/>
    </w:p>
    <w:p w:rsidR="00815487" w:rsidRPr="00664C7A" w:rsidRDefault="00815487" w:rsidP="00815487">
      <w:pPr>
        <w:ind w:rightChars="-375" w:right="-900"/>
        <w:rPr>
          <w:color w:val="000000"/>
          <w:szCs w:val="24"/>
        </w:rPr>
      </w:pPr>
    </w:p>
    <w:p w:rsidR="00815487" w:rsidRPr="00664C7A" w:rsidRDefault="00120EBC" w:rsidP="00D87FC8">
      <w:pPr>
        <w:spacing w:line="320" w:lineRule="exact"/>
        <w:ind w:rightChars="-375" w:right="-900"/>
        <w:rPr>
          <w:rFonts w:cs="Arial"/>
          <w:i/>
          <w:color w:val="FF0000"/>
          <w:szCs w:val="24"/>
        </w:rPr>
      </w:pPr>
      <w:r w:rsidRPr="00664C7A">
        <w:rPr>
          <w:rFonts w:cs="Arial"/>
          <w:color w:val="000000"/>
          <w:szCs w:val="24"/>
        </w:rPr>
        <w:t>Reference</w:t>
      </w:r>
      <w:r w:rsidR="00A440DE" w:rsidRPr="00664C7A">
        <w:rPr>
          <w:rFonts w:cs="Arial"/>
          <w:color w:val="000000"/>
          <w:szCs w:val="24"/>
        </w:rPr>
        <w:t>:</w:t>
      </w:r>
      <w:r w:rsidR="00A440DE" w:rsidRPr="00664C7A">
        <w:rPr>
          <w:rFonts w:cs="Arial"/>
          <w:color w:val="000000"/>
          <w:szCs w:val="24"/>
        </w:rPr>
        <w:tab/>
      </w:r>
      <w:r w:rsidRPr="00664C7A">
        <w:rPr>
          <w:rFonts w:cs="Arial"/>
          <w:color w:val="000000"/>
          <w:szCs w:val="24"/>
        </w:rPr>
        <w:tab/>
      </w:r>
      <w:r w:rsidRPr="00664C7A">
        <w:rPr>
          <w:rFonts w:cs="Arial"/>
          <w:i/>
          <w:color w:val="000000"/>
          <w:szCs w:val="24"/>
        </w:rPr>
        <w:t>Oseltamivir prophylaxis PGD</w:t>
      </w:r>
      <w:r w:rsidR="008526A6" w:rsidRPr="00664C7A">
        <w:rPr>
          <w:rFonts w:cs="Arial"/>
          <w:i/>
          <w:color w:val="FF0000"/>
          <w:szCs w:val="24"/>
        </w:rPr>
        <w:tab/>
      </w:r>
    </w:p>
    <w:p w:rsidR="000B7314" w:rsidRPr="00664C7A" w:rsidRDefault="00815487" w:rsidP="000B7314">
      <w:pPr>
        <w:spacing w:line="320" w:lineRule="exact"/>
        <w:ind w:rightChars="-375" w:right="-900"/>
        <w:rPr>
          <w:rFonts w:cs="Arial"/>
          <w:i/>
          <w:szCs w:val="24"/>
        </w:rPr>
      </w:pPr>
      <w:r w:rsidRPr="00664C7A">
        <w:rPr>
          <w:color w:val="000000"/>
          <w:szCs w:val="24"/>
        </w:rPr>
        <w:t>Version no:</w:t>
      </w:r>
      <w:r w:rsidRPr="00664C7A">
        <w:rPr>
          <w:rFonts w:cs="Arial"/>
          <w:i/>
          <w:color w:val="FF0000"/>
          <w:szCs w:val="24"/>
        </w:rPr>
        <w:t xml:space="preserve"> </w:t>
      </w:r>
      <w:r w:rsidRPr="00664C7A">
        <w:rPr>
          <w:rFonts w:cs="Arial"/>
          <w:i/>
          <w:color w:val="FF0000"/>
          <w:szCs w:val="24"/>
        </w:rPr>
        <w:tab/>
      </w:r>
      <w:r w:rsidRPr="00664C7A">
        <w:rPr>
          <w:rFonts w:cs="Arial"/>
          <w:i/>
          <w:color w:val="FF0000"/>
          <w:szCs w:val="24"/>
        </w:rPr>
        <w:tab/>
      </w:r>
      <w:r w:rsidR="00120EBC" w:rsidRPr="00664C7A">
        <w:rPr>
          <w:rFonts w:cs="Arial"/>
          <w:i/>
          <w:szCs w:val="24"/>
        </w:rPr>
        <w:t>02.0</w:t>
      </w:r>
      <w:r w:rsidR="00256457">
        <w:rPr>
          <w:rFonts w:cs="Arial"/>
          <w:i/>
          <w:szCs w:val="24"/>
        </w:rPr>
        <w:t>0</w:t>
      </w:r>
    </w:p>
    <w:p w:rsidR="00815487" w:rsidRPr="00664C7A" w:rsidRDefault="00815487" w:rsidP="00D87FC8">
      <w:pPr>
        <w:spacing w:line="320" w:lineRule="exact"/>
        <w:ind w:rightChars="-375" w:right="-900"/>
        <w:rPr>
          <w:rFonts w:cs="Arial"/>
          <w:i/>
          <w:color w:val="FF0000"/>
          <w:szCs w:val="24"/>
        </w:rPr>
      </w:pPr>
      <w:r w:rsidRPr="00664C7A">
        <w:rPr>
          <w:rFonts w:cs="Arial"/>
          <w:color w:val="000000"/>
          <w:szCs w:val="24"/>
        </w:rPr>
        <w:t>Valid from:</w:t>
      </w:r>
      <w:r w:rsidRPr="00664C7A">
        <w:rPr>
          <w:rFonts w:cs="Arial"/>
          <w:color w:val="000000"/>
          <w:szCs w:val="24"/>
        </w:rPr>
        <w:tab/>
      </w:r>
      <w:r w:rsidRPr="00664C7A">
        <w:rPr>
          <w:rFonts w:cs="Arial"/>
          <w:color w:val="000000"/>
          <w:szCs w:val="24"/>
        </w:rPr>
        <w:tab/>
      </w:r>
      <w:r w:rsidR="00256457">
        <w:rPr>
          <w:rFonts w:cs="Arial"/>
          <w:i/>
          <w:color w:val="000000"/>
          <w:szCs w:val="24"/>
        </w:rPr>
        <w:t xml:space="preserve">7 </w:t>
      </w:r>
      <w:r w:rsidR="009802CB">
        <w:rPr>
          <w:rFonts w:cs="Arial"/>
          <w:i/>
          <w:color w:val="000000"/>
          <w:szCs w:val="24"/>
        </w:rPr>
        <w:t>January</w:t>
      </w:r>
      <w:r w:rsidR="00C751C5">
        <w:rPr>
          <w:rFonts w:cs="Arial"/>
          <w:i/>
          <w:color w:val="000000"/>
          <w:szCs w:val="24"/>
        </w:rPr>
        <w:t xml:space="preserve"> </w:t>
      </w:r>
      <w:r w:rsidR="00120EBC" w:rsidRPr="00664C7A">
        <w:rPr>
          <w:rFonts w:cs="Arial"/>
          <w:i/>
          <w:szCs w:val="24"/>
        </w:rPr>
        <w:t>201</w:t>
      </w:r>
      <w:r w:rsidR="009802CB">
        <w:rPr>
          <w:rFonts w:cs="Arial"/>
          <w:i/>
          <w:szCs w:val="24"/>
        </w:rPr>
        <w:t>6</w:t>
      </w:r>
    </w:p>
    <w:p w:rsidR="00815487" w:rsidRPr="00664C7A" w:rsidRDefault="00815487" w:rsidP="00D87FC8">
      <w:pPr>
        <w:spacing w:line="320" w:lineRule="exact"/>
        <w:ind w:rightChars="-375" w:right="-900"/>
        <w:rPr>
          <w:rFonts w:cs="Arial"/>
          <w:i/>
          <w:color w:val="FF0000"/>
          <w:szCs w:val="24"/>
        </w:rPr>
      </w:pPr>
      <w:r w:rsidRPr="00664C7A">
        <w:rPr>
          <w:rFonts w:cs="Arial"/>
          <w:i/>
          <w:color w:val="000000"/>
          <w:szCs w:val="24"/>
        </w:rPr>
        <w:t>Review date:</w:t>
      </w:r>
      <w:r w:rsidRPr="00664C7A">
        <w:rPr>
          <w:rFonts w:cs="Arial"/>
          <w:i/>
          <w:color w:val="000000"/>
          <w:szCs w:val="24"/>
        </w:rPr>
        <w:tab/>
      </w:r>
      <w:r w:rsidRPr="00664C7A">
        <w:rPr>
          <w:rFonts w:cs="Arial"/>
          <w:i/>
          <w:color w:val="000000"/>
          <w:szCs w:val="24"/>
        </w:rPr>
        <w:tab/>
      </w:r>
      <w:r w:rsidR="009802CB">
        <w:rPr>
          <w:rFonts w:cs="Arial"/>
          <w:i/>
          <w:color w:val="000000"/>
          <w:szCs w:val="24"/>
        </w:rPr>
        <w:t>7 January</w:t>
      </w:r>
      <w:r w:rsidR="00C751C5">
        <w:rPr>
          <w:rFonts w:cs="Arial"/>
          <w:i/>
          <w:color w:val="000000"/>
          <w:szCs w:val="24"/>
        </w:rPr>
        <w:t xml:space="preserve"> </w:t>
      </w:r>
      <w:r w:rsidR="009802CB" w:rsidRPr="00664C7A">
        <w:rPr>
          <w:rFonts w:cs="Arial"/>
          <w:i/>
          <w:szCs w:val="24"/>
        </w:rPr>
        <w:t>201</w:t>
      </w:r>
      <w:r w:rsidR="009802CB">
        <w:rPr>
          <w:rFonts w:cs="Arial"/>
          <w:i/>
          <w:szCs w:val="24"/>
        </w:rPr>
        <w:t>8</w:t>
      </w:r>
    </w:p>
    <w:p w:rsidR="00815487" w:rsidRPr="00664C7A" w:rsidRDefault="00815487" w:rsidP="00D87FC8">
      <w:pPr>
        <w:spacing w:line="320" w:lineRule="exact"/>
        <w:ind w:rightChars="-375" w:right="-900"/>
        <w:rPr>
          <w:rFonts w:cs="Arial"/>
          <w:i/>
          <w:color w:val="FF0000"/>
          <w:szCs w:val="24"/>
        </w:rPr>
      </w:pPr>
      <w:r w:rsidRPr="00664C7A">
        <w:rPr>
          <w:rFonts w:cs="Arial"/>
          <w:i/>
          <w:color w:val="000000"/>
          <w:szCs w:val="24"/>
        </w:rPr>
        <w:t>Expiry date:</w:t>
      </w:r>
      <w:r w:rsidRPr="00664C7A">
        <w:rPr>
          <w:rFonts w:cs="Arial"/>
          <w:i/>
          <w:color w:val="000000"/>
          <w:szCs w:val="24"/>
        </w:rPr>
        <w:tab/>
      </w:r>
      <w:r w:rsidRPr="00664C7A">
        <w:rPr>
          <w:rFonts w:cs="Arial"/>
          <w:i/>
          <w:color w:val="000000"/>
          <w:szCs w:val="24"/>
        </w:rPr>
        <w:tab/>
      </w:r>
      <w:r w:rsidR="009802CB">
        <w:rPr>
          <w:rFonts w:cs="Arial"/>
          <w:i/>
          <w:color w:val="000000"/>
          <w:szCs w:val="24"/>
        </w:rPr>
        <w:t>7 January</w:t>
      </w:r>
      <w:r w:rsidR="00C751C5">
        <w:rPr>
          <w:rFonts w:cs="Arial"/>
          <w:i/>
          <w:color w:val="000000"/>
          <w:szCs w:val="24"/>
        </w:rPr>
        <w:t xml:space="preserve"> </w:t>
      </w:r>
      <w:r w:rsidR="009802CB" w:rsidRPr="00664C7A">
        <w:rPr>
          <w:rFonts w:cs="Arial"/>
          <w:i/>
          <w:szCs w:val="24"/>
        </w:rPr>
        <w:t>201</w:t>
      </w:r>
      <w:r w:rsidR="009802CB">
        <w:rPr>
          <w:rFonts w:cs="Arial"/>
          <w:i/>
          <w:szCs w:val="24"/>
        </w:rPr>
        <w:t>9</w:t>
      </w:r>
    </w:p>
    <w:p w:rsidR="005E4B93" w:rsidRPr="00664C7A" w:rsidRDefault="00815487" w:rsidP="005E4B93">
      <w:pPr>
        <w:rPr>
          <w:rFonts w:cs="Arial"/>
          <w:b/>
          <w:szCs w:val="24"/>
        </w:rPr>
      </w:pPr>
      <w:r w:rsidRPr="00664C7A" w:rsidDel="00815487">
        <w:rPr>
          <w:rFonts w:cs="Arial"/>
          <w:b/>
          <w:color w:val="000000"/>
          <w:szCs w:val="24"/>
        </w:rPr>
        <w:t xml:space="preserve"> </w:t>
      </w:r>
    </w:p>
    <w:p w:rsidR="009B6DB4" w:rsidRPr="00664C7A" w:rsidRDefault="009B6DB4" w:rsidP="00EB329D">
      <w:pPr>
        <w:spacing w:after="120"/>
        <w:rPr>
          <w:rFonts w:cs="Arial"/>
          <w:b/>
          <w:szCs w:val="24"/>
        </w:rPr>
      </w:pPr>
      <w:r w:rsidRPr="00664C7A">
        <w:rPr>
          <w:rFonts w:cs="Arial"/>
          <w:b/>
          <w:szCs w:val="24"/>
        </w:rPr>
        <w:t xml:space="preserve">Public Health England has developed this PGD </w:t>
      </w:r>
      <w:r w:rsidR="008A3C30" w:rsidRPr="00664C7A">
        <w:rPr>
          <w:rFonts w:cs="Arial"/>
          <w:b/>
          <w:szCs w:val="24"/>
        </w:rPr>
        <w:t xml:space="preserve">Template </w:t>
      </w:r>
      <w:r w:rsidRPr="00664C7A">
        <w:rPr>
          <w:rFonts w:cs="Arial"/>
          <w:b/>
          <w:szCs w:val="24"/>
        </w:rPr>
        <w:t xml:space="preserve">for local authorisation </w:t>
      </w:r>
    </w:p>
    <w:p w:rsidR="00D87FC8" w:rsidRPr="00664C7A" w:rsidRDefault="00FE0BE9" w:rsidP="00EB329D">
      <w:pPr>
        <w:overflowPunct/>
        <w:spacing w:after="120"/>
        <w:textAlignment w:val="auto"/>
        <w:rPr>
          <w:rFonts w:eastAsiaTheme="minorHAnsi" w:cs="Arial"/>
          <w:color w:val="282828"/>
          <w:szCs w:val="24"/>
          <w:lang w:eastAsia="en-US"/>
        </w:rPr>
      </w:pPr>
      <w:r w:rsidRPr="00664C7A">
        <w:rPr>
          <w:rFonts w:cs="Arial"/>
          <w:szCs w:val="24"/>
        </w:rPr>
        <w:t>Those</w:t>
      </w:r>
      <w:r w:rsidR="005E4B93" w:rsidRPr="00664C7A">
        <w:rPr>
          <w:rFonts w:cs="Arial"/>
          <w:szCs w:val="24"/>
        </w:rPr>
        <w:t xml:space="preserve"> using this PGD must ensure that it is formally authorised and signed by a </w:t>
      </w:r>
      <w:r w:rsidR="003E1EBF" w:rsidRPr="00664C7A">
        <w:rPr>
          <w:rFonts w:cs="Arial"/>
          <w:szCs w:val="24"/>
        </w:rPr>
        <w:t xml:space="preserve">clinical </w:t>
      </w:r>
      <w:r w:rsidR="005E4B93" w:rsidRPr="00664C7A">
        <w:rPr>
          <w:rFonts w:cs="Arial"/>
          <w:szCs w:val="24"/>
        </w:rPr>
        <w:t xml:space="preserve">governance </w:t>
      </w:r>
      <w:r w:rsidR="003E1EBF" w:rsidRPr="00664C7A">
        <w:rPr>
          <w:rFonts w:eastAsiaTheme="minorHAnsi" w:cs="Arial"/>
          <w:color w:val="282828"/>
          <w:szCs w:val="24"/>
          <w:lang w:eastAsia="en-US"/>
        </w:rPr>
        <w:t>or patient safety lead, who has designated responsibility for signing PGDs</w:t>
      </w:r>
      <w:r w:rsidR="008A3C30" w:rsidRPr="00664C7A">
        <w:rPr>
          <w:rFonts w:eastAsiaTheme="minorHAnsi" w:cs="Arial"/>
          <w:color w:val="282828"/>
          <w:szCs w:val="24"/>
          <w:lang w:eastAsia="en-US"/>
        </w:rPr>
        <w:t xml:space="preserve">, </w:t>
      </w:r>
      <w:r w:rsidR="008A3C30" w:rsidRPr="00664C7A">
        <w:rPr>
          <w:rFonts w:cs="Arial"/>
          <w:szCs w:val="24"/>
        </w:rPr>
        <w:t>so</w:t>
      </w:r>
      <w:r w:rsidR="005E4B93" w:rsidRPr="00664C7A">
        <w:rPr>
          <w:rFonts w:cs="Arial"/>
          <w:szCs w:val="24"/>
        </w:rPr>
        <w:t xml:space="preserve"> this document meets legal requirements for a PGD. </w:t>
      </w:r>
      <w:r w:rsidR="00C8597B" w:rsidRPr="00664C7A">
        <w:rPr>
          <w:rFonts w:cs="Arial"/>
          <w:b/>
          <w:szCs w:val="24"/>
        </w:rPr>
        <w:t xml:space="preserve">THE PGD IS NOT LEGAL OR VALID WITHOUT THIS LOCAL, FORMAL AUTHORISATION.  </w:t>
      </w:r>
    </w:p>
    <w:p w:rsidR="002D3C77" w:rsidRPr="00664C7A" w:rsidRDefault="002D3C77" w:rsidP="002D3C77">
      <w:r w:rsidRPr="00664C7A">
        <w:t xml:space="preserve">Authorising organisations must not alter or amend the </w:t>
      </w:r>
      <w:r w:rsidRPr="00664C7A">
        <w:rPr>
          <w:i/>
          <w:iCs/>
        </w:rPr>
        <w:t>clinical</w:t>
      </w:r>
      <w:r w:rsidRPr="00664C7A">
        <w:t xml:space="preserve"> content of this document (sections 4, 5 and 6); such action will invalidate the </w:t>
      </w:r>
      <w:r w:rsidRPr="00664C7A">
        <w:rPr>
          <w:i/>
          <w:iCs/>
        </w:rPr>
        <w:t>clinical sign-off</w:t>
      </w:r>
      <w:r w:rsidRPr="00664C7A">
        <w:t xml:space="preserve"> with which it is provided.</w:t>
      </w:r>
    </w:p>
    <w:p w:rsidR="002D3C77" w:rsidRPr="00664C7A" w:rsidRDefault="002D3C77" w:rsidP="002D3C77"/>
    <w:p w:rsidR="002D3C77" w:rsidRPr="00664C7A" w:rsidRDefault="002D3C77" w:rsidP="002D3C77">
      <w:r w:rsidRPr="00664C7A">
        <w:t>As operation of this PGD is the responsibility of commissioners and service providers, the authorising organisation can decide which staff groups, in keeping with relevant legislation, can work to the PGD. Therefore sections 2, 3 and 7 can be amended.</w:t>
      </w:r>
    </w:p>
    <w:p w:rsidR="002D3C77" w:rsidRPr="00664C7A" w:rsidRDefault="002D3C77" w:rsidP="002D3C77"/>
    <w:p w:rsidR="00F039BD" w:rsidRDefault="005E4B93" w:rsidP="00EB329D">
      <w:pPr>
        <w:spacing w:after="120"/>
        <w:rPr>
          <w:rFonts w:cs="Arial"/>
          <w:b/>
          <w:bCs/>
          <w:szCs w:val="24"/>
        </w:rPr>
      </w:pPr>
      <w:r w:rsidRPr="00664C7A">
        <w:rPr>
          <w:rFonts w:cs="Arial"/>
          <w:b/>
          <w:bCs/>
          <w:szCs w:val="24"/>
        </w:rPr>
        <w:t xml:space="preserve">THE PRACTITIONER MUST BE AUTHORISED BY NAME, UNDER THE CURRENT VERSION OF THIS PGD BEFORE WORKING ACCORDING TO IT. </w:t>
      </w:r>
    </w:p>
    <w:p w:rsidR="00F039BD" w:rsidRDefault="008544C1" w:rsidP="00F039BD">
      <w:pPr>
        <w:spacing w:after="120"/>
        <w:rPr>
          <w:rFonts w:cs="Arial"/>
          <w:bCs/>
          <w:szCs w:val="24"/>
        </w:rPr>
      </w:pPr>
      <w:r w:rsidRPr="00664C7A">
        <w:rPr>
          <w:rFonts w:cs="Arial"/>
          <w:bCs/>
          <w:szCs w:val="24"/>
        </w:rPr>
        <w:t xml:space="preserve">Practitioners </w:t>
      </w:r>
      <w:r w:rsidR="00C87933" w:rsidRPr="00664C7A">
        <w:rPr>
          <w:rFonts w:cs="Arial"/>
          <w:bCs/>
          <w:szCs w:val="24"/>
        </w:rPr>
        <w:t xml:space="preserve">and organisations must check that they are using the current version of the PGD. Amendments may </w:t>
      </w:r>
      <w:r w:rsidR="006E2380" w:rsidRPr="00664C7A">
        <w:rPr>
          <w:rFonts w:cs="Arial"/>
          <w:bCs/>
          <w:szCs w:val="24"/>
        </w:rPr>
        <w:t xml:space="preserve">become necessary </w:t>
      </w:r>
      <w:r w:rsidR="00C87933" w:rsidRPr="00664C7A">
        <w:rPr>
          <w:rFonts w:cs="Arial"/>
          <w:bCs/>
          <w:szCs w:val="24"/>
        </w:rPr>
        <w:t xml:space="preserve">prior to the published expiry date. </w:t>
      </w:r>
    </w:p>
    <w:p w:rsidR="001C305E" w:rsidRPr="00F039BD" w:rsidRDefault="001C305E" w:rsidP="00F039BD">
      <w:pPr>
        <w:spacing w:after="120"/>
        <w:rPr>
          <w:rFonts w:cs="Arial"/>
          <w:b/>
          <w:bCs/>
          <w:szCs w:val="24"/>
        </w:rPr>
      </w:pPr>
      <w:r w:rsidRPr="00664C7A">
        <w:rPr>
          <w:rFonts w:cs="Arial"/>
          <w:b/>
          <w:lang w:eastAsia="en-US"/>
        </w:rPr>
        <w:lastRenderedPageBreak/>
        <w:t>Change history</w:t>
      </w:r>
    </w:p>
    <w:p w:rsidR="001C305E" w:rsidRPr="00664C7A" w:rsidRDefault="001C305E" w:rsidP="001C305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6467"/>
        <w:gridCol w:w="1849"/>
      </w:tblGrid>
      <w:tr w:rsidR="001C305E" w:rsidRPr="00664C7A"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664C7A" w:rsidRDefault="001C305E" w:rsidP="006F4906">
            <w:pPr>
              <w:pStyle w:val="Tabletext"/>
              <w:rPr>
                <w:b/>
                <w:bCs/>
                <w:lang w:val="en-GB"/>
              </w:rPr>
            </w:pPr>
            <w:r w:rsidRPr="00664C7A">
              <w:rPr>
                <w:b/>
                <w:bCs/>
                <w:lang w:val="en-GB"/>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664C7A" w:rsidRDefault="001C305E" w:rsidP="006F4906">
            <w:pPr>
              <w:pStyle w:val="Tabletext"/>
              <w:rPr>
                <w:b/>
                <w:bCs/>
                <w:lang w:val="en-GB"/>
              </w:rPr>
            </w:pPr>
            <w:r w:rsidRPr="00664C7A">
              <w:rPr>
                <w:b/>
                <w:bCs/>
                <w:lang w:val="en-GB"/>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664C7A" w:rsidRDefault="001C305E" w:rsidP="006F4906">
            <w:pPr>
              <w:pStyle w:val="Tabletext"/>
              <w:rPr>
                <w:b/>
                <w:bCs/>
                <w:lang w:val="en-GB"/>
              </w:rPr>
            </w:pPr>
            <w:r w:rsidRPr="00664C7A">
              <w:rPr>
                <w:b/>
                <w:bCs/>
                <w:lang w:val="en-GB"/>
              </w:rPr>
              <w:t>Date</w:t>
            </w:r>
          </w:p>
        </w:tc>
      </w:tr>
      <w:tr w:rsidR="001C305E" w:rsidRPr="00664C7A"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775F3" w:rsidRPr="00664C7A" w:rsidRDefault="00256457" w:rsidP="006F4906">
            <w:pPr>
              <w:pStyle w:val="Tabletext"/>
              <w:rPr>
                <w:lang w:val="en-GB"/>
              </w:rPr>
            </w:pPr>
            <w:r>
              <w:rPr>
                <w:lang w:val="en-GB"/>
              </w:rP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1C305E" w:rsidRPr="00256457" w:rsidRDefault="00256457" w:rsidP="00A440DE">
            <w:pPr>
              <w:pStyle w:val="Tabletext"/>
              <w:rPr>
                <w:lang w:val="en-GB"/>
              </w:rPr>
            </w:pPr>
            <w:r>
              <w:rPr>
                <w:lang w:val="en-GB"/>
              </w:rPr>
              <w:t>Original PGD template developed</w:t>
            </w:r>
          </w:p>
        </w:tc>
        <w:tc>
          <w:tcPr>
            <w:tcW w:w="917" w:type="pct"/>
            <w:tcBorders>
              <w:top w:val="single" w:sz="4" w:space="0" w:color="auto"/>
              <w:left w:val="single" w:sz="4" w:space="0" w:color="auto"/>
              <w:bottom w:val="single" w:sz="4" w:space="0" w:color="auto"/>
              <w:right w:val="single" w:sz="4" w:space="0" w:color="auto"/>
            </w:tcBorders>
          </w:tcPr>
          <w:p w:rsidR="001C305E" w:rsidRPr="00664C7A" w:rsidRDefault="00256457" w:rsidP="006F4906">
            <w:pPr>
              <w:pStyle w:val="Tabletext"/>
              <w:rPr>
                <w:lang w:val="en-GB"/>
              </w:rPr>
            </w:pPr>
            <w:r>
              <w:rPr>
                <w:lang w:val="en-GB"/>
              </w:rPr>
              <w:t>11 December 2014</w:t>
            </w:r>
          </w:p>
        </w:tc>
      </w:tr>
      <w:tr w:rsidR="001C305E" w:rsidRPr="00664C7A"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1C305E" w:rsidRPr="00664C7A" w:rsidRDefault="00256457" w:rsidP="00A13AE5">
            <w:pPr>
              <w:pStyle w:val="Tabletext"/>
              <w:rPr>
                <w:lang w:val="en-GB"/>
              </w:rPr>
            </w:pPr>
            <w:r>
              <w:rPr>
                <w:lang w:val="en-GB"/>
              </w:rP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00799E" w:rsidRPr="00664C7A" w:rsidRDefault="00256457" w:rsidP="00256457">
            <w:pPr>
              <w:pStyle w:val="Tabletext"/>
              <w:contextualSpacing/>
              <w:rPr>
                <w:lang w:val="en-GB"/>
              </w:rPr>
            </w:pPr>
            <w:r>
              <w:rPr>
                <w:lang w:val="en-GB"/>
              </w:rPr>
              <w:t>Template reviewed; put into new PHE format and changes to clinical and organisational content made</w:t>
            </w:r>
          </w:p>
        </w:tc>
        <w:tc>
          <w:tcPr>
            <w:tcW w:w="917" w:type="pct"/>
            <w:tcBorders>
              <w:top w:val="single" w:sz="4" w:space="0" w:color="auto"/>
              <w:left w:val="single" w:sz="4" w:space="0" w:color="auto"/>
              <w:bottom w:val="single" w:sz="4" w:space="0" w:color="auto"/>
              <w:right w:val="single" w:sz="4" w:space="0" w:color="auto"/>
            </w:tcBorders>
          </w:tcPr>
          <w:p w:rsidR="001C305E" w:rsidRPr="00664C7A" w:rsidRDefault="00256457" w:rsidP="009802CB">
            <w:pPr>
              <w:pStyle w:val="Tabletext"/>
              <w:rPr>
                <w:lang w:val="en-GB"/>
              </w:rPr>
            </w:pPr>
            <w:r>
              <w:rPr>
                <w:lang w:val="en-GB"/>
              </w:rPr>
              <w:t xml:space="preserve">7 </w:t>
            </w:r>
            <w:r w:rsidR="009802CB">
              <w:rPr>
                <w:lang w:val="en-GB"/>
              </w:rPr>
              <w:t>January</w:t>
            </w:r>
            <w:r w:rsidR="00C751C5">
              <w:rPr>
                <w:lang w:val="en-GB"/>
              </w:rPr>
              <w:t xml:space="preserve"> </w:t>
            </w:r>
            <w:r>
              <w:rPr>
                <w:lang w:val="en-GB"/>
              </w:rPr>
              <w:t>201</w:t>
            </w:r>
            <w:r w:rsidR="009802CB">
              <w:rPr>
                <w:lang w:val="en-GB"/>
              </w:rPr>
              <w:t>6</w:t>
            </w:r>
          </w:p>
        </w:tc>
      </w:tr>
    </w:tbl>
    <w:p w:rsidR="00BC6F32" w:rsidRPr="00664C7A" w:rsidRDefault="00BC6F32" w:rsidP="00222834">
      <w:pPr>
        <w:pStyle w:val="Header"/>
        <w:tabs>
          <w:tab w:val="left" w:pos="720"/>
        </w:tabs>
        <w:jc w:val="both"/>
        <w:rPr>
          <w:rFonts w:ascii="Arial" w:hAnsi="Arial"/>
          <w:i/>
          <w:sz w:val="20"/>
          <w:vertAlign w:val="superscript"/>
        </w:rPr>
      </w:pPr>
    </w:p>
    <w:p w:rsidR="00BC6F32" w:rsidRPr="00664C7A" w:rsidRDefault="00BC6F32" w:rsidP="00222834">
      <w:pPr>
        <w:pStyle w:val="Header"/>
        <w:tabs>
          <w:tab w:val="left" w:pos="720"/>
        </w:tabs>
        <w:jc w:val="both"/>
        <w:rPr>
          <w:rFonts w:ascii="Arial" w:hAnsi="Arial"/>
          <w:i/>
          <w:sz w:val="20"/>
          <w:vertAlign w:val="superscript"/>
        </w:rPr>
      </w:pPr>
    </w:p>
    <w:p w:rsidR="00222834" w:rsidRPr="00664C7A" w:rsidRDefault="00222834">
      <w:pPr>
        <w:overflowPunct/>
        <w:autoSpaceDE/>
        <w:autoSpaceDN/>
        <w:adjustRightInd/>
        <w:jc w:val="center"/>
        <w:textAlignment w:val="auto"/>
        <w:rPr>
          <w:rFonts w:cs="Arial"/>
          <w:b/>
          <w:szCs w:val="24"/>
        </w:rPr>
      </w:pPr>
      <w:r w:rsidRPr="00664C7A">
        <w:rPr>
          <w:rFonts w:cs="Arial"/>
          <w:b/>
          <w:szCs w:val="24"/>
        </w:rPr>
        <w:br w:type="page"/>
      </w:r>
    </w:p>
    <w:p w:rsidR="00BC6F32" w:rsidRPr="00664C7A" w:rsidRDefault="00145831" w:rsidP="002E0381">
      <w:pPr>
        <w:pStyle w:val="Header"/>
        <w:numPr>
          <w:ilvl w:val="0"/>
          <w:numId w:val="11"/>
        </w:numPr>
        <w:tabs>
          <w:tab w:val="left" w:pos="720"/>
        </w:tabs>
        <w:jc w:val="both"/>
        <w:rPr>
          <w:rFonts w:ascii="Arial" w:hAnsi="Arial" w:cs="Arial"/>
          <w:b/>
          <w:szCs w:val="24"/>
        </w:rPr>
      </w:pPr>
      <w:r w:rsidRPr="00664C7A">
        <w:rPr>
          <w:rFonts w:ascii="Arial" w:hAnsi="Arial" w:cs="Arial"/>
          <w:b/>
          <w:szCs w:val="24"/>
        </w:rPr>
        <w:t>PGD template d</w:t>
      </w:r>
      <w:r w:rsidR="00BC6F32" w:rsidRPr="00664C7A">
        <w:rPr>
          <w:rFonts w:ascii="Arial" w:hAnsi="Arial" w:cs="Arial"/>
          <w:b/>
          <w:szCs w:val="24"/>
        </w:rPr>
        <w:t>evelopment</w:t>
      </w:r>
    </w:p>
    <w:p w:rsidR="00BC6F32" w:rsidRPr="00664C7A" w:rsidRDefault="00BC6F32" w:rsidP="00BC6F32">
      <w:pPr>
        <w:pStyle w:val="Header"/>
        <w:spacing w:line="276" w:lineRule="auto"/>
        <w:rPr>
          <w:rFonts w:ascii="Arial" w:hAnsi="Arial" w:cs="Arial"/>
          <w:sz w:val="16"/>
          <w:szCs w:val="16"/>
        </w:rPr>
      </w:pPr>
    </w:p>
    <w:p w:rsidR="00BC6F32" w:rsidRPr="00664C7A" w:rsidRDefault="00BC6F32" w:rsidP="002E393D">
      <w:pPr>
        <w:pStyle w:val="Header"/>
        <w:spacing w:line="276" w:lineRule="auto"/>
        <w:rPr>
          <w:rFonts w:ascii="Arial" w:hAnsi="Arial" w:cs="Arial"/>
          <w:szCs w:val="24"/>
        </w:rPr>
      </w:pPr>
      <w:r w:rsidRPr="00664C7A">
        <w:rPr>
          <w:rFonts w:ascii="Arial" w:hAnsi="Arial" w:cs="Arial"/>
          <w:szCs w:val="24"/>
        </w:rPr>
        <w:t>This PGD template has been developed</w:t>
      </w:r>
      <w:r w:rsidR="006F7521" w:rsidRPr="00664C7A">
        <w:rPr>
          <w:rFonts w:ascii="Arial" w:hAnsi="Arial" w:cs="Arial"/>
          <w:szCs w:val="24"/>
        </w:rPr>
        <w:t xml:space="preserve"> </w:t>
      </w:r>
      <w:r w:rsidR="00A75B9F" w:rsidRPr="00664C7A">
        <w:rPr>
          <w:rFonts w:ascii="Arial" w:hAnsi="Arial" w:cs="Arial"/>
          <w:szCs w:val="24"/>
        </w:rPr>
        <w:t xml:space="preserve">by </w:t>
      </w:r>
      <w:r w:rsidRPr="00664C7A">
        <w:rPr>
          <w:rFonts w:ascii="Arial" w:hAnsi="Arial" w:cs="Arial"/>
          <w:szCs w:val="24"/>
        </w:rPr>
        <w:t>the following on behalf of Public Health England:</w:t>
      </w:r>
    </w:p>
    <w:p w:rsidR="00B32ECD" w:rsidRPr="00664C7A" w:rsidRDefault="00B32ECD" w:rsidP="002E393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68"/>
        <w:gridCol w:w="3402"/>
        <w:gridCol w:w="2268"/>
        <w:gridCol w:w="1985"/>
      </w:tblGrid>
      <w:tr w:rsidR="00B32ECD" w:rsidRPr="00664C7A" w:rsidTr="00A22165">
        <w:trPr>
          <w:trHeight w:val="549"/>
        </w:trPr>
        <w:tc>
          <w:tcPr>
            <w:tcW w:w="2268" w:type="dxa"/>
            <w:shd w:val="clear" w:color="auto" w:fill="F2F2F2" w:themeFill="background1" w:themeFillShade="F2"/>
            <w:vAlign w:val="center"/>
          </w:tcPr>
          <w:p w:rsidR="00B32ECD" w:rsidRPr="00664C7A" w:rsidRDefault="00B32ECD" w:rsidP="002E393D">
            <w:pPr>
              <w:rPr>
                <w:rFonts w:cs="Arial"/>
                <w:color w:val="FF0000"/>
                <w:szCs w:val="24"/>
              </w:rPr>
            </w:pPr>
            <w:r w:rsidRPr="00664C7A">
              <w:rPr>
                <w:rFonts w:cs="Arial"/>
                <w:b/>
                <w:szCs w:val="24"/>
              </w:rPr>
              <w:t>Developed by:</w:t>
            </w:r>
          </w:p>
        </w:tc>
        <w:tc>
          <w:tcPr>
            <w:tcW w:w="3402" w:type="dxa"/>
            <w:shd w:val="clear" w:color="auto" w:fill="F2F2F2" w:themeFill="background1" w:themeFillShade="F2"/>
            <w:vAlign w:val="center"/>
          </w:tcPr>
          <w:p w:rsidR="00B32ECD" w:rsidRPr="00664C7A" w:rsidRDefault="00B32ECD" w:rsidP="002E393D">
            <w:pPr>
              <w:rPr>
                <w:rFonts w:cs="Arial"/>
                <w:b/>
                <w:szCs w:val="24"/>
              </w:rPr>
            </w:pPr>
            <w:r w:rsidRPr="00664C7A">
              <w:rPr>
                <w:rFonts w:cs="Arial"/>
                <w:b/>
                <w:szCs w:val="24"/>
              </w:rPr>
              <w:t>Name</w:t>
            </w:r>
          </w:p>
        </w:tc>
        <w:tc>
          <w:tcPr>
            <w:tcW w:w="2268" w:type="dxa"/>
            <w:shd w:val="clear" w:color="auto" w:fill="F2F2F2" w:themeFill="background1" w:themeFillShade="F2"/>
            <w:vAlign w:val="center"/>
          </w:tcPr>
          <w:p w:rsidR="00B32ECD" w:rsidRPr="00664C7A" w:rsidRDefault="00B32ECD" w:rsidP="002E393D">
            <w:pPr>
              <w:rPr>
                <w:rFonts w:cs="Arial"/>
                <w:b/>
                <w:szCs w:val="24"/>
              </w:rPr>
            </w:pPr>
            <w:r w:rsidRPr="00664C7A">
              <w:rPr>
                <w:rFonts w:cs="Arial"/>
                <w:b/>
                <w:szCs w:val="24"/>
              </w:rPr>
              <w:t>Signature</w:t>
            </w:r>
          </w:p>
        </w:tc>
        <w:tc>
          <w:tcPr>
            <w:tcW w:w="1985" w:type="dxa"/>
            <w:shd w:val="clear" w:color="auto" w:fill="F2F2F2" w:themeFill="background1" w:themeFillShade="F2"/>
            <w:vAlign w:val="center"/>
          </w:tcPr>
          <w:p w:rsidR="00B32ECD" w:rsidRPr="00664C7A" w:rsidRDefault="00B32ECD" w:rsidP="002E393D">
            <w:pPr>
              <w:rPr>
                <w:rFonts w:cs="Arial"/>
                <w:b/>
                <w:szCs w:val="24"/>
              </w:rPr>
            </w:pPr>
            <w:r w:rsidRPr="00664C7A">
              <w:rPr>
                <w:rFonts w:cs="Arial"/>
                <w:b/>
                <w:szCs w:val="24"/>
              </w:rPr>
              <w:t>Date</w:t>
            </w:r>
          </w:p>
        </w:tc>
      </w:tr>
      <w:tr w:rsidR="00B32ECD" w:rsidRPr="00664C7A" w:rsidTr="00EF6D5D">
        <w:trPr>
          <w:trHeight w:val="720"/>
        </w:trPr>
        <w:tc>
          <w:tcPr>
            <w:tcW w:w="2268" w:type="dxa"/>
          </w:tcPr>
          <w:p w:rsidR="00B32ECD" w:rsidRPr="00664C7A" w:rsidRDefault="00B32ECD" w:rsidP="002E393D">
            <w:pPr>
              <w:pStyle w:val="Heading6"/>
              <w:spacing w:before="0" w:after="0"/>
              <w:jc w:val="left"/>
              <w:rPr>
                <w:rFonts w:ascii="Arial" w:hAnsi="Arial" w:cs="Arial"/>
                <w:i w:val="0"/>
                <w:sz w:val="24"/>
                <w:szCs w:val="24"/>
              </w:rPr>
            </w:pPr>
          </w:p>
          <w:p w:rsidR="00B32ECD" w:rsidRPr="00664C7A" w:rsidRDefault="00B32ECD" w:rsidP="002E393D">
            <w:pPr>
              <w:pStyle w:val="Heading6"/>
              <w:spacing w:before="0" w:after="0"/>
              <w:jc w:val="left"/>
              <w:rPr>
                <w:rFonts w:ascii="Arial" w:hAnsi="Arial" w:cs="Arial"/>
                <w:i w:val="0"/>
                <w:sz w:val="24"/>
                <w:szCs w:val="24"/>
              </w:rPr>
            </w:pPr>
            <w:r w:rsidRPr="00664C7A">
              <w:rPr>
                <w:rFonts w:ascii="Arial" w:hAnsi="Arial" w:cs="Arial"/>
                <w:i w:val="0"/>
                <w:sz w:val="24"/>
                <w:szCs w:val="24"/>
              </w:rPr>
              <w:t>Pharmacist</w:t>
            </w:r>
          </w:p>
          <w:p w:rsidR="00B32ECD" w:rsidRPr="00664C7A" w:rsidRDefault="002E393D" w:rsidP="002E393D">
            <w:pPr>
              <w:spacing w:after="120"/>
              <w:rPr>
                <w:rFonts w:cs="Arial"/>
                <w:szCs w:val="24"/>
              </w:rPr>
            </w:pPr>
            <w:r w:rsidRPr="00664C7A">
              <w:rPr>
                <w:rFonts w:cs="Arial"/>
                <w:szCs w:val="24"/>
              </w:rPr>
              <w:t>(Lead a</w:t>
            </w:r>
            <w:r w:rsidR="00B32ECD" w:rsidRPr="00664C7A">
              <w:rPr>
                <w:rFonts w:cs="Arial"/>
                <w:szCs w:val="24"/>
              </w:rPr>
              <w:t>uthor)</w:t>
            </w:r>
          </w:p>
        </w:tc>
        <w:tc>
          <w:tcPr>
            <w:tcW w:w="3402" w:type="dxa"/>
            <w:shd w:val="clear" w:color="auto" w:fill="auto"/>
            <w:vAlign w:val="center"/>
          </w:tcPr>
          <w:p w:rsidR="00A22165" w:rsidRPr="00664C7A" w:rsidRDefault="00153C2B" w:rsidP="002E393D">
            <w:pPr>
              <w:rPr>
                <w:rFonts w:cs="Arial"/>
                <w:szCs w:val="24"/>
              </w:rPr>
            </w:pPr>
            <w:r w:rsidRPr="00664C7A">
              <w:rPr>
                <w:rFonts w:cs="Arial"/>
                <w:szCs w:val="24"/>
              </w:rPr>
              <w:t>Jacqueline Lamberty</w:t>
            </w:r>
          </w:p>
          <w:p w:rsidR="00153C2B" w:rsidRPr="00664C7A" w:rsidRDefault="00153C2B" w:rsidP="002E393D">
            <w:pPr>
              <w:rPr>
                <w:rFonts w:cs="Arial"/>
                <w:sz w:val="18"/>
                <w:szCs w:val="18"/>
              </w:rPr>
            </w:pPr>
            <w:r w:rsidRPr="00664C7A">
              <w:rPr>
                <w:rFonts w:cs="Arial"/>
                <w:sz w:val="18"/>
                <w:szCs w:val="18"/>
              </w:rPr>
              <w:t>Pharmacy and Medicines Management Lead</w:t>
            </w:r>
          </w:p>
        </w:tc>
        <w:tc>
          <w:tcPr>
            <w:tcW w:w="2268" w:type="dxa"/>
          </w:tcPr>
          <w:p w:rsidR="00B32ECD" w:rsidRPr="00664C7A" w:rsidRDefault="002B079B" w:rsidP="002E393D">
            <w:pPr>
              <w:rPr>
                <w:rFonts w:cs="Arial"/>
                <w:i/>
                <w:color w:val="FF0000"/>
                <w:sz w:val="22"/>
                <w:szCs w:val="22"/>
              </w:rPr>
            </w:pPr>
            <w:r w:rsidRPr="002B079B">
              <w:rPr>
                <w:rFonts w:cs="Arial"/>
                <w:i/>
                <w:noProof/>
                <w:color w:val="FF0000"/>
                <w:sz w:val="22"/>
                <w:szCs w:val="22"/>
              </w:rPr>
              <w:drawing>
                <wp:inline distT="0" distB="0" distL="0" distR="0">
                  <wp:extent cx="1403601" cy="638355"/>
                  <wp:effectExtent l="19050" t="0" r="6099"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637" cy="641100"/>
                          </a:xfrm>
                          <a:prstGeom prst="rect">
                            <a:avLst/>
                          </a:prstGeom>
                          <a:noFill/>
                          <a:ln w="9525">
                            <a:noFill/>
                            <a:miter lim="800000"/>
                            <a:headEnd/>
                            <a:tailEnd/>
                          </a:ln>
                        </pic:spPr>
                      </pic:pic>
                    </a:graphicData>
                  </a:graphic>
                </wp:inline>
              </w:drawing>
            </w:r>
          </w:p>
        </w:tc>
        <w:tc>
          <w:tcPr>
            <w:tcW w:w="1985" w:type="dxa"/>
            <w:shd w:val="clear" w:color="auto" w:fill="auto"/>
            <w:vAlign w:val="center"/>
          </w:tcPr>
          <w:p w:rsidR="00B32ECD" w:rsidRPr="00664C7A" w:rsidRDefault="00256457" w:rsidP="009802CB">
            <w:pPr>
              <w:rPr>
                <w:rFonts w:cs="Arial"/>
                <w:szCs w:val="24"/>
              </w:rPr>
            </w:pPr>
            <w:r>
              <w:rPr>
                <w:rFonts w:cs="Arial"/>
                <w:szCs w:val="24"/>
              </w:rPr>
              <w:t xml:space="preserve">7 </w:t>
            </w:r>
            <w:r w:rsidR="009802CB">
              <w:rPr>
                <w:rFonts w:cs="Arial"/>
                <w:szCs w:val="24"/>
              </w:rPr>
              <w:t>January</w:t>
            </w:r>
            <w:r w:rsidR="00C751C5">
              <w:rPr>
                <w:rFonts w:cs="Arial"/>
                <w:szCs w:val="24"/>
              </w:rPr>
              <w:t xml:space="preserve"> </w:t>
            </w:r>
            <w:r w:rsidR="001D49E4">
              <w:rPr>
                <w:rFonts w:cs="Arial"/>
                <w:szCs w:val="24"/>
              </w:rPr>
              <w:t>201</w:t>
            </w:r>
            <w:r w:rsidR="009802CB">
              <w:rPr>
                <w:rFonts w:cs="Arial"/>
                <w:szCs w:val="24"/>
              </w:rPr>
              <w:t>6</w:t>
            </w:r>
          </w:p>
        </w:tc>
      </w:tr>
      <w:tr w:rsidR="00B32ECD" w:rsidRPr="00664C7A" w:rsidTr="00EF6D5D">
        <w:trPr>
          <w:trHeight w:val="621"/>
        </w:trPr>
        <w:tc>
          <w:tcPr>
            <w:tcW w:w="2268" w:type="dxa"/>
          </w:tcPr>
          <w:p w:rsidR="00B32ECD" w:rsidRPr="00664C7A" w:rsidRDefault="00B32ECD" w:rsidP="002E393D">
            <w:pPr>
              <w:pStyle w:val="Heading5"/>
              <w:spacing w:before="0" w:after="0"/>
              <w:rPr>
                <w:rFonts w:ascii="Arial" w:hAnsi="Arial" w:cs="Arial"/>
                <w:i w:val="0"/>
                <w:sz w:val="24"/>
                <w:szCs w:val="24"/>
              </w:rPr>
            </w:pPr>
          </w:p>
          <w:p w:rsidR="00B32ECD" w:rsidRPr="00664C7A" w:rsidRDefault="00B32ECD" w:rsidP="002E393D">
            <w:pPr>
              <w:pStyle w:val="Heading5"/>
              <w:spacing w:before="0" w:after="0"/>
              <w:rPr>
                <w:rFonts w:ascii="Arial" w:hAnsi="Arial" w:cs="Arial"/>
                <w:i w:val="0"/>
                <w:sz w:val="24"/>
                <w:szCs w:val="24"/>
              </w:rPr>
            </w:pPr>
            <w:r w:rsidRPr="00664C7A">
              <w:rPr>
                <w:rFonts w:ascii="Arial" w:hAnsi="Arial" w:cs="Arial"/>
                <w:i w:val="0"/>
                <w:sz w:val="24"/>
                <w:szCs w:val="24"/>
              </w:rPr>
              <w:t>Doctor</w:t>
            </w:r>
          </w:p>
          <w:p w:rsidR="00B32ECD" w:rsidRPr="00664C7A" w:rsidRDefault="00B32ECD" w:rsidP="002E393D">
            <w:pPr>
              <w:rPr>
                <w:rFonts w:cs="Arial"/>
                <w:szCs w:val="24"/>
              </w:rPr>
            </w:pPr>
          </w:p>
        </w:tc>
        <w:tc>
          <w:tcPr>
            <w:tcW w:w="3402" w:type="dxa"/>
            <w:vAlign w:val="center"/>
          </w:tcPr>
          <w:p w:rsidR="00A22165" w:rsidRPr="00664C7A" w:rsidRDefault="00153C2B" w:rsidP="002E393D">
            <w:pPr>
              <w:rPr>
                <w:rFonts w:cs="Arial"/>
                <w:szCs w:val="24"/>
              </w:rPr>
            </w:pPr>
            <w:r w:rsidRPr="00664C7A">
              <w:rPr>
                <w:rFonts w:cs="Arial"/>
                <w:szCs w:val="24"/>
              </w:rPr>
              <w:t>Dr Gavin Dabrera</w:t>
            </w:r>
          </w:p>
          <w:p w:rsidR="00516B71" w:rsidRPr="00664C7A" w:rsidRDefault="00924D40" w:rsidP="007402CB">
            <w:pPr>
              <w:spacing w:after="120"/>
              <w:rPr>
                <w:rFonts w:cs="Arial"/>
                <w:sz w:val="18"/>
                <w:szCs w:val="18"/>
              </w:rPr>
            </w:pPr>
            <w:r w:rsidRPr="00664C7A">
              <w:rPr>
                <w:rFonts w:cs="Arial"/>
                <w:sz w:val="18"/>
                <w:szCs w:val="18"/>
              </w:rPr>
              <w:t>Interim Lead, Legionella and Influenza Preparedness Section, PHE  Respiratory Diseases Department</w:t>
            </w:r>
          </w:p>
        </w:tc>
        <w:tc>
          <w:tcPr>
            <w:tcW w:w="2268" w:type="dxa"/>
          </w:tcPr>
          <w:p w:rsidR="00B32ECD" w:rsidRPr="00664C7A" w:rsidRDefault="00256457" w:rsidP="002E393D">
            <w:pPr>
              <w:rPr>
                <w:rFonts w:cs="Arial"/>
                <w:i/>
                <w:color w:val="FF0000"/>
                <w:sz w:val="22"/>
                <w:szCs w:val="22"/>
              </w:rPr>
            </w:pPr>
            <w:r w:rsidRPr="00256457">
              <w:rPr>
                <w:rFonts w:cs="Arial"/>
                <w:i/>
                <w:noProof/>
                <w:color w:val="FF0000"/>
                <w:sz w:val="22"/>
                <w:szCs w:val="22"/>
              </w:rPr>
              <w:drawing>
                <wp:inline distT="0" distB="0" distL="0" distR="0">
                  <wp:extent cx="1266825" cy="799131"/>
                  <wp:effectExtent l="19050" t="0" r="9525" b="0"/>
                  <wp:docPr id="5" name="Picture 1" descr="C:\Users\Johnny Stafford\AppData\Local\Microsoft\Windows\Temporary Internet Files\Content.Outlook\UH1UDH12\legionella-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 Stafford\AppData\Local\Microsoft\Windows\Temporary Internet Files\Content.Outlook\UH1UDH12\legionella-sig.png"/>
                          <pic:cNvPicPr>
                            <a:picLocks noChangeAspect="1" noChangeArrowheads="1"/>
                          </pic:cNvPicPr>
                        </pic:nvPicPr>
                        <pic:blipFill>
                          <a:blip r:embed="rId9" cstate="print"/>
                          <a:srcRect/>
                          <a:stretch>
                            <a:fillRect/>
                          </a:stretch>
                        </pic:blipFill>
                        <pic:spPr bwMode="auto">
                          <a:xfrm>
                            <a:off x="0" y="0"/>
                            <a:ext cx="1266825" cy="799131"/>
                          </a:xfrm>
                          <a:prstGeom prst="rect">
                            <a:avLst/>
                          </a:prstGeom>
                          <a:noFill/>
                          <a:ln w="9525">
                            <a:noFill/>
                            <a:miter lim="800000"/>
                            <a:headEnd/>
                            <a:tailEnd/>
                          </a:ln>
                        </pic:spPr>
                      </pic:pic>
                    </a:graphicData>
                  </a:graphic>
                </wp:inline>
              </w:drawing>
            </w:r>
          </w:p>
        </w:tc>
        <w:tc>
          <w:tcPr>
            <w:tcW w:w="1985" w:type="dxa"/>
            <w:vAlign w:val="center"/>
          </w:tcPr>
          <w:p w:rsidR="00B32ECD" w:rsidRPr="00664C7A" w:rsidRDefault="009802CB" w:rsidP="002E393D">
            <w:pPr>
              <w:rPr>
                <w:rFonts w:cs="Arial"/>
                <w:szCs w:val="24"/>
              </w:rPr>
            </w:pPr>
            <w:r>
              <w:rPr>
                <w:rFonts w:cs="Arial"/>
                <w:szCs w:val="24"/>
              </w:rPr>
              <w:t>7 January</w:t>
            </w:r>
            <w:r w:rsidR="00C751C5">
              <w:rPr>
                <w:rFonts w:cs="Arial"/>
                <w:szCs w:val="24"/>
              </w:rPr>
              <w:t xml:space="preserve"> </w:t>
            </w:r>
            <w:r>
              <w:rPr>
                <w:rFonts w:cs="Arial"/>
                <w:szCs w:val="24"/>
              </w:rPr>
              <w:t>2016</w:t>
            </w:r>
          </w:p>
        </w:tc>
      </w:tr>
      <w:tr w:rsidR="00B32ECD" w:rsidRPr="00664C7A" w:rsidTr="00EF6D5D">
        <w:trPr>
          <w:trHeight w:val="621"/>
        </w:trPr>
        <w:tc>
          <w:tcPr>
            <w:tcW w:w="2268" w:type="dxa"/>
          </w:tcPr>
          <w:p w:rsidR="00B32ECD" w:rsidRPr="00664C7A" w:rsidRDefault="00B32ECD" w:rsidP="002E393D">
            <w:pPr>
              <w:pStyle w:val="Heading5"/>
              <w:spacing w:before="0" w:after="0"/>
              <w:rPr>
                <w:rFonts w:ascii="Arial" w:hAnsi="Arial" w:cs="Arial"/>
                <w:i w:val="0"/>
                <w:color w:val="FF0000"/>
                <w:sz w:val="24"/>
                <w:szCs w:val="24"/>
              </w:rPr>
            </w:pPr>
          </w:p>
          <w:p w:rsidR="00B32ECD" w:rsidRPr="00664C7A" w:rsidRDefault="002E393D" w:rsidP="002E393D">
            <w:pPr>
              <w:pStyle w:val="Heading5"/>
              <w:spacing w:before="0" w:after="0"/>
              <w:rPr>
                <w:rFonts w:ascii="Arial" w:hAnsi="Arial" w:cs="Arial"/>
                <w:i w:val="0"/>
                <w:sz w:val="24"/>
                <w:szCs w:val="24"/>
              </w:rPr>
            </w:pPr>
            <w:r w:rsidRPr="00664C7A">
              <w:rPr>
                <w:rFonts w:ascii="Arial" w:hAnsi="Arial" w:cs="Arial"/>
                <w:i w:val="0"/>
                <w:sz w:val="24"/>
                <w:szCs w:val="24"/>
              </w:rPr>
              <w:t>Registered n</w:t>
            </w:r>
            <w:r w:rsidR="00B32ECD" w:rsidRPr="00664C7A">
              <w:rPr>
                <w:rFonts w:ascii="Arial" w:hAnsi="Arial" w:cs="Arial"/>
                <w:i w:val="0"/>
                <w:sz w:val="24"/>
                <w:szCs w:val="24"/>
              </w:rPr>
              <w:t>urse</w:t>
            </w:r>
          </w:p>
          <w:p w:rsidR="00B32ECD" w:rsidRPr="00664C7A" w:rsidRDefault="00B32ECD" w:rsidP="002E393D">
            <w:pPr>
              <w:rPr>
                <w:rFonts w:cs="Arial"/>
                <w:szCs w:val="24"/>
              </w:rPr>
            </w:pPr>
          </w:p>
        </w:tc>
        <w:tc>
          <w:tcPr>
            <w:tcW w:w="3402" w:type="dxa"/>
            <w:vAlign w:val="center"/>
          </w:tcPr>
          <w:p w:rsidR="00B32ECD" w:rsidRPr="00664C7A" w:rsidRDefault="00145831" w:rsidP="002E393D">
            <w:pPr>
              <w:rPr>
                <w:szCs w:val="24"/>
              </w:rPr>
            </w:pPr>
            <w:r w:rsidRPr="00664C7A">
              <w:rPr>
                <w:szCs w:val="24"/>
              </w:rPr>
              <w:t>Alice Cowley</w:t>
            </w:r>
          </w:p>
          <w:p w:rsidR="00145831" w:rsidRPr="00664C7A" w:rsidRDefault="00145831" w:rsidP="00145831">
            <w:pPr>
              <w:rPr>
                <w:rFonts w:cs="Arial"/>
                <w:sz w:val="20"/>
              </w:rPr>
            </w:pPr>
            <w:r w:rsidRPr="00664C7A">
              <w:rPr>
                <w:rFonts w:cs="Arial"/>
                <w:sz w:val="20"/>
              </w:rPr>
              <w:t>Senior Health Protection Specialist</w:t>
            </w:r>
          </w:p>
          <w:p w:rsidR="00145831" w:rsidRPr="00664C7A" w:rsidRDefault="00145831" w:rsidP="007402CB">
            <w:pPr>
              <w:spacing w:after="120"/>
              <w:rPr>
                <w:rFonts w:cs="Arial"/>
                <w:color w:val="404040"/>
                <w:sz w:val="20"/>
              </w:rPr>
            </w:pPr>
            <w:r w:rsidRPr="00664C7A">
              <w:rPr>
                <w:rFonts w:cs="Arial"/>
                <w:sz w:val="20"/>
              </w:rPr>
              <w:t>South East London Health Protection Team</w:t>
            </w:r>
            <w:r w:rsidRPr="00664C7A">
              <w:rPr>
                <w:rFonts w:cs="Arial"/>
                <w:color w:val="404040"/>
                <w:sz w:val="20"/>
              </w:rPr>
              <w:t xml:space="preserve"> </w:t>
            </w:r>
          </w:p>
        </w:tc>
        <w:tc>
          <w:tcPr>
            <w:tcW w:w="2268" w:type="dxa"/>
          </w:tcPr>
          <w:p w:rsidR="00B32ECD" w:rsidRPr="00664C7A" w:rsidRDefault="002B079B" w:rsidP="002E393D">
            <w:pPr>
              <w:rPr>
                <w:rFonts w:cs="Arial"/>
                <w:i/>
                <w:color w:val="FF0000"/>
                <w:sz w:val="22"/>
                <w:szCs w:val="22"/>
              </w:rPr>
            </w:pPr>
            <w:r w:rsidRPr="002B079B">
              <w:rPr>
                <w:noProof/>
              </w:rPr>
              <w:drawing>
                <wp:inline distT="0" distB="0" distL="0" distR="0">
                  <wp:extent cx="940435" cy="621030"/>
                  <wp:effectExtent l="19050" t="0" r="0" b="0"/>
                  <wp:docPr id="2" name="Picture 8" descr="cid:image001.jpg@01D10B44.485CF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10B44.485CFBB0"/>
                          <pic:cNvPicPr>
                            <a:picLocks noChangeAspect="1" noChangeArrowheads="1"/>
                          </pic:cNvPicPr>
                        </pic:nvPicPr>
                        <pic:blipFill>
                          <a:blip r:embed="rId10" r:link="rId11" cstate="print"/>
                          <a:srcRect/>
                          <a:stretch>
                            <a:fillRect/>
                          </a:stretch>
                        </pic:blipFill>
                        <pic:spPr bwMode="auto">
                          <a:xfrm>
                            <a:off x="0" y="0"/>
                            <a:ext cx="940435" cy="621030"/>
                          </a:xfrm>
                          <a:prstGeom prst="rect">
                            <a:avLst/>
                          </a:prstGeom>
                          <a:noFill/>
                          <a:ln w="9525">
                            <a:noFill/>
                            <a:miter lim="800000"/>
                            <a:headEnd/>
                            <a:tailEnd/>
                          </a:ln>
                        </pic:spPr>
                      </pic:pic>
                    </a:graphicData>
                  </a:graphic>
                </wp:inline>
              </w:drawing>
            </w:r>
          </w:p>
        </w:tc>
        <w:tc>
          <w:tcPr>
            <w:tcW w:w="1985" w:type="dxa"/>
            <w:vAlign w:val="center"/>
          </w:tcPr>
          <w:p w:rsidR="00B32ECD" w:rsidRPr="00664C7A" w:rsidRDefault="009802CB" w:rsidP="002E393D">
            <w:pPr>
              <w:rPr>
                <w:rFonts w:cs="Arial"/>
                <w:szCs w:val="24"/>
              </w:rPr>
            </w:pPr>
            <w:r>
              <w:rPr>
                <w:rFonts w:cs="Arial"/>
                <w:szCs w:val="24"/>
              </w:rPr>
              <w:t>7 January</w:t>
            </w:r>
            <w:r w:rsidR="00C751C5">
              <w:rPr>
                <w:rFonts w:cs="Arial"/>
                <w:szCs w:val="24"/>
              </w:rPr>
              <w:t xml:space="preserve"> </w:t>
            </w:r>
            <w:r>
              <w:rPr>
                <w:rFonts w:cs="Arial"/>
                <w:szCs w:val="24"/>
              </w:rPr>
              <w:t>2016</w:t>
            </w:r>
          </w:p>
        </w:tc>
      </w:tr>
    </w:tbl>
    <w:p w:rsidR="00BC6F32" w:rsidRPr="00664C7A" w:rsidRDefault="00BC6F32" w:rsidP="002E393D">
      <w:pPr>
        <w:rPr>
          <w:rFonts w:cs="Arial"/>
          <w:i/>
          <w:sz w:val="16"/>
          <w:szCs w:val="16"/>
        </w:rPr>
      </w:pPr>
    </w:p>
    <w:p w:rsidR="006F7521" w:rsidRPr="00664C7A" w:rsidRDefault="006F7521" w:rsidP="002E393D">
      <w:pPr>
        <w:rPr>
          <w:rFonts w:cs="Arial"/>
          <w:szCs w:val="24"/>
        </w:rPr>
      </w:pPr>
      <w:r w:rsidRPr="00664C7A">
        <w:rPr>
          <w:rFonts w:cs="Arial"/>
          <w:szCs w:val="24"/>
        </w:rPr>
        <w:t xml:space="preserve">This PGD </w:t>
      </w:r>
      <w:r w:rsidR="00516B71" w:rsidRPr="00664C7A">
        <w:rPr>
          <w:rFonts w:cs="Arial"/>
          <w:szCs w:val="24"/>
        </w:rPr>
        <w:t xml:space="preserve">template </w:t>
      </w:r>
      <w:r w:rsidRPr="00664C7A">
        <w:rPr>
          <w:rFonts w:cs="Arial"/>
          <w:szCs w:val="24"/>
        </w:rPr>
        <w:t>ha</w:t>
      </w:r>
      <w:r w:rsidR="00A75B9F" w:rsidRPr="00664C7A">
        <w:rPr>
          <w:rFonts w:cs="Arial"/>
          <w:szCs w:val="24"/>
        </w:rPr>
        <w:t>s</w:t>
      </w:r>
      <w:r w:rsidR="008A3C30" w:rsidRPr="00664C7A">
        <w:rPr>
          <w:rFonts w:cs="Arial"/>
          <w:szCs w:val="24"/>
        </w:rPr>
        <w:t xml:space="preserve"> been peer reviewed by an </w:t>
      </w:r>
      <w:r w:rsidR="00050612" w:rsidRPr="00664C7A">
        <w:rPr>
          <w:rFonts w:cs="Arial"/>
          <w:szCs w:val="24"/>
        </w:rPr>
        <w:t>e</w:t>
      </w:r>
      <w:r w:rsidR="00145831" w:rsidRPr="00664C7A">
        <w:rPr>
          <w:rFonts w:cs="Arial"/>
          <w:szCs w:val="24"/>
        </w:rPr>
        <w:t>xpert p</w:t>
      </w:r>
      <w:r w:rsidRPr="00664C7A">
        <w:rPr>
          <w:rFonts w:cs="Arial"/>
          <w:szCs w:val="24"/>
        </w:rPr>
        <w:t xml:space="preserve">anel in accordance with </w:t>
      </w:r>
      <w:r w:rsidR="008A3C30" w:rsidRPr="00664C7A">
        <w:rPr>
          <w:rFonts w:cs="Arial"/>
          <w:szCs w:val="24"/>
        </w:rPr>
        <w:t xml:space="preserve">the </w:t>
      </w:r>
      <w:r w:rsidRPr="00664C7A">
        <w:rPr>
          <w:rFonts w:cs="Arial"/>
          <w:szCs w:val="24"/>
        </w:rPr>
        <w:t xml:space="preserve">PHE </w:t>
      </w:r>
      <w:r w:rsidR="006A6B9F" w:rsidRPr="00664C7A">
        <w:rPr>
          <w:rFonts w:cs="Arial"/>
          <w:szCs w:val="24"/>
        </w:rPr>
        <w:t xml:space="preserve">PGD </w:t>
      </w:r>
      <w:r w:rsidRPr="00664C7A">
        <w:rPr>
          <w:rFonts w:cs="Arial"/>
          <w:szCs w:val="24"/>
        </w:rPr>
        <w:t xml:space="preserve">Policy. It has been </w:t>
      </w:r>
      <w:r w:rsidR="008A3C30" w:rsidRPr="00664C7A">
        <w:rPr>
          <w:rFonts w:cs="Arial"/>
          <w:szCs w:val="24"/>
        </w:rPr>
        <w:t xml:space="preserve">agreed </w:t>
      </w:r>
      <w:r w:rsidRPr="00664C7A">
        <w:rPr>
          <w:rFonts w:cs="Arial"/>
          <w:szCs w:val="24"/>
        </w:rPr>
        <w:t xml:space="preserve">by </w:t>
      </w:r>
      <w:r w:rsidR="008A3C30" w:rsidRPr="00664C7A">
        <w:rPr>
          <w:rFonts w:cs="Arial"/>
          <w:szCs w:val="24"/>
        </w:rPr>
        <w:t xml:space="preserve">the </w:t>
      </w:r>
      <w:r w:rsidRPr="00664C7A">
        <w:rPr>
          <w:rFonts w:cs="Arial"/>
          <w:szCs w:val="24"/>
        </w:rPr>
        <w:t xml:space="preserve">PHE Medicines Management Group and </w:t>
      </w:r>
      <w:r w:rsidR="008A3C30" w:rsidRPr="00664C7A">
        <w:rPr>
          <w:rFonts w:cs="Arial"/>
          <w:szCs w:val="24"/>
        </w:rPr>
        <w:t>the PHE Clinical Governance Group.</w:t>
      </w:r>
    </w:p>
    <w:p w:rsidR="006F7521" w:rsidRPr="00664C7A" w:rsidRDefault="006F7521" w:rsidP="00BC6F32">
      <w:pPr>
        <w:rPr>
          <w:rFonts w:cs="Arial"/>
          <w:i/>
          <w:szCs w:val="24"/>
        </w:rPr>
      </w:pPr>
    </w:p>
    <w:p w:rsidR="00BC6F32" w:rsidRPr="00664C7A" w:rsidRDefault="00BC6F32" w:rsidP="00BC6F32">
      <w:pPr>
        <w:rPr>
          <w:szCs w:val="24"/>
        </w:rPr>
      </w:pPr>
    </w:p>
    <w:p w:rsidR="00BC6F32" w:rsidRPr="00664C7A" w:rsidRDefault="00145831" w:rsidP="00BC6F32">
      <w:pPr>
        <w:spacing w:line="276" w:lineRule="auto"/>
        <w:rPr>
          <w:rFonts w:cs="Arial"/>
          <w:b/>
          <w:szCs w:val="24"/>
        </w:rPr>
      </w:pPr>
      <w:r w:rsidRPr="00664C7A">
        <w:rPr>
          <w:rFonts w:cs="Arial"/>
          <w:b/>
          <w:szCs w:val="24"/>
        </w:rPr>
        <w:t>Expert p</w:t>
      </w:r>
      <w:r w:rsidR="00516B71" w:rsidRPr="00664C7A">
        <w:rPr>
          <w:rFonts w:cs="Arial"/>
          <w:b/>
          <w:szCs w:val="24"/>
        </w:rPr>
        <w:t>anel</w:t>
      </w:r>
    </w:p>
    <w:p w:rsidR="00516B71" w:rsidRPr="00664C7A" w:rsidRDefault="00516B71"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946"/>
      </w:tblGrid>
      <w:tr w:rsidR="00BC6F32" w:rsidRPr="00664C7A" w:rsidTr="00EF6D5D">
        <w:trPr>
          <w:trHeight w:val="254"/>
        </w:trPr>
        <w:tc>
          <w:tcPr>
            <w:tcW w:w="2977" w:type="dxa"/>
            <w:shd w:val="clear" w:color="auto" w:fill="F2F2F2" w:themeFill="background1" w:themeFillShade="F2"/>
            <w:vAlign w:val="center"/>
          </w:tcPr>
          <w:p w:rsidR="00BC6F32" w:rsidRPr="00664C7A" w:rsidRDefault="00BC6F32" w:rsidP="007402CB">
            <w:pPr>
              <w:spacing w:before="60" w:after="60" w:line="276" w:lineRule="auto"/>
              <w:rPr>
                <w:rFonts w:cs="Arial"/>
                <w:b/>
                <w:szCs w:val="24"/>
              </w:rPr>
            </w:pPr>
            <w:r w:rsidRPr="00664C7A">
              <w:rPr>
                <w:rFonts w:cs="Arial"/>
                <w:b/>
                <w:szCs w:val="24"/>
              </w:rPr>
              <w:t>Name</w:t>
            </w:r>
          </w:p>
        </w:tc>
        <w:tc>
          <w:tcPr>
            <w:tcW w:w="6946" w:type="dxa"/>
            <w:shd w:val="clear" w:color="auto" w:fill="F2F2F2" w:themeFill="background1" w:themeFillShade="F2"/>
            <w:vAlign w:val="center"/>
          </w:tcPr>
          <w:p w:rsidR="00BC6F32" w:rsidRPr="00664C7A" w:rsidRDefault="00BC6F32" w:rsidP="007402CB">
            <w:pPr>
              <w:spacing w:before="60" w:after="60" w:line="276" w:lineRule="auto"/>
              <w:rPr>
                <w:rFonts w:cs="Arial"/>
                <w:b/>
                <w:szCs w:val="24"/>
              </w:rPr>
            </w:pPr>
            <w:r w:rsidRPr="00664C7A">
              <w:rPr>
                <w:rFonts w:cs="Arial"/>
                <w:b/>
                <w:szCs w:val="24"/>
              </w:rPr>
              <w:t>Designation</w:t>
            </w:r>
          </w:p>
        </w:tc>
      </w:tr>
      <w:tr w:rsidR="00BC6F32" w:rsidRPr="00664C7A" w:rsidTr="00EF6D5D">
        <w:trPr>
          <w:trHeight w:val="254"/>
        </w:trPr>
        <w:tc>
          <w:tcPr>
            <w:tcW w:w="2977" w:type="dxa"/>
            <w:vAlign w:val="center"/>
          </w:tcPr>
          <w:p w:rsidR="00BC6F32" w:rsidRPr="00664C7A" w:rsidRDefault="00516B71" w:rsidP="007402CB">
            <w:pPr>
              <w:spacing w:before="60" w:after="60" w:line="276" w:lineRule="auto"/>
              <w:rPr>
                <w:rFonts w:cs="Arial"/>
                <w:color w:val="000000" w:themeColor="text1"/>
                <w:szCs w:val="24"/>
              </w:rPr>
            </w:pPr>
            <w:r w:rsidRPr="00664C7A">
              <w:rPr>
                <w:color w:val="000000" w:themeColor="text1"/>
                <w:szCs w:val="24"/>
              </w:rPr>
              <w:t>Dr Richard Pebody</w:t>
            </w:r>
          </w:p>
        </w:tc>
        <w:tc>
          <w:tcPr>
            <w:tcW w:w="6946" w:type="dxa"/>
            <w:vAlign w:val="center"/>
          </w:tcPr>
          <w:p w:rsidR="00BC6F32" w:rsidRPr="00664C7A" w:rsidRDefault="00516B71" w:rsidP="007402CB">
            <w:pPr>
              <w:spacing w:before="60" w:after="60"/>
              <w:rPr>
                <w:rFonts w:cs="Arial"/>
                <w:color w:val="000000" w:themeColor="text1"/>
                <w:szCs w:val="24"/>
              </w:rPr>
            </w:pPr>
            <w:r w:rsidRPr="00664C7A">
              <w:rPr>
                <w:color w:val="000000" w:themeColor="text1"/>
                <w:szCs w:val="24"/>
              </w:rPr>
              <w:t>Chair, Head PHE Respiratory Disease Department</w:t>
            </w:r>
          </w:p>
        </w:tc>
      </w:tr>
      <w:tr w:rsidR="001776DE" w:rsidRPr="00664C7A" w:rsidTr="00EF6D5D">
        <w:trPr>
          <w:trHeight w:val="254"/>
        </w:trPr>
        <w:tc>
          <w:tcPr>
            <w:tcW w:w="2977" w:type="dxa"/>
          </w:tcPr>
          <w:p w:rsidR="001776DE" w:rsidRPr="00664C7A" w:rsidRDefault="00516B71" w:rsidP="007402CB">
            <w:pPr>
              <w:pStyle w:val="Default"/>
              <w:spacing w:before="60" w:after="60"/>
              <w:rPr>
                <w:color w:val="000000" w:themeColor="text1"/>
              </w:rPr>
            </w:pPr>
            <w:r w:rsidRPr="00664C7A">
              <w:rPr>
                <w:color w:val="000000" w:themeColor="text1"/>
              </w:rPr>
              <w:t>Mr Phillip Howard</w:t>
            </w:r>
          </w:p>
        </w:tc>
        <w:tc>
          <w:tcPr>
            <w:tcW w:w="6946" w:type="dxa"/>
          </w:tcPr>
          <w:p w:rsidR="001776DE" w:rsidRPr="00664C7A" w:rsidRDefault="00045229" w:rsidP="007402CB">
            <w:pPr>
              <w:spacing w:before="60" w:after="60"/>
              <w:rPr>
                <w:rFonts w:cs="Arial"/>
                <w:bCs/>
                <w:color w:val="000000" w:themeColor="text1"/>
                <w:szCs w:val="24"/>
              </w:rPr>
            </w:pPr>
            <w:r w:rsidRPr="00664C7A">
              <w:rPr>
                <w:color w:val="000000" w:themeColor="text1"/>
                <w:szCs w:val="24"/>
              </w:rPr>
              <w:t xml:space="preserve">Consultant </w:t>
            </w:r>
            <w:r w:rsidR="00516B71" w:rsidRPr="00664C7A">
              <w:rPr>
                <w:color w:val="000000" w:themeColor="text1"/>
                <w:szCs w:val="24"/>
              </w:rPr>
              <w:t xml:space="preserve">Pharmacist, </w:t>
            </w:r>
            <w:r w:rsidRPr="00664C7A">
              <w:rPr>
                <w:color w:val="000000" w:themeColor="text1"/>
                <w:szCs w:val="24"/>
              </w:rPr>
              <w:t xml:space="preserve">Leeds Teaching Hospitals </w:t>
            </w:r>
            <w:r w:rsidR="00516B71" w:rsidRPr="00664C7A">
              <w:rPr>
                <w:color w:val="000000" w:themeColor="text1"/>
                <w:szCs w:val="24"/>
              </w:rPr>
              <w:t xml:space="preserve">NHS </w:t>
            </w:r>
            <w:r w:rsidRPr="00664C7A">
              <w:rPr>
                <w:color w:val="000000" w:themeColor="text1"/>
                <w:szCs w:val="24"/>
              </w:rPr>
              <w:t>Trust</w:t>
            </w:r>
          </w:p>
        </w:tc>
      </w:tr>
      <w:tr w:rsidR="001776DE" w:rsidRPr="00664C7A" w:rsidTr="00EF6D5D">
        <w:trPr>
          <w:trHeight w:val="267"/>
        </w:trPr>
        <w:tc>
          <w:tcPr>
            <w:tcW w:w="2977" w:type="dxa"/>
          </w:tcPr>
          <w:p w:rsidR="001776DE" w:rsidRPr="00664C7A" w:rsidRDefault="00516B71" w:rsidP="007402CB">
            <w:pPr>
              <w:pStyle w:val="Default"/>
              <w:spacing w:before="60" w:after="60"/>
              <w:rPr>
                <w:color w:val="000000" w:themeColor="text1"/>
              </w:rPr>
            </w:pPr>
            <w:r w:rsidRPr="00664C7A">
              <w:rPr>
                <w:color w:val="000000" w:themeColor="text1"/>
              </w:rPr>
              <w:t>Mr Mark Borthwick</w:t>
            </w:r>
          </w:p>
        </w:tc>
        <w:tc>
          <w:tcPr>
            <w:tcW w:w="6946" w:type="dxa"/>
          </w:tcPr>
          <w:p w:rsidR="001776DE" w:rsidRPr="00664C7A" w:rsidRDefault="00516B71" w:rsidP="007402CB">
            <w:pPr>
              <w:pStyle w:val="Default"/>
              <w:spacing w:before="60" w:after="60"/>
              <w:rPr>
                <w:color w:val="000000" w:themeColor="text1"/>
              </w:rPr>
            </w:pPr>
            <w:r w:rsidRPr="00664C7A">
              <w:rPr>
                <w:color w:val="000000" w:themeColor="text1"/>
              </w:rPr>
              <w:t>Consultant Pharmacist, Oxford University Hospitals</w:t>
            </w:r>
            <w:r w:rsidR="00045229" w:rsidRPr="00664C7A">
              <w:rPr>
                <w:color w:val="000000" w:themeColor="text1"/>
              </w:rPr>
              <w:t xml:space="preserve"> NHS Trust</w:t>
            </w:r>
          </w:p>
        </w:tc>
      </w:tr>
      <w:tr w:rsidR="001776DE" w:rsidRPr="00664C7A" w:rsidTr="00EF6D5D">
        <w:trPr>
          <w:trHeight w:val="267"/>
        </w:trPr>
        <w:tc>
          <w:tcPr>
            <w:tcW w:w="2977" w:type="dxa"/>
          </w:tcPr>
          <w:p w:rsidR="001776DE" w:rsidRPr="00664C7A" w:rsidRDefault="00516B71" w:rsidP="007402CB">
            <w:pPr>
              <w:pStyle w:val="Default"/>
              <w:spacing w:before="60" w:after="60"/>
              <w:rPr>
                <w:color w:val="000000" w:themeColor="text1"/>
              </w:rPr>
            </w:pPr>
            <w:r w:rsidRPr="00664C7A">
              <w:rPr>
                <w:color w:val="000000" w:themeColor="text1"/>
              </w:rPr>
              <w:t>Dr Mat Donati</w:t>
            </w:r>
          </w:p>
        </w:tc>
        <w:tc>
          <w:tcPr>
            <w:tcW w:w="6946" w:type="dxa"/>
          </w:tcPr>
          <w:p w:rsidR="001776DE" w:rsidRPr="00664C7A" w:rsidRDefault="00516B71" w:rsidP="007402CB">
            <w:pPr>
              <w:spacing w:before="60" w:after="60"/>
              <w:rPr>
                <w:rFonts w:cs="Arial"/>
                <w:bCs/>
                <w:color w:val="000000" w:themeColor="text1"/>
                <w:szCs w:val="24"/>
              </w:rPr>
            </w:pPr>
            <w:r w:rsidRPr="00664C7A">
              <w:rPr>
                <w:color w:val="000000" w:themeColor="text1"/>
                <w:szCs w:val="24"/>
              </w:rPr>
              <w:t>Consultant Medical Virologist, Bristol PHE laboratory</w:t>
            </w:r>
          </w:p>
        </w:tc>
      </w:tr>
      <w:tr w:rsidR="001776DE" w:rsidRPr="00664C7A" w:rsidTr="00EF6D5D">
        <w:trPr>
          <w:trHeight w:val="267"/>
        </w:trPr>
        <w:tc>
          <w:tcPr>
            <w:tcW w:w="2977" w:type="dxa"/>
          </w:tcPr>
          <w:p w:rsidR="001776DE" w:rsidRPr="00664C7A" w:rsidRDefault="001B7F9E" w:rsidP="007402CB">
            <w:pPr>
              <w:pStyle w:val="Default"/>
              <w:spacing w:before="60" w:after="60"/>
              <w:rPr>
                <w:color w:val="auto"/>
              </w:rPr>
            </w:pPr>
            <w:r w:rsidRPr="00664C7A">
              <w:rPr>
                <w:color w:val="auto"/>
              </w:rPr>
              <w:t>Dr Sally Millership</w:t>
            </w:r>
          </w:p>
        </w:tc>
        <w:tc>
          <w:tcPr>
            <w:tcW w:w="6946" w:type="dxa"/>
          </w:tcPr>
          <w:p w:rsidR="001776DE" w:rsidRPr="00664C7A" w:rsidRDefault="001B7F9E" w:rsidP="007402CB">
            <w:pPr>
              <w:spacing w:before="60" w:after="60"/>
              <w:rPr>
                <w:rFonts w:cs="Arial"/>
                <w:szCs w:val="24"/>
              </w:rPr>
            </w:pPr>
            <w:r w:rsidRPr="00664C7A">
              <w:rPr>
                <w:rFonts w:cs="Arial"/>
                <w:szCs w:val="24"/>
              </w:rPr>
              <w:t>CCDC, E</w:t>
            </w:r>
            <w:r w:rsidR="00540C31" w:rsidRPr="00664C7A">
              <w:rPr>
                <w:rFonts w:cs="Arial"/>
                <w:szCs w:val="24"/>
              </w:rPr>
              <w:t xml:space="preserve">ast of England </w:t>
            </w:r>
            <w:r w:rsidRPr="00664C7A">
              <w:rPr>
                <w:rFonts w:cs="Arial"/>
                <w:szCs w:val="24"/>
              </w:rPr>
              <w:t xml:space="preserve"> PHEC</w:t>
            </w:r>
          </w:p>
        </w:tc>
      </w:tr>
      <w:tr w:rsidR="001776DE" w:rsidRPr="00664C7A" w:rsidTr="00EF6D5D">
        <w:trPr>
          <w:trHeight w:val="267"/>
        </w:trPr>
        <w:tc>
          <w:tcPr>
            <w:tcW w:w="2977" w:type="dxa"/>
          </w:tcPr>
          <w:p w:rsidR="001776DE" w:rsidRPr="00664C7A" w:rsidRDefault="001B7F9E" w:rsidP="007402CB">
            <w:pPr>
              <w:pStyle w:val="Default"/>
              <w:spacing w:before="60" w:after="60"/>
              <w:rPr>
                <w:color w:val="auto"/>
              </w:rPr>
            </w:pPr>
            <w:r w:rsidRPr="00664C7A">
              <w:rPr>
                <w:color w:val="auto"/>
              </w:rPr>
              <w:t xml:space="preserve">Rosie Furner </w:t>
            </w:r>
          </w:p>
        </w:tc>
        <w:tc>
          <w:tcPr>
            <w:tcW w:w="6946" w:type="dxa"/>
          </w:tcPr>
          <w:p w:rsidR="001776DE" w:rsidRPr="00664C7A" w:rsidRDefault="001B7F9E" w:rsidP="007402CB">
            <w:pPr>
              <w:spacing w:before="60" w:after="60"/>
              <w:rPr>
                <w:rFonts w:cs="Arial"/>
                <w:bCs/>
                <w:szCs w:val="24"/>
              </w:rPr>
            </w:pPr>
            <w:r w:rsidRPr="00664C7A">
              <w:rPr>
                <w:rFonts w:cs="Arial"/>
                <w:bCs/>
                <w:szCs w:val="24"/>
              </w:rPr>
              <w:t xml:space="preserve">Community Services Pharmacist, East Sussex </w:t>
            </w:r>
            <w:r w:rsidR="003F4E46" w:rsidRPr="00664C7A">
              <w:rPr>
                <w:rFonts w:cs="Arial"/>
                <w:bCs/>
                <w:szCs w:val="24"/>
              </w:rPr>
              <w:t xml:space="preserve">Healthcare </w:t>
            </w:r>
            <w:r w:rsidRPr="00664C7A">
              <w:rPr>
                <w:rFonts w:cs="Arial"/>
                <w:bCs/>
                <w:szCs w:val="24"/>
              </w:rPr>
              <w:t>NHS Hospital Trust</w:t>
            </w:r>
          </w:p>
        </w:tc>
      </w:tr>
    </w:tbl>
    <w:p w:rsidR="00BC6F32" w:rsidRPr="00664C7A" w:rsidRDefault="00BC6F32" w:rsidP="00BC6F32">
      <w:pPr>
        <w:ind w:left="-142" w:right="423"/>
        <w:jc w:val="both"/>
        <w:rPr>
          <w:sz w:val="22"/>
          <w:szCs w:val="22"/>
        </w:rPr>
      </w:pPr>
    </w:p>
    <w:p w:rsidR="00BC6F32" w:rsidRPr="00664C7A" w:rsidRDefault="00BC6F32" w:rsidP="00BC6F32">
      <w:pPr>
        <w:ind w:left="-142" w:right="423"/>
        <w:jc w:val="both"/>
        <w:rPr>
          <w:sz w:val="22"/>
          <w:szCs w:val="22"/>
        </w:rPr>
      </w:pPr>
    </w:p>
    <w:p w:rsidR="00BC6F32" w:rsidRPr="00664C7A" w:rsidRDefault="00E23E69" w:rsidP="00815E87">
      <w:pPr>
        <w:ind w:left="-142" w:right="423" w:firstLine="142"/>
        <w:jc w:val="both"/>
        <w:rPr>
          <w:b/>
          <w:szCs w:val="24"/>
        </w:rPr>
      </w:pPr>
      <w:r w:rsidRPr="00664C7A">
        <w:rPr>
          <w:b/>
          <w:szCs w:val="24"/>
        </w:rPr>
        <w:t>Acknowledgements</w:t>
      </w:r>
    </w:p>
    <w:p w:rsidR="00E23E69" w:rsidRPr="00664C7A" w:rsidRDefault="00E23E69" w:rsidP="00BC6F32">
      <w:pPr>
        <w:ind w:left="-142" w:right="423"/>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946"/>
      </w:tblGrid>
      <w:tr w:rsidR="00E23E69" w:rsidRPr="00664C7A" w:rsidTr="00300EFA">
        <w:trPr>
          <w:trHeight w:val="254"/>
        </w:trPr>
        <w:tc>
          <w:tcPr>
            <w:tcW w:w="2977" w:type="dxa"/>
            <w:shd w:val="clear" w:color="auto" w:fill="F2F2F2" w:themeFill="background1" w:themeFillShade="F2"/>
            <w:vAlign w:val="center"/>
          </w:tcPr>
          <w:p w:rsidR="00E23E69" w:rsidRPr="00664C7A" w:rsidRDefault="00E23E69" w:rsidP="007402CB">
            <w:pPr>
              <w:spacing w:before="60" w:after="60" w:line="276" w:lineRule="auto"/>
              <w:rPr>
                <w:rFonts w:cs="Arial"/>
                <w:b/>
                <w:szCs w:val="24"/>
              </w:rPr>
            </w:pPr>
            <w:r w:rsidRPr="00664C7A">
              <w:rPr>
                <w:rFonts w:cs="Arial"/>
                <w:b/>
                <w:szCs w:val="24"/>
              </w:rPr>
              <w:t>Name</w:t>
            </w:r>
          </w:p>
        </w:tc>
        <w:tc>
          <w:tcPr>
            <w:tcW w:w="6946" w:type="dxa"/>
            <w:shd w:val="clear" w:color="auto" w:fill="F2F2F2" w:themeFill="background1" w:themeFillShade="F2"/>
            <w:vAlign w:val="center"/>
          </w:tcPr>
          <w:p w:rsidR="00E23E69" w:rsidRPr="00664C7A" w:rsidRDefault="00E23E69" w:rsidP="007402CB">
            <w:pPr>
              <w:spacing w:before="60" w:after="60" w:line="276" w:lineRule="auto"/>
              <w:rPr>
                <w:rFonts w:cs="Arial"/>
                <w:b/>
                <w:szCs w:val="24"/>
              </w:rPr>
            </w:pPr>
            <w:r w:rsidRPr="00664C7A">
              <w:rPr>
                <w:rFonts w:cs="Arial"/>
                <w:b/>
                <w:szCs w:val="24"/>
              </w:rPr>
              <w:t>Designation</w:t>
            </w:r>
          </w:p>
        </w:tc>
      </w:tr>
      <w:tr w:rsidR="00E23E69" w:rsidRPr="00664C7A" w:rsidTr="007402CB">
        <w:trPr>
          <w:trHeight w:val="254"/>
        </w:trPr>
        <w:tc>
          <w:tcPr>
            <w:tcW w:w="2977" w:type="dxa"/>
          </w:tcPr>
          <w:p w:rsidR="00E23E69" w:rsidRPr="007402CB" w:rsidRDefault="007402CB" w:rsidP="007402CB">
            <w:pPr>
              <w:spacing w:before="60" w:after="60"/>
              <w:rPr>
                <w:szCs w:val="24"/>
              </w:rPr>
            </w:pPr>
            <w:r w:rsidRPr="007402CB">
              <w:rPr>
                <w:szCs w:val="24"/>
              </w:rPr>
              <w:t>Mar</w:t>
            </w:r>
            <w:r w:rsidRPr="007402CB">
              <w:rPr>
                <w:rFonts w:cs="Arial"/>
                <w:szCs w:val="24"/>
              </w:rPr>
              <w:t>í</w:t>
            </w:r>
            <w:r w:rsidRPr="007402CB">
              <w:rPr>
                <w:szCs w:val="24"/>
              </w:rPr>
              <w:t>a Saavedra-Campos</w:t>
            </w:r>
          </w:p>
        </w:tc>
        <w:tc>
          <w:tcPr>
            <w:tcW w:w="6946" w:type="dxa"/>
          </w:tcPr>
          <w:p w:rsidR="00E23E69" w:rsidRPr="007402CB" w:rsidRDefault="007402CB" w:rsidP="007402CB">
            <w:pPr>
              <w:spacing w:before="60" w:after="60"/>
              <w:rPr>
                <w:szCs w:val="24"/>
              </w:rPr>
            </w:pPr>
            <w:r w:rsidRPr="007402CB">
              <w:rPr>
                <w:rFonts w:cs="Arial"/>
                <w:szCs w:val="24"/>
              </w:rPr>
              <w:t>Senior Epidemiology Scientist; National Infection Service PHE</w:t>
            </w:r>
          </w:p>
        </w:tc>
      </w:tr>
    </w:tbl>
    <w:p w:rsidR="00BC6F32" w:rsidRPr="00664C7A" w:rsidRDefault="00BC6F32" w:rsidP="00BC6F32">
      <w:pPr>
        <w:ind w:left="-142" w:right="423"/>
        <w:jc w:val="both"/>
        <w:rPr>
          <w:sz w:val="22"/>
          <w:szCs w:val="22"/>
        </w:rPr>
      </w:pPr>
    </w:p>
    <w:p w:rsidR="00BC6F32" w:rsidRPr="00664C7A" w:rsidRDefault="00BC6F32" w:rsidP="00BC6F32">
      <w:pPr>
        <w:ind w:left="-142" w:right="423"/>
        <w:jc w:val="both"/>
        <w:rPr>
          <w:sz w:val="22"/>
          <w:szCs w:val="22"/>
        </w:rPr>
      </w:pPr>
    </w:p>
    <w:p w:rsidR="00BC6F32" w:rsidRPr="00664C7A" w:rsidRDefault="00BC6F32" w:rsidP="00BC6F32">
      <w:pPr>
        <w:ind w:left="-142" w:right="423"/>
        <w:jc w:val="both"/>
        <w:rPr>
          <w:sz w:val="22"/>
          <w:szCs w:val="22"/>
        </w:rPr>
      </w:pPr>
    </w:p>
    <w:p w:rsidR="00BC6F32" w:rsidRPr="00664C7A" w:rsidRDefault="00BC6F32" w:rsidP="00BC6F32">
      <w:pPr>
        <w:ind w:left="-142" w:right="423"/>
        <w:jc w:val="both"/>
        <w:rPr>
          <w:sz w:val="22"/>
          <w:szCs w:val="22"/>
        </w:rPr>
      </w:pPr>
    </w:p>
    <w:p w:rsidR="00BC6F32" w:rsidRPr="00664C7A" w:rsidRDefault="00BC6F32" w:rsidP="00BC6F32">
      <w:pPr>
        <w:ind w:right="423"/>
        <w:jc w:val="both"/>
        <w:rPr>
          <w:sz w:val="22"/>
          <w:szCs w:val="22"/>
        </w:rPr>
      </w:pPr>
    </w:p>
    <w:p w:rsidR="00BC6F32" w:rsidRPr="00664C7A" w:rsidRDefault="00BC6F32" w:rsidP="00BC6F32">
      <w:pPr>
        <w:ind w:right="423"/>
        <w:jc w:val="both"/>
        <w:rPr>
          <w:sz w:val="22"/>
          <w:szCs w:val="22"/>
        </w:rPr>
      </w:pPr>
    </w:p>
    <w:p w:rsidR="00D642DE" w:rsidRPr="00664C7A" w:rsidRDefault="00D642DE" w:rsidP="00F039BD">
      <w:pPr>
        <w:overflowPunct/>
        <w:autoSpaceDE/>
        <w:autoSpaceDN/>
        <w:adjustRightInd/>
        <w:textAlignment w:val="auto"/>
        <w:rPr>
          <w:b/>
          <w:sz w:val="22"/>
          <w:szCs w:val="22"/>
        </w:rPr>
      </w:pPr>
      <w:r w:rsidRPr="00664C7A">
        <w:rPr>
          <w:b/>
          <w:sz w:val="22"/>
          <w:szCs w:val="22"/>
        </w:rPr>
        <w:br w:type="page"/>
      </w:r>
    </w:p>
    <w:p w:rsidR="00BC6F32" w:rsidRPr="00664C7A" w:rsidRDefault="009D2426" w:rsidP="009D2426">
      <w:pPr>
        <w:pStyle w:val="ListParagraph"/>
        <w:overflowPunct/>
        <w:autoSpaceDE/>
        <w:autoSpaceDN/>
        <w:adjustRightInd/>
        <w:spacing w:after="120"/>
        <w:textAlignment w:val="auto"/>
        <w:rPr>
          <w:rFonts w:cs="Arial"/>
          <w:sz w:val="22"/>
          <w:szCs w:val="22"/>
        </w:rPr>
      </w:pPr>
      <w:r w:rsidRPr="00664C7A">
        <w:rPr>
          <w:rFonts w:cs="Arial"/>
          <w:b/>
          <w:szCs w:val="24"/>
        </w:rPr>
        <w:t xml:space="preserve">2. </w:t>
      </w:r>
      <w:r w:rsidR="004F0005" w:rsidRPr="00664C7A">
        <w:rPr>
          <w:rFonts w:cs="Arial"/>
          <w:b/>
          <w:szCs w:val="24"/>
        </w:rPr>
        <w:t>Organisational</w:t>
      </w:r>
      <w:r w:rsidR="00145831" w:rsidRPr="00664C7A">
        <w:rPr>
          <w:rFonts w:cs="Arial"/>
          <w:b/>
          <w:szCs w:val="24"/>
        </w:rPr>
        <w:t xml:space="preserve"> a</w:t>
      </w:r>
      <w:r w:rsidR="004F0005" w:rsidRPr="00664C7A">
        <w:rPr>
          <w:rFonts w:cs="Arial"/>
          <w:b/>
          <w:szCs w:val="24"/>
        </w:rPr>
        <w:t>uthorisations</w:t>
      </w:r>
    </w:p>
    <w:p w:rsidR="00BC6F32" w:rsidRPr="00664C7A" w:rsidRDefault="00BC6F32" w:rsidP="00D9768F">
      <w:pPr>
        <w:spacing w:after="120"/>
        <w:jc w:val="both"/>
        <w:rPr>
          <w:rFonts w:cs="Arial"/>
          <w:b/>
          <w:szCs w:val="24"/>
        </w:rPr>
      </w:pPr>
      <w:r w:rsidRPr="00664C7A">
        <w:rPr>
          <w:rFonts w:cs="Arial"/>
          <w:szCs w:val="24"/>
        </w:rPr>
        <w:t xml:space="preserve">The PGD is not legally valid until it has had the relevant organisational authorisation.  </w:t>
      </w:r>
    </w:p>
    <w:p w:rsidR="00BC6F32" w:rsidRPr="00664C7A" w:rsidRDefault="00BC6F32" w:rsidP="00D9768F">
      <w:pPr>
        <w:pStyle w:val="Title"/>
        <w:spacing w:after="120"/>
        <w:jc w:val="left"/>
        <w:rPr>
          <w:rStyle w:val="yiv436687422763514114-05042013"/>
          <w:rFonts w:ascii="Arial" w:hAnsi="Arial" w:cs="Arial"/>
          <w:b w:val="0"/>
          <w:szCs w:val="24"/>
          <w:lang w:eastAsia="en-GB"/>
        </w:rPr>
      </w:pPr>
      <w:r w:rsidRPr="00664C7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664C7A">
        <w:rPr>
          <w:rStyle w:val="yiv436687422763514114-05042013"/>
          <w:rFonts w:ascii="Arial" w:hAnsi="Arial" w:cs="Arial"/>
          <w:b w:val="0"/>
          <w:szCs w:val="24"/>
        </w:rPr>
        <w:t>.</w:t>
      </w:r>
    </w:p>
    <w:p w:rsidR="00BC6F32" w:rsidRPr="00664C7A" w:rsidRDefault="0067497B" w:rsidP="00D9768F">
      <w:pPr>
        <w:pStyle w:val="Title"/>
        <w:spacing w:after="120"/>
        <w:jc w:val="left"/>
        <w:rPr>
          <w:rStyle w:val="yiv436687422763514114-05042013"/>
          <w:rFonts w:ascii="Arial" w:hAnsi="Arial" w:cs="Arial"/>
          <w:b w:val="0"/>
          <w:szCs w:val="24"/>
        </w:rPr>
      </w:pPr>
      <w:permStart w:id="1" w:edGrp="everyone"/>
      <w:r w:rsidRPr="00664C7A">
        <w:rPr>
          <w:rStyle w:val="yiv436687422763514114-05042013"/>
          <w:rFonts w:ascii="Arial" w:hAnsi="Arial" w:cs="Arial"/>
          <w:szCs w:val="24"/>
        </w:rPr>
        <w:t xml:space="preserve">INSERT AUTHORISING BODY NAME </w:t>
      </w:r>
      <w:r w:rsidR="00BC6F32" w:rsidRPr="00664C7A">
        <w:rPr>
          <w:rStyle w:val="yiv436687422763514114-05042013"/>
          <w:rFonts w:ascii="Arial" w:hAnsi="Arial" w:cs="Arial"/>
          <w:b w:val="0"/>
          <w:szCs w:val="24"/>
        </w:rPr>
        <w:t xml:space="preserve"> </w:t>
      </w:r>
      <w:r w:rsidR="00FB5E1C" w:rsidRPr="00664C7A">
        <w:rPr>
          <w:rStyle w:val="yiv436687422763514114-05042013"/>
          <w:rFonts w:ascii="Arial" w:hAnsi="Arial" w:cs="Arial"/>
          <w:b w:val="0"/>
          <w:szCs w:val="24"/>
        </w:rPr>
        <w:t xml:space="preserve"> </w:t>
      </w:r>
      <w:permEnd w:id="1"/>
      <w:r w:rsidR="00BC6F32" w:rsidRPr="00664C7A">
        <w:rPr>
          <w:rStyle w:val="yiv436687422763514114-05042013"/>
          <w:rFonts w:ascii="Arial" w:hAnsi="Arial" w:cs="Arial"/>
          <w:b w:val="0"/>
          <w:szCs w:val="24"/>
        </w:rPr>
        <w:t>authorise</w:t>
      </w:r>
      <w:r w:rsidR="00FB5E1C" w:rsidRPr="00664C7A">
        <w:rPr>
          <w:rStyle w:val="yiv436687422763514114-05042013"/>
          <w:rFonts w:ascii="Arial" w:hAnsi="Arial" w:cs="Arial"/>
          <w:b w:val="0"/>
          <w:szCs w:val="24"/>
        </w:rPr>
        <w:t>s</w:t>
      </w:r>
      <w:r w:rsidR="00BC6F32" w:rsidRPr="00664C7A">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tblPr>
      <w:tblGrid>
        <w:gridCol w:w="9923"/>
      </w:tblGrid>
      <w:tr w:rsidR="00BC6F32" w:rsidRPr="00664C7A" w:rsidTr="00B32ECD">
        <w:tc>
          <w:tcPr>
            <w:tcW w:w="9923" w:type="dxa"/>
            <w:shd w:val="clear" w:color="auto" w:fill="F2F2F2" w:themeFill="background1" w:themeFillShade="F2"/>
          </w:tcPr>
          <w:p w:rsidR="00BC6F32" w:rsidRPr="00664C7A" w:rsidRDefault="00BC6F32" w:rsidP="00000A1D">
            <w:pPr>
              <w:pStyle w:val="Title"/>
              <w:jc w:val="left"/>
              <w:rPr>
                <w:rFonts w:ascii="Arial" w:hAnsi="Arial" w:cs="Arial"/>
                <w:b w:val="0"/>
                <w:szCs w:val="24"/>
              </w:rPr>
            </w:pPr>
            <w:r w:rsidRPr="00664C7A">
              <w:rPr>
                <w:rFonts w:ascii="Arial" w:hAnsi="Arial" w:cs="Arial"/>
                <w:b w:val="0"/>
                <w:szCs w:val="24"/>
              </w:rPr>
              <w:t>Authorised for use by the following organisations and/or services</w:t>
            </w:r>
          </w:p>
        </w:tc>
      </w:tr>
      <w:tr w:rsidR="00BC6F32" w:rsidRPr="00664C7A" w:rsidTr="00B32ECD">
        <w:tc>
          <w:tcPr>
            <w:tcW w:w="9923" w:type="dxa"/>
          </w:tcPr>
          <w:p w:rsidR="00BC6F32" w:rsidRPr="00664C7A" w:rsidRDefault="00BC6F32" w:rsidP="00000A1D">
            <w:pPr>
              <w:pStyle w:val="Title"/>
              <w:jc w:val="left"/>
              <w:rPr>
                <w:rFonts w:ascii="Arial" w:hAnsi="Arial" w:cs="Arial"/>
                <w:b w:val="0"/>
                <w:szCs w:val="24"/>
              </w:rPr>
            </w:pPr>
            <w:permStart w:id="2" w:edGrp="everyone" w:colFirst="0" w:colLast="0"/>
          </w:p>
          <w:p w:rsidR="00120134" w:rsidRPr="00664C7A" w:rsidRDefault="00120134" w:rsidP="00000A1D">
            <w:pPr>
              <w:pStyle w:val="Title"/>
              <w:jc w:val="left"/>
              <w:rPr>
                <w:rFonts w:ascii="Arial" w:hAnsi="Arial" w:cs="Arial"/>
                <w:b w:val="0"/>
                <w:szCs w:val="24"/>
              </w:rPr>
            </w:pPr>
          </w:p>
          <w:p w:rsidR="00120134" w:rsidRPr="00664C7A" w:rsidRDefault="00120134" w:rsidP="00000A1D">
            <w:pPr>
              <w:pStyle w:val="Title"/>
              <w:jc w:val="left"/>
              <w:rPr>
                <w:rFonts w:ascii="Arial" w:hAnsi="Arial" w:cs="Arial"/>
                <w:b w:val="0"/>
                <w:szCs w:val="24"/>
              </w:rPr>
            </w:pPr>
          </w:p>
          <w:p w:rsidR="00BC6F32" w:rsidRPr="00664C7A" w:rsidRDefault="00BC6F32" w:rsidP="00000A1D">
            <w:pPr>
              <w:pStyle w:val="Title"/>
              <w:jc w:val="left"/>
              <w:rPr>
                <w:rFonts w:ascii="Arial" w:hAnsi="Arial" w:cs="Arial"/>
                <w:b w:val="0"/>
                <w:szCs w:val="24"/>
              </w:rPr>
            </w:pPr>
          </w:p>
          <w:p w:rsidR="00BC6F32" w:rsidRPr="00664C7A" w:rsidRDefault="00BC6F32" w:rsidP="00000A1D">
            <w:pPr>
              <w:pStyle w:val="Title"/>
              <w:jc w:val="left"/>
              <w:rPr>
                <w:rFonts w:ascii="Arial" w:hAnsi="Arial" w:cs="Arial"/>
                <w:b w:val="0"/>
                <w:szCs w:val="24"/>
              </w:rPr>
            </w:pPr>
          </w:p>
        </w:tc>
      </w:tr>
      <w:permEnd w:id="2"/>
      <w:tr w:rsidR="00BC6F32" w:rsidRPr="00664C7A" w:rsidTr="00B32ECD">
        <w:tc>
          <w:tcPr>
            <w:tcW w:w="9923" w:type="dxa"/>
            <w:shd w:val="clear" w:color="auto" w:fill="F2F2F2" w:themeFill="background1" w:themeFillShade="F2"/>
          </w:tcPr>
          <w:p w:rsidR="00BC6F32" w:rsidRPr="00664C7A" w:rsidRDefault="00BC6F32" w:rsidP="003267A8">
            <w:pPr>
              <w:pStyle w:val="Title"/>
              <w:jc w:val="left"/>
              <w:rPr>
                <w:rFonts w:ascii="Arial" w:hAnsi="Arial" w:cs="Arial"/>
                <w:b w:val="0"/>
                <w:szCs w:val="24"/>
              </w:rPr>
            </w:pPr>
            <w:r w:rsidRPr="00664C7A">
              <w:rPr>
                <w:rFonts w:ascii="Arial" w:hAnsi="Arial" w:cs="Arial"/>
                <w:b w:val="0"/>
                <w:szCs w:val="24"/>
              </w:rPr>
              <w:t>Limitations to authorisation</w:t>
            </w:r>
          </w:p>
        </w:tc>
      </w:tr>
      <w:tr w:rsidR="00BC6F32" w:rsidRPr="00664C7A" w:rsidTr="00B32ECD">
        <w:trPr>
          <w:trHeight w:val="1561"/>
        </w:trPr>
        <w:tc>
          <w:tcPr>
            <w:tcW w:w="9923" w:type="dxa"/>
          </w:tcPr>
          <w:p w:rsidR="009C5F32" w:rsidRPr="00664C7A" w:rsidRDefault="008174DC" w:rsidP="00D300D1">
            <w:pPr>
              <w:pStyle w:val="Title"/>
              <w:jc w:val="left"/>
              <w:rPr>
                <w:rFonts w:ascii="Arial" w:hAnsi="Arial" w:cs="Arial"/>
                <w:b w:val="0"/>
                <w:szCs w:val="24"/>
              </w:rPr>
            </w:pPr>
            <w:permStart w:id="3" w:edGrp="everyone" w:colFirst="0" w:colLast="0"/>
            <w:r w:rsidRPr="00664C7A">
              <w:rPr>
                <w:rFonts w:ascii="Arial" w:hAnsi="Arial" w:cs="Arial"/>
                <w:b w:val="0"/>
                <w:szCs w:val="24"/>
              </w:rPr>
              <w:t xml:space="preserve">eg Any local limitations the authorising organisation feels they need to apply in-line with the way services are commissioned locally. </w:t>
            </w:r>
            <w:r w:rsidR="00BC6F32" w:rsidRPr="00664C7A">
              <w:rPr>
                <w:rFonts w:ascii="Arial" w:hAnsi="Arial" w:cs="Arial"/>
                <w:b w:val="0"/>
                <w:szCs w:val="24"/>
              </w:rPr>
              <w:t xml:space="preserve">This organisation does not authorise the use of this PGD by </w:t>
            </w:r>
            <w:r w:rsidR="00D300D1" w:rsidRPr="00664C7A">
              <w:rPr>
                <w:rFonts w:ascii="Arial" w:hAnsi="Arial" w:cs="Arial"/>
                <w:b w:val="0"/>
                <w:szCs w:val="24"/>
              </w:rPr>
              <w:t>….</w:t>
            </w:r>
            <w:r w:rsidR="00BC6F32" w:rsidRPr="00664C7A" w:rsidDel="00C27D2A">
              <w:rPr>
                <w:rFonts w:ascii="Arial" w:hAnsi="Arial" w:cs="Arial"/>
                <w:b w:val="0"/>
                <w:szCs w:val="24"/>
              </w:rPr>
              <w:t xml:space="preserve"> </w:t>
            </w:r>
            <w:r w:rsidR="00120134" w:rsidRPr="00664C7A">
              <w:rPr>
                <w:rFonts w:ascii="Arial" w:hAnsi="Arial" w:cs="Arial"/>
                <w:b w:val="0"/>
                <w:szCs w:val="24"/>
              </w:rPr>
              <w:t xml:space="preserve">                                                                        </w:t>
            </w:r>
            <w:r w:rsidR="009C5F32" w:rsidRPr="00664C7A">
              <w:rPr>
                <w:rFonts w:ascii="Arial" w:hAnsi="Arial" w:cs="Arial"/>
                <w:b w:val="0"/>
                <w:szCs w:val="24"/>
              </w:rPr>
              <w:t xml:space="preserve">                               </w:t>
            </w:r>
          </w:p>
          <w:p w:rsidR="00BC6F32" w:rsidRPr="00664C7A" w:rsidRDefault="00BC6F32" w:rsidP="00D300D1">
            <w:pPr>
              <w:pStyle w:val="Title"/>
              <w:jc w:val="left"/>
              <w:rPr>
                <w:rFonts w:ascii="Arial" w:hAnsi="Arial" w:cs="Arial"/>
                <w:b w:val="0"/>
                <w:szCs w:val="24"/>
              </w:rPr>
            </w:pPr>
          </w:p>
          <w:p w:rsidR="0067497B" w:rsidRPr="00664C7A" w:rsidRDefault="0067497B" w:rsidP="00D300D1">
            <w:pPr>
              <w:pStyle w:val="Title"/>
              <w:jc w:val="left"/>
              <w:rPr>
                <w:rFonts w:ascii="Arial" w:hAnsi="Arial" w:cs="Arial"/>
                <w:b w:val="0"/>
                <w:szCs w:val="24"/>
              </w:rPr>
            </w:pPr>
          </w:p>
          <w:p w:rsidR="0067497B" w:rsidRPr="00664C7A" w:rsidRDefault="0067497B" w:rsidP="00D300D1">
            <w:pPr>
              <w:pStyle w:val="Title"/>
              <w:jc w:val="left"/>
              <w:rPr>
                <w:rFonts w:ascii="Arial" w:hAnsi="Arial" w:cs="Arial"/>
                <w:b w:val="0"/>
                <w:szCs w:val="24"/>
              </w:rPr>
            </w:pPr>
          </w:p>
          <w:p w:rsidR="0067497B" w:rsidRPr="00664C7A" w:rsidRDefault="0067497B" w:rsidP="00D300D1">
            <w:pPr>
              <w:pStyle w:val="Title"/>
              <w:jc w:val="left"/>
              <w:rPr>
                <w:rFonts w:ascii="Arial" w:hAnsi="Arial" w:cs="Arial"/>
                <w:b w:val="0"/>
                <w:szCs w:val="24"/>
              </w:rPr>
            </w:pPr>
          </w:p>
        </w:tc>
      </w:tr>
      <w:permEnd w:id="3"/>
    </w:tbl>
    <w:p w:rsidR="00BC6F32" w:rsidRPr="00664C7A" w:rsidRDefault="00BC6F32" w:rsidP="00BC6F32">
      <w:pPr>
        <w:pStyle w:val="Title"/>
        <w:jc w:val="left"/>
        <w:rPr>
          <w:rFonts w:ascii="Arial" w:hAnsi="Arial" w:cs="Arial"/>
          <w:color w:val="FF0000"/>
          <w:szCs w:val="24"/>
        </w:rPr>
      </w:pPr>
    </w:p>
    <w:tbl>
      <w:tblPr>
        <w:tblStyle w:val="TableGrid"/>
        <w:tblW w:w="0" w:type="auto"/>
        <w:tblInd w:w="108" w:type="dxa"/>
        <w:tblLook w:val="04A0"/>
      </w:tblPr>
      <w:tblGrid>
        <w:gridCol w:w="3261"/>
        <w:gridCol w:w="2409"/>
        <w:gridCol w:w="2410"/>
        <w:gridCol w:w="1843"/>
      </w:tblGrid>
      <w:tr w:rsidR="00BC6F32" w:rsidRPr="00664C7A" w:rsidTr="00B32ECD">
        <w:tc>
          <w:tcPr>
            <w:tcW w:w="9923" w:type="dxa"/>
            <w:gridSpan w:val="4"/>
            <w:shd w:val="clear" w:color="auto" w:fill="EEECE1" w:themeFill="background2"/>
          </w:tcPr>
          <w:p w:rsidR="00BC6F32" w:rsidRPr="00664C7A" w:rsidRDefault="00D9768F" w:rsidP="00000A1D">
            <w:pPr>
              <w:pStyle w:val="Title"/>
              <w:jc w:val="left"/>
              <w:rPr>
                <w:rFonts w:ascii="Arial" w:hAnsi="Arial" w:cs="Arial"/>
                <w:szCs w:val="24"/>
              </w:rPr>
            </w:pPr>
            <w:r w:rsidRPr="00664C7A">
              <w:rPr>
                <w:rFonts w:ascii="Arial" w:hAnsi="Arial" w:cs="Arial"/>
                <w:szCs w:val="24"/>
              </w:rPr>
              <w:t>Organisational a</w:t>
            </w:r>
            <w:r w:rsidR="00BC6F32" w:rsidRPr="00664C7A">
              <w:rPr>
                <w:rFonts w:ascii="Arial" w:hAnsi="Arial" w:cs="Arial"/>
                <w:szCs w:val="24"/>
              </w:rPr>
              <w:t>pproval (legal requirement)</w:t>
            </w:r>
          </w:p>
        </w:tc>
      </w:tr>
      <w:tr w:rsidR="00BC6F32" w:rsidRPr="00664C7A" w:rsidTr="00B32ECD">
        <w:tc>
          <w:tcPr>
            <w:tcW w:w="3261"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Role</w:t>
            </w:r>
          </w:p>
        </w:tc>
        <w:tc>
          <w:tcPr>
            <w:tcW w:w="2409"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 xml:space="preserve">Name </w:t>
            </w:r>
          </w:p>
        </w:tc>
        <w:tc>
          <w:tcPr>
            <w:tcW w:w="2410"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Sign</w:t>
            </w:r>
          </w:p>
        </w:tc>
        <w:tc>
          <w:tcPr>
            <w:tcW w:w="1843"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Date</w:t>
            </w:r>
          </w:p>
        </w:tc>
      </w:tr>
      <w:tr w:rsidR="00BC6F32" w:rsidRPr="00664C7A" w:rsidTr="00B32ECD">
        <w:tc>
          <w:tcPr>
            <w:tcW w:w="3261" w:type="dxa"/>
          </w:tcPr>
          <w:p w:rsidR="00BC6F32" w:rsidRPr="00664C7A" w:rsidRDefault="00080CC6" w:rsidP="00000A1D">
            <w:pPr>
              <w:pStyle w:val="Title"/>
              <w:jc w:val="left"/>
              <w:rPr>
                <w:rFonts w:ascii="Arial" w:hAnsi="Arial" w:cs="Arial"/>
                <w:b w:val="0"/>
                <w:color w:val="D9D9D9" w:themeColor="background1" w:themeShade="D9"/>
                <w:szCs w:val="24"/>
              </w:rPr>
            </w:pPr>
            <w:permStart w:id="4" w:edGrp="everyone" w:colFirst="0" w:colLast="0"/>
            <w:permStart w:id="5" w:edGrp="everyone" w:colFirst="1" w:colLast="1"/>
            <w:permStart w:id="6" w:edGrp="everyone" w:colFirst="2" w:colLast="2"/>
            <w:permStart w:id="7" w:edGrp="everyone" w:colFirst="3" w:colLast="3"/>
            <w:r w:rsidRPr="00664C7A">
              <w:rPr>
                <w:rFonts w:ascii="Arial" w:hAnsi="Arial" w:cs="Arial"/>
                <w:b w:val="0"/>
                <w:color w:val="D9D9D9" w:themeColor="background1" w:themeShade="D9"/>
                <w:szCs w:val="24"/>
              </w:rPr>
              <w:t xml:space="preserve">Complete eg </w:t>
            </w:r>
            <w:r w:rsidR="00BC6F32" w:rsidRPr="00664C7A">
              <w:rPr>
                <w:rFonts w:ascii="Arial" w:hAnsi="Arial" w:cs="Arial"/>
                <w:b w:val="0"/>
                <w:color w:val="D9D9D9" w:themeColor="background1" w:themeShade="D9"/>
                <w:szCs w:val="24"/>
              </w:rPr>
              <w:t>NHSE Governance Lead, Medical Director</w:t>
            </w:r>
          </w:p>
          <w:p w:rsidR="00BC6F32" w:rsidRPr="00664C7A" w:rsidRDefault="00BC6F32" w:rsidP="00000A1D">
            <w:pPr>
              <w:pStyle w:val="Title"/>
              <w:jc w:val="left"/>
              <w:rPr>
                <w:rFonts w:ascii="Arial" w:hAnsi="Arial" w:cs="Arial"/>
                <w:b w:val="0"/>
                <w:szCs w:val="24"/>
              </w:rPr>
            </w:pPr>
          </w:p>
        </w:tc>
        <w:tc>
          <w:tcPr>
            <w:tcW w:w="2409" w:type="dxa"/>
          </w:tcPr>
          <w:p w:rsidR="00BC6F32" w:rsidRPr="00664C7A" w:rsidRDefault="00120134" w:rsidP="00000A1D">
            <w:pPr>
              <w:pStyle w:val="Title"/>
              <w:jc w:val="left"/>
              <w:rPr>
                <w:rFonts w:ascii="Arial" w:hAnsi="Arial" w:cs="Arial"/>
                <w:szCs w:val="24"/>
              </w:rPr>
            </w:pPr>
            <w:r w:rsidRPr="00664C7A">
              <w:rPr>
                <w:rFonts w:ascii="Arial" w:hAnsi="Arial" w:cs="Arial"/>
                <w:szCs w:val="24"/>
              </w:rPr>
              <w:t xml:space="preserve">                             </w:t>
            </w:r>
          </w:p>
        </w:tc>
        <w:tc>
          <w:tcPr>
            <w:tcW w:w="2410" w:type="dxa"/>
          </w:tcPr>
          <w:p w:rsidR="00BC6F32" w:rsidRPr="00664C7A" w:rsidRDefault="00120134" w:rsidP="00000A1D">
            <w:pPr>
              <w:pStyle w:val="Title"/>
              <w:jc w:val="left"/>
              <w:rPr>
                <w:rFonts w:ascii="Arial" w:hAnsi="Arial" w:cs="Arial"/>
                <w:szCs w:val="24"/>
              </w:rPr>
            </w:pPr>
            <w:r w:rsidRPr="00664C7A">
              <w:rPr>
                <w:rFonts w:ascii="Arial" w:hAnsi="Arial" w:cs="Arial"/>
                <w:szCs w:val="24"/>
              </w:rPr>
              <w:t xml:space="preserve">                             </w:t>
            </w:r>
          </w:p>
        </w:tc>
        <w:tc>
          <w:tcPr>
            <w:tcW w:w="1843" w:type="dxa"/>
          </w:tcPr>
          <w:p w:rsidR="00BC6F32" w:rsidRPr="00664C7A" w:rsidRDefault="009C5F32" w:rsidP="009C5F32">
            <w:pPr>
              <w:pStyle w:val="Title"/>
              <w:jc w:val="left"/>
              <w:rPr>
                <w:rFonts w:ascii="Arial" w:hAnsi="Arial" w:cs="Arial"/>
                <w:szCs w:val="24"/>
              </w:rPr>
            </w:pPr>
            <w:r w:rsidRPr="00664C7A">
              <w:rPr>
                <w:rFonts w:ascii="Arial" w:hAnsi="Arial" w:cs="Arial"/>
                <w:szCs w:val="24"/>
              </w:rPr>
              <w:t xml:space="preserve">  </w:t>
            </w:r>
            <w:r w:rsidR="001B1419" w:rsidRPr="00664C7A">
              <w:rPr>
                <w:rFonts w:ascii="Arial" w:hAnsi="Arial" w:cs="Arial"/>
                <w:szCs w:val="24"/>
              </w:rPr>
              <w:t xml:space="preserve">      </w:t>
            </w:r>
            <w:r w:rsidRPr="00664C7A">
              <w:rPr>
                <w:rFonts w:ascii="Arial" w:hAnsi="Arial" w:cs="Arial"/>
                <w:szCs w:val="24"/>
              </w:rPr>
              <w:t xml:space="preserve">   </w:t>
            </w:r>
          </w:p>
        </w:tc>
      </w:tr>
      <w:permEnd w:id="4"/>
      <w:permEnd w:id="5"/>
      <w:permEnd w:id="6"/>
      <w:permEnd w:id="7"/>
    </w:tbl>
    <w:p w:rsidR="00BC6F32" w:rsidRPr="00664C7A" w:rsidRDefault="00BC6F32" w:rsidP="00BC6F32">
      <w:pPr>
        <w:pStyle w:val="Title"/>
        <w:jc w:val="left"/>
        <w:rPr>
          <w:rFonts w:ascii="Arial" w:hAnsi="Arial" w:cs="Arial"/>
          <w:szCs w:val="24"/>
        </w:rPr>
      </w:pPr>
    </w:p>
    <w:tbl>
      <w:tblPr>
        <w:tblStyle w:val="TableGrid"/>
        <w:tblW w:w="0" w:type="auto"/>
        <w:tblInd w:w="108" w:type="dxa"/>
        <w:tblLook w:val="04A0"/>
      </w:tblPr>
      <w:tblGrid>
        <w:gridCol w:w="3261"/>
        <w:gridCol w:w="2409"/>
        <w:gridCol w:w="2410"/>
        <w:gridCol w:w="1843"/>
      </w:tblGrid>
      <w:tr w:rsidR="00BC6F32" w:rsidRPr="00664C7A" w:rsidTr="00B32ECD">
        <w:tc>
          <w:tcPr>
            <w:tcW w:w="9923" w:type="dxa"/>
            <w:gridSpan w:val="4"/>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Additional signatories according to locally agreed policy</w:t>
            </w:r>
          </w:p>
        </w:tc>
      </w:tr>
      <w:tr w:rsidR="00BC6F32" w:rsidRPr="00664C7A" w:rsidTr="00B32ECD">
        <w:tc>
          <w:tcPr>
            <w:tcW w:w="3261"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Role</w:t>
            </w:r>
          </w:p>
        </w:tc>
        <w:tc>
          <w:tcPr>
            <w:tcW w:w="2409"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 xml:space="preserve">Name </w:t>
            </w:r>
          </w:p>
        </w:tc>
        <w:tc>
          <w:tcPr>
            <w:tcW w:w="2410"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Sign</w:t>
            </w:r>
          </w:p>
        </w:tc>
        <w:tc>
          <w:tcPr>
            <w:tcW w:w="1843" w:type="dxa"/>
            <w:shd w:val="clear" w:color="auto" w:fill="EEECE1" w:themeFill="background2"/>
          </w:tcPr>
          <w:p w:rsidR="00BC6F32" w:rsidRPr="00664C7A" w:rsidRDefault="00BC6F32" w:rsidP="00000A1D">
            <w:pPr>
              <w:pStyle w:val="Title"/>
              <w:jc w:val="left"/>
              <w:rPr>
                <w:rFonts w:ascii="Arial" w:hAnsi="Arial" w:cs="Arial"/>
                <w:szCs w:val="24"/>
              </w:rPr>
            </w:pPr>
            <w:r w:rsidRPr="00664C7A">
              <w:rPr>
                <w:rFonts w:ascii="Arial" w:hAnsi="Arial" w:cs="Arial"/>
                <w:szCs w:val="24"/>
              </w:rPr>
              <w:t>Date</w:t>
            </w:r>
          </w:p>
        </w:tc>
      </w:tr>
      <w:tr w:rsidR="00BC6F32" w:rsidRPr="00664C7A" w:rsidTr="00B32ECD">
        <w:tc>
          <w:tcPr>
            <w:tcW w:w="3261" w:type="dxa"/>
          </w:tcPr>
          <w:p w:rsidR="00BC6F32" w:rsidRPr="00664C7A" w:rsidRDefault="00BC6F32" w:rsidP="00000A1D">
            <w:pPr>
              <w:pStyle w:val="Title"/>
              <w:jc w:val="left"/>
              <w:rPr>
                <w:rFonts w:ascii="Arial" w:hAnsi="Arial" w:cs="Arial"/>
                <w:szCs w:val="24"/>
              </w:rPr>
            </w:pPr>
            <w:permStart w:id="8" w:edGrp="everyone" w:colFirst="0" w:colLast="0"/>
            <w:permStart w:id="9" w:edGrp="everyone" w:colFirst="1" w:colLast="1"/>
            <w:permStart w:id="10" w:edGrp="everyone" w:colFirst="2" w:colLast="2"/>
            <w:permStart w:id="11" w:edGrp="everyone" w:colFirst="3" w:colLast="3"/>
          </w:p>
          <w:p w:rsidR="00BC6F32" w:rsidRPr="00664C7A" w:rsidRDefault="00BC6F32" w:rsidP="00000A1D">
            <w:pPr>
              <w:pStyle w:val="Title"/>
              <w:jc w:val="left"/>
              <w:rPr>
                <w:rFonts w:ascii="Arial" w:hAnsi="Arial" w:cs="Arial"/>
                <w:szCs w:val="24"/>
              </w:rPr>
            </w:pPr>
          </w:p>
          <w:p w:rsidR="00BC6F32" w:rsidRPr="00664C7A" w:rsidRDefault="00BC6F32" w:rsidP="00000A1D">
            <w:pPr>
              <w:pStyle w:val="Title"/>
              <w:jc w:val="left"/>
              <w:rPr>
                <w:rFonts w:ascii="Arial" w:hAnsi="Arial" w:cs="Arial"/>
                <w:szCs w:val="24"/>
              </w:rPr>
            </w:pPr>
          </w:p>
        </w:tc>
        <w:tc>
          <w:tcPr>
            <w:tcW w:w="2409" w:type="dxa"/>
          </w:tcPr>
          <w:p w:rsidR="009C5F32" w:rsidRPr="00664C7A" w:rsidRDefault="009C5F32" w:rsidP="00000A1D">
            <w:pPr>
              <w:pStyle w:val="Title"/>
              <w:jc w:val="left"/>
              <w:rPr>
                <w:rFonts w:ascii="Arial" w:hAnsi="Arial" w:cs="Arial"/>
                <w:szCs w:val="24"/>
              </w:rPr>
            </w:pPr>
          </w:p>
          <w:p w:rsidR="009C5F32" w:rsidRPr="00664C7A" w:rsidRDefault="009C5F32" w:rsidP="00000A1D">
            <w:pPr>
              <w:pStyle w:val="Title"/>
              <w:jc w:val="left"/>
              <w:rPr>
                <w:rFonts w:ascii="Arial" w:hAnsi="Arial" w:cs="Arial"/>
                <w:szCs w:val="24"/>
              </w:rPr>
            </w:pPr>
          </w:p>
          <w:p w:rsidR="00BC6F32" w:rsidRPr="00664C7A" w:rsidRDefault="009C5F32" w:rsidP="00000A1D">
            <w:pPr>
              <w:pStyle w:val="Title"/>
              <w:jc w:val="left"/>
              <w:rPr>
                <w:rFonts w:ascii="Arial" w:hAnsi="Arial" w:cs="Arial"/>
                <w:szCs w:val="24"/>
              </w:rPr>
            </w:pPr>
            <w:r w:rsidRPr="00664C7A">
              <w:rPr>
                <w:rFonts w:ascii="Arial" w:hAnsi="Arial" w:cs="Arial"/>
                <w:szCs w:val="24"/>
              </w:rPr>
              <w:t xml:space="preserve"> </w:t>
            </w:r>
          </w:p>
        </w:tc>
        <w:tc>
          <w:tcPr>
            <w:tcW w:w="2410" w:type="dxa"/>
          </w:tcPr>
          <w:p w:rsidR="009C5F32" w:rsidRPr="00664C7A" w:rsidRDefault="009C5F32" w:rsidP="00000A1D">
            <w:pPr>
              <w:pStyle w:val="Title"/>
              <w:jc w:val="left"/>
              <w:rPr>
                <w:rFonts w:ascii="Arial" w:hAnsi="Arial" w:cs="Arial"/>
                <w:szCs w:val="24"/>
              </w:rPr>
            </w:pPr>
          </w:p>
          <w:p w:rsidR="009C5F32" w:rsidRPr="00664C7A" w:rsidRDefault="009C5F32" w:rsidP="00000A1D">
            <w:pPr>
              <w:pStyle w:val="Title"/>
              <w:jc w:val="left"/>
              <w:rPr>
                <w:rFonts w:ascii="Arial" w:hAnsi="Arial" w:cs="Arial"/>
                <w:szCs w:val="24"/>
              </w:rPr>
            </w:pPr>
          </w:p>
          <w:p w:rsidR="00BC6F32" w:rsidRPr="00664C7A" w:rsidRDefault="009C5F32" w:rsidP="00000A1D">
            <w:pPr>
              <w:pStyle w:val="Title"/>
              <w:jc w:val="left"/>
              <w:rPr>
                <w:rFonts w:ascii="Arial" w:hAnsi="Arial" w:cs="Arial"/>
                <w:szCs w:val="24"/>
              </w:rPr>
            </w:pPr>
            <w:r w:rsidRPr="00664C7A">
              <w:rPr>
                <w:rFonts w:ascii="Arial" w:hAnsi="Arial" w:cs="Arial"/>
                <w:szCs w:val="24"/>
              </w:rPr>
              <w:t xml:space="preserve"> </w:t>
            </w:r>
          </w:p>
        </w:tc>
        <w:tc>
          <w:tcPr>
            <w:tcW w:w="1843" w:type="dxa"/>
          </w:tcPr>
          <w:p w:rsidR="009C5F32" w:rsidRPr="00664C7A" w:rsidRDefault="009C5F32" w:rsidP="00000A1D">
            <w:pPr>
              <w:pStyle w:val="Title"/>
              <w:jc w:val="left"/>
              <w:rPr>
                <w:rFonts w:ascii="Arial" w:hAnsi="Arial" w:cs="Arial"/>
                <w:szCs w:val="24"/>
              </w:rPr>
            </w:pPr>
          </w:p>
          <w:p w:rsidR="009C5F32" w:rsidRPr="00664C7A" w:rsidRDefault="009C5F32" w:rsidP="00000A1D">
            <w:pPr>
              <w:pStyle w:val="Title"/>
              <w:jc w:val="left"/>
              <w:rPr>
                <w:rFonts w:ascii="Arial" w:hAnsi="Arial" w:cs="Arial"/>
                <w:szCs w:val="24"/>
              </w:rPr>
            </w:pPr>
          </w:p>
          <w:p w:rsidR="00BC6F32" w:rsidRPr="00664C7A" w:rsidRDefault="009C5F32" w:rsidP="00000A1D">
            <w:pPr>
              <w:pStyle w:val="Title"/>
              <w:jc w:val="left"/>
              <w:rPr>
                <w:rFonts w:ascii="Arial" w:hAnsi="Arial" w:cs="Arial"/>
                <w:szCs w:val="24"/>
              </w:rPr>
            </w:pPr>
            <w:r w:rsidRPr="00664C7A">
              <w:rPr>
                <w:rFonts w:ascii="Arial" w:hAnsi="Arial" w:cs="Arial"/>
                <w:szCs w:val="24"/>
              </w:rPr>
              <w:t xml:space="preserve"> </w:t>
            </w:r>
          </w:p>
        </w:tc>
      </w:tr>
      <w:tr w:rsidR="009C5F32" w:rsidRPr="00664C7A" w:rsidTr="00B32ECD">
        <w:tc>
          <w:tcPr>
            <w:tcW w:w="3261" w:type="dxa"/>
          </w:tcPr>
          <w:p w:rsidR="009C5F32" w:rsidRPr="00664C7A" w:rsidRDefault="009C5F32" w:rsidP="0058438D">
            <w:pPr>
              <w:pStyle w:val="Title"/>
              <w:jc w:val="left"/>
              <w:rPr>
                <w:rFonts w:ascii="Arial" w:hAnsi="Arial" w:cs="Arial"/>
                <w:szCs w:val="24"/>
              </w:rPr>
            </w:pPr>
            <w:permStart w:id="12" w:edGrp="everyone" w:colFirst="0" w:colLast="0"/>
            <w:permStart w:id="13" w:edGrp="everyone" w:colFirst="1" w:colLast="1"/>
            <w:permStart w:id="14" w:edGrp="everyone" w:colFirst="2" w:colLast="2"/>
            <w:permStart w:id="15" w:edGrp="everyone" w:colFirst="3" w:colLast="3"/>
            <w:permEnd w:id="8"/>
            <w:permEnd w:id="9"/>
            <w:permEnd w:id="10"/>
            <w:permEnd w:id="11"/>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tc>
        <w:tc>
          <w:tcPr>
            <w:tcW w:w="2409"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2410"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1843"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r>
      <w:tr w:rsidR="009C5F32" w:rsidRPr="00664C7A" w:rsidTr="00B32ECD">
        <w:tc>
          <w:tcPr>
            <w:tcW w:w="3261" w:type="dxa"/>
          </w:tcPr>
          <w:p w:rsidR="009C5F32" w:rsidRPr="00664C7A" w:rsidRDefault="009C5F32" w:rsidP="0058438D">
            <w:pPr>
              <w:pStyle w:val="Title"/>
              <w:jc w:val="left"/>
              <w:rPr>
                <w:rFonts w:ascii="Arial" w:hAnsi="Arial" w:cs="Arial"/>
                <w:szCs w:val="24"/>
              </w:rPr>
            </w:pPr>
            <w:permStart w:id="16" w:edGrp="everyone" w:colFirst="0" w:colLast="0"/>
            <w:permStart w:id="17" w:edGrp="everyone" w:colFirst="1" w:colLast="1"/>
            <w:permStart w:id="18" w:edGrp="everyone" w:colFirst="2" w:colLast="2"/>
            <w:permStart w:id="19" w:edGrp="everyone" w:colFirst="3" w:colLast="3"/>
            <w:permEnd w:id="12"/>
            <w:permEnd w:id="13"/>
            <w:permEnd w:id="14"/>
            <w:permEnd w:id="15"/>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tc>
        <w:tc>
          <w:tcPr>
            <w:tcW w:w="2409"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2410"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1843"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r>
      <w:tr w:rsidR="009C5F32" w:rsidRPr="00664C7A" w:rsidTr="00B32ECD">
        <w:tc>
          <w:tcPr>
            <w:tcW w:w="3261" w:type="dxa"/>
          </w:tcPr>
          <w:p w:rsidR="009C5F32" w:rsidRPr="00664C7A" w:rsidRDefault="009C5F32" w:rsidP="0058438D">
            <w:pPr>
              <w:pStyle w:val="Title"/>
              <w:jc w:val="left"/>
              <w:rPr>
                <w:rFonts w:ascii="Arial" w:hAnsi="Arial" w:cs="Arial"/>
                <w:szCs w:val="24"/>
              </w:rPr>
            </w:pPr>
            <w:permStart w:id="20" w:edGrp="everyone" w:colFirst="0" w:colLast="0"/>
            <w:permStart w:id="21" w:edGrp="everyone" w:colFirst="1" w:colLast="1"/>
            <w:permStart w:id="22" w:edGrp="everyone" w:colFirst="2" w:colLast="2"/>
            <w:permStart w:id="23" w:edGrp="everyone" w:colFirst="3" w:colLast="3"/>
            <w:permEnd w:id="16"/>
            <w:permEnd w:id="17"/>
            <w:permEnd w:id="18"/>
            <w:permEnd w:id="19"/>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tc>
        <w:tc>
          <w:tcPr>
            <w:tcW w:w="2409"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2410"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c>
          <w:tcPr>
            <w:tcW w:w="1843" w:type="dxa"/>
          </w:tcPr>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p>
          <w:p w:rsidR="009C5F32" w:rsidRPr="00664C7A" w:rsidRDefault="009C5F32" w:rsidP="0058438D">
            <w:pPr>
              <w:pStyle w:val="Title"/>
              <w:jc w:val="left"/>
              <w:rPr>
                <w:rFonts w:ascii="Arial" w:hAnsi="Arial" w:cs="Arial"/>
                <w:szCs w:val="24"/>
              </w:rPr>
            </w:pPr>
            <w:r w:rsidRPr="00664C7A">
              <w:rPr>
                <w:rFonts w:ascii="Arial" w:hAnsi="Arial" w:cs="Arial"/>
                <w:szCs w:val="24"/>
              </w:rPr>
              <w:t xml:space="preserve"> </w:t>
            </w:r>
          </w:p>
        </w:tc>
      </w:tr>
      <w:permEnd w:id="20"/>
      <w:permEnd w:id="21"/>
      <w:permEnd w:id="22"/>
      <w:permEnd w:id="23"/>
    </w:tbl>
    <w:p w:rsidR="00BC6F32" w:rsidRPr="00664C7A" w:rsidRDefault="00BC6F32" w:rsidP="00BC6F32">
      <w:pPr>
        <w:jc w:val="both"/>
        <w:rPr>
          <w:rFonts w:cs="Arial"/>
          <w:szCs w:val="24"/>
        </w:rPr>
      </w:pPr>
    </w:p>
    <w:p w:rsidR="004564CA" w:rsidRPr="00664C7A" w:rsidRDefault="00BC6F32" w:rsidP="009D2426">
      <w:pPr>
        <w:pStyle w:val="Header"/>
        <w:tabs>
          <w:tab w:val="left" w:pos="720"/>
        </w:tabs>
        <w:spacing w:before="120" w:after="240"/>
        <w:jc w:val="both"/>
        <w:rPr>
          <w:b/>
        </w:rPr>
      </w:pPr>
      <w:r w:rsidRPr="00664C7A">
        <w:rPr>
          <w:rFonts w:ascii="Arial" w:hAnsi="Arial" w:cs="Arial"/>
          <w:szCs w:val="24"/>
        </w:rPr>
        <w:t xml:space="preserve">Organisations must add an </w:t>
      </w:r>
      <w:r w:rsidR="00D9768F" w:rsidRPr="00664C7A">
        <w:rPr>
          <w:rFonts w:ascii="Arial" w:hAnsi="Arial" w:cs="Arial"/>
          <w:szCs w:val="24"/>
        </w:rPr>
        <w:t>i</w:t>
      </w:r>
      <w:r w:rsidRPr="00664C7A">
        <w:rPr>
          <w:rFonts w:ascii="Arial" w:hAnsi="Arial" w:cs="Arial"/>
          <w:szCs w:val="24"/>
        </w:rPr>
        <w:t xml:space="preserve">ndividual </w:t>
      </w:r>
      <w:r w:rsidR="00D9768F" w:rsidRPr="00664C7A">
        <w:rPr>
          <w:rFonts w:ascii="Arial" w:hAnsi="Arial" w:cs="Arial"/>
          <w:szCs w:val="24"/>
        </w:rPr>
        <w:t>p</w:t>
      </w:r>
      <w:r w:rsidRPr="00664C7A">
        <w:rPr>
          <w:rFonts w:ascii="Arial" w:hAnsi="Arial" w:cs="Arial"/>
          <w:szCs w:val="24"/>
        </w:rPr>
        <w:t xml:space="preserve">ractitioner </w:t>
      </w:r>
      <w:r w:rsidR="00D9768F" w:rsidRPr="00664C7A">
        <w:rPr>
          <w:rFonts w:ascii="Arial" w:hAnsi="Arial" w:cs="Arial"/>
          <w:szCs w:val="24"/>
        </w:rPr>
        <w:t>a</w:t>
      </w:r>
      <w:r w:rsidRPr="00664C7A">
        <w:rPr>
          <w:rFonts w:ascii="Arial" w:hAnsi="Arial" w:cs="Arial"/>
          <w:szCs w:val="24"/>
        </w:rPr>
        <w:t xml:space="preserve">uthorisation </w:t>
      </w:r>
      <w:r w:rsidR="00D9768F" w:rsidRPr="00664C7A">
        <w:rPr>
          <w:rFonts w:ascii="Arial" w:hAnsi="Arial" w:cs="Arial"/>
          <w:szCs w:val="24"/>
        </w:rPr>
        <w:t>s</w:t>
      </w:r>
      <w:r w:rsidRPr="00664C7A">
        <w:rPr>
          <w:rFonts w:ascii="Arial" w:hAnsi="Arial" w:cs="Arial"/>
          <w:szCs w:val="24"/>
        </w:rPr>
        <w:t xml:space="preserve">heet or </w:t>
      </w:r>
      <w:r w:rsidR="00D9768F" w:rsidRPr="00664C7A">
        <w:rPr>
          <w:rFonts w:ascii="Arial" w:hAnsi="Arial" w:cs="Arial"/>
          <w:szCs w:val="24"/>
        </w:rPr>
        <w:t>l</w:t>
      </w:r>
      <w:r w:rsidRPr="00664C7A">
        <w:rPr>
          <w:rFonts w:ascii="Arial" w:hAnsi="Arial" w:cs="Arial"/>
          <w:szCs w:val="24"/>
        </w:rPr>
        <w:t xml:space="preserve">ist of </w:t>
      </w:r>
      <w:r w:rsidR="00D9768F" w:rsidRPr="00664C7A">
        <w:rPr>
          <w:rFonts w:ascii="Arial" w:hAnsi="Arial" w:cs="Arial"/>
          <w:szCs w:val="24"/>
        </w:rPr>
        <w:t>a</w:t>
      </w:r>
      <w:r w:rsidRPr="00664C7A">
        <w:rPr>
          <w:rFonts w:ascii="Arial" w:hAnsi="Arial" w:cs="Arial"/>
          <w:szCs w:val="24"/>
        </w:rPr>
        <w:t xml:space="preserve">uthorised </w:t>
      </w:r>
      <w:r w:rsidR="00D9768F" w:rsidRPr="00664C7A">
        <w:rPr>
          <w:rFonts w:ascii="Arial" w:hAnsi="Arial" w:cs="Arial"/>
          <w:szCs w:val="24"/>
        </w:rPr>
        <w:t>p</w:t>
      </w:r>
      <w:r w:rsidRPr="00664C7A">
        <w:rPr>
          <w:rFonts w:ascii="Arial" w:hAnsi="Arial" w:cs="Arial"/>
          <w:szCs w:val="24"/>
        </w:rPr>
        <w:t>ractitioners. This varies according to local policy but this should be a signature list or an individual agreement as included at the end of this PGD.</w:t>
      </w:r>
      <w:r w:rsidR="004564CA" w:rsidRPr="00664C7A">
        <w:br w:type="page"/>
      </w:r>
    </w:p>
    <w:p w:rsidR="00222834" w:rsidRPr="00664C7A" w:rsidRDefault="00145831" w:rsidP="002E0381">
      <w:pPr>
        <w:pStyle w:val="Heading4"/>
        <w:numPr>
          <w:ilvl w:val="0"/>
          <w:numId w:val="16"/>
        </w:numPr>
        <w:ind w:left="714" w:hanging="357"/>
        <w:contextualSpacing/>
        <w:rPr>
          <w:rFonts w:ascii="Arial" w:hAnsi="Arial" w:cs="Arial"/>
          <w:sz w:val="24"/>
          <w:szCs w:val="24"/>
        </w:rPr>
      </w:pPr>
      <w:r w:rsidRPr="00664C7A">
        <w:rPr>
          <w:rFonts w:ascii="Arial" w:hAnsi="Arial" w:cs="Arial"/>
          <w:sz w:val="24"/>
          <w:szCs w:val="24"/>
        </w:rPr>
        <w:t>Characteristics of s</w:t>
      </w:r>
      <w:r w:rsidR="00222834" w:rsidRPr="00664C7A">
        <w:rPr>
          <w:rFonts w:ascii="Arial" w:hAnsi="Arial" w:cs="Arial"/>
          <w:sz w:val="24"/>
          <w:szCs w:val="24"/>
        </w:rPr>
        <w:t>taff</w:t>
      </w:r>
    </w:p>
    <w:p w:rsidR="00222834" w:rsidRPr="00664C7A"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0"/>
        <w:gridCol w:w="6953"/>
      </w:tblGrid>
      <w:tr w:rsidR="00222834" w:rsidRPr="00664C7A" w:rsidTr="00B32ECD">
        <w:tc>
          <w:tcPr>
            <w:tcW w:w="2970" w:type="dxa"/>
          </w:tcPr>
          <w:p w:rsidR="00222834" w:rsidRPr="00664C7A" w:rsidRDefault="00222834" w:rsidP="002E393D">
            <w:pPr>
              <w:pStyle w:val="Header"/>
              <w:tabs>
                <w:tab w:val="left" w:pos="720"/>
              </w:tabs>
              <w:spacing w:before="120" w:after="120"/>
              <w:rPr>
                <w:rFonts w:ascii="Arial" w:hAnsi="Arial" w:cs="Arial"/>
                <w:b/>
                <w:sz w:val="22"/>
                <w:szCs w:val="22"/>
              </w:rPr>
            </w:pPr>
            <w:r w:rsidRPr="00664C7A">
              <w:rPr>
                <w:rFonts w:ascii="Arial" w:hAnsi="Arial" w:cs="Arial"/>
                <w:b/>
                <w:sz w:val="22"/>
                <w:szCs w:val="22"/>
              </w:rPr>
              <w:t xml:space="preserve">Qualifications and professional registration </w:t>
            </w:r>
          </w:p>
        </w:tc>
        <w:tc>
          <w:tcPr>
            <w:tcW w:w="6953" w:type="dxa"/>
          </w:tcPr>
          <w:p w:rsidR="00F35885" w:rsidRDefault="00F35885" w:rsidP="00F35885">
            <w:pPr>
              <w:pStyle w:val="Header"/>
              <w:tabs>
                <w:tab w:val="left" w:pos="317"/>
              </w:tabs>
              <w:spacing w:before="120"/>
              <w:rPr>
                <w:rFonts w:ascii="Arial" w:hAnsi="Arial" w:cs="Arial"/>
                <w:sz w:val="22"/>
                <w:szCs w:val="22"/>
              </w:rPr>
            </w:pPr>
            <w:permStart w:id="24"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eg: Registered professional with one of the following bodies:</w:t>
            </w:r>
          </w:p>
          <w:p w:rsidR="00F35885" w:rsidRDefault="00F35885" w:rsidP="00F35885">
            <w:pPr>
              <w:pStyle w:val="Header"/>
              <w:numPr>
                <w:ilvl w:val="0"/>
                <w:numId w:val="18"/>
              </w:numPr>
              <w:tabs>
                <w:tab w:val="left" w:pos="317"/>
              </w:tabs>
              <w:ind w:left="318" w:hanging="318"/>
              <w:rPr>
                <w:rFonts w:ascii="Arial" w:hAnsi="Arial" w:cs="Arial"/>
                <w:sz w:val="22"/>
                <w:szCs w:val="22"/>
              </w:rPr>
            </w:pPr>
            <w:r w:rsidRPr="004A5267">
              <w:rPr>
                <w:rFonts w:ascii="Arial" w:hAnsi="Arial" w:cs="Arial"/>
                <w:sz w:val="22"/>
                <w:szCs w:val="22"/>
              </w:rPr>
              <w:t>Nurses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rsidR="00F35885" w:rsidRDefault="00F35885" w:rsidP="00F35885">
            <w:pPr>
              <w:pStyle w:val="Header"/>
              <w:numPr>
                <w:ilvl w:val="0"/>
                <w:numId w:val="18"/>
              </w:numPr>
              <w:tabs>
                <w:tab w:val="left" w:pos="317"/>
              </w:tabs>
              <w:ind w:left="318" w:hanging="318"/>
              <w:rPr>
                <w:rFonts w:ascii="Arial" w:hAnsi="Arial" w:cs="Arial"/>
                <w:sz w:val="22"/>
                <w:szCs w:val="22"/>
              </w:rPr>
            </w:pPr>
            <w:r w:rsidRPr="00F35885">
              <w:rPr>
                <w:rFonts w:ascii="Arial" w:hAnsi="Arial" w:cs="Arial"/>
                <w:sz w:val="22"/>
                <w:szCs w:val="22"/>
              </w:rPr>
              <w:t>Pharmacists currently registered with the General Pharmaceutical Council (GPhC).</w:t>
            </w:r>
          </w:p>
          <w:p w:rsidR="00ED797A" w:rsidRPr="00F35885" w:rsidRDefault="00F35885" w:rsidP="00F35885">
            <w:pPr>
              <w:pStyle w:val="Header"/>
              <w:numPr>
                <w:ilvl w:val="0"/>
                <w:numId w:val="18"/>
              </w:numPr>
              <w:tabs>
                <w:tab w:val="left" w:pos="317"/>
              </w:tabs>
              <w:spacing w:before="120" w:after="120"/>
              <w:ind w:left="318" w:hanging="318"/>
              <w:rPr>
                <w:rFonts w:ascii="Arial" w:hAnsi="Arial" w:cs="Arial"/>
                <w:sz w:val="22"/>
                <w:szCs w:val="22"/>
              </w:rPr>
            </w:pPr>
            <w:r>
              <w:rPr>
                <w:rFonts w:ascii="Arial" w:hAnsi="Arial" w:cs="Arial"/>
                <w:sz w:val="22"/>
                <w:szCs w:val="22"/>
              </w:rPr>
              <w:t>Additional registered healthcare professionals to be added by organisation authorising the PGD</w:t>
            </w:r>
            <w:r w:rsidRPr="00F35885">
              <w:rPr>
                <w:rFonts w:ascii="Arial" w:hAnsi="Arial" w:cs="Arial"/>
                <w:color w:val="FF0000"/>
                <w:sz w:val="22"/>
                <w:szCs w:val="22"/>
              </w:rPr>
              <w:t xml:space="preserve"> </w:t>
            </w:r>
            <w:permEnd w:id="24"/>
          </w:p>
        </w:tc>
      </w:tr>
      <w:tr w:rsidR="00222834" w:rsidRPr="00664C7A" w:rsidTr="00B32ECD">
        <w:tc>
          <w:tcPr>
            <w:tcW w:w="2970" w:type="dxa"/>
          </w:tcPr>
          <w:p w:rsidR="00222834" w:rsidRPr="00664C7A" w:rsidRDefault="00222834" w:rsidP="002E393D">
            <w:pPr>
              <w:pStyle w:val="Header"/>
              <w:tabs>
                <w:tab w:val="left" w:pos="720"/>
              </w:tabs>
              <w:spacing w:before="120" w:after="120"/>
              <w:rPr>
                <w:rFonts w:ascii="Arial" w:hAnsi="Arial" w:cs="Arial"/>
                <w:b/>
                <w:sz w:val="22"/>
                <w:szCs w:val="22"/>
              </w:rPr>
            </w:pPr>
            <w:r w:rsidRPr="00664C7A">
              <w:rPr>
                <w:rFonts w:ascii="Arial" w:hAnsi="Arial" w:cs="Arial"/>
                <w:b/>
                <w:sz w:val="22"/>
                <w:szCs w:val="22"/>
              </w:rPr>
              <w:t>Additional requirements</w:t>
            </w:r>
          </w:p>
        </w:tc>
        <w:tc>
          <w:tcPr>
            <w:tcW w:w="6953" w:type="dxa"/>
          </w:tcPr>
          <w:p w:rsidR="00C1312B" w:rsidRPr="00C1312B" w:rsidRDefault="00C1312B" w:rsidP="00C1312B">
            <w:pPr>
              <w:spacing w:before="120" w:after="120"/>
              <w:rPr>
                <w:rFonts w:cs="Arial"/>
                <w:sz w:val="22"/>
              </w:rPr>
            </w:pPr>
            <w:permStart w:id="25" w:edGrp="everyone"/>
            <w:r w:rsidRPr="00C1312B">
              <w:rPr>
                <w:rFonts w:cs="Arial"/>
                <w:sz w:val="22"/>
              </w:rPr>
              <w:t xml:space="preserve">Additionally practitioners: </w:t>
            </w:r>
          </w:p>
          <w:p w:rsidR="00C1312B" w:rsidRPr="00664C7A" w:rsidRDefault="00C1312B" w:rsidP="00C1312B">
            <w:pPr>
              <w:pStyle w:val="ListParagraph"/>
              <w:numPr>
                <w:ilvl w:val="0"/>
                <w:numId w:val="22"/>
              </w:numPr>
              <w:spacing w:before="120" w:after="120"/>
              <w:ind w:left="324" w:hanging="324"/>
              <w:rPr>
                <w:rFonts w:cs="Arial"/>
                <w:sz w:val="22"/>
              </w:rPr>
            </w:pPr>
            <w:r w:rsidRPr="00664C7A">
              <w:rPr>
                <w:rFonts w:cs="Arial"/>
                <w:sz w:val="22"/>
              </w:rPr>
              <w:t>must be authorised by name as an approved practitioner under the current terms of this PGD before working to it</w:t>
            </w:r>
          </w:p>
          <w:p w:rsidR="00B47A59" w:rsidRPr="00B47A59" w:rsidRDefault="00C1312B" w:rsidP="00C1312B">
            <w:pPr>
              <w:pStyle w:val="Header"/>
              <w:numPr>
                <w:ilvl w:val="0"/>
                <w:numId w:val="7"/>
              </w:numPr>
              <w:tabs>
                <w:tab w:val="clear" w:pos="4153"/>
                <w:tab w:val="clear" w:pos="8306"/>
              </w:tabs>
              <w:spacing w:after="120"/>
              <w:ind w:left="323" w:hanging="323"/>
            </w:pPr>
            <w:r w:rsidRPr="00664C7A">
              <w:rPr>
                <w:rFonts w:ascii="Arial" w:hAnsi="Arial" w:cs="Arial"/>
                <w:sz w:val="22"/>
                <w:szCs w:val="22"/>
              </w:rPr>
              <w:t xml:space="preserve">must have undertaken appropriate training for working under PGDs for supply/administration of medicines </w:t>
            </w:r>
          </w:p>
          <w:p w:rsidR="00C1312B" w:rsidRPr="00664C7A" w:rsidRDefault="00C1312B" w:rsidP="00C1312B">
            <w:pPr>
              <w:pStyle w:val="Header"/>
              <w:numPr>
                <w:ilvl w:val="0"/>
                <w:numId w:val="7"/>
              </w:numPr>
              <w:tabs>
                <w:tab w:val="clear" w:pos="4153"/>
                <w:tab w:val="clear" w:pos="8306"/>
              </w:tabs>
              <w:spacing w:after="120"/>
              <w:ind w:left="323" w:hanging="323"/>
            </w:pPr>
            <w:r w:rsidRPr="00664C7A">
              <w:rPr>
                <w:rFonts w:ascii="Arial" w:hAnsi="Arial" w:cs="Arial"/>
                <w:sz w:val="22"/>
                <w:szCs w:val="22"/>
              </w:rPr>
              <w:t xml:space="preserve">must be competent in the use of PGDs (see </w:t>
            </w:r>
            <w:hyperlink r:id="rId12" w:history="1">
              <w:r w:rsidRPr="00664C7A">
                <w:rPr>
                  <w:rStyle w:val="Hyperlink"/>
                  <w:rFonts w:ascii="Arial" w:hAnsi="Arial" w:cs="Arial"/>
                  <w:sz w:val="22"/>
                  <w:szCs w:val="22"/>
                </w:rPr>
                <w:t>NICE Competency framework</w:t>
              </w:r>
            </w:hyperlink>
            <w:r w:rsidRPr="00664C7A">
              <w:rPr>
                <w:rFonts w:ascii="Arial" w:hAnsi="Arial" w:cs="Arial"/>
                <w:sz w:val="22"/>
                <w:szCs w:val="22"/>
              </w:rPr>
              <w:t xml:space="preserve"> for health professionals using Patient Group Directions)</w:t>
            </w:r>
          </w:p>
          <w:p w:rsidR="00C1312B" w:rsidRPr="00664C7A" w:rsidRDefault="00C1312B" w:rsidP="00C1312B">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hAnsi="Arial" w:cs="Arial"/>
                <w:sz w:val="22"/>
                <w:szCs w:val="22"/>
              </w:rPr>
              <w:t>must be familiar with the product and alert to changes in the Summary of Product Characteristics</w:t>
            </w:r>
          </w:p>
          <w:p w:rsidR="00C1312B" w:rsidRPr="00664C7A" w:rsidRDefault="00C1312B" w:rsidP="00C1312B">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must have access to the PGD and associated online resources</w:t>
            </w:r>
          </w:p>
          <w:p w:rsidR="00C1312B" w:rsidRPr="00664C7A" w:rsidRDefault="00C1312B" w:rsidP="00C1312B">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should fulfil any additional requirements defined by local policy</w:t>
            </w:r>
          </w:p>
          <w:p w:rsidR="00C1312B" w:rsidRPr="00B47A59" w:rsidRDefault="00C1312B" w:rsidP="00C1312B">
            <w:pPr>
              <w:pStyle w:val="Header"/>
              <w:numPr>
                <w:ilvl w:val="0"/>
                <w:numId w:val="7"/>
              </w:numPr>
              <w:tabs>
                <w:tab w:val="clear" w:pos="4153"/>
                <w:tab w:val="clear" w:pos="8306"/>
              </w:tabs>
              <w:spacing w:after="120"/>
              <w:ind w:left="323" w:hanging="323"/>
              <w:rPr>
                <w:rFonts w:ascii="Arial" w:hAnsi="Arial" w:cs="Arial"/>
                <w:sz w:val="22"/>
                <w:szCs w:val="22"/>
              </w:rPr>
            </w:pPr>
            <w:r w:rsidRPr="00B47A59">
              <w:rPr>
                <w:rFonts w:ascii="Arial" w:eastAsia="Arial" w:hAnsi="Arial" w:cs="Arial"/>
                <w:sz w:val="22"/>
                <w:szCs w:val="22"/>
              </w:rPr>
              <w:t>authorising organisation to insert any additional requirements</w:t>
            </w:r>
          </w:p>
          <w:p w:rsidR="00F35885" w:rsidRPr="00664C7A" w:rsidRDefault="00C1312B" w:rsidP="00C1312B">
            <w:pPr>
              <w:spacing w:after="120"/>
              <w:rPr>
                <w:rFonts w:cs="Arial"/>
                <w:b/>
                <w:bCs/>
                <w:sz w:val="22"/>
                <w:szCs w:val="22"/>
              </w:rPr>
            </w:pPr>
            <w:r w:rsidRPr="00664C7A">
              <w:rPr>
                <w:rFonts w:cs="Arial"/>
                <w:b/>
                <w:bCs/>
                <w:sz w:val="22"/>
                <w:szCs w:val="22"/>
              </w:rPr>
              <w:t>THE PRACTITIONER MUST BE AUTHORISED BY NAME, UNDER THE CURRENT VERSION OF THIS PGD BEFORE WORKING ACCORDING TO IT.</w:t>
            </w:r>
            <w:permEnd w:id="25"/>
          </w:p>
        </w:tc>
      </w:tr>
      <w:tr w:rsidR="00222834" w:rsidRPr="00664C7A" w:rsidTr="00B32ECD">
        <w:tc>
          <w:tcPr>
            <w:tcW w:w="2970" w:type="dxa"/>
          </w:tcPr>
          <w:p w:rsidR="00222834" w:rsidRPr="00664C7A" w:rsidRDefault="00222834" w:rsidP="002E393D">
            <w:pPr>
              <w:spacing w:before="120" w:after="120"/>
              <w:rPr>
                <w:rFonts w:cs="Arial"/>
                <w:b/>
                <w:sz w:val="22"/>
                <w:szCs w:val="22"/>
              </w:rPr>
            </w:pPr>
            <w:r w:rsidRPr="00664C7A">
              <w:rPr>
                <w:rFonts w:cs="Arial"/>
                <w:b/>
                <w:sz w:val="22"/>
                <w:szCs w:val="22"/>
              </w:rPr>
              <w:t>Continued training requirements</w:t>
            </w:r>
          </w:p>
        </w:tc>
        <w:tc>
          <w:tcPr>
            <w:tcW w:w="6953" w:type="dxa"/>
          </w:tcPr>
          <w:p w:rsidR="00222834" w:rsidRPr="001D49E4" w:rsidRDefault="001D49E4" w:rsidP="001D49E4">
            <w:pPr>
              <w:pStyle w:val="Header"/>
              <w:tabs>
                <w:tab w:val="left" w:pos="317"/>
              </w:tabs>
              <w:spacing w:before="120"/>
              <w:rPr>
                <w:rFonts w:cs="Arial"/>
                <w:b/>
                <w:bCs/>
                <w:sz w:val="22"/>
                <w:szCs w:val="22"/>
              </w:rPr>
            </w:pPr>
            <w:permStart w:id="26" w:edGrp="everyone"/>
            <w:r>
              <w:rPr>
                <w:rFonts w:ascii="Arial" w:hAnsi="Arial" w:cs="Arial"/>
                <w:sz w:val="22"/>
                <w:szCs w:val="22"/>
              </w:rPr>
              <w:t>Authorising organisation to insert any continued training requirements</w:t>
            </w:r>
            <w:r w:rsidRPr="00664C7A">
              <w:rPr>
                <w:rFonts w:cs="Arial"/>
                <w:b/>
                <w:bCs/>
                <w:sz w:val="22"/>
                <w:szCs w:val="22"/>
              </w:rPr>
              <w:t>.</w:t>
            </w:r>
            <w:permEnd w:id="26"/>
          </w:p>
        </w:tc>
      </w:tr>
    </w:tbl>
    <w:p w:rsidR="00DD6ADE" w:rsidRPr="00664C7A" w:rsidRDefault="00DD6ADE" w:rsidP="00DD6ADE">
      <w:pPr>
        <w:pStyle w:val="ListParagraph"/>
        <w:ind w:left="714"/>
        <w:rPr>
          <w:b/>
          <w:szCs w:val="24"/>
        </w:rPr>
      </w:pPr>
    </w:p>
    <w:p w:rsidR="00DD6ADE" w:rsidRPr="00C751C5" w:rsidRDefault="00004A2E" w:rsidP="00004A2E">
      <w:pPr>
        <w:overflowPunct/>
        <w:autoSpaceDE/>
        <w:autoSpaceDN/>
        <w:adjustRightInd/>
        <w:textAlignment w:val="auto"/>
        <w:rPr>
          <w:b/>
          <w:sz w:val="22"/>
          <w:szCs w:val="22"/>
        </w:rPr>
      </w:pPr>
      <w:r w:rsidRPr="00C751C5">
        <w:rPr>
          <w:b/>
          <w:sz w:val="22"/>
          <w:szCs w:val="22"/>
        </w:rPr>
        <w:t>Note:</w:t>
      </w:r>
      <w:r w:rsidRPr="00C751C5">
        <w:rPr>
          <w:sz w:val="22"/>
          <w:szCs w:val="22"/>
        </w:rPr>
        <w:t xml:space="preserve"> The authorising organisation should ensure that staff working with this PGD are trained in addressing issues of consent, including those </w:t>
      </w:r>
      <w:r w:rsidR="00C751C5">
        <w:rPr>
          <w:sz w:val="22"/>
          <w:szCs w:val="22"/>
        </w:rPr>
        <w:t xml:space="preserve">individuals </w:t>
      </w:r>
      <w:r w:rsidRPr="00C751C5">
        <w:rPr>
          <w:sz w:val="22"/>
          <w:szCs w:val="22"/>
        </w:rPr>
        <w:t>with dementia.</w:t>
      </w:r>
      <w:r w:rsidR="00DD6ADE" w:rsidRPr="00C751C5">
        <w:rPr>
          <w:b/>
          <w:sz w:val="22"/>
          <w:szCs w:val="22"/>
        </w:rPr>
        <w:br w:type="page"/>
      </w:r>
    </w:p>
    <w:p w:rsidR="00B37C58" w:rsidRPr="00664C7A" w:rsidRDefault="00B37C58" w:rsidP="002E0381">
      <w:pPr>
        <w:pStyle w:val="ListParagraph"/>
        <w:numPr>
          <w:ilvl w:val="0"/>
          <w:numId w:val="16"/>
        </w:numPr>
        <w:ind w:left="714" w:hanging="357"/>
        <w:rPr>
          <w:b/>
          <w:szCs w:val="24"/>
        </w:rPr>
      </w:pPr>
      <w:r w:rsidRPr="00664C7A">
        <w:rPr>
          <w:b/>
          <w:szCs w:val="24"/>
        </w:rPr>
        <w:t xml:space="preserve">Clinical condition or </w:t>
      </w:r>
      <w:r w:rsidR="00032A94" w:rsidRPr="00664C7A">
        <w:rPr>
          <w:b/>
          <w:szCs w:val="24"/>
        </w:rPr>
        <w:t>situation to which this PGD</w:t>
      </w:r>
      <w:r w:rsidRPr="00664C7A">
        <w:rPr>
          <w:b/>
          <w:szCs w:val="24"/>
        </w:rPr>
        <w:t xml:space="preserve"> applies.</w:t>
      </w:r>
    </w:p>
    <w:p w:rsidR="0008353A" w:rsidRPr="00664C7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6946"/>
      </w:tblGrid>
      <w:tr w:rsidR="00B37C58" w:rsidRPr="00664C7A" w:rsidTr="00E47B6D">
        <w:tc>
          <w:tcPr>
            <w:tcW w:w="2977" w:type="dxa"/>
          </w:tcPr>
          <w:p w:rsidR="00B37C58" w:rsidRPr="00664C7A" w:rsidRDefault="00032A94" w:rsidP="007E045E">
            <w:pPr>
              <w:pStyle w:val="Header"/>
              <w:tabs>
                <w:tab w:val="clear" w:pos="4153"/>
                <w:tab w:val="clear" w:pos="8306"/>
              </w:tabs>
              <w:spacing w:before="120" w:after="120"/>
              <w:rPr>
                <w:rFonts w:ascii="Arial" w:hAnsi="Arial" w:cs="Arial"/>
                <w:b/>
                <w:sz w:val="22"/>
                <w:szCs w:val="22"/>
              </w:rPr>
            </w:pPr>
            <w:r w:rsidRPr="00664C7A">
              <w:rPr>
                <w:rFonts w:ascii="Arial" w:hAnsi="Arial" w:cs="Arial"/>
                <w:b/>
                <w:sz w:val="22"/>
                <w:szCs w:val="22"/>
              </w:rPr>
              <w:t>Clinical condition or situation to which this PGD applies</w:t>
            </w:r>
          </w:p>
        </w:tc>
        <w:tc>
          <w:tcPr>
            <w:tcW w:w="6946" w:type="dxa"/>
          </w:tcPr>
          <w:p w:rsidR="006F7FED" w:rsidRPr="00664C7A" w:rsidRDefault="006F7FED" w:rsidP="006B0822">
            <w:pPr>
              <w:pStyle w:val="BodyText3"/>
              <w:overflowPunct/>
              <w:autoSpaceDE/>
              <w:autoSpaceDN/>
              <w:adjustRightInd/>
              <w:spacing w:before="120"/>
              <w:textAlignment w:val="auto"/>
              <w:rPr>
                <w:rFonts w:cs="Arial"/>
                <w:sz w:val="22"/>
                <w:szCs w:val="22"/>
              </w:rPr>
            </w:pPr>
            <w:r w:rsidRPr="00664C7A">
              <w:rPr>
                <w:rFonts w:cs="Arial"/>
                <w:sz w:val="22"/>
                <w:szCs w:val="22"/>
              </w:rPr>
              <w:t>Post exposure prophylaxis of influenza A and B:</w:t>
            </w:r>
          </w:p>
          <w:p w:rsidR="006F7FED" w:rsidRPr="00664C7A" w:rsidRDefault="006F7FED" w:rsidP="006F7FED">
            <w:pPr>
              <w:pStyle w:val="BodyText3"/>
              <w:numPr>
                <w:ilvl w:val="0"/>
                <w:numId w:val="19"/>
              </w:numPr>
              <w:spacing w:before="120"/>
              <w:ind w:left="426" w:hanging="426"/>
              <w:rPr>
                <w:rFonts w:cs="Arial"/>
                <w:sz w:val="22"/>
                <w:szCs w:val="22"/>
              </w:rPr>
            </w:pPr>
            <w:r w:rsidRPr="00664C7A">
              <w:rPr>
                <w:rFonts w:cs="Arial"/>
                <w:sz w:val="22"/>
                <w:szCs w:val="22"/>
              </w:rPr>
              <w:t xml:space="preserve"> When </w:t>
            </w:r>
            <w:r w:rsidRPr="00664C7A">
              <w:rPr>
                <w:rStyle w:val="Strong"/>
                <w:sz w:val="22"/>
              </w:rPr>
              <w:t>all</w:t>
            </w:r>
            <w:r w:rsidRPr="00664C7A">
              <w:rPr>
                <w:rFonts w:cs="Arial"/>
                <w:sz w:val="22"/>
                <w:szCs w:val="22"/>
              </w:rPr>
              <w:t xml:space="preserve"> of the following circumstances apply:</w:t>
            </w:r>
          </w:p>
          <w:p w:rsidR="006F7FED" w:rsidRPr="00664C7A" w:rsidRDefault="006F7FED" w:rsidP="006F7FED">
            <w:pPr>
              <w:pStyle w:val="NormalWeb"/>
              <w:numPr>
                <w:ilvl w:val="0"/>
                <w:numId w:val="5"/>
              </w:numPr>
              <w:tabs>
                <w:tab w:val="clear" w:pos="720"/>
                <w:tab w:val="num" w:pos="459"/>
              </w:tabs>
              <w:spacing w:before="0" w:beforeAutospacing="0" w:after="120" w:afterAutospacing="0"/>
              <w:ind w:left="459" w:hanging="425"/>
              <w:rPr>
                <w:rFonts w:ascii="Arial" w:hAnsi="Arial" w:cs="Arial"/>
                <w:sz w:val="22"/>
                <w:szCs w:val="22"/>
              </w:rPr>
            </w:pPr>
            <w:r w:rsidRPr="00664C7A">
              <w:rPr>
                <w:rFonts w:ascii="Arial" w:hAnsi="Arial" w:cs="Arial"/>
                <w:sz w:val="22"/>
                <w:szCs w:val="22"/>
              </w:rPr>
              <w:t>national surveillance schemes have indicated that influenza virus is circulating in the community</w:t>
            </w:r>
            <w:r w:rsidRPr="00664C7A">
              <w:rPr>
                <w:rStyle w:val="FootnoteReference"/>
                <w:rFonts w:ascii="Arial" w:hAnsi="Arial" w:cs="Arial"/>
                <w:sz w:val="22"/>
                <w:szCs w:val="22"/>
              </w:rPr>
              <w:footnoteReference w:id="2"/>
            </w:r>
            <w:r w:rsidRPr="00664C7A">
              <w:rPr>
                <w:rFonts w:ascii="Arial" w:hAnsi="Arial" w:cs="Arial"/>
                <w:b/>
                <w:sz w:val="22"/>
                <w:szCs w:val="22"/>
              </w:rPr>
              <w:t xml:space="preserve"> and</w:t>
            </w:r>
          </w:p>
          <w:p w:rsidR="006F7FED" w:rsidRPr="00664C7A" w:rsidRDefault="006F7FED" w:rsidP="006F7FED">
            <w:pPr>
              <w:pStyle w:val="NormalWeb"/>
              <w:numPr>
                <w:ilvl w:val="0"/>
                <w:numId w:val="5"/>
              </w:numPr>
              <w:tabs>
                <w:tab w:val="clear" w:pos="720"/>
                <w:tab w:val="num" w:pos="459"/>
              </w:tabs>
              <w:spacing w:before="0" w:beforeAutospacing="0" w:after="120" w:afterAutospacing="0"/>
              <w:ind w:left="459" w:hanging="425"/>
              <w:rPr>
                <w:rFonts w:ascii="Arial" w:hAnsi="Arial" w:cs="Arial"/>
                <w:sz w:val="22"/>
                <w:szCs w:val="22"/>
              </w:rPr>
            </w:pPr>
            <w:r w:rsidRPr="00664C7A">
              <w:rPr>
                <w:rFonts w:ascii="Arial" w:hAnsi="Arial" w:cs="Arial"/>
                <w:sz w:val="22"/>
                <w:szCs w:val="22"/>
              </w:rPr>
              <w:t xml:space="preserve">the person is in an ‘at-risk’ group, including being aged 65 years and over (see inclusion criteria) </w:t>
            </w:r>
            <w:r w:rsidRPr="00664C7A">
              <w:rPr>
                <w:rFonts w:ascii="Arial" w:hAnsi="Arial" w:cs="Arial"/>
                <w:b/>
                <w:sz w:val="22"/>
                <w:szCs w:val="22"/>
              </w:rPr>
              <w:t>and</w:t>
            </w:r>
          </w:p>
          <w:p w:rsidR="006F7FED" w:rsidRPr="00664C7A" w:rsidRDefault="006F7FED" w:rsidP="006F7FED">
            <w:pPr>
              <w:pStyle w:val="NormalWeb"/>
              <w:numPr>
                <w:ilvl w:val="0"/>
                <w:numId w:val="5"/>
              </w:numPr>
              <w:tabs>
                <w:tab w:val="clear" w:pos="720"/>
                <w:tab w:val="num" w:pos="459"/>
              </w:tabs>
              <w:spacing w:before="0" w:beforeAutospacing="0" w:after="120" w:afterAutospacing="0"/>
              <w:ind w:left="459" w:hanging="425"/>
              <w:rPr>
                <w:rFonts w:ascii="Arial" w:hAnsi="Arial" w:cs="Arial"/>
                <w:sz w:val="22"/>
                <w:szCs w:val="22"/>
              </w:rPr>
            </w:pPr>
            <w:r w:rsidRPr="00664C7A">
              <w:rPr>
                <w:rFonts w:ascii="Arial" w:hAnsi="Arial" w:cs="Arial"/>
                <w:sz w:val="22"/>
                <w:szCs w:val="22"/>
              </w:rPr>
              <w:t>the person has been in close contact</w:t>
            </w:r>
            <w:r w:rsidRPr="00664C7A">
              <w:rPr>
                <w:rStyle w:val="FootnoteReference"/>
                <w:rFonts w:ascii="Arial" w:hAnsi="Arial" w:cs="Arial"/>
                <w:sz w:val="22"/>
                <w:szCs w:val="22"/>
              </w:rPr>
              <w:footnoteReference w:id="3"/>
            </w:r>
            <w:r w:rsidRPr="00664C7A">
              <w:rPr>
                <w:rFonts w:ascii="Arial" w:hAnsi="Arial" w:cs="Arial"/>
                <w:sz w:val="22"/>
                <w:szCs w:val="22"/>
              </w:rPr>
              <w:t xml:space="preserve"> with a person with an influenza-like illness (ILI) and is able to begin prophylaxis within 48 hours of </w:t>
            </w:r>
            <w:r w:rsidR="00E23E69" w:rsidRPr="00664C7A">
              <w:rPr>
                <w:rFonts w:ascii="Arial" w:hAnsi="Arial" w:cs="Arial"/>
                <w:sz w:val="22"/>
                <w:szCs w:val="22"/>
              </w:rPr>
              <w:t>last contact with the</w:t>
            </w:r>
            <w:r w:rsidR="005A78B1" w:rsidRPr="00664C7A">
              <w:rPr>
                <w:rFonts w:ascii="Arial" w:hAnsi="Arial" w:cs="Arial"/>
                <w:sz w:val="22"/>
                <w:szCs w:val="22"/>
              </w:rPr>
              <w:t xml:space="preserve"> infectious </w:t>
            </w:r>
            <w:r w:rsidRPr="00664C7A">
              <w:rPr>
                <w:rFonts w:ascii="Arial" w:hAnsi="Arial" w:cs="Arial"/>
                <w:sz w:val="22"/>
                <w:szCs w:val="22"/>
              </w:rPr>
              <w:t xml:space="preserve">case </w:t>
            </w:r>
            <w:r w:rsidRPr="00664C7A">
              <w:rPr>
                <w:rFonts w:ascii="Arial" w:hAnsi="Arial" w:cs="Arial"/>
                <w:b/>
                <w:sz w:val="22"/>
                <w:szCs w:val="22"/>
              </w:rPr>
              <w:t>and</w:t>
            </w:r>
          </w:p>
          <w:p w:rsidR="006F7FED" w:rsidRPr="00664C7A" w:rsidRDefault="006F7FED" w:rsidP="006F7FED">
            <w:pPr>
              <w:pStyle w:val="NormalWeb"/>
              <w:numPr>
                <w:ilvl w:val="0"/>
                <w:numId w:val="6"/>
              </w:numPr>
              <w:tabs>
                <w:tab w:val="clear" w:pos="720"/>
                <w:tab w:val="num" w:pos="459"/>
              </w:tabs>
              <w:spacing w:before="0" w:beforeAutospacing="0" w:after="120" w:afterAutospacing="0"/>
              <w:ind w:left="459" w:hanging="425"/>
              <w:rPr>
                <w:rFonts w:ascii="Arial" w:hAnsi="Arial" w:cs="Arial"/>
                <w:sz w:val="22"/>
                <w:szCs w:val="22"/>
              </w:rPr>
            </w:pPr>
            <w:r w:rsidRPr="00664C7A">
              <w:rPr>
                <w:rFonts w:ascii="Arial" w:hAnsi="Arial" w:cs="Arial"/>
                <w:sz w:val="22"/>
                <w:szCs w:val="22"/>
              </w:rPr>
              <w:t>the person has not been effectively protected by vaccination</w:t>
            </w:r>
            <w:r w:rsidRPr="00664C7A">
              <w:rPr>
                <w:rStyle w:val="FootnoteReference"/>
                <w:rFonts w:ascii="Arial" w:hAnsi="Arial" w:cs="Arial"/>
                <w:sz w:val="22"/>
                <w:szCs w:val="22"/>
              </w:rPr>
              <w:footnoteReference w:id="4"/>
            </w:r>
          </w:p>
          <w:p w:rsidR="006F7FED" w:rsidRPr="00664C7A" w:rsidRDefault="006F7FED" w:rsidP="006F7FED">
            <w:pPr>
              <w:pStyle w:val="NormalWeb"/>
              <w:numPr>
                <w:ilvl w:val="0"/>
                <w:numId w:val="19"/>
              </w:numPr>
              <w:spacing w:before="0" w:beforeAutospacing="0" w:after="120" w:afterAutospacing="0"/>
              <w:ind w:left="426" w:hanging="426"/>
              <w:rPr>
                <w:rFonts w:ascii="Arial" w:hAnsi="Arial" w:cs="Arial"/>
                <w:sz w:val="22"/>
                <w:szCs w:val="22"/>
              </w:rPr>
            </w:pPr>
            <w:r w:rsidRPr="00664C7A">
              <w:rPr>
                <w:rFonts w:ascii="Arial" w:hAnsi="Arial" w:cs="Arial"/>
                <w:sz w:val="22"/>
                <w:szCs w:val="22"/>
              </w:rPr>
              <w:t xml:space="preserve">Outside the periods when surveillance indicates that influenza virus is circulating in the community, </w:t>
            </w:r>
            <w:r w:rsidR="00540C31" w:rsidRPr="00664C7A">
              <w:rPr>
                <w:rFonts w:ascii="Arial" w:hAnsi="Arial" w:cs="Arial"/>
                <w:sz w:val="22"/>
                <w:szCs w:val="22"/>
              </w:rPr>
              <w:t xml:space="preserve">oseltamivir </w:t>
            </w:r>
            <w:r w:rsidRPr="00664C7A">
              <w:rPr>
                <w:rFonts w:ascii="Arial" w:hAnsi="Arial" w:cs="Arial"/>
                <w:sz w:val="22"/>
                <w:szCs w:val="22"/>
              </w:rPr>
              <w:t>can be used</w:t>
            </w:r>
            <w:r w:rsidRPr="00664C7A">
              <w:rPr>
                <w:rFonts w:ascii="Arial" w:hAnsi="Arial" w:cs="Arial"/>
                <w:b/>
                <w:sz w:val="22"/>
                <w:szCs w:val="22"/>
              </w:rPr>
              <w:t xml:space="preserve"> </w:t>
            </w:r>
            <w:r w:rsidRPr="00664C7A">
              <w:rPr>
                <w:rFonts w:ascii="Arial" w:hAnsi="Arial" w:cs="Arial"/>
                <w:sz w:val="22"/>
                <w:szCs w:val="22"/>
              </w:rPr>
              <w:t xml:space="preserve">for post-exposure prophylaxis during influenza outbreaks among ‘at-risk’ people living or working in long-term residential or nursing homes (care homes), whether or not they have been vaccinated. This should only be done if there is a high level of certainty that the causative agent in a localised outbreak is influenza, usually based on virological evidence of infection with influenza in the index case(s). </w:t>
            </w:r>
          </w:p>
          <w:p w:rsidR="006F7FED" w:rsidRPr="00664C7A" w:rsidRDefault="006F7FED" w:rsidP="006F7FED">
            <w:pPr>
              <w:spacing w:after="120"/>
              <w:ind w:left="425"/>
              <w:rPr>
                <w:rFonts w:cs="Arial"/>
                <w:sz w:val="22"/>
                <w:szCs w:val="22"/>
              </w:rPr>
            </w:pPr>
            <w:r w:rsidRPr="00664C7A">
              <w:rPr>
                <w:rFonts w:cs="Arial"/>
                <w:sz w:val="22"/>
                <w:szCs w:val="22"/>
              </w:rPr>
              <w:t>Health Protection Teams within Public Health England Centres will advise on whether influenza is the likely causative agent.</w:t>
            </w:r>
          </w:p>
        </w:tc>
      </w:tr>
      <w:tr w:rsidR="006D2947" w:rsidRPr="00664C7A" w:rsidTr="00E47B6D">
        <w:tc>
          <w:tcPr>
            <w:tcW w:w="2977" w:type="dxa"/>
          </w:tcPr>
          <w:p w:rsidR="006D2947" w:rsidRDefault="006D2947" w:rsidP="007E045E">
            <w:pPr>
              <w:spacing w:before="120" w:after="120"/>
              <w:rPr>
                <w:rFonts w:cs="Arial"/>
                <w:b/>
                <w:sz w:val="22"/>
                <w:szCs w:val="22"/>
              </w:rPr>
            </w:pPr>
            <w:r w:rsidRPr="00664C7A">
              <w:rPr>
                <w:rFonts w:cs="Arial"/>
                <w:b/>
                <w:sz w:val="22"/>
                <w:szCs w:val="22"/>
              </w:rPr>
              <w:t>Criteria for inclusion</w:t>
            </w: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b/>
                <w:sz w:val="22"/>
                <w:szCs w:val="22"/>
              </w:rPr>
            </w:pPr>
          </w:p>
          <w:p w:rsidR="00C751C5" w:rsidRDefault="00C751C5" w:rsidP="007E045E">
            <w:pPr>
              <w:spacing w:before="120" w:after="120"/>
              <w:rPr>
                <w:rFonts w:cs="Arial"/>
                <w:sz w:val="22"/>
                <w:szCs w:val="22"/>
              </w:rPr>
            </w:pPr>
          </w:p>
          <w:p w:rsidR="00C751C5" w:rsidRDefault="00C751C5" w:rsidP="007E045E">
            <w:pPr>
              <w:spacing w:before="120" w:after="120"/>
              <w:rPr>
                <w:rFonts w:cs="Arial"/>
                <w:sz w:val="22"/>
                <w:szCs w:val="22"/>
              </w:rPr>
            </w:pPr>
            <w:r>
              <w:rPr>
                <w:rFonts w:cs="Arial"/>
                <w:sz w:val="22"/>
                <w:szCs w:val="22"/>
              </w:rPr>
              <w:t>(continued overleaf)</w:t>
            </w:r>
          </w:p>
          <w:p w:rsidR="00C751C5" w:rsidRDefault="00C751C5" w:rsidP="00740E72">
            <w:pPr>
              <w:spacing w:before="240" w:after="120"/>
              <w:rPr>
                <w:rFonts w:cs="Arial"/>
                <w:b/>
                <w:sz w:val="22"/>
                <w:szCs w:val="22"/>
              </w:rPr>
            </w:pPr>
            <w:r w:rsidRPr="00664C7A">
              <w:rPr>
                <w:rFonts w:cs="Arial"/>
                <w:b/>
                <w:sz w:val="22"/>
                <w:szCs w:val="22"/>
              </w:rPr>
              <w:t>Criteria for inclusion</w:t>
            </w:r>
          </w:p>
          <w:p w:rsidR="00C751C5" w:rsidRPr="00C751C5" w:rsidRDefault="00C751C5" w:rsidP="007E045E">
            <w:pPr>
              <w:spacing w:before="120" w:after="120"/>
              <w:rPr>
                <w:rFonts w:cs="Arial"/>
                <w:sz w:val="22"/>
                <w:szCs w:val="22"/>
              </w:rPr>
            </w:pPr>
            <w:r>
              <w:rPr>
                <w:rFonts w:cs="Arial"/>
                <w:sz w:val="22"/>
                <w:szCs w:val="22"/>
              </w:rPr>
              <w:t>(continued)</w:t>
            </w:r>
          </w:p>
        </w:tc>
        <w:tc>
          <w:tcPr>
            <w:tcW w:w="6946" w:type="dxa"/>
          </w:tcPr>
          <w:p w:rsidR="006F7FED" w:rsidRPr="00664C7A" w:rsidRDefault="006F7FED" w:rsidP="00740E72">
            <w:pPr>
              <w:spacing w:before="120" w:after="60"/>
              <w:rPr>
                <w:sz w:val="22"/>
              </w:rPr>
            </w:pPr>
            <w:r w:rsidRPr="00664C7A">
              <w:rPr>
                <w:sz w:val="22"/>
              </w:rPr>
              <w:t xml:space="preserve">This PGD will come into force only when either </w:t>
            </w:r>
            <w:r w:rsidRPr="00664C7A">
              <w:rPr>
                <w:rFonts w:cs="Arial"/>
                <w:sz w:val="22"/>
                <w:szCs w:val="22"/>
              </w:rPr>
              <w:t>national surveillance schemes have indicated that influenza virus is circulating or when, in a localised outbreak, there is a high level of certainty that the causative agent is influenza (as advised by the local Health Protection Team).</w:t>
            </w:r>
          </w:p>
          <w:p w:rsidR="006F7FED" w:rsidRPr="00664C7A" w:rsidRDefault="006F7FED" w:rsidP="00740E72">
            <w:pPr>
              <w:spacing w:after="60"/>
              <w:rPr>
                <w:sz w:val="22"/>
              </w:rPr>
            </w:pPr>
            <w:r w:rsidRPr="00664C7A">
              <w:rPr>
                <w:sz w:val="22"/>
              </w:rPr>
              <w:t>Individuals must:</w:t>
            </w:r>
          </w:p>
          <w:p w:rsidR="006F7FED" w:rsidRPr="00664C7A" w:rsidRDefault="006F7FED" w:rsidP="00740E72">
            <w:pPr>
              <w:pStyle w:val="Default"/>
              <w:numPr>
                <w:ilvl w:val="0"/>
                <w:numId w:val="20"/>
              </w:numPr>
              <w:spacing w:after="60"/>
              <w:rPr>
                <w:sz w:val="23"/>
              </w:rPr>
            </w:pPr>
            <w:r w:rsidRPr="00664C7A">
              <w:rPr>
                <w:sz w:val="22"/>
                <w:szCs w:val="22"/>
              </w:rPr>
              <w:t xml:space="preserve">Have been in close contact with a person who is exhibiting influenza-like illness symptoms or </w:t>
            </w:r>
            <w:r w:rsidRPr="00664C7A">
              <w:rPr>
                <w:sz w:val="23"/>
                <w:szCs w:val="23"/>
              </w:rPr>
              <w:t>were close contacts of a probable</w:t>
            </w:r>
            <w:r w:rsidRPr="00664C7A">
              <w:rPr>
                <w:sz w:val="16"/>
                <w:szCs w:val="16"/>
              </w:rPr>
              <w:t xml:space="preserve"> </w:t>
            </w:r>
            <w:r w:rsidRPr="00664C7A">
              <w:rPr>
                <w:sz w:val="23"/>
                <w:szCs w:val="23"/>
              </w:rPr>
              <w:t>or confirmed</w:t>
            </w:r>
            <w:r w:rsidRPr="00664C7A">
              <w:rPr>
                <w:sz w:val="16"/>
                <w:szCs w:val="16"/>
              </w:rPr>
              <w:t xml:space="preserve"> </w:t>
            </w:r>
            <w:r w:rsidRPr="00664C7A">
              <w:rPr>
                <w:sz w:val="22"/>
                <w:szCs w:val="22"/>
              </w:rPr>
              <w:t>influenza case</w:t>
            </w:r>
            <w:r w:rsidRPr="00664C7A">
              <w:rPr>
                <w:sz w:val="23"/>
                <w:szCs w:val="23"/>
              </w:rPr>
              <w:t xml:space="preserve"> during the period when the latter was symptomatic </w:t>
            </w:r>
            <w:r w:rsidRPr="00664C7A">
              <w:rPr>
                <w:b/>
                <w:bCs/>
                <w:sz w:val="23"/>
                <w:szCs w:val="23"/>
              </w:rPr>
              <w:t>and</w:t>
            </w:r>
            <w:r w:rsidRPr="00664C7A">
              <w:rPr>
                <w:sz w:val="23"/>
              </w:rPr>
              <w:t xml:space="preserve"> the l</w:t>
            </w:r>
            <w:r w:rsidRPr="00664C7A">
              <w:rPr>
                <w:sz w:val="23"/>
                <w:szCs w:val="23"/>
              </w:rPr>
              <w:t xml:space="preserve">ast contact occurred no more than 48 hours ago </w:t>
            </w:r>
            <w:r w:rsidRPr="00664C7A">
              <w:rPr>
                <w:b/>
                <w:sz w:val="23"/>
                <w:szCs w:val="23"/>
              </w:rPr>
              <w:t>and</w:t>
            </w:r>
          </w:p>
          <w:p w:rsidR="006F7FED" w:rsidRPr="00664C7A" w:rsidRDefault="006F7FED" w:rsidP="00740E72">
            <w:pPr>
              <w:numPr>
                <w:ilvl w:val="0"/>
                <w:numId w:val="20"/>
              </w:numPr>
              <w:tabs>
                <w:tab w:val="left" w:pos="360"/>
              </w:tabs>
              <w:spacing w:after="60"/>
              <w:rPr>
                <w:rFonts w:cs="Arial"/>
                <w:sz w:val="22"/>
                <w:szCs w:val="22"/>
              </w:rPr>
            </w:pPr>
            <w:r w:rsidRPr="00664C7A">
              <w:rPr>
                <w:rFonts w:cs="Arial"/>
                <w:sz w:val="22"/>
                <w:szCs w:val="22"/>
              </w:rPr>
              <w:t>Be a resident in a care home or an adult working in a care home</w:t>
            </w:r>
            <w:r w:rsidRPr="00664C7A">
              <w:rPr>
                <w:rStyle w:val="FootnoteReference"/>
                <w:sz w:val="22"/>
              </w:rPr>
              <w:footnoteReference w:id="5"/>
            </w:r>
            <w:r w:rsidRPr="00664C7A">
              <w:rPr>
                <w:rFonts w:cs="Arial"/>
                <w:sz w:val="22"/>
                <w:szCs w:val="22"/>
              </w:rPr>
              <w:t xml:space="preserve"> </w:t>
            </w:r>
            <w:r w:rsidRPr="00664C7A">
              <w:rPr>
                <w:rFonts w:cs="Arial"/>
                <w:b/>
                <w:sz w:val="22"/>
                <w:szCs w:val="22"/>
              </w:rPr>
              <w:t>and</w:t>
            </w:r>
          </w:p>
          <w:p w:rsidR="006F7FED" w:rsidRPr="00664C7A" w:rsidRDefault="006F7FED" w:rsidP="00740E72">
            <w:pPr>
              <w:numPr>
                <w:ilvl w:val="0"/>
                <w:numId w:val="20"/>
              </w:numPr>
              <w:tabs>
                <w:tab w:val="left" w:pos="360"/>
              </w:tabs>
              <w:spacing w:before="120" w:after="60"/>
              <w:rPr>
                <w:rFonts w:cs="Arial"/>
                <w:sz w:val="22"/>
                <w:szCs w:val="22"/>
              </w:rPr>
            </w:pPr>
            <w:r w:rsidRPr="00664C7A">
              <w:rPr>
                <w:rFonts w:cs="Arial"/>
                <w:sz w:val="22"/>
                <w:szCs w:val="22"/>
              </w:rPr>
              <w:t xml:space="preserve">Either be aged 65 years and over, or 13 – 64 years and in one of the defined risk groups below: </w:t>
            </w:r>
          </w:p>
          <w:p w:rsidR="007B362F" w:rsidRPr="00664C7A" w:rsidRDefault="00B0529D" w:rsidP="002E0381">
            <w:pPr>
              <w:numPr>
                <w:ilvl w:val="0"/>
                <w:numId w:val="4"/>
              </w:numPr>
              <w:tabs>
                <w:tab w:val="left" w:pos="860"/>
              </w:tabs>
              <w:spacing w:after="120"/>
              <w:ind w:left="856" w:hanging="357"/>
              <w:rPr>
                <w:rFonts w:cs="Arial"/>
                <w:sz w:val="22"/>
                <w:szCs w:val="22"/>
              </w:rPr>
            </w:pPr>
            <w:r w:rsidRPr="00664C7A">
              <w:rPr>
                <w:rFonts w:cs="Arial"/>
                <w:sz w:val="22"/>
                <w:szCs w:val="22"/>
              </w:rPr>
              <w:t>c</w:t>
            </w:r>
            <w:r w:rsidR="007B362F" w:rsidRPr="00664C7A">
              <w:rPr>
                <w:rFonts w:cs="Arial"/>
                <w:sz w:val="22"/>
                <w:szCs w:val="22"/>
              </w:rPr>
              <w:t xml:space="preserve">hronic respiratory disease including COPD, chronic bronchitis and emphysema, bronchiectasis, cystic fibrosis, interstitial lung fibrosis, </w:t>
            </w:r>
            <w:r w:rsidR="007B362F" w:rsidRPr="00664C7A">
              <w:rPr>
                <w:sz w:val="23"/>
                <w:szCs w:val="23"/>
              </w:rPr>
              <w:t xml:space="preserve">bronchopulmonary dysplasia (BPD), </w:t>
            </w:r>
            <w:r w:rsidR="007B362F" w:rsidRPr="00664C7A">
              <w:rPr>
                <w:rFonts w:cs="Arial"/>
                <w:sz w:val="22"/>
                <w:szCs w:val="22"/>
              </w:rPr>
              <w:t>pneumoconiosis and</w:t>
            </w:r>
            <w:r w:rsidR="007B362F" w:rsidRPr="00664C7A">
              <w:rPr>
                <w:sz w:val="23"/>
                <w:szCs w:val="23"/>
              </w:rPr>
              <w:t xml:space="preserve"> </w:t>
            </w:r>
            <w:r w:rsidR="007B362F" w:rsidRPr="00664C7A">
              <w:rPr>
                <w:rFonts w:cs="Arial"/>
                <w:sz w:val="22"/>
                <w:szCs w:val="22"/>
              </w:rPr>
              <w:t>asthma requiring continuous or repeated use of inhaled or systemic steroids or with previous exacerbations requiring hospital admission</w:t>
            </w:r>
          </w:p>
          <w:p w:rsidR="007B362F" w:rsidRPr="00664C7A" w:rsidRDefault="00B0529D" w:rsidP="002E0381">
            <w:pPr>
              <w:numPr>
                <w:ilvl w:val="0"/>
                <w:numId w:val="4"/>
              </w:numPr>
              <w:tabs>
                <w:tab w:val="left" w:pos="860"/>
              </w:tabs>
              <w:spacing w:after="120"/>
              <w:ind w:left="856" w:hanging="357"/>
              <w:rPr>
                <w:rFonts w:cs="Arial"/>
                <w:sz w:val="22"/>
                <w:szCs w:val="22"/>
              </w:rPr>
            </w:pPr>
            <w:r w:rsidRPr="00664C7A">
              <w:rPr>
                <w:rFonts w:cs="Arial"/>
                <w:sz w:val="22"/>
                <w:szCs w:val="22"/>
              </w:rPr>
              <w:t>c</w:t>
            </w:r>
            <w:r w:rsidR="007B362F" w:rsidRPr="00664C7A">
              <w:rPr>
                <w:rFonts w:cs="Arial"/>
                <w:sz w:val="22"/>
                <w:szCs w:val="22"/>
              </w:rPr>
              <w:t>hronic heart disease including congenital heart disease, hypertension with cardiac complications, chronic heart failure, and individuals requiring regular medication and/or follow-up for ischaemic heart disease</w:t>
            </w:r>
          </w:p>
          <w:p w:rsidR="007B362F" w:rsidRPr="00664C7A" w:rsidRDefault="00B0529D" w:rsidP="002E0381">
            <w:pPr>
              <w:numPr>
                <w:ilvl w:val="0"/>
                <w:numId w:val="4"/>
              </w:numPr>
              <w:tabs>
                <w:tab w:val="left" w:pos="860"/>
              </w:tabs>
              <w:spacing w:after="120"/>
              <w:ind w:left="856" w:hanging="357"/>
              <w:rPr>
                <w:rFonts w:cs="Arial"/>
                <w:sz w:val="22"/>
                <w:szCs w:val="22"/>
              </w:rPr>
            </w:pPr>
            <w:r w:rsidRPr="00664C7A">
              <w:rPr>
                <w:rFonts w:cs="Arial"/>
                <w:sz w:val="22"/>
                <w:szCs w:val="22"/>
              </w:rPr>
              <w:t>c</w:t>
            </w:r>
            <w:r w:rsidR="007B362F" w:rsidRPr="00664C7A">
              <w:rPr>
                <w:rFonts w:cs="Arial"/>
                <w:sz w:val="22"/>
                <w:szCs w:val="22"/>
              </w:rPr>
              <w:t>hronic liver disease</w:t>
            </w:r>
            <w:r w:rsidR="007B362F" w:rsidRPr="00664C7A">
              <w:rPr>
                <w:rFonts w:cs="Arial"/>
                <w:color w:val="000000"/>
                <w:sz w:val="23"/>
                <w:szCs w:val="23"/>
              </w:rPr>
              <w:t xml:space="preserve"> including cirrhosis, biliary atresia, and chronic hepatitis</w:t>
            </w:r>
          </w:p>
          <w:p w:rsidR="007B362F" w:rsidRPr="00664C7A" w:rsidRDefault="00B0529D" w:rsidP="002E0381">
            <w:pPr>
              <w:numPr>
                <w:ilvl w:val="0"/>
                <w:numId w:val="4"/>
              </w:numPr>
              <w:tabs>
                <w:tab w:val="left" w:pos="860"/>
              </w:tabs>
              <w:spacing w:after="120"/>
              <w:ind w:left="856" w:hanging="357"/>
              <w:rPr>
                <w:rFonts w:cs="Arial"/>
                <w:sz w:val="22"/>
                <w:szCs w:val="22"/>
              </w:rPr>
            </w:pPr>
            <w:r w:rsidRPr="00664C7A">
              <w:rPr>
                <w:rFonts w:cs="Arial"/>
                <w:sz w:val="22"/>
                <w:szCs w:val="22"/>
              </w:rPr>
              <w:t>c</w:t>
            </w:r>
            <w:r w:rsidR="007B362F" w:rsidRPr="00664C7A">
              <w:rPr>
                <w:rFonts w:cs="Arial"/>
                <w:sz w:val="22"/>
                <w:szCs w:val="22"/>
              </w:rPr>
              <w:t>hronic neurological disease including stroke, transient ischaemic attack (TIA), conditions in which respiratory function may be compromised due to neurological disease eg polio syndrome sufferers</w:t>
            </w:r>
            <w:r w:rsidRPr="00664C7A">
              <w:rPr>
                <w:sz w:val="22"/>
                <w:szCs w:val="22"/>
              </w:rPr>
              <w:t>;</w:t>
            </w:r>
            <w:r w:rsidR="00101E2B" w:rsidRPr="00664C7A">
              <w:rPr>
                <w:sz w:val="22"/>
                <w:szCs w:val="22"/>
              </w:rPr>
              <w:t xml:space="preserve"> </w:t>
            </w:r>
            <w:r w:rsidRPr="00664C7A">
              <w:rPr>
                <w:sz w:val="22"/>
                <w:szCs w:val="22"/>
              </w:rPr>
              <w:t>t</w:t>
            </w:r>
            <w:r w:rsidR="007B362F" w:rsidRPr="00664C7A">
              <w:rPr>
                <w:sz w:val="22"/>
                <w:szCs w:val="22"/>
              </w:rPr>
              <w:t>his patient group may also include individuals with cerebral palsy, multiple sclerosis and related or similar conditions; or hereditary and degenerative disease of the nervous system or muscles; or severe neurological disability</w:t>
            </w:r>
          </w:p>
          <w:p w:rsidR="007B362F" w:rsidRPr="00664C7A" w:rsidRDefault="00B0529D" w:rsidP="002E0381">
            <w:pPr>
              <w:numPr>
                <w:ilvl w:val="0"/>
                <w:numId w:val="4"/>
              </w:numPr>
              <w:spacing w:after="120"/>
              <w:ind w:left="856" w:hanging="357"/>
              <w:rPr>
                <w:sz w:val="22"/>
                <w:szCs w:val="22"/>
              </w:rPr>
            </w:pPr>
            <w:r w:rsidRPr="00664C7A">
              <w:rPr>
                <w:sz w:val="22"/>
                <w:szCs w:val="22"/>
              </w:rPr>
              <w:t>i</w:t>
            </w:r>
            <w:r w:rsidR="007B362F" w:rsidRPr="00664C7A">
              <w:rPr>
                <w:sz w:val="22"/>
                <w:szCs w:val="22"/>
              </w:rPr>
              <w:t xml:space="preserve">mmunosuppression due to disease or treatment, including patients undergoing chemotherapy leading to immunosuppression, some rheumatological drugs, asplenia or splenic dysfunction, HIV infection at all stages, individuals treated with or likely to be treated with systemic steroids for more than a month at a dose equivalent to prednisolone at 20mg or more per day </w:t>
            </w:r>
            <w:r w:rsidR="00DC3355" w:rsidRPr="00664C7A">
              <w:rPr>
                <w:sz w:val="22"/>
                <w:szCs w:val="22"/>
              </w:rPr>
              <w:t>(but see immunosuppression under exclusions)</w:t>
            </w:r>
          </w:p>
          <w:p w:rsidR="007B362F" w:rsidRPr="00664C7A" w:rsidRDefault="00B0529D" w:rsidP="002E0381">
            <w:pPr>
              <w:numPr>
                <w:ilvl w:val="0"/>
                <w:numId w:val="4"/>
              </w:numPr>
              <w:tabs>
                <w:tab w:val="left" w:pos="860"/>
              </w:tabs>
              <w:spacing w:after="120"/>
              <w:ind w:left="856" w:hanging="357"/>
              <w:rPr>
                <w:rFonts w:cs="Arial"/>
                <w:sz w:val="22"/>
                <w:szCs w:val="22"/>
              </w:rPr>
            </w:pPr>
            <w:r w:rsidRPr="00664C7A">
              <w:rPr>
                <w:rFonts w:cs="Arial"/>
                <w:sz w:val="22"/>
                <w:szCs w:val="22"/>
              </w:rPr>
              <w:t>d</w:t>
            </w:r>
            <w:r w:rsidR="007B362F" w:rsidRPr="00664C7A">
              <w:rPr>
                <w:rFonts w:cs="Arial"/>
                <w:sz w:val="22"/>
                <w:szCs w:val="22"/>
              </w:rPr>
              <w:t>iabetes mellitus</w:t>
            </w:r>
            <w:r w:rsidR="00A62384" w:rsidRPr="00664C7A">
              <w:rPr>
                <w:rFonts w:cs="Arial"/>
                <w:sz w:val="22"/>
                <w:szCs w:val="22"/>
              </w:rPr>
              <w:t xml:space="preserve"> </w:t>
            </w:r>
            <w:r w:rsidR="007B362F" w:rsidRPr="00664C7A">
              <w:rPr>
                <w:sz w:val="22"/>
                <w:szCs w:val="22"/>
              </w:rPr>
              <w:t>- type 1 diabetes, type 2 diabetes requiring insulin or oral hypoglycaemic drugs, diet controlled diabetes</w:t>
            </w:r>
          </w:p>
          <w:p w:rsidR="00614820" w:rsidRPr="00664C7A" w:rsidRDefault="006F7FED" w:rsidP="00E23E69">
            <w:pPr>
              <w:pStyle w:val="ListParagraph"/>
              <w:numPr>
                <w:ilvl w:val="0"/>
                <w:numId w:val="20"/>
              </w:numPr>
              <w:overflowPunct/>
              <w:autoSpaceDE/>
              <w:autoSpaceDN/>
              <w:adjustRightInd/>
              <w:spacing w:after="120"/>
              <w:textAlignment w:val="auto"/>
              <w:rPr>
                <w:sz w:val="22"/>
              </w:rPr>
            </w:pPr>
            <w:r w:rsidRPr="00664C7A">
              <w:rPr>
                <w:sz w:val="22"/>
              </w:rPr>
              <w:t>B</w:t>
            </w:r>
            <w:r w:rsidR="007B362F" w:rsidRPr="00664C7A">
              <w:rPr>
                <w:sz w:val="22"/>
              </w:rPr>
              <w:t xml:space="preserve">e free from influenza symptoms and able to begin therapy within 48 hours of </w:t>
            </w:r>
            <w:r w:rsidR="00591F91" w:rsidRPr="00664C7A">
              <w:rPr>
                <w:sz w:val="22"/>
              </w:rPr>
              <w:t xml:space="preserve">the </w:t>
            </w:r>
            <w:r w:rsidR="007B362F" w:rsidRPr="00664C7A">
              <w:rPr>
                <w:b/>
                <w:sz w:val="22"/>
              </w:rPr>
              <w:t xml:space="preserve">last </w:t>
            </w:r>
            <w:r w:rsidR="007B362F" w:rsidRPr="00664C7A">
              <w:rPr>
                <w:sz w:val="22"/>
              </w:rPr>
              <w:t>exposure</w:t>
            </w:r>
            <w:r w:rsidR="00740E72">
              <w:rPr>
                <w:sz w:val="22"/>
              </w:rPr>
              <w:t>.</w:t>
            </w:r>
          </w:p>
          <w:p w:rsidR="00E05C22" w:rsidRPr="000B4B46" w:rsidRDefault="00E05C22" w:rsidP="000B4B46">
            <w:pPr>
              <w:overflowPunct/>
              <w:autoSpaceDE/>
              <w:autoSpaceDN/>
              <w:adjustRightInd/>
              <w:spacing w:after="120"/>
              <w:ind w:left="34"/>
              <w:textAlignment w:val="auto"/>
            </w:pPr>
            <w:r w:rsidRPr="000B4B46">
              <w:rPr>
                <w:sz w:val="22"/>
                <w:szCs w:val="22"/>
              </w:rPr>
              <w:t xml:space="preserve">Note: </w:t>
            </w:r>
            <w:r w:rsidRPr="000B4B46">
              <w:rPr>
                <w:rFonts w:cs="Arial"/>
                <w:sz w:val="22"/>
                <w:szCs w:val="22"/>
              </w:rPr>
              <w:t>PHE guidance states that vaccination is not a reason to refuse antiviral prophylaxis</w:t>
            </w:r>
            <w:r w:rsidR="000B4B46">
              <w:rPr>
                <w:rFonts w:cs="Arial"/>
                <w:sz w:val="22"/>
                <w:szCs w:val="22"/>
              </w:rPr>
              <w:t xml:space="preserve">. Therefore </w:t>
            </w:r>
            <w:r w:rsidR="000B4B46" w:rsidRPr="000B4B46">
              <w:rPr>
                <w:sz w:val="22"/>
                <w:szCs w:val="22"/>
              </w:rPr>
              <w:t>prophylaxis can be given regardless of vaccination status</w:t>
            </w:r>
            <w:r w:rsidR="000B4B46">
              <w:rPr>
                <w:sz w:val="22"/>
                <w:szCs w:val="22"/>
              </w:rPr>
              <w:t>.</w:t>
            </w:r>
          </w:p>
        </w:tc>
      </w:tr>
      <w:tr w:rsidR="006D2947" w:rsidRPr="00664C7A" w:rsidTr="00E47B6D">
        <w:tc>
          <w:tcPr>
            <w:tcW w:w="2977" w:type="dxa"/>
          </w:tcPr>
          <w:p w:rsidR="006D2947" w:rsidRDefault="006D2947" w:rsidP="007E045E">
            <w:pPr>
              <w:spacing w:before="120" w:after="120"/>
              <w:rPr>
                <w:rFonts w:cs="Arial"/>
                <w:b/>
                <w:sz w:val="22"/>
                <w:szCs w:val="22"/>
              </w:rPr>
            </w:pPr>
            <w:r w:rsidRPr="00664C7A">
              <w:rPr>
                <w:rFonts w:cs="Arial"/>
                <w:b/>
                <w:sz w:val="22"/>
                <w:szCs w:val="22"/>
              </w:rPr>
              <w:t>Criteria for exclusion</w:t>
            </w:r>
            <w:r w:rsidRPr="00664C7A">
              <w:rPr>
                <w:rStyle w:val="FootnoteReference"/>
                <w:rFonts w:cs="Arial"/>
                <w:b/>
                <w:sz w:val="22"/>
                <w:szCs w:val="22"/>
              </w:rPr>
              <w:footnoteReference w:id="6"/>
            </w: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Default="00740E72" w:rsidP="007E045E">
            <w:pPr>
              <w:spacing w:before="120" w:after="120"/>
              <w:rPr>
                <w:rFonts w:cs="Arial"/>
                <w:b/>
                <w:sz w:val="22"/>
                <w:szCs w:val="22"/>
              </w:rPr>
            </w:pPr>
          </w:p>
          <w:p w:rsidR="00740E72" w:rsidRPr="00740E72" w:rsidRDefault="00740E72" w:rsidP="007E045E">
            <w:pPr>
              <w:spacing w:before="120" w:after="120"/>
              <w:rPr>
                <w:rFonts w:cs="Arial"/>
                <w:sz w:val="22"/>
                <w:szCs w:val="22"/>
              </w:rPr>
            </w:pPr>
            <w:r>
              <w:rPr>
                <w:rFonts w:cs="Arial"/>
                <w:sz w:val="22"/>
                <w:szCs w:val="22"/>
              </w:rPr>
              <w:t>(continued overleaf)</w:t>
            </w:r>
          </w:p>
          <w:p w:rsidR="0038578B" w:rsidRPr="00664C7A" w:rsidRDefault="0038578B" w:rsidP="0038578B">
            <w:pPr>
              <w:spacing w:before="120" w:after="120"/>
              <w:contextualSpacing/>
              <w:rPr>
                <w:rFonts w:cs="Arial"/>
                <w:sz w:val="22"/>
                <w:szCs w:val="22"/>
              </w:rPr>
            </w:pPr>
          </w:p>
          <w:p w:rsidR="0038578B" w:rsidRDefault="00740E72" w:rsidP="00740E72">
            <w:pPr>
              <w:spacing w:before="120" w:after="120"/>
              <w:rPr>
                <w:rFonts w:cs="Arial"/>
                <w:b/>
                <w:sz w:val="22"/>
                <w:szCs w:val="22"/>
              </w:rPr>
            </w:pPr>
            <w:r w:rsidRPr="00664C7A">
              <w:rPr>
                <w:rFonts w:cs="Arial"/>
                <w:b/>
                <w:sz w:val="22"/>
                <w:szCs w:val="22"/>
              </w:rPr>
              <w:t>Criteria for exclusion</w:t>
            </w:r>
          </w:p>
          <w:p w:rsidR="00740E72" w:rsidRPr="00740E72" w:rsidRDefault="00740E72" w:rsidP="0038578B">
            <w:pPr>
              <w:spacing w:before="120" w:after="120"/>
              <w:contextualSpacing/>
              <w:rPr>
                <w:rFonts w:cs="Arial"/>
                <w:sz w:val="22"/>
                <w:szCs w:val="22"/>
              </w:rPr>
            </w:pPr>
            <w:r>
              <w:rPr>
                <w:rFonts w:cs="Arial"/>
                <w:sz w:val="22"/>
                <w:szCs w:val="22"/>
              </w:rPr>
              <w:t>(continued)</w:t>
            </w:r>
          </w:p>
          <w:p w:rsidR="0038578B" w:rsidRPr="00664C7A" w:rsidRDefault="0038578B" w:rsidP="0038578B">
            <w:pPr>
              <w:spacing w:before="120" w:after="120"/>
              <w:contextualSpacing/>
              <w:rPr>
                <w:rFonts w:cs="Arial"/>
                <w:sz w:val="22"/>
                <w:szCs w:val="22"/>
              </w:rPr>
            </w:pPr>
          </w:p>
          <w:p w:rsidR="0038578B" w:rsidRPr="00664C7A" w:rsidRDefault="0038578B" w:rsidP="0038578B">
            <w:pPr>
              <w:spacing w:before="120" w:after="120"/>
              <w:contextualSpacing/>
              <w:rPr>
                <w:rFonts w:cs="Arial"/>
                <w:sz w:val="22"/>
                <w:szCs w:val="22"/>
              </w:rPr>
            </w:pPr>
          </w:p>
          <w:p w:rsidR="0038578B" w:rsidRPr="00664C7A" w:rsidRDefault="0038578B" w:rsidP="0038578B">
            <w:pPr>
              <w:spacing w:before="120" w:after="120"/>
              <w:contextualSpacing/>
              <w:rPr>
                <w:rFonts w:cs="Arial"/>
                <w:sz w:val="22"/>
                <w:szCs w:val="22"/>
              </w:rPr>
            </w:pPr>
          </w:p>
          <w:p w:rsidR="0038578B" w:rsidRPr="00664C7A" w:rsidRDefault="0038578B" w:rsidP="007E045E">
            <w:pPr>
              <w:spacing w:before="120" w:after="120"/>
              <w:rPr>
                <w:rFonts w:cs="Arial"/>
                <w:b/>
                <w:sz w:val="22"/>
                <w:szCs w:val="22"/>
              </w:rPr>
            </w:pPr>
          </w:p>
        </w:tc>
        <w:tc>
          <w:tcPr>
            <w:tcW w:w="6946" w:type="dxa"/>
          </w:tcPr>
          <w:p w:rsidR="007B362F" w:rsidRPr="00664C7A" w:rsidRDefault="00CA1563" w:rsidP="001B7F9E">
            <w:pPr>
              <w:spacing w:before="120" w:after="120"/>
              <w:rPr>
                <w:sz w:val="22"/>
              </w:rPr>
            </w:pPr>
            <w:r w:rsidRPr="00664C7A">
              <w:rPr>
                <w:sz w:val="22"/>
              </w:rPr>
              <w:t>In</w:t>
            </w:r>
            <w:r w:rsidR="00A62384" w:rsidRPr="00664C7A">
              <w:rPr>
                <w:sz w:val="22"/>
              </w:rPr>
              <w:t>dividual</w:t>
            </w:r>
            <w:r w:rsidR="00686DF1" w:rsidRPr="00664C7A">
              <w:rPr>
                <w:sz w:val="22"/>
              </w:rPr>
              <w:t xml:space="preserve">s </w:t>
            </w:r>
            <w:r w:rsidR="007B362F" w:rsidRPr="00664C7A">
              <w:rPr>
                <w:sz w:val="22"/>
              </w:rPr>
              <w:t xml:space="preserve">will not be considered for prophylaxis with oseltamivir </w:t>
            </w:r>
            <w:r w:rsidR="008003D8" w:rsidRPr="00664C7A">
              <w:rPr>
                <w:sz w:val="22"/>
              </w:rPr>
              <w:t xml:space="preserve">under this PGD </w:t>
            </w:r>
            <w:r w:rsidR="007B362F" w:rsidRPr="00664C7A">
              <w:rPr>
                <w:sz w:val="22"/>
              </w:rPr>
              <w:t>if the following criteria apply:</w:t>
            </w:r>
          </w:p>
          <w:p w:rsidR="007B362F" w:rsidRPr="00664C7A" w:rsidRDefault="00686DF1" w:rsidP="002E0381">
            <w:pPr>
              <w:numPr>
                <w:ilvl w:val="0"/>
                <w:numId w:val="2"/>
              </w:numPr>
              <w:overflowPunct/>
              <w:autoSpaceDE/>
              <w:autoSpaceDN/>
              <w:adjustRightInd/>
              <w:spacing w:after="120"/>
              <w:textAlignment w:val="auto"/>
              <w:rPr>
                <w:sz w:val="22"/>
              </w:rPr>
            </w:pPr>
            <w:r w:rsidRPr="00664C7A">
              <w:rPr>
                <w:sz w:val="22"/>
              </w:rPr>
              <w:t>t</w:t>
            </w:r>
            <w:r w:rsidR="007B362F" w:rsidRPr="00664C7A">
              <w:rPr>
                <w:sz w:val="22"/>
              </w:rPr>
              <w:t xml:space="preserve">hey are not </w:t>
            </w:r>
            <w:r w:rsidR="009C6E9A" w:rsidRPr="00664C7A">
              <w:rPr>
                <w:sz w:val="22"/>
              </w:rPr>
              <w:t xml:space="preserve">a </w:t>
            </w:r>
            <w:r w:rsidR="007B362F" w:rsidRPr="00664C7A">
              <w:rPr>
                <w:sz w:val="22"/>
              </w:rPr>
              <w:t xml:space="preserve">resident </w:t>
            </w:r>
            <w:r w:rsidR="00A41B59" w:rsidRPr="00664C7A">
              <w:rPr>
                <w:sz w:val="22"/>
              </w:rPr>
              <w:t xml:space="preserve">or working </w:t>
            </w:r>
            <w:r w:rsidR="007B362F" w:rsidRPr="00664C7A">
              <w:rPr>
                <w:sz w:val="22"/>
              </w:rPr>
              <w:t>in a care home</w:t>
            </w:r>
          </w:p>
          <w:p w:rsidR="007B362F" w:rsidRPr="00664C7A" w:rsidRDefault="00686DF1" w:rsidP="002E0381">
            <w:pPr>
              <w:numPr>
                <w:ilvl w:val="0"/>
                <w:numId w:val="2"/>
              </w:numPr>
              <w:overflowPunct/>
              <w:autoSpaceDE/>
              <w:autoSpaceDN/>
              <w:adjustRightInd/>
              <w:spacing w:after="120"/>
              <w:textAlignment w:val="auto"/>
              <w:rPr>
                <w:sz w:val="22"/>
              </w:rPr>
            </w:pPr>
            <w:r w:rsidRPr="00664C7A">
              <w:rPr>
                <w:sz w:val="22"/>
              </w:rPr>
              <w:t>t</w:t>
            </w:r>
            <w:r w:rsidR="007B362F" w:rsidRPr="00664C7A">
              <w:rPr>
                <w:sz w:val="22"/>
              </w:rPr>
              <w:t>hey are already exhibiting symptoms of an influenza-like illness which may indicate oseltamivir should be supplied for treatment and not prophylaxis</w:t>
            </w:r>
            <w:r w:rsidR="00591F91" w:rsidRPr="00664C7A">
              <w:rPr>
                <w:sz w:val="22"/>
              </w:rPr>
              <w:t>. Use the treatment PGD.</w:t>
            </w:r>
          </w:p>
          <w:p w:rsidR="007B362F" w:rsidRPr="00664C7A" w:rsidRDefault="00686DF1" w:rsidP="00A62384">
            <w:pPr>
              <w:numPr>
                <w:ilvl w:val="0"/>
                <w:numId w:val="2"/>
              </w:numPr>
              <w:overflowPunct/>
              <w:autoSpaceDE/>
              <w:autoSpaceDN/>
              <w:adjustRightInd/>
              <w:spacing w:after="120"/>
              <w:textAlignment w:val="auto"/>
              <w:rPr>
                <w:sz w:val="22"/>
              </w:rPr>
            </w:pPr>
            <w:r w:rsidRPr="00664C7A">
              <w:rPr>
                <w:sz w:val="22"/>
              </w:rPr>
              <w:t xml:space="preserve">they are </w:t>
            </w:r>
            <w:r w:rsidR="007B362F" w:rsidRPr="00664C7A">
              <w:rPr>
                <w:sz w:val="22"/>
              </w:rPr>
              <w:t xml:space="preserve"> less than 13 years of age</w:t>
            </w:r>
          </w:p>
          <w:p w:rsidR="007B362F" w:rsidRPr="00664C7A" w:rsidRDefault="00686DF1" w:rsidP="00A62384">
            <w:pPr>
              <w:numPr>
                <w:ilvl w:val="0"/>
                <w:numId w:val="2"/>
              </w:numPr>
              <w:overflowPunct/>
              <w:autoSpaceDE/>
              <w:autoSpaceDN/>
              <w:adjustRightInd/>
              <w:spacing w:after="120"/>
              <w:textAlignment w:val="auto"/>
              <w:rPr>
                <w:sz w:val="22"/>
              </w:rPr>
            </w:pPr>
            <w:r w:rsidRPr="00664C7A">
              <w:rPr>
                <w:sz w:val="22"/>
              </w:rPr>
              <w:t xml:space="preserve">they have </w:t>
            </w:r>
            <w:r w:rsidR="007B362F" w:rsidRPr="00664C7A">
              <w:rPr>
                <w:sz w:val="22"/>
              </w:rPr>
              <w:t>unstable medical conditions</w:t>
            </w:r>
          </w:p>
          <w:p w:rsidR="007B362F" w:rsidRPr="00664C7A" w:rsidRDefault="00DC3355" w:rsidP="00A62384">
            <w:pPr>
              <w:numPr>
                <w:ilvl w:val="0"/>
                <w:numId w:val="2"/>
              </w:numPr>
              <w:overflowPunct/>
              <w:autoSpaceDE/>
              <w:autoSpaceDN/>
              <w:adjustRightInd/>
              <w:spacing w:after="120"/>
              <w:textAlignment w:val="auto"/>
              <w:rPr>
                <w:sz w:val="22"/>
              </w:rPr>
            </w:pPr>
            <w:r w:rsidRPr="00664C7A">
              <w:rPr>
                <w:sz w:val="22"/>
              </w:rPr>
              <w:t>t</w:t>
            </w:r>
            <w:r w:rsidR="00686DF1" w:rsidRPr="00664C7A">
              <w:rPr>
                <w:sz w:val="22"/>
              </w:rPr>
              <w:t xml:space="preserve">hey have </w:t>
            </w:r>
            <w:r w:rsidR="007B362F" w:rsidRPr="00664C7A">
              <w:rPr>
                <w:sz w:val="22"/>
              </w:rPr>
              <w:t>a known allergy to oseltamivir phosphate or any of the excipients in the preparation</w:t>
            </w:r>
          </w:p>
          <w:p w:rsidR="00FB263B" w:rsidRPr="00664C7A" w:rsidRDefault="00DC3355" w:rsidP="00740E72">
            <w:pPr>
              <w:numPr>
                <w:ilvl w:val="0"/>
                <w:numId w:val="2"/>
              </w:numPr>
              <w:spacing w:before="240" w:after="120"/>
              <w:rPr>
                <w:rFonts w:cs="Arial"/>
                <w:sz w:val="22"/>
                <w:szCs w:val="22"/>
              </w:rPr>
            </w:pPr>
            <w:r w:rsidRPr="00664C7A">
              <w:rPr>
                <w:rFonts w:cs="Arial"/>
                <w:sz w:val="22"/>
                <w:szCs w:val="22"/>
              </w:rPr>
              <w:t>t</w:t>
            </w:r>
            <w:r w:rsidR="00686DF1" w:rsidRPr="00664C7A">
              <w:rPr>
                <w:rFonts w:cs="Arial"/>
                <w:sz w:val="22"/>
                <w:szCs w:val="22"/>
              </w:rPr>
              <w:t xml:space="preserve">hey are </w:t>
            </w:r>
            <w:r w:rsidR="007B362F" w:rsidRPr="00664C7A">
              <w:rPr>
                <w:rFonts w:cs="Arial"/>
                <w:sz w:val="22"/>
                <w:szCs w:val="22"/>
              </w:rPr>
              <w:t xml:space="preserve">taking other drugs with clinically significant drug interactions eg chlorpropamide, methotrexate, phenylbutazone </w:t>
            </w:r>
          </w:p>
          <w:p w:rsidR="00101E2B" w:rsidRPr="00664C7A" w:rsidRDefault="00DC3355" w:rsidP="00A62384">
            <w:pPr>
              <w:pStyle w:val="ListParagraph"/>
              <w:numPr>
                <w:ilvl w:val="0"/>
                <w:numId w:val="17"/>
              </w:numPr>
              <w:overflowPunct/>
              <w:autoSpaceDE/>
              <w:autoSpaceDN/>
              <w:adjustRightInd/>
              <w:spacing w:after="120"/>
              <w:ind w:left="397" w:hanging="397"/>
              <w:contextualSpacing w:val="0"/>
              <w:textAlignment w:val="auto"/>
              <w:rPr>
                <w:sz w:val="22"/>
                <w:szCs w:val="22"/>
              </w:rPr>
            </w:pPr>
            <w:r w:rsidRPr="00664C7A">
              <w:rPr>
                <w:sz w:val="22"/>
                <w:szCs w:val="22"/>
              </w:rPr>
              <w:t>i</w:t>
            </w:r>
            <w:r w:rsidR="00101E2B" w:rsidRPr="00664C7A">
              <w:rPr>
                <w:sz w:val="22"/>
                <w:szCs w:val="22"/>
              </w:rPr>
              <w:t xml:space="preserve">f the health protection team has advised that the confirmed or dominant circulating influenza strain is higher risk for oseltamivir resistance </w:t>
            </w:r>
            <w:r w:rsidR="007A7BC7" w:rsidRPr="00664C7A">
              <w:rPr>
                <w:b/>
                <w:sz w:val="22"/>
                <w:szCs w:val="22"/>
              </w:rPr>
              <w:t>and</w:t>
            </w:r>
            <w:r w:rsidR="007A7BC7" w:rsidRPr="00664C7A">
              <w:rPr>
                <w:sz w:val="22"/>
                <w:szCs w:val="22"/>
              </w:rPr>
              <w:t xml:space="preserve"> the</w:t>
            </w:r>
            <w:r w:rsidR="00101E2B" w:rsidRPr="00664C7A">
              <w:rPr>
                <w:sz w:val="22"/>
                <w:szCs w:val="22"/>
              </w:rPr>
              <w:t xml:space="preserve"> patient is immunocompromised (due to disease or treatment eg adults taking steroids at a dose equivalent to prednisolone  ≥ </w:t>
            </w:r>
            <w:r w:rsidR="008464B1" w:rsidRPr="00664C7A">
              <w:rPr>
                <w:sz w:val="22"/>
                <w:szCs w:val="22"/>
              </w:rPr>
              <w:t>20</w:t>
            </w:r>
            <w:r w:rsidR="00101E2B" w:rsidRPr="00664C7A">
              <w:rPr>
                <w:sz w:val="22"/>
                <w:szCs w:val="22"/>
              </w:rPr>
              <w:t>mg daily for more than one week)</w:t>
            </w:r>
          </w:p>
          <w:p w:rsidR="006D2947" w:rsidRPr="00664C7A" w:rsidRDefault="00DC3355" w:rsidP="00A62384">
            <w:pPr>
              <w:numPr>
                <w:ilvl w:val="0"/>
                <w:numId w:val="2"/>
              </w:numPr>
              <w:spacing w:after="120"/>
              <w:rPr>
                <w:rFonts w:cs="Arial"/>
                <w:sz w:val="22"/>
                <w:szCs w:val="22"/>
              </w:rPr>
            </w:pPr>
            <w:r w:rsidRPr="00664C7A">
              <w:rPr>
                <w:sz w:val="22"/>
              </w:rPr>
              <w:t>t</w:t>
            </w:r>
            <w:r w:rsidR="00686DF1" w:rsidRPr="00664C7A">
              <w:rPr>
                <w:sz w:val="22"/>
              </w:rPr>
              <w:t>he l</w:t>
            </w:r>
            <w:r w:rsidR="007B362F" w:rsidRPr="00664C7A">
              <w:rPr>
                <w:sz w:val="22"/>
              </w:rPr>
              <w:t>ast exposure to the influenza-like illness was more than 48 hours before treatment could start</w:t>
            </w:r>
            <w:r w:rsidR="00740E72">
              <w:rPr>
                <w:sz w:val="22"/>
              </w:rPr>
              <w:t>.</w:t>
            </w:r>
          </w:p>
          <w:p w:rsidR="000F4070" w:rsidRPr="00664C7A" w:rsidRDefault="000F4070" w:rsidP="000F4070">
            <w:pPr>
              <w:spacing w:after="120"/>
              <w:ind w:left="397"/>
              <w:rPr>
                <w:rFonts w:cs="Arial"/>
                <w:sz w:val="22"/>
                <w:szCs w:val="22"/>
              </w:rPr>
            </w:pPr>
            <w:r w:rsidRPr="00664C7A">
              <w:rPr>
                <w:sz w:val="22"/>
                <w:szCs w:val="22"/>
              </w:rPr>
              <w:t xml:space="preserve">Note: </w:t>
            </w:r>
            <w:r w:rsidRPr="00664C7A">
              <w:rPr>
                <w:rFonts w:cs="Arial"/>
                <w:sz w:val="22"/>
                <w:szCs w:val="22"/>
              </w:rPr>
              <w:t xml:space="preserve"> being diagnosed with another respiratory virus infection does not negate the need for influenza prophylaxis if the individual meets the inclusion criteria.</w:t>
            </w:r>
          </w:p>
        </w:tc>
      </w:tr>
      <w:tr w:rsidR="00BA16C1" w:rsidRPr="00664C7A" w:rsidTr="00E47B6D">
        <w:tc>
          <w:tcPr>
            <w:tcW w:w="2977" w:type="dxa"/>
          </w:tcPr>
          <w:p w:rsidR="00BA16C1" w:rsidRPr="00664C7A" w:rsidRDefault="00BA16C1" w:rsidP="007E5FE1">
            <w:pPr>
              <w:pStyle w:val="Header"/>
              <w:tabs>
                <w:tab w:val="left" w:pos="720"/>
              </w:tabs>
              <w:spacing w:before="120" w:after="120"/>
              <w:rPr>
                <w:rFonts w:ascii="Arial" w:hAnsi="Arial" w:cs="Arial"/>
                <w:b/>
                <w:sz w:val="22"/>
                <w:szCs w:val="22"/>
              </w:rPr>
            </w:pPr>
            <w:r w:rsidRPr="00664C7A">
              <w:rPr>
                <w:rFonts w:ascii="Arial" w:hAnsi="Arial" w:cs="Arial"/>
                <w:b/>
                <w:sz w:val="22"/>
                <w:szCs w:val="22"/>
              </w:rPr>
              <w:t xml:space="preserve">Action to be taken if the patient or </w:t>
            </w:r>
            <w:r w:rsidR="006B0FA1">
              <w:rPr>
                <w:rFonts w:ascii="Arial" w:hAnsi="Arial" w:cs="Arial"/>
                <w:b/>
                <w:sz w:val="22"/>
                <w:szCs w:val="22"/>
              </w:rPr>
              <w:t xml:space="preserve">their </w:t>
            </w:r>
            <w:r w:rsidRPr="00664C7A">
              <w:rPr>
                <w:rFonts w:ascii="Arial" w:hAnsi="Arial" w:cs="Arial"/>
                <w:b/>
                <w:sz w:val="22"/>
                <w:szCs w:val="22"/>
              </w:rPr>
              <w:t xml:space="preserve">carer declines </w:t>
            </w:r>
            <w:r w:rsidR="007E5FE1" w:rsidRPr="00664C7A">
              <w:rPr>
                <w:rFonts w:ascii="Arial" w:hAnsi="Arial" w:cs="Arial"/>
                <w:b/>
                <w:sz w:val="22"/>
                <w:szCs w:val="22"/>
              </w:rPr>
              <w:t xml:space="preserve">prophylaxis </w:t>
            </w:r>
          </w:p>
        </w:tc>
        <w:tc>
          <w:tcPr>
            <w:tcW w:w="6946" w:type="dxa"/>
          </w:tcPr>
          <w:p w:rsidR="007B362F" w:rsidRPr="00664C7A" w:rsidRDefault="00A62384" w:rsidP="00A62384">
            <w:pPr>
              <w:overflowPunct/>
              <w:autoSpaceDE/>
              <w:autoSpaceDN/>
              <w:adjustRightInd/>
              <w:spacing w:before="120" w:after="120"/>
              <w:textAlignment w:val="auto"/>
              <w:rPr>
                <w:rFonts w:cs="Arial"/>
                <w:sz w:val="22"/>
                <w:szCs w:val="22"/>
              </w:rPr>
            </w:pPr>
            <w:r w:rsidRPr="00664C7A">
              <w:rPr>
                <w:rFonts w:cs="Arial"/>
                <w:sz w:val="22"/>
              </w:rPr>
              <w:t>A</w:t>
            </w:r>
            <w:r w:rsidR="007B362F" w:rsidRPr="00664C7A">
              <w:rPr>
                <w:rFonts w:cs="Arial"/>
                <w:sz w:val="22"/>
              </w:rPr>
              <w:t xml:space="preserve">dvise </w:t>
            </w:r>
            <w:r w:rsidR="00145CAC" w:rsidRPr="00664C7A">
              <w:rPr>
                <w:rFonts w:cs="Arial"/>
                <w:sz w:val="22"/>
              </w:rPr>
              <w:t xml:space="preserve">the individual </w:t>
            </w:r>
            <w:r w:rsidR="007B362F" w:rsidRPr="00664C7A">
              <w:rPr>
                <w:rFonts w:cs="Arial"/>
                <w:sz w:val="22"/>
              </w:rPr>
              <w:t xml:space="preserve">or </w:t>
            </w:r>
            <w:r w:rsidR="006B0FA1">
              <w:rPr>
                <w:rFonts w:cs="Arial"/>
                <w:sz w:val="22"/>
              </w:rPr>
              <w:t xml:space="preserve">their </w:t>
            </w:r>
            <w:r w:rsidR="007B362F" w:rsidRPr="00664C7A">
              <w:rPr>
                <w:rFonts w:cs="Arial"/>
                <w:sz w:val="22"/>
              </w:rPr>
              <w:t xml:space="preserve">carer of </w:t>
            </w:r>
            <w:r w:rsidR="00145CAC" w:rsidRPr="00664C7A">
              <w:rPr>
                <w:rFonts w:cs="Arial"/>
                <w:sz w:val="22"/>
              </w:rPr>
              <w:t xml:space="preserve">the </w:t>
            </w:r>
            <w:r w:rsidR="007B362F" w:rsidRPr="00664C7A">
              <w:rPr>
                <w:rFonts w:cs="Arial"/>
                <w:sz w:val="22"/>
              </w:rPr>
              <w:t xml:space="preserve">possible consequences of refusing </w:t>
            </w:r>
            <w:r w:rsidR="007E5FE1" w:rsidRPr="00664C7A">
              <w:rPr>
                <w:rFonts w:cs="Arial"/>
                <w:sz w:val="22"/>
              </w:rPr>
              <w:t>prophylaxis</w:t>
            </w:r>
            <w:r w:rsidR="002B42AF" w:rsidRPr="00664C7A">
              <w:rPr>
                <w:rFonts w:cs="Arial"/>
                <w:sz w:val="22"/>
              </w:rPr>
              <w:t>,</w:t>
            </w:r>
            <w:r w:rsidR="007E5FE1" w:rsidRPr="00664C7A">
              <w:rPr>
                <w:rFonts w:cs="Arial"/>
                <w:sz w:val="22"/>
              </w:rPr>
              <w:t xml:space="preserve"> </w:t>
            </w:r>
            <w:r w:rsidR="003730AF" w:rsidRPr="00664C7A">
              <w:rPr>
                <w:rFonts w:cs="Arial"/>
                <w:sz w:val="22"/>
                <w:szCs w:val="22"/>
              </w:rPr>
              <w:t>including the consequences to infection control for the care home</w:t>
            </w:r>
            <w:r w:rsidR="003730AF" w:rsidRPr="00664C7A">
              <w:rPr>
                <w:rFonts w:cs="Arial"/>
              </w:rPr>
              <w:t xml:space="preserve"> </w:t>
            </w:r>
            <w:r w:rsidR="007B362F" w:rsidRPr="00664C7A">
              <w:rPr>
                <w:rFonts w:cs="Arial"/>
                <w:sz w:val="22"/>
              </w:rPr>
              <w:t>and of alternative sources of treatment</w:t>
            </w:r>
            <w:r w:rsidR="003730AF" w:rsidRPr="00664C7A">
              <w:rPr>
                <w:rFonts w:cs="Arial"/>
                <w:sz w:val="22"/>
              </w:rPr>
              <w:t>.</w:t>
            </w:r>
          </w:p>
          <w:p w:rsidR="00A62384" w:rsidRPr="00664C7A" w:rsidRDefault="00A62384" w:rsidP="00A62384">
            <w:pPr>
              <w:overflowPunct/>
              <w:autoSpaceDE/>
              <w:autoSpaceDN/>
              <w:adjustRightInd/>
              <w:spacing w:after="120"/>
              <w:textAlignment w:val="auto"/>
              <w:rPr>
                <w:rFonts w:eastAsiaTheme="minorHAnsi" w:cs="Arial"/>
                <w:sz w:val="22"/>
                <w:szCs w:val="22"/>
              </w:rPr>
            </w:pPr>
            <w:r w:rsidRPr="00664C7A">
              <w:rPr>
                <w:rFonts w:eastAsiaTheme="minorHAnsi" w:cs="Arial"/>
                <w:sz w:val="22"/>
                <w:szCs w:val="22"/>
              </w:rPr>
              <w:t>A</w:t>
            </w:r>
            <w:r w:rsidR="007B362F" w:rsidRPr="00664C7A">
              <w:rPr>
                <w:rFonts w:eastAsiaTheme="minorHAnsi" w:cs="Arial"/>
                <w:sz w:val="22"/>
                <w:szCs w:val="22"/>
              </w:rPr>
              <w:t>dvise about the protective effects of the</w:t>
            </w:r>
            <w:r w:rsidR="00664C7A" w:rsidRPr="00664C7A">
              <w:rPr>
                <w:rFonts w:eastAsiaTheme="minorHAnsi" w:cs="Arial"/>
                <w:sz w:val="22"/>
                <w:szCs w:val="22"/>
              </w:rPr>
              <w:t xml:space="preserve"> </w:t>
            </w:r>
            <w:r w:rsidR="007A7BC7" w:rsidRPr="00664C7A">
              <w:rPr>
                <w:rFonts w:eastAsiaTheme="minorHAnsi" w:cs="Arial"/>
                <w:sz w:val="22"/>
                <w:szCs w:val="22"/>
              </w:rPr>
              <w:t>prophylaxis,</w:t>
            </w:r>
            <w:r w:rsidR="007B362F" w:rsidRPr="00664C7A">
              <w:rPr>
                <w:rFonts w:eastAsiaTheme="minorHAnsi" w:cs="Arial"/>
                <w:sz w:val="22"/>
                <w:szCs w:val="22"/>
              </w:rPr>
              <w:t xml:space="preserve"> </w:t>
            </w:r>
            <w:r w:rsidR="00740E72">
              <w:rPr>
                <w:rFonts w:eastAsiaTheme="minorHAnsi" w:cs="Arial"/>
                <w:sz w:val="22"/>
                <w:szCs w:val="22"/>
              </w:rPr>
              <w:t xml:space="preserve">the </w:t>
            </w:r>
            <w:r w:rsidR="007B362F" w:rsidRPr="00664C7A">
              <w:rPr>
                <w:rFonts w:eastAsiaTheme="minorHAnsi" w:cs="Arial"/>
                <w:sz w:val="22"/>
                <w:szCs w:val="22"/>
              </w:rPr>
              <w:t>risks of infection,</w:t>
            </w:r>
            <w:r w:rsidR="00740E72">
              <w:rPr>
                <w:rFonts w:eastAsiaTheme="minorHAnsi" w:cs="Arial"/>
                <w:sz w:val="22"/>
                <w:szCs w:val="22"/>
              </w:rPr>
              <w:t xml:space="preserve"> the</w:t>
            </w:r>
            <w:r w:rsidR="007B362F" w:rsidRPr="00664C7A">
              <w:rPr>
                <w:rFonts w:eastAsiaTheme="minorHAnsi" w:cs="Arial"/>
                <w:sz w:val="22"/>
                <w:szCs w:val="22"/>
              </w:rPr>
              <w:t xml:space="preserve"> risk of spreading the disease to others </w:t>
            </w:r>
            <w:r w:rsidR="003730AF" w:rsidRPr="00664C7A">
              <w:rPr>
                <w:rFonts w:cs="Arial"/>
                <w:sz w:val="22"/>
                <w:szCs w:val="22"/>
              </w:rPr>
              <w:t>in the care home</w:t>
            </w:r>
            <w:r w:rsidR="003730AF" w:rsidRPr="00664C7A">
              <w:rPr>
                <w:rFonts w:cs="Arial"/>
                <w:color w:val="FF0000"/>
              </w:rPr>
              <w:t xml:space="preserve"> </w:t>
            </w:r>
            <w:r w:rsidR="007B362F" w:rsidRPr="00664C7A">
              <w:rPr>
                <w:rFonts w:eastAsiaTheme="minorHAnsi" w:cs="Arial"/>
                <w:sz w:val="22"/>
                <w:szCs w:val="22"/>
              </w:rPr>
              <w:t xml:space="preserve">and disease complications. </w:t>
            </w:r>
          </w:p>
          <w:p w:rsidR="007B362F" w:rsidRPr="00664C7A" w:rsidRDefault="007B362F" w:rsidP="00A62384">
            <w:pPr>
              <w:overflowPunct/>
              <w:autoSpaceDE/>
              <w:autoSpaceDN/>
              <w:adjustRightInd/>
              <w:spacing w:after="120"/>
              <w:textAlignment w:val="auto"/>
              <w:rPr>
                <w:rFonts w:cs="Arial"/>
                <w:sz w:val="22"/>
              </w:rPr>
            </w:pPr>
            <w:r w:rsidRPr="00664C7A">
              <w:rPr>
                <w:rFonts w:cs="Arial"/>
                <w:sz w:val="22"/>
              </w:rPr>
              <w:t xml:space="preserve">Document refusal and advice given in </w:t>
            </w:r>
            <w:r w:rsidR="00E9719D" w:rsidRPr="00664C7A">
              <w:rPr>
                <w:rFonts w:cs="Arial"/>
                <w:sz w:val="22"/>
              </w:rPr>
              <w:t xml:space="preserve">individual’s </w:t>
            </w:r>
            <w:r w:rsidRPr="00664C7A">
              <w:rPr>
                <w:rFonts w:cs="Arial"/>
                <w:sz w:val="22"/>
              </w:rPr>
              <w:t>patient record</w:t>
            </w:r>
            <w:r w:rsidR="00740E72">
              <w:rPr>
                <w:rFonts w:cs="Arial"/>
                <w:sz w:val="22"/>
              </w:rPr>
              <w:t>.</w:t>
            </w:r>
          </w:p>
          <w:p w:rsidR="00BA16C1" w:rsidRPr="00664C7A" w:rsidRDefault="00A62384" w:rsidP="00A62384">
            <w:pPr>
              <w:spacing w:after="120"/>
              <w:rPr>
                <w:rFonts w:cs="Arial"/>
              </w:rPr>
            </w:pPr>
            <w:r w:rsidRPr="00664C7A">
              <w:rPr>
                <w:rFonts w:cs="Arial"/>
                <w:sz w:val="22"/>
                <w:szCs w:val="22"/>
              </w:rPr>
              <w:t>I</w:t>
            </w:r>
            <w:r w:rsidR="007B362F" w:rsidRPr="00664C7A">
              <w:rPr>
                <w:rFonts w:cs="Arial"/>
                <w:sz w:val="22"/>
                <w:szCs w:val="22"/>
              </w:rPr>
              <w:t xml:space="preserve">nform </w:t>
            </w:r>
            <w:r w:rsidRPr="00664C7A">
              <w:rPr>
                <w:rFonts w:cs="Arial"/>
                <w:sz w:val="22"/>
                <w:szCs w:val="22"/>
              </w:rPr>
              <w:t xml:space="preserve">the </w:t>
            </w:r>
            <w:r w:rsidR="007B362F" w:rsidRPr="00664C7A">
              <w:rPr>
                <w:rFonts w:cs="Arial"/>
                <w:sz w:val="22"/>
                <w:szCs w:val="22"/>
              </w:rPr>
              <w:t>care home manager and</w:t>
            </w:r>
            <w:r w:rsidR="003F6164" w:rsidRPr="00664C7A">
              <w:rPr>
                <w:rFonts w:cs="Arial"/>
                <w:i/>
                <w:color w:val="FF0000"/>
                <w:sz w:val="22"/>
              </w:rPr>
              <w:t xml:space="preserve"> </w:t>
            </w:r>
            <w:r w:rsidRPr="00664C7A">
              <w:rPr>
                <w:rFonts w:cs="Arial"/>
                <w:sz w:val="22"/>
              </w:rPr>
              <w:t>the</w:t>
            </w:r>
            <w:r w:rsidR="001B7F9E" w:rsidRPr="00664C7A">
              <w:rPr>
                <w:rFonts w:cs="Arial"/>
                <w:sz w:val="22"/>
              </w:rPr>
              <w:t xml:space="preserve"> General Practitioner </w:t>
            </w:r>
            <w:r w:rsidR="00E9719D" w:rsidRPr="00664C7A">
              <w:rPr>
                <w:rFonts w:cs="Arial"/>
                <w:sz w:val="22"/>
              </w:rPr>
              <w:t xml:space="preserve">or care home doctor </w:t>
            </w:r>
            <w:r w:rsidR="007B362F" w:rsidRPr="00664C7A">
              <w:rPr>
                <w:rFonts w:cs="Arial"/>
                <w:sz w:val="22"/>
                <w:szCs w:val="22"/>
              </w:rPr>
              <w:t>without delay.</w:t>
            </w:r>
          </w:p>
        </w:tc>
      </w:tr>
      <w:tr w:rsidR="0038578B" w:rsidRPr="00664C7A" w:rsidTr="00E47B6D">
        <w:tc>
          <w:tcPr>
            <w:tcW w:w="2977" w:type="dxa"/>
          </w:tcPr>
          <w:p w:rsidR="0038578B" w:rsidRPr="00664C7A" w:rsidRDefault="0038578B" w:rsidP="007E045E">
            <w:pPr>
              <w:spacing w:before="120" w:after="120"/>
              <w:rPr>
                <w:rFonts w:cs="Arial"/>
                <w:b/>
                <w:sz w:val="22"/>
                <w:szCs w:val="22"/>
              </w:rPr>
            </w:pPr>
            <w:r w:rsidRPr="00664C7A">
              <w:rPr>
                <w:rFonts w:cs="Arial"/>
                <w:b/>
                <w:sz w:val="22"/>
                <w:szCs w:val="22"/>
              </w:rPr>
              <w:t>Action to be taken if the patient is excluded</w:t>
            </w:r>
          </w:p>
        </w:tc>
        <w:tc>
          <w:tcPr>
            <w:tcW w:w="6946" w:type="dxa"/>
          </w:tcPr>
          <w:p w:rsidR="0010580B" w:rsidRPr="00664C7A" w:rsidRDefault="0010580B" w:rsidP="003F6164">
            <w:pPr>
              <w:spacing w:before="120" w:after="120"/>
              <w:rPr>
                <w:rFonts w:cs="Arial"/>
                <w:sz w:val="22"/>
                <w:szCs w:val="22"/>
              </w:rPr>
            </w:pPr>
            <w:r w:rsidRPr="00664C7A">
              <w:rPr>
                <w:sz w:val="22"/>
                <w:szCs w:val="22"/>
              </w:rPr>
              <w:t xml:space="preserve">Consider if </w:t>
            </w:r>
            <w:r w:rsidR="00456065" w:rsidRPr="00664C7A">
              <w:rPr>
                <w:sz w:val="22"/>
                <w:szCs w:val="22"/>
              </w:rPr>
              <w:t>the</w:t>
            </w:r>
            <w:r w:rsidR="00A62384" w:rsidRPr="00664C7A">
              <w:rPr>
                <w:sz w:val="22"/>
                <w:szCs w:val="22"/>
              </w:rPr>
              <w:t xml:space="preserve"> </w:t>
            </w:r>
            <w:r w:rsidR="00E9719D" w:rsidRPr="00664C7A">
              <w:rPr>
                <w:sz w:val="22"/>
                <w:szCs w:val="22"/>
              </w:rPr>
              <w:t>individual</w:t>
            </w:r>
            <w:r w:rsidR="00A62384" w:rsidRPr="00664C7A">
              <w:rPr>
                <w:sz w:val="22"/>
                <w:szCs w:val="22"/>
              </w:rPr>
              <w:t xml:space="preserve"> is suitable for </w:t>
            </w:r>
            <w:r w:rsidR="00145CAC" w:rsidRPr="00664C7A">
              <w:rPr>
                <w:sz w:val="22"/>
                <w:szCs w:val="22"/>
              </w:rPr>
              <w:t xml:space="preserve">prophylaxis with </w:t>
            </w:r>
            <w:r w:rsidR="00A62384" w:rsidRPr="00664C7A">
              <w:rPr>
                <w:sz w:val="22"/>
                <w:szCs w:val="22"/>
              </w:rPr>
              <w:t>zanami</w:t>
            </w:r>
            <w:r w:rsidRPr="00664C7A">
              <w:rPr>
                <w:sz w:val="22"/>
                <w:szCs w:val="22"/>
              </w:rPr>
              <w:t xml:space="preserve">vir (see PGD for </w:t>
            </w:r>
            <w:r w:rsidR="00145CAC" w:rsidRPr="00664C7A">
              <w:rPr>
                <w:sz w:val="22"/>
                <w:szCs w:val="22"/>
              </w:rPr>
              <w:t xml:space="preserve">prophylaxis with </w:t>
            </w:r>
            <w:r w:rsidR="00CA1563" w:rsidRPr="00664C7A">
              <w:rPr>
                <w:sz w:val="22"/>
                <w:szCs w:val="22"/>
              </w:rPr>
              <w:t>z</w:t>
            </w:r>
            <w:r w:rsidRPr="00664C7A">
              <w:rPr>
                <w:sz w:val="22"/>
                <w:szCs w:val="22"/>
              </w:rPr>
              <w:t>anamivir in care homes</w:t>
            </w:r>
            <w:r w:rsidR="00456065" w:rsidRPr="00664C7A">
              <w:rPr>
                <w:rFonts w:cs="Arial"/>
                <w:sz w:val="22"/>
                <w:szCs w:val="22"/>
              </w:rPr>
              <w:t>)</w:t>
            </w:r>
            <w:r w:rsidR="00DC3355" w:rsidRPr="00664C7A">
              <w:rPr>
                <w:rFonts w:cs="Arial"/>
                <w:sz w:val="22"/>
                <w:szCs w:val="22"/>
              </w:rPr>
              <w:t>.</w:t>
            </w:r>
          </w:p>
          <w:p w:rsidR="00740E72" w:rsidRDefault="001B7F9E" w:rsidP="00145CAC">
            <w:pPr>
              <w:spacing w:before="120" w:after="120"/>
              <w:rPr>
                <w:rFonts w:cs="Arial"/>
                <w:sz w:val="22"/>
              </w:rPr>
            </w:pPr>
            <w:r w:rsidRPr="00664C7A">
              <w:rPr>
                <w:rFonts w:cs="Arial"/>
                <w:sz w:val="22"/>
              </w:rPr>
              <w:t xml:space="preserve">Any resident </w:t>
            </w:r>
            <w:r w:rsidR="00413A76" w:rsidRPr="00664C7A">
              <w:rPr>
                <w:rFonts w:cs="Arial"/>
                <w:sz w:val="22"/>
              </w:rPr>
              <w:t xml:space="preserve">or member of staff </w:t>
            </w:r>
            <w:r w:rsidRPr="00664C7A">
              <w:rPr>
                <w:rFonts w:cs="Arial"/>
                <w:sz w:val="22"/>
              </w:rPr>
              <w:t xml:space="preserve">in a care home excluded under this PGD </w:t>
            </w:r>
            <w:r w:rsidR="00456065" w:rsidRPr="00664C7A">
              <w:rPr>
                <w:rFonts w:cs="Arial"/>
                <w:sz w:val="22"/>
              </w:rPr>
              <w:t xml:space="preserve">who is not suitable for </w:t>
            </w:r>
            <w:r w:rsidR="00145CAC" w:rsidRPr="00664C7A">
              <w:rPr>
                <w:rFonts w:cs="Arial"/>
                <w:sz w:val="22"/>
              </w:rPr>
              <w:t xml:space="preserve">prophylaxis with </w:t>
            </w:r>
            <w:r w:rsidR="00456065" w:rsidRPr="00664C7A">
              <w:rPr>
                <w:rFonts w:cs="Arial"/>
                <w:sz w:val="22"/>
              </w:rPr>
              <w:t xml:space="preserve">zanamivir </w:t>
            </w:r>
            <w:r w:rsidRPr="00664C7A">
              <w:rPr>
                <w:rFonts w:cs="Arial"/>
                <w:sz w:val="22"/>
              </w:rPr>
              <w:t>should be referred to</w:t>
            </w:r>
            <w:r w:rsidR="003F6164" w:rsidRPr="00664C7A">
              <w:rPr>
                <w:rFonts w:cs="Arial"/>
                <w:sz w:val="22"/>
              </w:rPr>
              <w:t xml:space="preserve"> local NHS services </w:t>
            </w:r>
            <w:r w:rsidRPr="00664C7A">
              <w:rPr>
                <w:rFonts w:cs="Arial"/>
                <w:sz w:val="22"/>
              </w:rPr>
              <w:t xml:space="preserve">for advice without delay.  </w:t>
            </w:r>
          </w:p>
          <w:p w:rsidR="0038578B" w:rsidRPr="00664C7A" w:rsidRDefault="001B7F9E" w:rsidP="00145CAC">
            <w:pPr>
              <w:spacing w:before="120" w:after="120"/>
              <w:rPr>
                <w:rFonts w:cs="Arial"/>
                <w:sz w:val="22"/>
                <w:szCs w:val="22"/>
              </w:rPr>
            </w:pPr>
            <w:r w:rsidRPr="00664C7A">
              <w:rPr>
                <w:rFonts w:cs="Arial"/>
                <w:sz w:val="22"/>
              </w:rPr>
              <w:t xml:space="preserve">Some </w:t>
            </w:r>
            <w:r w:rsidR="00E9719D" w:rsidRPr="00664C7A">
              <w:rPr>
                <w:rFonts w:cs="Arial"/>
                <w:sz w:val="22"/>
              </w:rPr>
              <w:t>individuals</w:t>
            </w:r>
            <w:r w:rsidRPr="00664C7A">
              <w:rPr>
                <w:rFonts w:cs="Arial"/>
                <w:sz w:val="22"/>
              </w:rPr>
              <w:t xml:space="preserve"> excluded under this PGD may be suitable for post exposure prophylaxis </w:t>
            </w:r>
            <w:r w:rsidR="00787B06" w:rsidRPr="00664C7A">
              <w:rPr>
                <w:rFonts w:cs="Arial"/>
                <w:sz w:val="22"/>
              </w:rPr>
              <w:t xml:space="preserve">with oseltamivir </w:t>
            </w:r>
            <w:r w:rsidRPr="00664C7A">
              <w:rPr>
                <w:rFonts w:cs="Arial"/>
                <w:sz w:val="22"/>
              </w:rPr>
              <w:t xml:space="preserve">if </w:t>
            </w:r>
            <w:r w:rsidR="00394231">
              <w:rPr>
                <w:rFonts w:cs="Arial"/>
                <w:sz w:val="22"/>
              </w:rPr>
              <w:t xml:space="preserve">clinically assessed and </w:t>
            </w:r>
            <w:r w:rsidRPr="00664C7A">
              <w:rPr>
                <w:rFonts w:cs="Arial"/>
                <w:sz w:val="22"/>
              </w:rPr>
              <w:t>prescribed.</w:t>
            </w:r>
          </w:p>
        </w:tc>
      </w:tr>
      <w:tr w:rsidR="004A0C4F" w:rsidRPr="00664C7A" w:rsidTr="00E47B6D">
        <w:tc>
          <w:tcPr>
            <w:tcW w:w="2977" w:type="dxa"/>
          </w:tcPr>
          <w:p w:rsidR="004A0C4F" w:rsidRPr="00740E72" w:rsidRDefault="004A0C4F" w:rsidP="00740E72">
            <w:pPr>
              <w:spacing w:before="120" w:after="120"/>
              <w:rPr>
                <w:rFonts w:cs="Arial"/>
                <w:b/>
                <w:sz w:val="22"/>
                <w:szCs w:val="22"/>
              </w:rPr>
            </w:pPr>
            <w:r w:rsidRPr="00740E72">
              <w:rPr>
                <w:rFonts w:cs="Arial"/>
                <w:b/>
                <w:sz w:val="22"/>
                <w:szCs w:val="22"/>
              </w:rPr>
              <w:t>Additional information</w:t>
            </w:r>
          </w:p>
        </w:tc>
        <w:tc>
          <w:tcPr>
            <w:tcW w:w="6946" w:type="dxa"/>
          </w:tcPr>
          <w:p w:rsidR="004A0C4F" w:rsidRPr="00740E72" w:rsidRDefault="004A0C4F" w:rsidP="00740E72">
            <w:pPr>
              <w:overflowPunct/>
              <w:autoSpaceDE/>
              <w:autoSpaceDN/>
              <w:adjustRightInd/>
              <w:spacing w:before="120" w:after="120"/>
              <w:textAlignment w:val="auto"/>
              <w:rPr>
                <w:sz w:val="22"/>
                <w:szCs w:val="22"/>
              </w:rPr>
            </w:pPr>
            <w:r w:rsidRPr="00740E72">
              <w:rPr>
                <w:sz w:val="22"/>
                <w:szCs w:val="22"/>
              </w:rPr>
              <w:t>It is normal practice to administer only one neuraminidase inhibitor to an individual patient at a time. Therefore supply either zanamivir or oseltamivir but not both.</w:t>
            </w:r>
          </w:p>
        </w:tc>
      </w:tr>
    </w:tbl>
    <w:p w:rsidR="0038578B" w:rsidRPr="00664C7A" w:rsidRDefault="00B37C58" w:rsidP="00ED223A">
      <w:pPr>
        <w:spacing w:before="120"/>
        <w:rPr>
          <w:rFonts w:cs="Arial"/>
          <w:b/>
          <w:szCs w:val="24"/>
        </w:rPr>
      </w:pPr>
      <w:r w:rsidRPr="00664C7A">
        <w:rPr>
          <w:rFonts w:cs="Arial"/>
          <w:b/>
          <w:szCs w:val="24"/>
        </w:rPr>
        <w:t xml:space="preserve"> </w:t>
      </w:r>
    </w:p>
    <w:p w:rsidR="00ED223A" w:rsidRPr="00664C7A" w:rsidRDefault="00ED223A">
      <w:pPr>
        <w:overflowPunct/>
        <w:autoSpaceDE/>
        <w:autoSpaceDN/>
        <w:adjustRightInd/>
        <w:jc w:val="center"/>
        <w:textAlignment w:val="auto"/>
        <w:rPr>
          <w:rFonts w:cs="Arial"/>
          <w:b/>
          <w:szCs w:val="24"/>
        </w:rPr>
      </w:pPr>
      <w:r w:rsidRPr="00664C7A">
        <w:rPr>
          <w:rFonts w:cs="Arial"/>
          <w:b/>
          <w:szCs w:val="24"/>
        </w:rPr>
        <w:br w:type="page"/>
      </w:r>
    </w:p>
    <w:p w:rsidR="00A13AE5" w:rsidRPr="00F039BD" w:rsidRDefault="007A2E65" w:rsidP="00F039BD">
      <w:pPr>
        <w:pStyle w:val="ListParagraph"/>
        <w:numPr>
          <w:ilvl w:val="0"/>
          <w:numId w:val="16"/>
        </w:numPr>
        <w:overflowPunct/>
        <w:autoSpaceDE/>
        <w:autoSpaceDN/>
        <w:adjustRightInd/>
        <w:spacing w:after="120"/>
        <w:ind w:left="714" w:hanging="357"/>
        <w:textAlignment w:val="auto"/>
        <w:rPr>
          <w:rFonts w:cs="Arial"/>
          <w:b/>
          <w:szCs w:val="24"/>
        </w:rPr>
      </w:pPr>
      <w:r w:rsidRPr="00664C7A">
        <w:rPr>
          <w:rFonts w:cs="Arial"/>
          <w:b/>
          <w:szCs w:val="24"/>
        </w:rPr>
        <w:t xml:space="preserve">Description of </w:t>
      </w:r>
      <w:r w:rsidR="007E5FE1" w:rsidRPr="00664C7A">
        <w:rPr>
          <w:rFonts w:cs="Arial"/>
          <w:b/>
          <w:szCs w:val="24"/>
        </w:rPr>
        <w:t xml:space="preserve">prophylaxis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0"/>
        <w:gridCol w:w="7133"/>
      </w:tblGrid>
      <w:tr w:rsidR="00B37C58" w:rsidRPr="00664C7A" w:rsidTr="00B32ECD">
        <w:tc>
          <w:tcPr>
            <w:tcW w:w="2790" w:type="dxa"/>
          </w:tcPr>
          <w:p w:rsidR="00B37C58" w:rsidRPr="00664C7A" w:rsidRDefault="00B37C58" w:rsidP="007E045E">
            <w:pPr>
              <w:spacing w:before="120" w:after="120"/>
              <w:rPr>
                <w:rFonts w:cs="Arial"/>
                <w:b/>
                <w:sz w:val="22"/>
                <w:szCs w:val="22"/>
              </w:rPr>
            </w:pPr>
            <w:r w:rsidRPr="00664C7A">
              <w:rPr>
                <w:rFonts w:cs="Arial"/>
                <w:b/>
                <w:sz w:val="22"/>
                <w:szCs w:val="22"/>
              </w:rPr>
              <w:t>Name, strength &amp; formulation of drug</w:t>
            </w:r>
          </w:p>
        </w:tc>
        <w:tc>
          <w:tcPr>
            <w:tcW w:w="7133" w:type="dxa"/>
          </w:tcPr>
          <w:p w:rsidR="008C1132" w:rsidRPr="00664C7A" w:rsidRDefault="00FB263B" w:rsidP="002E393D">
            <w:pPr>
              <w:pStyle w:val="Header"/>
              <w:tabs>
                <w:tab w:val="left" w:pos="720"/>
              </w:tabs>
              <w:spacing w:before="120" w:after="120"/>
              <w:rPr>
                <w:rFonts w:ascii="Arial" w:hAnsi="Arial" w:cs="Arial"/>
                <w:sz w:val="22"/>
                <w:szCs w:val="22"/>
              </w:rPr>
            </w:pPr>
            <w:r w:rsidRPr="00664C7A">
              <w:rPr>
                <w:rFonts w:ascii="Arial" w:hAnsi="Arial" w:cs="Arial"/>
                <w:sz w:val="22"/>
                <w:szCs w:val="22"/>
              </w:rPr>
              <w:t>Oseltamivir 75mg capsules</w:t>
            </w:r>
          </w:p>
          <w:p w:rsidR="00904C45" w:rsidRPr="00664C7A" w:rsidRDefault="00904C45" w:rsidP="002E393D">
            <w:pPr>
              <w:pStyle w:val="Header"/>
              <w:tabs>
                <w:tab w:val="left" w:pos="720"/>
              </w:tabs>
              <w:spacing w:before="120" w:after="120"/>
              <w:rPr>
                <w:rFonts w:ascii="Arial" w:hAnsi="Arial" w:cs="Arial"/>
                <w:sz w:val="22"/>
                <w:szCs w:val="22"/>
              </w:rPr>
            </w:pPr>
            <w:r w:rsidRPr="00664C7A">
              <w:rPr>
                <w:rFonts w:ascii="Arial" w:hAnsi="Arial" w:cs="Arial"/>
                <w:sz w:val="22"/>
                <w:szCs w:val="22"/>
              </w:rPr>
              <w:t>Oseltamivir 30mg capsules</w:t>
            </w:r>
          </w:p>
        </w:tc>
      </w:tr>
      <w:tr w:rsidR="006D2947" w:rsidRPr="00664C7A" w:rsidTr="00B32ECD">
        <w:tc>
          <w:tcPr>
            <w:tcW w:w="2790" w:type="dxa"/>
          </w:tcPr>
          <w:p w:rsidR="006D2947" w:rsidRPr="00664C7A" w:rsidRDefault="006D2947" w:rsidP="007E045E">
            <w:pPr>
              <w:spacing w:before="120" w:after="120"/>
              <w:rPr>
                <w:rFonts w:cs="Arial"/>
                <w:b/>
                <w:sz w:val="22"/>
                <w:szCs w:val="22"/>
              </w:rPr>
            </w:pPr>
            <w:r w:rsidRPr="00664C7A">
              <w:rPr>
                <w:rFonts w:cs="Arial"/>
                <w:b/>
                <w:sz w:val="22"/>
                <w:szCs w:val="22"/>
              </w:rPr>
              <w:t xml:space="preserve">Legal </w:t>
            </w:r>
            <w:r w:rsidR="00032A94" w:rsidRPr="00664C7A">
              <w:rPr>
                <w:rFonts w:cs="Arial"/>
                <w:b/>
                <w:sz w:val="22"/>
                <w:szCs w:val="22"/>
              </w:rPr>
              <w:t>category</w:t>
            </w:r>
          </w:p>
        </w:tc>
        <w:tc>
          <w:tcPr>
            <w:tcW w:w="7133" w:type="dxa"/>
          </w:tcPr>
          <w:p w:rsidR="006D2947" w:rsidRPr="00664C7A" w:rsidRDefault="00FB263B" w:rsidP="002E393D">
            <w:pPr>
              <w:spacing w:before="120" w:after="120"/>
              <w:rPr>
                <w:rFonts w:cs="Arial"/>
                <w:sz w:val="22"/>
                <w:szCs w:val="22"/>
              </w:rPr>
            </w:pPr>
            <w:r w:rsidRPr="00664C7A">
              <w:rPr>
                <w:rFonts w:cs="Arial"/>
                <w:sz w:val="22"/>
                <w:szCs w:val="22"/>
              </w:rPr>
              <w:t>POM - Prescription only medicine</w:t>
            </w:r>
          </w:p>
        </w:tc>
      </w:tr>
      <w:tr w:rsidR="006D2947" w:rsidRPr="00664C7A" w:rsidTr="00B32ECD">
        <w:tc>
          <w:tcPr>
            <w:tcW w:w="2790" w:type="dxa"/>
          </w:tcPr>
          <w:p w:rsidR="006D2947" w:rsidRPr="00664C7A" w:rsidRDefault="006D2947" w:rsidP="007E045E">
            <w:pPr>
              <w:spacing w:before="120" w:after="120"/>
              <w:rPr>
                <w:rFonts w:cs="Arial"/>
                <w:b/>
                <w:sz w:val="22"/>
                <w:szCs w:val="22"/>
              </w:rPr>
            </w:pPr>
            <w:r w:rsidRPr="00664C7A">
              <w:rPr>
                <w:rFonts w:cs="Arial"/>
                <w:b/>
                <w:sz w:val="22"/>
                <w:szCs w:val="22"/>
              </w:rPr>
              <w:t xml:space="preserve">Black </w:t>
            </w:r>
            <w:r w:rsidR="00CA1563" w:rsidRPr="00664C7A">
              <w:rPr>
                <w:rFonts w:cs="Arial"/>
                <w:b/>
                <w:sz w:val="22"/>
                <w:szCs w:val="22"/>
              </w:rPr>
              <w:t>t</w:t>
            </w:r>
            <w:r w:rsidRPr="00664C7A">
              <w:rPr>
                <w:rFonts w:cs="Arial"/>
                <w:b/>
                <w:sz w:val="22"/>
                <w:szCs w:val="22"/>
              </w:rPr>
              <w:t>riangle</w:t>
            </w:r>
            <w:r w:rsidRPr="00664C7A">
              <w:rPr>
                <w:rFonts w:cs="Arial"/>
                <w:b/>
                <w:sz w:val="22"/>
                <w:szCs w:val="22"/>
              </w:rPr>
              <w:sym w:font="Wingdings 3" w:char="F071"/>
            </w:r>
            <w:r w:rsidRPr="00664C7A">
              <w:rPr>
                <w:rFonts w:cs="Arial"/>
                <w:b/>
                <w:sz w:val="22"/>
                <w:szCs w:val="22"/>
              </w:rPr>
              <w:t xml:space="preserve"> </w:t>
            </w:r>
          </w:p>
        </w:tc>
        <w:tc>
          <w:tcPr>
            <w:tcW w:w="7133" w:type="dxa"/>
          </w:tcPr>
          <w:p w:rsidR="006D2947" w:rsidRPr="00664C7A" w:rsidRDefault="00FB263B" w:rsidP="002E393D">
            <w:pPr>
              <w:spacing w:before="120" w:after="120"/>
              <w:rPr>
                <w:rFonts w:cs="Arial"/>
                <w:sz w:val="22"/>
                <w:szCs w:val="22"/>
              </w:rPr>
            </w:pPr>
            <w:r w:rsidRPr="00664C7A">
              <w:rPr>
                <w:rFonts w:cs="Arial"/>
                <w:sz w:val="22"/>
                <w:szCs w:val="22"/>
              </w:rPr>
              <w:t>No</w:t>
            </w:r>
          </w:p>
        </w:tc>
      </w:tr>
      <w:tr w:rsidR="006D2947" w:rsidRPr="00664C7A" w:rsidTr="00B32ECD">
        <w:tc>
          <w:tcPr>
            <w:tcW w:w="2790" w:type="dxa"/>
          </w:tcPr>
          <w:p w:rsidR="006D2947" w:rsidRPr="00664C7A" w:rsidRDefault="00032A94" w:rsidP="007E045E">
            <w:pPr>
              <w:spacing w:before="120" w:after="120"/>
              <w:rPr>
                <w:rFonts w:cs="Arial"/>
                <w:b/>
                <w:sz w:val="22"/>
                <w:szCs w:val="22"/>
              </w:rPr>
            </w:pPr>
            <w:r w:rsidRPr="00664C7A">
              <w:rPr>
                <w:rFonts w:cs="Arial"/>
                <w:b/>
                <w:sz w:val="22"/>
                <w:szCs w:val="22"/>
              </w:rPr>
              <w:t>Off-</w:t>
            </w:r>
            <w:r w:rsidR="006D2947" w:rsidRPr="00664C7A">
              <w:rPr>
                <w:rFonts w:cs="Arial"/>
                <w:b/>
                <w:sz w:val="22"/>
                <w:szCs w:val="22"/>
              </w:rPr>
              <w:t>label use</w:t>
            </w:r>
          </w:p>
        </w:tc>
        <w:tc>
          <w:tcPr>
            <w:tcW w:w="7133" w:type="dxa"/>
          </w:tcPr>
          <w:p w:rsidR="006D2947" w:rsidRPr="00664C7A" w:rsidRDefault="00FB263B" w:rsidP="002E393D">
            <w:pPr>
              <w:spacing w:before="120" w:after="120"/>
              <w:rPr>
                <w:rFonts w:cs="Arial"/>
                <w:sz w:val="22"/>
                <w:szCs w:val="22"/>
              </w:rPr>
            </w:pPr>
            <w:r w:rsidRPr="00664C7A">
              <w:rPr>
                <w:rFonts w:cs="Arial"/>
                <w:sz w:val="22"/>
                <w:szCs w:val="22"/>
              </w:rPr>
              <w:t xml:space="preserve">No – except </w:t>
            </w:r>
            <w:r w:rsidR="007F3097" w:rsidRPr="00664C7A">
              <w:rPr>
                <w:sz w:val="22"/>
                <w:szCs w:val="22"/>
              </w:rPr>
              <w:t>outside the periods when national surveillance indicates that influenza virus is circulating generally in the community</w:t>
            </w:r>
            <w:r w:rsidR="007F3097" w:rsidRPr="00664C7A">
              <w:rPr>
                <w:rFonts w:cs="Arial"/>
                <w:sz w:val="22"/>
                <w:szCs w:val="22"/>
              </w:rPr>
              <w:t xml:space="preserve"> - </w:t>
            </w:r>
            <w:r w:rsidR="004858BA" w:rsidRPr="00664C7A">
              <w:rPr>
                <w:rFonts w:cs="Arial"/>
                <w:sz w:val="22"/>
                <w:szCs w:val="22"/>
              </w:rPr>
              <w:t>see footnote below</w:t>
            </w:r>
            <w:r w:rsidR="004858BA" w:rsidRPr="00664C7A">
              <w:rPr>
                <w:rStyle w:val="FootnoteReference"/>
                <w:rFonts w:cs="Arial"/>
                <w:sz w:val="22"/>
                <w:szCs w:val="22"/>
              </w:rPr>
              <w:footnoteReference w:id="7"/>
            </w:r>
          </w:p>
        </w:tc>
      </w:tr>
      <w:tr w:rsidR="006D2947" w:rsidRPr="00664C7A" w:rsidTr="00B32ECD">
        <w:tc>
          <w:tcPr>
            <w:tcW w:w="2790" w:type="dxa"/>
          </w:tcPr>
          <w:p w:rsidR="006D2947" w:rsidRPr="00664C7A" w:rsidRDefault="006D2947" w:rsidP="007E045E">
            <w:pPr>
              <w:spacing w:before="120" w:after="120"/>
              <w:rPr>
                <w:rFonts w:cs="Arial"/>
                <w:b/>
                <w:sz w:val="22"/>
                <w:szCs w:val="22"/>
              </w:rPr>
            </w:pPr>
            <w:r w:rsidRPr="00664C7A">
              <w:rPr>
                <w:rFonts w:cs="Arial"/>
                <w:b/>
                <w:sz w:val="22"/>
                <w:szCs w:val="22"/>
              </w:rPr>
              <w:t>Route / method</w:t>
            </w:r>
            <w:r w:rsidR="00032A94" w:rsidRPr="00664C7A">
              <w:rPr>
                <w:rFonts w:cs="Arial"/>
                <w:b/>
                <w:sz w:val="22"/>
                <w:szCs w:val="22"/>
              </w:rPr>
              <w:t xml:space="preserve"> of administration</w:t>
            </w:r>
          </w:p>
        </w:tc>
        <w:tc>
          <w:tcPr>
            <w:tcW w:w="7133" w:type="dxa"/>
          </w:tcPr>
          <w:p w:rsidR="00FB263B" w:rsidRPr="00664C7A" w:rsidRDefault="00FB263B" w:rsidP="002E393D">
            <w:pPr>
              <w:spacing w:before="120" w:after="120"/>
              <w:rPr>
                <w:rFonts w:cs="Arial"/>
                <w:sz w:val="22"/>
                <w:szCs w:val="22"/>
              </w:rPr>
            </w:pPr>
            <w:r w:rsidRPr="00664C7A">
              <w:rPr>
                <w:rFonts w:cs="Arial"/>
                <w:color w:val="1A1A18"/>
                <w:sz w:val="22"/>
                <w:szCs w:val="22"/>
              </w:rPr>
              <w:t>Oral</w:t>
            </w:r>
            <w:r w:rsidRPr="00664C7A">
              <w:rPr>
                <w:rFonts w:cs="Arial"/>
                <w:sz w:val="22"/>
                <w:szCs w:val="22"/>
              </w:rPr>
              <w:t xml:space="preserve"> </w:t>
            </w:r>
          </w:p>
          <w:p w:rsidR="006D2947" w:rsidRPr="00664C7A" w:rsidRDefault="00FB263B" w:rsidP="002E393D">
            <w:pPr>
              <w:spacing w:before="120" w:after="120"/>
              <w:rPr>
                <w:rFonts w:cs="Arial"/>
                <w:color w:val="1A1A18"/>
                <w:sz w:val="22"/>
                <w:szCs w:val="22"/>
              </w:rPr>
            </w:pPr>
            <w:r w:rsidRPr="00664C7A">
              <w:rPr>
                <w:rFonts w:cs="Arial"/>
                <w:sz w:val="22"/>
                <w:szCs w:val="22"/>
              </w:rPr>
              <w:t xml:space="preserve">Capsules should be swallowed whole with water. </w:t>
            </w:r>
            <w:r w:rsidRPr="00664C7A">
              <w:rPr>
                <w:rFonts w:cs="Arial"/>
                <w:color w:val="000000"/>
                <w:sz w:val="22"/>
                <w:szCs w:val="22"/>
              </w:rPr>
              <w:t>However, f</w:t>
            </w:r>
            <w:r w:rsidRPr="00664C7A">
              <w:rPr>
                <w:sz w:val="22"/>
              </w:rPr>
              <w:t xml:space="preserve">or patients </w:t>
            </w:r>
            <w:r w:rsidRPr="00664C7A">
              <w:rPr>
                <w:sz w:val="22"/>
                <w:szCs w:val="22"/>
              </w:rPr>
              <w:t>with swallowing difficulties, capsules can be opened and the contents mixed with a small amount of sweetened food, such as honey, flavoured syrup or sugared water, just before administration</w:t>
            </w:r>
            <w:r w:rsidR="00686DF1" w:rsidRPr="00664C7A">
              <w:rPr>
                <w:sz w:val="22"/>
                <w:szCs w:val="22"/>
              </w:rPr>
              <w:t xml:space="preserve"> (see Patient Information Leaflet)</w:t>
            </w:r>
          </w:p>
        </w:tc>
      </w:tr>
      <w:tr w:rsidR="006D2947" w:rsidRPr="00664C7A" w:rsidTr="00686DF1">
        <w:trPr>
          <w:trHeight w:val="731"/>
        </w:trPr>
        <w:tc>
          <w:tcPr>
            <w:tcW w:w="2790" w:type="dxa"/>
          </w:tcPr>
          <w:p w:rsidR="006D2947" w:rsidRDefault="006D2947" w:rsidP="007E045E">
            <w:pPr>
              <w:pStyle w:val="Header"/>
              <w:tabs>
                <w:tab w:val="clear" w:pos="4153"/>
                <w:tab w:val="clear" w:pos="8306"/>
              </w:tabs>
              <w:spacing w:before="120" w:after="120"/>
              <w:rPr>
                <w:rFonts w:ascii="Arial" w:hAnsi="Arial" w:cs="Arial"/>
                <w:b/>
                <w:sz w:val="22"/>
                <w:szCs w:val="22"/>
              </w:rPr>
            </w:pPr>
            <w:r w:rsidRPr="00664C7A">
              <w:rPr>
                <w:rFonts w:ascii="Arial" w:hAnsi="Arial" w:cs="Arial"/>
                <w:b/>
                <w:sz w:val="22"/>
                <w:szCs w:val="22"/>
              </w:rPr>
              <w:t xml:space="preserve">Dose </w:t>
            </w:r>
            <w:r w:rsidR="00EB4085" w:rsidRPr="00664C7A">
              <w:rPr>
                <w:rFonts w:ascii="Arial" w:hAnsi="Arial" w:cs="Arial"/>
                <w:b/>
                <w:sz w:val="22"/>
                <w:szCs w:val="22"/>
              </w:rPr>
              <w:t>and frequency of administration</w:t>
            </w: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b/>
                <w:sz w:val="22"/>
                <w:szCs w:val="22"/>
              </w:rPr>
            </w:pPr>
          </w:p>
          <w:p w:rsidR="00740E72" w:rsidRDefault="00740E72" w:rsidP="007E045E">
            <w:pPr>
              <w:pStyle w:val="Header"/>
              <w:tabs>
                <w:tab w:val="clear" w:pos="4153"/>
                <w:tab w:val="clear" w:pos="8306"/>
              </w:tabs>
              <w:spacing w:before="120" w:after="120"/>
              <w:rPr>
                <w:rFonts w:ascii="Arial" w:hAnsi="Arial" w:cs="Arial"/>
                <w:sz w:val="22"/>
                <w:szCs w:val="22"/>
              </w:rPr>
            </w:pPr>
            <w:r>
              <w:rPr>
                <w:rFonts w:ascii="Arial" w:hAnsi="Arial" w:cs="Arial"/>
                <w:sz w:val="22"/>
                <w:szCs w:val="22"/>
              </w:rPr>
              <w:t>(continued overleaf)</w:t>
            </w:r>
          </w:p>
          <w:p w:rsidR="00740E72" w:rsidRDefault="00740E72" w:rsidP="00D22FF8">
            <w:pPr>
              <w:pStyle w:val="Header"/>
              <w:tabs>
                <w:tab w:val="clear" w:pos="4153"/>
                <w:tab w:val="clear" w:pos="8306"/>
              </w:tabs>
              <w:spacing w:before="240" w:after="120"/>
              <w:rPr>
                <w:rFonts w:ascii="Arial" w:hAnsi="Arial" w:cs="Arial"/>
                <w:b/>
                <w:sz w:val="22"/>
                <w:szCs w:val="22"/>
              </w:rPr>
            </w:pPr>
            <w:r w:rsidRPr="00664C7A">
              <w:rPr>
                <w:rFonts w:ascii="Arial" w:hAnsi="Arial" w:cs="Arial"/>
                <w:b/>
                <w:sz w:val="22"/>
                <w:szCs w:val="22"/>
              </w:rPr>
              <w:t>Dose and frequency of administration</w:t>
            </w:r>
          </w:p>
          <w:p w:rsidR="00740E72" w:rsidRPr="00740E72" w:rsidRDefault="00D22FF8" w:rsidP="007E045E">
            <w:pPr>
              <w:pStyle w:val="Header"/>
              <w:tabs>
                <w:tab w:val="clear" w:pos="4153"/>
                <w:tab w:val="clear" w:pos="8306"/>
              </w:tabs>
              <w:spacing w:before="120" w:after="120"/>
              <w:rPr>
                <w:rFonts w:ascii="Arial" w:hAnsi="Arial" w:cs="Arial"/>
                <w:sz w:val="22"/>
                <w:szCs w:val="22"/>
              </w:rPr>
            </w:pPr>
            <w:r>
              <w:rPr>
                <w:rFonts w:ascii="Arial" w:hAnsi="Arial" w:cs="Arial"/>
                <w:sz w:val="22"/>
                <w:szCs w:val="22"/>
              </w:rPr>
              <w:t>(continued)</w:t>
            </w:r>
          </w:p>
        </w:tc>
        <w:tc>
          <w:tcPr>
            <w:tcW w:w="7133" w:type="dxa"/>
          </w:tcPr>
          <w:p w:rsidR="00E92067" w:rsidRPr="00664C7A" w:rsidRDefault="00FB263B" w:rsidP="002E393D">
            <w:pPr>
              <w:spacing w:before="120" w:after="120"/>
              <w:rPr>
                <w:sz w:val="22"/>
                <w:szCs w:val="22"/>
              </w:rPr>
            </w:pPr>
            <w:r w:rsidRPr="00664C7A">
              <w:rPr>
                <w:sz w:val="22"/>
                <w:szCs w:val="22"/>
              </w:rPr>
              <w:t>Post exposure prophylaxis should be initiated as soon as possible within the first two days (48 hours) of last exposure to influenza.</w:t>
            </w:r>
          </w:p>
          <w:tbl>
            <w:tblPr>
              <w:tblStyle w:val="TableGrid"/>
              <w:tblW w:w="0" w:type="auto"/>
              <w:tblLayout w:type="fixed"/>
              <w:tblLook w:val="04A0"/>
            </w:tblPr>
            <w:tblGrid>
              <w:gridCol w:w="3451"/>
              <w:gridCol w:w="3451"/>
            </w:tblGrid>
            <w:tr w:rsidR="00EC5B5B" w:rsidRPr="00664C7A" w:rsidTr="007D4BCA">
              <w:tc>
                <w:tcPr>
                  <w:tcW w:w="3451" w:type="dxa"/>
                </w:tcPr>
                <w:p w:rsidR="00EC5B5B" w:rsidRPr="00664C7A" w:rsidRDefault="005867FD" w:rsidP="0025549F">
                  <w:pPr>
                    <w:spacing w:before="120" w:after="120"/>
                    <w:rPr>
                      <w:rFonts w:cs="Arial"/>
                      <w:b/>
                      <w:sz w:val="20"/>
                    </w:rPr>
                  </w:pPr>
                  <w:r w:rsidRPr="00664C7A">
                    <w:rPr>
                      <w:rFonts w:cs="Arial"/>
                      <w:b/>
                      <w:sz w:val="20"/>
                    </w:rPr>
                    <w:t>Renal i</w:t>
                  </w:r>
                  <w:r w:rsidR="00EC5B5B" w:rsidRPr="00664C7A">
                    <w:rPr>
                      <w:rFonts w:cs="Arial"/>
                      <w:b/>
                      <w:sz w:val="20"/>
                    </w:rPr>
                    <w:t>mpairment</w:t>
                  </w:r>
                  <w:r w:rsidR="00EC5B5B" w:rsidRPr="00664C7A">
                    <w:rPr>
                      <w:rStyle w:val="FootnoteReference"/>
                      <w:rFonts w:cs="Arial"/>
                      <w:b/>
                      <w:sz w:val="20"/>
                    </w:rPr>
                    <w:footnoteReference w:id="8"/>
                  </w:r>
                </w:p>
              </w:tc>
              <w:tc>
                <w:tcPr>
                  <w:tcW w:w="3451" w:type="dxa"/>
                </w:tcPr>
                <w:p w:rsidR="00EC5B5B" w:rsidRPr="00664C7A" w:rsidRDefault="00EC5B5B" w:rsidP="0025549F">
                  <w:pPr>
                    <w:spacing w:after="120" w:line="320" w:lineRule="exact"/>
                    <w:rPr>
                      <w:rFonts w:cs="Arial"/>
                      <w:sz w:val="20"/>
                    </w:rPr>
                  </w:pPr>
                  <w:r w:rsidRPr="00664C7A">
                    <w:rPr>
                      <w:rFonts w:cs="Arial"/>
                      <w:sz w:val="20"/>
                    </w:rPr>
                    <w:t>Dose</w:t>
                  </w:r>
                  <w:r w:rsidRPr="00664C7A">
                    <w:rPr>
                      <w:b/>
                      <w:bCs/>
                      <w:sz w:val="20"/>
                    </w:rPr>
                    <w:t xml:space="preserve"> </w:t>
                  </w:r>
                </w:p>
              </w:tc>
            </w:tr>
            <w:tr w:rsidR="00EC5B5B" w:rsidRPr="00664C7A" w:rsidTr="007D4BCA">
              <w:tc>
                <w:tcPr>
                  <w:tcW w:w="3451" w:type="dxa"/>
                </w:tcPr>
                <w:p w:rsidR="00EC5B5B" w:rsidRPr="00664C7A" w:rsidRDefault="00EC5B5B" w:rsidP="0025549F">
                  <w:pPr>
                    <w:spacing w:before="120" w:after="120"/>
                    <w:rPr>
                      <w:rFonts w:cs="Arial"/>
                      <w:sz w:val="20"/>
                    </w:rPr>
                  </w:pPr>
                  <w:r w:rsidRPr="00664C7A">
                    <w:rPr>
                      <w:rFonts w:cs="Arial"/>
                      <w:sz w:val="20"/>
                    </w:rPr>
                    <w:t>No known chronic renal impairment</w:t>
                  </w:r>
                </w:p>
              </w:tc>
              <w:tc>
                <w:tcPr>
                  <w:tcW w:w="3451" w:type="dxa"/>
                </w:tcPr>
                <w:p w:rsidR="00EC5B5B" w:rsidRPr="00664C7A" w:rsidRDefault="00EC5B5B" w:rsidP="0025549F">
                  <w:pPr>
                    <w:spacing w:before="120" w:after="120"/>
                    <w:rPr>
                      <w:rFonts w:cs="Arial"/>
                      <w:sz w:val="20"/>
                    </w:rPr>
                  </w:pPr>
                  <w:r w:rsidRPr="00664C7A">
                    <w:rPr>
                      <w:rFonts w:cs="Arial"/>
                      <w:sz w:val="20"/>
                    </w:rPr>
                    <w:t xml:space="preserve">One 75mg capsule once a day </w:t>
                  </w:r>
                  <w:r w:rsidR="00775165" w:rsidRPr="00664C7A">
                    <w:rPr>
                      <w:rFonts w:cs="Arial"/>
                      <w:sz w:val="20"/>
                    </w:rPr>
                    <w:t>for 10 days</w:t>
                  </w:r>
                </w:p>
              </w:tc>
            </w:tr>
            <w:tr w:rsidR="00EC5B5B" w:rsidRPr="00664C7A" w:rsidTr="007D4BCA">
              <w:tc>
                <w:tcPr>
                  <w:tcW w:w="3451" w:type="dxa"/>
                </w:tcPr>
                <w:p w:rsidR="00740E72" w:rsidRDefault="005867FD" w:rsidP="00740E72">
                  <w:pPr>
                    <w:spacing w:before="120"/>
                    <w:rPr>
                      <w:sz w:val="20"/>
                    </w:rPr>
                  </w:pPr>
                  <w:r w:rsidRPr="00664C7A">
                    <w:rPr>
                      <w:rFonts w:cs="Arial"/>
                      <w:sz w:val="20"/>
                    </w:rPr>
                    <w:t>Moderate i</w:t>
                  </w:r>
                  <w:r w:rsidR="00EC5B5B" w:rsidRPr="00664C7A">
                    <w:rPr>
                      <w:rFonts w:cs="Arial"/>
                      <w:sz w:val="20"/>
                    </w:rPr>
                    <w:t xml:space="preserve">mpairment </w:t>
                  </w:r>
                  <w:r w:rsidR="00EC5B5B" w:rsidRPr="00664C7A">
                    <w:rPr>
                      <w:sz w:val="20"/>
                    </w:rPr>
                    <w:t xml:space="preserve"> </w:t>
                  </w:r>
                </w:p>
                <w:p w:rsidR="00EC5B5B" w:rsidRPr="00664C7A" w:rsidRDefault="00EC5B5B" w:rsidP="00740E72">
                  <w:pPr>
                    <w:spacing w:after="120"/>
                    <w:rPr>
                      <w:rFonts w:cs="Arial"/>
                      <w:sz w:val="20"/>
                    </w:rPr>
                  </w:pPr>
                  <w:r w:rsidRPr="00664C7A">
                    <w:rPr>
                      <w:sz w:val="20"/>
                    </w:rPr>
                    <w:t>(CrCL 30-60 mL/min)*</w:t>
                  </w:r>
                </w:p>
              </w:tc>
              <w:tc>
                <w:tcPr>
                  <w:tcW w:w="3451" w:type="dxa"/>
                </w:tcPr>
                <w:p w:rsidR="00EC5B5B" w:rsidRPr="00664C7A" w:rsidRDefault="0025549F" w:rsidP="0025549F">
                  <w:pPr>
                    <w:spacing w:before="120" w:after="120"/>
                    <w:rPr>
                      <w:rFonts w:cs="Arial"/>
                      <w:sz w:val="20"/>
                    </w:rPr>
                  </w:pPr>
                  <w:r w:rsidRPr="00664C7A">
                    <w:rPr>
                      <w:sz w:val="20"/>
                    </w:rPr>
                    <w:t xml:space="preserve">One </w:t>
                  </w:r>
                  <w:r w:rsidR="00EC5B5B" w:rsidRPr="00664C7A">
                    <w:rPr>
                      <w:sz w:val="20"/>
                    </w:rPr>
                    <w:t xml:space="preserve">30mg </w:t>
                  </w:r>
                  <w:r w:rsidRPr="00664C7A">
                    <w:rPr>
                      <w:sz w:val="20"/>
                    </w:rPr>
                    <w:t xml:space="preserve">capsule </w:t>
                  </w:r>
                  <w:r w:rsidR="00775165" w:rsidRPr="00664C7A">
                    <w:rPr>
                      <w:sz w:val="20"/>
                    </w:rPr>
                    <w:t>once a day for 10 days</w:t>
                  </w:r>
                </w:p>
              </w:tc>
            </w:tr>
            <w:tr w:rsidR="00EC5B5B" w:rsidRPr="00664C7A" w:rsidTr="007D4BCA">
              <w:tc>
                <w:tcPr>
                  <w:tcW w:w="3451" w:type="dxa"/>
                </w:tcPr>
                <w:p w:rsidR="00EC5B5B" w:rsidRPr="00664C7A" w:rsidRDefault="005867FD" w:rsidP="00740E72">
                  <w:pPr>
                    <w:spacing w:before="120"/>
                    <w:rPr>
                      <w:rFonts w:cs="Arial"/>
                      <w:sz w:val="20"/>
                    </w:rPr>
                  </w:pPr>
                  <w:r w:rsidRPr="00664C7A">
                    <w:rPr>
                      <w:rFonts w:cs="Arial"/>
                      <w:sz w:val="20"/>
                    </w:rPr>
                    <w:t>Severe i</w:t>
                  </w:r>
                  <w:r w:rsidR="00EC5B5B" w:rsidRPr="00664C7A">
                    <w:rPr>
                      <w:rFonts w:cs="Arial"/>
                      <w:sz w:val="20"/>
                    </w:rPr>
                    <w:t xml:space="preserve">mpairment </w:t>
                  </w:r>
                </w:p>
                <w:p w:rsidR="00EC5B5B" w:rsidRPr="00664C7A" w:rsidRDefault="00EC5B5B" w:rsidP="00740E72">
                  <w:pPr>
                    <w:spacing w:after="120"/>
                    <w:rPr>
                      <w:rFonts w:cs="Arial"/>
                      <w:sz w:val="20"/>
                    </w:rPr>
                  </w:pPr>
                  <w:r w:rsidRPr="00664C7A">
                    <w:rPr>
                      <w:sz w:val="20"/>
                    </w:rPr>
                    <w:t>(CrCL 10-30mL/min)*</w:t>
                  </w:r>
                </w:p>
              </w:tc>
              <w:tc>
                <w:tcPr>
                  <w:tcW w:w="3451" w:type="dxa"/>
                </w:tcPr>
                <w:p w:rsidR="00EC5B5B" w:rsidRPr="00664C7A" w:rsidRDefault="0025549F" w:rsidP="0025549F">
                  <w:pPr>
                    <w:spacing w:before="120" w:after="120"/>
                    <w:rPr>
                      <w:rFonts w:cs="Arial"/>
                      <w:sz w:val="20"/>
                    </w:rPr>
                  </w:pPr>
                  <w:r w:rsidRPr="00664C7A">
                    <w:rPr>
                      <w:sz w:val="20"/>
                    </w:rPr>
                    <w:t xml:space="preserve">One </w:t>
                  </w:r>
                  <w:r w:rsidR="00EC5B5B" w:rsidRPr="00664C7A">
                    <w:rPr>
                      <w:sz w:val="20"/>
                    </w:rPr>
                    <w:t xml:space="preserve">30mg </w:t>
                  </w:r>
                  <w:r w:rsidRPr="00664C7A">
                    <w:rPr>
                      <w:sz w:val="20"/>
                    </w:rPr>
                    <w:t xml:space="preserve">capsule </w:t>
                  </w:r>
                  <w:r w:rsidR="00EC5B5B" w:rsidRPr="00664C7A">
                    <w:rPr>
                      <w:sz w:val="20"/>
                    </w:rPr>
                    <w:t>every 48 hours</w:t>
                  </w:r>
                  <w:r w:rsidR="00775165" w:rsidRPr="00664C7A">
                    <w:rPr>
                      <w:sz w:val="20"/>
                    </w:rPr>
                    <w:t xml:space="preserve"> for 10 days</w:t>
                  </w:r>
                </w:p>
              </w:tc>
            </w:tr>
            <w:tr w:rsidR="00EC5B5B" w:rsidRPr="00664C7A" w:rsidTr="007D4BCA">
              <w:tc>
                <w:tcPr>
                  <w:tcW w:w="3451" w:type="dxa"/>
                </w:tcPr>
                <w:p w:rsidR="00740E72" w:rsidRDefault="00EC5B5B" w:rsidP="00740E72">
                  <w:pPr>
                    <w:spacing w:before="120"/>
                    <w:rPr>
                      <w:sz w:val="20"/>
                    </w:rPr>
                  </w:pPr>
                  <w:r w:rsidRPr="00664C7A">
                    <w:rPr>
                      <w:rFonts w:cs="Arial"/>
                      <w:sz w:val="20"/>
                    </w:rPr>
                    <w:t xml:space="preserve">Established renal failure </w:t>
                  </w:r>
                  <w:r w:rsidRPr="00664C7A">
                    <w:rPr>
                      <w:sz w:val="20"/>
                    </w:rPr>
                    <w:t xml:space="preserve"> </w:t>
                  </w:r>
                </w:p>
                <w:p w:rsidR="00EC5B5B" w:rsidRPr="00664C7A" w:rsidRDefault="00EC5B5B" w:rsidP="00740E72">
                  <w:pPr>
                    <w:spacing w:after="120"/>
                    <w:rPr>
                      <w:rFonts w:cs="Arial"/>
                      <w:sz w:val="20"/>
                    </w:rPr>
                  </w:pPr>
                  <w:r w:rsidRPr="00664C7A">
                    <w:rPr>
                      <w:sz w:val="20"/>
                    </w:rPr>
                    <w:t>(CrCL &lt;10mL/min)</w:t>
                  </w:r>
                  <w:r w:rsidRPr="00664C7A">
                    <w:rPr>
                      <w:sz w:val="20"/>
                      <w:vertAlign w:val="superscript"/>
                    </w:rPr>
                    <w:t>++</w:t>
                  </w:r>
                </w:p>
              </w:tc>
              <w:tc>
                <w:tcPr>
                  <w:tcW w:w="3451" w:type="dxa"/>
                </w:tcPr>
                <w:p w:rsidR="00EC5B5B" w:rsidRPr="00664C7A" w:rsidRDefault="0025549F" w:rsidP="0025549F">
                  <w:pPr>
                    <w:spacing w:before="120" w:after="120"/>
                    <w:rPr>
                      <w:rFonts w:cs="Arial"/>
                      <w:sz w:val="20"/>
                    </w:rPr>
                  </w:pPr>
                  <w:r w:rsidRPr="00664C7A">
                    <w:rPr>
                      <w:sz w:val="20"/>
                    </w:rPr>
                    <w:t xml:space="preserve">One </w:t>
                  </w:r>
                  <w:r w:rsidR="00EC5B5B" w:rsidRPr="00664C7A">
                    <w:rPr>
                      <w:sz w:val="20"/>
                    </w:rPr>
                    <w:t xml:space="preserve">30mg </w:t>
                  </w:r>
                  <w:r w:rsidRPr="00664C7A">
                    <w:rPr>
                      <w:sz w:val="20"/>
                    </w:rPr>
                    <w:t xml:space="preserve">capsule </w:t>
                  </w:r>
                  <w:r w:rsidR="00EC5B5B" w:rsidRPr="00664C7A">
                    <w:rPr>
                      <w:sz w:val="20"/>
                    </w:rPr>
                    <w:t>once, repeated after 7 days</w:t>
                  </w:r>
                </w:p>
              </w:tc>
            </w:tr>
            <w:tr w:rsidR="00EC5B5B" w:rsidRPr="00664C7A" w:rsidTr="007D4BCA">
              <w:tc>
                <w:tcPr>
                  <w:tcW w:w="3451" w:type="dxa"/>
                </w:tcPr>
                <w:p w:rsidR="00EC5B5B" w:rsidRPr="00664C7A" w:rsidRDefault="00EC5B5B" w:rsidP="0025549F">
                  <w:pPr>
                    <w:spacing w:before="120" w:after="120"/>
                    <w:rPr>
                      <w:rFonts w:cs="Arial"/>
                      <w:sz w:val="20"/>
                    </w:rPr>
                  </w:pPr>
                  <w:r w:rsidRPr="00664C7A">
                    <w:rPr>
                      <w:rFonts w:cs="Arial"/>
                      <w:sz w:val="20"/>
                    </w:rPr>
                    <w:t>Haemodialysis</w:t>
                  </w:r>
                  <w:r w:rsidRPr="00664C7A">
                    <w:rPr>
                      <w:sz w:val="20"/>
                      <w:vertAlign w:val="superscript"/>
                    </w:rPr>
                    <w:t>*</w:t>
                  </w:r>
                </w:p>
              </w:tc>
              <w:tc>
                <w:tcPr>
                  <w:tcW w:w="3451" w:type="dxa"/>
                </w:tcPr>
                <w:p w:rsidR="00EC5B5B" w:rsidRPr="00664C7A" w:rsidRDefault="0025549F" w:rsidP="0025549F">
                  <w:pPr>
                    <w:spacing w:before="120" w:after="120"/>
                    <w:rPr>
                      <w:rFonts w:cs="Arial"/>
                      <w:sz w:val="20"/>
                    </w:rPr>
                  </w:pPr>
                  <w:r w:rsidRPr="00664C7A">
                    <w:rPr>
                      <w:sz w:val="20"/>
                    </w:rPr>
                    <w:t xml:space="preserve">One </w:t>
                  </w:r>
                  <w:r w:rsidR="00EC5B5B" w:rsidRPr="00664C7A">
                    <w:rPr>
                      <w:sz w:val="20"/>
                    </w:rPr>
                    <w:t xml:space="preserve">30mg </w:t>
                  </w:r>
                  <w:r w:rsidRPr="00664C7A">
                    <w:rPr>
                      <w:sz w:val="20"/>
                    </w:rPr>
                    <w:t xml:space="preserve">capsule </w:t>
                  </w:r>
                  <w:r w:rsidR="00EC5B5B" w:rsidRPr="00664C7A">
                    <w:rPr>
                      <w:sz w:val="20"/>
                    </w:rPr>
                    <w:t xml:space="preserve">once, and then </w:t>
                  </w:r>
                  <w:r w:rsidRPr="00664C7A">
                    <w:rPr>
                      <w:sz w:val="20"/>
                    </w:rPr>
                    <w:t xml:space="preserve">one </w:t>
                  </w:r>
                  <w:r w:rsidR="00EC5B5B" w:rsidRPr="00664C7A">
                    <w:rPr>
                      <w:sz w:val="20"/>
                    </w:rPr>
                    <w:t xml:space="preserve">30 mg </w:t>
                  </w:r>
                  <w:r w:rsidRPr="00664C7A">
                    <w:rPr>
                      <w:sz w:val="20"/>
                    </w:rPr>
                    <w:t xml:space="preserve">capsule </w:t>
                  </w:r>
                  <w:r w:rsidR="00EC5B5B" w:rsidRPr="00664C7A">
                    <w:rPr>
                      <w:sz w:val="20"/>
                    </w:rPr>
                    <w:t>after every second haemodialysis session</w:t>
                  </w:r>
                </w:p>
              </w:tc>
            </w:tr>
            <w:tr w:rsidR="00EC5B5B" w:rsidRPr="00664C7A" w:rsidTr="007D4BCA">
              <w:tc>
                <w:tcPr>
                  <w:tcW w:w="3451" w:type="dxa"/>
                </w:tcPr>
                <w:p w:rsidR="00EC5B5B" w:rsidRPr="00664C7A" w:rsidRDefault="00EC5B5B" w:rsidP="0025549F">
                  <w:pPr>
                    <w:spacing w:before="120" w:after="120"/>
                    <w:rPr>
                      <w:rFonts w:cs="Arial"/>
                      <w:sz w:val="20"/>
                    </w:rPr>
                  </w:pPr>
                  <w:r w:rsidRPr="00664C7A">
                    <w:rPr>
                      <w:rFonts w:cs="Arial"/>
                      <w:sz w:val="20"/>
                    </w:rPr>
                    <w:t>Peritoneal dialysis</w:t>
                  </w:r>
                  <w:r w:rsidRPr="00664C7A">
                    <w:rPr>
                      <w:sz w:val="20"/>
                      <w:vertAlign w:val="superscript"/>
                    </w:rPr>
                    <w:t>*</w:t>
                  </w:r>
                </w:p>
              </w:tc>
              <w:tc>
                <w:tcPr>
                  <w:tcW w:w="3451" w:type="dxa"/>
                </w:tcPr>
                <w:p w:rsidR="00EC5B5B" w:rsidRPr="00664C7A" w:rsidRDefault="0025549F" w:rsidP="0025549F">
                  <w:pPr>
                    <w:spacing w:before="120" w:after="120"/>
                    <w:rPr>
                      <w:rFonts w:cs="Arial"/>
                      <w:sz w:val="20"/>
                    </w:rPr>
                  </w:pPr>
                  <w:r w:rsidRPr="00664C7A">
                    <w:rPr>
                      <w:sz w:val="20"/>
                    </w:rPr>
                    <w:t xml:space="preserve">One </w:t>
                  </w:r>
                  <w:r w:rsidR="00EC5B5B" w:rsidRPr="00664C7A">
                    <w:rPr>
                      <w:sz w:val="20"/>
                    </w:rPr>
                    <w:t xml:space="preserve">30mg </w:t>
                  </w:r>
                  <w:r w:rsidRPr="00664C7A">
                    <w:rPr>
                      <w:sz w:val="20"/>
                    </w:rPr>
                    <w:t xml:space="preserve">capsule </w:t>
                  </w:r>
                  <w:r w:rsidR="00EC5B5B" w:rsidRPr="00664C7A">
                    <w:rPr>
                      <w:sz w:val="20"/>
                    </w:rPr>
                    <w:t>once, repeated after 7 days</w:t>
                  </w:r>
                </w:p>
              </w:tc>
            </w:tr>
          </w:tbl>
          <w:p w:rsidR="00775165" w:rsidRPr="00664C7A" w:rsidRDefault="00F32A77" w:rsidP="00740E72">
            <w:pPr>
              <w:spacing w:before="120"/>
              <w:rPr>
                <w:sz w:val="20"/>
              </w:rPr>
            </w:pPr>
            <w:r w:rsidRPr="00664C7A">
              <w:rPr>
                <w:sz w:val="20"/>
              </w:rPr>
              <w:t>Source: Summary of Product Characteristics (*). The recommendations for established renal failure are based on expert opinion (++)</w:t>
            </w:r>
          </w:p>
          <w:p w:rsidR="00456065" w:rsidRPr="00664C7A" w:rsidRDefault="00456065" w:rsidP="002E393D">
            <w:pPr>
              <w:rPr>
                <w:sz w:val="20"/>
              </w:rPr>
            </w:pPr>
          </w:p>
          <w:p w:rsidR="00591F91" w:rsidRPr="00664C7A" w:rsidRDefault="00591F91" w:rsidP="00591F91">
            <w:pPr>
              <w:spacing w:after="120"/>
              <w:rPr>
                <w:rFonts w:cs="Arial"/>
              </w:rPr>
            </w:pPr>
            <w:r w:rsidRPr="00664C7A">
              <w:rPr>
                <w:rFonts w:cs="Arial"/>
                <w:sz w:val="22"/>
                <w:szCs w:val="22"/>
              </w:rPr>
              <w:t xml:space="preserve">Patients with no known renal problems should be supplied with a full dose; if there is a history of renal failure supply as per latest documented </w:t>
            </w:r>
            <w:r w:rsidRPr="00664C7A">
              <w:rPr>
                <w:sz w:val="22"/>
                <w:szCs w:val="22"/>
              </w:rPr>
              <w:t>creatinine clearance (CrCL) results.</w:t>
            </w:r>
            <w:r w:rsidRPr="00664C7A">
              <w:rPr>
                <w:rFonts w:cs="Arial"/>
              </w:rPr>
              <w:t xml:space="preserve"> </w:t>
            </w:r>
          </w:p>
          <w:p w:rsidR="00456065" w:rsidRPr="00664C7A" w:rsidRDefault="00456065" w:rsidP="00D22FF8">
            <w:pPr>
              <w:spacing w:before="240"/>
              <w:rPr>
                <w:sz w:val="22"/>
                <w:szCs w:val="22"/>
              </w:rPr>
            </w:pPr>
            <w:r w:rsidRPr="00664C7A">
              <w:rPr>
                <w:sz w:val="22"/>
                <w:szCs w:val="22"/>
              </w:rPr>
              <w:t xml:space="preserve">If the </w:t>
            </w:r>
            <w:r w:rsidR="00591F91" w:rsidRPr="00664C7A">
              <w:rPr>
                <w:sz w:val="22"/>
                <w:szCs w:val="22"/>
              </w:rPr>
              <w:t xml:space="preserve">individual </w:t>
            </w:r>
            <w:r w:rsidRPr="00664C7A">
              <w:rPr>
                <w:sz w:val="22"/>
                <w:szCs w:val="22"/>
              </w:rPr>
              <w:t xml:space="preserve">is definitely known to have chronic renal impairment and </w:t>
            </w:r>
            <w:r w:rsidR="008174DC" w:rsidRPr="00664C7A">
              <w:rPr>
                <w:sz w:val="22"/>
                <w:szCs w:val="22"/>
              </w:rPr>
              <w:t>CrCL</w:t>
            </w:r>
            <w:r w:rsidR="00591F91" w:rsidRPr="00664C7A">
              <w:rPr>
                <w:sz w:val="22"/>
                <w:szCs w:val="22"/>
              </w:rPr>
              <w:t xml:space="preserve"> </w:t>
            </w:r>
            <w:r w:rsidRPr="00664C7A">
              <w:rPr>
                <w:sz w:val="22"/>
                <w:szCs w:val="22"/>
              </w:rPr>
              <w:t>results are not available, consider if the</w:t>
            </w:r>
            <w:r w:rsidR="00FF6DF3" w:rsidRPr="00664C7A">
              <w:rPr>
                <w:sz w:val="22"/>
                <w:szCs w:val="22"/>
              </w:rPr>
              <w:t>y</w:t>
            </w:r>
            <w:r w:rsidR="005867FD" w:rsidRPr="00664C7A">
              <w:rPr>
                <w:sz w:val="22"/>
                <w:szCs w:val="22"/>
              </w:rPr>
              <w:t xml:space="preserve"> </w:t>
            </w:r>
            <w:r w:rsidR="00FF6DF3" w:rsidRPr="00664C7A">
              <w:rPr>
                <w:sz w:val="22"/>
                <w:szCs w:val="22"/>
              </w:rPr>
              <w:t xml:space="preserve">are </w:t>
            </w:r>
            <w:r w:rsidR="005867FD" w:rsidRPr="00664C7A">
              <w:rPr>
                <w:sz w:val="22"/>
                <w:szCs w:val="22"/>
              </w:rPr>
              <w:t>suitable for zanami</w:t>
            </w:r>
            <w:r w:rsidRPr="00664C7A">
              <w:rPr>
                <w:sz w:val="22"/>
                <w:szCs w:val="22"/>
              </w:rPr>
              <w:t>vir prophylaxis (see PGD for zanamivir prophylaxis in care homes).</w:t>
            </w:r>
          </w:p>
          <w:p w:rsidR="00E01AFB" w:rsidRPr="00664C7A" w:rsidRDefault="00A97548" w:rsidP="00E01AFB">
            <w:pPr>
              <w:spacing w:before="60" w:after="60"/>
              <w:ind w:left="34"/>
              <w:rPr>
                <w:rFonts w:cs="Arial"/>
                <w:sz w:val="22"/>
                <w:szCs w:val="22"/>
              </w:rPr>
            </w:pPr>
            <w:r w:rsidRPr="00664C7A">
              <w:rPr>
                <w:rFonts w:cs="Arial"/>
                <w:sz w:val="22"/>
                <w:szCs w:val="22"/>
              </w:rPr>
              <w:t xml:space="preserve">For individuals weighing </w:t>
            </w:r>
            <w:r w:rsidR="0069375D">
              <w:rPr>
                <w:rFonts w:cs="Arial"/>
                <w:sz w:val="22"/>
                <w:szCs w:val="22"/>
              </w:rPr>
              <w:t xml:space="preserve">&gt; 23kg to </w:t>
            </w:r>
            <w:r w:rsidRPr="00664C7A">
              <w:rPr>
                <w:rFonts w:cs="Arial"/>
                <w:sz w:val="22"/>
                <w:szCs w:val="22"/>
              </w:rPr>
              <w:t>40kg:</w:t>
            </w:r>
            <w:r w:rsidR="00E01AFB" w:rsidRPr="00664C7A">
              <w:rPr>
                <w:rFonts w:cs="Arial"/>
                <w:sz w:val="22"/>
                <w:szCs w:val="22"/>
              </w:rPr>
              <w:t xml:space="preserve"> supply 60mg </w:t>
            </w:r>
            <w:r w:rsidR="00FF6DF3" w:rsidRPr="00664C7A">
              <w:rPr>
                <w:rFonts w:cs="Arial"/>
                <w:sz w:val="22"/>
                <w:szCs w:val="22"/>
              </w:rPr>
              <w:t xml:space="preserve">(two 30mg capsules) </w:t>
            </w:r>
            <w:r w:rsidR="0061030D" w:rsidRPr="00664C7A">
              <w:rPr>
                <w:rFonts w:cs="Arial"/>
                <w:sz w:val="22"/>
                <w:szCs w:val="22"/>
              </w:rPr>
              <w:t xml:space="preserve">once a day for 10 days </w:t>
            </w:r>
            <w:r w:rsidR="00E01AFB" w:rsidRPr="00664C7A">
              <w:rPr>
                <w:rFonts w:cs="Arial"/>
                <w:sz w:val="22"/>
                <w:szCs w:val="22"/>
              </w:rPr>
              <w:t xml:space="preserve"> (ref</w:t>
            </w:r>
            <w:r w:rsidRPr="00664C7A">
              <w:rPr>
                <w:rFonts w:cs="Arial"/>
                <w:sz w:val="22"/>
                <w:szCs w:val="22"/>
              </w:rPr>
              <w:t>:</w:t>
            </w:r>
            <w:r w:rsidR="00E01AFB" w:rsidRPr="00664C7A">
              <w:rPr>
                <w:rFonts w:cs="Arial"/>
                <w:sz w:val="22"/>
                <w:szCs w:val="22"/>
              </w:rPr>
              <w:t xml:space="preserve"> PHE </w:t>
            </w:r>
            <w:r w:rsidRPr="00664C7A">
              <w:rPr>
                <w:rFonts w:cs="Arial"/>
                <w:sz w:val="22"/>
                <w:szCs w:val="22"/>
              </w:rPr>
              <w:t xml:space="preserve">guidance on the use of </w:t>
            </w:r>
            <w:r w:rsidR="00E01AFB" w:rsidRPr="00664C7A">
              <w:rPr>
                <w:rFonts w:cs="Arial"/>
                <w:sz w:val="22"/>
                <w:szCs w:val="22"/>
              </w:rPr>
              <w:t xml:space="preserve">antivirals) </w:t>
            </w:r>
            <w:r w:rsidR="00E01AFB" w:rsidRPr="00664C7A">
              <w:rPr>
                <w:rStyle w:val="FootnoteReference"/>
                <w:rFonts w:cs="Arial"/>
                <w:sz w:val="22"/>
                <w:szCs w:val="22"/>
              </w:rPr>
              <w:footnoteReference w:id="9"/>
            </w:r>
            <w:r w:rsidR="00D22FF8">
              <w:rPr>
                <w:rFonts w:cs="Arial"/>
                <w:sz w:val="22"/>
                <w:szCs w:val="22"/>
              </w:rPr>
              <w:t>.</w:t>
            </w:r>
          </w:p>
          <w:p w:rsidR="00775165" w:rsidRPr="00664C7A" w:rsidRDefault="00775165" w:rsidP="00FF6DF3">
            <w:pPr>
              <w:spacing w:before="120" w:after="120"/>
              <w:rPr>
                <w:rFonts w:cs="Arial"/>
                <w:sz w:val="22"/>
                <w:szCs w:val="22"/>
              </w:rPr>
            </w:pPr>
            <w:r w:rsidRPr="00664C7A">
              <w:rPr>
                <w:rFonts w:cs="Arial"/>
                <w:sz w:val="22"/>
                <w:szCs w:val="22"/>
              </w:rPr>
              <w:t xml:space="preserve">The capsules should be taken preferably in the morning with breakfast. </w:t>
            </w:r>
            <w:r w:rsidRPr="00664C7A">
              <w:rPr>
                <w:sz w:val="22"/>
                <w:szCs w:val="22"/>
              </w:rPr>
              <w:t>Taking with food can reduce nausea or vomiting</w:t>
            </w:r>
            <w:r w:rsidR="00E068CB" w:rsidRPr="00664C7A">
              <w:rPr>
                <w:rFonts w:cs="Arial"/>
                <w:sz w:val="22"/>
                <w:szCs w:val="22"/>
              </w:rPr>
              <w:t>.</w:t>
            </w:r>
          </w:p>
        </w:tc>
      </w:tr>
      <w:tr w:rsidR="006D2947" w:rsidRPr="00664C7A" w:rsidTr="00B32ECD">
        <w:tc>
          <w:tcPr>
            <w:tcW w:w="2790" w:type="dxa"/>
            <w:tcBorders>
              <w:bottom w:val="single" w:sz="4" w:space="0" w:color="auto"/>
            </w:tcBorders>
          </w:tcPr>
          <w:p w:rsidR="006D2947" w:rsidRPr="00664C7A" w:rsidRDefault="006D2947" w:rsidP="007E5FE1">
            <w:pPr>
              <w:spacing w:before="120" w:after="120"/>
              <w:rPr>
                <w:rFonts w:cs="Arial"/>
                <w:b/>
                <w:sz w:val="22"/>
                <w:szCs w:val="22"/>
              </w:rPr>
            </w:pPr>
            <w:r w:rsidRPr="00664C7A">
              <w:rPr>
                <w:rFonts w:cs="Arial"/>
                <w:b/>
                <w:sz w:val="22"/>
                <w:szCs w:val="22"/>
              </w:rPr>
              <w:t xml:space="preserve">Duration of </w:t>
            </w:r>
            <w:r w:rsidR="007E5FE1" w:rsidRPr="00664C7A">
              <w:rPr>
                <w:rFonts w:cs="Arial"/>
                <w:b/>
                <w:sz w:val="22"/>
                <w:szCs w:val="22"/>
              </w:rPr>
              <w:t xml:space="preserve">prophylaxis </w:t>
            </w:r>
          </w:p>
        </w:tc>
        <w:tc>
          <w:tcPr>
            <w:tcW w:w="7133" w:type="dxa"/>
            <w:tcBorders>
              <w:bottom w:val="single" w:sz="4" w:space="0" w:color="auto"/>
            </w:tcBorders>
          </w:tcPr>
          <w:p w:rsidR="006D2947" w:rsidRPr="00664C7A" w:rsidRDefault="00775165" w:rsidP="002E393D">
            <w:pPr>
              <w:spacing w:before="120" w:after="120"/>
              <w:rPr>
                <w:rFonts w:cs="Arial"/>
                <w:sz w:val="22"/>
                <w:szCs w:val="22"/>
              </w:rPr>
            </w:pPr>
            <w:r w:rsidRPr="00664C7A">
              <w:rPr>
                <w:rFonts w:cs="Arial"/>
                <w:sz w:val="22"/>
                <w:szCs w:val="22"/>
              </w:rPr>
              <w:t>See dosage schedule above</w:t>
            </w:r>
          </w:p>
        </w:tc>
      </w:tr>
      <w:tr w:rsidR="006D2947" w:rsidRPr="00664C7A" w:rsidTr="00F32A77">
        <w:trPr>
          <w:trHeight w:val="2417"/>
        </w:trPr>
        <w:tc>
          <w:tcPr>
            <w:tcW w:w="2790" w:type="dxa"/>
            <w:tcBorders>
              <w:bottom w:val="single" w:sz="4" w:space="0" w:color="auto"/>
            </w:tcBorders>
          </w:tcPr>
          <w:p w:rsidR="006D2947" w:rsidRPr="00664C7A" w:rsidRDefault="00EB4085" w:rsidP="00FB263B">
            <w:pPr>
              <w:spacing w:before="120" w:after="120"/>
              <w:rPr>
                <w:rFonts w:cs="Arial"/>
                <w:b/>
                <w:sz w:val="22"/>
                <w:szCs w:val="22"/>
              </w:rPr>
            </w:pPr>
            <w:r w:rsidRPr="00664C7A">
              <w:rPr>
                <w:rFonts w:cs="Arial"/>
                <w:b/>
                <w:sz w:val="22"/>
                <w:szCs w:val="22"/>
              </w:rPr>
              <w:t xml:space="preserve">Quantity to be supplied </w:t>
            </w:r>
          </w:p>
        </w:tc>
        <w:tc>
          <w:tcPr>
            <w:tcW w:w="7133" w:type="dxa"/>
            <w:tcBorders>
              <w:bottom w:val="single" w:sz="4" w:space="0" w:color="auto"/>
            </w:tcBorders>
          </w:tcPr>
          <w:p w:rsidR="006D2947" w:rsidRPr="00664C7A" w:rsidRDefault="00045229" w:rsidP="002E393D">
            <w:pPr>
              <w:spacing w:before="120" w:after="120"/>
              <w:rPr>
                <w:rFonts w:cs="Arial"/>
                <w:color w:val="191817"/>
                <w:sz w:val="22"/>
                <w:szCs w:val="22"/>
              </w:rPr>
            </w:pPr>
            <w:r w:rsidRPr="00664C7A">
              <w:rPr>
                <w:rFonts w:cs="Arial"/>
                <w:color w:val="191817"/>
                <w:sz w:val="22"/>
                <w:szCs w:val="22"/>
              </w:rPr>
              <w:t xml:space="preserve">No known chronic renal impairment: </w:t>
            </w:r>
            <w:r w:rsidR="00FB263B" w:rsidRPr="00664C7A">
              <w:rPr>
                <w:rFonts w:cs="Arial"/>
                <w:color w:val="191817"/>
                <w:sz w:val="22"/>
                <w:szCs w:val="22"/>
              </w:rPr>
              <w:t>10 x 75mg capsules</w:t>
            </w:r>
          </w:p>
          <w:p w:rsidR="00045229" w:rsidRPr="00664C7A" w:rsidRDefault="00045229" w:rsidP="002E393D">
            <w:pPr>
              <w:spacing w:before="120" w:after="120"/>
              <w:rPr>
                <w:rFonts w:cs="Arial"/>
                <w:color w:val="191817"/>
                <w:sz w:val="22"/>
                <w:szCs w:val="22"/>
              </w:rPr>
            </w:pPr>
            <w:r w:rsidRPr="00664C7A">
              <w:rPr>
                <w:rFonts w:cs="Arial"/>
                <w:color w:val="191817"/>
                <w:sz w:val="22"/>
                <w:szCs w:val="22"/>
              </w:rPr>
              <w:t xml:space="preserve">Moderate renal impairment: 10 x </w:t>
            </w:r>
            <w:r w:rsidR="00F32A77" w:rsidRPr="00664C7A">
              <w:rPr>
                <w:rFonts w:cs="Arial"/>
                <w:color w:val="191817"/>
                <w:sz w:val="22"/>
                <w:szCs w:val="22"/>
              </w:rPr>
              <w:t>30</w:t>
            </w:r>
            <w:r w:rsidRPr="00664C7A">
              <w:rPr>
                <w:rFonts w:cs="Arial"/>
                <w:color w:val="191817"/>
                <w:sz w:val="22"/>
                <w:szCs w:val="22"/>
              </w:rPr>
              <w:t xml:space="preserve"> mg capsules</w:t>
            </w:r>
          </w:p>
          <w:p w:rsidR="00045229" w:rsidRPr="00664C7A" w:rsidRDefault="00045229" w:rsidP="002E393D">
            <w:pPr>
              <w:spacing w:before="120" w:after="120"/>
              <w:rPr>
                <w:rFonts w:cs="Arial"/>
                <w:color w:val="191817"/>
                <w:sz w:val="22"/>
                <w:szCs w:val="22"/>
              </w:rPr>
            </w:pPr>
            <w:r w:rsidRPr="00664C7A">
              <w:rPr>
                <w:rFonts w:cs="Arial"/>
                <w:color w:val="191817"/>
                <w:sz w:val="22"/>
                <w:szCs w:val="22"/>
              </w:rPr>
              <w:t xml:space="preserve">Severe impairment: </w:t>
            </w:r>
            <w:r w:rsidR="00A41B59" w:rsidRPr="00664C7A">
              <w:rPr>
                <w:rFonts w:cs="Arial"/>
                <w:color w:val="191817"/>
                <w:sz w:val="22"/>
                <w:szCs w:val="22"/>
              </w:rPr>
              <w:t xml:space="preserve"> </w:t>
            </w:r>
            <w:r w:rsidR="00F32A77" w:rsidRPr="00664C7A">
              <w:rPr>
                <w:rFonts w:cs="Arial"/>
                <w:color w:val="191817"/>
                <w:sz w:val="22"/>
                <w:szCs w:val="22"/>
              </w:rPr>
              <w:t>5</w:t>
            </w:r>
            <w:r w:rsidR="00A41B59" w:rsidRPr="00664C7A">
              <w:rPr>
                <w:rFonts w:cs="Arial"/>
                <w:color w:val="191817"/>
                <w:sz w:val="22"/>
                <w:szCs w:val="22"/>
              </w:rPr>
              <w:t xml:space="preserve"> </w:t>
            </w:r>
            <w:r w:rsidRPr="00664C7A">
              <w:rPr>
                <w:rFonts w:cs="Arial"/>
                <w:color w:val="191817"/>
                <w:sz w:val="22"/>
                <w:szCs w:val="22"/>
              </w:rPr>
              <w:t xml:space="preserve">x </w:t>
            </w:r>
            <w:r w:rsidR="00F32A77" w:rsidRPr="00664C7A">
              <w:rPr>
                <w:rFonts w:cs="Arial"/>
                <w:color w:val="191817"/>
                <w:sz w:val="22"/>
                <w:szCs w:val="22"/>
              </w:rPr>
              <w:t>30</w:t>
            </w:r>
            <w:r w:rsidRPr="00664C7A">
              <w:rPr>
                <w:rFonts w:cs="Arial"/>
                <w:color w:val="191817"/>
                <w:sz w:val="22"/>
                <w:szCs w:val="22"/>
              </w:rPr>
              <w:t>mg capsules</w:t>
            </w:r>
          </w:p>
          <w:p w:rsidR="00045229" w:rsidRPr="00664C7A" w:rsidRDefault="00045229" w:rsidP="002E393D">
            <w:pPr>
              <w:spacing w:before="120" w:after="120"/>
              <w:rPr>
                <w:rFonts w:cs="Arial"/>
                <w:color w:val="191817"/>
                <w:sz w:val="22"/>
                <w:szCs w:val="22"/>
              </w:rPr>
            </w:pPr>
            <w:r w:rsidRPr="00664C7A">
              <w:rPr>
                <w:rFonts w:cs="Arial"/>
                <w:color w:val="191817"/>
                <w:sz w:val="22"/>
                <w:szCs w:val="22"/>
              </w:rPr>
              <w:t xml:space="preserve">Established renal failure: </w:t>
            </w:r>
            <w:r w:rsidR="00F32A77" w:rsidRPr="00664C7A">
              <w:rPr>
                <w:rFonts w:cs="Arial"/>
                <w:color w:val="191817"/>
                <w:sz w:val="22"/>
                <w:szCs w:val="22"/>
              </w:rPr>
              <w:t>2</w:t>
            </w:r>
            <w:r w:rsidR="00A41B59" w:rsidRPr="00664C7A">
              <w:rPr>
                <w:rFonts w:cs="Arial"/>
                <w:color w:val="191817"/>
                <w:sz w:val="22"/>
                <w:szCs w:val="22"/>
              </w:rPr>
              <w:t xml:space="preserve"> </w:t>
            </w:r>
            <w:r w:rsidRPr="00664C7A">
              <w:rPr>
                <w:rFonts w:cs="Arial"/>
                <w:color w:val="191817"/>
                <w:sz w:val="22"/>
                <w:szCs w:val="22"/>
              </w:rPr>
              <w:t>x 30mg capsules</w:t>
            </w:r>
          </w:p>
          <w:p w:rsidR="00045229" w:rsidRPr="00664C7A" w:rsidRDefault="00045229" w:rsidP="002E393D">
            <w:pPr>
              <w:spacing w:before="120" w:after="120"/>
              <w:rPr>
                <w:rFonts w:cs="Arial"/>
                <w:color w:val="191817"/>
                <w:sz w:val="22"/>
                <w:szCs w:val="22"/>
              </w:rPr>
            </w:pPr>
            <w:r w:rsidRPr="00664C7A">
              <w:rPr>
                <w:rFonts w:cs="Arial"/>
                <w:color w:val="191817"/>
                <w:sz w:val="22"/>
                <w:szCs w:val="22"/>
              </w:rPr>
              <w:t xml:space="preserve">Haemodialysis: </w:t>
            </w:r>
            <w:r w:rsidR="00F32A77" w:rsidRPr="00664C7A">
              <w:rPr>
                <w:rFonts w:cs="Arial"/>
                <w:color w:val="191817"/>
                <w:sz w:val="22"/>
                <w:szCs w:val="22"/>
              </w:rPr>
              <w:t>see dosage schedule above</w:t>
            </w:r>
          </w:p>
          <w:p w:rsidR="00045229" w:rsidRPr="00664C7A" w:rsidRDefault="00045229" w:rsidP="002E393D">
            <w:pPr>
              <w:spacing w:before="120" w:after="120"/>
              <w:rPr>
                <w:rFonts w:cs="Arial"/>
                <w:color w:val="191817"/>
                <w:sz w:val="22"/>
                <w:szCs w:val="22"/>
              </w:rPr>
            </w:pPr>
            <w:r w:rsidRPr="00664C7A">
              <w:rPr>
                <w:rFonts w:cs="Arial"/>
                <w:color w:val="191817"/>
                <w:sz w:val="22"/>
                <w:szCs w:val="22"/>
              </w:rPr>
              <w:t xml:space="preserve">Peritoneal dialysis: </w:t>
            </w:r>
            <w:r w:rsidR="00F32A77" w:rsidRPr="00664C7A">
              <w:rPr>
                <w:rFonts w:cs="Arial"/>
                <w:color w:val="191817"/>
                <w:sz w:val="22"/>
                <w:szCs w:val="22"/>
              </w:rPr>
              <w:t>2</w:t>
            </w:r>
            <w:r w:rsidRPr="00664C7A">
              <w:rPr>
                <w:rFonts w:cs="Arial"/>
                <w:color w:val="191817"/>
                <w:sz w:val="22"/>
                <w:szCs w:val="22"/>
              </w:rPr>
              <w:t xml:space="preserve"> x 30mg capsules</w:t>
            </w:r>
          </w:p>
          <w:p w:rsidR="00FF6DF3" w:rsidRPr="00664C7A" w:rsidRDefault="00FF6DF3" w:rsidP="00DD0931">
            <w:pPr>
              <w:spacing w:before="120" w:after="120"/>
              <w:rPr>
                <w:rFonts w:cs="Arial"/>
                <w:color w:val="191817"/>
                <w:sz w:val="22"/>
                <w:szCs w:val="22"/>
              </w:rPr>
            </w:pPr>
            <w:r w:rsidRPr="00664C7A">
              <w:rPr>
                <w:rFonts w:cs="Arial"/>
                <w:sz w:val="22"/>
                <w:szCs w:val="22"/>
              </w:rPr>
              <w:t xml:space="preserve">For individuals weighing </w:t>
            </w:r>
            <w:r w:rsidR="00DD0931">
              <w:rPr>
                <w:rFonts w:cs="Arial"/>
                <w:sz w:val="22"/>
                <w:szCs w:val="22"/>
              </w:rPr>
              <w:t xml:space="preserve">&gt;23kg to </w:t>
            </w:r>
            <w:r w:rsidRPr="00664C7A">
              <w:rPr>
                <w:rFonts w:cs="Arial"/>
                <w:sz w:val="22"/>
                <w:szCs w:val="22"/>
              </w:rPr>
              <w:t xml:space="preserve">40kg: </w:t>
            </w:r>
            <w:r w:rsidR="0061030D" w:rsidRPr="00664C7A">
              <w:rPr>
                <w:rFonts w:cs="Arial"/>
                <w:sz w:val="22"/>
                <w:szCs w:val="22"/>
              </w:rPr>
              <w:t>20 x 30mg capsules</w:t>
            </w:r>
          </w:p>
        </w:tc>
      </w:tr>
      <w:tr w:rsidR="00F34CE3" w:rsidRPr="00664C7A" w:rsidTr="00B32ECD">
        <w:tc>
          <w:tcPr>
            <w:tcW w:w="2790" w:type="dxa"/>
            <w:tcBorders>
              <w:bottom w:val="single" w:sz="4" w:space="0" w:color="auto"/>
            </w:tcBorders>
          </w:tcPr>
          <w:p w:rsidR="00F34CE3" w:rsidRPr="00664C7A" w:rsidRDefault="00F34CE3" w:rsidP="006F4906">
            <w:pPr>
              <w:spacing w:before="120" w:after="120"/>
              <w:rPr>
                <w:rFonts w:cs="Arial"/>
                <w:b/>
                <w:sz w:val="22"/>
                <w:szCs w:val="22"/>
              </w:rPr>
            </w:pPr>
            <w:r w:rsidRPr="00664C7A">
              <w:rPr>
                <w:rFonts w:cs="Arial"/>
                <w:b/>
                <w:sz w:val="22"/>
                <w:szCs w:val="22"/>
              </w:rPr>
              <w:t>Storage</w:t>
            </w:r>
          </w:p>
        </w:tc>
        <w:tc>
          <w:tcPr>
            <w:tcW w:w="7133" w:type="dxa"/>
            <w:tcBorders>
              <w:bottom w:val="single" w:sz="4" w:space="0" w:color="auto"/>
            </w:tcBorders>
          </w:tcPr>
          <w:p w:rsidR="00F34CE3" w:rsidRPr="00664C7A" w:rsidRDefault="00FB263B" w:rsidP="002E393D">
            <w:pPr>
              <w:pStyle w:val="Header"/>
              <w:tabs>
                <w:tab w:val="clear" w:pos="4153"/>
                <w:tab w:val="clear" w:pos="8306"/>
              </w:tabs>
              <w:spacing w:before="120" w:after="120"/>
              <w:rPr>
                <w:rFonts w:ascii="Arial" w:hAnsi="Arial" w:cs="Arial"/>
                <w:sz w:val="22"/>
                <w:szCs w:val="22"/>
              </w:rPr>
            </w:pPr>
            <w:r w:rsidRPr="00664C7A">
              <w:rPr>
                <w:rFonts w:ascii="Arial" w:hAnsi="Arial" w:cs="Arial"/>
                <w:color w:val="000000"/>
                <w:sz w:val="22"/>
                <w:szCs w:val="22"/>
              </w:rPr>
              <w:t>Do not store above 25</w:t>
            </w:r>
            <w:r w:rsidRPr="00664C7A">
              <w:rPr>
                <w:rFonts w:ascii="Arial" w:hAnsi="Arial" w:cs="Arial"/>
                <w:color w:val="000000"/>
                <w:sz w:val="22"/>
                <w:szCs w:val="22"/>
                <w:vertAlign w:val="superscript"/>
              </w:rPr>
              <w:t>o</w:t>
            </w:r>
            <w:r w:rsidRPr="00664C7A">
              <w:rPr>
                <w:rFonts w:ascii="Arial" w:hAnsi="Arial" w:cs="Arial"/>
                <w:color w:val="000000"/>
                <w:sz w:val="22"/>
                <w:szCs w:val="22"/>
              </w:rPr>
              <w:t>C</w:t>
            </w:r>
          </w:p>
        </w:tc>
      </w:tr>
      <w:tr w:rsidR="00F34CE3" w:rsidRPr="00664C7A" w:rsidTr="00B32ECD">
        <w:tc>
          <w:tcPr>
            <w:tcW w:w="2790" w:type="dxa"/>
            <w:tcBorders>
              <w:bottom w:val="single" w:sz="4" w:space="0" w:color="auto"/>
            </w:tcBorders>
          </w:tcPr>
          <w:p w:rsidR="00F34CE3" w:rsidRPr="00664C7A" w:rsidRDefault="00F34CE3" w:rsidP="007E045E">
            <w:pPr>
              <w:spacing w:before="120" w:after="120"/>
              <w:rPr>
                <w:rFonts w:cs="Arial"/>
                <w:b/>
                <w:sz w:val="22"/>
                <w:szCs w:val="22"/>
              </w:rPr>
            </w:pPr>
            <w:r w:rsidRPr="00664C7A">
              <w:rPr>
                <w:rFonts w:cs="Arial"/>
                <w:b/>
                <w:sz w:val="22"/>
                <w:szCs w:val="22"/>
              </w:rPr>
              <w:t>Disposal</w:t>
            </w:r>
          </w:p>
        </w:tc>
        <w:tc>
          <w:tcPr>
            <w:tcW w:w="7133" w:type="dxa"/>
            <w:tcBorders>
              <w:bottom w:val="single" w:sz="4" w:space="0" w:color="auto"/>
            </w:tcBorders>
          </w:tcPr>
          <w:p w:rsidR="00F34CE3" w:rsidRPr="00664C7A" w:rsidRDefault="00FB263B" w:rsidP="002E393D">
            <w:pPr>
              <w:spacing w:before="120" w:after="120"/>
              <w:rPr>
                <w:rFonts w:cs="Arial"/>
                <w:sz w:val="22"/>
                <w:szCs w:val="22"/>
              </w:rPr>
            </w:pPr>
            <w:r w:rsidRPr="00664C7A">
              <w:rPr>
                <w:rFonts w:cs="Arial"/>
                <w:color w:val="000000"/>
                <w:sz w:val="22"/>
                <w:szCs w:val="22"/>
              </w:rPr>
              <w:t>Any unused product or waste material should be disposed of in accordance with local requirements.</w:t>
            </w:r>
          </w:p>
        </w:tc>
      </w:tr>
      <w:tr w:rsidR="00F34CE3" w:rsidRPr="00664C7A" w:rsidTr="00E068CB">
        <w:tc>
          <w:tcPr>
            <w:tcW w:w="2790" w:type="dxa"/>
          </w:tcPr>
          <w:p w:rsidR="00F34CE3" w:rsidRPr="00664C7A" w:rsidRDefault="00F34CE3" w:rsidP="007E045E">
            <w:pPr>
              <w:spacing w:before="120" w:after="120"/>
              <w:rPr>
                <w:rFonts w:ascii="Times New Roman" w:hAnsi="Times New Roman" w:cs="Arial"/>
                <w:b/>
                <w:sz w:val="22"/>
                <w:szCs w:val="22"/>
                <w:vertAlign w:val="superscript"/>
              </w:rPr>
            </w:pPr>
            <w:r w:rsidRPr="00664C7A">
              <w:rPr>
                <w:rFonts w:cs="Arial"/>
                <w:b/>
                <w:sz w:val="22"/>
                <w:szCs w:val="22"/>
              </w:rPr>
              <w:t xml:space="preserve">Drug </w:t>
            </w:r>
            <w:r w:rsidR="00CA1563" w:rsidRPr="00664C7A">
              <w:rPr>
                <w:rFonts w:cs="Arial"/>
                <w:b/>
                <w:sz w:val="22"/>
                <w:szCs w:val="22"/>
              </w:rPr>
              <w:t>i</w:t>
            </w:r>
            <w:r w:rsidRPr="00664C7A">
              <w:rPr>
                <w:rFonts w:cs="Arial"/>
                <w:b/>
                <w:sz w:val="22"/>
                <w:szCs w:val="22"/>
              </w:rPr>
              <w:t>nteractions</w:t>
            </w:r>
          </w:p>
        </w:tc>
        <w:tc>
          <w:tcPr>
            <w:tcW w:w="7133" w:type="dxa"/>
          </w:tcPr>
          <w:p w:rsidR="00707F92" w:rsidRPr="00664C7A" w:rsidRDefault="00707F92" w:rsidP="002E393D">
            <w:pPr>
              <w:spacing w:before="120" w:after="120"/>
              <w:rPr>
                <w:rFonts w:cs="Arial"/>
                <w:sz w:val="22"/>
                <w:szCs w:val="22"/>
              </w:rPr>
            </w:pPr>
            <w:r w:rsidRPr="00664C7A">
              <w:rPr>
                <w:rFonts w:cs="Arial"/>
                <w:sz w:val="22"/>
                <w:szCs w:val="22"/>
              </w:rPr>
              <w:t>Patients taking the following medicines are excluded from this PGD:</w:t>
            </w:r>
          </w:p>
          <w:p w:rsidR="00707F92" w:rsidRPr="00664C7A" w:rsidRDefault="00686DF1" w:rsidP="002E393D">
            <w:pPr>
              <w:pStyle w:val="ListParagraph"/>
              <w:numPr>
                <w:ilvl w:val="0"/>
                <w:numId w:val="9"/>
              </w:numPr>
              <w:spacing w:before="120" w:after="120"/>
              <w:rPr>
                <w:rFonts w:cs="Arial"/>
                <w:sz w:val="22"/>
                <w:szCs w:val="22"/>
              </w:rPr>
            </w:pPr>
            <w:r w:rsidRPr="00664C7A">
              <w:rPr>
                <w:rFonts w:cs="Arial"/>
                <w:sz w:val="22"/>
                <w:szCs w:val="22"/>
              </w:rPr>
              <w:t>c</w:t>
            </w:r>
            <w:r w:rsidR="00707F92" w:rsidRPr="00664C7A">
              <w:rPr>
                <w:rFonts w:cs="Arial"/>
                <w:sz w:val="22"/>
                <w:szCs w:val="22"/>
              </w:rPr>
              <w:t>hlorpropamide</w:t>
            </w:r>
          </w:p>
          <w:p w:rsidR="00707F92" w:rsidRPr="00664C7A" w:rsidRDefault="00686DF1" w:rsidP="002E393D">
            <w:pPr>
              <w:pStyle w:val="ListParagraph"/>
              <w:numPr>
                <w:ilvl w:val="0"/>
                <w:numId w:val="9"/>
              </w:numPr>
              <w:spacing w:before="120" w:after="120"/>
              <w:rPr>
                <w:rFonts w:cs="Arial"/>
                <w:sz w:val="22"/>
                <w:szCs w:val="22"/>
              </w:rPr>
            </w:pPr>
            <w:r w:rsidRPr="00664C7A">
              <w:rPr>
                <w:rFonts w:cs="Arial"/>
                <w:sz w:val="22"/>
                <w:szCs w:val="22"/>
              </w:rPr>
              <w:t>m</w:t>
            </w:r>
            <w:r w:rsidR="00707F92" w:rsidRPr="00664C7A">
              <w:rPr>
                <w:rFonts w:cs="Arial"/>
                <w:sz w:val="22"/>
                <w:szCs w:val="22"/>
              </w:rPr>
              <w:t>ethotrexate</w:t>
            </w:r>
          </w:p>
          <w:p w:rsidR="00F34CE3" w:rsidRPr="00664C7A" w:rsidRDefault="00686DF1" w:rsidP="002E393D">
            <w:pPr>
              <w:pStyle w:val="ListParagraph"/>
              <w:numPr>
                <w:ilvl w:val="0"/>
                <w:numId w:val="9"/>
              </w:numPr>
              <w:spacing w:before="120" w:after="120"/>
              <w:rPr>
                <w:rFonts w:cs="Arial"/>
                <w:sz w:val="22"/>
                <w:szCs w:val="22"/>
              </w:rPr>
            </w:pPr>
            <w:r w:rsidRPr="00664C7A">
              <w:rPr>
                <w:rFonts w:cs="Arial"/>
                <w:sz w:val="22"/>
                <w:szCs w:val="22"/>
              </w:rPr>
              <w:t>p</w:t>
            </w:r>
            <w:r w:rsidR="00707F92" w:rsidRPr="00664C7A">
              <w:rPr>
                <w:rFonts w:cs="Arial"/>
                <w:sz w:val="22"/>
                <w:szCs w:val="22"/>
              </w:rPr>
              <w:t>henylbutazone</w:t>
            </w:r>
          </w:p>
        </w:tc>
      </w:tr>
      <w:tr w:rsidR="00E068CB" w:rsidRPr="00664C7A" w:rsidTr="00E068CB">
        <w:tc>
          <w:tcPr>
            <w:tcW w:w="2790" w:type="dxa"/>
          </w:tcPr>
          <w:p w:rsidR="00E068CB" w:rsidRPr="00664C7A" w:rsidRDefault="00E068CB" w:rsidP="00300EFA">
            <w:pPr>
              <w:spacing w:before="120" w:after="120"/>
              <w:rPr>
                <w:rFonts w:cs="Arial"/>
                <w:b/>
                <w:sz w:val="22"/>
                <w:szCs w:val="22"/>
              </w:rPr>
            </w:pPr>
            <w:r w:rsidRPr="00664C7A">
              <w:rPr>
                <w:rFonts w:cs="Arial"/>
                <w:b/>
                <w:sz w:val="22"/>
                <w:szCs w:val="22"/>
              </w:rPr>
              <w:t>Identification &amp; management of adverse reactions</w:t>
            </w:r>
          </w:p>
          <w:p w:rsidR="00E068CB" w:rsidRPr="00664C7A" w:rsidRDefault="00E068CB" w:rsidP="00300EFA">
            <w:pPr>
              <w:spacing w:before="120" w:after="120"/>
              <w:rPr>
                <w:rFonts w:cs="Arial"/>
                <w:b/>
                <w:sz w:val="22"/>
                <w:szCs w:val="22"/>
              </w:rPr>
            </w:pPr>
          </w:p>
        </w:tc>
        <w:tc>
          <w:tcPr>
            <w:tcW w:w="7133" w:type="dxa"/>
          </w:tcPr>
          <w:p w:rsidR="00E068CB" w:rsidRPr="00664C7A" w:rsidRDefault="00E068CB" w:rsidP="002E393D">
            <w:pPr>
              <w:pStyle w:val="Header"/>
              <w:spacing w:before="60" w:after="60"/>
              <w:rPr>
                <w:rFonts w:ascii="Arial" w:hAnsi="Arial" w:cs="Arial"/>
                <w:sz w:val="22"/>
                <w:szCs w:val="22"/>
              </w:rPr>
            </w:pPr>
            <w:r w:rsidRPr="00664C7A">
              <w:rPr>
                <w:rFonts w:ascii="Arial" w:hAnsi="Arial" w:cs="Arial"/>
                <w:sz w:val="22"/>
                <w:szCs w:val="22"/>
              </w:rPr>
              <w:t>Frequently reported adverse reactions include nausea, vomiting, abdominal pain and dyspepsia.</w:t>
            </w:r>
          </w:p>
          <w:p w:rsidR="00E068CB" w:rsidRPr="00664C7A" w:rsidRDefault="00E068CB" w:rsidP="002E393D">
            <w:pPr>
              <w:pStyle w:val="Header"/>
              <w:tabs>
                <w:tab w:val="clear" w:pos="4153"/>
                <w:tab w:val="clear" w:pos="8306"/>
              </w:tabs>
              <w:spacing w:after="120"/>
              <w:rPr>
                <w:rFonts w:ascii="Arial" w:hAnsi="Arial" w:cs="Arial"/>
                <w:sz w:val="22"/>
                <w:szCs w:val="22"/>
              </w:rPr>
            </w:pPr>
            <w:r w:rsidRPr="00664C7A">
              <w:rPr>
                <w:rFonts w:ascii="Arial" w:hAnsi="Arial" w:cs="Arial"/>
                <w:sz w:val="22"/>
                <w:szCs w:val="22"/>
              </w:rPr>
              <w:t>If a</w:t>
            </w:r>
            <w:r w:rsidR="00152DDD" w:rsidRPr="00664C7A">
              <w:rPr>
                <w:rFonts w:ascii="Arial" w:hAnsi="Arial" w:cs="Arial"/>
                <w:sz w:val="22"/>
                <w:szCs w:val="22"/>
              </w:rPr>
              <w:t>n individual</w:t>
            </w:r>
            <w:r w:rsidRPr="00664C7A">
              <w:rPr>
                <w:rFonts w:ascii="Arial" w:hAnsi="Arial" w:cs="Arial"/>
                <w:sz w:val="22"/>
                <w:szCs w:val="22"/>
              </w:rPr>
              <w:t xml:space="preserve"> experiences any of these adverse reactions they may only occur on a single occasion, on either the first or second treatment day, and resolve spontaneously within one to two days. However, if symptoms persist </w:t>
            </w:r>
            <w:r w:rsidR="00314532" w:rsidRPr="00664C7A">
              <w:rPr>
                <w:rFonts w:ascii="Arial" w:hAnsi="Arial" w:cs="Arial"/>
                <w:sz w:val="22"/>
                <w:szCs w:val="22"/>
              </w:rPr>
              <w:t xml:space="preserve">individuals </w:t>
            </w:r>
            <w:r w:rsidRPr="00664C7A">
              <w:rPr>
                <w:rFonts w:ascii="Arial" w:hAnsi="Arial" w:cs="Arial"/>
                <w:sz w:val="22"/>
                <w:szCs w:val="22"/>
              </w:rPr>
              <w:t>should consult a healthcare professional.</w:t>
            </w:r>
          </w:p>
          <w:p w:rsidR="00E068CB" w:rsidRPr="00664C7A" w:rsidRDefault="00314532" w:rsidP="002E393D">
            <w:pPr>
              <w:pStyle w:val="Header"/>
              <w:rPr>
                <w:rFonts w:ascii="Arial" w:hAnsi="Arial" w:cs="Arial"/>
                <w:sz w:val="22"/>
                <w:szCs w:val="22"/>
              </w:rPr>
            </w:pPr>
            <w:r w:rsidRPr="00664C7A">
              <w:rPr>
                <w:rFonts w:ascii="Arial" w:hAnsi="Arial" w:cs="Arial"/>
                <w:sz w:val="22"/>
                <w:szCs w:val="22"/>
              </w:rPr>
              <w:t xml:space="preserve">Individuals </w:t>
            </w:r>
            <w:r w:rsidR="00E068CB" w:rsidRPr="00664C7A">
              <w:rPr>
                <w:rFonts w:ascii="Arial" w:hAnsi="Arial" w:cs="Arial"/>
                <w:sz w:val="22"/>
                <w:szCs w:val="22"/>
              </w:rPr>
              <w:t xml:space="preserve">should be advised not to discontinue treatment without consulting a doctor or pharmacist. </w:t>
            </w:r>
          </w:p>
          <w:p w:rsidR="00E068CB" w:rsidRPr="00664C7A" w:rsidRDefault="00E068CB" w:rsidP="002E393D">
            <w:pPr>
              <w:pStyle w:val="Header"/>
              <w:spacing w:before="60" w:after="60"/>
              <w:rPr>
                <w:rFonts w:ascii="Arial" w:hAnsi="Arial" w:cs="Arial"/>
                <w:sz w:val="22"/>
                <w:szCs w:val="22"/>
              </w:rPr>
            </w:pPr>
            <w:r w:rsidRPr="00664C7A">
              <w:rPr>
                <w:rFonts w:ascii="Arial" w:hAnsi="Arial" w:cs="Arial"/>
                <w:sz w:val="22"/>
                <w:szCs w:val="22"/>
              </w:rPr>
              <w:t>Other commonly reported adverse reactions include bronchitis, dizziness (including vertigo), fatigue, headache, insomnia, herpes simplex, nasopharyngitis, upper respiratory tract infections, sinusitis, cough, sore throat, pyrexia, rhinorrhoea, limb pain, pain.</w:t>
            </w:r>
          </w:p>
          <w:p w:rsidR="00E068CB" w:rsidRPr="00664C7A" w:rsidRDefault="00E068CB" w:rsidP="002E393D">
            <w:pPr>
              <w:spacing w:before="120" w:after="240"/>
              <w:ind w:right="62"/>
              <w:contextualSpacing/>
              <w:rPr>
                <w:rFonts w:cs="Arial"/>
                <w:sz w:val="22"/>
                <w:szCs w:val="22"/>
              </w:rPr>
            </w:pPr>
            <w:r w:rsidRPr="00664C7A">
              <w:rPr>
                <w:rFonts w:cs="Arial"/>
                <w:sz w:val="22"/>
                <w:szCs w:val="22"/>
              </w:rPr>
              <w:t>A</w:t>
            </w:r>
            <w:r w:rsidRPr="00664C7A">
              <w:rPr>
                <w:rFonts w:cs="Arial"/>
                <w:spacing w:val="2"/>
                <w:sz w:val="22"/>
                <w:szCs w:val="22"/>
              </w:rPr>
              <w:t xml:space="preserve"> </w:t>
            </w:r>
            <w:r w:rsidRPr="00664C7A">
              <w:rPr>
                <w:rFonts w:cs="Arial"/>
                <w:spacing w:val="-2"/>
                <w:sz w:val="22"/>
                <w:szCs w:val="22"/>
              </w:rPr>
              <w:t>detaile</w:t>
            </w:r>
            <w:r w:rsidRPr="00664C7A">
              <w:rPr>
                <w:rFonts w:cs="Arial"/>
                <w:sz w:val="22"/>
                <w:szCs w:val="22"/>
              </w:rPr>
              <w:t>d</w:t>
            </w:r>
            <w:r w:rsidRPr="00664C7A">
              <w:rPr>
                <w:rFonts w:cs="Arial"/>
                <w:spacing w:val="2"/>
                <w:sz w:val="22"/>
                <w:szCs w:val="22"/>
              </w:rPr>
              <w:t xml:space="preserve"> </w:t>
            </w:r>
            <w:r w:rsidRPr="00664C7A">
              <w:rPr>
                <w:rFonts w:cs="Arial"/>
                <w:spacing w:val="-2"/>
                <w:sz w:val="22"/>
                <w:szCs w:val="22"/>
              </w:rPr>
              <w:t>list o</w:t>
            </w:r>
            <w:r w:rsidRPr="00664C7A">
              <w:rPr>
                <w:rFonts w:cs="Arial"/>
                <w:sz w:val="22"/>
                <w:szCs w:val="22"/>
              </w:rPr>
              <w:t>f</w:t>
            </w:r>
            <w:r w:rsidRPr="00664C7A">
              <w:rPr>
                <w:rFonts w:cs="Arial"/>
                <w:spacing w:val="8"/>
                <w:sz w:val="22"/>
                <w:szCs w:val="22"/>
              </w:rPr>
              <w:t xml:space="preserve"> </w:t>
            </w:r>
            <w:r w:rsidRPr="00664C7A">
              <w:rPr>
                <w:rFonts w:cs="Arial"/>
                <w:spacing w:val="-2"/>
                <w:sz w:val="22"/>
                <w:szCs w:val="22"/>
              </w:rPr>
              <w:t>ad</w:t>
            </w:r>
            <w:r w:rsidRPr="00664C7A">
              <w:rPr>
                <w:rFonts w:cs="Arial"/>
                <w:spacing w:val="-5"/>
                <w:sz w:val="22"/>
                <w:szCs w:val="22"/>
              </w:rPr>
              <w:t>v</w:t>
            </w:r>
            <w:r w:rsidRPr="00664C7A">
              <w:rPr>
                <w:rFonts w:cs="Arial"/>
                <w:spacing w:val="-2"/>
                <w:sz w:val="22"/>
                <w:szCs w:val="22"/>
              </w:rPr>
              <w:t>ers</w:t>
            </w:r>
            <w:r w:rsidRPr="00664C7A">
              <w:rPr>
                <w:rFonts w:cs="Arial"/>
                <w:sz w:val="22"/>
                <w:szCs w:val="22"/>
              </w:rPr>
              <w:t>e</w:t>
            </w:r>
            <w:r w:rsidRPr="00664C7A">
              <w:rPr>
                <w:rFonts w:cs="Arial"/>
                <w:spacing w:val="8"/>
                <w:sz w:val="22"/>
                <w:szCs w:val="22"/>
              </w:rPr>
              <w:t xml:space="preserve"> </w:t>
            </w:r>
            <w:r w:rsidRPr="00664C7A">
              <w:rPr>
                <w:rFonts w:cs="Arial"/>
                <w:spacing w:val="-2"/>
                <w:sz w:val="22"/>
                <w:szCs w:val="22"/>
              </w:rPr>
              <w:t>reaction</w:t>
            </w:r>
            <w:r w:rsidRPr="00664C7A">
              <w:rPr>
                <w:rFonts w:cs="Arial"/>
                <w:sz w:val="22"/>
                <w:szCs w:val="22"/>
              </w:rPr>
              <w:t>s</w:t>
            </w:r>
            <w:r w:rsidRPr="00664C7A">
              <w:rPr>
                <w:rFonts w:cs="Arial"/>
                <w:spacing w:val="8"/>
                <w:sz w:val="22"/>
                <w:szCs w:val="22"/>
              </w:rPr>
              <w:t xml:space="preserve"> </w:t>
            </w:r>
            <w:r w:rsidRPr="00664C7A">
              <w:rPr>
                <w:rFonts w:cs="Arial"/>
                <w:spacing w:val="-2"/>
                <w:sz w:val="22"/>
                <w:szCs w:val="22"/>
              </w:rPr>
              <w:t>i</w:t>
            </w:r>
            <w:r w:rsidRPr="00664C7A">
              <w:rPr>
                <w:rFonts w:cs="Arial"/>
                <w:sz w:val="22"/>
                <w:szCs w:val="22"/>
              </w:rPr>
              <w:t>s</w:t>
            </w:r>
            <w:r w:rsidRPr="00664C7A">
              <w:rPr>
                <w:rFonts w:cs="Arial"/>
                <w:spacing w:val="8"/>
                <w:sz w:val="22"/>
                <w:szCs w:val="22"/>
              </w:rPr>
              <w:t xml:space="preserve"> </w:t>
            </w:r>
            <w:r w:rsidRPr="00664C7A">
              <w:rPr>
                <w:rFonts w:cs="Arial"/>
                <w:spacing w:val="-9"/>
                <w:sz w:val="22"/>
                <w:szCs w:val="22"/>
              </w:rPr>
              <w:t>a</w:t>
            </w:r>
            <w:r w:rsidRPr="00664C7A">
              <w:rPr>
                <w:rFonts w:cs="Arial"/>
                <w:spacing w:val="-7"/>
                <w:sz w:val="22"/>
                <w:szCs w:val="22"/>
              </w:rPr>
              <w:t>v</w:t>
            </w:r>
            <w:r w:rsidRPr="00664C7A">
              <w:rPr>
                <w:rFonts w:cs="Arial"/>
                <w:spacing w:val="-2"/>
                <w:sz w:val="22"/>
                <w:szCs w:val="22"/>
              </w:rPr>
              <w:t>aila</w:t>
            </w:r>
            <w:r w:rsidRPr="00664C7A">
              <w:rPr>
                <w:rFonts w:cs="Arial"/>
                <w:spacing w:val="-6"/>
                <w:sz w:val="22"/>
                <w:szCs w:val="22"/>
              </w:rPr>
              <w:t>b</w:t>
            </w:r>
            <w:r w:rsidRPr="00664C7A">
              <w:rPr>
                <w:rFonts w:cs="Arial"/>
                <w:spacing w:val="-2"/>
                <w:sz w:val="22"/>
                <w:szCs w:val="22"/>
              </w:rPr>
              <w:t>l</w:t>
            </w:r>
            <w:r w:rsidRPr="00664C7A">
              <w:rPr>
                <w:rFonts w:cs="Arial"/>
                <w:sz w:val="22"/>
                <w:szCs w:val="22"/>
              </w:rPr>
              <w:t>e</w:t>
            </w:r>
            <w:r w:rsidRPr="00664C7A">
              <w:rPr>
                <w:rFonts w:cs="Arial"/>
                <w:spacing w:val="8"/>
                <w:sz w:val="22"/>
                <w:szCs w:val="22"/>
              </w:rPr>
              <w:t xml:space="preserve"> </w:t>
            </w:r>
            <w:r w:rsidRPr="00664C7A">
              <w:rPr>
                <w:rFonts w:cs="Arial"/>
                <w:spacing w:val="-2"/>
                <w:sz w:val="22"/>
                <w:szCs w:val="22"/>
              </w:rPr>
              <w:t>i</w:t>
            </w:r>
            <w:r w:rsidRPr="00664C7A">
              <w:rPr>
                <w:rFonts w:cs="Arial"/>
                <w:sz w:val="22"/>
                <w:szCs w:val="22"/>
              </w:rPr>
              <w:t>n</w:t>
            </w:r>
            <w:r w:rsidRPr="00664C7A">
              <w:rPr>
                <w:rFonts w:cs="Arial"/>
                <w:spacing w:val="8"/>
                <w:sz w:val="22"/>
                <w:szCs w:val="22"/>
              </w:rPr>
              <w:t xml:space="preserve"> </w:t>
            </w:r>
            <w:r w:rsidRPr="00664C7A">
              <w:rPr>
                <w:rFonts w:cs="Arial"/>
                <w:spacing w:val="-2"/>
                <w:sz w:val="22"/>
                <w:szCs w:val="22"/>
              </w:rPr>
              <w:t>th</w:t>
            </w:r>
            <w:r w:rsidRPr="00664C7A">
              <w:rPr>
                <w:rFonts w:cs="Arial"/>
                <w:sz w:val="22"/>
                <w:szCs w:val="22"/>
              </w:rPr>
              <w:t>e</w:t>
            </w:r>
            <w:r w:rsidRPr="00664C7A">
              <w:rPr>
                <w:rFonts w:cs="Arial"/>
                <w:spacing w:val="8"/>
                <w:sz w:val="22"/>
                <w:szCs w:val="22"/>
              </w:rPr>
              <w:t xml:space="preserve"> </w:t>
            </w:r>
            <w:r w:rsidRPr="00664C7A">
              <w:rPr>
                <w:rFonts w:cs="Arial"/>
                <w:spacing w:val="-2"/>
                <w:sz w:val="22"/>
                <w:szCs w:val="22"/>
              </w:rPr>
              <w:t>Summa</w:t>
            </w:r>
            <w:r w:rsidRPr="00664C7A">
              <w:rPr>
                <w:rFonts w:cs="Arial"/>
                <w:spacing w:val="2"/>
                <w:sz w:val="22"/>
                <w:szCs w:val="22"/>
              </w:rPr>
              <w:t>r</w:t>
            </w:r>
            <w:r w:rsidRPr="00664C7A">
              <w:rPr>
                <w:rFonts w:cs="Arial"/>
                <w:sz w:val="22"/>
                <w:szCs w:val="22"/>
              </w:rPr>
              <w:t>y</w:t>
            </w:r>
            <w:r w:rsidRPr="00664C7A">
              <w:rPr>
                <w:rFonts w:cs="Arial"/>
                <w:spacing w:val="8"/>
                <w:sz w:val="22"/>
                <w:szCs w:val="22"/>
              </w:rPr>
              <w:t xml:space="preserve"> </w:t>
            </w:r>
            <w:r w:rsidRPr="00664C7A">
              <w:rPr>
                <w:rFonts w:cs="Arial"/>
                <w:spacing w:val="-2"/>
                <w:sz w:val="22"/>
                <w:szCs w:val="22"/>
              </w:rPr>
              <w:t>of Produc</w:t>
            </w:r>
            <w:r w:rsidRPr="00664C7A">
              <w:rPr>
                <w:rFonts w:cs="Arial"/>
                <w:sz w:val="22"/>
                <w:szCs w:val="22"/>
              </w:rPr>
              <w:t xml:space="preserve">t </w:t>
            </w:r>
            <w:r w:rsidRPr="00664C7A">
              <w:rPr>
                <w:rFonts w:cs="Arial"/>
                <w:spacing w:val="-2"/>
                <w:sz w:val="22"/>
                <w:szCs w:val="22"/>
              </w:rPr>
              <w:t>Characteristic</w:t>
            </w:r>
            <w:r w:rsidRPr="00664C7A">
              <w:rPr>
                <w:rFonts w:cs="Arial"/>
                <w:sz w:val="22"/>
                <w:szCs w:val="22"/>
              </w:rPr>
              <w:t xml:space="preserve">s, </w:t>
            </w:r>
            <w:r w:rsidRPr="00664C7A">
              <w:rPr>
                <w:rFonts w:cs="Arial"/>
                <w:spacing w:val="-6"/>
                <w:sz w:val="22"/>
                <w:szCs w:val="22"/>
              </w:rPr>
              <w:t>w</w:t>
            </w:r>
            <w:r w:rsidRPr="00664C7A">
              <w:rPr>
                <w:rFonts w:cs="Arial"/>
                <w:spacing w:val="-2"/>
                <w:sz w:val="22"/>
                <w:szCs w:val="22"/>
              </w:rPr>
              <w:t>hic</w:t>
            </w:r>
            <w:r w:rsidRPr="00664C7A">
              <w:rPr>
                <w:rFonts w:cs="Arial"/>
                <w:sz w:val="22"/>
                <w:szCs w:val="22"/>
              </w:rPr>
              <w:t xml:space="preserve">h </w:t>
            </w:r>
            <w:r w:rsidRPr="00664C7A">
              <w:rPr>
                <w:rFonts w:cs="Arial"/>
                <w:spacing w:val="-2"/>
                <w:sz w:val="22"/>
                <w:szCs w:val="22"/>
              </w:rPr>
              <w:t>i</w:t>
            </w:r>
            <w:r w:rsidRPr="00664C7A">
              <w:rPr>
                <w:rFonts w:cs="Arial"/>
                <w:sz w:val="22"/>
                <w:szCs w:val="22"/>
              </w:rPr>
              <w:t xml:space="preserve">s </w:t>
            </w:r>
            <w:r w:rsidRPr="00664C7A">
              <w:rPr>
                <w:rFonts w:cs="Arial"/>
                <w:spacing w:val="-9"/>
                <w:sz w:val="22"/>
                <w:szCs w:val="22"/>
              </w:rPr>
              <w:t>a</w:t>
            </w:r>
            <w:r w:rsidRPr="00664C7A">
              <w:rPr>
                <w:rFonts w:cs="Arial"/>
                <w:spacing w:val="-7"/>
                <w:sz w:val="22"/>
                <w:szCs w:val="22"/>
              </w:rPr>
              <w:t>v</w:t>
            </w:r>
            <w:r w:rsidRPr="00664C7A">
              <w:rPr>
                <w:rFonts w:cs="Arial"/>
                <w:spacing w:val="-2"/>
                <w:sz w:val="22"/>
                <w:szCs w:val="22"/>
              </w:rPr>
              <w:t>aila</w:t>
            </w:r>
            <w:r w:rsidRPr="00664C7A">
              <w:rPr>
                <w:rFonts w:cs="Arial"/>
                <w:spacing w:val="-6"/>
                <w:sz w:val="22"/>
                <w:szCs w:val="22"/>
              </w:rPr>
              <w:t>b</w:t>
            </w:r>
            <w:r w:rsidRPr="00664C7A">
              <w:rPr>
                <w:rFonts w:cs="Arial"/>
                <w:spacing w:val="-2"/>
                <w:sz w:val="22"/>
                <w:szCs w:val="22"/>
              </w:rPr>
              <w:t>l</w:t>
            </w:r>
            <w:r w:rsidRPr="00664C7A">
              <w:rPr>
                <w:rFonts w:cs="Arial"/>
                <w:sz w:val="22"/>
                <w:szCs w:val="22"/>
              </w:rPr>
              <w:t xml:space="preserve">e </w:t>
            </w:r>
            <w:r w:rsidRPr="00664C7A">
              <w:rPr>
                <w:rFonts w:cs="Arial"/>
                <w:spacing w:val="-2"/>
                <w:sz w:val="22"/>
                <w:szCs w:val="22"/>
              </w:rPr>
              <w:t>fro</w:t>
            </w:r>
            <w:r w:rsidRPr="00664C7A">
              <w:rPr>
                <w:rFonts w:cs="Arial"/>
                <w:sz w:val="22"/>
                <w:szCs w:val="22"/>
              </w:rPr>
              <w:t xml:space="preserve">m </w:t>
            </w:r>
            <w:r w:rsidRPr="00664C7A">
              <w:rPr>
                <w:rFonts w:cs="Arial"/>
                <w:spacing w:val="-2"/>
                <w:sz w:val="22"/>
                <w:szCs w:val="22"/>
              </w:rPr>
              <w:t>th</w:t>
            </w:r>
            <w:r w:rsidRPr="00664C7A">
              <w:rPr>
                <w:rFonts w:cs="Arial"/>
                <w:sz w:val="22"/>
                <w:szCs w:val="22"/>
              </w:rPr>
              <w:t xml:space="preserve">e </w:t>
            </w:r>
            <w:r w:rsidRPr="00664C7A">
              <w:rPr>
                <w:rFonts w:cs="Arial"/>
                <w:spacing w:val="1"/>
                <w:sz w:val="22"/>
                <w:szCs w:val="22"/>
              </w:rPr>
              <w:t xml:space="preserve">electronic Medicines Compendium </w:t>
            </w:r>
            <w:r w:rsidRPr="00664C7A">
              <w:rPr>
                <w:rFonts w:cs="Arial"/>
                <w:spacing w:val="-9"/>
                <w:sz w:val="22"/>
                <w:szCs w:val="22"/>
              </w:rPr>
              <w:t>w</w:t>
            </w:r>
            <w:r w:rsidRPr="00664C7A">
              <w:rPr>
                <w:rFonts w:cs="Arial"/>
                <w:spacing w:val="-2"/>
                <w:sz w:val="22"/>
                <w:szCs w:val="22"/>
              </w:rPr>
              <w:t xml:space="preserve">ebsite: </w:t>
            </w:r>
            <w:hyperlink r:id="rId13" w:history="1">
              <w:r w:rsidRPr="00664C7A">
                <w:rPr>
                  <w:rStyle w:val="Hyperlink"/>
                  <w:rFonts w:cs="Arial"/>
                  <w:sz w:val="22"/>
                  <w:szCs w:val="22"/>
                </w:rPr>
                <w:t>www.medicines.org.uk</w:t>
              </w:r>
            </w:hyperlink>
            <w:r w:rsidRPr="00664C7A">
              <w:rPr>
                <w:rFonts w:cs="Arial"/>
                <w:sz w:val="22"/>
                <w:szCs w:val="22"/>
              </w:rPr>
              <w:t xml:space="preserve"> </w:t>
            </w:r>
          </w:p>
          <w:p w:rsidR="00E068CB" w:rsidRPr="00664C7A" w:rsidRDefault="00E068CB" w:rsidP="002E393D">
            <w:pPr>
              <w:spacing w:before="120" w:after="240"/>
              <w:ind w:right="62"/>
              <w:contextualSpacing/>
              <w:rPr>
                <w:rFonts w:cs="Arial"/>
                <w:spacing w:val="-2"/>
                <w:sz w:val="22"/>
                <w:szCs w:val="22"/>
              </w:rPr>
            </w:pPr>
          </w:p>
        </w:tc>
      </w:tr>
      <w:tr w:rsidR="00E068CB" w:rsidRPr="00664C7A" w:rsidTr="00E068CB">
        <w:tc>
          <w:tcPr>
            <w:tcW w:w="2790" w:type="dxa"/>
          </w:tcPr>
          <w:p w:rsidR="00E068CB" w:rsidRPr="00664C7A" w:rsidRDefault="00E068CB" w:rsidP="00300EFA">
            <w:pPr>
              <w:spacing w:before="120" w:after="120"/>
              <w:rPr>
                <w:rFonts w:cs="Arial"/>
                <w:b/>
                <w:sz w:val="22"/>
                <w:szCs w:val="22"/>
              </w:rPr>
            </w:pPr>
            <w:r w:rsidRPr="00664C7A">
              <w:rPr>
                <w:rFonts w:cs="Arial"/>
                <w:b/>
                <w:sz w:val="22"/>
                <w:szCs w:val="22"/>
              </w:rPr>
              <w:t>Reporting procedure of adverse reactions</w:t>
            </w:r>
          </w:p>
        </w:tc>
        <w:tc>
          <w:tcPr>
            <w:tcW w:w="7133" w:type="dxa"/>
          </w:tcPr>
          <w:p w:rsidR="00E068CB" w:rsidRPr="00664C7A" w:rsidRDefault="00E068CB" w:rsidP="002E393D">
            <w:pPr>
              <w:spacing w:before="120" w:after="120"/>
              <w:rPr>
                <w:rFonts w:cs="Arial"/>
                <w:sz w:val="22"/>
                <w:szCs w:val="22"/>
              </w:rPr>
            </w:pPr>
            <w:r w:rsidRPr="00664C7A">
              <w:rPr>
                <w:rFonts w:cs="Arial"/>
                <w:sz w:val="22"/>
                <w:szCs w:val="22"/>
              </w:rPr>
              <w:t>Any adverse reaction to the product should be documented in the medical records.</w:t>
            </w:r>
          </w:p>
          <w:p w:rsidR="00E068CB" w:rsidRPr="00664C7A" w:rsidRDefault="00E068CB" w:rsidP="002E393D">
            <w:pPr>
              <w:spacing w:after="120"/>
              <w:rPr>
                <w:rFonts w:cs="Arial"/>
                <w:sz w:val="22"/>
                <w:szCs w:val="22"/>
              </w:rPr>
            </w:pPr>
            <w:r w:rsidRPr="00664C7A">
              <w:rPr>
                <w:rFonts w:cs="Arial"/>
                <w:sz w:val="22"/>
                <w:szCs w:val="22"/>
              </w:rPr>
              <w:t>Alert a doctor in the event of a serious adverse reaction.</w:t>
            </w:r>
          </w:p>
          <w:p w:rsidR="00E068CB" w:rsidRPr="00664C7A" w:rsidRDefault="00E068CB" w:rsidP="002E393D">
            <w:pPr>
              <w:pStyle w:val="TableParagraph"/>
              <w:spacing w:before="120" w:after="120"/>
              <w:rPr>
                <w:rFonts w:ascii="Arial" w:hAnsi="Arial" w:cs="Arial"/>
                <w:lang w:val="en-GB"/>
              </w:rPr>
            </w:pPr>
            <w:r w:rsidRPr="00664C7A">
              <w:rPr>
                <w:rFonts w:ascii="Arial" w:hAnsi="Arial" w:cs="Arial"/>
                <w:lang w:val="en-GB"/>
              </w:rPr>
              <w:t>R</w:t>
            </w:r>
            <w:r w:rsidRPr="00664C7A">
              <w:rPr>
                <w:rFonts w:ascii="Arial" w:eastAsia="Arial" w:hAnsi="Arial" w:cs="Arial"/>
                <w:lang w:val="en-GB"/>
              </w:rPr>
              <w:t>eport</w:t>
            </w:r>
            <w:r w:rsidRPr="00664C7A">
              <w:rPr>
                <w:rFonts w:ascii="Arial" w:eastAsia="Arial" w:hAnsi="Arial" w:cs="Arial"/>
                <w:spacing w:val="13"/>
                <w:lang w:val="en-GB"/>
              </w:rPr>
              <w:t xml:space="preserve"> </w:t>
            </w:r>
            <w:r w:rsidRPr="00664C7A">
              <w:rPr>
                <w:rFonts w:ascii="Arial" w:eastAsia="Arial" w:hAnsi="Arial" w:cs="Arial"/>
                <w:lang w:val="en-GB"/>
              </w:rPr>
              <w:t>suspected</w:t>
            </w:r>
            <w:r w:rsidRPr="00664C7A">
              <w:rPr>
                <w:rFonts w:ascii="Arial" w:eastAsia="Arial" w:hAnsi="Arial" w:cs="Arial"/>
                <w:spacing w:val="18"/>
                <w:lang w:val="en-GB"/>
              </w:rPr>
              <w:t xml:space="preserve"> </w:t>
            </w:r>
            <w:r w:rsidRPr="00664C7A">
              <w:rPr>
                <w:rFonts w:ascii="Arial" w:eastAsia="Arial" w:hAnsi="Arial" w:cs="Arial"/>
                <w:lang w:val="en-GB"/>
              </w:rPr>
              <w:t>adverse</w:t>
            </w:r>
            <w:r w:rsidRPr="00664C7A">
              <w:rPr>
                <w:rFonts w:ascii="Arial" w:eastAsia="Arial" w:hAnsi="Arial" w:cs="Arial"/>
                <w:spacing w:val="29"/>
                <w:lang w:val="en-GB"/>
              </w:rPr>
              <w:t xml:space="preserve"> </w:t>
            </w:r>
            <w:r w:rsidRPr="00664C7A">
              <w:rPr>
                <w:rFonts w:ascii="Arial" w:eastAsia="Arial" w:hAnsi="Arial" w:cs="Arial"/>
                <w:lang w:val="en-GB"/>
              </w:rPr>
              <w:t>reactions</w:t>
            </w:r>
            <w:r w:rsidRPr="00664C7A">
              <w:rPr>
                <w:rFonts w:ascii="Arial" w:eastAsia="Arial" w:hAnsi="Arial" w:cs="Arial"/>
                <w:spacing w:val="10"/>
                <w:lang w:val="en-GB"/>
              </w:rPr>
              <w:t xml:space="preserve"> </w:t>
            </w:r>
            <w:r w:rsidRPr="00664C7A">
              <w:rPr>
                <w:rFonts w:ascii="Arial" w:eastAsia="Arial" w:hAnsi="Arial" w:cs="Arial"/>
                <w:lang w:val="en-GB"/>
              </w:rPr>
              <w:t>to</w:t>
            </w:r>
            <w:r w:rsidRPr="00664C7A">
              <w:rPr>
                <w:rFonts w:ascii="Arial" w:eastAsia="Arial" w:hAnsi="Arial" w:cs="Arial"/>
                <w:spacing w:val="14"/>
                <w:lang w:val="en-GB"/>
              </w:rPr>
              <w:t xml:space="preserve"> </w:t>
            </w:r>
            <w:r w:rsidRPr="00664C7A">
              <w:rPr>
                <w:rFonts w:ascii="Arial" w:eastAsia="Arial" w:hAnsi="Arial" w:cs="Arial"/>
                <w:lang w:val="en-GB"/>
              </w:rPr>
              <w:t>the</w:t>
            </w:r>
            <w:r w:rsidRPr="00664C7A">
              <w:rPr>
                <w:rFonts w:ascii="Arial" w:eastAsia="Arial" w:hAnsi="Arial" w:cs="Arial"/>
                <w:w w:val="98"/>
                <w:lang w:val="en-GB"/>
              </w:rPr>
              <w:t xml:space="preserve"> </w:t>
            </w:r>
            <w:r w:rsidRPr="00664C7A">
              <w:rPr>
                <w:rFonts w:ascii="Arial" w:eastAsia="Arial" w:hAnsi="Arial" w:cs="Arial"/>
                <w:lang w:val="en-GB"/>
              </w:rPr>
              <w:t>Medicines</w:t>
            </w:r>
            <w:r w:rsidRPr="00664C7A">
              <w:rPr>
                <w:rFonts w:ascii="Arial" w:eastAsia="Arial" w:hAnsi="Arial" w:cs="Arial"/>
                <w:spacing w:val="22"/>
                <w:lang w:val="en-GB"/>
              </w:rPr>
              <w:t xml:space="preserve"> </w:t>
            </w:r>
            <w:r w:rsidRPr="00664C7A">
              <w:rPr>
                <w:rFonts w:ascii="Arial" w:eastAsia="Arial" w:hAnsi="Arial" w:cs="Arial"/>
                <w:lang w:val="en-GB"/>
              </w:rPr>
              <w:t>and</w:t>
            </w:r>
            <w:r w:rsidRPr="00664C7A">
              <w:rPr>
                <w:rFonts w:ascii="Arial" w:eastAsia="Arial" w:hAnsi="Arial" w:cs="Arial"/>
                <w:spacing w:val="19"/>
                <w:lang w:val="en-GB"/>
              </w:rPr>
              <w:t xml:space="preserve"> </w:t>
            </w:r>
            <w:r w:rsidRPr="00664C7A">
              <w:rPr>
                <w:rFonts w:ascii="Arial" w:eastAsia="Arial" w:hAnsi="Arial" w:cs="Arial"/>
                <w:lang w:val="en-GB"/>
              </w:rPr>
              <w:t>Healthcare</w:t>
            </w:r>
            <w:r w:rsidRPr="00664C7A">
              <w:rPr>
                <w:rFonts w:ascii="Arial" w:eastAsia="Arial" w:hAnsi="Arial" w:cs="Arial"/>
                <w:spacing w:val="18"/>
                <w:lang w:val="en-GB"/>
              </w:rPr>
              <w:t xml:space="preserve"> </w:t>
            </w:r>
            <w:r w:rsidRPr="00664C7A">
              <w:rPr>
                <w:rFonts w:ascii="Arial" w:eastAsia="Arial" w:hAnsi="Arial" w:cs="Arial"/>
                <w:lang w:val="en-GB"/>
              </w:rPr>
              <w:t>products</w:t>
            </w:r>
            <w:r w:rsidRPr="00664C7A">
              <w:rPr>
                <w:rFonts w:ascii="Arial" w:eastAsia="Arial" w:hAnsi="Arial" w:cs="Arial"/>
                <w:spacing w:val="23"/>
                <w:lang w:val="en-GB"/>
              </w:rPr>
              <w:t xml:space="preserve"> </w:t>
            </w:r>
            <w:r w:rsidRPr="00664C7A">
              <w:rPr>
                <w:rFonts w:ascii="Arial" w:eastAsia="Arial" w:hAnsi="Arial" w:cs="Arial"/>
                <w:lang w:val="en-GB"/>
              </w:rPr>
              <w:t>Regulatory</w:t>
            </w:r>
            <w:r w:rsidRPr="00664C7A">
              <w:rPr>
                <w:rFonts w:ascii="Arial" w:eastAsia="Arial" w:hAnsi="Arial" w:cs="Arial"/>
                <w:spacing w:val="7"/>
                <w:lang w:val="en-GB"/>
              </w:rPr>
              <w:t xml:space="preserve"> </w:t>
            </w:r>
            <w:r w:rsidRPr="00664C7A">
              <w:rPr>
                <w:rFonts w:ascii="Arial" w:eastAsia="Arial" w:hAnsi="Arial" w:cs="Arial"/>
                <w:lang w:val="en-GB"/>
              </w:rPr>
              <w:t>Agency</w:t>
            </w:r>
            <w:r w:rsidRPr="00664C7A">
              <w:rPr>
                <w:rFonts w:ascii="Arial" w:eastAsia="Arial" w:hAnsi="Arial" w:cs="Arial"/>
                <w:spacing w:val="38"/>
                <w:lang w:val="en-GB"/>
              </w:rPr>
              <w:t xml:space="preserve"> </w:t>
            </w:r>
            <w:r w:rsidRPr="00664C7A">
              <w:rPr>
                <w:rFonts w:ascii="Arial" w:eastAsia="Arial" w:hAnsi="Arial" w:cs="Arial"/>
                <w:lang w:val="en-GB"/>
              </w:rPr>
              <w:t>(MHRA)</w:t>
            </w:r>
            <w:r w:rsidRPr="00664C7A">
              <w:rPr>
                <w:rFonts w:ascii="Arial" w:eastAsia="Arial" w:hAnsi="Arial" w:cs="Arial"/>
                <w:w w:val="101"/>
                <w:lang w:val="en-GB"/>
              </w:rPr>
              <w:t xml:space="preserve"> </w:t>
            </w:r>
            <w:r w:rsidRPr="00664C7A">
              <w:rPr>
                <w:rFonts w:ascii="Arial" w:eastAsia="Arial" w:hAnsi="Arial" w:cs="Arial"/>
                <w:lang w:val="en-GB"/>
              </w:rPr>
              <w:t>using</w:t>
            </w:r>
            <w:r w:rsidRPr="00664C7A">
              <w:rPr>
                <w:rFonts w:ascii="Arial" w:eastAsia="Arial" w:hAnsi="Arial" w:cs="Arial"/>
                <w:spacing w:val="9"/>
                <w:lang w:val="en-GB"/>
              </w:rPr>
              <w:t xml:space="preserve"> </w:t>
            </w:r>
            <w:r w:rsidRPr="00664C7A">
              <w:rPr>
                <w:rFonts w:ascii="Arial" w:eastAsia="Arial" w:hAnsi="Arial" w:cs="Arial"/>
                <w:lang w:val="en-GB"/>
              </w:rPr>
              <w:t>the</w:t>
            </w:r>
            <w:r w:rsidRPr="00664C7A">
              <w:rPr>
                <w:rFonts w:ascii="Arial" w:eastAsia="Arial" w:hAnsi="Arial" w:cs="Arial"/>
                <w:spacing w:val="11"/>
                <w:lang w:val="en-GB"/>
              </w:rPr>
              <w:t xml:space="preserve"> </w:t>
            </w:r>
            <w:r w:rsidRPr="00664C7A">
              <w:rPr>
                <w:rFonts w:ascii="Arial" w:eastAsia="Arial" w:hAnsi="Arial" w:cs="Arial"/>
                <w:lang w:val="en-GB"/>
              </w:rPr>
              <w:t>Yellow</w:t>
            </w:r>
            <w:r w:rsidRPr="00664C7A">
              <w:rPr>
                <w:rFonts w:ascii="Arial" w:eastAsia="Arial" w:hAnsi="Arial" w:cs="Arial"/>
                <w:spacing w:val="28"/>
                <w:lang w:val="en-GB"/>
              </w:rPr>
              <w:t xml:space="preserve"> </w:t>
            </w:r>
            <w:r w:rsidRPr="00664C7A">
              <w:rPr>
                <w:rFonts w:ascii="Arial" w:eastAsia="Arial" w:hAnsi="Arial" w:cs="Arial"/>
                <w:lang w:val="en-GB"/>
              </w:rPr>
              <w:t>Card</w:t>
            </w:r>
            <w:r w:rsidRPr="00664C7A">
              <w:rPr>
                <w:rFonts w:ascii="Arial" w:eastAsia="Arial" w:hAnsi="Arial" w:cs="Arial"/>
                <w:spacing w:val="16"/>
                <w:lang w:val="en-GB"/>
              </w:rPr>
              <w:t xml:space="preserve"> </w:t>
            </w:r>
            <w:r w:rsidRPr="00664C7A">
              <w:rPr>
                <w:rFonts w:ascii="Arial" w:eastAsia="Arial" w:hAnsi="Arial" w:cs="Arial"/>
                <w:lang w:val="en-GB"/>
              </w:rPr>
              <w:t>reporting</w:t>
            </w:r>
            <w:r w:rsidRPr="00664C7A">
              <w:rPr>
                <w:rFonts w:ascii="Arial" w:eastAsia="Arial" w:hAnsi="Arial" w:cs="Arial"/>
                <w:spacing w:val="12"/>
                <w:lang w:val="en-GB"/>
              </w:rPr>
              <w:t xml:space="preserve"> </w:t>
            </w:r>
            <w:r w:rsidRPr="00664C7A">
              <w:rPr>
                <w:rFonts w:ascii="Arial" w:eastAsia="Arial" w:hAnsi="Arial" w:cs="Arial"/>
                <w:lang w:val="en-GB"/>
              </w:rPr>
              <w:t>scheme</w:t>
            </w:r>
            <w:r w:rsidRPr="00664C7A">
              <w:rPr>
                <w:rFonts w:ascii="Arial" w:eastAsia="Arial" w:hAnsi="Arial" w:cs="Arial"/>
                <w:spacing w:val="16"/>
                <w:lang w:val="en-GB"/>
              </w:rPr>
              <w:t xml:space="preserve"> </w:t>
            </w:r>
            <w:r w:rsidRPr="00664C7A">
              <w:rPr>
                <w:rFonts w:ascii="Arial" w:eastAsia="Arial" w:hAnsi="Arial" w:cs="Arial"/>
                <w:lang w:val="en-GB"/>
              </w:rPr>
              <w:t xml:space="preserve">on: </w:t>
            </w:r>
            <w:hyperlink r:id="rId14" w:history="1">
              <w:r w:rsidRPr="00664C7A">
                <w:rPr>
                  <w:rStyle w:val="Hyperlink"/>
                  <w:rFonts w:ascii="Arial" w:eastAsia="Arial" w:hAnsi="Arial" w:cs="Arial"/>
                  <w:lang w:val="en-GB"/>
                </w:rPr>
                <w:t>http://yellowcard.mhra.gov.uk</w:t>
              </w:r>
            </w:hyperlink>
          </w:p>
        </w:tc>
      </w:tr>
      <w:tr w:rsidR="00E068CB" w:rsidRPr="00664C7A" w:rsidTr="006B0FA1">
        <w:tc>
          <w:tcPr>
            <w:tcW w:w="2790" w:type="dxa"/>
          </w:tcPr>
          <w:p w:rsidR="00E068CB" w:rsidRPr="00664C7A" w:rsidRDefault="00E068CB" w:rsidP="00300EFA">
            <w:pPr>
              <w:pStyle w:val="Header"/>
              <w:tabs>
                <w:tab w:val="clear" w:pos="4153"/>
                <w:tab w:val="clear" w:pos="8306"/>
              </w:tabs>
              <w:spacing w:before="120" w:after="120"/>
              <w:rPr>
                <w:rFonts w:ascii="Arial" w:hAnsi="Arial" w:cs="Arial"/>
                <w:b/>
                <w:sz w:val="22"/>
                <w:szCs w:val="22"/>
              </w:rPr>
            </w:pPr>
            <w:r w:rsidRPr="00664C7A">
              <w:br w:type="page"/>
            </w:r>
            <w:r w:rsidRPr="00664C7A">
              <w:rPr>
                <w:rFonts w:ascii="Arial" w:hAnsi="Arial" w:cs="Arial"/>
                <w:b/>
                <w:sz w:val="22"/>
                <w:szCs w:val="22"/>
              </w:rPr>
              <w:t xml:space="preserve">Written information to be given to patient or </w:t>
            </w:r>
            <w:r w:rsidR="006B0FA1">
              <w:rPr>
                <w:rFonts w:ascii="Arial" w:hAnsi="Arial" w:cs="Arial"/>
                <w:b/>
                <w:sz w:val="22"/>
                <w:szCs w:val="22"/>
              </w:rPr>
              <w:t xml:space="preserve">their </w:t>
            </w:r>
            <w:r w:rsidRPr="00664C7A">
              <w:rPr>
                <w:rFonts w:ascii="Arial" w:hAnsi="Arial" w:cs="Arial"/>
                <w:b/>
                <w:sz w:val="22"/>
                <w:szCs w:val="22"/>
              </w:rPr>
              <w:t>carer</w:t>
            </w:r>
          </w:p>
        </w:tc>
        <w:tc>
          <w:tcPr>
            <w:tcW w:w="7133" w:type="dxa"/>
          </w:tcPr>
          <w:p w:rsidR="00E068CB" w:rsidRPr="00664C7A" w:rsidRDefault="00E068CB" w:rsidP="002E393D">
            <w:pPr>
              <w:pStyle w:val="TableParagraph"/>
              <w:spacing w:before="120" w:after="120"/>
              <w:ind w:right="89"/>
              <w:rPr>
                <w:rFonts w:ascii="Arial" w:eastAsia="Arial" w:hAnsi="Arial" w:cs="Arial"/>
                <w:lang w:val="en-GB"/>
              </w:rPr>
            </w:pPr>
            <w:r w:rsidRPr="00664C7A">
              <w:rPr>
                <w:rFonts w:ascii="Arial" w:eastAsia="Arial" w:hAnsi="Arial" w:cs="Arial"/>
                <w:lang w:val="en-GB"/>
              </w:rPr>
              <w:t xml:space="preserve">Supply </w:t>
            </w:r>
            <w:r w:rsidR="009C6E9A" w:rsidRPr="00664C7A">
              <w:rPr>
                <w:rFonts w:ascii="Arial" w:eastAsia="Arial" w:hAnsi="Arial" w:cs="Arial"/>
                <w:lang w:val="en-GB"/>
              </w:rPr>
              <w:t xml:space="preserve">the </w:t>
            </w:r>
            <w:r w:rsidRPr="00664C7A">
              <w:rPr>
                <w:rFonts w:ascii="Arial" w:eastAsia="Arial" w:hAnsi="Arial" w:cs="Arial"/>
                <w:lang w:val="en-GB"/>
              </w:rPr>
              <w:t xml:space="preserve">marketing authorisation holder's patient information leaflet (PIL). </w:t>
            </w:r>
          </w:p>
          <w:p w:rsidR="00E068CB" w:rsidRPr="00664C7A" w:rsidRDefault="00E068CB" w:rsidP="002E393D">
            <w:pPr>
              <w:pStyle w:val="TableParagraph"/>
              <w:spacing w:before="120" w:after="120"/>
              <w:ind w:right="89"/>
              <w:rPr>
                <w:rFonts w:ascii="Arial" w:eastAsia="Arial" w:hAnsi="Arial" w:cs="Arial"/>
                <w:lang w:val="en-GB"/>
              </w:rPr>
            </w:pPr>
          </w:p>
        </w:tc>
      </w:tr>
      <w:tr w:rsidR="006B0FA1" w:rsidRPr="00664C7A" w:rsidTr="006B0FA1">
        <w:tc>
          <w:tcPr>
            <w:tcW w:w="2790" w:type="dxa"/>
          </w:tcPr>
          <w:p w:rsidR="006B0FA1" w:rsidRPr="00664C7A" w:rsidRDefault="006B0FA1" w:rsidP="00740E72">
            <w:pPr>
              <w:pStyle w:val="Header"/>
              <w:tabs>
                <w:tab w:val="clear" w:pos="4153"/>
                <w:tab w:val="clear" w:pos="8306"/>
              </w:tabs>
              <w:spacing w:before="120" w:after="120"/>
              <w:rPr>
                <w:rFonts w:ascii="Arial" w:hAnsi="Arial" w:cs="Arial"/>
                <w:b/>
                <w:sz w:val="22"/>
                <w:szCs w:val="22"/>
              </w:rPr>
            </w:pPr>
            <w:r w:rsidRPr="00664C7A">
              <w:rPr>
                <w:rFonts w:ascii="Arial" w:hAnsi="Arial" w:cs="Arial"/>
                <w:b/>
                <w:sz w:val="22"/>
                <w:szCs w:val="22"/>
              </w:rPr>
              <w:t xml:space="preserve">Patient advice /follow up </w:t>
            </w:r>
          </w:p>
          <w:p w:rsidR="006B0FA1" w:rsidRPr="00664C7A" w:rsidRDefault="006B0FA1" w:rsidP="00740E72">
            <w:pPr>
              <w:pStyle w:val="Header"/>
              <w:tabs>
                <w:tab w:val="clear" w:pos="4153"/>
                <w:tab w:val="clear" w:pos="8306"/>
              </w:tabs>
              <w:spacing w:before="120" w:after="120"/>
              <w:rPr>
                <w:rFonts w:ascii="Arial" w:hAnsi="Arial" w:cs="Arial"/>
                <w:b/>
                <w:sz w:val="22"/>
                <w:szCs w:val="22"/>
              </w:rPr>
            </w:pPr>
          </w:p>
          <w:p w:rsidR="006B0FA1" w:rsidRPr="00664C7A" w:rsidRDefault="006B0FA1" w:rsidP="00740E72">
            <w:pPr>
              <w:pStyle w:val="Header"/>
              <w:tabs>
                <w:tab w:val="clear" w:pos="4153"/>
                <w:tab w:val="clear" w:pos="8306"/>
              </w:tabs>
              <w:spacing w:before="120" w:after="120"/>
              <w:rPr>
                <w:rFonts w:ascii="Arial" w:hAnsi="Arial" w:cs="Arial"/>
                <w:sz w:val="22"/>
                <w:szCs w:val="22"/>
              </w:rPr>
            </w:pPr>
          </w:p>
        </w:tc>
        <w:tc>
          <w:tcPr>
            <w:tcW w:w="7133" w:type="dxa"/>
          </w:tcPr>
          <w:p w:rsidR="006B0FA1" w:rsidRPr="00664C7A" w:rsidRDefault="006B0FA1" w:rsidP="00740E72">
            <w:pPr>
              <w:pStyle w:val="TableParagraph"/>
              <w:spacing w:before="120" w:after="120"/>
              <w:ind w:right="89"/>
              <w:rPr>
                <w:rFonts w:ascii="Arial" w:eastAsia="Arial" w:hAnsi="Arial" w:cs="Arial"/>
                <w:lang w:val="en-GB"/>
              </w:rPr>
            </w:pPr>
            <w:r w:rsidRPr="00664C7A">
              <w:rPr>
                <w:rFonts w:ascii="Arial" w:eastAsia="Arial" w:hAnsi="Arial" w:cs="Arial"/>
                <w:lang w:val="en-GB"/>
              </w:rPr>
              <w:t xml:space="preserve">Inform the individual or their carer </w:t>
            </w:r>
            <w:r w:rsidRPr="00664C7A">
              <w:rPr>
                <w:rFonts w:ascii="Arial" w:hAnsi="Arial" w:cs="Arial"/>
                <w:lang w:val="en-GB"/>
              </w:rPr>
              <w:t>that taking the medication with food can reduce nausea or vomiting</w:t>
            </w:r>
            <w:r w:rsidRPr="00664C7A">
              <w:rPr>
                <w:rFonts w:ascii="Arial" w:eastAsia="Arial" w:hAnsi="Arial" w:cs="Arial"/>
                <w:lang w:val="en-GB"/>
              </w:rPr>
              <w:t>.</w:t>
            </w:r>
          </w:p>
          <w:p w:rsidR="006B0FA1" w:rsidRPr="00664C7A" w:rsidRDefault="006B0FA1" w:rsidP="00740E72">
            <w:pPr>
              <w:pStyle w:val="TableParagraph"/>
              <w:spacing w:before="120" w:after="120"/>
              <w:ind w:right="164"/>
              <w:rPr>
                <w:rFonts w:ascii="Arial" w:eastAsia="Arial" w:hAnsi="Arial" w:cs="Arial"/>
                <w:lang w:val="en-GB"/>
              </w:rPr>
            </w:pPr>
            <w:r w:rsidRPr="00664C7A">
              <w:rPr>
                <w:rFonts w:ascii="Arial" w:eastAsia="Arial" w:hAnsi="Arial" w:cs="Arial"/>
                <w:lang w:val="en-GB"/>
              </w:rPr>
              <w:t>The</w:t>
            </w:r>
            <w:r w:rsidRPr="00664C7A">
              <w:rPr>
                <w:rFonts w:ascii="Arial" w:eastAsia="Arial" w:hAnsi="Arial" w:cs="Arial"/>
                <w:spacing w:val="23"/>
                <w:lang w:val="en-GB"/>
              </w:rPr>
              <w:t xml:space="preserve"> </w:t>
            </w:r>
            <w:r w:rsidRPr="00664C7A">
              <w:rPr>
                <w:rFonts w:ascii="Arial" w:eastAsia="Arial" w:hAnsi="Arial" w:cs="Arial"/>
                <w:lang w:val="en-GB"/>
              </w:rPr>
              <w:t>individual or their carer</w:t>
            </w:r>
            <w:r w:rsidRPr="00664C7A">
              <w:rPr>
                <w:rFonts w:ascii="Arial" w:eastAsia="Arial" w:hAnsi="Arial" w:cs="Arial"/>
                <w:spacing w:val="12"/>
                <w:lang w:val="en-GB"/>
              </w:rPr>
              <w:t xml:space="preserve"> </w:t>
            </w:r>
            <w:r w:rsidRPr="00664C7A">
              <w:rPr>
                <w:rFonts w:ascii="Arial" w:eastAsia="Arial" w:hAnsi="Arial" w:cs="Arial"/>
                <w:lang w:val="en-GB"/>
              </w:rPr>
              <w:t>should</w:t>
            </w:r>
            <w:r w:rsidRPr="00664C7A">
              <w:rPr>
                <w:rFonts w:ascii="Arial" w:eastAsia="Arial" w:hAnsi="Arial" w:cs="Arial"/>
                <w:spacing w:val="27"/>
                <w:lang w:val="en-GB"/>
              </w:rPr>
              <w:t xml:space="preserve"> </w:t>
            </w:r>
            <w:r w:rsidRPr="00664C7A">
              <w:rPr>
                <w:rFonts w:ascii="Arial" w:eastAsia="Arial" w:hAnsi="Arial" w:cs="Arial"/>
                <w:lang w:val="en-GB"/>
              </w:rPr>
              <w:t>be</w:t>
            </w:r>
            <w:r w:rsidRPr="00664C7A">
              <w:rPr>
                <w:rFonts w:ascii="Arial" w:eastAsia="Arial" w:hAnsi="Arial" w:cs="Arial"/>
                <w:spacing w:val="10"/>
                <w:lang w:val="en-GB"/>
              </w:rPr>
              <w:t xml:space="preserve"> </w:t>
            </w:r>
            <w:r w:rsidRPr="00664C7A">
              <w:rPr>
                <w:rFonts w:ascii="Arial" w:eastAsia="Arial" w:hAnsi="Arial" w:cs="Arial"/>
                <w:lang w:val="en-GB"/>
              </w:rPr>
              <w:t>advised</w:t>
            </w:r>
            <w:r w:rsidRPr="00664C7A">
              <w:rPr>
                <w:rFonts w:ascii="Arial" w:eastAsia="Arial" w:hAnsi="Arial" w:cs="Arial"/>
                <w:w w:val="99"/>
                <w:lang w:val="en-GB"/>
              </w:rPr>
              <w:t xml:space="preserve"> </w:t>
            </w:r>
            <w:r w:rsidRPr="00664C7A">
              <w:rPr>
                <w:rFonts w:ascii="Arial" w:eastAsia="Arial" w:hAnsi="Arial" w:cs="Arial"/>
                <w:lang w:val="en-GB"/>
              </w:rPr>
              <w:t>to</w:t>
            </w:r>
            <w:r w:rsidRPr="00664C7A">
              <w:rPr>
                <w:rFonts w:ascii="Arial" w:eastAsia="Arial" w:hAnsi="Arial" w:cs="Arial"/>
                <w:spacing w:val="14"/>
                <w:lang w:val="en-GB"/>
              </w:rPr>
              <w:t xml:space="preserve"> </w:t>
            </w:r>
            <w:r w:rsidRPr="00664C7A">
              <w:rPr>
                <w:rFonts w:ascii="Arial" w:eastAsia="Arial" w:hAnsi="Arial" w:cs="Arial"/>
                <w:lang w:val="en-GB"/>
              </w:rPr>
              <w:t>seek</w:t>
            </w:r>
            <w:r w:rsidRPr="00664C7A">
              <w:rPr>
                <w:rFonts w:ascii="Arial" w:eastAsia="Arial" w:hAnsi="Arial" w:cs="Arial"/>
                <w:spacing w:val="22"/>
                <w:lang w:val="en-GB"/>
              </w:rPr>
              <w:t xml:space="preserve"> </w:t>
            </w:r>
            <w:r w:rsidRPr="00664C7A">
              <w:rPr>
                <w:rFonts w:ascii="Arial" w:eastAsia="Arial" w:hAnsi="Arial" w:cs="Arial"/>
                <w:lang w:val="en-GB"/>
              </w:rPr>
              <w:t>medical</w:t>
            </w:r>
            <w:r w:rsidRPr="00664C7A">
              <w:rPr>
                <w:rFonts w:ascii="Arial" w:eastAsia="Arial" w:hAnsi="Arial" w:cs="Arial"/>
                <w:spacing w:val="12"/>
                <w:lang w:val="en-GB"/>
              </w:rPr>
              <w:t xml:space="preserve"> </w:t>
            </w:r>
            <w:r w:rsidRPr="00664C7A">
              <w:rPr>
                <w:rFonts w:ascii="Arial" w:eastAsia="Arial" w:hAnsi="Arial" w:cs="Arial"/>
                <w:lang w:val="en-GB"/>
              </w:rPr>
              <w:t>advice</w:t>
            </w:r>
            <w:r w:rsidRPr="00664C7A">
              <w:rPr>
                <w:rFonts w:ascii="Arial" w:hAnsi="Arial" w:cs="Arial"/>
                <w:lang w:val="en-GB"/>
              </w:rPr>
              <w:t xml:space="preserve"> i</w:t>
            </w:r>
            <w:r w:rsidRPr="00664C7A">
              <w:rPr>
                <w:rFonts w:ascii="Arial" w:eastAsia="Arial" w:hAnsi="Arial" w:cs="Arial"/>
                <w:lang w:val="en-GB"/>
              </w:rPr>
              <w:t>n the event of a severe adverse reaction.</w:t>
            </w:r>
          </w:p>
          <w:p w:rsidR="006B0FA1" w:rsidRPr="00664C7A" w:rsidRDefault="006B0FA1" w:rsidP="00740E72">
            <w:pPr>
              <w:pStyle w:val="Header"/>
              <w:tabs>
                <w:tab w:val="clear" w:pos="4153"/>
                <w:tab w:val="clear" w:pos="8306"/>
              </w:tabs>
              <w:spacing w:after="120"/>
              <w:rPr>
                <w:rFonts w:ascii="Arial" w:hAnsi="Arial" w:cs="Arial"/>
                <w:sz w:val="20"/>
              </w:rPr>
            </w:pPr>
            <w:r w:rsidRPr="00664C7A">
              <w:rPr>
                <w:rFonts w:ascii="Arial" w:hAnsi="Arial" w:cs="Arial"/>
                <w:sz w:val="22"/>
                <w:szCs w:val="22"/>
              </w:rPr>
              <w:t xml:space="preserve">Advise the </w:t>
            </w:r>
            <w:r w:rsidRPr="00664C7A">
              <w:rPr>
                <w:rFonts w:ascii="Arial" w:eastAsia="Arial" w:hAnsi="Arial" w:cs="Arial"/>
                <w:sz w:val="22"/>
                <w:szCs w:val="22"/>
              </w:rPr>
              <w:t>individual</w:t>
            </w:r>
            <w:r w:rsidRPr="00664C7A">
              <w:rPr>
                <w:rFonts w:ascii="Arial" w:eastAsia="Arial" w:hAnsi="Arial" w:cs="Arial"/>
              </w:rPr>
              <w:t xml:space="preserve"> </w:t>
            </w:r>
            <w:r w:rsidRPr="00664C7A">
              <w:rPr>
                <w:rFonts w:ascii="Arial" w:hAnsi="Arial" w:cs="Arial"/>
                <w:sz w:val="22"/>
                <w:szCs w:val="22"/>
              </w:rPr>
              <w:t>or their carer to seek advice if common side effects do not spontaneously resolve 48 hours after presentation.</w:t>
            </w:r>
          </w:p>
          <w:p w:rsidR="006B0FA1" w:rsidRPr="00664C7A" w:rsidRDefault="006B0FA1" w:rsidP="00740E72">
            <w:pPr>
              <w:pStyle w:val="Header"/>
              <w:tabs>
                <w:tab w:val="clear" w:pos="4153"/>
                <w:tab w:val="clear" w:pos="8306"/>
              </w:tabs>
              <w:spacing w:after="120"/>
              <w:rPr>
                <w:rFonts w:ascii="Arial" w:hAnsi="Arial" w:cs="Arial"/>
                <w:sz w:val="20"/>
              </w:rPr>
            </w:pPr>
            <w:r w:rsidRPr="00664C7A">
              <w:rPr>
                <w:rFonts w:ascii="Arial" w:hAnsi="Arial" w:cs="Arial"/>
                <w:sz w:val="22"/>
                <w:szCs w:val="22"/>
              </w:rPr>
              <w:t xml:space="preserve">Advise that the </w:t>
            </w:r>
            <w:r w:rsidRPr="00664C7A">
              <w:rPr>
                <w:rFonts w:ascii="Arial" w:eastAsia="Arial" w:hAnsi="Arial" w:cs="Arial"/>
                <w:sz w:val="22"/>
                <w:szCs w:val="22"/>
              </w:rPr>
              <w:t>individual</w:t>
            </w:r>
            <w:r w:rsidRPr="00664C7A">
              <w:rPr>
                <w:rFonts w:ascii="Arial" w:eastAsia="Arial" w:hAnsi="Arial" w:cs="Arial"/>
              </w:rPr>
              <w:t xml:space="preserve"> </w:t>
            </w:r>
            <w:r w:rsidRPr="00664C7A">
              <w:rPr>
                <w:rFonts w:ascii="Arial" w:hAnsi="Arial" w:cs="Arial"/>
                <w:sz w:val="22"/>
                <w:szCs w:val="22"/>
              </w:rPr>
              <w:t>should complete the course.</w:t>
            </w:r>
          </w:p>
          <w:p w:rsidR="006B0FA1" w:rsidRPr="00664C7A" w:rsidRDefault="006B0FA1" w:rsidP="00740E72">
            <w:pPr>
              <w:overflowPunct/>
              <w:autoSpaceDE/>
              <w:autoSpaceDN/>
              <w:adjustRightInd/>
              <w:spacing w:after="120"/>
              <w:textAlignment w:val="auto"/>
              <w:rPr>
                <w:rFonts w:cs="Arial"/>
                <w:sz w:val="22"/>
                <w:szCs w:val="22"/>
              </w:rPr>
            </w:pPr>
            <w:r w:rsidRPr="00664C7A">
              <w:rPr>
                <w:rFonts w:cs="Arial"/>
                <w:sz w:val="22"/>
                <w:szCs w:val="22"/>
              </w:rPr>
              <w:t xml:space="preserve">Advise the </w:t>
            </w:r>
            <w:r w:rsidRPr="00664C7A">
              <w:rPr>
                <w:rFonts w:eastAsia="Arial" w:cs="Arial"/>
                <w:sz w:val="22"/>
                <w:szCs w:val="22"/>
              </w:rPr>
              <w:t>individual</w:t>
            </w:r>
            <w:r w:rsidRPr="00664C7A">
              <w:rPr>
                <w:rFonts w:eastAsia="Arial" w:cs="Arial"/>
              </w:rPr>
              <w:t xml:space="preserve"> </w:t>
            </w:r>
            <w:r w:rsidRPr="00664C7A">
              <w:rPr>
                <w:rFonts w:cs="Arial"/>
                <w:sz w:val="22"/>
                <w:szCs w:val="22"/>
              </w:rPr>
              <w:t>or their carer to read the PIL before taking the medication and draw their attention to the common side effects listed in the PIL</w:t>
            </w:r>
            <w:r w:rsidR="00D22FF8">
              <w:rPr>
                <w:rFonts w:cs="Arial"/>
                <w:sz w:val="22"/>
                <w:szCs w:val="22"/>
              </w:rPr>
              <w:t>.</w:t>
            </w:r>
          </w:p>
          <w:p w:rsidR="006B0FA1" w:rsidRPr="00664C7A" w:rsidRDefault="006B0FA1" w:rsidP="00740E72">
            <w:pPr>
              <w:overflowPunct/>
              <w:autoSpaceDE/>
              <w:autoSpaceDN/>
              <w:adjustRightInd/>
              <w:spacing w:after="120"/>
              <w:textAlignment w:val="auto"/>
              <w:rPr>
                <w:rFonts w:cs="Arial"/>
                <w:sz w:val="22"/>
                <w:szCs w:val="22"/>
              </w:rPr>
            </w:pPr>
            <w:r w:rsidRPr="00664C7A">
              <w:rPr>
                <w:rFonts w:cs="Arial"/>
                <w:sz w:val="22"/>
                <w:szCs w:val="22"/>
              </w:rPr>
              <w:t>Advise that prophylaxis is not 100% effective and if a compatible illness occurs, clinical advice should be sought urgently.</w:t>
            </w:r>
          </w:p>
        </w:tc>
      </w:tr>
      <w:tr w:rsidR="006B0FA1" w:rsidRPr="00664C7A" w:rsidTr="006B0FA1">
        <w:tc>
          <w:tcPr>
            <w:tcW w:w="2790" w:type="dxa"/>
          </w:tcPr>
          <w:p w:rsidR="006B0FA1" w:rsidRPr="00664C7A" w:rsidRDefault="006B0FA1" w:rsidP="00740E72">
            <w:pPr>
              <w:spacing w:before="120" w:after="120"/>
              <w:rPr>
                <w:rFonts w:cs="Arial"/>
                <w:b/>
                <w:sz w:val="22"/>
                <w:szCs w:val="22"/>
              </w:rPr>
            </w:pPr>
            <w:r w:rsidRPr="00664C7A">
              <w:rPr>
                <w:rFonts w:cs="Arial"/>
                <w:b/>
                <w:sz w:val="22"/>
                <w:szCs w:val="22"/>
              </w:rPr>
              <w:t>Special considerations / additional information</w:t>
            </w:r>
          </w:p>
        </w:tc>
        <w:tc>
          <w:tcPr>
            <w:tcW w:w="7133" w:type="dxa"/>
          </w:tcPr>
          <w:p w:rsidR="006B0FA1" w:rsidRPr="00664C7A" w:rsidRDefault="006B0FA1" w:rsidP="00740E72">
            <w:pPr>
              <w:spacing w:before="120" w:after="120"/>
              <w:rPr>
                <w:rFonts w:cs="Arial"/>
                <w:sz w:val="22"/>
                <w:szCs w:val="22"/>
              </w:rPr>
            </w:pPr>
            <w:r w:rsidRPr="00664C7A">
              <w:rPr>
                <w:rFonts w:cs="Arial"/>
                <w:color w:val="000000"/>
                <w:sz w:val="22"/>
                <w:szCs w:val="22"/>
              </w:rPr>
              <w:t xml:space="preserve">Oseltamivir is </w:t>
            </w:r>
            <w:r w:rsidRPr="00664C7A">
              <w:rPr>
                <w:rFonts w:cs="Arial"/>
                <w:b/>
                <w:bCs/>
                <w:color w:val="000000"/>
                <w:sz w:val="22"/>
                <w:szCs w:val="22"/>
              </w:rPr>
              <w:t>not</w:t>
            </w:r>
            <w:r w:rsidRPr="00664C7A">
              <w:rPr>
                <w:rFonts w:cs="Arial"/>
                <w:color w:val="000000"/>
                <w:sz w:val="22"/>
                <w:szCs w:val="22"/>
              </w:rPr>
              <w:t xml:space="preserve"> recommended for post exposure prophylaxis for individuals wh</w:t>
            </w:r>
            <w:r w:rsidR="009738A3">
              <w:rPr>
                <w:rFonts w:cs="Arial"/>
                <w:color w:val="000000"/>
                <w:sz w:val="22"/>
                <w:szCs w:val="22"/>
              </w:rPr>
              <w:t>o are aged less than 65 years and who</w:t>
            </w:r>
            <w:r w:rsidRPr="00664C7A">
              <w:rPr>
                <w:rFonts w:cs="Arial"/>
                <w:color w:val="000000"/>
                <w:sz w:val="22"/>
                <w:szCs w:val="22"/>
              </w:rPr>
              <w:t xml:space="preserve"> are not in ‘at risk’ groups.</w:t>
            </w:r>
          </w:p>
          <w:p w:rsidR="006B0FA1" w:rsidRPr="00664C7A" w:rsidRDefault="006B0FA1" w:rsidP="00740E72">
            <w:pPr>
              <w:spacing w:before="120" w:after="120"/>
              <w:rPr>
                <w:rFonts w:cs="Arial"/>
                <w:sz w:val="22"/>
                <w:szCs w:val="22"/>
              </w:rPr>
            </w:pPr>
            <w:r w:rsidRPr="00664C7A">
              <w:rPr>
                <w:rFonts w:cs="Arial"/>
                <w:sz w:val="22"/>
                <w:szCs w:val="22"/>
              </w:rPr>
              <w:t>Use of oseltamivir is not a substitute for influenza vaccination. The protection against influenza lasts only as long as oseltamivir is administered.</w:t>
            </w:r>
          </w:p>
          <w:p w:rsidR="006B0FA1" w:rsidRPr="00664C7A" w:rsidRDefault="006B0FA1" w:rsidP="00740E72">
            <w:pPr>
              <w:spacing w:before="120" w:after="120"/>
              <w:rPr>
                <w:rFonts w:cs="Arial"/>
                <w:sz w:val="22"/>
                <w:szCs w:val="22"/>
              </w:rPr>
            </w:pPr>
            <w:r w:rsidRPr="00664C7A">
              <w:rPr>
                <w:rFonts w:cs="Arial"/>
                <w:sz w:val="22"/>
                <w:szCs w:val="22"/>
              </w:rPr>
              <w:t xml:space="preserve">Administration of influenza antiviral agents within two weeks of administration of </w:t>
            </w:r>
            <w:r w:rsidR="00C90721">
              <w:rPr>
                <w:rFonts w:cs="Arial"/>
                <w:sz w:val="22"/>
                <w:szCs w:val="22"/>
              </w:rPr>
              <w:t xml:space="preserve">live attenuated influenza vaccine eg </w:t>
            </w:r>
            <w:r w:rsidRPr="00664C7A">
              <w:rPr>
                <w:rFonts w:cs="Arial"/>
                <w:sz w:val="22"/>
                <w:szCs w:val="22"/>
              </w:rPr>
              <w:t>Fluenz Tetra® may adversely affect the effectiveness of the vaccine.</w:t>
            </w:r>
          </w:p>
        </w:tc>
      </w:tr>
      <w:tr w:rsidR="006B0FA1" w:rsidRPr="00664C7A" w:rsidTr="00B32ECD">
        <w:tc>
          <w:tcPr>
            <w:tcW w:w="2790" w:type="dxa"/>
            <w:tcBorders>
              <w:bottom w:val="single" w:sz="4" w:space="0" w:color="auto"/>
            </w:tcBorders>
          </w:tcPr>
          <w:p w:rsidR="006B0FA1" w:rsidRDefault="006B0FA1" w:rsidP="00740E72">
            <w:pPr>
              <w:spacing w:before="120" w:after="120"/>
              <w:rPr>
                <w:rFonts w:cs="Arial"/>
                <w:b/>
                <w:sz w:val="22"/>
                <w:szCs w:val="22"/>
              </w:rPr>
            </w:pPr>
            <w:r w:rsidRPr="00664C7A">
              <w:rPr>
                <w:rFonts w:cs="Arial"/>
                <w:b/>
                <w:sz w:val="22"/>
                <w:szCs w:val="22"/>
              </w:rPr>
              <w:t>Records</w:t>
            </w: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b/>
                <w:sz w:val="22"/>
                <w:szCs w:val="22"/>
              </w:rPr>
            </w:pPr>
          </w:p>
          <w:p w:rsidR="00D22FF8" w:rsidRDefault="00D22FF8" w:rsidP="00740E72">
            <w:pPr>
              <w:spacing w:before="120" w:after="120"/>
              <w:rPr>
                <w:rFonts w:cs="Arial"/>
                <w:sz w:val="22"/>
                <w:szCs w:val="22"/>
              </w:rPr>
            </w:pPr>
            <w:r>
              <w:rPr>
                <w:rFonts w:cs="Arial"/>
                <w:sz w:val="22"/>
                <w:szCs w:val="22"/>
              </w:rPr>
              <w:t>(continued overleaf)</w:t>
            </w:r>
          </w:p>
          <w:p w:rsidR="00D22FF8" w:rsidRDefault="00D22FF8" w:rsidP="00D22FF8">
            <w:pPr>
              <w:spacing w:before="240" w:after="120"/>
              <w:rPr>
                <w:rFonts w:cs="Arial"/>
                <w:b/>
                <w:sz w:val="22"/>
                <w:szCs w:val="22"/>
              </w:rPr>
            </w:pPr>
            <w:r w:rsidRPr="00664C7A">
              <w:rPr>
                <w:rFonts w:cs="Arial"/>
                <w:b/>
                <w:sz w:val="22"/>
                <w:szCs w:val="22"/>
              </w:rPr>
              <w:t>Records</w:t>
            </w:r>
          </w:p>
          <w:p w:rsidR="00D22FF8" w:rsidRPr="00D22FF8" w:rsidRDefault="00D22FF8" w:rsidP="00740E72">
            <w:pPr>
              <w:spacing w:before="120" w:after="120"/>
              <w:rPr>
                <w:rFonts w:cs="Arial"/>
                <w:sz w:val="22"/>
                <w:szCs w:val="22"/>
              </w:rPr>
            </w:pPr>
            <w:r>
              <w:rPr>
                <w:rFonts w:cs="Arial"/>
                <w:sz w:val="22"/>
                <w:szCs w:val="22"/>
              </w:rPr>
              <w:t>(continued)</w:t>
            </w:r>
          </w:p>
        </w:tc>
        <w:tc>
          <w:tcPr>
            <w:tcW w:w="7133" w:type="dxa"/>
            <w:tcBorders>
              <w:bottom w:val="single" w:sz="4" w:space="0" w:color="auto"/>
            </w:tcBorders>
          </w:tcPr>
          <w:p w:rsidR="006B0FA1" w:rsidRPr="00664C7A" w:rsidRDefault="006B0FA1" w:rsidP="00740E72">
            <w:pPr>
              <w:overflowPunct/>
              <w:autoSpaceDE/>
              <w:autoSpaceDN/>
              <w:adjustRightInd/>
              <w:spacing w:before="120" w:after="120"/>
              <w:ind w:left="34"/>
              <w:textAlignment w:val="auto"/>
              <w:rPr>
                <w:rFonts w:cs="Arial"/>
                <w:sz w:val="22"/>
                <w:szCs w:val="22"/>
              </w:rPr>
            </w:pPr>
            <w:r w:rsidRPr="00664C7A">
              <w:rPr>
                <w:rFonts w:cs="Arial"/>
                <w:sz w:val="22"/>
                <w:szCs w:val="22"/>
              </w:rPr>
              <w:t xml:space="preserve">Record: </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 xml:space="preserve">whether valid informed consent was </w:t>
            </w:r>
            <w:r w:rsidR="00D22FF8">
              <w:rPr>
                <w:rFonts w:cs="Arial"/>
                <w:sz w:val="22"/>
                <w:szCs w:val="22"/>
              </w:rPr>
              <w:t>given</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 xml:space="preserve">name of </w:t>
            </w:r>
            <w:r w:rsidRPr="00C90721">
              <w:rPr>
                <w:rFonts w:cs="Arial"/>
                <w:sz w:val="22"/>
                <w:szCs w:val="22"/>
              </w:rPr>
              <w:t>patient,</w:t>
            </w:r>
            <w:r w:rsidRPr="00664C7A">
              <w:rPr>
                <w:rFonts w:cs="Arial"/>
                <w:sz w:val="22"/>
                <w:szCs w:val="22"/>
              </w:rPr>
              <w:t xml:space="preserve"> address, date of birth and GP with</w:t>
            </w:r>
            <w:r w:rsidR="00D22FF8">
              <w:rPr>
                <w:rFonts w:cs="Arial"/>
                <w:sz w:val="22"/>
                <w:szCs w:val="22"/>
              </w:rPr>
              <w:t xml:space="preserve"> whom the patient is registered</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 xml:space="preserve">name of member of </w:t>
            </w:r>
            <w:r w:rsidR="00D22FF8">
              <w:rPr>
                <w:rFonts w:cs="Arial"/>
                <w:sz w:val="22"/>
                <w:szCs w:val="22"/>
              </w:rPr>
              <w:t>staff who supplied the product</w:t>
            </w:r>
          </w:p>
          <w:p w:rsidR="006B0FA1" w:rsidRPr="00664C7A" w:rsidRDefault="00D22FF8"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name and brand of product</w:t>
            </w:r>
          </w:p>
          <w:p w:rsidR="006B0FA1" w:rsidRPr="00664C7A" w:rsidRDefault="00D22FF8"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date of supply</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dose, form and rou</w:t>
            </w:r>
            <w:r w:rsidR="00D22FF8">
              <w:rPr>
                <w:rFonts w:cs="Arial"/>
                <w:sz w:val="22"/>
                <w:szCs w:val="22"/>
              </w:rPr>
              <w:t>te of administration of product</w:t>
            </w:r>
          </w:p>
          <w:p w:rsidR="006B0FA1" w:rsidRPr="00664C7A" w:rsidRDefault="00D22FF8"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quantity supplied</w:t>
            </w:r>
          </w:p>
          <w:p w:rsidR="006B0FA1" w:rsidRPr="00664C7A" w:rsidRDefault="00D22FF8"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batch number and expiry date</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advice given; including advice given if</w:t>
            </w:r>
            <w:r w:rsidR="00D22FF8">
              <w:rPr>
                <w:rFonts w:cs="Arial"/>
                <w:sz w:val="22"/>
                <w:szCs w:val="22"/>
              </w:rPr>
              <w:t xml:space="preserve"> excluded or declines treatment</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details of any adverse d</w:t>
            </w:r>
            <w:r w:rsidR="00D22FF8">
              <w:rPr>
                <w:rFonts w:cs="Arial"/>
                <w:sz w:val="22"/>
                <w:szCs w:val="22"/>
              </w:rPr>
              <w:t>rug reactions and actions taken</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record supplied vi</w:t>
            </w:r>
            <w:r w:rsidR="00D22FF8">
              <w:rPr>
                <w:rFonts w:cs="Arial"/>
                <w:sz w:val="22"/>
                <w:szCs w:val="22"/>
              </w:rPr>
              <w:t>a Patient Group Direction (PGD)</w:t>
            </w:r>
          </w:p>
          <w:p w:rsidR="006B0FA1" w:rsidRPr="00664C7A" w:rsidRDefault="006B0FA1" w:rsidP="00740E72">
            <w:pPr>
              <w:pStyle w:val="ListParagraph"/>
              <w:numPr>
                <w:ilvl w:val="0"/>
                <w:numId w:val="17"/>
              </w:numPr>
              <w:overflowPunct/>
              <w:autoSpaceDE/>
              <w:autoSpaceDN/>
              <w:adjustRightInd/>
              <w:spacing w:before="120" w:after="120"/>
              <w:ind w:left="504" w:hanging="425"/>
              <w:textAlignment w:val="auto"/>
              <w:rPr>
                <w:rFonts w:cs="Arial"/>
                <w:sz w:val="22"/>
                <w:szCs w:val="22"/>
              </w:rPr>
            </w:pPr>
            <w:r w:rsidRPr="00664C7A">
              <w:rPr>
                <w:rFonts w:cs="Arial"/>
                <w:sz w:val="22"/>
                <w:szCs w:val="22"/>
              </w:rPr>
              <w:t xml:space="preserve">records should be signed and dated </w:t>
            </w:r>
          </w:p>
          <w:p w:rsidR="006B0FA1" w:rsidRPr="00664C7A" w:rsidRDefault="006B0FA1" w:rsidP="00740E72">
            <w:pPr>
              <w:spacing w:before="120" w:after="120"/>
              <w:contextualSpacing/>
              <w:rPr>
                <w:rFonts w:cs="Arial"/>
                <w:sz w:val="22"/>
                <w:szCs w:val="22"/>
              </w:rPr>
            </w:pPr>
          </w:p>
          <w:p w:rsidR="006B0FA1" w:rsidRPr="00D22FF8" w:rsidRDefault="006B0FA1" w:rsidP="00D22FF8">
            <w:pPr>
              <w:spacing w:before="240" w:after="120"/>
              <w:rPr>
                <w:rFonts w:cs="Arial"/>
                <w:sz w:val="22"/>
                <w:szCs w:val="22"/>
              </w:rPr>
            </w:pPr>
            <w:r w:rsidRPr="00664C7A">
              <w:rPr>
                <w:rFonts w:cs="Arial"/>
                <w:sz w:val="22"/>
                <w:szCs w:val="22"/>
              </w:rPr>
              <w:t>All records should be clear, legible and contemporaneous.</w:t>
            </w:r>
          </w:p>
          <w:p w:rsidR="006B0FA1" w:rsidRPr="00664C7A" w:rsidRDefault="006B0FA1" w:rsidP="00740E72">
            <w:pPr>
              <w:spacing w:after="240"/>
              <w:contextualSpacing/>
              <w:rPr>
                <w:rFonts w:cs="Arial"/>
                <w:sz w:val="22"/>
                <w:szCs w:val="22"/>
              </w:rPr>
            </w:pPr>
            <w:r w:rsidRPr="00664C7A">
              <w:rPr>
                <w:rFonts w:cs="Arial"/>
                <w:sz w:val="22"/>
                <w:szCs w:val="22"/>
              </w:rPr>
              <w:t xml:space="preserve">A record of all individuals receiving treatment under this Patient Group Direction should also be kept for audit purposes in accordance with local policy. </w:t>
            </w:r>
          </w:p>
          <w:p w:rsidR="006B0FA1" w:rsidRPr="00664C7A" w:rsidRDefault="006B0FA1" w:rsidP="00740E72">
            <w:pPr>
              <w:spacing w:after="240"/>
              <w:contextualSpacing/>
              <w:rPr>
                <w:i/>
                <w:color w:val="FF0000"/>
              </w:rPr>
            </w:pPr>
          </w:p>
          <w:p w:rsidR="006B0FA1" w:rsidRPr="00664C7A" w:rsidRDefault="006B0FA1" w:rsidP="00740E72">
            <w:pPr>
              <w:spacing w:after="240"/>
              <w:contextualSpacing/>
              <w:rPr>
                <w:rFonts w:cs="Arial"/>
                <w:sz w:val="22"/>
                <w:szCs w:val="22"/>
              </w:rPr>
            </w:pPr>
            <w:r w:rsidRPr="00664C7A">
              <w:rPr>
                <w:rFonts w:cs="Arial"/>
                <w:sz w:val="22"/>
                <w:szCs w:val="22"/>
              </w:rPr>
              <w:t>It is recommended that the general practitioner for the individual is informed in writing, if oseltamivir has been supplied under this PGD.</w:t>
            </w:r>
          </w:p>
          <w:p w:rsidR="006B0FA1" w:rsidRPr="00664C7A" w:rsidRDefault="006B0FA1" w:rsidP="00740E72">
            <w:pPr>
              <w:spacing w:after="240"/>
              <w:contextualSpacing/>
              <w:rPr>
                <w:color w:val="FF0000"/>
              </w:rPr>
            </w:pPr>
          </w:p>
        </w:tc>
      </w:tr>
    </w:tbl>
    <w:p w:rsidR="005867FD" w:rsidRPr="006B0FA1" w:rsidRDefault="005867FD" w:rsidP="006B0FA1"/>
    <w:p w:rsidR="005867FD" w:rsidRPr="00664C7A" w:rsidRDefault="005867FD" w:rsidP="005867FD">
      <w:pPr>
        <w:rPr>
          <w:highlight w:val="lightGray"/>
        </w:rPr>
      </w:pPr>
      <w:r w:rsidRPr="00664C7A">
        <w:rPr>
          <w:highlight w:val="lightGray"/>
        </w:rPr>
        <w:br w:type="page"/>
      </w:r>
    </w:p>
    <w:p w:rsidR="00B26D99" w:rsidRPr="00664C7A" w:rsidRDefault="007A2E65" w:rsidP="002E0381">
      <w:pPr>
        <w:pStyle w:val="Heading4"/>
        <w:numPr>
          <w:ilvl w:val="0"/>
          <w:numId w:val="16"/>
        </w:numPr>
        <w:spacing w:before="360"/>
        <w:rPr>
          <w:rFonts w:ascii="Arial" w:hAnsi="Arial" w:cs="Arial"/>
          <w:sz w:val="24"/>
          <w:szCs w:val="24"/>
        </w:rPr>
      </w:pPr>
      <w:r w:rsidRPr="00664C7A">
        <w:rPr>
          <w:rFonts w:ascii="Arial" w:hAnsi="Arial" w:cs="Arial"/>
          <w:sz w:val="24"/>
          <w:szCs w:val="24"/>
        </w:rPr>
        <w:t>Key r</w:t>
      </w:r>
      <w:r w:rsidR="00B26D99" w:rsidRPr="00664C7A">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72"/>
        <w:gridCol w:w="7151"/>
      </w:tblGrid>
      <w:tr w:rsidR="00B26D99" w:rsidRPr="00664C7A" w:rsidTr="00B32ECD">
        <w:tc>
          <w:tcPr>
            <w:tcW w:w="2772" w:type="dxa"/>
          </w:tcPr>
          <w:p w:rsidR="00B26D99" w:rsidRPr="00664C7A" w:rsidRDefault="00B26D99" w:rsidP="00000A1D">
            <w:pPr>
              <w:spacing w:before="120" w:after="120"/>
              <w:rPr>
                <w:rFonts w:cs="Arial"/>
                <w:b/>
                <w:sz w:val="22"/>
                <w:szCs w:val="22"/>
              </w:rPr>
            </w:pPr>
            <w:r w:rsidRPr="00664C7A">
              <w:rPr>
                <w:rFonts w:cs="Arial"/>
                <w:b/>
                <w:sz w:val="22"/>
                <w:szCs w:val="22"/>
              </w:rPr>
              <w:t xml:space="preserve">Key references </w:t>
            </w:r>
          </w:p>
        </w:tc>
        <w:tc>
          <w:tcPr>
            <w:tcW w:w="7151" w:type="dxa"/>
          </w:tcPr>
          <w:p w:rsidR="007B362F" w:rsidRPr="00664C7A" w:rsidRDefault="007B362F" w:rsidP="002D27B0">
            <w:pPr>
              <w:numPr>
                <w:ilvl w:val="0"/>
                <w:numId w:val="3"/>
              </w:numPr>
              <w:tabs>
                <w:tab w:val="clear" w:pos="360"/>
              </w:tabs>
              <w:spacing w:before="120" w:after="120"/>
              <w:ind w:left="239" w:hanging="239"/>
              <w:rPr>
                <w:rFonts w:cs="Arial"/>
                <w:sz w:val="22"/>
                <w:szCs w:val="22"/>
              </w:rPr>
            </w:pPr>
            <w:r w:rsidRPr="00664C7A">
              <w:rPr>
                <w:rFonts w:cs="Arial"/>
                <w:sz w:val="22"/>
                <w:szCs w:val="22"/>
              </w:rPr>
              <w:t xml:space="preserve">Summary of Product Characteristics </w:t>
            </w:r>
            <w:hyperlink r:id="rId15" w:history="1">
              <w:r w:rsidRPr="00664C7A">
                <w:rPr>
                  <w:rStyle w:val="Hyperlink"/>
                  <w:rFonts w:cs="Arial"/>
                  <w:sz w:val="22"/>
                  <w:szCs w:val="22"/>
                </w:rPr>
                <w:t>www.medicines.org.uk</w:t>
              </w:r>
            </w:hyperlink>
            <w:r w:rsidRPr="00664C7A">
              <w:rPr>
                <w:rFonts w:cs="Arial"/>
                <w:sz w:val="22"/>
                <w:szCs w:val="22"/>
              </w:rPr>
              <w:t xml:space="preserve"> </w:t>
            </w:r>
          </w:p>
          <w:p w:rsidR="007B362F" w:rsidRPr="00664C7A" w:rsidRDefault="007B362F" w:rsidP="002D27B0">
            <w:pPr>
              <w:numPr>
                <w:ilvl w:val="0"/>
                <w:numId w:val="3"/>
              </w:numPr>
              <w:tabs>
                <w:tab w:val="clear" w:pos="360"/>
              </w:tabs>
              <w:spacing w:after="120"/>
              <w:ind w:left="239" w:hanging="239"/>
              <w:rPr>
                <w:sz w:val="22"/>
                <w:szCs w:val="22"/>
              </w:rPr>
            </w:pPr>
            <w:r w:rsidRPr="00664C7A">
              <w:rPr>
                <w:rFonts w:cs="Arial"/>
                <w:sz w:val="22"/>
                <w:szCs w:val="22"/>
              </w:rPr>
              <w:t xml:space="preserve">NICE guidelines on the use of </w:t>
            </w:r>
            <w:r w:rsidRPr="00664C7A">
              <w:rPr>
                <w:sz w:val="22"/>
                <w:szCs w:val="22"/>
              </w:rPr>
              <w:t>oseltamivir, amantadine (review) and zanamivir for the prophylaxis of influenza TA158 issued September 2008</w:t>
            </w:r>
            <w:r w:rsidR="002D27B0" w:rsidRPr="00664C7A">
              <w:rPr>
                <w:sz w:val="22"/>
                <w:szCs w:val="22"/>
              </w:rPr>
              <w:t xml:space="preserve"> </w:t>
            </w:r>
            <w:hyperlink r:id="rId16" w:history="1">
              <w:r w:rsidRPr="00664C7A">
                <w:rPr>
                  <w:rStyle w:val="Hyperlink"/>
                  <w:sz w:val="22"/>
                  <w:szCs w:val="22"/>
                </w:rPr>
                <w:t>http://publications.nice.org.uk/oseltamivir-amantadine-review-and-zanamivir-for-the-prophylaxis-of-influenza-ta158</w:t>
              </w:r>
            </w:hyperlink>
          </w:p>
          <w:p w:rsidR="00635BD0" w:rsidRPr="00635BD0" w:rsidRDefault="00A97548" w:rsidP="00635BD0">
            <w:pPr>
              <w:pStyle w:val="Default"/>
              <w:numPr>
                <w:ilvl w:val="0"/>
                <w:numId w:val="3"/>
              </w:numPr>
              <w:tabs>
                <w:tab w:val="clear" w:pos="360"/>
              </w:tabs>
              <w:ind w:left="239" w:hanging="239"/>
              <w:rPr>
                <w:sz w:val="22"/>
                <w:szCs w:val="22"/>
              </w:rPr>
            </w:pPr>
            <w:r w:rsidRPr="00664C7A">
              <w:rPr>
                <w:bCs/>
                <w:sz w:val="22"/>
                <w:szCs w:val="22"/>
              </w:rPr>
              <w:t xml:space="preserve">PHE guidance on use of antiviral agents for the treatment and prophylaxis of seasonal influenza (2015−16) </w:t>
            </w:r>
            <w:r w:rsidRPr="00664C7A">
              <w:rPr>
                <w:sz w:val="22"/>
                <w:szCs w:val="22"/>
              </w:rPr>
              <w:t>Version 6.0, September 2015</w:t>
            </w:r>
            <w:r w:rsidRPr="00664C7A">
              <w:t xml:space="preserve"> </w:t>
            </w:r>
            <w:hyperlink r:id="rId17" w:history="1">
              <w:r w:rsidR="00635BD0" w:rsidRPr="00514570">
                <w:rPr>
                  <w:rStyle w:val="Hyperlink"/>
                  <w:sz w:val="22"/>
                  <w:szCs w:val="22"/>
                </w:rPr>
                <w:t>www.gov.uk/government/uploads/system/uploads/attachment_data/file/457735/PHE_guidance_antivirals_influenza_2015_to_2016.pdf</w:t>
              </w:r>
            </w:hyperlink>
            <w:r w:rsidR="00635BD0">
              <w:rPr>
                <w:sz w:val="22"/>
                <w:szCs w:val="22"/>
              </w:rPr>
              <w:t xml:space="preserve"> </w:t>
            </w:r>
          </w:p>
          <w:p w:rsidR="00635BD0" w:rsidRDefault="00A97548" w:rsidP="00403CBD">
            <w:pPr>
              <w:pStyle w:val="ListParagraph"/>
              <w:numPr>
                <w:ilvl w:val="0"/>
                <w:numId w:val="13"/>
              </w:numPr>
              <w:spacing w:before="120"/>
              <w:ind w:left="238" w:hanging="238"/>
              <w:contextualSpacing w:val="0"/>
              <w:rPr>
                <w:sz w:val="22"/>
                <w:szCs w:val="22"/>
              </w:rPr>
            </w:pPr>
            <w:r w:rsidRPr="00664C7A">
              <w:rPr>
                <w:sz w:val="22"/>
                <w:szCs w:val="22"/>
              </w:rPr>
              <w:t>NHS public health functions agreement 2015-16 Service specification No.13 Seasonal influenza immunisation programme (2015-16 programme)</w:t>
            </w:r>
            <w:r w:rsidRPr="00664C7A">
              <w:t xml:space="preserve"> </w:t>
            </w:r>
            <w:hyperlink r:id="rId18" w:history="1">
              <w:r w:rsidR="00635BD0" w:rsidRPr="00514570">
                <w:rPr>
                  <w:rStyle w:val="Hyperlink"/>
                  <w:sz w:val="22"/>
                  <w:szCs w:val="22"/>
                </w:rPr>
                <w:t>https://www.gov.uk/government/uploads/system/uploads/attachment_data/file/383187/1516_No13_Seasonal_Influenza_Immunisation_Programmeflu_FINAL.pdf</w:t>
              </w:r>
            </w:hyperlink>
          </w:p>
          <w:p w:rsidR="00403CBD" w:rsidRPr="004A064A" w:rsidRDefault="00FA723D" w:rsidP="004A064A">
            <w:pPr>
              <w:pStyle w:val="ListParagraph"/>
              <w:numPr>
                <w:ilvl w:val="0"/>
                <w:numId w:val="13"/>
              </w:numPr>
              <w:spacing w:before="120"/>
              <w:ind w:left="238" w:hanging="238"/>
              <w:contextualSpacing w:val="0"/>
              <w:rPr>
                <w:rStyle w:val="Hyperlink"/>
                <w:color w:val="auto"/>
                <w:sz w:val="22"/>
                <w:szCs w:val="22"/>
                <w:u w:val="none"/>
              </w:rPr>
            </w:pPr>
            <w:r w:rsidRPr="00664C7A">
              <w:rPr>
                <w:rFonts w:cs="Arial"/>
                <w:sz w:val="22"/>
                <w:szCs w:val="22"/>
              </w:rPr>
              <w:t xml:space="preserve">British National Formulary (BNF) </w:t>
            </w:r>
            <w:hyperlink r:id="rId19" w:history="1">
              <w:r w:rsidR="004A064A" w:rsidRPr="00C77A0E">
                <w:rPr>
                  <w:rStyle w:val="Hyperlink"/>
                  <w:sz w:val="22"/>
                  <w:szCs w:val="22"/>
                </w:rPr>
                <w:t>http://www.evidence.nhs.uk/formulary/bnf/current/5-infections/53-antiviral-drugs/534-influenza</w:t>
              </w:r>
            </w:hyperlink>
          </w:p>
          <w:p w:rsidR="00102580" w:rsidRPr="00664C7A" w:rsidRDefault="00CA02B5" w:rsidP="002E0381">
            <w:pPr>
              <w:pStyle w:val="ListParagraph"/>
              <w:numPr>
                <w:ilvl w:val="0"/>
                <w:numId w:val="13"/>
              </w:numPr>
              <w:spacing w:before="120" w:after="120"/>
              <w:ind w:left="238" w:hanging="238"/>
              <w:contextualSpacing w:val="0"/>
              <w:rPr>
                <w:rFonts w:cs="Arial"/>
                <w:sz w:val="22"/>
                <w:szCs w:val="22"/>
              </w:rPr>
            </w:pPr>
            <w:r w:rsidRPr="00664C7A">
              <w:rPr>
                <w:sz w:val="22"/>
                <w:szCs w:val="22"/>
              </w:rPr>
              <w:t xml:space="preserve">NICE </w:t>
            </w:r>
            <w:r w:rsidR="00E54F90" w:rsidRPr="00664C7A">
              <w:rPr>
                <w:sz w:val="22"/>
                <w:szCs w:val="22"/>
              </w:rPr>
              <w:t>Medicines Practice Guideline 2 (MPG2): Patient Group Directions</w:t>
            </w:r>
            <w:r w:rsidR="00FA55F6" w:rsidRPr="00664C7A">
              <w:rPr>
                <w:sz w:val="22"/>
                <w:szCs w:val="22"/>
              </w:rPr>
              <w:t xml:space="preserve"> </w:t>
            </w:r>
            <w:hyperlink r:id="rId20" w:history="1">
              <w:r w:rsidR="00E54F90" w:rsidRPr="00664C7A">
                <w:rPr>
                  <w:rStyle w:val="Hyperlink"/>
                  <w:sz w:val="22"/>
                  <w:szCs w:val="22"/>
                </w:rPr>
                <w:t>https://www.nice.org.uk/guidance/mpg2</w:t>
              </w:r>
            </w:hyperlink>
            <w:r w:rsidR="00E54F90" w:rsidRPr="00664C7A">
              <w:rPr>
                <w:sz w:val="22"/>
                <w:szCs w:val="22"/>
              </w:rPr>
              <w:t xml:space="preserve"> </w:t>
            </w:r>
          </w:p>
          <w:p w:rsidR="00102580" w:rsidRPr="00664C7A" w:rsidRDefault="009812E0" w:rsidP="002E0381">
            <w:pPr>
              <w:pStyle w:val="ListParagraph"/>
              <w:numPr>
                <w:ilvl w:val="0"/>
                <w:numId w:val="13"/>
              </w:numPr>
              <w:spacing w:before="120" w:after="120"/>
              <w:ind w:left="238" w:hanging="238"/>
              <w:contextualSpacing w:val="0"/>
              <w:rPr>
                <w:rFonts w:cs="Arial"/>
                <w:sz w:val="22"/>
                <w:szCs w:val="22"/>
              </w:rPr>
            </w:pPr>
            <w:r w:rsidRPr="00664C7A">
              <w:rPr>
                <w:sz w:val="22"/>
                <w:szCs w:val="22"/>
              </w:rPr>
              <w:t xml:space="preserve">NICE </w:t>
            </w:r>
            <w:r w:rsidR="00432789" w:rsidRPr="00664C7A">
              <w:rPr>
                <w:sz w:val="22"/>
                <w:szCs w:val="22"/>
              </w:rPr>
              <w:t>MPG2 Patient group directions: competency framework for health professionals using patient group directions</w:t>
            </w:r>
            <w:r w:rsidR="00FA55F6" w:rsidRPr="00664C7A">
              <w:rPr>
                <w:sz w:val="22"/>
                <w:szCs w:val="22"/>
              </w:rPr>
              <w:t xml:space="preserve"> </w:t>
            </w:r>
            <w:hyperlink r:id="rId21" w:history="1">
              <w:r w:rsidR="004A064A" w:rsidRPr="0095446E">
                <w:rPr>
                  <w:rStyle w:val="Hyperlink"/>
                  <w:rFonts w:cs="Arial"/>
                  <w:sz w:val="22"/>
                  <w:szCs w:val="22"/>
                </w:rPr>
                <w:t>https://www.nice.org.uk/guidance/mpg2/resources</w:t>
              </w:r>
            </w:hyperlink>
          </w:p>
          <w:p w:rsidR="00E9621F" w:rsidRPr="00664C7A" w:rsidRDefault="00E9621F" w:rsidP="002E0381">
            <w:pPr>
              <w:pStyle w:val="ListParagraph"/>
              <w:numPr>
                <w:ilvl w:val="0"/>
                <w:numId w:val="13"/>
              </w:numPr>
              <w:spacing w:before="120" w:after="120"/>
              <w:ind w:left="238" w:hanging="238"/>
              <w:contextualSpacing w:val="0"/>
              <w:rPr>
                <w:sz w:val="22"/>
                <w:szCs w:val="22"/>
              </w:rPr>
            </w:pPr>
            <w:r w:rsidRPr="00664C7A">
              <w:rPr>
                <w:sz w:val="22"/>
                <w:szCs w:val="22"/>
              </w:rPr>
              <w:t>Health Technical Memorandum 07-01: Safe Management of Healthcare Waste. Department of Health 20</w:t>
            </w:r>
            <w:r w:rsidRPr="00664C7A">
              <w:rPr>
                <w:sz w:val="22"/>
                <w:szCs w:val="22"/>
                <w:vertAlign w:val="superscript"/>
              </w:rPr>
              <w:t>th</w:t>
            </w:r>
            <w:r w:rsidRPr="00664C7A">
              <w:rPr>
                <w:sz w:val="22"/>
                <w:szCs w:val="22"/>
              </w:rPr>
              <w:t xml:space="preserve"> March 2013</w:t>
            </w:r>
            <w:r w:rsidR="00102580" w:rsidRPr="00664C7A">
              <w:rPr>
                <w:sz w:val="22"/>
                <w:szCs w:val="22"/>
              </w:rPr>
              <w:t xml:space="preserve"> </w:t>
            </w:r>
            <w:hyperlink r:id="rId22" w:history="1">
              <w:r w:rsidR="00AC22EC" w:rsidRPr="00664C7A">
                <w:rPr>
                  <w:rStyle w:val="Hyperlink"/>
                  <w:sz w:val="22"/>
                  <w:szCs w:val="22"/>
                </w:rPr>
                <w:t>https://www.gov.uk/government/publications/guidance-on-the-safe-management-of-healthcare-waste</w:t>
              </w:r>
            </w:hyperlink>
            <w:r w:rsidR="00AC22EC" w:rsidRPr="00664C7A">
              <w:rPr>
                <w:rStyle w:val="Hyperlink"/>
                <w:sz w:val="22"/>
                <w:szCs w:val="22"/>
              </w:rPr>
              <w:t xml:space="preserve"> </w:t>
            </w:r>
            <w:r w:rsidRPr="00664C7A">
              <w:rPr>
                <w:sz w:val="22"/>
                <w:szCs w:val="22"/>
              </w:rPr>
              <w:t xml:space="preserve"> </w:t>
            </w:r>
          </w:p>
        </w:tc>
      </w:tr>
    </w:tbl>
    <w:p w:rsidR="006E3026" w:rsidRPr="00664C7A" w:rsidRDefault="00B37C58" w:rsidP="006E3026">
      <w:pPr>
        <w:jc w:val="both"/>
        <w:rPr>
          <w:rFonts w:cs="Arial"/>
          <w:bCs/>
          <w:sz w:val="22"/>
          <w:szCs w:val="22"/>
        </w:rPr>
      </w:pPr>
      <w:r w:rsidRPr="00664C7A">
        <w:rPr>
          <w:rFonts w:cs="Arial"/>
          <w:szCs w:val="24"/>
        </w:rPr>
        <w:tab/>
      </w:r>
    </w:p>
    <w:p w:rsidR="00FD1AC6" w:rsidRPr="00664C7A" w:rsidRDefault="00FD1AC6">
      <w:pPr>
        <w:overflowPunct/>
        <w:autoSpaceDE/>
        <w:autoSpaceDN/>
        <w:adjustRightInd/>
        <w:jc w:val="center"/>
        <w:textAlignment w:val="auto"/>
        <w:rPr>
          <w:b/>
          <w:sz w:val="22"/>
          <w:szCs w:val="22"/>
        </w:rPr>
      </w:pPr>
      <w:r w:rsidRPr="00664C7A">
        <w:rPr>
          <w:b/>
          <w:sz w:val="22"/>
          <w:szCs w:val="22"/>
        </w:rPr>
        <w:br w:type="page"/>
      </w:r>
    </w:p>
    <w:p w:rsidR="00FD1AC6" w:rsidRPr="00664C7A" w:rsidRDefault="007A2E65" w:rsidP="002E0381">
      <w:pPr>
        <w:pStyle w:val="ListParagraph"/>
        <w:numPr>
          <w:ilvl w:val="0"/>
          <w:numId w:val="12"/>
        </w:numPr>
        <w:overflowPunct/>
        <w:autoSpaceDE/>
        <w:autoSpaceDN/>
        <w:adjustRightInd/>
        <w:textAlignment w:val="auto"/>
        <w:rPr>
          <w:b/>
          <w:szCs w:val="24"/>
        </w:rPr>
      </w:pPr>
      <w:r w:rsidRPr="00664C7A">
        <w:rPr>
          <w:rFonts w:cs="Arial"/>
          <w:b/>
          <w:szCs w:val="24"/>
        </w:rPr>
        <w:t>Individual practitioner a</w:t>
      </w:r>
      <w:r w:rsidR="00FD1AC6" w:rsidRPr="00664C7A">
        <w:rPr>
          <w:rFonts w:cs="Arial"/>
          <w:b/>
          <w:szCs w:val="24"/>
        </w:rPr>
        <w:t xml:space="preserve">uthorisation </w:t>
      </w:r>
      <w:r w:rsidRPr="00664C7A">
        <w:rPr>
          <w:rFonts w:cs="Arial"/>
          <w:b/>
          <w:szCs w:val="24"/>
        </w:rPr>
        <w:t>s</w:t>
      </w:r>
      <w:r w:rsidR="00FD1AC6" w:rsidRPr="00664C7A">
        <w:rPr>
          <w:rFonts w:cs="Arial"/>
          <w:b/>
          <w:szCs w:val="24"/>
        </w:rPr>
        <w:t>heet</w:t>
      </w:r>
    </w:p>
    <w:p w:rsidR="00FD1AC6" w:rsidRPr="00664C7A" w:rsidRDefault="00FD1AC6" w:rsidP="006E3026">
      <w:pPr>
        <w:overflowPunct/>
        <w:autoSpaceDE/>
        <w:autoSpaceDN/>
        <w:adjustRightInd/>
        <w:textAlignment w:val="auto"/>
        <w:rPr>
          <w:b/>
          <w:szCs w:val="24"/>
        </w:rPr>
      </w:pPr>
    </w:p>
    <w:p w:rsidR="0068443A" w:rsidRPr="00664C7A" w:rsidRDefault="0068443A" w:rsidP="002E393D">
      <w:pPr>
        <w:overflowPunct/>
        <w:autoSpaceDE/>
        <w:autoSpaceDN/>
        <w:adjustRightInd/>
        <w:textAlignment w:val="auto"/>
        <w:rPr>
          <w:sz w:val="22"/>
          <w:szCs w:val="22"/>
        </w:rPr>
      </w:pPr>
      <w:r w:rsidRPr="00664C7A">
        <w:rPr>
          <w:sz w:val="22"/>
          <w:szCs w:val="22"/>
        </w:rPr>
        <w:t>BY SIGNING THIS PATIENT GROUP DIRECTION YOU ARE INDICATING THAT YOU AGREE TO ITS CONTENTS AND THAT YOU WILL WORK WITHIN IT</w:t>
      </w:r>
      <w:r w:rsidR="004A064A">
        <w:rPr>
          <w:sz w:val="22"/>
          <w:szCs w:val="22"/>
        </w:rPr>
        <w:t>.</w:t>
      </w:r>
    </w:p>
    <w:p w:rsidR="0068443A" w:rsidRPr="00664C7A" w:rsidRDefault="0068443A" w:rsidP="002E393D">
      <w:pPr>
        <w:rPr>
          <w:sz w:val="22"/>
          <w:szCs w:val="22"/>
        </w:rPr>
      </w:pPr>
    </w:p>
    <w:p w:rsidR="0068443A" w:rsidRPr="00664C7A" w:rsidRDefault="0068443A" w:rsidP="002E393D">
      <w:pPr>
        <w:ind w:right="423"/>
        <w:rPr>
          <w:rFonts w:cs="Arial"/>
          <w:sz w:val="22"/>
          <w:szCs w:val="22"/>
        </w:rPr>
      </w:pPr>
      <w:r w:rsidRPr="00664C7A">
        <w:rPr>
          <w:rFonts w:cs="Arial"/>
          <w:sz w:val="22"/>
          <w:szCs w:val="22"/>
        </w:rPr>
        <w:t>PATIENT GROUP DIRECTIONS DO NOT REMOVE INHERENT PROFESSIONAL OBLIGATIONS OR ACCOUNTABILITY</w:t>
      </w:r>
      <w:r w:rsidR="004A064A">
        <w:rPr>
          <w:rFonts w:cs="Arial"/>
          <w:sz w:val="22"/>
          <w:szCs w:val="22"/>
        </w:rPr>
        <w:t>.</w:t>
      </w:r>
    </w:p>
    <w:p w:rsidR="0068443A" w:rsidRPr="00664C7A" w:rsidRDefault="0068443A" w:rsidP="002E393D">
      <w:pPr>
        <w:ind w:right="423"/>
        <w:rPr>
          <w:rFonts w:cs="Arial"/>
          <w:sz w:val="22"/>
          <w:szCs w:val="22"/>
        </w:rPr>
      </w:pPr>
    </w:p>
    <w:p w:rsidR="0068443A" w:rsidRPr="00664C7A" w:rsidRDefault="0068443A" w:rsidP="002E393D">
      <w:pPr>
        <w:ind w:right="423"/>
        <w:rPr>
          <w:rFonts w:cs="Arial"/>
          <w:sz w:val="22"/>
          <w:szCs w:val="22"/>
        </w:rPr>
      </w:pPr>
      <w:r w:rsidRPr="00664C7A">
        <w:rPr>
          <w:rFonts w:cs="Arial"/>
          <w:sz w:val="22"/>
          <w:szCs w:val="22"/>
        </w:rPr>
        <w:t>IT IS THE RESPONSIBILITY OF EACH PROFESSIONAL TO PRACTISE ONLY WITHIN THE BOUNDS OF THEIR OWN COMPETENCE</w:t>
      </w:r>
      <w:r w:rsidR="004A064A">
        <w:rPr>
          <w:rFonts w:cs="Arial"/>
          <w:sz w:val="22"/>
          <w:szCs w:val="22"/>
        </w:rPr>
        <w:t>.</w:t>
      </w:r>
    </w:p>
    <w:p w:rsidR="0068443A" w:rsidRPr="00664C7A" w:rsidRDefault="0068443A" w:rsidP="002E393D">
      <w:pPr>
        <w:ind w:right="423"/>
        <w:rPr>
          <w:b/>
          <w:sz w:val="28"/>
        </w:rPr>
      </w:pPr>
    </w:p>
    <w:p w:rsidR="0068443A" w:rsidRPr="00664C7A" w:rsidRDefault="0068443A" w:rsidP="002E393D">
      <w:pPr>
        <w:ind w:right="423"/>
        <w:rPr>
          <w:b/>
          <w:szCs w:val="24"/>
        </w:rPr>
      </w:pPr>
      <w:r w:rsidRPr="00664C7A">
        <w:rPr>
          <w:b/>
          <w:szCs w:val="24"/>
        </w:rPr>
        <w:t>Practitioner</w:t>
      </w:r>
    </w:p>
    <w:p w:rsidR="0068443A" w:rsidRPr="00664C7A" w:rsidRDefault="0068443A" w:rsidP="002E393D">
      <w:pPr>
        <w:pStyle w:val="BodyText2"/>
        <w:ind w:right="423"/>
        <w:rPr>
          <w:rFonts w:cs="Arial"/>
          <w:b/>
          <w:sz w:val="22"/>
          <w:szCs w:val="22"/>
        </w:rPr>
      </w:pPr>
      <w:r w:rsidRPr="00664C7A">
        <w:rPr>
          <w:rFonts w:cs="Arial"/>
          <w:b/>
          <w:sz w:val="22"/>
          <w:szCs w:val="22"/>
        </w:rPr>
        <w:t>I confirm that I have read and understood the content of this Patient Group Direction and that I am willing and competent to work to it within my professional code of conduct</w:t>
      </w:r>
      <w:r w:rsidR="004A064A">
        <w:rPr>
          <w:rFonts w:cs="Arial"/>
          <w:b/>
          <w:sz w:val="22"/>
          <w:szCs w:val="22"/>
        </w:rPr>
        <w:t>.</w:t>
      </w:r>
    </w:p>
    <w:p w:rsidR="0068443A" w:rsidRPr="00664C7A" w:rsidRDefault="0068443A" w:rsidP="002E393D">
      <w:pPr>
        <w:rPr>
          <w:sz w:val="18"/>
          <w:szCs w:val="18"/>
        </w:rPr>
      </w:pPr>
    </w:p>
    <w:p w:rsidR="0068443A" w:rsidRPr="00664C7A" w:rsidRDefault="0068443A" w:rsidP="002E393D">
      <w:pPr>
        <w:rPr>
          <w:sz w:val="18"/>
          <w:szCs w:val="18"/>
        </w:rPr>
      </w:pPr>
    </w:p>
    <w:p w:rsidR="0068443A" w:rsidRPr="00664C7A" w:rsidRDefault="0068443A" w:rsidP="002E393D">
      <w:pPr>
        <w:tabs>
          <w:tab w:val="left" w:pos="5812"/>
        </w:tabs>
        <w:rPr>
          <w:sz w:val="22"/>
          <w:szCs w:val="22"/>
        </w:rPr>
      </w:pPr>
      <w:permStart w:id="27" w:edGrp="everyone"/>
      <w:r w:rsidRPr="00664C7A">
        <w:rPr>
          <w:sz w:val="22"/>
          <w:szCs w:val="22"/>
        </w:rPr>
        <w:t>Signed……………………………….………………………….…..Date……….….…………</w:t>
      </w:r>
      <w:r w:rsidR="006172B8" w:rsidRPr="00664C7A">
        <w:rPr>
          <w:sz w:val="22"/>
          <w:szCs w:val="22"/>
        </w:rPr>
        <w:t>..............</w:t>
      </w:r>
    </w:p>
    <w:p w:rsidR="0068443A" w:rsidRPr="00664C7A" w:rsidRDefault="0068443A" w:rsidP="002E393D">
      <w:pPr>
        <w:tabs>
          <w:tab w:val="left" w:pos="8364"/>
        </w:tabs>
        <w:rPr>
          <w:sz w:val="22"/>
          <w:szCs w:val="22"/>
        </w:rPr>
      </w:pPr>
    </w:p>
    <w:p w:rsidR="0068443A" w:rsidRPr="00664C7A" w:rsidRDefault="0068443A" w:rsidP="002E393D">
      <w:pPr>
        <w:pStyle w:val="BodyText"/>
        <w:rPr>
          <w:sz w:val="22"/>
          <w:szCs w:val="22"/>
        </w:rPr>
      </w:pPr>
      <w:r w:rsidRPr="00664C7A">
        <w:rPr>
          <w:sz w:val="22"/>
          <w:szCs w:val="22"/>
        </w:rPr>
        <w:t>Name (Print)…………….…………..………….………………………………………….……</w:t>
      </w:r>
      <w:r w:rsidR="006172B8" w:rsidRPr="00664C7A">
        <w:rPr>
          <w:sz w:val="22"/>
          <w:szCs w:val="22"/>
        </w:rPr>
        <w:t>.............</w:t>
      </w:r>
    </w:p>
    <w:p w:rsidR="0068443A" w:rsidRPr="00664C7A" w:rsidRDefault="0068443A" w:rsidP="002E393D">
      <w:pPr>
        <w:pStyle w:val="BodyText"/>
        <w:rPr>
          <w:sz w:val="22"/>
          <w:szCs w:val="22"/>
        </w:rPr>
      </w:pPr>
    </w:p>
    <w:p w:rsidR="0068443A" w:rsidRPr="00664C7A" w:rsidRDefault="0068443A" w:rsidP="002E393D">
      <w:pPr>
        <w:tabs>
          <w:tab w:val="left" w:pos="8789"/>
        </w:tabs>
        <w:rPr>
          <w:sz w:val="22"/>
          <w:szCs w:val="22"/>
        </w:rPr>
      </w:pPr>
      <w:r w:rsidRPr="00664C7A">
        <w:rPr>
          <w:sz w:val="22"/>
          <w:szCs w:val="22"/>
        </w:rPr>
        <w:t>Designation……………………………………………………………….…..………………</w:t>
      </w:r>
      <w:r w:rsidR="006172B8" w:rsidRPr="00664C7A">
        <w:rPr>
          <w:sz w:val="22"/>
          <w:szCs w:val="22"/>
        </w:rPr>
        <w:t>................</w:t>
      </w:r>
      <w:r w:rsidRPr="00664C7A">
        <w:rPr>
          <w:sz w:val="22"/>
          <w:szCs w:val="22"/>
        </w:rPr>
        <w:t xml:space="preserve"> </w:t>
      </w:r>
    </w:p>
    <w:p w:rsidR="0068443A" w:rsidRPr="00664C7A" w:rsidRDefault="0068443A" w:rsidP="002E393D">
      <w:pPr>
        <w:tabs>
          <w:tab w:val="left" w:pos="8789"/>
        </w:tabs>
        <w:rPr>
          <w:sz w:val="22"/>
          <w:szCs w:val="22"/>
        </w:rPr>
      </w:pPr>
    </w:p>
    <w:p w:rsidR="0068443A" w:rsidRPr="00664C7A" w:rsidRDefault="0068443A" w:rsidP="002E393D">
      <w:pPr>
        <w:rPr>
          <w:sz w:val="22"/>
        </w:rPr>
      </w:pPr>
    </w:p>
    <w:permEnd w:id="27"/>
    <w:p w:rsidR="0068443A" w:rsidRPr="00664C7A" w:rsidRDefault="007A2E65" w:rsidP="002E393D">
      <w:pPr>
        <w:rPr>
          <w:b/>
          <w:szCs w:val="24"/>
        </w:rPr>
      </w:pPr>
      <w:r w:rsidRPr="00664C7A">
        <w:rPr>
          <w:b/>
          <w:szCs w:val="24"/>
        </w:rPr>
        <w:t>Authorising m</w:t>
      </w:r>
      <w:r w:rsidR="0068443A" w:rsidRPr="00664C7A">
        <w:rPr>
          <w:b/>
          <w:szCs w:val="24"/>
        </w:rPr>
        <w:t xml:space="preserve">anager </w:t>
      </w:r>
    </w:p>
    <w:p w:rsidR="00330CA5" w:rsidRPr="00664C7A" w:rsidRDefault="00330CA5" w:rsidP="002E393D">
      <w:pPr>
        <w:rPr>
          <w:b/>
          <w:szCs w:val="24"/>
        </w:rPr>
      </w:pPr>
    </w:p>
    <w:p w:rsidR="0068443A" w:rsidRPr="00664C7A" w:rsidRDefault="0068443A" w:rsidP="002E393D">
      <w:pPr>
        <w:pStyle w:val="BodyText"/>
        <w:ind w:right="423"/>
        <w:rPr>
          <w:sz w:val="22"/>
          <w:szCs w:val="22"/>
        </w:rPr>
      </w:pPr>
      <w:r w:rsidRPr="00664C7A">
        <w:rPr>
          <w:sz w:val="22"/>
          <w:szCs w:val="22"/>
        </w:rPr>
        <w:t>Manager to give authorisation on behalf</w:t>
      </w:r>
      <w:r w:rsidR="004A064A">
        <w:rPr>
          <w:sz w:val="22"/>
          <w:szCs w:val="22"/>
        </w:rPr>
        <w:t xml:space="preserve"> of </w:t>
      </w:r>
      <w:r w:rsidRPr="00664C7A">
        <w:rPr>
          <w:sz w:val="22"/>
          <w:szCs w:val="22"/>
        </w:rPr>
        <w:t xml:space="preserve"> </w:t>
      </w:r>
      <w:permStart w:id="28" w:edGrp="everyone"/>
      <w:r w:rsidR="008174DC" w:rsidRPr="00664C7A">
        <w:rPr>
          <w:sz w:val="22"/>
          <w:szCs w:val="22"/>
        </w:rPr>
        <w:t>INSERT</w:t>
      </w:r>
      <w:r w:rsidR="0067497B" w:rsidRPr="00664C7A">
        <w:rPr>
          <w:b/>
          <w:color w:val="808080" w:themeColor="background1" w:themeShade="80"/>
          <w:sz w:val="22"/>
          <w:szCs w:val="22"/>
        </w:rPr>
        <w:t xml:space="preserve"> NAME </w:t>
      </w:r>
      <w:r w:rsidR="004A064A">
        <w:rPr>
          <w:b/>
          <w:color w:val="808080" w:themeColor="background1" w:themeShade="80"/>
          <w:sz w:val="22"/>
          <w:szCs w:val="22"/>
        </w:rPr>
        <w:t xml:space="preserve">OF </w:t>
      </w:r>
      <w:r w:rsidR="004A064A" w:rsidRPr="00664C7A">
        <w:rPr>
          <w:b/>
          <w:color w:val="808080" w:themeColor="background1" w:themeShade="80"/>
          <w:sz w:val="22"/>
          <w:szCs w:val="22"/>
        </w:rPr>
        <w:t xml:space="preserve">ORGANISATION </w:t>
      </w:r>
      <w:r w:rsidR="0067497B" w:rsidRPr="00664C7A">
        <w:rPr>
          <w:b/>
          <w:color w:val="808080" w:themeColor="background1" w:themeShade="80"/>
          <w:sz w:val="22"/>
          <w:szCs w:val="22"/>
        </w:rPr>
        <w:t xml:space="preserve"> </w:t>
      </w:r>
      <w:r w:rsidR="004A064A">
        <w:rPr>
          <w:b/>
          <w:color w:val="808080" w:themeColor="background1" w:themeShade="80"/>
          <w:sz w:val="22"/>
          <w:szCs w:val="22"/>
        </w:rPr>
        <w:t xml:space="preserve"> </w:t>
      </w:r>
      <w:permEnd w:id="28"/>
      <w:r w:rsidR="008174DC" w:rsidRPr="004A064A">
        <w:rPr>
          <w:sz w:val="22"/>
          <w:szCs w:val="22"/>
        </w:rPr>
        <w:t>for</w:t>
      </w:r>
      <w:r w:rsidR="007A2E65" w:rsidRPr="00664C7A">
        <w:rPr>
          <w:sz w:val="22"/>
          <w:szCs w:val="22"/>
        </w:rPr>
        <w:t xml:space="preserve"> the named healthcare p</w:t>
      </w:r>
      <w:r w:rsidRPr="00664C7A">
        <w:rPr>
          <w:sz w:val="22"/>
          <w:szCs w:val="22"/>
        </w:rPr>
        <w:t>rof</w:t>
      </w:r>
      <w:r w:rsidR="004A064A">
        <w:rPr>
          <w:sz w:val="22"/>
          <w:szCs w:val="22"/>
        </w:rPr>
        <w:t>essional who has signed the PGD.</w:t>
      </w:r>
    </w:p>
    <w:p w:rsidR="0068443A" w:rsidRPr="00664C7A" w:rsidRDefault="0068443A" w:rsidP="002E393D">
      <w:pPr>
        <w:pStyle w:val="BodyText"/>
        <w:rPr>
          <w:sz w:val="18"/>
          <w:szCs w:val="18"/>
        </w:rPr>
      </w:pPr>
    </w:p>
    <w:p w:rsidR="0068443A" w:rsidRPr="00664C7A" w:rsidRDefault="0068443A" w:rsidP="002E393D">
      <w:pPr>
        <w:pStyle w:val="BodyText"/>
        <w:rPr>
          <w:sz w:val="18"/>
          <w:szCs w:val="18"/>
        </w:rPr>
      </w:pPr>
      <w:permStart w:id="29" w:edGrp="everyone"/>
    </w:p>
    <w:p w:rsidR="0068443A" w:rsidRPr="00664C7A" w:rsidRDefault="0068443A" w:rsidP="002E393D">
      <w:pPr>
        <w:pStyle w:val="BodyText"/>
        <w:rPr>
          <w:sz w:val="22"/>
          <w:szCs w:val="22"/>
        </w:rPr>
      </w:pPr>
      <w:r w:rsidRPr="00664C7A">
        <w:rPr>
          <w:sz w:val="22"/>
          <w:szCs w:val="22"/>
        </w:rPr>
        <w:t>Signed…………………………………….………………………. Date………………………</w:t>
      </w:r>
      <w:r w:rsidR="006172B8" w:rsidRPr="00664C7A">
        <w:rPr>
          <w:sz w:val="22"/>
          <w:szCs w:val="22"/>
        </w:rPr>
        <w:t>..........</w:t>
      </w:r>
    </w:p>
    <w:p w:rsidR="0068443A" w:rsidRPr="00664C7A" w:rsidRDefault="0068443A" w:rsidP="002E393D">
      <w:pPr>
        <w:pStyle w:val="BodyText"/>
        <w:rPr>
          <w:sz w:val="22"/>
          <w:szCs w:val="22"/>
        </w:rPr>
      </w:pPr>
    </w:p>
    <w:p w:rsidR="0068443A" w:rsidRPr="00664C7A" w:rsidRDefault="0068443A" w:rsidP="002E393D">
      <w:pPr>
        <w:pStyle w:val="BodyText"/>
        <w:rPr>
          <w:sz w:val="22"/>
          <w:szCs w:val="22"/>
        </w:rPr>
      </w:pPr>
      <w:r w:rsidRPr="00664C7A">
        <w:rPr>
          <w:sz w:val="22"/>
          <w:szCs w:val="22"/>
        </w:rPr>
        <w:t>Name (Print)………………………..…………………………………….……………..………</w:t>
      </w:r>
      <w:r w:rsidR="006172B8" w:rsidRPr="00664C7A">
        <w:rPr>
          <w:sz w:val="22"/>
          <w:szCs w:val="22"/>
        </w:rPr>
        <w:t>..........</w:t>
      </w:r>
    </w:p>
    <w:p w:rsidR="0068443A" w:rsidRPr="00664C7A" w:rsidRDefault="0068443A" w:rsidP="002E393D">
      <w:pPr>
        <w:pStyle w:val="BodyText"/>
        <w:rPr>
          <w:sz w:val="22"/>
          <w:szCs w:val="22"/>
        </w:rPr>
      </w:pPr>
    </w:p>
    <w:p w:rsidR="0068443A" w:rsidRPr="00664C7A" w:rsidRDefault="0068443A" w:rsidP="002E393D">
      <w:pPr>
        <w:tabs>
          <w:tab w:val="left" w:pos="8789"/>
        </w:tabs>
        <w:rPr>
          <w:sz w:val="22"/>
          <w:szCs w:val="22"/>
        </w:rPr>
      </w:pPr>
      <w:r w:rsidRPr="00664C7A">
        <w:rPr>
          <w:sz w:val="22"/>
          <w:szCs w:val="22"/>
        </w:rPr>
        <w:t>Designation………………………………………………………………..…………….……</w:t>
      </w:r>
      <w:r w:rsidR="006172B8" w:rsidRPr="00664C7A">
        <w:rPr>
          <w:sz w:val="22"/>
          <w:szCs w:val="22"/>
        </w:rPr>
        <w:t>.............</w:t>
      </w:r>
    </w:p>
    <w:permEnd w:id="29"/>
    <w:p w:rsidR="0068443A" w:rsidRPr="00664C7A" w:rsidRDefault="0068443A" w:rsidP="002E393D">
      <w:pPr>
        <w:pStyle w:val="BodyText"/>
        <w:rPr>
          <w:szCs w:val="24"/>
        </w:rPr>
      </w:pPr>
    </w:p>
    <w:p w:rsidR="0068443A" w:rsidRPr="00664C7A" w:rsidRDefault="007A2E65" w:rsidP="002E393D">
      <w:pPr>
        <w:pStyle w:val="BodyText"/>
        <w:rPr>
          <w:b/>
          <w:szCs w:val="24"/>
        </w:rPr>
      </w:pPr>
      <w:r w:rsidRPr="00664C7A">
        <w:rPr>
          <w:b/>
          <w:szCs w:val="24"/>
        </w:rPr>
        <w:t>Note to authorising m</w:t>
      </w:r>
      <w:r w:rsidR="0068443A" w:rsidRPr="00664C7A">
        <w:rPr>
          <w:b/>
          <w:szCs w:val="24"/>
        </w:rPr>
        <w:t>anager</w:t>
      </w:r>
    </w:p>
    <w:p w:rsidR="0068443A" w:rsidRPr="00664C7A" w:rsidRDefault="0068443A" w:rsidP="002E393D">
      <w:pPr>
        <w:pStyle w:val="BodyText"/>
        <w:ind w:right="281"/>
        <w:rPr>
          <w:sz w:val="22"/>
          <w:szCs w:val="22"/>
        </w:rPr>
      </w:pPr>
      <w:r w:rsidRPr="00664C7A">
        <w:rPr>
          <w:sz w:val="22"/>
          <w:szCs w:val="22"/>
        </w:rPr>
        <w:t>By signing above you are confirming that you have assessed the staff member as competent to work under this PGD and that they have the organisational approval to do so</w:t>
      </w:r>
      <w:r w:rsidR="004A064A">
        <w:rPr>
          <w:sz w:val="22"/>
          <w:szCs w:val="22"/>
        </w:rPr>
        <w:t>.</w:t>
      </w:r>
    </w:p>
    <w:p w:rsidR="0068443A" w:rsidRPr="00664C7A" w:rsidRDefault="0068443A" w:rsidP="002E393D">
      <w:pPr>
        <w:pStyle w:val="BodyText"/>
        <w:ind w:right="281"/>
        <w:rPr>
          <w:sz w:val="22"/>
          <w:szCs w:val="22"/>
        </w:rPr>
      </w:pPr>
      <w:r w:rsidRPr="00664C7A">
        <w:rPr>
          <w:sz w:val="22"/>
          <w:szCs w:val="22"/>
        </w:rPr>
        <w:t>You mus</w:t>
      </w:r>
      <w:r w:rsidR="007A2E65" w:rsidRPr="00664C7A">
        <w:rPr>
          <w:sz w:val="22"/>
          <w:szCs w:val="22"/>
        </w:rPr>
        <w:t>t give this signed PGD to each authorised p</w:t>
      </w:r>
      <w:r w:rsidRPr="00664C7A">
        <w:rPr>
          <w:sz w:val="22"/>
          <w:szCs w:val="22"/>
        </w:rPr>
        <w:t>ractitioner as it shows their authorisation to use the PGD</w:t>
      </w:r>
      <w:r w:rsidR="004A064A">
        <w:rPr>
          <w:sz w:val="22"/>
          <w:szCs w:val="22"/>
        </w:rPr>
        <w:t>.</w:t>
      </w:r>
    </w:p>
    <w:p w:rsidR="0068443A" w:rsidRPr="00664C7A" w:rsidRDefault="0068443A" w:rsidP="002E393D"/>
    <w:sectPr w:rsidR="0068443A" w:rsidRPr="00664C7A" w:rsidSect="009034DA">
      <w:headerReference w:type="default" r:id="rId23"/>
      <w:footerReference w:type="default" r:id="rId24"/>
      <w:headerReference w:type="first" r:id="rId25"/>
      <w:footerReference w:type="first" r:id="rId26"/>
      <w:pgSz w:w="11906" w:h="16838" w:code="9"/>
      <w:pgMar w:top="1021" w:right="1021" w:bottom="1134" w:left="1021" w:header="72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22" w:rsidRDefault="00673622" w:rsidP="00B37C58">
      <w:r>
        <w:separator/>
      </w:r>
    </w:p>
  </w:endnote>
  <w:endnote w:type="continuationSeparator" w:id="0">
    <w:p w:rsidR="00673622" w:rsidRDefault="00673622" w:rsidP="00B3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2" w:rsidRDefault="00740E72" w:rsidP="002232AB">
    <w:pPr>
      <w:pStyle w:val="Footer"/>
      <w:rPr>
        <w:rFonts w:ascii="Arial" w:hAnsi="Arial"/>
        <w:sz w:val="20"/>
      </w:rPr>
    </w:pPr>
    <w:r>
      <w:rPr>
        <w:rFonts w:ascii="Arial" w:hAnsi="Arial"/>
        <w:i/>
        <w:sz w:val="20"/>
      </w:rPr>
      <w:t xml:space="preserve">Oseltamivir prophylaxis PGD </w:t>
    </w:r>
    <w:r w:rsidRPr="00E47B6D">
      <w:rPr>
        <w:rFonts w:ascii="Arial" w:hAnsi="Arial"/>
        <w:i/>
        <w:sz w:val="20"/>
      </w:rPr>
      <w:t>v</w:t>
    </w:r>
    <w:r>
      <w:rPr>
        <w:rFonts w:ascii="Arial" w:hAnsi="Arial"/>
        <w:i/>
        <w:sz w:val="20"/>
      </w:rPr>
      <w:t>02.00</w:t>
    </w:r>
    <w:r w:rsidRPr="00E47B6D">
      <w:rPr>
        <w:rFonts w:ascii="Arial" w:hAnsi="Arial"/>
        <w:i/>
        <w:sz w:val="20"/>
      </w:rPr>
      <w:t xml:space="preserve"> Valid from:</w:t>
    </w:r>
    <w:r>
      <w:rPr>
        <w:rFonts w:ascii="Arial" w:hAnsi="Arial"/>
        <w:i/>
        <w:sz w:val="20"/>
      </w:rPr>
      <w:t xml:space="preserve"> 7 January 2016</w:t>
    </w:r>
    <w:r w:rsidRPr="00E47B6D">
      <w:rPr>
        <w:rFonts w:ascii="Arial" w:hAnsi="Arial"/>
        <w:i/>
        <w:sz w:val="20"/>
      </w:rPr>
      <w:t xml:space="preserve"> </w:t>
    </w:r>
    <w:r>
      <w:rPr>
        <w:rFonts w:ascii="Arial" w:hAnsi="Arial"/>
        <w:i/>
        <w:sz w:val="20"/>
      </w:rPr>
      <w:t>Expiry: 7 January 2019</w:t>
    </w:r>
    <w:r w:rsidRPr="0004464D">
      <w:rPr>
        <w:rFonts w:ascii="Arial" w:hAnsi="Arial"/>
        <w:sz w:val="20"/>
      </w:rPr>
      <w:tab/>
    </w:r>
  </w:p>
  <w:p w:rsidR="00740E72" w:rsidRPr="0004464D" w:rsidRDefault="00740E72"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3C6FC5">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3C6FC5">
      <w:rPr>
        <w:rStyle w:val="PageNumber"/>
        <w:rFonts w:ascii="Arial" w:hAnsi="Arial"/>
        <w:noProof/>
        <w:sz w:val="20"/>
      </w:rPr>
      <w:t>14</w:t>
    </w:r>
    <w:r w:rsidRPr="0004464D">
      <w:rPr>
        <w:rStyle w:val="PageNumber"/>
        <w:rFonts w:ascii="Arial" w:hAnsi="Arial"/>
        <w:sz w:val="20"/>
      </w:rPr>
      <w:fldChar w:fldCharType="end"/>
    </w:r>
  </w:p>
  <w:p w:rsidR="00740E72" w:rsidRDefault="00740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2" w:rsidRDefault="00740E72" w:rsidP="001700C1">
    <w:pPr>
      <w:pStyle w:val="Footer"/>
      <w:rPr>
        <w:rFonts w:ascii="Arial" w:hAnsi="Arial"/>
        <w:sz w:val="20"/>
      </w:rPr>
    </w:pPr>
    <w:r>
      <w:rPr>
        <w:rFonts w:ascii="Arial" w:hAnsi="Arial"/>
        <w:i/>
        <w:sz w:val="20"/>
      </w:rPr>
      <w:t xml:space="preserve">Oseltamivir prophylaxis PGD </w:t>
    </w:r>
    <w:r w:rsidRPr="00E47B6D">
      <w:rPr>
        <w:rFonts w:ascii="Arial" w:hAnsi="Arial"/>
        <w:i/>
        <w:sz w:val="20"/>
      </w:rPr>
      <w:t>v</w:t>
    </w:r>
    <w:r>
      <w:rPr>
        <w:rFonts w:ascii="Arial" w:hAnsi="Arial"/>
        <w:i/>
        <w:sz w:val="20"/>
      </w:rPr>
      <w:t>02.00</w:t>
    </w:r>
    <w:r w:rsidRPr="00E47B6D">
      <w:rPr>
        <w:rFonts w:ascii="Arial" w:hAnsi="Arial"/>
        <w:i/>
        <w:sz w:val="20"/>
      </w:rPr>
      <w:t xml:space="preserve"> Valid from:</w:t>
    </w:r>
    <w:r>
      <w:rPr>
        <w:rFonts w:ascii="Arial" w:hAnsi="Arial"/>
        <w:i/>
        <w:sz w:val="20"/>
      </w:rPr>
      <w:t xml:space="preserve"> 7 January 2016</w:t>
    </w:r>
    <w:r w:rsidRPr="00E47B6D">
      <w:rPr>
        <w:rFonts w:ascii="Arial" w:hAnsi="Arial"/>
        <w:i/>
        <w:sz w:val="20"/>
      </w:rPr>
      <w:t xml:space="preserve"> </w:t>
    </w:r>
    <w:r>
      <w:rPr>
        <w:rFonts w:ascii="Arial" w:hAnsi="Arial"/>
        <w:i/>
        <w:sz w:val="20"/>
      </w:rPr>
      <w:t>Expiry: 7 January 2019</w:t>
    </w:r>
    <w:r w:rsidRPr="0004464D">
      <w:rPr>
        <w:rFonts w:ascii="Arial" w:hAnsi="Arial"/>
        <w:sz w:val="20"/>
      </w:rPr>
      <w:tab/>
    </w:r>
  </w:p>
  <w:p w:rsidR="00740E72" w:rsidRPr="0004464D" w:rsidRDefault="00740E72"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673622">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673622">
      <w:rPr>
        <w:rStyle w:val="PageNumber"/>
        <w:rFonts w:ascii="Arial" w:hAnsi="Arial"/>
        <w:noProof/>
        <w:sz w:val="20"/>
      </w:rPr>
      <w:t>1</w:t>
    </w:r>
    <w:r w:rsidRPr="0004464D">
      <w:rPr>
        <w:rStyle w:val="PageNumber"/>
        <w:rFonts w:ascii="Arial" w:hAnsi="Arial"/>
        <w:sz w:val="20"/>
      </w:rPr>
      <w:fldChar w:fldCharType="end"/>
    </w:r>
  </w:p>
  <w:p w:rsidR="00740E72" w:rsidRDefault="00740E72" w:rsidP="001700C1">
    <w:pPr>
      <w:pStyle w:val="Footer"/>
      <w:tabs>
        <w:tab w:val="clear" w:pos="4153"/>
        <w:tab w:val="clear" w:pos="8306"/>
        <w:tab w:val="left" w:pos="69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22" w:rsidRDefault="00673622" w:rsidP="00B37C58">
      <w:r>
        <w:separator/>
      </w:r>
    </w:p>
  </w:footnote>
  <w:footnote w:type="continuationSeparator" w:id="0">
    <w:p w:rsidR="00673622" w:rsidRDefault="00673622" w:rsidP="00B37C58">
      <w:r>
        <w:continuationSeparator/>
      </w:r>
    </w:p>
  </w:footnote>
  <w:footnote w:id="1">
    <w:p w:rsidR="00740E72" w:rsidRPr="00B47AAA" w:rsidRDefault="00740E72" w:rsidP="00B47AAA">
      <w:pPr>
        <w:pStyle w:val="NormalWeb"/>
        <w:spacing w:before="0" w:beforeAutospacing="0" w:after="120" w:afterAutospacing="0"/>
        <w:rPr>
          <w:rFonts w:ascii="Arial" w:hAnsi="Arial" w:cs="Arial"/>
          <w:sz w:val="20"/>
          <w:szCs w:val="20"/>
        </w:rPr>
      </w:pPr>
      <w:r w:rsidRPr="00B47AAA">
        <w:rPr>
          <w:rStyle w:val="FootnoteReference"/>
          <w:rFonts w:ascii="Arial" w:hAnsi="Arial" w:cs="Arial"/>
          <w:sz w:val="20"/>
          <w:szCs w:val="20"/>
        </w:rPr>
        <w:footnoteRef/>
      </w:r>
      <w:r w:rsidRPr="00B47AAA">
        <w:rPr>
          <w:rFonts w:ascii="Arial" w:hAnsi="Arial" w:cs="Arial"/>
          <w:sz w:val="20"/>
          <w:szCs w:val="20"/>
        </w:rPr>
        <w:t xml:space="preserve"> PGDs can be used for the NHS and those services funded by the NHS that are provided by the</w:t>
      </w:r>
      <w:r>
        <w:rPr>
          <w:rFonts w:ascii="Arial" w:hAnsi="Arial" w:cs="Arial"/>
          <w:sz w:val="20"/>
          <w:szCs w:val="20"/>
        </w:rPr>
        <w:t xml:space="preserve"> independent</w:t>
      </w:r>
      <w:r w:rsidRPr="00B47AAA">
        <w:rPr>
          <w:rFonts w:ascii="Arial" w:hAnsi="Arial" w:cs="Arial"/>
          <w:sz w:val="20"/>
          <w:szCs w:val="20"/>
        </w:rPr>
        <w:t>, voluntary or charitable sector</w:t>
      </w:r>
      <w:r>
        <w:rPr>
          <w:rFonts w:ascii="Arial" w:hAnsi="Arial" w:cs="Arial"/>
          <w:sz w:val="20"/>
          <w:szCs w:val="20"/>
        </w:rPr>
        <w:t>s</w:t>
      </w:r>
      <w:r w:rsidRPr="00B47AAA">
        <w:rPr>
          <w:rFonts w:ascii="Arial" w:hAnsi="Arial" w:cs="Arial"/>
          <w:sz w:val="20"/>
          <w:szCs w:val="20"/>
        </w:rPr>
        <w:t>.</w:t>
      </w:r>
      <w:r w:rsidRPr="00B47AAA">
        <w:rPr>
          <w:rStyle w:val="Strong"/>
          <w:rFonts w:ascii="Arial" w:hAnsi="Arial" w:cs="Arial"/>
          <w:sz w:val="20"/>
          <w:szCs w:val="20"/>
        </w:rPr>
        <w:t xml:space="preserve"> </w:t>
      </w:r>
      <w:r w:rsidRPr="00B47AAA">
        <w:rPr>
          <w:rStyle w:val="Strong"/>
          <w:rFonts w:ascii="Arial" w:hAnsi="Arial" w:cs="Arial"/>
          <w:b w:val="0"/>
          <w:bCs w:val="0"/>
          <w:sz w:val="20"/>
          <w:szCs w:val="20"/>
        </w:rPr>
        <w:t>However, PGDs do not extend to independent and public sector care homes that provide healthcare</w:t>
      </w:r>
      <w:r w:rsidRPr="005A2D2B">
        <w:rPr>
          <w:rStyle w:val="Strong"/>
          <w:rFonts w:ascii="Arial" w:hAnsi="Arial" w:cs="Arial"/>
          <w:b w:val="0"/>
          <w:bCs w:val="0"/>
          <w:sz w:val="20"/>
          <w:szCs w:val="20"/>
        </w:rPr>
        <w:t xml:space="preserve"> </w:t>
      </w:r>
      <w:r w:rsidRPr="00B47AAA">
        <w:rPr>
          <w:rStyle w:val="Strong"/>
          <w:rFonts w:ascii="Arial" w:hAnsi="Arial" w:cs="Arial"/>
          <w:b w:val="0"/>
          <w:bCs w:val="0"/>
          <w:sz w:val="20"/>
          <w:szCs w:val="20"/>
          <w:u w:val="single"/>
        </w:rPr>
        <w:t>entirely</w:t>
      </w:r>
      <w:r w:rsidRPr="00B47AAA">
        <w:rPr>
          <w:rStyle w:val="Strong"/>
          <w:rFonts w:ascii="Arial" w:hAnsi="Arial" w:cs="Arial"/>
          <w:b w:val="0"/>
          <w:bCs w:val="0"/>
          <w:sz w:val="20"/>
          <w:szCs w:val="20"/>
        </w:rPr>
        <w:t xml:space="preserve"> outside the NHS.</w:t>
      </w:r>
      <w:r w:rsidRPr="00B47AAA">
        <w:rPr>
          <w:rFonts w:ascii="Arial" w:hAnsi="Arial" w:cs="Arial"/>
          <w:sz w:val="20"/>
          <w:szCs w:val="20"/>
        </w:rPr>
        <w:t xml:space="preserve"> An NHS body cannot authorise a PGD for a care home to supply or administer medicines under PGD. </w:t>
      </w:r>
    </w:p>
    <w:p w:rsidR="00740E72" w:rsidRPr="00B47AAA" w:rsidRDefault="00740E72" w:rsidP="00B47AAA">
      <w:pPr>
        <w:pStyle w:val="NormalWeb"/>
        <w:spacing w:before="0" w:beforeAutospacing="0" w:after="0" w:afterAutospacing="0"/>
        <w:rPr>
          <w:rFonts w:ascii="Arial" w:hAnsi="Arial" w:cs="Arial"/>
          <w:sz w:val="20"/>
          <w:szCs w:val="20"/>
        </w:rPr>
      </w:pPr>
      <w:r w:rsidRPr="00B47AAA">
        <w:rPr>
          <w:rFonts w:ascii="Arial" w:hAnsi="Arial" w:cs="Arial"/>
          <w:sz w:val="20"/>
          <w:szCs w:val="20"/>
        </w:rPr>
        <w:t xml:space="preserve">Therefore the supply of oseltamivir under PGD to </w:t>
      </w:r>
      <w:r>
        <w:rPr>
          <w:rFonts w:ascii="Arial" w:hAnsi="Arial" w:cs="Arial"/>
          <w:sz w:val="20"/>
          <w:szCs w:val="20"/>
        </w:rPr>
        <w:t>c</w:t>
      </w:r>
      <w:r w:rsidRPr="00B47AAA">
        <w:rPr>
          <w:rFonts w:ascii="Arial" w:hAnsi="Arial" w:cs="Arial"/>
          <w:sz w:val="20"/>
          <w:szCs w:val="20"/>
        </w:rPr>
        <w:t xml:space="preserve">are </w:t>
      </w:r>
      <w:r>
        <w:rPr>
          <w:rFonts w:ascii="Arial" w:hAnsi="Arial" w:cs="Arial"/>
          <w:sz w:val="20"/>
          <w:szCs w:val="20"/>
        </w:rPr>
        <w:t>h</w:t>
      </w:r>
      <w:r w:rsidRPr="00B47AAA">
        <w:rPr>
          <w:rFonts w:ascii="Arial" w:hAnsi="Arial" w:cs="Arial"/>
          <w:sz w:val="20"/>
          <w:szCs w:val="20"/>
        </w:rPr>
        <w:t xml:space="preserve">ome residents must be undertaken by NHS-employed healthcare professionals. The medicine may then be self administered or administered by care home staff where there are appropriate governance arrangements in place.  Further information is available on the NHS PGD Website. </w:t>
      </w:r>
    </w:p>
    <w:p w:rsidR="00740E72" w:rsidRDefault="00740E72">
      <w:pPr>
        <w:pStyle w:val="FootnoteText"/>
      </w:pPr>
    </w:p>
  </w:footnote>
  <w:footnote w:id="2">
    <w:p w:rsidR="00740E72" w:rsidRDefault="00740E72" w:rsidP="006F7FED">
      <w:pPr>
        <w:pStyle w:val="FootnoteText"/>
        <w:ind w:left="142" w:hanging="142"/>
      </w:pPr>
      <w:r>
        <w:rPr>
          <w:rStyle w:val="FootnoteReference"/>
        </w:rPr>
        <w:footnoteRef/>
      </w:r>
      <w:r>
        <w:t xml:space="preserve"> Public Health England uses information from a range of clinical, virological and epidemiological influenza surveillance schemes to identify periods when there is a substantial likelihood that people presenting with an influenza-like illness are infected with influenza virus</w:t>
      </w:r>
    </w:p>
  </w:footnote>
  <w:footnote w:id="3">
    <w:p w:rsidR="00740E72" w:rsidRDefault="00740E72" w:rsidP="006F7FED">
      <w:pPr>
        <w:pStyle w:val="FootnoteText"/>
        <w:ind w:left="142" w:hanging="142"/>
      </w:pPr>
      <w:r>
        <w:rPr>
          <w:rStyle w:val="FootnoteReference"/>
        </w:rPr>
        <w:footnoteRef/>
      </w:r>
      <w:r>
        <w:t xml:space="preserve"> Close c</w:t>
      </w:r>
      <w:r w:rsidRPr="00C15D49">
        <w:t>ontact is defined as</w:t>
      </w:r>
      <w:r>
        <w:t xml:space="preserve"> l</w:t>
      </w:r>
      <w:r w:rsidRPr="00C15D49">
        <w:t>iving in the same home where the probable or confirmed case was living or working</w:t>
      </w:r>
      <w:r>
        <w:t xml:space="preserve"> or c</w:t>
      </w:r>
      <w:r w:rsidRPr="00C15D49">
        <w:t>oming within speaking distance (&lt;1 metre) of a probable or confirmed case or someone exhibiting symptoms of an influenza-like illness</w:t>
      </w:r>
    </w:p>
  </w:footnote>
  <w:footnote w:id="4">
    <w:p w:rsidR="00740E72" w:rsidRPr="006B0822" w:rsidRDefault="00740E72" w:rsidP="006B0822">
      <w:pPr>
        <w:ind w:left="142" w:hanging="142"/>
        <w:rPr>
          <w:rFonts w:cs="Arial"/>
        </w:rPr>
      </w:pPr>
      <w:r>
        <w:rPr>
          <w:rStyle w:val="FootnoteReference"/>
        </w:rPr>
        <w:footnoteRef/>
      </w:r>
      <w:r>
        <w:t xml:space="preserve"> </w:t>
      </w:r>
      <w:r w:rsidRPr="002E6DEE">
        <w:rPr>
          <w:rFonts w:cs="Arial"/>
          <w:sz w:val="20"/>
        </w:rPr>
        <w:t>People who are not effectively protected by vaccination include those who have not been vaccinated since the previous influenza season, those for whom the vaccine is contraindicated, or in whom it has yet to take effect and those who have been vaccinated with a vaccine that is not well matched to the circulating strain of influenza virus, according to information from Public Health England</w:t>
      </w:r>
    </w:p>
  </w:footnote>
  <w:footnote w:id="5">
    <w:p w:rsidR="00740E72" w:rsidRPr="0010580B" w:rsidRDefault="00740E72" w:rsidP="006F7FED">
      <w:pPr>
        <w:ind w:left="142" w:hanging="142"/>
        <w:rPr>
          <w:color w:val="1F497D"/>
        </w:rPr>
      </w:pPr>
      <w:r w:rsidRPr="00FB5E1C">
        <w:rPr>
          <w:rStyle w:val="FootnoteReference"/>
          <w:sz w:val="20"/>
        </w:rPr>
        <w:footnoteRef/>
      </w:r>
      <w:r w:rsidRPr="00FB5E1C">
        <w:rPr>
          <w:sz w:val="20"/>
        </w:rPr>
        <w:t xml:space="preserve"> </w:t>
      </w:r>
      <w:r w:rsidRPr="00101E2B">
        <w:rPr>
          <w:sz w:val="20"/>
        </w:rPr>
        <w:t>Care workers wh</w:t>
      </w:r>
      <w:r>
        <w:rPr>
          <w:sz w:val="20"/>
        </w:rPr>
        <w:t xml:space="preserve">o are in an ‘at risk’ group </w:t>
      </w:r>
      <w:r w:rsidRPr="00101E2B">
        <w:rPr>
          <w:sz w:val="20"/>
        </w:rPr>
        <w:t>are at risk of complic</w:t>
      </w:r>
      <w:r>
        <w:rPr>
          <w:sz w:val="20"/>
        </w:rPr>
        <w:t xml:space="preserve">ated influenza and require post </w:t>
      </w:r>
      <w:r w:rsidRPr="00101E2B">
        <w:rPr>
          <w:sz w:val="20"/>
        </w:rPr>
        <w:t>exposure prophylaxis</w:t>
      </w:r>
      <w:r>
        <w:rPr>
          <w:color w:val="1F497D"/>
          <w:sz w:val="20"/>
        </w:rPr>
        <w:t xml:space="preserve"> </w:t>
      </w:r>
    </w:p>
  </w:footnote>
  <w:footnote w:id="6">
    <w:p w:rsidR="00740E72" w:rsidRPr="004E3683" w:rsidRDefault="00740E72"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w:t>
      </w:r>
      <w:r w:rsidR="00D22FF8">
        <w:rPr>
          <w:rFonts w:cs="Arial"/>
          <w:sz w:val="20"/>
        </w:rPr>
        <w:t>ated, but it would be outside the</w:t>
      </w:r>
      <w:r w:rsidRPr="004E3683">
        <w:rPr>
          <w:rFonts w:cs="Arial"/>
          <w:sz w:val="20"/>
        </w:rPr>
        <w:t xml:space="preserve"> remit </w:t>
      </w:r>
      <w:r w:rsidR="00D22FF8">
        <w:rPr>
          <w:rFonts w:cs="Arial"/>
          <w:sz w:val="20"/>
        </w:rPr>
        <w:t xml:space="preserve">of the PGD </w:t>
      </w:r>
      <w:r w:rsidRPr="004E3683">
        <w:rPr>
          <w:rFonts w:cs="Arial"/>
          <w:sz w:val="20"/>
        </w:rPr>
        <w:t>and another form of authorisation will be required</w:t>
      </w:r>
    </w:p>
    <w:p w:rsidR="00740E72" w:rsidRDefault="00740E72" w:rsidP="006D2947">
      <w:pPr>
        <w:pStyle w:val="FootnoteText"/>
      </w:pPr>
    </w:p>
  </w:footnote>
  <w:footnote w:id="7">
    <w:p w:rsidR="00740E72" w:rsidRDefault="00740E72">
      <w:pPr>
        <w:pStyle w:val="FootnoteText"/>
      </w:pPr>
      <w:r>
        <w:rPr>
          <w:rStyle w:val="FootnoteReference"/>
        </w:rPr>
        <w:footnoteRef/>
      </w:r>
      <w:r>
        <w:t xml:space="preserve"> The product licence covers</w:t>
      </w:r>
      <w:r w:rsidRPr="004858BA">
        <w:t xml:space="preserve"> </w:t>
      </w:r>
      <w:r w:rsidRPr="004858BA">
        <w:rPr>
          <w:rFonts w:cs="Arial"/>
        </w:rPr>
        <w:t xml:space="preserve">post-exposure prevention following contact with a clinically diagnosed influenza case </w:t>
      </w:r>
      <w:r w:rsidRPr="007F3097">
        <w:rPr>
          <w:rFonts w:cs="Arial"/>
          <w:i/>
        </w:rPr>
        <w:t>when influenza virus is circulating in the community.</w:t>
      </w:r>
      <w:r>
        <w:rPr>
          <w:rFonts w:cs="Arial"/>
        </w:rPr>
        <w:t xml:space="preserve"> However NICE guidelines recommend  oseltamivir can be used during </w:t>
      </w:r>
      <w:r w:rsidRPr="007F3097">
        <w:rPr>
          <w:rFonts w:cs="Arial"/>
        </w:rPr>
        <w:t xml:space="preserve">localised outbreaks of ILI </w:t>
      </w:r>
      <w:r w:rsidRPr="007F3097">
        <w:rPr>
          <w:i/>
        </w:rPr>
        <w:t>outside the periods when national surveillance indicates that influenza virus is circulating generally in the community</w:t>
      </w:r>
      <w:r w:rsidRPr="007F3097">
        <w:rPr>
          <w:rFonts w:cs="Arial"/>
          <w:i/>
        </w:rPr>
        <w:t>,</w:t>
      </w:r>
      <w:r w:rsidRPr="007F3097">
        <w:rPr>
          <w:rFonts w:cs="Arial"/>
        </w:rPr>
        <w:t xml:space="preserve"> in ‘at-risk’ people living in long-te</w:t>
      </w:r>
      <w:r>
        <w:rPr>
          <w:rFonts w:cs="Arial"/>
        </w:rPr>
        <w:t>rm residential or nursing homes.</w:t>
      </w:r>
    </w:p>
  </w:footnote>
  <w:footnote w:id="8">
    <w:p w:rsidR="00740E72" w:rsidRDefault="00740E72" w:rsidP="00EC5B5B">
      <w:pPr>
        <w:pStyle w:val="FootnoteText"/>
      </w:pPr>
      <w:r>
        <w:rPr>
          <w:rStyle w:val="FootnoteReference"/>
        </w:rPr>
        <w:footnoteRef/>
      </w:r>
      <w:r>
        <w:t xml:space="preserve"> Reference: PHE Seasonal Influenza antivirals guidance October 2015</w:t>
      </w:r>
    </w:p>
  </w:footnote>
  <w:footnote w:id="9">
    <w:p w:rsidR="00740E72" w:rsidRDefault="00740E72" w:rsidP="00E01AFB">
      <w:pPr>
        <w:pStyle w:val="FootnoteText"/>
      </w:pPr>
      <w:r>
        <w:rPr>
          <w:rStyle w:val="FootnoteReference"/>
        </w:rPr>
        <w:footnoteRef/>
      </w:r>
      <w:r>
        <w:t xml:space="preserve"> </w:t>
      </w:r>
      <w:hyperlink r:id="rId1" w:history="1">
        <w:r w:rsidR="00D22FF8" w:rsidRPr="00C77A0E">
          <w:rPr>
            <w:rStyle w:val="Hyperlink"/>
          </w:rPr>
          <w:t>www.gov.uk/government/uploads/system/uploads/attachment_data/file/457735/PHE_guidance_antivirals_influenza_2015_to_2016.pdf</w:t>
        </w:r>
      </w:hyperlink>
      <w:r w:rsidR="00D22FF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2" w:rsidRDefault="00740E72" w:rsidP="000141CA">
    <w:pPr>
      <w:pStyle w:val="Header"/>
    </w:pPr>
  </w:p>
  <w:p w:rsidR="00740E72" w:rsidRPr="002B3FF5" w:rsidRDefault="00740E72" w:rsidP="006F4906">
    <w:pPr>
      <w:pStyle w:val="Header"/>
      <w:jc w:val="right"/>
      <w:rPr>
        <w:rFonts w:ascii="Arial" w:hAnsi="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2" w:rsidRDefault="00740E72">
    <w:pPr>
      <w:pStyle w:val="Header"/>
    </w:pPr>
    <w:r w:rsidRPr="00CC4622">
      <w:rPr>
        <w:noProof/>
      </w:rPr>
      <w:drawing>
        <wp:inline distT="0" distB="0" distL="0" distR="0">
          <wp:extent cx="1558290" cy="1009650"/>
          <wp:effectExtent l="0" t="0" r="3810" b="0"/>
          <wp:docPr id="9"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290" cy="1009650"/>
                  </a:xfrm>
                  <a:prstGeom prst="rect">
                    <a:avLst/>
                  </a:prstGeom>
                  <a:noFill/>
                  <a:ln>
                    <a:noFill/>
                  </a:ln>
                </pic:spPr>
              </pic:pic>
            </a:graphicData>
          </a:graphic>
        </wp:inline>
      </w:drawing>
    </w:r>
    <w:r w:rsidRPr="00CC4622">
      <w:rPr>
        <w:noProof/>
      </w:rPr>
      <w:drawing>
        <wp:anchor distT="0" distB="0" distL="114300" distR="114300" simplePos="0" relativeHeight="251659264" behindDoc="1" locked="0" layoutInCell="1" allowOverlap="1">
          <wp:simplePos x="0" y="0"/>
          <wp:positionH relativeFrom="column">
            <wp:posOffset>5124312</wp:posOffset>
          </wp:positionH>
          <wp:positionV relativeFrom="paragraph">
            <wp:posOffset>75537</wp:posOffset>
          </wp:positionV>
          <wp:extent cx="1129085" cy="683813"/>
          <wp:effectExtent l="0" t="0" r="0" b="0"/>
          <wp:wrapTight wrapText="bothSides">
            <wp:wrapPolygon edited="0">
              <wp:start x="0" y="0"/>
              <wp:lineTo x="0" y="21000"/>
              <wp:lineTo x="21067" y="21000"/>
              <wp:lineTo x="21067"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685800"/>
                  </a:xfrm>
                  <a:prstGeom prst="rect">
                    <a:avLst/>
                  </a:prstGeom>
                  <a:noFill/>
                </pic:spPr>
              </pic:pic>
            </a:graphicData>
          </a:graphic>
        </wp:anchor>
      </w:drawing>
    </w:r>
  </w:p>
  <w:p w:rsidR="00740E72" w:rsidRDefault="00740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84C810"/>
    <w:lvl w:ilvl="0">
      <w:numFmt w:val="bullet"/>
      <w:lvlText w:val="*"/>
      <w:lvlJc w:val="left"/>
    </w:lvl>
  </w:abstractNum>
  <w:abstractNum w:abstractNumId="1">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67783"/>
    <w:multiLevelType w:val="hybridMultilevel"/>
    <w:tmpl w:val="601C76D4"/>
    <w:lvl w:ilvl="0" w:tplc="0809000F">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F76B39"/>
    <w:multiLevelType w:val="hybridMultilevel"/>
    <w:tmpl w:val="BA0CF37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8">
    <w:nsid w:val="3D04084E"/>
    <w:multiLevelType w:val="hybridMultilevel"/>
    <w:tmpl w:val="5D7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8C1049"/>
    <w:multiLevelType w:val="hybridMultilevel"/>
    <w:tmpl w:val="3AF08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10178EB"/>
    <w:multiLevelType w:val="hybridMultilevel"/>
    <w:tmpl w:val="2BD861AC"/>
    <w:lvl w:ilvl="0" w:tplc="19B6BD8E">
      <w:start w:val="5"/>
      <w:numFmt w:val="decimal"/>
      <w:lvlText w:val="%1."/>
      <w:lvlJc w:val="left"/>
      <w:pPr>
        <w:tabs>
          <w:tab w:val="num" w:pos="0"/>
        </w:tabs>
        <w:ind w:left="397" w:hanging="397"/>
      </w:pPr>
      <w:rPr>
        <w:rFonts w:hint="default"/>
        <w:b/>
        <w:i w:val="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3"/>
  </w:num>
  <w:num w:numId="4">
    <w:abstractNumId w:val="0"/>
    <w:lvlOverride w:ilvl="0">
      <w:lvl w:ilvl="0">
        <w:start w:val="1"/>
        <w:numFmt w:val="bullet"/>
        <w:lvlText w:val="-"/>
        <w:legacy w:legacy="1" w:legacySpace="120" w:legacyIndent="360"/>
        <w:lvlJc w:val="left"/>
        <w:pPr>
          <w:ind w:left="860" w:hanging="360"/>
        </w:pPr>
      </w:lvl>
    </w:lvlOverride>
  </w:num>
  <w:num w:numId="5">
    <w:abstractNumId w:val="15"/>
  </w:num>
  <w:num w:numId="6">
    <w:abstractNumId w:val="14"/>
  </w:num>
  <w:num w:numId="7">
    <w:abstractNumId w:val="5"/>
  </w:num>
  <w:num w:numId="8">
    <w:abstractNumId w:val="9"/>
  </w:num>
  <w:num w:numId="9">
    <w:abstractNumId w:val="11"/>
  </w:num>
  <w:num w:numId="10">
    <w:abstractNumId w:val="10"/>
  </w:num>
  <w:num w:numId="11">
    <w:abstractNumId w:val="4"/>
  </w:num>
  <w:num w:numId="12">
    <w:abstractNumId w:val="1"/>
  </w:num>
  <w:num w:numId="13">
    <w:abstractNumId w:val="21"/>
  </w:num>
  <w:num w:numId="14">
    <w:abstractNumId w:val="7"/>
  </w:num>
  <w:num w:numId="15">
    <w:abstractNumId w:val="19"/>
  </w:num>
  <w:num w:numId="16">
    <w:abstractNumId w:val="12"/>
  </w:num>
  <w:num w:numId="17">
    <w:abstractNumId w:val="20"/>
  </w:num>
  <w:num w:numId="18">
    <w:abstractNumId w:val="16"/>
  </w:num>
  <w:num w:numId="19">
    <w:abstractNumId w:val="8"/>
  </w:num>
  <w:num w:numId="20">
    <w:abstractNumId w:val="2"/>
  </w:num>
  <w:num w:numId="21">
    <w:abstractNumId w:val="18"/>
  </w:num>
  <w:num w:numId="22">
    <w:abstractNumId w:val="6"/>
  </w:num>
  <w:num w:numId="23">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ocumentProtection w:edit="comments" w:enforcement="1" w:cryptProviderType="rsaFull" w:cryptAlgorithmClass="hash" w:cryptAlgorithmType="typeAny" w:cryptAlgorithmSid="4" w:cryptSpinCount="100000" w:hash="IECn8B+qkRZsY+14XyQmjSEGCyc=" w:salt="+RRsYUN6BJLQze50LGoXqg=="/>
  <w:defaultTabStop w:val="720"/>
  <w:drawingGridHorizontalSpacing w:val="12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B37C58"/>
    <w:rsid w:val="00000A1D"/>
    <w:rsid w:val="00004A2E"/>
    <w:rsid w:val="0000799E"/>
    <w:rsid w:val="00007B0A"/>
    <w:rsid w:val="000141CA"/>
    <w:rsid w:val="00017E84"/>
    <w:rsid w:val="0002382A"/>
    <w:rsid w:val="00032A94"/>
    <w:rsid w:val="0003410C"/>
    <w:rsid w:val="000422B0"/>
    <w:rsid w:val="00045229"/>
    <w:rsid w:val="00050612"/>
    <w:rsid w:val="000525B7"/>
    <w:rsid w:val="00053AE7"/>
    <w:rsid w:val="0007202A"/>
    <w:rsid w:val="00073AFC"/>
    <w:rsid w:val="000753FC"/>
    <w:rsid w:val="00076359"/>
    <w:rsid w:val="000772DA"/>
    <w:rsid w:val="00080CC6"/>
    <w:rsid w:val="0008353A"/>
    <w:rsid w:val="00083E18"/>
    <w:rsid w:val="00085193"/>
    <w:rsid w:val="00094CC5"/>
    <w:rsid w:val="000A729C"/>
    <w:rsid w:val="000B2F98"/>
    <w:rsid w:val="000B4B46"/>
    <w:rsid w:val="000B7314"/>
    <w:rsid w:val="000C0FE6"/>
    <w:rsid w:val="000C559F"/>
    <w:rsid w:val="000D3742"/>
    <w:rsid w:val="000F3444"/>
    <w:rsid w:val="000F37A4"/>
    <w:rsid w:val="000F4070"/>
    <w:rsid w:val="000F4A6E"/>
    <w:rsid w:val="000F7418"/>
    <w:rsid w:val="00101E2B"/>
    <w:rsid w:val="00102580"/>
    <w:rsid w:val="0010440E"/>
    <w:rsid w:val="0010580B"/>
    <w:rsid w:val="00107891"/>
    <w:rsid w:val="00107895"/>
    <w:rsid w:val="00116A7B"/>
    <w:rsid w:val="00120134"/>
    <w:rsid w:val="00120EBC"/>
    <w:rsid w:val="001265A6"/>
    <w:rsid w:val="00131A52"/>
    <w:rsid w:val="001356BD"/>
    <w:rsid w:val="00137AE2"/>
    <w:rsid w:val="00145831"/>
    <w:rsid w:val="00145CAC"/>
    <w:rsid w:val="00151778"/>
    <w:rsid w:val="00151E39"/>
    <w:rsid w:val="00152DDD"/>
    <w:rsid w:val="00153C2B"/>
    <w:rsid w:val="00155D9C"/>
    <w:rsid w:val="00161630"/>
    <w:rsid w:val="001700C1"/>
    <w:rsid w:val="001718FD"/>
    <w:rsid w:val="00171903"/>
    <w:rsid w:val="00172756"/>
    <w:rsid w:val="00172879"/>
    <w:rsid w:val="00176E60"/>
    <w:rsid w:val="001776DE"/>
    <w:rsid w:val="00182701"/>
    <w:rsid w:val="001925B8"/>
    <w:rsid w:val="001968CC"/>
    <w:rsid w:val="00197330"/>
    <w:rsid w:val="001A0034"/>
    <w:rsid w:val="001A2B32"/>
    <w:rsid w:val="001A5450"/>
    <w:rsid w:val="001A545E"/>
    <w:rsid w:val="001B1419"/>
    <w:rsid w:val="001B2D74"/>
    <w:rsid w:val="001B7F9E"/>
    <w:rsid w:val="001C305E"/>
    <w:rsid w:val="001D06DA"/>
    <w:rsid w:val="001D1F5D"/>
    <w:rsid w:val="001D3FC3"/>
    <w:rsid w:val="001D49E4"/>
    <w:rsid w:val="001D678E"/>
    <w:rsid w:val="001E0371"/>
    <w:rsid w:val="001E6FD0"/>
    <w:rsid w:val="001F43C6"/>
    <w:rsid w:val="002049AD"/>
    <w:rsid w:val="002059FF"/>
    <w:rsid w:val="00211649"/>
    <w:rsid w:val="0021420C"/>
    <w:rsid w:val="002171DC"/>
    <w:rsid w:val="00222834"/>
    <w:rsid w:val="002232AB"/>
    <w:rsid w:val="0022659E"/>
    <w:rsid w:val="00227575"/>
    <w:rsid w:val="00234A88"/>
    <w:rsid w:val="00243476"/>
    <w:rsid w:val="0024419E"/>
    <w:rsid w:val="0024464C"/>
    <w:rsid w:val="0024743C"/>
    <w:rsid w:val="002545E8"/>
    <w:rsid w:val="0025549F"/>
    <w:rsid w:val="00256457"/>
    <w:rsid w:val="0025774F"/>
    <w:rsid w:val="002622C3"/>
    <w:rsid w:val="0026533C"/>
    <w:rsid w:val="0026603E"/>
    <w:rsid w:val="00266D06"/>
    <w:rsid w:val="002717F1"/>
    <w:rsid w:val="00272071"/>
    <w:rsid w:val="002762EC"/>
    <w:rsid w:val="0027651B"/>
    <w:rsid w:val="00284501"/>
    <w:rsid w:val="00285CD3"/>
    <w:rsid w:val="002867FC"/>
    <w:rsid w:val="0028740C"/>
    <w:rsid w:val="0029274E"/>
    <w:rsid w:val="00294FD3"/>
    <w:rsid w:val="0029632E"/>
    <w:rsid w:val="002A5E38"/>
    <w:rsid w:val="002B079B"/>
    <w:rsid w:val="002B1970"/>
    <w:rsid w:val="002B2DD8"/>
    <w:rsid w:val="002B3C9A"/>
    <w:rsid w:val="002B42AF"/>
    <w:rsid w:val="002B4B88"/>
    <w:rsid w:val="002C05C0"/>
    <w:rsid w:val="002C3EBB"/>
    <w:rsid w:val="002C7938"/>
    <w:rsid w:val="002D27B0"/>
    <w:rsid w:val="002D2A15"/>
    <w:rsid w:val="002D34E5"/>
    <w:rsid w:val="002D3C77"/>
    <w:rsid w:val="002D6DBF"/>
    <w:rsid w:val="002D7B71"/>
    <w:rsid w:val="002E0381"/>
    <w:rsid w:val="002E393D"/>
    <w:rsid w:val="002E618F"/>
    <w:rsid w:val="00300EFA"/>
    <w:rsid w:val="003011F0"/>
    <w:rsid w:val="00303E82"/>
    <w:rsid w:val="00304899"/>
    <w:rsid w:val="00310294"/>
    <w:rsid w:val="00310FCF"/>
    <w:rsid w:val="00314532"/>
    <w:rsid w:val="0032676B"/>
    <w:rsid w:val="003267A8"/>
    <w:rsid w:val="00330CA5"/>
    <w:rsid w:val="00344157"/>
    <w:rsid w:val="00345EC9"/>
    <w:rsid w:val="0034683E"/>
    <w:rsid w:val="003532CF"/>
    <w:rsid w:val="00364047"/>
    <w:rsid w:val="003649BF"/>
    <w:rsid w:val="00365B38"/>
    <w:rsid w:val="0036633E"/>
    <w:rsid w:val="00372275"/>
    <w:rsid w:val="003730AF"/>
    <w:rsid w:val="00373AFD"/>
    <w:rsid w:val="0038513C"/>
    <w:rsid w:val="0038578B"/>
    <w:rsid w:val="00385EB8"/>
    <w:rsid w:val="0039094E"/>
    <w:rsid w:val="00393B9F"/>
    <w:rsid w:val="00394028"/>
    <w:rsid w:val="00394231"/>
    <w:rsid w:val="00394588"/>
    <w:rsid w:val="00395C13"/>
    <w:rsid w:val="0039630E"/>
    <w:rsid w:val="003A21F7"/>
    <w:rsid w:val="003A287F"/>
    <w:rsid w:val="003B5DBF"/>
    <w:rsid w:val="003C208A"/>
    <w:rsid w:val="003C4F51"/>
    <w:rsid w:val="003C6FC5"/>
    <w:rsid w:val="003C77FE"/>
    <w:rsid w:val="003D387D"/>
    <w:rsid w:val="003D6386"/>
    <w:rsid w:val="003E1EBF"/>
    <w:rsid w:val="003E4763"/>
    <w:rsid w:val="003E4E4A"/>
    <w:rsid w:val="003E531D"/>
    <w:rsid w:val="003E74EE"/>
    <w:rsid w:val="003F2920"/>
    <w:rsid w:val="003F4E46"/>
    <w:rsid w:val="003F5A2E"/>
    <w:rsid w:val="003F6164"/>
    <w:rsid w:val="00400E66"/>
    <w:rsid w:val="0040222B"/>
    <w:rsid w:val="00403CBD"/>
    <w:rsid w:val="00413075"/>
    <w:rsid w:val="00413A76"/>
    <w:rsid w:val="004142CF"/>
    <w:rsid w:val="00417D65"/>
    <w:rsid w:val="00420095"/>
    <w:rsid w:val="004201DD"/>
    <w:rsid w:val="00425344"/>
    <w:rsid w:val="00426987"/>
    <w:rsid w:val="00432789"/>
    <w:rsid w:val="00435861"/>
    <w:rsid w:val="00436FF8"/>
    <w:rsid w:val="004528BE"/>
    <w:rsid w:val="00452CAF"/>
    <w:rsid w:val="00454DD2"/>
    <w:rsid w:val="00456065"/>
    <w:rsid w:val="004564CA"/>
    <w:rsid w:val="00457DBD"/>
    <w:rsid w:val="00462E57"/>
    <w:rsid w:val="00466128"/>
    <w:rsid w:val="00470014"/>
    <w:rsid w:val="0047440A"/>
    <w:rsid w:val="00477D86"/>
    <w:rsid w:val="00480AF8"/>
    <w:rsid w:val="004858BA"/>
    <w:rsid w:val="00487360"/>
    <w:rsid w:val="004A056C"/>
    <w:rsid w:val="004A064A"/>
    <w:rsid w:val="004A0839"/>
    <w:rsid w:val="004A0C4F"/>
    <w:rsid w:val="004B3D9C"/>
    <w:rsid w:val="004C452E"/>
    <w:rsid w:val="004C5569"/>
    <w:rsid w:val="004C5E8A"/>
    <w:rsid w:val="004D7BF2"/>
    <w:rsid w:val="004E2AE7"/>
    <w:rsid w:val="004E3683"/>
    <w:rsid w:val="004F0005"/>
    <w:rsid w:val="00505B6D"/>
    <w:rsid w:val="00505E28"/>
    <w:rsid w:val="00515CB9"/>
    <w:rsid w:val="00516B71"/>
    <w:rsid w:val="005174FE"/>
    <w:rsid w:val="005230D9"/>
    <w:rsid w:val="00540C31"/>
    <w:rsid w:val="00542195"/>
    <w:rsid w:val="005425FE"/>
    <w:rsid w:val="00544D30"/>
    <w:rsid w:val="0054625A"/>
    <w:rsid w:val="00546E50"/>
    <w:rsid w:val="00550097"/>
    <w:rsid w:val="00551E10"/>
    <w:rsid w:val="005523C0"/>
    <w:rsid w:val="00552817"/>
    <w:rsid w:val="00566EDA"/>
    <w:rsid w:val="00567A73"/>
    <w:rsid w:val="00575617"/>
    <w:rsid w:val="00577699"/>
    <w:rsid w:val="0058438D"/>
    <w:rsid w:val="005867FD"/>
    <w:rsid w:val="00586989"/>
    <w:rsid w:val="00591F91"/>
    <w:rsid w:val="005931A8"/>
    <w:rsid w:val="0059783E"/>
    <w:rsid w:val="005A2D2B"/>
    <w:rsid w:val="005A78B1"/>
    <w:rsid w:val="005C7E34"/>
    <w:rsid w:val="005D661B"/>
    <w:rsid w:val="005D68C5"/>
    <w:rsid w:val="005E0382"/>
    <w:rsid w:val="005E14FC"/>
    <w:rsid w:val="005E2D53"/>
    <w:rsid w:val="005E4B93"/>
    <w:rsid w:val="005E5931"/>
    <w:rsid w:val="005F4F39"/>
    <w:rsid w:val="005F7D72"/>
    <w:rsid w:val="0060515F"/>
    <w:rsid w:val="0061030D"/>
    <w:rsid w:val="00614820"/>
    <w:rsid w:val="00615F3E"/>
    <w:rsid w:val="006172B8"/>
    <w:rsid w:val="00622DBF"/>
    <w:rsid w:val="00625A48"/>
    <w:rsid w:val="00630E26"/>
    <w:rsid w:val="00631A7C"/>
    <w:rsid w:val="00634ADF"/>
    <w:rsid w:val="00635BD0"/>
    <w:rsid w:val="00637028"/>
    <w:rsid w:val="00637AF3"/>
    <w:rsid w:val="006400C8"/>
    <w:rsid w:val="00642320"/>
    <w:rsid w:val="0064504E"/>
    <w:rsid w:val="00653738"/>
    <w:rsid w:val="006644BE"/>
    <w:rsid w:val="00664C7A"/>
    <w:rsid w:val="006679A2"/>
    <w:rsid w:val="00673622"/>
    <w:rsid w:val="0067497B"/>
    <w:rsid w:val="006809ED"/>
    <w:rsid w:val="00681999"/>
    <w:rsid w:val="0068443A"/>
    <w:rsid w:val="00684D43"/>
    <w:rsid w:val="00686DF1"/>
    <w:rsid w:val="006902F0"/>
    <w:rsid w:val="0069054F"/>
    <w:rsid w:val="00691A11"/>
    <w:rsid w:val="0069353A"/>
    <w:rsid w:val="0069375D"/>
    <w:rsid w:val="00694F99"/>
    <w:rsid w:val="006A003E"/>
    <w:rsid w:val="006A0F34"/>
    <w:rsid w:val="006A2BBE"/>
    <w:rsid w:val="006A6B9F"/>
    <w:rsid w:val="006B0822"/>
    <w:rsid w:val="006B0FA1"/>
    <w:rsid w:val="006B3DAB"/>
    <w:rsid w:val="006B4A57"/>
    <w:rsid w:val="006B7F11"/>
    <w:rsid w:val="006C0854"/>
    <w:rsid w:val="006C0C75"/>
    <w:rsid w:val="006C1522"/>
    <w:rsid w:val="006C2B62"/>
    <w:rsid w:val="006C6DD2"/>
    <w:rsid w:val="006D1039"/>
    <w:rsid w:val="006D2947"/>
    <w:rsid w:val="006E2380"/>
    <w:rsid w:val="006E3026"/>
    <w:rsid w:val="006F1FF3"/>
    <w:rsid w:val="006F4906"/>
    <w:rsid w:val="006F7521"/>
    <w:rsid w:val="006F7FED"/>
    <w:rsid w:val="00700F43"/>
    <w:rsid w:val="007035A8"/>
    <w:rsid w:val="00703BA7"/>
    <w:rsid w:val="00707F92"/>
    <w:rsid w:val="00710902"/>
    <w:rsid w:val="00712506"/>
    <w:rsid w:val="00715276"/>
    <w:rsid w:val="0072033E"/>
    <w:rsid w:val="007203D0"/>
    <w:rsid w:val="00722C42"/>
    <w:rsid w:val="00726BD1"/>
    <w:rsid w:val="00732014"/>
    <w:rsid w:val="007334ED"/>
    <w:rsid w:val="007402CB"/>
    <w:rsid w:val="007405D8"/>
    <w:rsid w:val="00740E72"/>
    <w:rsid w:val="00743C14"/>
    <w:rsid w:val="00746E4A"/>
    <w:rsid w:val="00747383"/>
    <w:rsid w:val="00750EC6"/>
    <w:rsid w:val="00751A74"/>
    <w:rsid w:val="0075287D"/>
    <w:rsid w:val="0075491B"/>
    <w:rsid w:val="00756264"/>
    <w:rsid w:val="00770345"/>
    <w:rsid w:val="007720FF"/>
    <w:rsid w:val="007734AE"/>
    <w:rsid w:val="00775165"/>
    <w:rsid w:val="00775AF9"/>
    <w:rsid w:val="007817A6"/>
    <w:rsid w:val="00781E23"/>
    <w:rsid w:val="0078783A"/>
    <w:rsid w:val="00787B06"/>
    <w:rsid w:val="007914FD"/>
    <w:rsid w:val="00792989"/>
    <w:rsid w:val="00792A79"/>
    <w:rsid w:val="00793C04"/>
    <w:rsid w:val="007A1AF0"/>
    <w:rsid w:val="007A2336"/>
    <w:rsid w:val="007A2E65"/>
    <w:rsid w:val="007A35A7"/>
    <w:rsid w:val="007A4F01"/>
    <w:rsid w:val="007A7BC7"/>
    <w:rsid w:val="007B23D4"/>
    <w:rsid w:val="007B362F"/>
    <w:rsid w:val="007B51C2"/>
    <w:rsid w:val="007B6A7B"/>
    <w:rsid w:val="007B6B9B"/>
    <w:rsid w:val="007D4BCA"/>
    <w:rsid w:val="007E045E"/>
    <w:rsid w:val="007E5FE1"/>
    <w:rsid w:val="007E6D72"/>
    <w:rsid w:val="007E6F23"/>
    <w:rsid w:val="007F0704"/>
    <w:rsid w:val="007F2D00"/>
    <w:rsid w:val="007F3097"/>
    <w:rsid w:val="007F5641"/>
    <w:rsid w:val="007F7B87"/>
    <w:rsid w:val="008003D8"/>
    <w:rsid w:val="00804268"/>
    <w:rsid w:val="008059C3"/>
    <w:rsid w:val="00806DBB"/>
    <w:rsid w:val="0081367F"/>
    <w:rsid w:val="00815487"/>
    <w:rsid w:val="00815E87"/>
    <w:rsid w:val="008174DC"/>
    <w:rsid w:val="00817A69"/>
    <w:rsid w:val="00820990"/>
    <w:rsid w:val="00832230"/>
    <w:rsid w:val="00841B5E"/>
    <w:rsid w:val="008431D2"/>
    <w:rsid w:val="008464B1"/>
    <w:rsid w:val="00847124"/>
    <w:rsid w:val="00850733"/>
    <w:rsid w:val="008526A6"/>
    <w:rsid w:val="008544C1"/>
    <w:rsid w:val="0086169D"/>
    <w:rsid w:val="00867DFB"/>
    <w:rsid w:val="0087557F"/>
    <w:rsid w:val="00883D7D"/>
    <w:rsid w:val="008844FF"/>
    <w:rsid w:val="00890A0E"/>
    <w:rsid w:val="00894587"/>
    <w:rsid w:val="008A3C30"/>
    <w:rsid w:val="008A5670"/>
    <w:rsid w:val="008A61CB"/>
    <w:rsid w:val="008B32F4"/>
    <w:rsid w:val="008B5C71"/>
    <w:rsid w:val="008C1132"/>
    <w:rsid w:val="008C3630"/>
    <w:rsid w:val="008D0C53"/>
    <w:rsid w:val="008D0F26"/>
    <w:rsid w:val="008D27AF"/>
    <w:rsid w:val="008E0923"/>
    <w:rsid w:val="008E1582"/>
    <w:rsid w:val="008E6420"/>
    <w:rsid w:val="008F248D"/>
    <w:rsid w:val="008F761F"/>
    <w:rsid w:val="009021B8"/>
    <w:rsid w:val="009034DA"/>
    <w:rsid w:val="00904C45"/>
    <w:rsid w:val="00905BF9"/>
    <w:rsid w:val="00906C13"/>
    <w:rsid w:val="009070DF"/>
    <w:rsid w:val="0091313A"/>
    <w:rsid w:val="009165C1"/>
    <w:rsid w:val="009178ED"/>
    <w:rsid w:val="0092137D"/>
    <w:rsid w:val="009243A8"/>
    <w:rsid w:val="00924D40"/>
    <w:rsid w:val="00932347"/>
    <w:rsid w:val="009345F1"/>
    <w:rsid w:val="00936D92"/>
    <w:rsid w:val="00941310"/>
    <w:rsid w:val="009522EA"/>
    <w:rsid w:val="00955082"/>
    <w:rsid w:val="009576CC"/>
    <w:rsid w:val="009652E4"/>
    <w:rsid w:val="0096604D"/>
    <w:rsid w:val="00966E78"/>
    <w:rsid w:val="009738A3"/>
    <w:rsid w:val="00973AF7"/>
    <w:rsid w:val="0097616A"/>
    <w:rsid w:val="009802CB"/>
    <w:rsid w:val="00980E67"/>
    <w:rsid w:val="009812E0"/>
    <w:rsid w:val="00983DB5"/>
    <w:rsid w:val="009846FC"/>
    <w:rsid w:val="009852E8"/>
    <w:rsid w:val="00987EF8"/>
    <w:rsid w:val="00994216"/>
    <w:rsid w:val="00994F25"/>
    <w:rsid w:val="00996D05"/>
    <w:rsid w:val="009A38FD"/>
    <w:rsid w:val="009A3D90"/>
    <w:rsid w:val="009A511F"/>
    <w:rsid w:val="009A78CA"/>
    <w:rsid w:val="009B50EB"/>
    <w:rsid w:val="009B6DB4"/>
    <w:rsid w:val="009C4540"/>
    <w:rsid w:val="009C5F32"/>
    <w:rsid w:val="009C6E9A"/>
    <w:rsid w:val="009D13A5"/>
    <w:rsid w:val="009D2426"/>
    <w:rsid w:val="009E1318"/>
    <w:rsid w:val="009E18BE"/>
    <w:rsid w:val="009E3F10"/>
    <w:rsid w:val="009E4678"/>
    <w:rsid w:val="009F1215"/>
    <w:rsid w:val="009F18ED"/>
    <w:rsid w:val="009F6F6E"/>
    <w:rsid w:val="00A07C8C"/>
    <w:rsid w:val="00A11A7F"/>
    <w:rsid w:val="00A124AF"/>
    <w:rsid w:val="00A13AE5"/>
    <w:rsid w:val="00A20B20"/>
    <w:rsid w:val="00A22165"/>
    <w:rsid w:val="00A22E76"/>
    <w:rsid w:val="00A25F69"/>
    <w:rsid w:val="00A32020"/>
    <w:rsid w:val="00A41B59"/>
    <w:rsid w:val="00A429A4"/>
    <w:rsid w:val="00A440DE"/>
    <w:rsid w:val="00A45556"/>
    <w:rsid w:val="00A46921"/>
    <w:rsid w:val="00A5081F"/>
    <w:rsid w:val="00A5464E"/>
    <w:rsid w:val="00A62384"/>
    <w:rsid w:val="00A65FF0"/>
    <w:rsid w:val="00A70D66"/>
    <w:rsid w:val="00A75B9F"/>
    <w:rsid w:val="00A76B50"/>
    <w:rsid w:val="00A87BB1"/>
    <w:rsid w:val="00A95E03"/>
    <w:rsid w:val="00A96ECC"/>
    <w:rsid w:val="00A97548"/>
    <w:rsid w:val="00A97CED"/>
    <w:rsid w:val="00AA1020"/>
    <w:rsid w:val="00AA63C5"/>
    <w:rsid w:val="00AA753E"/>
    <w:rsid w:val="00AB06B9"/>
    <w:rsid w:val="00AB381C"/>
    <w:rsid w:val="00AB5769"/>
    <w:rsid w:val="00AB612D"/>
    <w:rsid w:val="00AB6275"/>
    <w:rsid w:val="00AB7C22"/>
    <w:rsid w:val="00AC0A55"/>
    <w:rsid w:val="00AC22EC"/>
    <w:rsid w:val="00AC6FDE"/>
    <w:rsid w:val="00AD34D1"/>
    <w:rsid w:val="00AD5B95"/>
    <w:rsid w:val="00AD66C0"/>
    <w:rsid w:val="00AE03EF"/>
    <w:rsid w:val="00AE4C6C"/>
    <w:rsid w:val="00AE6F78"/>
    <w:rsid w:val="00AF18A4"/>
    <w:rsid w:val="00AF5164"/>
    <w:rsid w:val="00B025D3"/>
    <w:rsid w:val="00B0529D"/>
    <w:rsid w:val="00B21B27"/>
    <w:rsid w:val="00B26D99"/>
    <w:rsid w:val="00B32ECD"/>
    <w:rsid w:val="00B36518"/>
    <w:rsid w:val="00B37C58"/>
    <w:rsid w:val="00B37DD0"/>
    <w:rsid w:val="00B46F30"/>
    <w:rsid w:val="00B47A59"/>
    <w:rsid w:val="00B47AAA"/>
    <w:rsid w:val="00B51A31"/>
    <w:rsid w:val="00B542A0"/>
    <w:rsid w:val="00B550FA"/>
    <w:rsid w:val="00B63697"/>
    <w:rsid w:val="00B7163D"/>
    <w:rsid w:val="00B7770B"/>
    <w:rsid w:val="00B805D0"/>
    <w:rsid w:val="00B82367"/>
    <w:rsid w:val="00B96564"/>
    <w:rsid w:val="00BA16C1"/>
    <w:rsid w:val="00BA76CE"/>
    <w:rsid w:val="00BB11DC"/>
    <w:rsid w:val="00BB5879"/>
    <w:rsid w:val="00BB5FE0"/>
    <w:rsid w:val="00BC3A6C"/>
    <w:rsid w:val="00BC6F32"/>
    <w:rsid w:val="00BC727B"/>
    <w:rsid w:val="00BD3A78"/>
    <w:rsid w:val="00BD6FC1"/>
    <w:rsid w:val="00BE7C9C"/>
    <w:rsid w:val="00BF3E16"/>
    <w:rsid w:val="00BF617E"/>
    <w:rsid w:val="00BF634B"/>
    <w:rsid w:val="00C068A8"/>
    <w:rsid w:val="00C1312B"/>
    <w:rsid w:val="00C15D49"/>
    <w:rsid w:val="00C21758"/>
    <w:rsid w:val="00C23642"/>
    <w:rsid w:val="00C27D2A"/>
    <w:rsid w:val="00C31103"/>
    <w:rsid w:val="00C33D30"/>
    <w:rsid w:val="00C43C9D"/>
    <w:rsid w:val="00C5581D"/>
    <w:rsid w:val="00C57650"/>
    <w:rsid w:val="00C6039B"/>
    <w:rsid w:val="00C61F49"/>
    <w:rsid w:val="00C67E18"/>
    <w:rsid w:val="00C751C5"/>
    <w:rsid w:val="00C8597B"/>
    <w:rsid w:val="00C869D1"/>
    <w:rsid w:val="00C87933"/>
    <w:rsid w:val="00C90721"/>
    <w:rsid w:val="00C91546"/>
    <w:rsid w:val="00CA02B5"/>
    <w:rsid w:val="00CA1563"/>
    <w:rsid w:val="00CA5204"/>
    <w:rsid w:val="00CB1259"/>
    <w:rsid w:val="00CB2AEF"/>
    <w:rsid w:val="00CB7353"/>
    <w:rsid w:val="00CC07D1"/>
    <w:rsid w:val="00CC4622"/>
    <w:rsid w:val="00CD32D2"/>
    <w:rsid w:val="00CE5941"/>
    <w:rsid w:val="00CF1BC7"/>
    <w:rsid w:val="00CF1DF8"/>
    <w:rsid w:val="00D02787"/>
    <w:rsid w:val="00D0499A"/>
    <w:rsid w:val="00D04B35"/>
    <w:rsid w:val="00D12A27"/>
    <w:rsid w:val="00D16B31"/>
    <w:rsid w:val="00D17A58"/>
    <w:rsid w:val="00D22FF8"/>
    <w:rsid w:val="00D2365E"/>
    <w:rsid w:val="00D300D1"/>
    <w:rsid w:val="00D32902"/>
    <w:rsid w:val="00D34423"/>
    <w:rsid w:val="00D416A9"/>
    <w:rsid w:val="00D43904"/>
    <w:rsid w:val="00D51061"/>
    <w:rsid w:val="00D5151F"/>
    <w:rsid w:val="00D52376"/>
    <w:rsid w:val="00D5649D"/>
    <w:rsid w:val="00D56EE5"/>
    <w:rsid w:val="00D60408"/>
    <w:rsid w:val="00D612D7"/>
    <w:rsid w:val="00D618DA"/>
    <w:rsid w:val="00D63298"/>
    <w:rsid w:val="00D642DE"/>
    <w:rsid w:val="00D66DD1"/>
    <w:rsid w:val="00D71BD2"/>
    <w:rsid w:val="00D801B3"/>
    <w:rsid w:val="00D84220"/>
    <w:rsid w:val="00D8611E"/>
    <w:rsid w:val="00D87FC8"/>
    <w:rsid w:val="00D9768F"/>
    <w:rsid w:val="00DA349A"/>
    <w:rsid w:val="00DB05E1"/>
    <w:rsid w:val="00DB2824"/>
    <w:rsid w:val="00DB2F3D"/>
    <w:rsid w:val="00DB5944"/>
    <w:rsid w:val="00DC3355"/>
    <w:rsid w:val="00DC6022"/>
    <w:rsid w:val="00DD0931"/>
    <w:rsid w:val="00DD17E1"/>
    <w:rsid w:val="00DD6217"/>
    <w:rsid w:val="00DD6ADE"/>
    <w:rsid w:val="00DE041F"/>
    <w:rsid w:val="00DF6A2D"/>
    <w:rsid w:val="00DF74F6"/>
    <w:rsid w:val="00E00F8B"/>
    <w:rsid w:val="00E01AFB"/>
    <w:rsid w:val="00E05C22"/>
    <w:rsid w:val="00E068CB"/>
    <w:rsid w:val="00E0701C"/>
    <w:rsid w:val="00E22E3A"/>
    <w:rsid w:val="00E2317D"/>
    <w:rsid w:val="00E23E69"/>
    <w:rsid w:val="00E25F79"/>
    <w:rsid w:val="00E263BB"/>
    <w:rsid w:val="00E269AD"/>
    <w:rsid w:val="00E31024"/>
    <w:rsid w:val="00E41213"/>
    <w:rsid w:val="00E441F3"/>
    <w:rsid w:val="00E4524C"/>
    <w:rsid w:val="00E47B6D"/>
    <w:rsid w:val="00E547C6"/>
    <w:rsid w:val="00E54F90"/>
    <w:rsid w:val="00E63E43"/>
    <w:rsid w:val="00E64A73"/>
    <w:rsid w:val="00E719CB"/>
    <w:rsid w:val="00E72326"/>
    <w:rsid w:val="00E73228"/>
    <w:rsid w:val="00E775F3"/>
    <w:rsid w:val="00E80EBC"/>
    <w:rsid w:val="00E86879"/>
    <w:rsid w:val="00E92067"/>
    <w:rsid w:val="00E9621F"/>
    <w:rsid w:val="00E9719D"/>
    <w:rsid w:val="00E97BFC"/>
    <w:rsid w:val="00EA5A52"/>
    <w:rsid w:val="00EB329D"/>
    <w:rsid w:val="00EB4085"/>
    <w:rsid w:val="00EB4944"/>
    <w:rsid w:val="00EB6AFA"/>
    <w:rsid w:val="00EC1101"/>
    <w:rsid w:val="00EC348D"/>
    <w:rsid w:val="00EC5B5B"/>
    <w:rsid w:val="00EC5BDD"/>
    <w:rsid w:val="00ED10EB"/>
    <w:rsid w:val="00ED223A"/>
    <w:rsid w:val="00ED3C86"/>
    <w:rsid w:val="00ED5F21"/>
    <w:rsid w:val="00ED797A"/>
    <w:rsid w:val="00EF2750"/>
    <w:rsid w:val="00EF6D5D"/>
    <w:rsid w:val="00F039BD"/>
    <w:rsid w:val="00F044C5"/>
    <w:rsid w:val="00F07B1E"/>
    <w:rsid w:val="00F123E2"/>
    <w:rsid w:val="00F13201"/>
    <w:rsid w:val="00F2173D"/>
    <w:rsid w:val="00F245F7"/>
    <w:rsid w:val="00F248FD"/>
    <w:rsid w:val="00F25CCF"/>
    <w:rsid w:val="00F2631C"/>
    <w:rsid w:val="00F32A77"/>
    <w:rsid w:val="00F32F21"/>
    <w:rsid w:val="00F34CE3"/>
    <w:rsid w:val="00F35885"/>
    <w:rsid w:val="00F4064F"/>
    <w:rsid w:val="00F42845"/>
    <w:rsid w:val="00F45359"/>
    <w:rsid w:val="00F64468"/>
    <w:rsid w:val="00F65F8D"/>
    <w:rsid w:val="00F702A5"/>
    <w:rsid w:val="00F7333A"/>
    <w:rsid w:val="00F7673F"/>
    <w:rsid w:val="00F7752F"/>
    <w:rsid w:val="00F87AC8"/>
    <w:rsid w:val="00F96F85"/>
    <w:rsid w:val="00FA20C5"/>
    <w:rsid w:val="00FA302B"/>
    <w:rsid w:val="00FA55F6"/>
    <w:rsid w:val="00FA723D"/>
    <w:rsid w:val="00FB06E4"/>
    <w:rsid w:val="00FB263B"/>
    <w:rsid w:val="00FB37B3"/>
    <w:rsid w:val="00FB4ADC"/>
    <w:rsid w:val="00FB5675"/>
    <w:rsid w:val="00FB5E1C"/>
    <w:rsid w:val="00FB5FD5"/>
    <w:rsid w:val="00FB6E45"/>
    <w:rsid w:val="00FC6B10"/>
    <w:rsid w:val="00FD1AC6"/>
    <w:rsid w:val="00FD2E83"/>
    <w:rsid w:val="00FE0BE9"/>
    <w:rsid w:val="00FE33D3"/>
    <w:rsid w:val="00FE3FB3"/>
    <w:rsid w:val="00FE6654"/>
    <w:rsid w:val="00FF609F"/>
    <w:rsid w:val="00FF6D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s>
</file>

<file path=word/webSettings.xml><?xml version="1.0" encoding="utf-8"?>
<w:webSettings xmlns:r="http://schemas.openxmlformats.org/officeDocument/2006/relationships" xmlns:w="http://schemas.openxmlformats.org/wordprocessingml/2006/main">
  <w:divs>
    <w:div w:id="78253218">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16088466">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8639773">
      <w:bodyDiv w:val="1"/>
      <w:marLeft w:val="0"/>
      <w:marRight w:val="0"/>
      <w:marTop w:val="0"/>
      <w:marBottom w:val="0"/>
      <w:divBdr>
        <w:top w:val="none" w:sz="0" w:space="0" w:color="auto"/>
        <w:left w:val="none" w:sz="0" w:space="0" w:color="auto"/>
        <w:bottom w:val="none" w:sz="0" w:space="0" w:color="auto"/>
        <w:right w:val="none" w:sz="0" w:space="0" w:color="auto"/>
      </w:divBdr>
    </w:div>
    <w:div w:id="813063996">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66952215">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03674">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96673809">
      <w:bodyDiv w:val="1"/>
      <w:marLeft w:val="0"/>
      <w:marRight w:val="0"/>
      <w:marTop w:val="0"/>
      <w:marBottom w:val="0"/>
      <w:divBdr>
        <w:top w:val="none" w:sz="0" w:space="0" w:color="auto"/>
        <w:left w:val="none" w:sz="0" w:space="0" w:color="auto"/>
        <w:bottom w:val="none" w:sz="0" w:space="0" w:color="auto"/>
        <w:right w:val="none" w:sz="0" w:space="0" w:color="auto"/>
      </w:divBdr>
      <w:divsChild>
        <w:div w:id="1612669574">
          <w:marLeft w:val="0"/>
          <w:marRight w:val="0"/>
          <w:marTop w:val="0"/>
          <w:marBottom w:val="0"/>
          <w:divBdr>
            <w:top w:val="none" w:sz="0" w:space="0" w:color="auto"/>
            <w:left w:val="none" w:sz="0" w:space="0" w:color="auto"/>
            <w:bottom w:val="none" w:sz="0" w:space="0" w:color="auto"/>
            <w:right w:val="none" w:sz="0" w:space="0" w:color="auto"/>
          </w:divBdr>
          <w:divsChild>
            <w:div w:id="743334918">
              <w:marLeft w:val="0"/>
              <w:marRight w:val="0"/>
              <w:marTop w:val="0"/>
              <w:marBottom w:val="0"/>
              <w:divBdr>
                <w:top w:val="none" w:sz="0" w:space="0" w:color="auto"/>
                <w:left w:val="none" w:sz="0" w:space="0" w:color="auto"/>
                <w:bottom w:val="none" w:sz="0" w:space="0" w:color="auto"/>
                <w:right w:val="none" w:sz="0" w:space="0" w:color="auto"/>
              </w:divBdr>
              <w:divsChild>
                <w:div w:id="1505169350">
                  <w:marLeft w:val="0"/>
                  <w:marRight w:val="0"/>
                  <w:marTop w:val="0"/>
                  <w:marBottom w:val="0"/>
                  <w:divBdr>
                    <w:top w:val="none" w:sz="0" w:space="0" w:color="auto"/>
                    <w:left w:val="none" w:sz="0" w:space="0" w:color="auto"/>
                    <w:bottom w:val="none" w:sz="0" w:space="0" w:color="auto"/>
                    <w:right w:val="none" w:sz="0" w:space="0" w:color="auto"/>
                  </w:divBdr>
                  <w:divsChild>
                    <w:div w:id="1944803860">
                      <w:marLeft w:val="0"/>
                      <w:marRight w:val="0"/>
                      <w:marTop w:val="0"/>
                      <w:marBottom w:val="0"/>
                      <w:divBdr>
                        <w:top w:val="none" w:sz="0" w:space="0" w:color="auto"/>
                        <w:left w:val="none" w:sz="0" w:space="0" w:color="auto"/>
                        <w:bottom w:val="none" w:sz="0" w:space="0" w:color="auto"/>
                        <w:right w:val="none" w:sz="0" w:space="0" w:color="auto"/>
                      </w:divBdr>
                      <w:divsChild>
                        <w:div w:id="712341735">
                          <w:marLeft w:val="0"/>
                          <w:marRight w:val="0"/>
                          <w:marTop w:val="0"/>
                          <w:marBottom w:val="0"/>
                          <w:divBdr>
                            <w:top w:val="none" w:sz="0" w:space="0" w:color="auto"/>
                            <w:left w:val="none" w:sz="0" w:space="0" w:color="auto"/>
                            <w:bottom w:val="none" w:sz="0" w:space="0" w:color="auto"/>
                            <w:right w:val="none" w:sz="0" w:space="0" w:color="auto"/>
                          </w:divBdr>
                          <w:divsChild>
                            <w:div w:id="1475950430">
                              <w:marLeft w:val="0"/>
                              <w:marRight w:val="0"/>
                              <w:marTop w:val="0"/>
                              <w:marBottom w:val="0"/>
                              <w:divBdr>
                                <w:top w:val="none" w:sz="0" w:space="0" w:color="auto"/>
                                <w:left w:val="none" w:sz="0" w:space="0" w:color="auto"/>
                                <w:bottom w:val="none" w:sz="0" w:space="0" w:color="auto"/>
                                <w:right w:val="none" w:sz="0" w:space="0" w:color="auto"/>
                              </w:divBdr>
                              <w:divsChild>
                                <w:div w:id="8528737">
                                  <w:marLeft w:val="0"/>
                                  <w:marRight w:val="0"/>
                                  <w:marTop w:val="0"/>
                                  <w:marBottom w:val="0"/>
                                  <w:divBdr>
                                    <w:top w:val="none" w:sz="0" w:space="0" w:color="auto"/>
                                    <w:left w:val="none" w:sz="0" w:space="0" w:color="auto"/>
                                    <w:bottom w:val="none" w:sz="0" w:space="0" w:color="auto"/>
                                    <w:right w:val="none" w:sz="0" w:space="0" w:color="auto"/>
                                  </w:divBdr>
                                  <w:divsChild>
                                    <w:div w:id="654601480">
                                      <w:marLeft w:val="0"/>
                                      <w:marRight w:val="0"/>
                                      <w:marTop w:val="0"/>
                                      <w:marBottom w:val="0"/>
                                      <w:divBdr>
                                        <w:top w:val="none" w:sz="0" w:space="0" w:color="auto"/>
                                        <w:left w:val="none" w:sz="0" w:space="0" w:color="auto"/>
                                        <w:bottom w:val="none" w:sz="0" w:space="0" w:color="auto"/>
                                        <w:right w:val="none" w:sz="0" w:space="0" w:color="auto"/>
                                      </w:divBdr>
                                      <w:divsChild>
                                        <w:div w:id="1618021818">
                                          <w:marLeft w:val="0"/>
                                          <w:marRight w:val="0"/>
                                          <w:marTop w:val="0"/>
                                          <w:marBottom w:val="0"/>
                                          <w:divBdr>
                                            <w:top w:val="none" w:sz="0" w:space="0" w:color="auto"/>
                                            <w:left w:val="single" w:sz="6" w:space="0" w:color="999999"/>
                                            <w:bottom w:val="none" w:sz="0" w:space="0" w:color="auto"/>
                                            <w:right w:val="none" w:sz="0" w:space="0" w:color="auto"/>
                                          </w:divBdr>
                                          <w:divsChild>
                                            <w:div w:id="1990556389">
                                              <w:marLeft w:val="0"/>
                                              <w:marRight w:val="0"/>
                                              <w:marTop w:val="136"/>
                                              <w:marBottom w:val="136"/>
                                              <w:divBdr>
                                                <w:top w:val="none" w:sz="0" w:space="0" w:color="auto"/>
                                                <w:left w:val="none" w:sz="0" w:space="0" w:color="auto"/>
                                                <w:bottom w:val="none" w:sz="0" w:space="0" w:color="auto"/>
                                                <w:right w:val="none" w:sz="0" w:space="0" w:color="auto"/>
                                              </w:divBdr>
                                              <w:divsChild>
                                                <w:div w:id="26833080">
                                                  <w:marLeft w:val="0"/>
                                                  <w:marRight w:val="0"/>
                                                  <w:marTop w:val="0"/>
                                                  <w:marBottom w:val="0"/>
                                                  <w:divBdr>
                                                    <w:top w:val="none" w:sz="0" w:space="0" w:color="auto"/>
                                                    <w:left w:val="none" w:sz="0" w:space="0" w:color="auto"/>
                                                    <w:bottom w:val="none" w:sz="0" w:space="0" w:color="auto"/>
                                                    <w:right w:val="none" w:sz="0" w:space="0" w:color="auto"/>
                                                  </w:divBdr>
                                                  <w:divsChild>
                                                    <w:div w:id="5775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415581">
      <w:bodyDiv w:val="1"/>
      <w:marLeft w:val="0"/>
      <w:marRight w:val="0"/>
      <w:marTop w:val="0"/>
      <w:marBottom w:val="0"/>
      <w:divBdr>
        <w:top w:val="none" w:sz="0" w:space="0" w:color="auto"/>
        <w:left w:val="none" w:sz="0" w:space="0" w:color="auto"/>
        <w:bottom w:val="none" w:sz="0" w:space="0" w:color="auto"/>
        <w:right w:val="none" w:sz="0" w:space="0" w:color="auto"/>
      </w:divBdr>
      <w:divsChild>
        <w:div w:id="1048725468">
          <w:marLeft w:val="0"/>
          <w:marRight w:val="0"/>
          <w:marTop w:val="0"/>
          <w:marBottom w:val="0"/>
          <w:divBdr>
            <w:top w:val="none" w:sz="0" w:space="0" w:color="auto"/>
            <w:left w:val="none" w:sz="0" w:space="0" w:color="auto"/>
            <w:bottom w:val="none" w:sz="0" w:space="0" w:color="auto"/>
            <w:right w:val="none" w:sz="0" w:space="0" w:color="auto"/>
          </w:divBdr>
          <w:divsChild>
            <w:div w:id="2050838038">
              <w:marLeft w:val="0"/>
              <w:marRight w:val="0"/>
              <w:marTop w:val="0"/>
              <w:marBottom w:val="0"/>
              <w:divBdr>
                <w:top w:val="none" w:sz="0" w:space="0" w:color="auto"/>
                <w:left w:val="none" w:sz="0" w:space="0" w:color="auto"/>
                <w:bottom w:val="none" w:sz="0" w:space="0" w:color="auto"/>
                <w:right w:val="none" w:sz="0" w:space="0" w:color="auto"/>
              </w:divBdr>
              <w:divsChild>
                <w:div w:id="1221743888">
                  <w:marLeft w:val="0"/>
                  <w:marRight w:val="0"/>
                  <w:marTop w:val="0"/>
                  <w:marBottom w:val="0"/>
                  <w:divBdr>
                    <w:top w:val="none" w:sz="0" w:space="0" w:color="auto"/>
                    <w:left w:val="none" w:sz="0" w:space="0" w:color="auto"/>
                    <w:bottom w:val="none" w:sz="0" w:space="0" w:color="auto"/>
                    <w:right w:val="none" w:sz="0" w:space="0" w:color="auto"/>
                  </w:divBdr>
                  <w:divsChild>
                    <w:div w:id="2003004615">
                      <w:marLeft w:val="0"/>
                      <w:marRight w:val="0"/>
                      <w:marTop w:val="0"/>
                      <w:marBottom w:val="0"/>
                      <w:divBdr>
                        <w:top w:val="none" w:sz="0" w:space="0" w:color="auto"/>
                        <w:left w:val="none" w:sz="0" w:space="0" w:color="auto"/>
                        <w:bottom w:val="none" w:sz="0" w:space="0" w:color="auto"/>
                        <w:right w:val="none" w:sz="0" w:space="0" w:color="auto"/>
                      </w:divBdr>
                      <w:divsChild>
                        <w:div w:id="1647468564">
                          <w:marLeft w:val="0"/>
                          <w:marRight w:val="0"/>
                          <w:marTop w:val="0"/>
                          <w:marBottom w:val="0"/>
                          <w:divBdr>
                            <w:top w:val="none" w:sz="0" w:space="0" w:color="auto"/>
                            <w:left w:val="none" w:sz="0" w:space="0" w:color="auto"/>
                            <w:bottom w:val="none" w:sz="0" w:space="0" w:color="auto"/>
                            <w:right w:val="none" w:sz="0" w:space="0" w:color="auto"/>
                          </w:divBdr>
                          <w:divsChild>
                            <w:div w:id="1194884614">
                              <w:marLeft w:val="0"/>
                              <w:marRight w:val="0"/>
                              <w:marTop w:val="0"/>
                              <w:marBottom w:val="0"/>
                              <w:divBdr>
                                <w:top w:val="none" w:sz="0" w:space="0" w:color="auto"/>
                                <w:left w:val="none" w:sz="0" w:space="0" w:color="auto"/>
                                <w:bottom w:val="none" w:sz="0" w:space="0" w:color="auto"/>
                                <w:right w:val="none" w:sz="0" w:space="0" w:color="auto"/>
                              </w:divBdr>
                              <w:divsChild>
                                <w:div w:id="1003512023">
                                  <w:marLeft w:val="0"/>
                                  <w:marRight w:val="0"/>
                                  <w:marTop w:val="0"/>
                                  <w:marBottom w:val="0"/>
                                  <w:divBdr>
                                    <w:top w:val="none" w:sz="0" w:space="0" w:color="auto"/>
                                    <w:left w:val="none" w:sz="0" w:space="0" w:color="auto"/>
                                    <w:bottom w:val="none" w:sz="0" w:space="0" w:color="auto"/>
                                    <w:right w:val="none" w:sz="0" w:space="0" w:color="auto"/>
                                  </w:divBdr>
                                  <w:divsChild>
                                    <w:div w:id="988708324">
                                      <w:marLeft w:val="0"/>
                                      <w:marRight w:val="0"/>
                                      <w:marTop w:val="0"/>
                                      <w:marBottom w:val="0"/>
                                      <w:divBdr>
                                        <w:top w:val="none" w:sz="0" w:space="0" w:color="auto"/>
                                        <w:left w:val="none" w:sz="0" w:space="0" w:color="auto"/>
                                        <w:bottom w:val="none" w:sz="0" w:space="0" w:color="auto"/>
                                        <w:right w:val="none" w:sz="0" w:space="0" w:color="auto"/>
                                      </w:divBdr>
                                      <w:divsChild>
                                        <w:div w:id="1239317374">
                                          <w:marLeft w:val="0"/>
                                          <w:marRight w:val="0"/>
                                          <w:marTop w:val="0"/>
                                          <w:marBottom w:val="0"/>
                                          <w:divBdr>
                                            <w:top w:val="none" w:sz="0" w:space="0" w:color="auto"/>
                                            <w:left w:val="single" w:sz="6" w:space="0" w:color="999999"/>
                                            <w:bottom w:val="none" w:sz="0" w:space="0" w:color="auto"/>
                                            <w:right w:val="none" w:sz="0" w:space="0" w:color="auto"/>
                                          </w:divBdr>
                                          <w:divsChild>
                                            <w:div w:id="1640766528">
                                              <w:marLeft w:val="0"/>
                                              <w:marRight w:val="0"/>
                                              <w:marTop w:val="136"/>
                                              <w:marBottom w:val="136"/>
                                              <w:divBdr>
                                                <w:top w:val="none" w:sz="0" w:space="0" w:color="auto"/>
                                                <w:left w:val="none" w:sz="0" w:space="0" w:color="auto"/>
                                                <w:bottom w:val="none" w:sz="0" w:space="0" w:color="auto"/>
                                                <w:right w:val="none" w:sz="0" w:space="0" w:color="auto"/>
                                              </w:divBdr>
                                              <w:divsChild>
                                                <w:div w:id="1849979391">
                                                  <w:marLeft w:val="0"/>
                                                  <w:marRight w:val="0"/>
                                                  <w:marTop w:val="0"/>
                                                  <w:marBottom w:val="0"/>
                                                  <w:divBdr>
                                                    <w:top w:val="none" w:sz="0" w:space="0" w:color="auto"/>
                                                    <w:left w:val="none" w:sz="0" w:space="0" w:color="auto"/>
                                                    <w:bottom w:val="none" w:sz="0" w:space="0" w:color="auto"/>
                                                    <w:right w:val="none" w:sz="0" w:space="0" w:color="auto"/>
                                                  </w:divBdr>
                                                  <w:divsChild>
                                                    <w:div w:id="19087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0006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dicines.org.uk" TargetMode="External"/><Relationship Id="rId18" Type="http://schemas.openxmlformats.org/officeDocument/2006/relationships/hyperlink" Target="https://www.gov.uk/government/uploads/system/uploads/attachment_data/file/383187/1516_No13_Seasonal_Influenza_Immunisation_Programmeflu_FINAL.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ice.org.uk/guidance/mpg2/resources" TargetMode="External"/><Relationship Id="rId7" Type="http://schemas.openxmlformats.org/officeDocument/2006/relationships/endnotes" Target="endnotes.xml"/><Relationship Id="rId12" Type="http://schemas.openxmlformats.org/officeDocument/2006/relationships/hyperlink" Target="https://www.nice.org.uk/guidance/mpg2/resources/competency-framework-for-health-professionals-using-patient-group-directions-60468733" TargetMode="External"/><Relationship Id="rId17" Type="http://schemas.openxmlformats.org/officeDocument/2006/relationships/hyperlink" Target="http://www.gov.uk/government/uploads/system/uploads/attachment_data/file/457735/PHE_guidance_antivirals_influenza_2015_to_2016.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ublications.nice.org.uk/oseltamivir-amantadine-review-and-zanamivir-for-the-prophylaxis-of-influenza-ta158" TargetMode="External"/><Relationship Id="rId20" Type="http://schemas.openxmlformats.org/officeDocument/2006/relationships/hyperlink" Target="https://www.nice.org.uk/guidance/mpg2"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0B44.485CFBB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cines.org.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vidence.nhs.uk/formulary/bnf/current/5-infections/53-antiviral-drugs/534-influen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ellowcard.mhra.gov.uk" TargetMode="External"/><Relationship Id="rId22" Type="http://schemas.openxmlformats.org/officeDocument/2006/relationships/hyperlink" Target="https://www.gov.uk/government/publications/guidance-on-the-safe-management-of-healthcare-wast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457735/PHE_guidance_antivirals_influenza_2015_to_2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25541-002C-40D9-87AC-6972FF74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3467</Words>
  <Characters>19766</Characters>
  <Application>Microsoft Office Word</Application>
  <DocSecurity>8</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 the supply of oseltamivir 75mg and 30mg capsules for post exposure prophylax</vt:lpstr>
    </vt:vector>
  </TitlesOfParts>
  <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Jackie Lamberty</cp:lastModifiedBy>
  <cp:revision>4</cp:revision>
  <cp:lastPrinted>2015-05-12T10:41:00Z</cp:lastPrinted>
  <dcterms:created xsi:type="dcterms:W3CDTF">2015-12-31T13:49:00Z</dcterms:created>
  <dcterms:modified xsi:type="dcterms:W3CDTF">2015-12-31T14:08:00Z</dcterms:modified>
</cp:coreProperties>
</file>