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9E224" w14:textId="77777777" w:rsidR="00E119CE" w:rsidRPr="006B74EF" w:rsidRDefault="00E119CE">
      <w:pPr>
        <w:rPr>
          <w:sz w:val="22"/>
          <w:szCs w:val="22"/>
        </w:rPr>
      </w:pPr>
    </w:p>
    <w:tbl>
      <w:tblPr>
        <w:tblpPr w:leftFromText="180" w:rightFromText="180" w:vertAnchor="text" w:tblpY="1"/>
        <w:tblOverlap w:val="never"/>
        <w:tblW w:w="0" w:type="auto"/>
        <w:tblLook w:val="01E0" w:firstRow="1" w:lastRow="1" w:firstColumn="1" w:lastColumn="1" w:noHBand="0" w:noVBand="0"/>
      </w:tblPr>
      <w:tblGrid>
        <w:gridCol w:w="3510"/>
      </w:tblGrid>
      <w:tr w:rsidR="009B582D" w:rsidRPr="00E30D8B" w14:paraId="56F9E226" w14:textId="77777777" w:rsidTr="001C3F35">
        <w:trPr>
          <w:trHeight w:hRule="exact" w:val="340"/>
        </w:trPr>
        <w:tc>
          <w:tcPr>
            <w:tcW w:w="3510" w:type="dxa"/>
            <w:shd w:val="clear" w:color="auto" w:fill="auto"/>
            <w:vAlign w:val="bottom"/>
          </w:tcPr>
          <w:p w14:paraId="56F9E225" w14:textId="55835A34" w:rsidR="009B582D" w:rsidRPr="006B74EF" w:rsidRDefault="00AB1F3B" w:rsidP="00E57D98">
            <w:pPr>
              <w:rPr>
                <w:rStyle w:val="HCABodytext"/>
                <w:rFonts w:ascii="Arial" w:hAnsi="Arial"/>
                <w:szCs w:val="22"/>
              </w:rPr>
            </w:pPr>
            <w:r>
              <w:rPr>
                <w:rStyle w:val="HCABodytext"/>
                <w:rFonts w:ascii="Arial" w:hAnsi="Arial"/>
                <w:szCs w:val="22"/>
              </w:rPr>
              <w:t>15 December</w:t>
            </w:r>
            <w:r w:rsidR="00BD4DFD" w:rsidRPr="002A3321">
              <w:rPr>
                <w:rStyle w:val="HCABodytext"/>
                <w:rFonts w:ascii="Arial" w:hAnsi="Arial"/>
                <w:szCs w:val="22"/>
              </w:rPr>
              <w:t xml:space="preserve"> </w:t>
            </w:r>
            <w:r w:rsidR="00E57D98" w:rsidRPr="002A3321">
              <w:rPr>
                <w:rStyle w:val="HCABodytext"/>
                <w:rFonts w:ascii="Arial" w:hAnsi="Arial"/>
                <w:szCs w:val="22"/>
              </w:rPr>
              <w:fldChar w:fldCharType="begin"/>
            </w:r>
            <w:r w:rsidR="00E57D98" w:rsidRPr="002A3321">
              <w:rPr>
                <w:rStyle w:val="HCABodytext"/>
                <w:rFonts w:ascii="Arial" w:hAnsi="Arial"/>
                <w:szCs w:val="22"/>
              </w:rPr>
              <w:instrText xml:space="preserve"> FILLIN  Date \o  \* MERGEFORMAT </w:instrText>
            </w:r>
            <w:r w:rsidR="00E57D98" w:rsidRPr="002A3321">
              <w:rPr>
                <w:rStyle w:val="HCABodytext"/>
                <w:rFonts w:ascii="Arial" w:hAnsi="Arial"/>
                <w:szCs w:val="22"/>
              </w:rPr>
              <w:fldChar w:fldCharType="separate"/>
            </w:r>
            <w:r w:rsidR="00E8661D" w:rsidRPr="002A3321">
              <w:rPr>
                <w:rStyle w:val="HCABodytext"/>
                <w:rFonts w:ascii="Arial" w:hAnsi="Arial"/>
                <w:szCs w:val="22"/>
              </w:rPr>
              <w:t>2015</w:t>
            </w:r>
            <w:r w:rsidR="00E57D98" w:rsidRPr="002A3321">
              <w:rPr>
                <w:rStyle w:val="HCABodytext"/>
                <w:rFonts w:ascii="Arial" w:hAnsi="Arial"/>
                <w:szCs w:val="22"/>
              </w:rPr>
              <w:fldChar w:fldCharType="end"/>
            </w:r>
          </w:p>
        </w:tc>
      </w:tr>
    </w:tbl>
    <w:p w14:paraId="56F9E227" w14:textId="77777777" w:rsidR="00BC3375" w:rsidRPr="00E30D8B" w:rsidRDefault="00A96E32" w:rsidP="00626BB1">
      <w:pPr>
        <w:framePr w:w="2879" w:h="1265" w:hRule="exact" w:hSpace="180" w:wrap="around" w:vAnchor="text" w:hAnchor="page" w:x="7822" w:y="12546" w:anchorLock="1"/>
        <w:shd w:val="solid" w:color="FFFFFF" w:fill="FFFFFF"/>
        <w:rPr>
          <w:color w:val="808080"/>
          <w:szCs w:val="24"/>
        </w:rPr>
      </w:pPr>
      <w:r w:rsidRPr="00E30D8B">
        <w:rPr>
          <w:color w:val="808080"/>
          <w:szCs w:val="24"/>
        </w:rPr>
        <w:fldChar w:fldCharType="begin"/>
      </w:r>
      <w:r w:rsidRPr="00E30D8B">
        <w:rPr>
          <w:color w:val="808080"/>
          <w:szCs w:val="24"/>
        </w:rPr>
        <w:instrText xml:space="preserve"> FILLIN  "Sender's Fax" \o  \* MERGEFORMAT </w:instrText>
      </w:r>
      <w:r w:rsidRPr="00E30D8B">
        <w:rPr>
          <w:color w:val="808080"/>
          <w:szCs w:val="24"/>
        </w:rPr>
        <w:fldChar w:fldCharType="end"/>
      </w:r>
    </w:p>
    <w:p w14:paraId="56F9E228" w14:textId="77777777" w:rsidR="00652648" w:rsidRPr="00E30D8B" w:rsidRDefault="00C31E54">
      <w:pPr>
        <w:rPr>
          <w:rStyle w:val="HCABodytext"/>
          <w:rFonts w:ascii="Arial" w:hAnsi="Arial"/>
          <w:sz w:val="24"/>
          <w:szCs w:val="24"/>
        </w:rPr>
      </w:pPr>
      <w:r w:rsidRPr="00E30D8B">
        <w:rPr>
          <w:rStyle w:val="HCABodytext"/>
          <w:rFonts w:ascii="Arial" w:hAnsi="Arial"/>
          <w:sz w:val="24"/>
          <w:szCs w:val="24"/>
        </w:rPr>
        <w:br w:type="textWrapping" w:clear="all"/>
      </w:r>
    </w:p>
    <w:p w14:paraId="56F9E229" w14:textId="77777777" w:rsidR="003261DA" w:rsidRPr="00E30D8B" w:rsidRDefault="003261DA">
      <w:pPr>
        <w:rPr>
          <w:rStyle w:val="HCABodytext"/>
          <w:rFonts w:ascii="Arial" w:hAnsi="Arial"/>
          <w:sz w:val="24"/>
          <w:szCs w:val="24"/>
        </w:rPr>
        <w:sectPr w:rsidR="003261DA" w:rsidRPr="00E30D8B" w:rsidSect="00C91BE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2552" w:bottom="2127" w:left="1474" w:header="720" w:footer="720" w:gutter="0"/>
          <w:cols w:space="720"/>
          <w:titlePg/>
        </w:sectPr>
      </w:pPr>
    </w:p>
    <w:p w14:paraId="56F9E22A" w14:textId="77777777" w:rsidR="006400DC" w:rsidRPr="000B087A" w:rsidRDefault="006400DC" w:rsidP="006400DC">
      <w:pPr>
        <w:pStyle w:val="Default"/>
        <w:ind w:right="-909"/>
        <w:rPr>
          <w:rFonts w:ascii="Arial" w:hAnsi="Arial" w:cs="Arial"/>
          <w:sz w:val="22"/>
          <w:szCs w:val="22"/>
        </w:rPr>
      </w:pPr>
      <w:r w:rsidRPr="000B087A">
        <w:rPr>
          <w:rFonts w:ascii="Arial" w:hAnsi="Arial" w:cs="Arial"/>
          <w:b/>
          <w:bCs/>
          <w:sz w:val="22"/>
          <w:szCs w:val="22"/>
        </w:rPr>
        <w:lastRenderedPageBreak/>
        <w:t>APPROVAL OF A POLICY FOR DISPOSALS OF VACANT SOCIAL HOUSING DWELLINGS UNDER SECTION 172 OF THE HOUSING AND REGENERATION ACT 2008 (HRA 2008), IN ACCORDANCE WITH CATEGORY 5 OF THE GENERAL CONSENT 2015</w:t>
      </w:r>
    </w:p>
    <w:p w14:paraId="56F9E22B" w14:textId="77777777" w:rsidR="006400DC" w:rsidRPr="000B087A" w:rsidRDefault="006400DC" w:rsidP="006400DC">
      <w:pPr>
        <w:pStyle w:val="Default"/>
        <w:rPr>
          <w:rFonts w:ascii="Arial" w:hAnsi="Arial" w:cs="Arial"/>
          <w:sz w:val="22"/>
          <w:szCs w:val="22"/>
        </w:rPr>
      </w:pPr>
    </w:p>
    <w:p w14:paraId="56F9E22C" w14:textId="77777777" w:rsidR="006400DC" w:rsidRPr="000B087A" w:rsidRDefault="006400DC" w:rsidP="006400DC">
      <w:pPr>
        <w:ind w:left="720" w:hanging="720"/>
        <w:rPr>
          <w:b/>
          <w:sz w:val="22"/>
          <w:szCs w:val="22"/>
        </w:rPr>
      </w:pPr>
      <w:r w:rsidRPr="000B087A">
        <w:rPr>
          <w:b/>
          <w:sz w:val="22"/>
          <w:szCs w:val="22"/>
        </w:rPr>
        <w:t>TO:</w:t>
      </w:r>
      <w:r w:rsidRPr="000B087A">
        <w:rPr>
          <w:b/>
          <w:sz w:val="22"/>
          <w:szCs w:val="22"/>
        </w:rPr>
        <w:tab/>
      </w:r>
      <w:bookmarkStart w:id="3" w:name="_GoBack"/>
      <w:r w:rsidRPr="000B087A">
        <w:rPr>
          <w:b/>
          <w:sz w:val="22"/>
          <w:szCs w:val="22"/>
        </w:rPr>
        <w:t>Origin Housing Limited</w:t>
      </w:r>
      <w:bookmarkEnd w:id="3"/>
      <w:r w:rsidRPr="000B087A">
        <w:rPr>
          <w:b/>
          <w:sz w:val="22"/>
          <w:szCs w:val="22"/>
        </w:rPr>
        <w:t>, a private registered provider, (“the Provider”)</w:t>
      </w:r>
    </w:p>
    <w:p w14:paraId="56F9E22D" w14:textId="77777777" w:rsidR="006400DC" w:rsidRPr="000B087A" w:rsidRDefault="006400DC" w:rsidP="006400DC">
      <w:pPr>
        <w:rPr>
          <w:sz w:val="22"/>
          <w:szCs w:val="22"/>
        </w:rPr>
      </w:pPr>
    </w:p>
    <w:p w14:paraId="56F9E22E" w14:textId="77777777" w:rsidR="006400DC" w:rsidRPr="000B087A" w:rsidRDefault="006400DC" w:rsidP="006400DC">
      <w:pPr>
        <w:ind w:right="-334"/>
        <w:rPr>
          <w:b/>
          <w:sz w:val="22"/>
          <w:szCs w:val="22"/>
        </w:rPr>
      </w:pPr>
      <w:r w:rsidRPr="000B087A">
        <w:rPr>
          <w:b/>
          <w:sz w:val="22"/>
          <w:szCs w:val="22"/>
        </w:rPr>
        <w:t>RE:</w:t>
      </w:r>
      <w:r w:rsidRPr="000B087A">
        <w:rPr>
          <w:b/>
          <w:sz w:val="22"/>
          <w:szCs w:val="22"/>
        </w:rPr>
        <w:tab/>
        <w:t>APPLICATION REF: H2032478</w:t>
      </w:r>
    </w:p>
    <w:p w14:paraId="56F9E22F" w14:textId="77777777" w:rsidR="006400DC" w:rsidRPr="000B087A" w:rsidRDefault="006400DC" w:rsidP="006400DC">
      <w:pPr>
        <w:rPr>
          <w:sz w:val="22"/>
          <w:szCs w:val="22"/>
        </w:rPr>
      </w:pPr>
    </w:p>
    <w:p w14:paraId="56F9E230" w14:textId="77777777" w:rsidR="006400DC" w:rsidRPr="000B087A" w:rsidRDefault="006400DC" w:rsidP="006400DC">
      <w:pPr>
        <w:rPr>
          <w:b/>
          <w:sz w:val="22"/>
          <w:szCs w:val="22"/>
        </w:rPr>
      </w:pPr>
      <w:r w:rsidRPr="000B087A">
        <w:rPr>
          <w:b/>
          <w:sz w:val="22"/>
          <w:szCs w:val="22"/>
        </w:rPr>
        <w:t>REGISTERED NUMBER:</w:t>
      </w:r>
      <w:r w:rsidRPr="000B087A">
        <w:rPr>
          <w:b/>
          <w:sz w:val="22"/>
          <w:szCs w:val="22"/>
        </w:rPr>
        <w:tab/>
        <w:t>L0871</w:t>
      </w:r>
    </w:p>
    <w:p w14:paraId="56F9E231" w14:textId="77777777" w:rsidR="006400DC" w:rsidRPr="000B087A" w:rsidRDefault="006400DC" w:rsidP="006400DC">
      <w:pPr>
        <w:rPr>
          <w:b/>
          <w:sz w:val="22"/>
          <w:szCs w:val="22"/>
        </w:rPr>
      </w:pPr>
    </w:p>
    <w:p w14:paraId="56F9E232" w14:textId="77777777" w:rsidR="006400DC" w:rsidRPr="000B087A" w:rsidRDefault="006400DC" w:rsidP="006400DC">
      <w:pPr>
        <w:rPr>
          <w:b/>
          <w:sz w:val="22"/>
          <w:szCs w:val="22"/>
        </w:rPr>
      </w:pPr>
      <w:r w:rsidRPr="000B087A">
        <w:rPr>
          <w:b/>
          <w:sz w:val="22"/>
          <w:szCs w:val="22"/>
        </w:rPr>
        <w:t>POLICY TITLE:  Social Housing to Market Rent Conversion Programme to support Affordable Homes Programme 2015-2018, (“the Policy”)</w:t>
      </w:r>
    </w:p>
    <w:p w14:paraId="56F9E233" w14:textId="77777777" w:rsidR="006400DC" w:rsidRPr="000B087A" w:rsidRDefault="006400DC" w:rsidP="006400DC">
      <w:pPr>
        <w:rPr>
          <w:sz w:val="22"/>
          <w:szCs w:val="22"/>
        </w:rPr>
      </w:pPr>
    </w:p>
    <w:p w14:paraId="56F9E234" w14:textId="77777777" w:rsidR="006400DC" w:rsidRPr="004E3402" w:rsidRDefault="006400DC" w:rsidP="006400DC">
      <w:pPr>
        <w:pStyle w:val="NoSpacing"/>
        <w:rPr>
          <w:rFonts w:ascii="Arial" w:hAnsi="Arial" w:cs="Arial"/>
          <w:b/>
        </w:rPr>
      </w:pPr>
      <w:r w:rsidRPr="004E3402">
        <w:rPr>
          <w:rFonts w:ascii="Arial" w:hAnsi="Arial" w:cs="Arial"/>
        </w:rPr>
        <w:t xml:space="preserve">Following consideration of an application from the provider for approval of a policy for disposals so that certain properties can </w:t>
      </w:r>
      <w:r>
        <w:rPr>
          <w:rFonts w:ascii="Arial" w:hAnsi="Arial" w:cs="Arial"/>
        </w:rPr>
        <w:t xml:space="preserve">be </w:t>
      </w:r>
      <w:r w:rsidRPr="004E3402">
        <w:rPr>
          <w:rFonts w:ascii="Arial" w:hAnsi="Arial" w:cs="Arial"/>
        </w:rPr>
        <w:t>let out at open market rent levels instead of at social rent levels, the Homes and Communities Agency (HCA) acting as the Social Housing Regulator (‘the regulator’) approves the Policy named above for the purposes of Category 5 of Part I of the General Consent 2015 (“Category 5”) solely on the basis set out in this approval.</w:t>
      </w:r>
      <w:r w:rsidRPr="004E3402">
        <w:rPr>
          <w:rFonts w:ascii="Arial" w:hAnsi="Arial" w:cs="Arial"/>
          <w:b/>
        </w:rPr>
        <w:t xml:space="preserve"> </w:t>
      </w:r>
    </w:p>
    <w:p w14:paraId="56F9E235" w14:textId="77777777" w:rsidR="006400DC" w:rsidRPr="004E3402" w:rsidRDefault="006400DC" w:rsidP="006400DC">
      <w:pPr>
        <w:pStyle w:val="NoSpacing"/>
        <w:rPr>
          <w:rFonts w:ascii="Arial" w:hAnsi="Arial" w:cs="Arial"/>
          <w:b/>
        </w:rPr>
      </w:pPr>
    </w:p>
    <w:p w14:paraId="56F9E236" w14:textId="523B2B85" w:rsidR="006400DC" w:rsidRPr="004E3402" w:rsidRDefault="006400DC" w:rsidP="006400DC">
      <w:pPr>
        <w:pStyle w:val="NoSpacing"/>
        <w:rPr>
          <w:rFonts w:ascii="Arial" w:hAnsi="Arial" w:cs="Arial"/>
          <w:b/>
        </w:rPr>
      </w:pPr>
      <w:r w:rsidRPr="004E3402">
        <w:rPr>
          <w:rFonts w:ascii="Arial" w:hAnsi="Arial" w:cs="Arial"/>
        </w:rPr>
        <w:t xml:space="preserve">This approval takes effect on </w:t>
      </w:r>
      <w:r w:rsidR="00CB4E64">
        <w:rPr>
          <w:rFonts w:ascii="Arial" w:hAnsi="Arial" w:cs="Arial"/>
        </w:rPr>
        <w:t>4 January 2016</w:t>
      </w:r>
      <w:r w:rsidR="00B101CE">
        <w:rPr>
          <w:rFonts w:ascii="Arial" w:hAnsi="Arial" w:cs="Arial"/>
          <w:b/>
        </w:rPr>
        <w:t xml:space="preserve"> </w:t>
      </w:r>
      <w:r w:rsidRPr="000B087A">
        <w:rPr>
          <w:rFonts w:ascii="Arial" w:hAnsi="Arial" w:cs="Arial"/>
        </w:rPr>
        <w:t>and</w:t>
      </w:r>
      <w:r w:rsidRPr="004E3402">
        <w:rPr>
          <w:rFonts w:ascii="Arial" w:hAnsi="Arial" w:cs="Arial"/>
        </w:rPr>
        <w:t xml:space="preserve"> remains</w:t>
      </w:r>
      <w:r w:rsidRPr="004E3402">
        <w:rPr>
          <w:rFonts w:ascii="Arial" w:hAnsi="Arial" w:cs="Arial"/>
          <w:b/>
        </w:rPr>
        <w:t xml:space="preserve"> </w:t>
      </w:r>
      <w:r w:rsidRPr="004E3402">
        <w:rPr>
          <w:rFonts w:ascii="Arial" w:hAnsi="Arial" w:cs="Arial"/>
        </w:rPr>
        <w:t xml:space="preserve">valid until the Expiry Date (being the earlier of </w:t>
      </w:r>
      <w:r w:rsidR="00B101CE">
        <w:rPr>
          <w:rFonts w:ascii="Arial" w:hAnsi="Arial" w:cs="Arial"/>
        </w:rPr>
        <w:t>30 November 2018</w:t>
      </w:r>
      <w:r w:rsidRPr="004E3402">
        <w:rPr>
          <w:rFonts w:ascii="Arial" w:hAnsi="Arial" w:cs="Arial"/>
        </w:rPr>
        <w:t xml:space="preserve"> or until one of the cessation events listed below occurs)</w:t>
      </w:r>
      <w:r>
        <w:rPr>
          <w:rFonts w:ascii="Arial" w:hAnsi="Arial" w:cs="Arial"/>
        </w:rPr>
        <w:t xml:space="preserve">.  That means </w:t>
      </w:r>
      <w:r w:rsidRPr="004E3402">
        <w:rPr>
          <w:rFonts w:ascii="Arial" w:hAnsi="Arial" w:cs="Arial"/>
        </w:rPr>
        <w:t>that</w:t>
      </w:r>
      <w:r w:rsidR="00185EDC">
        <w:rPr>
          <w:rFonts w:ascii="Arial" w:hAnsi="Arial" w:cs="Arial"/>
        </w:rPr>
        <w:t xml:space="preserve"> it covers </w:t>
      </w:r>
      <w:r w:rsidR="00831BB6">
        <w:rPr>
          <w:rFonts w:ascii="Arial" w:hAnsi="Arial" w:cs="Arial"/>
        </w:rPr>
        <w:t xml:space="preserve">those </w:t>
      </w:r>
      <w:r w:rsidR="00185EDC">
        <w:rPr>
          <w:rFonts w:ascii="Arial" w:hAnsi="Arial" w:cs="Arial"/>
        </w:rPr>
        <w:t>disposals which comply with the requ</w:t>
      </w:r>
      <w:r w:rsidR="00831BB6">
        <w:rPr>
          <w:rFonts w:ascii="Arial" w:hAnsi="Arial" w:cs="Arial"/>
        </w:rPr>
        <w:t>i</w:t>
      </w:r>
      <w:r w:rsidR="00185EDC">
        <w:rPr>
          <w:rFonts w:ascii="Arial" w:hAnsi="Arial" w:cs="Arial"/>
        </w:rPr>
        <w:t xml:space="preserve">rements below </w:t>
      </w:r>
      <w:r w:rsidR="00831BB6">
        <w:rPr>
          <w:rFonts w:ascii="Arial" w:hAnsi="Arial" w:cs="Arial"/>
        </w:rPr>
        <w:t xml:space="preserve">and which are </w:t>
      </w:r>
      <w:r w:rsidR="00185EDC">
        <w:rPr>
          <w:rFonts w:ascii="Arial" w:hAnsi="Arial" w:cs="Arial"/>
        </w:rPr>
        <w:t xml:space="preserve">made after </w:t>
      </w:r>
      <w:r w:rsidR="00CB4E64">
        <w:rPr>
          <w:rFonts w:ascii="Arial" w:hAnsi="Arial" w:cs="Arial"/>
        </w:rPr>
        <w:t>4 January 2016</w:t>
      </w:r>
      <w:r w:rsidR="00831BB6">
        <w:rPr>
          <w:rFonts w:ascii="Arial" w:hAnsi="Arial" w:cs="Arial"/>
        </w:rPr>
        <w:t>;</w:t>
      </w:r>
      <w:r w:rsidR="00185EDC">
        <w:rPr>
          <w:rFonts w:ascii="Arial" w:hAnsi="Arial" w:cs="Arial"/>
        </w:rPr>
        <w:t xml:space="preserve"> that</w:t>
      </w:r>
      <w:r w:rsidRPr="004E3402">
        <w:rPr>
          <w:rFonts w:ascii="Arial" w:hAnsi="Arial" w:cs="Arial"/>
        </w:rPr>
        <w:t xml:space="preserve"> no further disposals may be made</w:t>
      </w:r>
      <w:r w:rsidR="00185EDC">
        <w:rPr>
          <w:rFonts w:ascii="Arial" w:hAnsi="Arial" w:cs="Arial"/>
        </w:rPr>
        <w:t xml:space="preserve"> under the Policy</w:t>
      </w:r>
      <w:r w:rsidRPr="004E3402">
        <w:rPr>
          <w:rFonts w:ascii="Arial" w:hAnsi="Arial" w:cs="Arial"/>
        </w:rPr>
        <w:t xml:space="preserve"> after the Expiry Date.</w:t>
      </w:r>
    </w:p>
    <w:p w14:paraId="56F9E237" w14:textId="77777777" w:rsidR="006400DC" w:rsidRPr="000B087A" w:rsidRDefault="006400DC" w:rsidP="006400DC">
      <w:pPr>
        <w:autoSpaceDE w:val="0"/>
        <w:autoSpaceDN w:val="0"/>
        <w:adjustRightInd w:val="0"/>
        <w:rPr>
          <w:b/>
          <w:sz w:val="22"/>
          <w:szCs w:val="22"/>
        </w:rPr>
      </w:pPr>
    </w:p>
    <w:p w14:paraId="56F9E238" w14:textId="77777777" w:rsidR="006400DC" w:rsidRPr="000B087A" w:rsidRDefault="006400DC" w:rsidP="006400DC">
      <w:pPr>
        <w:autoSpaceDE w:val="0"/>
        <w:autoSpaceDN w:val="0"/>
        <w:adjustRightInd w:val="0"/>
        <w:rPr>
          <w:b/>
          <w:sz w:val="22"/>
          <w:szCs w:val="22"/>
        </w:rPr>
      </w:pPr>
      <w:r w:rsidRPr="000B087A">
        <w:rPr>
          <w:b/>
          <w:sz w:val="22"/>
          <w:szCs w:val="22"/>
        </w:rPr>
        <w:t>Valid Use of this Approval</w:t>
      </w:r>
    </w:p>
    <w:p w14:paraId="56F9E239" w14:textId="77777777" w:rsidR="006400DC" w:rsidRPr="000B087A" w:rsidRDefault="006400DC" w:rsidP="006400DC">
      <w:pPr>
        <w:autoSpaceDE w:val="0"/>
        <w:autoSpaceDN w:val="0"/>
        <w:adjustRightInd w:val="0"/>
        <w:rPr>
          <w:sz w:val="22"/>
          <w:szCs w:val="22"/>
        </w:rPr>
      </w:pPr>
    </w:p>
    <w:p w14:paraId="56F9E23A" w14:textId="77777777" w:rsidR="006400DC" w:rsidRPr="004E3402" w:rsidRDefault="006400DC" w:rsidP="006400DC">
      <w:pPr>
        <w:autoSpaceDE w:val="0"/>
        <w:autoSpaceDN w:val="0"/>
        <w:adjustRightInd w:val="0"/>
        <w:rPr>
          <w:sz w:val="22"/>
          <w:szCs w:val="22"/>
        </w:rPr>
      </w:pPr>
      <w:r w:rsidRPr="004E3402">
        <w:rPr>
          <w:sz w:val="22"/>
          <w:szCs w:val="22"/>
        </w:rPr>
        <w:t>To be a valid use of Category 5, each disposal made under the Policy must comply with the following requirements:</w:t>
      </w:r>
    </w:p>
    <w:p w14:paraId="56F9E23B" w14:textId="77777777" w:rsidR="006400DC" w:rsidRPr="004E3402" w:rsidRDefault="006400DC" w:rsidP="006400DC">
      <w:pPr>
        <w:autoSpaceDE w:val="0"/>
        <w:autoSpaceDN w:val="0"/>
        <w:adjustRightInd w:val="0"/>
        <w:rPr>
          <w:sz w:val="22"/>
          <w:szCs w:val="22"/>
        </w:rPr>
      </w:pPr>
    </w:p>
    <w:p w14:paraId="56F9E23C" w14:textId="77777777" w:rsidR="006400DC" w:rsidRPr="004E3402" w:rsidRDefault="006400DC" w:rsidP="006400DC">
      <w:pPr>
        <w:pStyle w:val="ListParagraph"/>
        <w:numPr>
          <w:ilvl w:val="0"/>
          <w:numId w:val="13"/>
        </w:numPr>
        <w:autoSpaceDE w:val="0"/>
        <w:autoSpaceDN w:val="0"/>
        <w:adjustRightInd w:val="0"/>
        <w:contextualSpacing/>
        <w:rPr>
          <w:rFonts w:ascii="Arial" w:hAnsi="Arial" w:cs="Arial"/>
        </w:rPr>
      </w:pPr>
      <w:r w:rsidRPr="004E3402">
        <w:rPr>
          <w:rFonts w:ascii="Arial" w:hAnsi="Arial" w:cs="Arial"/>
        </w:rPr>
        <w:t>Must require consent under s172 of HRA 2008;</w:t>
      </w:r>
    </w:p>
    <w:p w14:paraId="56F9E23D" w14:textId="77777777" w:rsidR="006400DC" w:rsidRPr="00BE1461" w:rsidRDefault="006400DC" w:rsidP="006400DC">
      <w:pPr>
        <w:pStyle w:val="ListParagraph"/>
        <w:numPr>
          <w:ilvl w:val="0"/>
          <w:numId w:val="13"/>
        </w:numPr>
        <w:autoSpaceDE w:val="0"/>
        <w:autoSpaceDN w:val="0"/>
        <w:adjustRightInd w:val="0"/>
        <w:contextualSpacing/>
        <w:rPr>
          <w:rFonts w:ascii="Arial" w:hAnsi="Arial" w:cs="Arial"/>
        </w:rPr>
      </w:pPr>
      <w:r w:rsidRPr="000D4836">
        <w:rPr>
          <w:rFonts w:ascii="Arial" w:hAnsi="Arial" w:cs="Arial"/>
        </w:rPr>
        <w:t>Must comply with the specific c</w:t>
      </w:r>
      <w:r w:rsidR="00EB37F3" w:rsidRPr="000D4836">
        <w:rPr>
          <w:rFonts w:ascii="Arial" w:hAnsi="Arial" w:cs="Arial"/>
        </w:rPr>
        <w:t xml:space="preserve">onditions set out in Category 5, </w:t>
      </w:r>
    </w:p>
    <w:p w14:paraId="56F9E23E" w14:textId="77777777" w:rsidR="006400DC" w:rsidRPr="000D4836" w:rsidRDefault="006400DC" w:rsidP="006400DC">
      <w:pPr>
        <w:pStyle w:val="ListParagraph"/>
        <w:numPr>
          <w:ilvl w:val="0"/>
          <w:numId w:val="13"/>
        </w:numPr>
        <w:autoSpaceDE w:val="0"/>
        <w:autoSpaceDN w:val="0"/>
        <w:adjustRightInd w:val="0"/>
        <w:contextualSpacing/>
        <w:rPr>
          <w:rFonts w:ascii="Arial" w:hAnsi="Arial" w:cs="Arial"/>
        </w:rPr>
      </w:pPr>
      <w:r w:rsidRPr="000D4836">
        <w:rPr>
          <w:rFonts w:ascii="Arial" w:hAnsi="Arial" w:cs="Arial"/>
        </w:rPr>
        <w:t>Must comply with the general conditions set out in Part II of the General Consent 2015</w:t>
      </w:r>
      <w:r w:rsidR="00BE1461">
        <w:rPr>
          <w:rFonts w:ascii="Arial" w:hAnsi="Arial" w:cs="Arial"/>
        </w:rPr>
        <w:t>,</w:t>
      </w:r>
      <w:r w:rsidR="00B101CE" w:rsidRPr="00BE1461">
        <w:rPr>
          <w:rFonts w:ascii="Arial" w:hAnsi="Arial" w:cs="Arial"/>
        </w:rPr>
        <w:t xml:space="preserve"> </w:t>
      </w:r>
      <w:r w:rsidR="00831BB6" w:rsidRPr="002A3321">
        <w:rPr>
          <w:rFonts w:ascii="Arial" w:hAnsi="Arial" w:cs="Arial"/>
        </w:rPr>
        <w:t>except that compliance with</w:t>
      </w:r>
      <w:r w:rsidR="00B101CE" w:rsidRPr="002A3321">
        <w:rPr>
          <w:rFonts w:ascii="Arial" w:hAnsi="Arial" w:cs="Arial"/>
        </w:rPr>
        <w:t xml:space="preserve"> condition 3(b) </w:t>
      </w:r>
      <w:r w:rsidR="00831BB6" w:rsidRPr="002A3321">
        <w:rPr>
          <w:rFonts w:ascii="Arial" w:hAnsi="Arial" w:cs="Arial"/>
        </w:rPr>
        <w:t xml:space="preserve">is not required since condition 3(b) </w:t>
      </w:r>
      <w:r w:rsidR="00B101CE" w:rsidRPr="002A3321">
        <w:rPr>
          <w:rFonts w:ascii="Arial" w:hAnsi="Arial" w:cs="Arial"/>
        </w:rPr>
        <w:t xml:space="preserve">is </w:t>
      </w:r>
      <w:proofErr w:type="spellStart"/>
      <w:r w:rsidR="00B101CE" w:rsidRPr="002A3321">
        <w:rPr>
          <w:rFonts w:ascii="Arial" w:hAnsi="Arial" w:cs="Arial"/>
        </w:rPr>
        <w:t>disapplied</w:t>
      </w:r>
      <w:proofErr w:type="spellEnd"/>
      <w:r w:rsidR="00B101CE" w:rsidRPr="002A3321">
        <w:rPr>
          <w:rFonts w:ascii="Arial" w:hAnsi="Arial" w:cs="Arial"/>
        </w:rPr>
        <w:t xml:space="preserve"> for the purposes of this approval.</w:t>
      </w:r>
    </w:p>
    <w:p w14:paraId="56F9E23F" w14:textId="77777777" w:rsidR="006400DC" w:rsidRPr="004E3402" w:rsidRDefault="006400DC" w:rsidP="006400DC">
      <w:pPr>
        <w:pStyle w:val="ListParagraph"/>
        <w:numPr>
          <w:ilvl w:val="0"/>
          <w:numId w:val="13"/>
        </w:numPr>
        <w:autoSpaceDE w:val="0"/>
        <w:autoSpaceDN w:val="0"/>
        <w:adjustRightInd w:val="0"/>
        <w:contextualSpacing/>
        <w:rPr>
          <w:rFonts w:ascii="Arial" w:hAnsi="Arial" w:cs="Arial"/>
        </w:rPr>
      </w:pPr>
      <w:r w:rsidRPr="004E3402">
        <w:rPr>
          <w:rFonts w:ascii="Arial" w:hAnsi="Arial" w:cs="Arial"/>
        </w:rPr>
        <w:t>Must comply with the information and objectives set out in the Policy and, the Policy Particulars (set out below).</w:t>
      </w:r>
      <w:r w:rsidRPr="004E3402">
        <w:rPr>
          <w:rFonts w:ascii="Arial" w:hAnsi="Arial" w:cs="Arial"/>
        </w:rPr>
        <w:br/>
      </w:r>
    </w:p>
    <w:p w14:paraId="56F9E240" w14:textId="77777777" w:rsidR="006400DC" w:rsidRDefault="006400DC" w:rsidP="006400DC">
      <w:pPr>
        <w:tabs>
          <w:tab w:val="center" w:pos="4513"/>
          <w:tab w:val="left" w:pos="6705"/>
        </w:tabs>
        <w:rPr>
          <w:rFonts w:eastAsia="Calibri"/>
          <w:sz w:val="22"/>
          <w:szCs w:val="22"/>
        </w:rPr>
      </w:pPr>
    </w:p>
    <w:p w14:paraId="56F9E241" w14:textId="77777777" w:rsidR="006400DC" w:rsidRPr="000B087A" w:rsidRDefault="006400DC" w:rsidP="006400DC">
      <w:pPr>
        <w:tabs>
          <w:tab w:val="center" w:pos="4513"/>
          <w:tab w:val="left" w:pos="6705"/>
        </w:tabs>
        <w:jc w:val="center"/>
        <w:rPr>
          <w:b/>
          <w:sz w:val="22"/>
          <w:szCs w:val="22"/>
        </w:rPr>
      </w:pPr>
      <w:r w:rsidRPr="000B087A">
        <w:rPr>
          <w:b/>
          <w:sz w:val="22"/>
          <w:szCs w:val="22"/>
        </w:rPr>
        <w:t>Policy Particulars</w:t>
      </w:r>
    </w:p>
    <w:p w14:paraId="56F9E242" w14:textId="77777777" w:rsidR="006400DC" w:rsidRPr="000B087A" w:rsidRDefault="006400DC" w:rsidP="006400DC">
      <w:pPr>
        <w:tabs>
          <w:tab w:val="center" w:pos="4513"/>
          <w:tab w:val="left" w:pos="6705"/>
        </w:tabs>
        <w:jc w:val="center"/>
        <w:rPr>
          <w:b/>
          <w:sz w:val="22"/>
          <w:szCs w:val="22"/>
        </w:rPr>
      </w:pPr>
    </w:p>
    <w:tbl>
      <w:tblPr>
        <w:tblStyle w:val="TableGrid"/>
        <w:tblW w:w="9782" w:type="dxa"/>
        <w:tblInd w:w="-318" w:type="dxa"/>
        <w:tblCellMar>
          <w:top w:w="85" w:type="dxa"/>
          <w:left w:w="85" w:type="dxa"/>
          <w:bottom w:w="85" w:type="dxa"/>
          <w:right w:w="85" w:type="dxa"/>
        </w:tblCellMar>
        <w:tblLook w:val="04A0" w:firstRow="1" w:lastRow="0" w:firstColumn="1" w:lastColumn="0" w:noHBand="0" w:noVBand="1"/>
      </w:tblPr>
      <w:tblGrid>
        <w:gridCol w:w="568"/>
        <w:gridCol w:w="3544"/>
        <w:gridCol w:w="5670"/>
      </w:tblGrid>
      <w:tr w:rsidR="006400DC" w:rsidRPr="004E3402" w14:paraId="56F9E246" w14:textId="77777777" w:rsidTr="0014798B">
        <w:tc>
          <w:tcPr>
            <w:tcW w:w="568" w:type="dxa"/>
          </w:tcPr>
          <w:p w14:paraId="56F9E243" w14:textId="77777777" w:rsidR="006400DC" w:rsidRPr="000B087A" w:rsidRDefault="006400DC" w:rsidP="0014798B">
            <w:pPr>
              <w:jc w:val="center"/>
              <w:rPr>
                <w:sz w:val="22"/>
                <w:szCs w:val="22"/>
              </w:rPr>
            </w:pPr>
            <w:r w:rsidRPr="000B087A">
              <w:rPr>
                <w:sz w:val="22"/>
                <w:szCs w:val="22"/>
              </w:rPr>
              <w:t>1</w:t>
            </w:r>
          </w:p>
        </w:tc>
        <w:tc>
          <w:tcPr>
            <w:tcW w:w="3544" w:type="dxa"/>
          </w:tcPr>
          <w:p w14:paraId="56F9E244" w14:textId="77777777" w:rsidR="006400DC" w:rsidRPr="000B087A" w:rsidRDefault="006400DC" w:rsidP="0014798B">
            <w:pPr>
              <w:rPr>
                <w:sz w:val="22"/>
                <w:szCs w:val="22"/>
              </w:rPr>
            </w:pPr>
            <w:r w:rsidRPr="000B087A">
              <w:rPr>
                <w:sz w:val="22"/>
                <w:szCs w:val="22"/>
              </w:rPr>
              <w:t>The Properties</w:t>
            </w:r>
          </w:p>
        </w:tc>
        <w:tc>
          <w:tcPr>
            <w:tcW w:w="5670" w:type="dxa"/>
          </w:tcPr>
          <w:p w14:paraId="56F9E245" w14:textId="77777777" w:rsidR="006400DC" w:rsidRPr="00193357" w:rsidRDefault="006400DC" w:rsidP="0014798B">
            <w:pPr>
              <w:tabs>
                <w:tab w:val="left" w:pos="0"/>
              </w:tabs>
              <w:contextualSpacing/>
            </w:pPr>
            <w:r w:rsidRPr="000B087A">
              <w:rPr>
                <w:sz w:val="22"/>
                <w:szCs w:val="22"/>
              </w:rPr>
              <w:t>Those properties which comply with the Policy Particulars set out below.</w:t>
            </w:r>
          </w:p>
        </w:tc>
      </w:tr>
      <w:tr w:rsidR="006400DC" w:rsidRPr="004E3402" w14:paraId="56F9E24C" w14:textId="77777777" w:rsidTr="0014798B">
        <w:tc>
          <w:tcPr>
            <w:tcW w:w="568" w:type="dxa"/>
          </w:tcPr>
          <w:p w14:paraId="56F9E247" w14:textId="77777777" w:rsidR="006400DC" w:rsidRPr="000B087A" w:rsidRDefault="006400DC" w:rsidP="0014798B">
            <w:pPr>
              <w:jc w:val="center"/>
              <w:rPr>
                <w:sz w:val="22"/>
                <w:szCs w:val="22"/>
              </w:rPr>
            </w:pPr>
            <w:r w:rsidRPr="000B087A">
              <w:rPr>
                <w:sz w:val="22"/>
                <w:szCs w:val="22"/>
              </w:rPr>
              <w:t>2</w:t>
            </w:r>
          </w:p>
        </w:tc>
        <w:tc>
          <w:tcPr>
            <w:tcW w:w="3544" w:type="dxa"/>
          </w:tcPr>
          <w:p w14:paraId="56F9E248" w14:textId="77777777" w:rsidR="006400DC" w:rsidRPr="000B087A" w:rsidRDefault="006400DC" w:rsidP="0014798B">
            <w:pPr>
              <w:rPr>
                <w:sz w:val="22"/>
                <w:szCs w:val="22"/>
              </w:rPr>
            </w:pPr>
            <w:r w:rsidRPr="000B087A">
              <w:rPr>
                <w:sz w:val="22"/>
                <w:szCs w:val="22"/>
              </w:rPr>
              <w:t>Selection criteria of the Properties to be disposed of under the Policy</w:t>
            </w:r>
          </w:p>
        </w:tc>
        <w:tc>
          <w:tcPr>
            <w:tcW w:w="5670" w:type="dxa"/>
          </w:tcPr>
          <w:p w14:paraId="56F9E249" w14:textId="77777777" w:rsidR="006400DC" w:rsidRPr="004E3402" w:rsidRDefault="006400DC" w:rsidP="0014798B">
            <w:pPr>
              <w:pStyle w:val="ListParagraph"/>
              <w:numPr>
                <w:ilvl w:val="0"/>
                <w:numId w:val="11"/>
              </w:numPr>
              <w:contextualSpacing/>
              <w:rPr>
                <w:rFonts w:ascii="Arial" w:hAnsi="Arial" w:cs="Arial"/>
              </w:rPr>
            </w:pPr>
            <w:r w:rsidRPr="004E3402">
              <w:rPr>
                <w:rFonts w:ascii="Arial" w:hAnsi="Arial" w:cs="Arial"/>
              </w:rPr>
              <w:t>Unoccupied social housing dwellings.</w:t>
            </w:r>
          </w:p>
          <w:p w14:paraId="56F9E24A" w14:textId="77777777" w:rsidR="006400DC" w:rsidRPr="004E3402" w:rsidRDefault="006400DC" w:rsidP="0014798B">
            <w:pPr>
              <w:pStyle w:val="ListParagraph"/>
              <w:numPr>
                <w:ilvl w:val="0"/>
                <w:numId w:val="11"/>
              </w:numPr>
              <w:contextualSpacing/>
              <w:rPr>
                <w:rFonts w:ascii="Arial" w:hAnsi="Arial" w:cs="Arial"/>
              </w:rPr>
            </w:pPr>
            <w:r w:rsidRPr="004E3402">
              <w:rPr>
                <w:rFonts w:ascii="Arial" w:hAnsi="Arial" w:cs="Arial"/>
              </w:rPr>
              <w:t>Studios, 1 or 2 bedroom properties approved for disposal by the Provider’s Asset Review Group, giving priority to category of properties types set out in the Provider’s Property Asset Disposal and Change of Use Policy 2014-2018.</w:t>
            </w:r>
          </w:p>
          <w:p w14:paraId="56F9E24B" w14:textId="77777777" w:rsidR="006400DC" w:rsidRPr="000B087A" w:rsidRDefault="006400DC" w:rsidP="0014798B">
            <w:pPr>
              <w:pStyle w:val="ListParagraph"/>
              <w:numPr>
                <w:ilvl w:val="0"/>
                <w:numId w:val="11"/>
              </w:numPr>
              <w:contextualSpacing/>
              <w:rPr>
                <w:rFonts w:ascii="Arial" w:hAnsi="Arial" w:cs="Arial"/>
              </w:rPr>
            </w:pPr>
            <w:r w:rsidRPr="004E3402">
              <w:rPr>
                <w:rFonts w:ascii="Arial" w:hAnsi="Arial" w:cs="Arial"/>
              </w:rPr>
              <w:t>Situated within the London Borough of Camden</w:t>
            </w:r>
          </w:p>
        </w:tc>
      </w:tr>
      <w:tr w:rsidR="006400DC" w:rsidRPr="004E3402" w14:paraId="56F9E251" w14:textId="77777777" w:rsidTr="0014798B">
        <w:tc>
          <w:tcPr>
            <w:tcW w:w="568" w:type="dxa"/>
          </w:tcPr>
          <w:p w14:paraId="56F9E24D" w14:textId="77777777" w:rsidR="006400DC" w:rsidRPr="000B087A" w:rsidRDefault="006400DC" w:rsidP="0014798B">
            <w:pPr>
              <w:jc w:val="center"/>
              <w:rPr>
                <w:sz w:val="22"/>
                <w:szCs w:val="22"/>
              </w:rPr>
            </w:pPr>
            <w:r w:rsidRPr="000B087A">
              <w:rPr>
                <w:sz w:val="22"/>
                <w:szCs w:val="22"/>
              </w:rPr>
              <w:t>3</w:t>
            </w:r>
          </w:p>
        </w:tc>
        <w:tc>
          <w:tcPr>
            <w:tcW w:w="3544" w:type="dxa"/>
          </w:tcPr>
          <w:p w14:paraId="56F9E24E" w14:textId="77777777" w:rsidR="006400DC" w:rsidRPr="000B087A" w:rsidRDefault="006400DC" w:rsidP="0014798B">
            <w:pPr>
              <w:rPr>
                <w:sz w:val="22"/>
                <w:szCs w:val="22"/>
              </w:rPr>
            </w:pPr>
            <w:r w:rsidRPr="000B087A">
              <w:rPr>
                <w:sz w:val="22"/>
                <w:szCs w:val="22"/>
              </w:rPr>
              <w:t>Limit on numbers</w:t>
            </w:r>
          </w:p>
        </w:tc>
        <w:tc>
          <w:tcPr>
            <w:tcW w:w="5670" w:type="dxa"/>
          </w:tcPr>
          <w:p w14:paraId="56F9E24F" w14:textId="77777777" w:rsidR="006400DC" w:rsidRPr="000B087A" w:rsidRDefault="006400DC" w:rsidP="0014798B">
            <w:pPr>
              <w:pStyle w:val="ListParagraph"/>
              <w:numPr>
                <w:ilvl w:val="0"/>
                <w:numId w:val="19"/>
              </w:numPr>
              <w:contextualSpacing/>
              <w:rPr>
                <w:rFonts w:ascii="Arial" w:hAnsi="Arial" w:cs="Arial"/>
              </w:rPr>
            </w:pPr>
            <w:r w:rsidRPr="004E3402">
              <w:rPr>
                <w:rFonts w:ascii="Arial" w:hAnsi="Arial" w:cs="Arial"/>
              </w:rPr>
              <w:t xml:space="preserve">No more than 75 </w:t>
            </w:r>
            <w:r>
              <w:rPr>
                <w:rFonts w:ascii="Arial" w:hAnsi="Arial" w:cs="Arial"/>
              </w:rPr>
              <w:t>P</w:t>
            </w:r>
            <w:r w:rsidRPr="004E3402">
              <w:rPr>
                <w:rFonts w:ascii="Arial" w:hAnsi="Arial" w:cs="Arial"/>
              </w:rPr>
              <w:t xml:space="preserve">roperties in total </w:t>
            </w:r>
          </w:p>
          <w:p w14:paraId="56F9E250" w14:textId="77777777" w:rsidR="006400DC" w:rsidRPr="002A3321" w:rsidRDefault="006400DC" w:rsidP="002A3321">
            <w:pPr>
              <w:contextualSpacing/>
            </w:pPr>
          </w:p>
        </w:tc>
      </w:tr>
      <w:tr w:rsidR="006400DC" w:rsidRPr="004E3402" w14:paraId="56F9E255" w14:textId="77777777" w:rsidTr="0014798B">
        <w:tc>
          <w:tcPr>
            <w:tcW w:w="568" w:type="dxa"/>
          </w:tcPr>
          <w:p w14:paraId="56F9E252" w14:textId="77777777" w:rsidR="006400DC" w:rsidRPr="000B087A" w:rsidRDefault="006400DC" w:rsidP="0014798B">
            <w:pPr>
              <w:jc w:val="center"/>
              <w:rPr>
                <w:sz w:val="22"/>
                <w:szCs w:val="22"/>
              </w:rPr>
            </w:pPr>
            <w:r w:rsidRPr="000B087A">
              <w:rPr>
                <w:sz w:val="22"/>
                <w:szCs w:val="22"/>
              </w:rPr>
              <w:t>4</w:t>
            </w:r>
          </w:p>
        </w:tc>
        <w:tc>
          <w:tcPr>
            <w:tcW w:w="3544" w:type="dxa"/>
          </w:tcPr>
          <w:p w14:paraId="56F9E253" w14:textId="77777777" w:rsidR="006400DC" w:rsidRPr="000B087A" w:rsidRDefault="006400DC" w:rsidP="0014798B">
            <w:pPr>
              <w:rPr>
                <w:sz w:val="22"/>
                <w:szCs w:val="22"/>
              </w:rPr>
            </w:pPr>
            <w:r w:rsidRPr="000B087A">
              <w:rPr>
                <w:sz w:val="22"/>
                <w:szCs w:val="22"/>
              </w:rPr>
              <w:t>Interest in the Properties to be disposed of</w:t>
            </w:r>
          </w:p>
        </w:tc>
        <w:tc>
          <w:tcPr>
            <w:tcW w:w="5670" w:type="dxa"/>
          </w:tcPr>
          <w:p w14:paraId="56F9E254" w14:textId="77777777" w:rsidR="006400DC" w:rsidRPr="002A3321" w:rsidRDefault="006400DC" w:rsidP="002A3321">
            <w:pPr>
              <w:pStyle w:val="ListParagraph"/>
              <w:numPr>
                <w:ilvl w:val="0"/>
                <w:numId w:val="20"/>
              </w:numPr>
              <w:contextualSpacing/>
            </w:pPr>
            <w:r w:rsidRPr="004E3402">
              <w:rPr>
                <w:rFonts w:ascii="Arial" w:hAnsi="Arial" w:cs="Arial"/>
              </w:rPr>
              <w:t>Lease for a term of no longer than 5 years</w:t>
            </w:r>
            <w:r>
              <w:rPr>
                <w:rFonts w:ascii="Arial" w:hAnsi="Arial" w:cs="Arial"/>
              </w:rPr>
              <w:t xml:space="preserve">, </w:t>
            </w:r>
            <w:r w:rsidRPr="004E3402">
              <w:rPr>
                <w:rFonts w:ascii="Arial" w:hAnsi="Arial" w:cs="Arial"/>
              </w:rPr>
              <w:t>(‘the Lease’).</w:t>
            </w:r>
          </w:p>
        </w:tc>
      </w:tr>
      <w:tr w:rsidR="006400DC" w:rsidRPr="004E3402" w14:paraId="56F9E25A" w14:textId="77777777" w:rsidTr="0014798B">
        <w:tc>
          <w:tcPr>
            <w:tcW w:w="568" w:type="dxa"/>
          </w:tcPr>
          <w:p w14:paraId="56F9E256" w14:textId="77777777" w:rsidR="006400DC" w:rsidRPr="000B087A" w:rsidRDefault="006400DC" w:rsidP="0014798B">
            <w:pPr>
              <w:jc w:val="center"/>
              <w:rPr>
                <w:sz w:val="22"/>
                <w:szCs w:val="22"/>
              </w:rPr>
            </w:pPr>
            <w:r w:rsidRPr="000B087A">
              <w:rPr>
                <w:sz w:val="22"/>
                <w:szCs w:val="22"/>
              </w:rPr>
              <w:t>5</w:t>
            </w:r>
          </w:p>
        </w:tc>
        <w:tc>
          <w:tcPr>
            <w:tcW w:w="3544" w:type="dxa"/>
          </w:tcPr>
          <w:p w14:paraId="56F9E257" w14:textId="77777777" w:rsidR="006400DC" w:rsidRPr="000B087A" w:rsidRDefault="006400DC" w:rsidP="0014798B">
            <w:pPr>
              <w:rPr>
                <w:sz w:val="22"/>
                <w:szCs w:val="22"/>
              </w:rPr>
            </w:pPr>
            <w:r w:rsidRPr="000B087A">
              <w:rPr>
                <w:sz w:val="22"/>
                <w:szCs w:val="22"/>
              </w:rPr>
              <w:t xml:space="preserve">To be disposed of to </w:t>
            </w:r>
          </w:p>
        </w:tc>
        <w:tc>
          <w:tcPr>
            <w:tcW w:w="5670" w:type="dxa"/>
          </w:tcPr>
          <w:p w14:paraId="56F9E258" w14:textId="77777777" w:rsidR="006400DC" w:rsidRPr="004E3402" w:rsidRDefault="006400DC" w:rsidP="0014798B">
            <w:pPr>
              <w:pStyle w:val="ListParagraph"/>
              <w:numPr>
                <w:ilvl w:val="0"/>
                <w:numId w:val="22"/>
              </w:numPr>
              <w:contextualSpacing/>
              <w:rPr>
                <w:rFonts w:ascii="Arial" w:hAnsi="Arial" w:cs="Arial"/>
                <w:lang w:eastAsia="en-GB"/>
              </w:rPr>
            </w:pPr>
            <w:r w:rsidRPr="004E3402">
              <w:rPr>
                <w:rFonts w:ascii="Arial" w:hAnsi="Arial" w:cs="Arial"/>
              </w:rPr>
              <w:t>Origin Properties Limited only (“the Lessee”) which may not assign or otherwise part with possession other than to market rent residential occupiers.</w:t>
            </w:r>
          </w:p>
          <w:p w14:paraId="56F9E259" w14:textId="77777777" w:rsidR="006400DC" w:rsidRPr="002A3321" w:rsidRDefault="006400DC" w:rsidP="002A3321">
            <w:pPr>
              <w:contextualSpacing/>
            </w:pPr>
          </w:p>
        </w:tc>
      </w:tr>
      <w:tr w:rsidR="006400DC" w:rsidRPr="004E3402" w14:paraId="56F9E263" w14:textId="77777777" w:rsidTr="0014798B">
        <w:tc>
          <w:tcPr>
            <w:tcW w:w="568" w:type="dxa"/>
          </w:tcPr>
          <w:p w14:paraId="56F9E25B" w14:textId="77777777" w:rsidR="006400DC" w:rsidRPr="000B087A" w:rsidRDefault="006400DC" w:rsidP="0014798B">
            <w:pPr>
              <w:jc w:val="center"/>
              <w:rPr>
                <w:sz w:val="22"/>
                <w:szCs w:val="22"/>
              </w:rPr>
            </w:pPr>
            <w:r w:rsidRPr="000B087A">
              <w:rPr>
                <w:sz w:val="22"/>
                <w:szCs w:val="22"/>
              </w:rPr>
              <w:t>6</w:t>
            </w:r>
          </w:p>
        </w:tc>
        <w:tc>
          <w:tcPr>
            <w:tcW w:w="3544" w:type="dxa"/>
          </w:tcPr>
          <w:p w14:paraId="56F9E25C" w14:textId="77777777" w:rsidR="006400DC" w:rsidRPr="00A65938" w:rsidRDefault="006400DC" w:rsidP="0014798B">
            <w:pPr>
              <w:rPr>
                <w:sz w:val="22"/>
                <w:szCs w:val="22"/>
              </w:rPr>
            </w:pPr>
            <w:r w:rsidRPr="000B087A">
              <w:rPr>
                <w:sz w:val="22"/>
                <w:szCs w:val="22"/>
              </w:rPr>
              <w:t>Receipt by the Provider</w:t>
            </w:r>
          </w:p>
        </w:tc>
        <w:tc>
          <w:tcPr>
            <w:tcW w:w="5670" w:type="dxa"/>
          </w:tcPr>
          <w:p w14:paraId="56F9E25D" w14:textId="77777777" w:rsidR="006400DC" w:rsidRPr="00193357" w:rsidRDefault="006400DC" w:rsidP="0014798B">
            <w:pPr>
              <w:contextualSpacing/>
            </w:pPr>
            <w:r w:rsidRPr="000B087A">
              <w:rPr>
                <w:sz w:val="22"/>
                <w:szCs w:val="22"/>
              </w:rPr>
              <w:t xml:space="preserve">The Provider will receive: </w:t>
            </w:r>
          </w:p>
          <w:p w14:paraId="56F9E25E" w14:textId="77777777" w:rsidR="006400DC" w:rsidRPr="004E3402" w:rsidRDefault="006400DC" w:rsidP="006400DC">
            <w:pPr>
              <w:pStyle w:val="ListParagraph"/>
              <w:numPr>
                <w:ilvl w:val="0"/>
                <w:numId w:val="28"/>
              </w:numPr>
              <w:contextualSpacing/>
              <w:rPr>
                <w:rFonts w:ascii="Arial" w:hAnsi="Arial" w:cs="Arial"/>
              </w:rPr>
            </w:pPr>
            <w:r w:rsidRPr="004E3402">
              <w:rPr>
                <w:rFonts w:ascii="Arial" w:hAnsi="Arial" w:cs="Arial"/>
              </w:rPr>
              <w:t>The rent under each Lease, calculated on the basis of</w:t>
            </w:r>
            <w:r w:rsidRPr="000B087A">
              <w:rPr>
                <w:rFonts w:ascii="Arial" w:hAnsi="Arial" w:cs="Arial"/>
              </w:rPr>
              <w:t xml:space="preserve"> no less than 75% of the open market </w:t>
            </w:r>
            <w:r w:rsidRPr="004E3402">
              <w:rPr>
                <w:rFonts w:ascii="Arial" w:hAnsi="Arial" w:cs="Arial"/>
              </w:rPr>
              <w:t xml:space="preserve">rental </w:t>
            </w:r>
            <w:r w:rsidRPr="000B087A">
              <w:rPr>
                <w:rFonts w:ascii="Arial" w:hAnsi="Arial" w:cs="Arial"/>
              </w:rPr>
              <w:t>value,</w:t>
            </w:r>
            <w:r w:rsidR="00EB37F3">
              <w:rPr>
                <w:rFonts w:ascii="Arial" w:hAnsi="Arial" w:cs="Arial"/>
              </w:rPr>
              <w:t xml:space="preserve"> </w:t>
            </w:r>
            <w:r w:rsidR="00EB37F3" w:rsidRPr="002A3321">
              <w:rPr>
                <w:rFonts w:ascii="Arial" w:hAnsi="Arial" w:cs="Arial"/>
              </w:rPr>
              <w:t xml:space="preserve">(as determined by the </w:t>
            </w:r>
            <w:proofErr w:type="spellStart"/>
            <w:r w:rsidR="00EB37F3" w:rsidRPr="002A3321">
              <w:rPr>
                <w:rFonts w:ascii="Arial" w:hAnsi="Arial" w:cs="Arial"/>
              </w:rPr>
              <w:t>Rightmove</w:t>
            </w:r>
            <w:proofErr w:type="spellEnd"/>
            <w:r w:rsidR="00EB37F3" w:rsidRPr="002A3321">
              <w:rPr>
                <w:rFonts w:ascii="Arial" w:hAnsi="Arial" w:cs="Arial"/>
              </w:rPr>
              <w:t xml:space="preserve"> Automated Valuation Model),</w:t>
            </w:r>
            <w:r w:rsidRPr="000B087A">
              <w:rPr>
                <w:rFonts w:ascii="Arial" w:hAnsi="Arial" w:cs="Arial"/>
              </w:rPr>
              <w:t xml:space="preserve"> calculated by reference to the weekly prevailing open market rent x 52 weeks payable for each year of the lease term</w:t>
            </w:r>
            <w:r w:rsidRPr="004E3402">
              <w:rPr>
                <w:rFonts w:ascii="Arial" w:hAnsi="Arial" w:cs="Arial"/>
              </w:rPr>
              <w:t>;</w:t>
            </w:r>
          </w:p>
          <w:p w14:paraId="56F9E25F" w14:textId="77777777" w:rsidR="006400DC" w:rsidRPr="004E3402" w:rsidRDefault="006400DC" w:rsidP="006400DC">
            <w:pPr>
              <w:pStyle w:val="ListParagraph"/>
              <w:numPr>
                <w:ilvl w:val="0"/>
                <w:numId w:val="28"/>
              </w:numPr>
              <w:contextualSpacing/>
              <w:rPr>
                <w:rFonts w:ascii="Arial" w:hAnsi="Arial" w:cs="Arial"/>
              </w:rPr>
            </w:pPr>
            <w:r w:rsidRPr="004E3402">
              <w:rPr>
                <w:rFonts w:ascii="Arial" w:hAnsi="Arial" w:cs="Arial"/>
              </w:rPr>
              <w:t>A</w:t>
            </w:r>
            <w:r w:rsidRPr="000B087A">
              <w:rPr>
                <w:rFonts w:ascii="Arial" w:hAnsi="Arial" w:cs="Arial"/>
              </w:rPr>
              <w:t xml:space="preserve"> management fee of £1,000 per unit</w:t>
            </w:r>
            <w:r w:rsidRPr="004E3402">
              <w:rPr>
                <w:rFonts w:ascii="Arial" w:hAnsi="Arial" w:cs="Arial"/>
              </w:rPr>
              <w:t xml:space="preserve"> leased</w:t>
            </w:r>
            <w:r>
              <w:rPr>
                <w:rFonts w:ascii="Arial" w:hAnsi="Arial" w:cs="Arial"/>
              </w:rPr>
              <w:t xml:space="preserve"> per annum</w:t>
            </w:r>
            <w:r w:rsidRPr="004E3402">
              <w:rPr>
                <w:rFonts w:ascii="Arial" w:hAnsi="Arial" w:cs="Arial"/>
              </w:rPr>
              <w:t>;</w:t>
            </w:r>
          </w:p>
          <w:p w14:paraId="56F9E260" w14:textId="77777777" w:rsidR="002A3321" w:rsidRPr="002A3321" w:rsidRDefault="006400DC" w:rsidP="006400DC">
            <w:pPr>
              <w:pStyle w:val="ListParagraph"/>
              <w:numPr>
                <w:ilvl w:val="0"/>
                <w:numId w:val="28"/>
              </w:numPr>
              <w:contextualSpacing/>
              <w:rPr>
                <w:rFonts w:ascii="Arial" w:hAnsi="Arial" w:cs="Arial"/>
              </w:rPr>
            </w:pPr>
            <w:r w:rsidRPr="004E3402">
              <w:rPr>
                <w:rFonts w:ascii="Arial" w:hAnsi="Arial" w:cs="Arial"/>
              </w:rPr>
              <w:t xml:space="preserve">Any </w:t>
            </w:r>
            <w:r w:rsidR="008E5032">
              <w:rPr>
                <w:rFonts w:ascii="Arial" w:hAnsi="Arial" w:cs="Arial"/>
              </w:rPr>
              <w:t>taxable profits</w:t>
            </w:r>
            <w:r w:rsidRPr="004E3402">
              <w:rPr>
                <w:rFonts w:ascii="Arial" w:hAnsi="Arial" w:cs="Arial"/>
              </w:rPr>
              <w:t xml:space="preserve"> received by the Lessee under or arising from the Lease, to be paid by way of Gift Aid to the Provider.</w:t>
            </w:r>
            <w:r w:rsidR="008E5032">
              <w:rPr>
                <w:color w:val="1F497D"/>
              </w:rPr>
              <w:t xml:space="preserve"> </w:t>
            </w:r>
          </w:p>
          <w:p w14:paraId="56F9E261" w14:textId="77777777" w:rsidR="006400DC" w:rsidRPr="002A3321" w:rsidRDefault="008E5032" w:rsidP="006400DC">
            <w:pPr>
              <w:pStyle w:val="ListParagraph"/>
              <w:numPr>
                <w:ilvl w:val="0"/>
                <w:numId w:val="28"/>
              </w:numPr>
              <w:contextualSpacing/>
              <w:rPr>
                <w:rFonts w:ascii="Arial" w:hAnsi="Arial" w:cs="Arial"/>
              </w:rPr>
            </w:pPr>
            <w:r w:rsidRPr="002A3321">
              <w:rPr>
                <w:rFonts w:ascii="Arial" w:hAnsi="Arial" w:cs="Arial"/>
              </w:rPr>
              <w:t>The Lessee should make no distribution, transfer, donation or gift out of the profits derived from the properties to any entity other than the Provider</w:t>
            </w:r>
          </w:p>
          <w:p w14:paraId="56F9E262" w14:textId="77777777" w:rsidR="006400DC" w:rsidRPr="00A65938" w:rsidRDefault="006400DC" w:rsidP="0014798B">
            <w:pPr>
              <w:pStyle w:val="ListParagraph"/>
              <w:ind w:left="360"/>
              <w:contextualSpacing/>
              <w:rPr>
                <w:rFonts w:ascii="Arial" w:hAnsi="Arial" w:cs="Arial"/>
                <w:b/>
                <w:i/>
              </w:rPr>
            </w:pPr>
          </w:p>
        </w:tc>
      </w:tr>
      <w:tr w:rsidR="006400DC" w:rsidRPr="004E3402" w14:paraId="56F9E269" w14:textId="77777777" w:rsidTr="0014798B">
        <w:tc>
          <w:tcPr>
            <w:tcW w:w="568" w:type="dxa"/>
          </w:tcPr>
          <w:p w14:paraId="56F9E264" w14:textId="77777777" w:rsidR="006400DC" w:rsidRPr="000B087A" w:rsidRDefault="008E5032" w:rsidP="0014798B">
            <w:pPr>
              <w:jc w:val="center"/>
              <w:rPr>
                <w:sz w:val="22"/>
                <w:szCs w:val="22"/>
              </w:rPr>
            </w:pPr>
            <w:r>
              <w:rPr>
                <w:sz w:val="22"/>
                <w:szCs w:val="22"/>
              </w:rPr>
              <w:t>7</w:t>
            </w:r>
          </w:p>
        </w:tc>
        <w:tc>
          <w:tcPr>
            <w:tcW w:w="3544" w:type="dxa"/>
          </w:tcPr>
          <w:p w14:paraId="56F9E265" w14:textId="77777777" w:rsidR="006400DC" w:rsidRPr="000B087A" w:rsidDel="000800E7" w:rsidRDefault="006400DC" w:rsidP="0014798B">
            <w:pPr>
              <w:rPr>
                <w:sz w:val="22"/>
                <w:szCs w:val="22"/>
              </w:rPr>
            </w:pPr>
            <w:r w:rsidRPr="000B087A">
              <w:rPr>
                <w:sz w:val="22"/>
                <w:szCs w:val="22"/>
              </w:rPr>
              <w:t>Audit condition</w:t>
            </w:r>
          </w:p>
        </w:tc>
        <w:tc>
          <w:tcPr>
            <w:tcW w:w="5670" w:type="dxa"/>
          </w:tcPr>
          <w:p w14:paraId="56F9E266" w14:textId="77777777" w:rsidR="006400DC" w:rsidRPr="00193357" w:rsidRDefault="006400DC" w:rsidP="0014798B">
            <w:pPr>
              <w:contextualSpacing/>
            </w:pPr>
            <w:r w:rsidRPr="000B087A">
              <w:rPr>
                <w:sz w:val="22"/>
                <w:szCs w:val="22"/>
              </w:rPr>
              <w:t xml:space="preserve">The Provider will when carrying out the audit </w:t>
            </w:r>
            <w:r>
              <w:rPr>
                <w:sz w:val="22"/>
                <w:szCs w:val="22"/>
              </w:rPr>
              <w:t>required by</w:t>
            </w:r>
            <w:r w:rsidRPr="000B087A">
              <w:rPr>
                <w:sz w:val="22"/>
                <w:szCs w:val="22"/>
              </w:rPr>
              <w:t xml:space="preserve"> the Specific conditions of Category 5:</w:t>
            </w:r>
          </w:p>
          <w:p w14:paraId="56F9E267" w14:textId="77777777" w:rsidR="006400DC" w:rsidRPr="000B087A" w:rsidRDefault="006400DC" w:rsidP="0014798B">
            <w:pPr>
              <w:pStyle w:val="ListParagraph"/>
              <w:numPr>
                <w:ilvl w:val="0"/>
                <w:numId w:val="16"/>
              </w:numPr>
              <w:contextualSpacing/>
              <w:rPr>
                <w:rFonts w:ascii="Arial" w:hAnsi="Arial" w:cs="Arial"/>
              </w:rPr>
            </w:pPr>
            <w:proofErr w:type="gramStart"/>
            <w:r w:rsidRPr="000B087A">
              <w:rPr>
                <w:rFonts w:ascii="Arial" w:hAnsi="Arial" w:cs="Arial"/>
              </w:rPr>
              <w:t>ensure</w:t>
            </w:r>
            <w:proofErr w:type="gramEnd"/>
            <w:r w:rsidRPr="000B087A">
              <w:rPr>
                <w:rFonts w:ascii="Arial" w:hAnsi="Arial" w:cs="Arial"/>
              </w:rPr>
              <w:t xml:space="preserve"> that the audit and the report include consideration of the use of the Policy. Such consideration should include the assessment of compliance with these general Policy Particulars</w:t>
            </w:r>
            <w:r>
              <w:rPr>
                <w:rFonts w:ascii="Arial" w:hAnsi="Arial" w:cs="Arial"/>
              </w:rPr>
              <w:t xml:space="preserve">, </w:t>
            </w:r>
            <w:r w:rsidRPr="000B087A">
              <w:rPr>
                <w:rFonts w:ascii="Arial" w:hAnsi="Arial" w:cs="Arial"/>
              </w:rPr>
              <w:t>with relevant conditions of the General Consent 2015</w:t>
            </w:r>
            <w:r>
              <w:rPr>
                <w:rFonts w:ascii="Arial" w:hAnsi="Arial" w:cs="Arial"/>
              </w:rPr>
              <w:t>,</w:t>
            </w:r>
            <w:r w:rsidRPr="000B087A">
              <w:rPr>
                <w:rFonts w:ascii="Arial" w:hAnsi="Arial" w:cs="Arial"/>
              </w:rPr>
              <w:t xml:space="preserve"> and with the information and objectives set out in the Policy; </w:t>
            </w:r>
            <w:r>
              <w:rPr>
                <w:rFonts w:ascii="Arial" w:hAnsi="Arial" w:cs="Arial"/>
              </w:rPr>
              <w:t>and</w:t>
            </w:r>
          </w:p>
          <w:p w14:paraId="56F9E268" w14:textId="77777777" w:rsidR="006400DC" w:rsidRPr="00193357" w:rsidRDefault="006400DC" w:rsidP="0014798B">
            <w:pPr>
              <w:pStyle w:val="ListParagraph"/>
              <w:numPr>
                <w:ilvl w:val="0"/>
                <w:numId w:val="16"/>
              </w:numPr>
              <w:contextualSpacing/>
            </w:pPr>
            <w:proofErr w:type="gramStart"/>
            <w:r w:rsidRPr="000B087A">
              <w:rPr>
                <w:rFonts w:ascii="Arial" w:hAnsi="Arial" w:cs="Arial"/>
              </w:rPr>
              <w:t>set</w:t>
            </w:r>
            <w:proofErr w:type="gramEnd"/>
            <w:r w:rsidRPr="000B087A">
              <w:rPr>
                <w:rFonts w:ascii="Arial" w:hAnsi="Arial" w:cs="Arial"/>
              </w:rPr>
              <w:t xml:space="preserve"> out finding</w:t>
            </w:r>
            <w:r>
              <w:rPr>
                <w:rFonts w:ascii="Arial" w:hAnsi="Arial" w:cs="Arial"/>
              </w:rPr>
              <w:t>s</w:t>
            </w:r>
            <w:r w:rsidRPr="000B087A">
              <w:rPr>
                <w:rFonts w:ascii="Arial" w:hAnsi="Arial" w:cs="Arial"/>
              </w:rPr>
              <w:t xml:space="preserve"> as to whether anticipated levels of </w:t>
            </w:r>
            <w:r>
              <w:rPr>
                <w:rFonts w:ascii="Arial" w:hAnsi="Arial" w:cs="Arial"/>
              </w:rPr>
              <w:t xml:space="preserve">receipts </w:t>
            </w:r>
            <w:r w:rsidRPr="000B087A">
              <w:rPr>
                <w:rFonts w:ascii="Arial" w:hAnsi="Arial" w:cs="Arial"/>
              </w:rPr>
              <w:t>have been received.</w:t>
            </w:r>
          </w:p>
        </w:tc>
      </w:tr>
    </w:tbl>
    <w:p w14:paraId="56F9E26A" w14:textId="77777777" w:rsidR="006400DC" w:rsidRPr="000B087A" w:rsidRDefault="006400DC" w:rsidP="006400DC">
      <w:pPr>
        <w:rPr>
          <w:b/>
          <w:sz w:val="22"/>
          <w:szCs w:val="22"/>
        </w:rPr>
      </w:pPr>
    </w:p>
    <w:p w14:paraId="56F9E26B" w14:textId="77777777" w:rsidR="006400DC" w:rsidRPr="004E3402" w:rsidRDefault="006400DC" w:rsidP="006400DC">
      <w:pPr>
        <w:pStyle w:val="NoSpacing"/>
        <w:jc w:val="center"/>
        <w:rPr>
          <w:rFonts w:ascii="Arial" w:hAnsi="Arial" w:cs="Arial"/>
          <w:b/>
        </w:rPr>
      </w:pPr>
    </w:p>
    <w:p w14:paraId="56F9E26C" w14:textId="77777777" w:rsidR="006400DC" w:rsidRPr="004E3402" w:rsidRDefault="006400DC" w:rsidP="006400DC">
      <w:pPr>
        <w:pStyle w:val="NoSpacing"/>
        <w:jc w:val="center"/>
        <w:rPr>
          <w:rFonts w:ascii="Arial" w:hAnsi="Arial" w:cs="Arial"/>
          <w:b/>
        </w:rPr>
      </w:pPr>
      <w:r>
        <w:rPr>
          <w:rFonts w:ascii="Arial" w:hAnsi="Arial" w:cs="Arial"/>
          <w:b/>
        </w:rPr>
        <w:lastRenderedPageBreak/>
        <w:t>The c</w:t>
      </w:r>
      <w:r w:rsidRPr="004E3402">
        <w:rPr>
          <w:rFonts w:ascii="Arial" w:hAnsi="Arial" w:cs="Arial"/>
          <w:b/>
        </w:rPr>
        <w:t>essation events</w:t>
      </w:r>
    </w:p>
    <w:p w14:paraId="56F9E26D" w14:textId="77777777" w:rsidR="006400DC" w:rsidRDefault="006400DC" w:rsidP="006400DC">
      <w:pPr>
        <w:pStyle w:val="NoSpacing"/>
        <w:jc w:val="center"/>
        <w:rPr>
          <w:rFonts w:ascii="Arial" w:hAnsi="Arial" w:cs="Arial"/>
          <w:b/>
        </w:rPr>
      </w:pPr>
    </w:p>
    <w:p w14:paraId="56F9E26E" w14:textId="77777777" w:rsidR="006400DC" w:rsidRPr="000B087A" w:rsidRDefault="006400DC" w:rsidP="006400DC">
      <w:pPr>
        <w:rPr>
          <w:sz w:val="22"/>
          <w:szCs w:val="22"/>
        </w:rPr>
      </w:pPr>
      <w:r>
        <w:rPr>
          <w:sz w:val="22"/>
          <w:szCs w:val="22"/>
        </w:rPr>
        <w:t>T</w:t>
      </w:r>
      <w:r w:rsidRPr="004E3402">
        <w:rPr>
          <w:sz w:val="22"/>
          <w:szCs w:val="22"/>
        </w:rPr>
        <w:t xml:space="preserve">he cessation events </w:t>
      </w:r>
      <w:r>
        <w:rPr>
          <w:sz w:val="22"/>
          <w:szCs w:val="22"/>
        </w:rPr>
        <w:t xml:space="preserve">are those </w:t>
      </w:r>
      <w:r w:rsidRPr="004E3402">
        <w:rPr>
          <w:sz w:val="22"/>
          <w:szCs w:val="22"/>
        </w:rPr>
        <w:t>listed below</w:t>
      </w:r>
      <w:r w:rsidRPr="000B087A">
        <w:rPr>
          <w:sz w:val="22"/>
          <w:szCs w:val="22"/>
        </w:rPr>
        <w:t>:</w:t>
      </w:r>
    </w:p>
    <w:p w14:paraId="56F9E26F" w14:textId="77777777" w:rsidR="006400DC" w:rsidRPr="000B087A" w:rsidRDefault="006400DC" w:rsidP="006400DC">
      <w:pPr>
        <w:rPr>
          <w:sz w:val="22"/>
          <w:szCs w:val="22"/>
        </w:rPr>
      </w:pPr>
    </w:p>
    <w:p w14:paraId="56F9E270" w14:textId="77777777" w:rsidR="006400DC" w:rsidRPr="004E3402" w:rsidRDefault="006400DC" w:rsidP="006400DC">
      <w:pPr>
        <w:pStyle w:val="NoSpacing"/>
        <w:numPr>
          <w:ilvl w:val="0"/>
          <w:numId w:val="12"/>
        </w:numPr>
        <w:rPr>
          <w:rFonts w:ascii="Arial" w:hAnsi="Arial" w:cs="Arial"/>
        </w:rPr>
      </w:pPr>
      <w:r w:rsidRPr="004E3402">
        <w:rPr>
          <w:rFonts w:ascii="Arial" w:hAnsi="Arial" w:cs="Arial"/>
        </w:rPr>
        <w:t>The regulator issues a notice to the provider withdrawing or revoking this approval (note that such a notice will in addition be published)</w:t>
      </w:r>
    </w:p>
    <w:p w14:paraId="56F9E271" w14:textId="77777777" w:rsidR="006400DC" w:rsidRPr="004E3402" w:rsidRDefault="006400DC" w:rsidP="006400DC">
      <w:pPr>
        <w:pStyle w:val="NoSpacing"/>
        <w:numPr>
          <w:ilvl w:val="0"/>
          <w:numId w:val="12"/>
        </w:numPr>
        <w:rPr>
          <w:rFonts w:ascii="Arial" w:hAnsi="Arial" w:cs="Arial"/>
        </w:rPr>
      </w:pPr>
      <w:r w:rsidRPr="004E3402">
        <w:rPr>
          <w:rFonts w:ascii="Arial" w:hAnsi="Arial" w:cs="Arial"/>
        </w:rPr>
        <w:t>The regulator issues a notice withdrawing General Consent 2015, or categories of it from the Provider.</w:t>
      </w:r>
    </w:p>
    <w:p w14:paraId="56F9E272" w14:textId="77777777" w:rsidR="006400DC" w:rsidRPr="004E3402" w:rsidRDefault="006400DC" w:rsidP="006400DC">
      <w:pPr>
        <w:pStyle w:val="NoSpacing"/>
        <w:numPr>
          <w:ilvl w:val="0"/>
          <w:numId w:val="12"/>
        </w:numPr>
        <w:rPr>
          <w:rFonts w:ascii="Arial" w:hAnsi="Arial" w:cs="Arial"/>
        </w:rPr>
      </w:pPr>
      <w:r w:rsidRPr="004E3402">
        <w:rPr>
          <w:rFonts w:ascii="Arial" w:hAnsi="Arial" w:cs="Arial"/>
        </w:rPr>
        <w:t>The provider is deregistered as a registered provider of social housing.</w:t>
      </w:r>
    </w:p>
    <w:p w14:paraId="56F9E273" w14:textId="77777777" w:rsidR="006400DC" w:rsidRPr="004E3402" w:rsidRDefault="006400DC" w:rsidP="006400DC">
      <w:pPr>
        <w:pStyle w:val="NoSpacing"/>
        <w:rPr>
          <w:rFonts w:ascii="Arial" w:hAnsi="Arial" w:cs="Arial"/>
          <w:b/>
        </w:rPr>
      </w:pPr>
    </w:p>
    <w:p w14:paraId="56F9E274" w14:textId="77777777" w:rsidR="006400DC" w:rsidRPr="004E3402" w:rsidRDefault="006400DC" w:rsidP="006400DC">
      <w:pPr>
        <w:pStyle w:val="NoSpacing"/>
        <w:rPr>
          <w:rFonts w:ascii="Arial" w:hAnsi="Arial" w:cs="Arial"/>
          <w:b/>
        </w:rPr>
      </w:pPr>
      <w:r w:rsidRPr="004E3402">
        <w:rPr>
          <w:rFonts w:ascii="Arial" w:hAnsi="Arial" w:cs="Arial"/>
          <w:b/>
        </w:rPr>
        <w:t>I, the undersigned, am authorised by the regulator to sign this approval given under s.172 of the HRA 2008</w:t>
      </w:r>
    </w:p>
    <w:p w14:paraId="56F9E275" w14:textId="77777777" w:rsidR="006400DC" w:rsidRPr="000B087A" w:rsidRDefault="006400DC" w:rsidP="006400DC">
      <w:pPr>
        <w:rPr>
          <w:sz w:val="22"/>
          <w:szCs w:val="22"/>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961"/>
      </w:tblGrid>
      <w:tr w:rsidR="006400DC" w:rsidRPr="004E3402" w14:paraId="56F9E27A" w14:textId="77777777" w:rsidTr="0014798B">
        <w:tc>
          <w:tcPr>
            <w:tcW w:w="3794" w:type="dxa"/>
          </w:tcPr>
          <w:p w14:paraId="56F9E276" w14:textId="77777777" w:rsidR="002A3321" w:rsidRDefault="002A3321" w:rsidP="0014798B">
            <w:pPr>
              <w:rPr>
                <w:sz w:val="22"/>
                <w:szCs w:val="22"/>
              </w:rPr>
            </w:pPr>
          </w:p>
          <w:p w14:paraId="56F9E277" w14:textId="77777777" w:rsidR="006400DC" w:rsidRPr="000B087A" w:rsidRDefault="006400DC" w:rsidP="0014798B">
            <w:pPr>
              <w:rPr>
                <w:sz w:val="22"/>
                <w:szCs w:val="22"/>
              </w:rPr>
            </w:pPr>
            <w:r w:rsidRPr="000B087A">
              <w:rPr>
                <w:sz w:val="22"/>
                <w:szCs w:val="22"/>
              </w:rPr>
              <w:t>Signature</w:t>
            </w:r>
          </w:p>
        </w:tc>
        <w:tc>
          <w:tcPr>
            <w:tcW w:w="4961" w:type="dxa"/>
          </w:tcPr>
          <w:p w14:paraId="56F9E278" w14:textId="77777777" w:rsidR="006400DC" w:rsidRPr="000B087A" w:rsidRDefault="006400DC" w:rsidP="0014798B">
            <w:pPr>
              <w:rPr>
                <w:sz w:val="22"/>
                <w:szCs w:val="22"/>
              </w:rPr>
            </w:pPr>
          </w:p>
          <w:p w14:paraId="56F9E279" w14:textId="77777777" w:rsidR="006400DC" w:rsidRPr="000B087A" w:rsidRDefault="006400DC" w:rsidP="0014798B">
            <w:pPr>
              <w:rPr>
                <w:sz w:val="22"/>
                <w:szCs w:val="22"/>
              </w:rPr>
            </w:pPr>
          </w:p>
        </w:tc>
      </w:tr>
    </w:tbl>
    <w:p w14:paraId="56F9E27B" w14:textId="77777777" w:rsidR="006400DC" w:rsidRPr="000B087A" w:rsidRDefault="006400DC" w:rsidP="006400DC">
      <w:pPr>
        <w:rPr>
          <w:sz w:val="22"/>
          <w:szCs w:val="22"/>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4966"/>
      </w:tblGrid>
      <w:tr w:rsidR="006400DC" w:rsidRPr="004E3402" w14:paraId="56F9E280" w14:textId="77777777" w:rsidTr="0014798B">
        <w:tc>
          <w:tcPr>
            <w:tcW w:w="3789" w:type="dxa"/>
          </w:tcPr>
          <w:p w14:paraId="56F9E27C" w14:textId="77777777" w:rsidR="002A3321" w:rsidRDefault="002A3321" w:rsidP="0014798B">
            <w:pPr>
              <w:rPr>
                <w:sz w:val="22"/>
                <w:szCs w:val="22"/>
              </w:rPr>
            </w:pPr>
          </w:p>
          <w:p w14:paraId="6047EA78" w14:textId="5B4847A0" w:rsidR="00CB4E64" w:rsidRDefault="00CB4E64" w:rsidP="0014798B">
            <w:pPr>
              <w:rPr>
                <w:sz w:val="22"/>
                <w:szCs w:val="22"/>
              </w:rPr>
            </w:pPr>
          </w:p>
          <w:p w14:paraId="44E9E022" w14:textId="77777777" w:rsidR="00CB4E64" w:rsidRDefault="00CB4E64" w:rsidP="0014798B">
            <w:pPr>
              <w:rPr>
                <w:sz w:val="22"/>
                <w:szCs w:val="22"/>
              </w:rPr>
            </w:pPr>
          </w:p>
          <w:p w14:paraId="0F7A80C0" w14:textId="77777777" w:rsidR="00CB4E64" w:rsidRDefault="00CB4E64" w:rsidP="0014798B">
            <w:pPr>
              <w:rPr>
                <w:sz w:val="22"/>
                <w:szCs w:val="22"/>
              </w:rPr>
            </w:pPr>
          </w:p>
          <w:p w14:paraId="56F9E27D" w14:textId="766FDC14" w:rsidR="006400DC" w:rsidRPr="000B087A" w:rsidRDefault="00CB4E64" w:rsidP="0014798B">
            <w:pPr>
              <w:rPr>
                <w:sz w:val="22"/>
                <w:szCs w:val="22"/>
              </w:rPr>
            </w:pPr>
            <w:r>
              <w:rPr>
                <w:sz w:val="22"/>
                <w:szCs w:val="22"/>
              </w:rPr>
              <w:t>Neill Soane</w:t>
            </w:r>
          </w:p>
        </w:tc>
        <w:tc>
          <w:tcPr>
            <w:tcW w:w="4966" w:type="dxa"/>
          </w:tcPr>
          <w:p w14:paraId="56F9E27E" w14:textId="77777777" w:rsidR="002A3321" w:rsidRDefault="002A3321" w:rsidP="0014798B">
            <w:pPr>
              <w:rPr>
                <w:sz w:val="22"/>
                <w:szCs w:val="22"/>
              </w:rPr>
            </w:pPr>
          </w:p>
          <w:p w14:paraId="56F9E27F" w14:textId="77777777" w:rsidR="006400DC" w:rsidRPr="000B087A" w:rsidRDefault="006400DC" w:rsidP="0014798B">
            <w:pPr>
              <w:rPr>
                <w:sz w:val="22"/>
                <w:szCs w:val="22"/>
              </w:rPr>
            </w:pPr>
          </w:p>
        </w:tc>
      </w:tr>
      <w:tr w:rsidR="006400DC" w:rsidRPr="004E3402" w14:paraId="56F9E283" w14:textId="77777777" w:rsidTr="0014798B">
        <w:tc>
          <w:tcPr>
            <w:tcW w:w="3789" w:type="dxa"/>
          </w:tcPr>
          <w:p w14:paraId="56F9E281" w14:textId="16C1D36A" w:rsidR="006400DC" w:rsidRPr="000B087A" w:rsidRDefault="00CB4E64" w:rsidP="0014798B">
            <w:pPr>
              <w:rPr>
                <w:sz w:val="22"/>
                <w:szCs w:val="22"/>
              </w:rPr>
            </w:pPr>
            <w:r>
              <w:rPr>
                <w:sz w:val="22"/>
                <w:szCs w:val="22"/>
              </w:rPr>
              <w:t>Consents Team Leader</w:t>
            </w:r>
          </w:p>
        </w:tc>
        <w:tc>
          <w:tcPr>
            <w:tcW w:w="4966" w:type="dxa"/>
          </w:tcPr>
          <w:p w14:paraId="56F9E282" w14:textId="096FB96E" w:rsidR="006400DC" w:rsidRPr="000B087A" w:rsidRDefault="006400DC" w:rsidP="0014798B">
            <w:pPr>
              <w:rPr>
                <w:sz w:val="22"/>
                <w:szCs w:val="22"/>
              </w:rPr>
            </w:pPr>
          </w:p>
        </w:tc>
      </w:tr>
      <w:tr w:rsidR="006400DC" w:rsidRPr="004E3402" w14:paraId="56F9E286" w14:textId="77777777" w:rsidTr="0014798B">
        <w:tc>
          <w:tcPr>
            <w:tcW w:w="3789" w:type="dxa"/>
          </w:tcPr>
          <w:p w14:paraId="56F9E284" w14:textId="7E3D1C33" w:rsidR="006400DC" w:rsidRPr="000B087A" w:rsidRDefault="00CB4E64" w:rsidP="0014798B">
            <w:pPr>
              <w:rPr>
                <w:sz w:val="22"/>
                <w:szCs w:val="22"/>
              </w:rPr>
            </w:pPr>
            <w:r>
              <w:rPr>
                <w:sz w:val="22"/>
                <w:szCs w:val="22"/>
              </w:rPr>
              <w:t>15 December 2015</w:t>
            </w:r>
          </w:p>
        </w:tc>
        <w:tc>
          <w:tcPr>
            <w:tcW w:w="4966" w:type="dxa"/>
          </w:tcPr>
          <w:p w14:paraId="56F9E285" w14:textId="1E296FD4" w:rsidR="006400DC" w:rsidRPr="000B087A" w:rsidRDefault="006400DC" w:rsidP="0014798B">
            <w:pPr>
              <w:rPr>
                <w:sz w:val="22"/>
                <w:szCs w:val="22"/>
              </w:rPr>
            </w:pPr>
          </w:p>
        </w:tc>
      </w:tr>
    </w:tbl>
    <w:p w14:paraId="56F9E287" w14:textId="77777777" w:rsidR="006400DC" w:rsidRPr="000B087A" w:rsidRDefault="006400DC" w:rsidP="006400DC">
      <w:pPr>
        <w:rPr>
          <w:rStyle w:val="HCABodytext"/>
          <w:rFonts w:ascii="Arial" w:hAnsi="Arial"/>
          <w:szCs w:val="22"/>
        </w:rPr>
      </w:pPr>
    </w:p>
    <w:p w14:paraId="56F9E288" w14:textId="77777777" w:rsidR="002A3321" w:rsidRDefault="002A3321" w:rsidP="006400DC">
      <w:pPr>
        <w:rPr>
          <w:rStyle w:val="HCABodytext"/>
          <w:rFonts w:ascii="Arial" w:hAnsi="Arial"/>
          <w:b/>
          <w:szCs w:val="22"/>
        </w:rPr>
      </w:pPr>
    </w:p>
    <w:p w14:paraId="56F9E289" w14:textId="77777777" w:rsidR="00B101CE" w:rsidRDefault="006400DC" w:rsidP="006400DC">
      <w:pPr>
        <w:rPr>
          <w:rStyle w:val="HCABodytext"/>
          <w:rFonts w:ascii="Arial" w:hAnsi="Arial"/>
          <w:b/>
          <w:szCs w:val="22"/>
        </w:rPr>
      </w:pPr>
      <w:r w:rsidRPr="006400DC">
        <w:rPr>
          <w:rStyle w:val="HCABodytext"/>
          <w:rFonts w:ascii="Arial" w:hAnsi="Arial"/>
          <w:b/>
          <w:szCs w:val="22"/>
        </w:rPr>
        <w:t>Attachment</w:t>
      </w:r>
    </w:p>
    <w:p w14:paraId="56F9E28A" w14:textId="77777777" w:rsidR="006400DC" w:rsidRPr="00B101CE" w:rsidRDefault="006400DC" w:rsidP="006400DC">
      <w:pPr>
        <w:rPr>
          <w:b/>
          <w:sz w:val="22"/>
          <w:szCs w:val="22"/>
        </w:rPr>
      </w:pPr>
      <w:r w:rsidRPr="000B087A">
        <w:rPr>
          <w:rStyle w:val="HCABodytext"/>
          <w:rFonts w:ascii="Arial" w:hAnsi="Arial"/>
          <w:szCs w:val="22"/>
        </w:rPr>
        <w:t xml:space="preserve">Appendix - </w:t>
      </w:r>
      <w:r w:rsidRPr="000B087A">
        <w:rPr>
          <w:sz w:val="22"/>
          <w:szCs w:val="22"/>
        </w:rPr>
        <w:t>General conditions set out in Part II of the General Consent 2015 and</w:t>
      </w:r>
      <w:r w:rsidR="00B101CE">
        <w:rPr>
          <w:rStyle w:val="HCABodytext"/>
          <w:rFonts w:ascii="Arial" w:hAnsi="Arial"/>
          <w:szCs w:val="22"/>
        </w:rPr>
        <w:t xml:space="preserve"> </w:t>
      </w:r>
      <w:r w:rsidRPr="000B087A">
        <w:rPr>
          <w:rStyle w:val="HCABodytext"/>
          <w:rFonts w:ascii="Arial" w:hAnsi="Arial"/>
          <w:szCs w:val="22"/>
        </w:rPr>
        <w:t xml:space="preserve">Specific Conditions in relation to </w:t>
      </w:r>
      <w:r w:rsidRPr="000B087A">
        <w:rPr>
          <w:sz w:val="22"/>
          <w:szCs w:val="22"/>
        </w:rPr>
        <w:t>Part I of the General Consent 2015 (“Category 5”)</w:t>
      </w:r>
    </w:p>
    <w:p w14:paraId="56F9E28B" w14:textId="77777777" w:rsidR="006400DC" w:rsidRPr="006400DC" w:rsidRDefault="006400DC" w:rsidP="006400DC">
      <w:pPr>
        <w:rPr>
          <w:b/>
          <w:sz w:val="22"/>
          <w:szCs w:val="22"/>
        </w:rPr>
      </w:pPr>
      <w:r w:rsidRPr="000B087A">
        <w:rPr>
          <w:sz w:val="22"/>
          <w:szCs w:val="22"/>
        </w:rPr>
        <w:br w:type="page"/>
      </w:r>
      <w:r w:rsidRPr="006400DC">
        <w:rPr>
          <w:rStyle w:val="HCABodytext"/>
          <w:rFonts w:ascii="Arial" w:hAnsi="Arial"/>
          <w:b/>
          <w:szCs w:val="22"/>
        </w:rPr>
        <w:lastRenderedPageBreak/>
        <w:t xml:space="preserve">Appendix - </w:t>
      </w:r>
      <w:r w:rsidRPr="006400DC">
        <w:rPr>
          <w:b/>
          <w:sz w:val="22"/>
          <w:szCs w:val="22"/>
        </w:rPr>
        <w:t>General conditions set out in Part II of the General Consent 2015 and</w:t>
      </w:r>
      <w:r w:rsidRPr="006400DC">
        <w:rPr>
          <w:rStyle w:val="HCABodytext"/>
          <w:rFonts w:ascii="Arial" w:hAnsi="Arial"/>
          <w:b/>
          <w:szCs w:val="22"/>
        </w:rPr>
        <w:t xml:space="preserve"> Specific Conditions in relation to </w:t>
      </w:r>
      <w:r w:rsidRPr="006400DC">
        <w:rPr>
          <w:b/>
          <w:sz w:val="22"/>
          <w:szCs w:val="22"/>
        </w:rPr>
        <w:t>Part I of the General Consent 2015 (“Category 5”)</w:t>
      </w:r>
    </w:p>
    <w:p w14:paraId="56F9E28C" w14:textId="77777777" w:rsidR="006400DC" w:rsidRPr="00245B06" w:rsidRDefault="006400DC" w:rsidP="006400DC">
      <w:pPr>
        <w:rPr>
          <w:rStyle w:val="HCABodytext"/>
          <w:rFonts w:ascii="Arial" w:hAnsi="Arial"/>
          <w:szCs w:val="22"/>
        </w:rPr>
      </w:pPr>
    </w:p>
    <w:p w14:paraId="56F9E28D" w14:textId="77777777" w:rsidR="006400DC" w:rsidRPr="000B087A" w:rsidRDefault="006400DC" w:rsidP="006400DC">
      <w:pPr>
        <w:autoSpaceDE w:val="0"/>
        <w:autoSpaceDN w:val="0"/>
        <w:adjustRightInd w:val="0"/>
        <w:rPr>
          <w:b/>
          <w:bCs/>
          <w:sz w:val="22"/>
          <w:szCs w:val="22"/>
          <w:lang w:eastAsia="en-GB"/>
        </w:rPr>
      </w:pPr>
      <w:r w:rsidRPr="000B087A">
        <w:rPr>
          <w:b/>
          <w:bCs/>
          <w:sz w:val="22"/>
          <w:szCs w:val="22"/>
          <w:lang w:eastAsia="en-GB"/>
        </w:rPr>
        <w:t>Part II</w:t>
      </w:r>
    </w:p>
    <w:p w14:paraId="56F9E28E" w14:textId="77777777" w:rsidR="006400DC" w:rsidRPr="000B087A" w:rsidRDefault="006400DC" w:rsidP="006400DC">
      <w:pPr>
        <w:autoSpaceDE w:val="0"/>
        <w:autoSpaceDN w:val="0"/>
        <w:adjustRightInd w:val="0"/>
        <w:rPr>
          <w:b/>
          <w:bCs/>
          <w:sz w:val="22"/>
          <w:szCs w:val="22"/>
          <w:lang w:eastAsia="en-GB"/>
        </w:rPr>
      </w:pPr>
      <w:r w:rsidRPr="000B087A">
        <w:rPr>
          <w:b/>
          <w:bCs/>
          <w:sz w:val="22"/>
          <w:szCs w:val="22"/>
          <w:lang w:eastAsia="en-GB"/>
        </w:rPr>
        <w:t>General conditions applying to disposals</w:t>
      </w:r>
    </w:p>
    <w:p w14:paraId="56F9E28F" w14:textId="77777777" w:rsidR="006400DC" w:rsidRPr="000B087A" w:rsidRDefault="006400DC" w:rsidP="006400DC">
      <w:pPr>
        <w:autoSpaceDE w:val="0"/>
        <w:autoSpaceDN w:val="0"/>
        <w:adjustRightInd w:val="0"/>
        <w:rPr>
          <w:sz w:val="22"/>
          <w:szCs w:val="22"/>
          <w:lang w:eastAsia="en-GB"/>
        </w:rPr>
      </w:pPr>
    </w:p>
    <w:p w14:paraId="56F9E290" w14:textId="77777777" w:rsidR="006400DC" w:rsidRPr="000B087A" w:rsidRDefault="006400DC" w:rsidP="006400DC">
      <w:pPr>
        <w:autoSpaceDE w:val="0"/>
        <w:autoSpaceDN w:val="0"/>
        <w:adjustRightInd w:val="0"/>
        <w:rPr>
          <w:sz w:val="22"/>
          <w:szCs w:val="22"/>
          <w:lang w:eastAsia="en-GB"/>
        </w:rPr>
      </w:pPr>
      <w:r w:rsidRPr="000B087A">
        <w:rPr>
          <w:sz w:val="22"/>
          <w:szCs w:val="22"/>
          <w:lang w:eastAsia="en-GB"/>
        </w:rPr>
        <w:t>A Private Registered Provider may make a disposal under part I of this General Consent (for this purpose disregarding category 6) if all the relevant conditions below (and, where applicable, those specified in the relevant category, but subject to any disapplication or variation of the following conditions specified in the relevant category) are met.</w:t>
      </w:r>
    </w:p>
    <w:p w14:paraId="56F9E291" w14:textId="77777777" w:rsidR="006400DC" w:rsidRPr="000B087A" w:rsidRDefault="006400DC" w:rsidP="006400DC">
      <w:pPr>
        <w:autoSpaceDE w:val="0"/>
        <w:autoSpaceDN w:val="0"/>
        <w:adjustRightInd w:val="0"/>
        <w:rPr>
          <w:b/>
          <w:bCs/>
          <w:sz w:val="22"/>
          <w:szCs w:val="22"/>
          <w:lang w:eastAsia="en-GB"/>
        </w:rPr>
      </w:pPr>
    </w:p>
    <w:p w14:paraId="56F9E292" w14:textId="77777777" w:rsidR="006400DC" w:rsidRPr="000B087A" w:rsidRDefault="006400DC" w:rsidP="006400DC">
      <w:pPr>
        <w:autoSpaceDE w:val="0"/>
        <w:autoSpaceDN w:val="0"/>
        <w:adjustRightInd w:val="0"/>
        <w:rPr>
          <w:b/>
          <w:bCs/>
          <w:sz w:val="22"/>
          <w:szCs w:val="22"/>
          <w:lang w:eastAsia="en-GB"/>
        </w:rPr>
      </w:pPr>
      <w:r w:rsidRPr="000B087A">
        <w:rPr>
          <w:b/>
          <w:bCs/>
          <w:sz w:val="22"/>
          <w:szCs w:val="22"/>
          <w:lang w:eastAsia="en-GB"/>
        </w:rPr>
        <w:t>Conditions</w:t>
      </w:r>
    </w:p>
    <w:p w14:paraId="56F9E293" w14:textId="77777777" w:rsidR="006400DC" w:rsidRPr="000B087A" w:rsidRDefault="006400DC" w:rsidP="006400DC">
      <w:pPr>
        <w:autoSpaceDE w:val="0"/>
        <w:autoSpaceDN w:val="0"/>
        <w:adjustRightInd w:val="0"/>
        <w:rPr>
          <w:b/>
          <w:bCs/>
          <w:sz w:val="22"/>
          <w:szCs w:val="22"/>
          <w:lang w:eastAsia="en-GB"/>
        </w:rPr>
      </w:pPr>
    </w:p>
    <w:p w14:paraId="56F9E294" w14:textId="77777777" w:rsidR="006400DC" w:rsidRPr="000B087A" w:rsidRDefault="006400DC" w:rsidP="006400DC">
      <w:pPr>
        <w:pStyle w:val="ListParagraph"/>
        <w:numPr>
          <w:ilvl w:val="0"/>
          <w:numId w:val="25"/>
        </w:numPr>
        <w:autoSpaceDE w:val="0"/>
        <w:autoSpaceDN w:val="0"/>
        <w:adjustRightInd w:val="0"/>
        <w:rPr>
          <w:rFonts w:ascii="Arial" w:hAnsi="Arial" w:cs="Arial"/>
          <w:lang w:eastAsia="en-GB"/>
        </w:rPr>
      </w:pPr>
      <w:r w:rsidRPr="000B087A">
        <w:rPr>
          <w:rFonts w:ascii="Arial" w:hAnsi="Arial" w:cs="Arial"/>
          <w:lang w:eastAsia="en-GB"/>
        </w:rPr>
        <w:t>The disposal shall adhere to all relevant law and comply with the Private Registered Provider's governing document and all regulatory requirements.</w:t>
      </w:r>
    </w:p>
    <w:p w14:paraId="56F9E295" w14:textId="77777777" w:rsidR="006400DC" w:rsidRPr="000B087A" w:rsidRDefault="006400DC" w:rsidP="006400DC">
      <w:pPr>
        <w:pStyle w:val="ListParagraph"/>
        <w:autoSpaceDE w:val="0"/>
        <w:autoSpaceDN w:val="0"/>
        <w:adjustRightInd w:val="0"/>
        <w:rPr>
          <w:rFonts w:ascii="Arial" w:hAnsi="Arial" w:cs="Arial"/>
          <w:lang w:eastAsia="en-GB"/>
        </w:rPr>
      </w:pPr>
    </w:p>
    <w:p w14:paraId="56F9E296" w14:textId="77777777" w:rsidR="006400DC" w:rsidRPr="000B087A" w:rsidRDefault="006400DC" w:rsidP="006400DC">
      <w:pPr>
        <w:pStyle w:val="ListParagraph"/>
        <w:numPr>
          <w:ilvl w:val="0"/>
          <w:numId w:val="25"/>
        </w:numPr>
        <w:autoSpaceDE w:val="0"/>
        <w:autoSpaceDN w:val="0"/>
        <w:adjustRightInd w:val="0"/>
        <w:rPr>
          <w:rFonts w:ascii="Arial" w:hAnsi="Arial" w:cs="Arial"/>
          <w:lang w:eastAsia="en-GB"/>
        </w:rPr>
      </w:pPr>
      <w:r w:rsidRPr="000B087A">
        <w:rPr>
          <w:rFonts w:ascii="Arial" w:hAnsi="Arial" w:cs="Arial"/>
          <w:lang w:eastAsia="en-GB"/>
        </w:rPr>
        <w:t>If the disposal is of a Social Housing Dwelling subject to a legal charge or mortgage, the consent of the mortgagee to the disposal should be obtained before exchanging contracts, unless the charge or mortgage will be discharged from the disposal proceeds.</w:t>
      </w:r>
    </w:p>
    <w:p w14:paraId="56F9E297" w14:textId="77777777" w:rsidR="006400DC" w:rsidRPr="000B087A" w:rsidRDefault="006400DC" w:rsidP="006400DC">
      <w:pPr>
        <w:autoSpaceDE w:val="0"/>
        <w:autoSpaceDN w:val="0"/>
        <w:adjustRightInd w:val="0"/>
        <w:rPr>
          <w:sz w:val="22"/>
          <w:szCs w:val="22"/>
          <w:lang w:eastAsia="en-GB"/>
        </w:rPr>
      </w:pPr>
    </w:p>
    <w:p w14:paraId="56F9E298" w14:textId="77777777" w:rsidR="006400DC" w:rsidRPr="000B087A" w:rsidRDefault="006400DC" w:rsidP="006400DC">
      <w:pPr>
        <w:pStyle w:val="ListParagraph"/>
        <w:numPr>
          <w:ilvl w:val="0"/>
          <w:numId w:val="25"/>
        </w:numPr>
        <w:autoSpaceDE w:val="0"/>
        <w:autoSpaceDN w:val="0"/>
        <w:adjustRightInd w:val="0"/>
        <w:rPr>
          <w:rFonts w:ascii="Arial" w:hAnsi="Arial" w:cs="Arial"/>
          <w:lang w:eastAsia="en-GB"/>
        </w:rPr>
      </w:pPr>
      <w:r w:rsidRPr="000B087A">
        <w:rPr>
          <w:rFonts w:ascii="Arial" w:hAnsi="Arial" w:cs="Arial"/>
          <w:lang w:eastAsia="en-GB"/>
        </w:rPr>
        <w:tab/>
        <w:t xml:space="preserve">a. Every disposal under this General Consent shall be at Best </w:t>
      </w:r>
      <w:r w:rsidRPr="000B087A">
        <w:rPr>
          <w:rFonts w:ascii="Arial" w:hAnsi="Arial" w:cs="Arial"/>
          <w:lang w:eastAsia="en-GB"/>
        </w:rPr>
        <w:tab/>
        <w:t xml:space="preserve">Consideration or in the case of an auction, the reserve price shall be the </w:t>
      </w:r>
      <w:r w:rsidRPr="000B087A">
        <w:rPr>
          <w:rFonts w:ascii="Arial" w:hAnsi="Arial" w:cs="Arial"/>
          <w:lang w:eastAsia="en-GB"/>
        </w:rPr>
        <w:tab/>
        <w:t>Best Consideration.</w:t>
      </w:r>
    </w:p>
    <w:p w14:paraId="56F9E299" w14:textId="77777777" w:rsidR="006400DC" w:rsidRPr="000B087A" w:rsidRDefault="006400DC" w:rsidP="006400DC">
      <w:pPr>
        <w:pStyle w:val="ListParagraph"/>
        <w:autoSpaceDE w:val="0"/>
        <w:autoSpaceDN w:val="0"/>
        <w:adjustRightInd w:val="0"/>
        <w:ind w:left="360"/>
        <w:rPr>
          <w:rFonts w:ascii="Arial" w:hAnsi="Arial" w:cs="Arial"/>
          <w:lang w:eastAsia="en-GB"/>
        </w:rPr>
      </w:pPr>
    </w:p>
    <w:p w14:paraId="56F9E29A" w14:textId="77777777" w:rsidR="006400DC" w:rsidRPr="000B087A" w:rsidRDefault="006400DC" w:rsidP="006400DC">
      <w:pPr>
        <w:autoSpaceDE w:val="0"/>
        <w:autoSpaceDN w:val="0"/>
        <w:adjustRightInd w:val="0"/>
        <w:rPr>
          <w:sz w:val="22"/>
          <w:szCs w:val="22"/>
          <w:lang w:eastAsia="en-GB"/>
        </w:rPr>
      </w:pPr>
      <w:r w:rsidRPr="000B087A">
        <w:rPr>
          <w:sz w:val="22"/>
          <w:szCs w:val="22"/>
          <w:lang w:eastAsia="en-GB"/>
        </w:rPr>
        <w:tab/>
        <w:t xml:space="preserve">b. Every decision to dispose shall be supported by a Valuation carried </w:t>
      </w:r>
      <w:r w:rsidRPr="000B087A">
        <w:rPr>
          <w:sz w:val="22"/>
          <w:szCs w:val="22"/>
          <w:lang w:eastAsia="en-GB"/>
        </w:rPr>
        <w:tab/>
        <w:t>out by a Valuer.</w:t>
      </w:r>
    </w:p>
    <w:p w14:paraId="56F9E29B" w14:textId="77777777" w:rsidR="006400DC" w:rsidRPr="000B087A" w:rsidRDefault="006400DC" w:rsidP="006400DC">
      <w:pPr>
        <w:autoSpaceDE w:val="0"/>
        <w:autoSpaceDN w:val="0"/>
        <w:adjustRightInd w:val="0"/>
        <w:rPr>
          <w:sz w:val="22"/>
          <w:szCs w:val="22"/>
          <w:lang w:eastAsia="en-GB"/>
        </w:rPr>
      </w:pPr>
    </w:p>
    <w:p w14:paraId="56F9E29C" w14:textId="77777777" w:rsidR="006400DC" w:rsidRPr="000B087A" w:rsidRDefault="006400DC" w:rsidP="006400DC">
      <w:pPr>
        <w:autoSpaceDE w:val="0"/>
        <w:autoSpaceDN w:val="0"/>
        <w:adjustRightInd w:val="0"/>
        <w:rPr>
          <w:rFonts w:eastAsia="Calibri"/>
          <w:sz w:val="22"/>
          <w:szCs w:val="22"/>
          <w:lang w:eastAsia="en-GB"/>
        </w:rPr>
      </w:pPr>
      <w:r w:rsidRPr="000B087A">
        <w:rPr>
          <w:sz w:val="22"/>
          <w:szCs w:val="22"/>
          <w:lang w:eastAsia="en-GB"/>
        </w:rPr>
        <w:t xml:space="preserve">4. </w:t>
      </w:r>
      <w:r w:rsidRPr="000B087A">
        <w:rPr>
          <w:rFonts w:eastAsia="Calibri"/>
          <w:sz w:val="22"/>
          <w:szCs w:val="22"/>
          <w:lang w:eastAsia="en-GB"/>
        </w:rPr>
        <w:t xml:space="preserve">Each disposal shall have governing body authority and decisions shall be properly </w:t>
      </w:r>
      <w:proofErr w:type="spellStart"/>
      <w:r w:rsidRPr="000B087A">
        <w:rPr>
          <w:rFonts w:eastAsia="Calibri"/>
          <w:sz w:val="22"/>
          <w:szCs w:val="22"/>
          <w:lang w:eastAsia="en-GB"/>
        </w:rPr>
        <w:t>minuted</w:t>
      </w:r>
      <w:proofErr w:type="spellEnd"/>
      <w:r w:rsidRPr="000B087A">
        <w:rPr>
          <w:rFonts w:eastAsia="Calibri"/>
          <w:sz w:val="22"/>
          <w:szCs w:val="22"/>
          <w:lang w:eastAsia="en-GB"/>
        </w:rPr>
        <w:t>. Subject to the Private Registered Provider’s constitution, governing bodies may delegate authority to a sub-committee or two or more Officers for any of the categories in part I of this General Consent, according to an appropriate scheme of delegation.</w:t>
      </w:r>
    </w:p>
    <w:p w14:paraId="56F9E29D" w14:textId="77777777" w:rsidR="006400DC" w:rsidRPr="000B087A" w:rsidRDefault="006400DC" w:rsidP="006400DC">
      <w:pPr>
        <w:autoSpaceDE w:val="0"/>
        <w:autoSpaceDN w:val="0"/>
        <w:adjustRightInd w:val="0"/>
        <w:rPr>
          <w:sz w:val="22"/>
          <w:szCs w:val="22"/>
          <w:lang w:eastAsia="en-GB"/>
        </w:rPr>
      </w:pPr>
    </w:p>
    <w:p w14:paraId="56F9E29E" w14:textId="77777777" w:rsidR="006400DC" w:rsidRPr="000B087A" w:rsidRDefault="006400DC" w:rsidP="006400DC">
      <w:pPr>
        <w:autoSpaceDE w:val="0"/>
        <w:autoSpaceDN w:val="0"/>
        <w:adjustRightInd w:val="0"/>
        <w:rPr>
          <w:sz w:val="22"/>
          <w:szCs w:val="22"/>
          <w:lang w:eastAsia="en-GB"/>
        </w:rPr>
      </w:pPr>
      <w:r w:rsidRPr="000B087A">
        <w:rPr>
          <w:sz w:val="22"/>
          <w:szCs w:val="22"/>
          <w:lang w:eastAsia="en-GB"/>
        </w:rPr>
        <w:t xml:space="preserve">5. Before any disposal takes place the Secretary (or equivalent) and one other authorised Officer or employee of the Private Registered Provider shall certify to the </w:t>
      </w:r>
      <w:proofErr w:type="spellStart"/>
      <w:r w:rsidRPr="000B087A">
        <w:rPr>
          <w:sz w:val="22"/>
          <w:szCs w:val="22"/>
          <w:lang w:eastAsia="en-GB"/>
        </w:rPr>
        <w:t>disponee</w:t>
      </w:r>
      <w:proofErr w:type="spellEnd"/>
      <w:r w:rsidRPr="000B087A">
        <w:rPr>
          <w:sz w:val="22"/>
          <w:szCs w:val="22"/>
          <w:lang w:eastAsia="en-GB"/>
        </w:rPr>
        <w:t xml:space="preserve"> in a form specified by the Regulator:</w:t>
      </w:r>
    </w:p>
    <w:p w14:paraId="56F9E29F" w14:textId="77777777" w:rsidR="006400DC" w:rsidRPr="000B087A" w:rsidRDefault="006400DC" w:rsidP="006400DC">
      <w:pPr>
        <w:pStyle w:val="ListParagraph"/>
        <w:numPr>
          <w:ilvl w:val="0"/>
          <w:numId w:val="26"/>
        </w:numPr>
        <w:autoSpaceDE w:val="0"/>
        <w:autoSpaceDN w:val="0"/>
        <w:adjustRightInd w:val="0"/>
        <w:rPr>
          <w:rFonts w:ascii="Arial" w:hAnsi="Arial" w:cs="Arial"/>
          <w:lang w:eastAsia="en-GB"/>
        </w:rPr>
      </w:pPr>
      <w:r w:rsidRPr="000B087A">
        <w:rPr>
          <w:rFonts w:ascii="Arial" w:hAnsi="Arial" w:cs="Arial"/>
          <w:lang w:eastAsia="en-GB"/>
        </w:rPr>
        <w:t>that the provisions of section 172 of the Act or Section 133 of the Housing Act 1988 or Section 171D of the Housing Act 1985 as appropriate have been complied with, that the disposal accords with the General Consent and that the conditions of the General Consent have been complied with;</w:t>
      </w:r>
    </w:p>
    <w:p w14:paraId="56F9E2A0" w14:textId="77777777" w:rsidR="006400DC" w:rsidRPr="000B087A" w:rsidRDefault="006400DC" w:rsidP="006400DC">
      <w:pPr>
        <w:pStyle w:val="ListParagraph"/>
        <w:numPr>
          <w:ilvl w:val="1"/>
          <w:numId w:val="26"/>
        </w:numPr>
        <w:autoSpaceDE w:val="0"/>
        <w:autoSpaceDN w:val="0"/>
        <w:adjustRightInd w:val="0"/>
        <w:rPr>
          <w:rFonts w:ascii="Arial" w:hAnsi="Arial" w:cs="Arial"/>
          <w:lang w:eastAsia="en-GB"/>
        </w:rPr>
      </w:pPr>
      <w:r w:rsidRPr="000B087A">
        <w:rPr>
          <w:rFonts w:ascii="Arial" w:hAnsi="Arial" w:cs="Arial"/>
          <w:lang w:eastAsia="en-GB"/>
        </w:rPr>
        <w:t>specifying the category of the General Consent that applies;</w:t>
      </w:r>
    </w:p>
    <w:p w14:paraId="56F9E2A1" w14:textId="77777777" w:rsidR="006400DC" w:rsidRPr="000B087A" w:rsidRDefault="006400DC" w:rsidP="006400DC">
      <w:pPr>
        <w:pStyle w:val="ListParagraph"/>
        <w:numPr>
          <w:ilvl w:val="1"/>
          <w:numId w:val="26"/>
        </w:numPr>
        <w:autoSpaceDE w:val="0"/>
        <w:autoSpaceDN w:val="0"/>
        <w:adjustRightInd w:val="0"/>
        <w:rPr>
          <w:rFonts w:ascii="Arial" w:hAnsi="Arial" w:cs="Arial"/>
          <w:lang w:eastAsia="en-GB"/>
        </w:rPr>
      </w:pPr>
      <w:r w:rsidRPr="000B087A">
        <w:rPr>
          <w:rFonts w:ascii="Arial" w:hAnsi="Arial" w:cs="Arial"/>
          <w:lang w:eastAsia="en-GB"/>
        </w:rPr>
        <w:t>identifying the interest or title being disposed of; and</w:t>
      </w:r>
    </w:p>
    <w:p w14:paraId="56F9E2A2" w14:textId="77777777" w:rsidR="006400DC" w:rsidRPr="000B087A" w:rsidRDefault="006400DC" w:rsidP="006400DC">
      <w:pPr>
        <w:pStyle w:val="ListParagraph"/>
        <w:numPr>
          <w:ilvl w:val="1"/>
          <w:numId w:val="26"/>
        </w:numPr>
        <w:autoSpaceDE w:val="0"/>
        <w:autoSpaceDN w:val="0"/>
        <w:adjustRightInd w:val="0"/>
        <w:rPr>
          <w:rFonts w:ascii="Arial" w:hAnsi="Arial" w:cs="Arial"/>
          <w:lang w:eastAsia="en-GB"/>
        </w:rPr>
      </w:pPr>
      <w:r w:rsidRPr="000B087A">
        <w:rPr>
          <w:rFonts w:ascii="Arial" w:hAnsi="Arial" w:cs="Arial"/>
          <w:lang w:eastAsia="en-GB"/>
        </w:rPr>
        <w:t>identifying the Social Housing Dwelling(s) which are the subject of the disposal</w:t>
      </w:r>
    </w:p>
    <w:p w14:paraId="56F9E2A3" w14:textId="77777777" w:rsidR="006400DC" w:rsidRPr="000B087A" w:rsidRDefault="006400DC" w:rsidP="006400DC">
      <w:pPr>
        <w:pStyle w:val="ListParagraph"/>
        <w:autoSpaceDE w:val="0"/>
        <w:autoSpaceDN w:val="0"/>
        <w:adjustRightInd w:val="0"/>
        <w:ind w:left="1440"/>
        <w:rPr>
          <w:rFonts w:ascii="Arial" w:hAnsi="Arial" w:cs="Arial"/>
          <w:lang w:eastAsia="en-GB"/>
        </w:rPr>
      </w:pPr>
    </w:p>
    <w:p w14:paraId="56F9E2A4" w14:textId="77777777" w:rsidR="006400DC" w:rsidRPr="000B087A" w:rsidRDefault="006400DC" w:rsidP="006400DC">
      <w:pPr>
        <w:autoSpaceDE w:val="0"/>
        <w:autoSpaceDN w:val="0"/>
        <w:adjustRightInd w:val="0"/>
        <w:rPr>
          <w:sz w:val="22"/>
          <w:szCs w:val="22"/>
          <w:lang w:eastAsia="en-GB"/>
        </w:rPr>
      </w:pPr>
      <w:r w:rsidRPr="000B087A">
        <w:rPr>
          <w:sz w:val="22"/>
          <w:szCs w:val="22"/>
          <w:lang w:eastAsia="en-GB"/>
        </w:rPr>
        <w:t>6. A Private Registered Provider shall maintain a register of disposals made under the authority of the General Consent which contains:</w:t>
      </w:r>
    </w:p>
    <w:p w14:paraId="56F9E2A5" w14:textId="77777777" w:rsidR="006400DC" w:rsidRPr="000B087A" w:rsidRDefault="006400DC" w:rsidP="006400DC">
      <w:pPr>
        <w:pStyle w:val="ListParagraph"/>
        <w:numPr>
          <w:ilvl w:val="0"/>
          <w:numId w:val="26"/>
        </w:numPr>
        <w:autoSpaceDE w:val="0"/>
        <w:autoSpaceDN w:val="0"/>
        <w:adjustRightInd w:val="0"/>
        <w:rPr>
          <w:rFonts w:ascii="Arial" w:hAnsi="Arial" w:cs="Arial"/>
          <w:lang w:eastAsia="en-GB"/>
        </w:rPr>
      </w:pPr>
      <w:r w:rsidRPr="000B087A">
        <w:rPr>
          <w:rFonts w:ascii="Arial" w:hAnsi="Arial" w:cs="Arial"/>
          <w:lang w:eastAsia="en-GB"/>
        </w:rPr>
        <w:lastRenderedPageBreak/>
        <w:t xml:space="preserve">a copy of the certification to the </w:t>
      </w:r>
      <w:proofErr w:type="spellStart"/>
      <w:r w:rsidRPr="000B087A">
        <w:rPr>
          <w:rFonts w:ascii="Arial" w:hAnsi="Arial" w:cs="Arial"/>
          <w:lang w:eastAsia="en-GB"/>
        </w:rPr>
        <w:t>disponee</w:t>
      </w:r>
      <w:proofErr w:type="spellEnd"/>
      <w:r w:rsidRPr="000B087A">
        <w:rPr>
          <w:rFonts w:ascii="Arial" w:hAnsi="Arial" w:cs="Arial"/>
          <w:lang w:eastAsia="en-GB"/>
        </w:rPr>
        <w:t xml:space="preserve"> with the same information as required in the certification to the </w:t>
      </w:r>
      <w:proofErr w:type="spellStart"/>
      <w:r w:rsidRPr="000B087A">
        <w:rPr>
          <w:rFonts w:ascii="Arial" w:hAnsi="Arial" w:cs="Arial"/>
          <w:lang w:eastAsia="en-GB"/>
        </w:rPr>
        <w:t>disponee</w:t>
      </w:r>
      <w:proofErr w:type="spellEnd"/>
      <w:r w:rsidRPr="000B087A">
        <w:rPr>
          <w:rFonts w:ascii="Arial" w:hAnsi="Arial" w:cs="Arial"/>
          <w:lang w:eastAsia="en-GB"/>
        </w:rPr>
        <w:t>;</w:t>
      </w:r>
    </w:p>
    <w:p w14:paraId="56F9E2A6" w14:textId="77777777" w:rsidR="006400DC" w:rsidRPr="000B087A" w:rsidRDefault="006400DC" w:rsidP="006400DC">
      <w:pPr>
        <w:pStyle w:val="ListParagraph"/>
        <w:numPr>
          <w:ilvl w:val="0"/>
          <w:numId w:val="26"/>
        </w:numPr>
        <w:autoSpaceDE w:val="0"/>
        <w:autoSpaceDN w:val="0"/>
        <w:adjustRightInd w:val="0"/>
        <w:rPr>
          <w:rFonts w:ascii="Arial" w:hAnsi="Arial" w:cs="Arial"/>
          <w:lang w:eastAsia="en-GB"/>
        </w:rPr>
      </w:pPr>
      <w:r w:rsidRPr="000B087A">
        <w:rPr>
          <w:rFonts w:ascii="Arial" w:hAnsi="Arial" w:cs="Arial"/>
          <w:lang w:eastAsia="en-GB"/>
        </w:rPr>
        <w:t xml:space="preserve">the identity of the </w:t>
      </w:r>
      <w:proofErr w:type="spellStart"/>
      <w:r w:rsidRPr="000B087A">
        <w:rPr>
          <w:rFonts w:ascii="Arial" w:hAnsi="Arial" w:cs="Arial"/>
          <w:lang w:eastAsia="en-GB"/>
        </w:rPr>
        <w:t>disponee</w:t>
      </w:r>
      <w:proofErr w:type="spellEnd"/>
      <w:r w:rsidRPr="000B087A">
        <w:rPr>
          <w:rFonts w:ascii="Arial" w:hAnsi="Arial" w:cs="Arial"/>
          <w:lang w:eastAsia="en-GB"/>
        </w:rPr>
        <w:t>;</w:t>
      </w:r>
    </w:p>
    <w:p w14:paraId="56F9E2A7" w14:textId="77777777" w:rsidR="006400DC" w:rsidRPr="000B087A" w:rsidRDefault="006400DC" w:rsidP="006400DC">
      <w:pPr>
        <w:pStyle w:val="ListParagraph"/>
        <w:numPr>
          <w:ilvl w:val="0"/>
          <w:numId w:val="26"/>
        </w:numPr>
        <w:autoSpaceDE w:val="0"/>
        <w:autoSpaceDN w:val="0"/>
        <w:adjustRightInd w:val="0"/>
        <w:rPr>
          <w:rFonts w:ascii="Arial" w:hAnsi="Arial" w:cs="Arial"/>
          <w:lang w:eastAsia="en-GB"/>
        </w:rPr>
      </w:pPr>
      <w:r w:rsidRPr="000B087A">
        <w:rPr>
          <w:rFonts w:ascii="Arial" w:hAnsi="Arial" w:cs="Arial"/>
          <w:lang w:eastAsia="en-GB"/>
        </w:rPr>
        <w:t>the date of the disposal; and</w:t>
      </w:r>
    </w:p>
    <w:p w14:paraId="56F9E2A8" w14:textId="77777777" w:rsidR="006400DC" w:rsidRPr="000B087A" w:rsidRDefault="006400DC" w:rsidP="006400DC">
      <w:pPr>
        <w:pStyle w:val="ListParagraph"/>
        <w:numPr>
          <w:ilvl w:val="0"/>
          <w:numId w:val="26"/>
        </w:numPr>
        <w:autoSpaceDE w:val="0"/>
        <w:autoSpaceDN w:val="0"/>
        <w:adjustRightInd w:val="0"/>
        <w:rPr>
          <w:rFonts w:ascii="Arial" w:hAnsi="Arial" w:cs="Arial"/>
          <w:lang w:eastAsia="en-GB"/>
        </w:rPr>
      </w:pPr>
      <w:proofErr w:type="gramStart"/>
      <w:r w:rsidRPr="000B087A">
        <w:rPr>
          <w:rFonts w:ascii="Arial" w:hAnsi="Arial" w:cs="Arial"/>
          <w:lang w:eastAsia="en-GB"/>
        </w:rPr>
        <w:t>if</w:t>
      </w:r>
      <w:proofErr w:type="gramEnd"/>
      <w:r w:rsidRPr="000B087A">
        <w:rPr>
          <w:rFonts w:ascii="Arial" w:hAnsi="Arial" w:cs="Arial"/>
          <w:lang w:eastAsia="en-GB"/>
        </w:rPr>
        <w:t xml:space="preserve"> one was required, the valuation obtained in accordance with General Condition 3B and supply or make this available to the Regulator if requested.</w:t>
      </w:r>
    </w:p>
    <w:p w14:paraId="56F9E2A9" w14:textId="77777777" w:rsidR="006400DC" w:rsidRPr="000B087A" w:rsidRDefault="006400DC" w:rsidP="006400DC">
      <w:pPr>
        <w:pStyle w:val="ListParagraph"/>
        <w:autoSpaceDE w:val="0"/>
        <w:autoSpaceDN w:val="0"/>
        <w:adjustRightInd w:val="0"/>
        <w:rPr>
          <w:rFonts w:ascii="Arial" w:hAnsi="Arial" w:cs="Arial"/>
          <w:lang w:eastAsia="en-GB"/>
        </w:rPr>
      </w:pPr>
    </w:p>
    <w:p w14:paraId="56F9E2AA" w14:textId="77777777" w:rsidR="006400DC" w:rsidRPr="000B087A" w:rsidRDefault="006400DC" w:rsidP="006400DC">
      <w:pPr>
        <w:autoSpaceDE w:val="0"/>
        <w:autoSpaceDN w:val="0"/>
        <w:adjustRightInd w:val="0"/>
        <w:rPr>
          <w:sz w:val="22"/>
          <w:szCs w:val="22"/>
          <w:lang w:eastAsia="en-GB"/>
        </w:rPr>
      </w:pPr>
      <w:r w:rsidRPr="000B087A">
        <w:rPr>
          <w:sz w:val="22"/>
          <w:szCs w:val="22"/>
          <w:lang w:eastAsia="en-GB"/>
        </w:rPr>
        <w:t>7. If the disposal is of a Social Housing Dwelling funded by Capital Grant or by Financial Assistance from the Homes and Communities Agency or the Greater London Authority, the Private Registered Provider should consult the Homes and Communities Agency’s Affordable Housing Capital Funding Guide and any other terms (including under contractual arrangements) under which grant was given, or the equivalent publication of the Greater London Authority in respect of a disposal in Greater London, to see whether the disposal is one that calls for the repayment or recycling of the Capital Grant or Financial Assistance. If so, the Private Registered Provider shall follow the timetables for reporting and recording published in the guide or any other relevant requirements.</w:t>
      </w:r>
    </w:p>
    <w:p w14:paraId="56F9E2AB" w14:textId="77777777" w:rsidR="006400DC" w:rsidRPr="000B087A" w:rsidRDefault="006400DC" w:rsidP="006400DC">
      <w:pPr>
        <w:autoSpaceDE w:val="0"/>
        <w:autoSpaceDN w:val="0"/>
        <w:adjustRightInd w:val="0"/>
        <w:rPr>
          <w:sz w:val="22"/>
          <w:szCs w:val="22"/>
          <w:lang w:eastAsia="en-GB"/>
        </w:rPr>
      </w:pPr>
    </w:p>
    <w:p w14:paraId="56F9E2AC" w14:textId="77777777" w:rsidR="006400DC" w:rsidRPr="000B087A" w:rsidRDefault="006400DC" w:rsidP="006400DC">
      <w:pPr>
        <w:autoSpaceDE w:val="0"/>
        <w:autoSpaceDN w:val="0"/>
        <w:adjustRightInd w:val="0"/>
        <w:rPr>
          <w:sz w:val="22"/>
          <w:szCs w:val="22"/>
          <w:lang w:eastAsia="en-GB"/>
        </w:rPr>
      </w:pPr>
      <w:r w:rsidRPr="000B087A">
        <w:rPr>
          <w:sz w:val="22"/>
          <w:szCs w:val="22"/>
          <w:lang w:eastAsia="en-GB"/>
        </w:rPr>
        <w:t>8. The disposal shall not, in the opinion of the Private Registered Provider’s governing body, materially affect the Private Registered Provider’s assets that are available as security for its existing financial commitments.</w:t>
      </w:r>
    </w:p>
    <w:p w14:paraId="56F9E2AD" w14:textId="77777777" w:rsidR="006400DC" w:rsidRPr="000B087A" w:rsidRDefault="006400DC" w:rsidP="006400DC">
      <w:pPr>
        <w:autoSpaceDE w:val="0"/>
        <w:autoSpaceDN w:val="0"/>
        <w:adjustRightInd w:val="0"/>
        <w:rPr>
          <w:sz w:val="22"/>
          <w:szCs w:val="22"/>
          <w:lang w:eastAsia="en-GB"/>
        </w:rPr>
      </w:pPr>
    </w:p>
    <w:p w14:paraId="56F9E2AE" w14:textId="77777777" w:rsidR="006400DC" w:rsidRPr="000B087A" w:rsidRDefault="006400DC" w:rsidP="006400DC">
      <w:pPr>
        <w:autoSpaceDE w:val="0"/>
        <w:autoSpaceDN w:val="0"/>
        <w:adjustRightInd w:val="0"/>
        <w:rPr>
          <w:sz w:val="22"/>
          <w:szCs w:val="22"/>
          <w:lang w:eastAsia="en-GB"/>
        </w:rPr>
      </w:pPr>
      <w:r w:rsidRPr="000B087A">
        <w:rPr>
          <w:sz w:val="22"/>
          <w:szCs w:val="22"/>
          <w:lang w:eastAsia="en-GB"/>
        </w:rPr>
        <w:t xml:space="preserve">9. Disposals shall not be made to </w:t>
      </w:r>
      <w:proofErr w:type="gramStart"/>
      <w:r w:rsidRPr="000B087A">
        <w:rPr>
          <w:sz w:val="22"/>
          <w:szCs w:val="22"/>
          <w:lang w:eastAsia="en-GB"/>
        </w:rPr>
        <w:t>or</w:t>
      </w:r>
      <w:proofErr w:type="gramEnd"/>
      <w:r w:rsidRPr="000B087A">
        <w:rPr>
          <w:sz w:val="22"/>
          <w:szCs w:val="22"/>
          <w:lang w:eastAsia="en-GB"/>
        </w:rPr>
        <w:t xml:space="preserve"> for the benefit of the Private Registered Provider’s officers, employees, and their relatives, or any businesses trading for profit in which those parties have an interest.</w:t>
      </w:r>
    </w:p>
    <w:p w14:paraId="56F9E2AF" w14:textId="77777777" w:rsidR="006400DC" w:rsidRPr="000B087A" w:rsidRDefault="006400DC" w:rsidP="006400DC">
      <w:pPr>
        <w:autoSpaceDE w:val="0"/>
        <w:autoSpaceDN w:val="0"/>
        <w:adjustRightInd w:val="0"/>
        <w:rPr>
          <w:b/>
          <w:bCs/>
          <w:sz w:val="22"/>
          <w:szCs w:val="22"/>
          <w:lang w:eastAsia="en-GB"/>
        </w:rPr>
      </w:pPr>
    </w:p>
    <w:p w14:paraId="56F9E2B0" w14:textId="77777777" w:rsidR="006400DC" w:rsidRPr="00193357" w:rsidRDefault="006400DC" w:rsidP="006400DC">
      <w:pPr>
        <w:rPr>
          <w:rStyle w:val="HCABodytext"/>
          <w:rFonts w:ascii="Arial" w:hAnsi="Arial"/>
          <w:szCs w:val="22"/>
        </w:rPr>
      </w:pPr>
      <w:r w:rsidRPr="000B087A">
        <w:rPr>
          <w:b/>
          <w:bCs/>
          <w:sz w:val="22"/>
          <w:szCs w:val="22"/>
          <w:lang w:eastAsia="en-GB"/>
        </w:rPr>
        <w:t>Category 5</w:t>
      </w:r>
    </w:p>
    <w:p w14:paraId="56F9E2B1" w14:textId="77777777" w:rsidR="006400DC" w:rsidRPr="000B087A" w:rsidRDefault="006400DC" w:rsidP="006400DC">
      <w:pPr>
        <w:autoSpaceDE w:val="0"/>
        <w:autoSpaceDN w:val="0"/>
        <w:adjustRightInd w:val="0"/>
        <w:rPr>
          <w:b/>
          <w:bCs/>
          <w:sz w:val="22"/>
          <w:szCs w:val="22"/>
          <w:lang w:eastAsia="en-GB"/>
        </w:rPr>
      </w:pPr>
      <w:r w:rsidRPr="000B087A">
        <w:rPr>
          <w:b/>
          <w:bCs/>
          <w:sz w:val="22"/>
          <w:szCs w:val="22"/>
          <w:lang w:eastAsia="en-GB"/>
        </w:rPr>
        <w:t>Application: Disposals under Section 172 of the Act</w:t>
      </w:r>
    </w:p>
    <w:p w14:paraId="56F9E2B2" w14:textId="77777777" w:rsidR="006400DC" w:rsidRPr="000B087A" w:rsidRDefault="006400DC" w:rsidP="006400DC">
      <w:pPr>
        <w:autoSpaceDE w:val="0"/>
        <w:autoSpaceDN w:val="0"/>
        <w:adjustRightInd w:val="0"/>
        <w:rPr>
          <w:sz w:val="22"/>
          <w:szCs w:val="22"/>
          <w:lang w:eastAsia="en-GB"/>
        </w:rPr>
      </w:pPr>
    </w:p>
    <w:p w14:paraId="56F9E2B3" w14:textId="77777777" w:rsidR="006400DC" w:rsidRPr="000B087A" w:rsidRDefault="006400DC" w:rsidP="006400DC">
      <w:pPr>
        <w:autoSpaceDE w:val="0"/>
        <w:autoSpaceDN w:val="0"/>
        <w:adjustRightInd w:val="0"/>
        <w:rPr>
          <w:sz w:val="22"/>
          <w:szCs w:val="22"/>
          <w:lang w:eastAsia="en-GB"/>
        </w:rPr>
      </w:pPr>
      <w:r w:rsidRPr="000B087A">
        <w:rPr>
          <w:sz w:val="22"/>
          <w:szCs w:val="22"/>
          <w:lang w:eastAsia="en-GB"/>
        </w:rPr>
        <w:t xml:space="preserve">A Private Registered Provider may dispose of an Unoccupied Social Housing Dwelling by way of a transfer or by way of a grant, surrender or assignment of a lease in accordance with the terms of a policy for disposals submitted by the Private Registered Provider to the Regulator and which is approved by the Regulator after the Effective Date. In approving a policy for disposals, the Regulator may </w:t>
      </w:r>
      <w:proofErr w:type="spellStart"/>
      <w:r w:rsidRPr="000B087A">
        <w:rPr>
          <w:sz w:val="22"/>
          <w:szCs w:val="22"/>
          <w:lang w:eastAsia="en-GB"/>
        </w:rPr>
        <w:t>disapply</w:t>
      </w:r>
      <w:proofErr w:type="spellEnd"/>
      <w:r w:rsidRPr="000B087A">
        <w:rPr>
          <w:sz w:val="22"/>
          <w:szCs w:val="22"/>
          <w:lang w:eastAsia="en-GB"/>
        </w:rPr>
        <w:t xml:space="preserve"> or modify General Condition 3.</w:t>
      </w:r>
    </w:p>
    <w:p w14:paraId="56F9E2B4" w14:textId="77777777" w:rsidR="006400DC" w:rsidRPr="000B087A" w:rsidRDefault="006400DC" w:rsidP="006400DC">
      <w:pPr>
        <w:autoSpaceDE w:val="0"/>
        <w:autoSpaceDN w:val="0"/>
        <w:adjustRightInd w:val="0"/>
        <w:rPr>
          <w:sz w:val="22"/>
          <w:szCs w:val="22"/>
          <w:lang w:eastAsia="en-GB"/>
        </w:rPr>
      </w:pPr>
    </w:p>
    <w:p w14:paraId="56F9E2B5" w14:textId="77777777" w:rsidR="006400DC" w:rsidRPr="000B087A" w:rsidRDefault="006400DC" w:rsidP="006400DC">
      <w:pPr>
        <w:autoSpaceDE w:val="0"/>
        <w:autoSpaceDN w:val="0"/>
        <w:adjustRightInd w:val="0"/>
        <w:rPr>
          <w:sz w:val="22"/>
          <w:szCs w:val="22"/>
          <w:lang w:eastAsia="en-GB"/>
        </w:rPr>
      </w:pPr>
      <w:r w:rsidRPr="000B087A">
        <w:rPr>
          <w:sz w:val="22"/>
          <w:szCs w:val="22"/>
          <w:lang w:eastAsia="en-GB"/>
        </w:rPr>
        <w:t>Specific conditions</w:t>
      </w:r>
    </w:p>
    <w:p w14:paraId="56F9E2B6" w14:textId="77777777" w:rsidR="006400DC" w:rsidRPr="000B087A" w:rsidRDefault="006400DC" w:rsidP="006400DC">
      <w:pPr>
        <w:autoSpaceDE w:val="0"/>
        <w:autoSpaceDN w:val="0"/>
        <w:adjustRightInd w:val="0"/>
        <w:rPr>
          <w:sz w:val="22"/>
          <w:szCs w:val="22"/>
          <w:lang w:eastAsia="en-GB"/>
        </w:rPr>
      </w:pPr>
    </w:p>
    <w:p w14:paraId="56F9E2B7" w14:textId="77777777" w:rsidR="006400DC" w:rsidRPr="000B087A" w:rsidRDefault="006400DC" w:rsidP="006400DC">
      <w:pPr>
        <w:pStyle w:val="ListParagraph"/>
        <w:numPr>
          <w:ilvl w:val="0"/>
          <w:numId w:val="24"/>
        </w:numPr>
        <w:autoSpaceDE w:val="0"/>
        <w:autoSpaceDN w:val="0"/>
        <w:adjustRightInd w:val="0"/>
        <w:rPr>
          <w:rFonts w:ascii="Arial" w:hAnsi="Arial" w:cs="Arial"/>
          <w:lang w:eastAsia="en-GB"/>
        </w:rPr>
      </w:pPr>
      <w:r w:rsidRPr="000B087A">
        <w:rPr>
          <w:rFonts w:ascii="Arial" w:hAnsi="Arial" w:cs="Arial"/>
          <w:lang w:eastAsia="en-GB"/>
        </w:rPr>
        <w:t>In addition to the certification required by General Condition 5, a Private Registered Provider shall certify to the person(s) to whom the disposal is made (or their solicitor) that the disposal is in accordance with the terms of a policy for disposals submitted by the Private Registered Provider to the Regulator and approved by the Regulator.</w:t>
      </w:r>
    </w:p>
    <w:p w14:paraId="56F9E2B8" w14:textId="77777777" w:rsidR="006400DC" w:rsidRPr="000B087A" w:rsidRDefault="006400DC" w:rsidP="006400DC">
      <w:pPr>
        <w:pStyle w:val="ListParagraph"/>
        <w:autoSpaceDE w:val="0"/>
        <w:autoSpaceDN w:val="0"/>
        <w:adjustRightInd w:val="0"/>
        <w:ind w:left="644"/>
        <w:rPr>
          <w:rFonts w:ascii="Arial" w:hAnsi="Arial" w:cs="Arial"/>
          <w:lang w:eastAsia="en-GB"/>
        </w:rPr>
      </w:pPr>
    </w:p>
    <w:p w14:paraId="56F9E2B9" w14:textId="77777777" w:rsidR="006400DC" w:rsidRPr="000B087A" w:rsidRDefault="006400DC" w:rsidP="006400DC">
      <w:pPr>
        <w:pStyle w:val="ListParagraph"/>
        <w:numPr>
          <w:ilvl w:val="0"/>
          <w:numId w:val="23"/>
        </w:numPr>
        <w:autoSpaceDE w:val="0"/>
        <w:autoSpaceDN w:val="0"/>
        <w:adjustRightInd w:val="0"/>
        <w:rPr>
          <w:rStyle w:val="HCABodytext"/>
          <w:rFonts w:ascii="Arial" w:hAnsi="Arial" w:cs="Arial"/>
          <w:lang w:eastAsia="en-GB"/>
        </w:rPr>
      </w:pPr>
      <w:r w:rsidRPr="000B087A">
        <w:rPr>
          <w:rFonts w:ascii="Arial" w:hAnsi="Arial" w:cs="Arial"/>
          <w:lang w:eastAsia="en-GB"/>
        </w:rPr>
        <w:t xml:space="preserve">The Private Registered Provider must carry out </w:t>
      </w:r>
      <w:proofErr w:type="gramStart"/>
      <w:r w:rsidRPr="000B087A">
        <w:rPr>
          <w:rFonts w:ascii="Arial" w:hAnsi="Arial" w:cs="Arial"/>
          <w:lang w:eastAsia="en-GB"/>
        </w:rPr>
        <w:t>an independent audit (which need</w:t>
      </w:r>
      <w:proofErr w:type="gramEnd"/>
      <w:r w:rsidRPr="000B087A">
        <w:rPr>
          <w:rFonts w:ascii="Arial" w:hAnsi="Arial" w:cs="Arial"/>
          <w:lang w:eastAsia="en-GB"/>
        </w:rPr>
        <w:t xml:space="preserve"> not be an external audit) and prepare a report on its use of this category of consent every twelve months from the date of the Regulator's approval of the policy. A copy of the report must be provided to the Regulator on request.</w:t>
      </w:r>
    </w:p>
    <w:p w14:paraId="56F9E2BA" w14:textId="77777777" w:rsidR="00551847" w:rsidRDefault="00551847" w:rsidP="00551847">
      <w:pPr>
        <w:pStyle w:val="NoSpacing"/>
        <w:rPr>
          <w:rFonts w:ascii="Arial" w:hAnsi="Arial" w:cs="Arial"/>
          <w:b/>
        </w:rPr>
      </w:pPr>
    </w:p>
    <w:sectPr w:rsidR="00551847" w:rsidSect="009016DF">
      <w:headerReference w:type="even" r:id="rId18"/>
      <w:headerReference w:type="default" r:id="rId19"/>
      <w:headerReference w:type="first" r:id="rId20"/>
      <w:type w:val="continuous"/>
      <w:pgSz w:w="11906" w:h="16838" w:code="9"/>
      <w:pgMar w:top="2127" w:right="2552" w:bottom="907"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9E2BD" w14:textId="77777777" w:rsidR="00946C63" w:rsidRDefault="00946C63">
      <w:r>
        <w:separator/>
      </w:r>
    </w:p>
  </w:endnote>
  <w:endnote w:type="continuationSeparator" w:id="0">
    <w:p w14:paraId="56F9E2BE" w14:textId="77777777" w:rsidR="00946C63" w:rsidRDefault="0094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E2C1" w14:textId="77777777" w:rsidR="000D4836" w:rsidRDefault="000D4836" w:rsidP="00927390">
    <w:pPr>
      <w:pStyle w:val="Footer"/>
    </w:pPr>
    <w:bookmarkStart w:id="0" w:name="aliashAdvancedFooterprot1FooterEvenPages"/>
  </w:p>
  <w:bookmarkEnd w:id="0"/>
  <w:p w14:paraId="56F9E2C2" w14:textId="77777777" w:rsidR="00A308CB" w:rsidRDefault="00A30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E2C3" w14:textId="77777777" w:rsidR="000D4836" w:rsidRDefault="000D4836" w:rsidP="00927390">
    <w:pPr>
      <w:pStyle w:val="Footer"/>
      <w:jc w:val="right"/>
    </w:pPr>
    <w:bookmarkStart w:id="1" w:name="aliashAdvancedFooterprotec1FooterPrimary"/>
  </w:p>
  <w:bookmarkEnd w:id="1" w:displacedByCustomXml="next"/>
  <w:sdt>
    <w:sdtPr>
      <w:id w:val="1751306917"/>
      <w:docPartObj>
        <w:docPartGallery w:val="Page Numbers (Bottom of Page)"/>
        <w:docPartUnique/>
      </w:docPartObj>
    </w:sdtPr>
    <w:sdtEndPr/>
    <w:sdtContent>
      <w:sdt>
        <w:sdtPr>
          <w:id w:val="860082579"/>
          <w:docPartObj>
            <w:docPartGallery w:val="Page Numbers (Top of Page)"/>
            <w:docPartUnique/>
          </w:docPartObj>
        </w:sdtPr>
        <w:sdtEndPr/>
        <w:sdtContent>
          <w:p w14:paraId="56F9E2C4" w14:textId="77777777" w:rsidR="000F367A" w:rsidRDefault="000F36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150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1503">
              <w:rPr>
                <w:b/>
                <w:bCs/>
                <w:noProof/>
              </w:rPr>
              <w:t>5</w:t>
            </w:r>
            <w:r>
              <w:rPr>
                <w:b/>
                <w:bCs/>
                <w:sz w:val="24"/>
                <w:szCs w:val="24"/>
              </w:rPr>
              <w:fldChar w:fldCharType="end"/>
            </w:r>
          </w:p>
        </w:sdtContent>
      </w:sdt>
    </w:sdtContent>
  </w:sdt>
  <w:p w14:paraId="56F9E2C5" w14:textId="77777777" w:rsidR="00A308CB" w:rsidRDefault="00A30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E2C9" w14:textId="77777777" w:rsidR="000D4836" w:rsidRDefault="000D4836" w:rsidP="00927390">
    <w:pPr>
      <w:pStyle w:val="Footer"/>
      <w:rPr>
        <w:rFonts w:ascii="Helvetica" w:hAnsi="Helvetica"/>
        <w:color w:val="808080"/>
        <w:szCs w:val="18"/>
      </w:rPr>
    </w:pPr>
    <w:bookmarkStart w:id="2" w:name="aliashAdvancedFooterprot1FooterFirstPage"/>
  </w:p>
  <w:bookmarkEnd w:i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9E2BB" w14:textId="77777777" w:rsidR="00946C63" w:rsidRDefault="00946C63">
      <w:r>
        <w:separator/>
      </w:r>
    </w:p>
  </w:footnote>
  <w:footnote w:type="continuationSeparator" w:id="0">
    <w:p w14:paraId="56F9E2BC" w14:textId="77777777" w:rsidR="00946C63" w:rsidRDefault="0094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E2BF" w14:textId="77777777" w:rsidR="0075145B" w:rsidRDefault="00751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E2C0" w14:textId="77777777" w:rsidR="0075145B" w:rsidRDefault="00751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E2C6" w14:textId="77777777" w:rsidR="00A308CB" w:rsidRDefault="00A308CB">
    <w:pPr>
      <w:pStyle w:val="Header"/>
    </w:pPr>
    <w:r>
      <w:rPr>
        <w:noProof/>
        <w:lang w:eastAsia="en-GB"/>
      </w:rPr>
      <w:drawing>
        <wp:inline distT="0" distB="0" distL="0" distR="0" wp14:anchorId="56F9E2CD" wp14:editId="56F9E2CE">
          <wp:extent cx="1308100" cy="1042035"/>
          <wp:effectExtent l="0" t="0" r="6350" b="5715"/>
          <wp:docPr id="3" name="Picture 3" descr="HCA-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go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042035"/>
                  </a:xfrm>
                  <a:prstGeom prst="rect">
                    <a:avLst/>
                  </a:prstGeom>
                  <a:noFill/>
                  <a:ln>
                    <a:noFill/>
                  </a:ln>
                </pic:spPr>
              </pic:pic>
            </a:graphicData>
          </a:graphic>
        </wp:inline>
      </w:drawing>
    </w:r>
  </w:p>
  <w:p w14:paraId="56F9E2C7" w14:textId="77777777" w:rsidR="00A308CB" w:rsidRDefault="00A308CB">
    <w:pPr>
      <w:pStyle w:val="Header"/>
    </w:pPr>
  </w:p>
  <w:p w14:paraId="56F9E2C8" w14:textId="77777777" w:rsidR="00A308CB" w:rsidRPr="0045642D" w:rsidRDefault="00A308CB">
    <w:pPr>
      <w:pStyle w:val="Header"/>
      <w:rPr>
        <w:sz w:val="22"/>
        <w:szCs w:val="22"/>
      </w:rPr>
    </w:pPr>
    <w:r w:rsidRPr="0045642D">
      <w:rPr>
        <w:sz w:val="22"/>
        <w:szCs w:val="22"/>
      </w:rPr>
      <w:t>The social housing regulator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E2CA" w14:textId="77777777" w:rsidR="0075145B" w:rsidRDefault="007514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E2CB" w14:textId="77777777" w:rsidR="00A308CB" w:rsidRDefault="00A308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E2CC" w14:textId="77777777" w:rsidR="0075145B" w:rsidRDefault="0075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C8"/>
    <w:multiLevelType w:val="hybridMultilevel"/>
    <w:tmpl w:val="61EA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2206D"/>
    <w:multiLevelType w:val="hybridMultilevel"/>
    <w:tmpl w:val="4A1A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A6125"/>
    <w:multiLevelType w:val="hybridMultilevel"/>
    <w:tmpl w:val="1C345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300994"/>
    <w:multiLevelType w:val="hybridMultilevel"/>
    <w:tmpl w:val="218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0053B"/>
    <w:multiLevelType w:val="hybridMultilevel"/>
    <w:tmpl w:val="C2BA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61A66"/>
    <w:multiLevelType w:val="hybridMultilevel"/>
    <w:tmpl w:val="D60287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6C29D1"/>
    <w:multiLevelType w:val="hybridMultilevel"/>
    <w:tmpl w:val="EF4E06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F46E68"/>
    <w:multiLevelType w:val="hybridMultilevel"/>
    <w:tmpl w:val="D022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955E9F"/>
    <w:multiLevelType w:val="hybridMultilevel"/>
    <w:tmpl w:val="8F460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1677070"/>
    <w:multiLevelType w:val="hybridMultilevel"/>
    <w:tmpl w:val="73CE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3091B45"/>
    <w:multiLevelType w:val="hybridMultilevel"/>
    <w:tmpl w:val="B5FABD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64224A"/>
    <w:multiLevelType w:val="hybridMultilevel"/>
    <w:tmpl w:val="649C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E4A15"/>
    <w:multiLevelType w:val="hybridMultilevel"/>
    <w:tmpl w:val="A7CE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043707"/>
    <w:multiLevelType w:val="hybridMultilevel"/>
    <w:tmpl w:val="AD285D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4196615D"/>
    <w:multiLevelType w:val="hybridMultilevel"/>
    <w:tmpl w:val="FBC43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927A43"/>
    <w:multiLevelType w:val="hybridMultilevel"/>
    <w:tmpl w:val="7B86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AC4077"/>
    <w:multiLevelType w:val="hybridMultilevel"/>
    <w:tmpl w:val="BA24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5F0EF2"/>
    <w:multiLevelType w:val="hybridMultilevel"/>
    <w:tmpl w:val="16CCCF5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777B29"/>
    <w:multiLevelType w:val="hybridMultilevel"/>
    <w:tmpl w:val="32C28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56233E4D"/>
    <w:multiLevelType w:val="hybridMultilevel"/>
    <w:tmpl w:val="86D89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88A7745"/>
    <w:multiLevelType w:val="hybridMultilevel"/>
    <w:tmpl w:val="E4AE696E"/>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1">
    <w:nsid w:val="5C0D2069"/>
    <w:multiLevelType w:val="hybridMultilevel"/>
    <w:tmpl w:val="029C91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55658E4"/>
    <w:multiLevelType w:val="hybridMultilevel"/>
    <w:tmpl w:val="771E2A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1A175B7"/>
    <w:multiLevelType w:val="hybridMultilevel"/>
    <w:tmpl w:val="6E08C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B9137B"/>
    <w:multiLevelType w:val="hybridMultilevel"/>
    <w:tmpl w:val="009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F93568"/>
    <w:multiLevelType w:val="hybridMultilevel"/>
    <w:tmpl w:val="4D74C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9E63032"/>
    <w:multiLevelType w:val="hybridMultilevel"/>
    <w:tmpl w:val="555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8919FD"/>
    <w:multiLevelType w:val="hybridMultilevel"/>
    <w:tmpl w:val="70DE7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6"/>
  </w:num>
  <w:num w:numId="4">
    <w:abstractNumId w:val="3"/>
  </w:num>
  <w:num w:numId="5">
    <w:abstractNumId w:val="1"/>
  </w:num>
  <w:num w:numId="6">
    <w:abstractNumId w:val="12"/>
  </w:num>
  <w:num w:numId="7">
    <w:abstractNumId w:val="4"/>
  </w:num>
  <w:num w:numId="8">
    <w:abstractNumId w:val="9"/>
  </w:num>
  <w:num w:numId="9">
    <w:abstractNumId w:val="8"/>
  </w:num>
  <w:num w:numId="10">
    <w:abstractNumId w:val="19"/>
  </w:num>
  <w:num w:numId="11">
    <w:abstractNumId w:val="5"/>
  </w:num>
  <w:num w:numId="12">
    <w:abstractNumId w:val="25"/>
  </w:num>
  <w:num w:numId="13">
    <w:abstractNumId w:val="20"/>
  </w:num>
  <w:num w:numId="14">
    <w:abstractNumId w:val="24"/>
  </w:num>
  <w:num w:numId="15">
    <w:abstractNumId w:val="27"/>
  </w:num>
  <w:num w:numId="16">
    <w:abstractNumId w:val="18"/>
  </w:num>
  <w:num w:numId="17">
    <w:abstractNumId w:val="26"/>
  </w:num>
  <w:num w:numId="18">
    <w:abstractNumId w:val="2"/>
  </w:num>
  <w:num w:numId="19">
    <w:abstractNumId w:val="14"/>
  </w:num>
  <w:num w:numId="20">
    <w:abstractNumId w:val="7"/>
  </w:num>
  <w:num w:numId="21">
    <w:abstractNumId w:val="10"/>
  </w:num>
  <w:num w:numId="22">
    <w:abstractNumId w:val="21"/>
  </w:num>
  <w:num w:numId="23">
    <w:abstractNumId w:val="15"/>
  </w:num>
  <w:num w:numId="24">
    <w:abstractNumId w:val="13"/>
  </w:num>
  <w:num w:numId="25">
    <w:abstractNumId w:val="22"/>
  </w:num>
  <w:num w:numId="26">
    <w:abstractNumId w:val="23"/>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8B"/>
    <w:rsid w:val="0005585C"/>
    <w:rsid w:val="00074B1F"/>
    <w:rsid w:val="00095444"/>
    <w:rsid w:val="00095EF5"/>
    <w:rsid w:val="000A2DBC"/>
    <w:rsid w:val="000D4836"/>
    <w:rsid w:val="000F367A"/>
    <w:rsid w:val="001618B5"/>
    <w:rsid w:val="001660E5"/>
    <w:rsid w:val="0018151A"/>
    <w:rsid w:val="00185EDC"/>
    <w:rsid w:val="00196F8A"/>
    <w:rsid w:val="001A3E9B"/>
    <w:rsid w:val="001C217A"/>
    <w:rsid w:val="001C3F35"/>
    <w:rsid w:val="001E726F"/>
    <w:rsid w:val="001F7C3B"/>
    <w:rsid w:val="00202B95"/>
    <w:rsid w:val="0023748A"/>
    <w:rsid w:val="00240F0A"/>
    <w:rsid w:val="00263C0D"/>
    <w:rsid w:val="002A3321"/>
    <w:rsid w:val="002B7F1B"/>
    <w:rsid w:val="002D0C12"/>
    <w:rsid w:val="002D13FD"/>
    <w:rsid w:val="002D6466"/>
    <w:rsid w:val="002D70C7"/>
    <w:rsid w:val="003171EE"/>
    <w:rsid w:val="003208B3"/>
    <w:rsid w:val="00321C31"/>
    <w:rsid w:val="003261DA"/>
    <w:rsid w:val="00327D9B"/>
    <w:rsid w:val="00334A63"/>
    <w:rsid w:val="00373D9E"/>
    <w:rsid w:val="003B45E2"/>
    <w:rsid w:val="003E1662"/>
    <w:rsid w:val="003E7CDD"/>
    <w:rsid w:val="00400423"/>
    <w:rsid w:val="0045642D"/>
    <w:rsid w:val="005162D6"/>
    <w:rsid w:val="0054063E"/>
    <w:rsid w:val="00551847"/>
    <w:rsid w:val="00551E03"/>
    <w:rsid w:val="00566F69"/>
    <w:rsid w:val="0057173C"/>
    <w:rsid w:val="005757DF"/>
    <w:rsid w:val="005D39E2"/>
    <w:rsid w:val="005D7271"/>
    <w:rsid w:val="005E5DC8"/>
    <w:rsid w:val="005F2FC0"/>
    <w:rsid w:val="005F7192"/>
    <w:rsid w:val="00610B1C"/>
    <w:rsid w:val="00626BB1"/>
    <w:rsid w:val="006400DC"/>
    <w:rsid w:val="00652648"/>
    <w:rsid w:val="006645E6"/>
    <w:rsid w:val="006869AF"/>
    <w:rsid w:val="006B2644"/>
    <w:rsid w:val="006B74EF"/>
    <w:rsid w:val="006C3A37"/>
    <w:rsid w:val="006E788E"/>
    <w:rsid w:val="006F611E"/>
    <w:rsid w:val="0074653F"/>
    <w:rsid w:val="00747146"/>
    <w:rsid w:val="0075145B"/>
    <w:rsid w:val="00767E67"/>
    <w:rsid w:val="00772C85"/>
    <w:rsid w:val="00777790"/>
    <w:rsid w:val="00780261"/>
    <w:rsid w:val="00790532"/>
    <w:rsid w:val="00792B78"/>
    <w:rsid w:val="0079791A"/>
    <w:rsid w:val="007A3F5C"/>
    <w:rsid w:val="007B6E22"/>
    <w:rsid w:val="007C614C"/>
    <w:rsid w:val="007C63AF"/>
    <w:rsid w:val="007D5E37"/>
    <w:rsid w:val="007E0518"/>
    <w:rsid w:val="007E36F5"/>
    <w:rsid w:val="00831BB6"/>
    <w:rsid w:val="00847E50"/>
    <w:rsid w:val="00853100"/>
    <w:rsid w:val="00860950"/>
    <w:rsid w:val="008665AB"/>
    <w:rsid w:val="00872C74"/>
    <w:rsid w:val="008823CF"/>
    <w:rsid w:val="008A24FB"/>
    <w:rsid w:val="008C65A1"/>
    <w:rsid w:val="008D578E"/>
    <w:rsid w:val="008D7A87"/>
    <w:rsid w:val="008E1C42"/>
    <w:rsid w:val="008E5032"/>
    <w:rsid w:val="009016DF"/>
    <w:rsid w:val="0092388A"/>
    <w:rsid w:val="00927390"/>
    <w:rsid w:val="00946C63"/>
    <w:rsid w:val="00956C38"/>
    <w:rsid w:val="009B582D"/>
    <w:rsid w:val="009C09C3"/>
    <w:rsid w:val="009D3C44"/>
    <w:rsid w:val="009F7D67"/>
    <w:rsid w:val="00A1467C"/>
    <w:rsid w:val="00A308CB"/>
    <w:rsid w:val="00A372B2"/>
    <w:rsid w:val="00A5008A"/>
    <w:rsid w:val="00A57625"/>
    <w:rsid w:val="00A65146"/>
    <w:rsid w:val="00A92CAF"/>
    <w:rsid w:val="00A94671"/>
    <w:rsid w:val="00A96E32"/>
    <w:rsid w:val="00AA4664"/>
    <w:rsid w:val="00AB1F3B"/>
    <w:rsid w:val="00AB33AD"/>
    <w:rsid w:val="00AC6F8E"/>
    <w:rsid w:val="00AE7619"/>
    <w:rsid w:val="00AF1DAD"/>
    <w:rsid w:val="00AF1DDA"/>
    <w:rsid w:val="00AF3C50"/>
    <w:rsid w:val="00B101CE"/>
    <w:rsid w:val="00B12629"/>
    <w:rsid w:val="00B21503"/>
    <w:rsid w:val="00B2422F"/>
    <w:rsid w:val="00B31E0B"/>
    <w:rsid w:val="00B410F3"/>
    <w:rsid w:val="00B467CC"/>
    <w:rsid w:val="00B96C61"/>
    <w:rsid w:val="00B97238"/>
    <w:rsid w:val="00B97C1D"/>
    <w:rsid w:val="00BA1A6D"/>
    <w:rsid w:val="00BB10F3"/>
    <w:rsid w:val="00BC3375"/>
    <w:rsid w:val="00BD4DFD"/>
    <w:rsid w:val="00BE1461"/>
    <w:rsid w:val="00C00D53"/>
    <w:rsid w:val="00C064F0"/>
    <w:rsid w:val="00C22F3D"/>
    <w:rsid w:val="00C31E54"/>
    <w:rsid w:val="00C350A5"/>
    <w:rsid w:val="00C41F1C"/>
    <w:rsid w:val="00C62A64"/>
    <w:rsid w:val="00C749B8"/>
    <w:rsid w:val="00C82A53"/>
    <w:rsid w:val="00C83C50"/>
    <w:rsid w:val="00C91B4E"/>
    <w:rsid w:val="00C91BED"/>
    <w:rsid w:val="00C94AF7"/>
    <w:rsid w:val="00CA2164"/>
    <w:rsid w:val="00CB4E64"/>
    <w:rsid w:val="00CD3162"/>
    <w:rsid w:val="00CD759B"/>
    <w:rsid w:val="00D03B8F"/>
    <w:rsid w:val="00D16ADB"/>
    <w:rsid w:val="00D208F9"/>
    <w:rsid w:val="00D26907"/>
    <w:rsid w:val="00D46957"/>
    <w:rsid w:val="00D50EB9"/>
    <w:rsid w:val="00D5215E"/>
    <w:rsid w:val="00D57EF7"/>
    <w:rsid w:val="00D63EB2"/>
    <w:rsid w:val="00D71598"/>
    <w:rsid w:val="00D80391"/>
    <w:rsid w:val="00D914A1"/>
    <w:rsid w:val="00DB3B78"/>
    <w:rsid w:val="00DF1F9D"/>
    <w:rsid w:val="00E119CE"/>
    <w:rsid w:val="00E23F52"/>
    <w:rsid w:val="00E30D8B"/>
    <w:rsid w:val="00E4031E"/>
    <w:rsid w:val="00E43AF2"/>
    <w:rsid w:val="00E57D98"/>
    <w:rsid w:val="00E62863"/>
    <w:rsid w:val="00E8661D"/>
    <w:rsid w:val="00EB37F3"/>
    <w:rsid w:val="00EB3EFE"/>
    <w:rsid w:val="00EB6EA7"/>
    <w:rsid w:val="00EE03A2"/>
    <w:rsid w:val="00F2035B"/>
    <w:rsid w:val="00F37963"/>
    <w:rsid w:val="00F536F6"/>
    <w:rsid w:val="00F92AB7"/>
    <w:rsid w:val="00FA7B99"/>
    <w:rsid w:val="00FD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F9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uiPriority w:val="59"/>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Hyperlink">
    <w:name w:val="Hyperlink"/>
    <w:basedOn w:val="DefaultParagraphFont"/>
    <w:rsid w:val="00BB10F3"/>
    <w:rPr>
      <w:color w:val="0000FF" w:themeColor="hyperlink"/>
      <w:u w:val="single"/>
    </w:rPr>
  </w:style>
  <w:style w:type="paragraph" w:styleId="ListParagraph">
    <w:name w:val="List Paragraph"/>
    <w:basedOn w:val="Normal"/>
    <w:uiPriority w:val="34"/>
    <w:qFormat/>
    <w:rsid w:val="00BB10F3"/>
    <w:pPr>
      <w:ind w:left="720"/>
    </w:pPr>
    <w:rPr>
      <w:rFonts w:ascii="Calibri" w:eastAsia="Calibri" w:hAnsi="Calibri" w:cs="Calibri"/>
      <w:sz w:val="22"/>
      <w:szCs w:val="22"/>
    </w:rPr>
  </w:style>
  <w:style w:type="character" w:styleId="CommentReference">
    <w:name w:val="annotation reference"/>
    <w:basedOn w:val="DefaultParagraphFont"/>
    <w:rsid w:val="001C217A"/>
    <w:rPr>
      <w:sz w:val="16"/>
      <w:szCs w:val="16"/>
    </w:rPr>
  </w:style>
  <w:style w:type="paragraph" w:styleId="CommentText">
    <w:name w:val="annotation text"/>
    <w:basedOn w:val="Normal"/>
    <w:link w:val="CommentTextChar"/>
    <w:rsid w:val="001C217A"/>
    <w:rPr>
      <w:sz w:val="20"/>
    </w:rPr>
  </w:style>
  <w:style w:type="character" w:customStyle="1" w:styleId="CommentTextChar">
    <w:name w:val="Comment Text Char"/>
    <w:basedOn w:val="DefaultParagraphFont"/>
    <w:link w:val="CommentText"/>
    <w:rsid w:val="001C217A"/>
    <w:rPr>
      <w:rFonts w:ascii="Arial" w:hAnsi="Arial" w:cs="Arial"/>
      <w:lang w:eastAsia="en-US"/>
    </w:rPr>
  </w:style>
  <w:style w:type="paragraph" w:styleId="CommentSubject">
    <w:name w:val="annotation subject"/>
    <w:basedOn w:val="CommentText"/>
    <w:next w:val="CommentText"/>
    <w:link w:val="CommentSubjectChar"/>
    <w:rsid w:val="001C217A"/>
    <w:rPr>
      <w:b/>
      <w:bCs/>
    </w:rPr>
  </w:style>
  <w:style w:type="character" w:customStyle="1" w:styleId="CommentSubjectChar">
    <w:name w:val="Comment Subject Char"/>
    <w:basedOn w:val="CommentTextChar"/>
    <w:link w:val="CommentSubject"/>
    <w:rsid w:val="001C217A"/>
    <w:rPr>
      <w:rFonts w:ascii="Arial" w:hAnsi="Arial" w:cs="Arial"/>
      <w:b/>
      <w:bCs/>
      <w:lang w:eastAsia="en-US"/>
    </w:rPr>
  </w:style>
  <w:style w:type="paragraph" w:styleId="BalloonText">
    <w:name w:val="Balloon Text"/>
    <w:basedOn w:val="Normal"/>
    <w:link w:val="BalloonTextChar"/>
    <w:rsid w:val="001C217A"/>
    <w:rPr>
      <w:rFonts w:ascii="Tahoma" w:hAnsi="Tahoma" w:cs="Tahoma"/>
      <w:sz w:val="16"/>
      <w:szCs w:val="16"/>
    </w:rPr>
  </w:style>
  <w:style w:type="character" w:customStyle="1" w:styleId="BalloonTextChar">
    <w:name w:val="Balloon Text Char"/>
    <w:basedOn w:val="DefaultParagraphFont"/>
    <w:link w:val="BalloonText"/>
    <w:rsid w:val="001C217A"/>
    <w:rPr>
      <w:rFonts w:ascii="Tahoma" w:hAnsi="Tahoma" w:cs="Tahoma"/>
      <w:sz w:val="16"/>
      <w:szCs w:val="16"/>
      <w:lang w:eastAsia="en-US"/>
    </w:rPr>
  </w:style>
  <w:style w:type="paragraph" w:styleId="Revision">
    <w:name w:val="Revision"/>
    <w:hidden/>
    <w:uiPriority w:val="99"/>
    <w:semiHidden/>
    <w:rsid w:val="00F37963"/>
    <w:rPr>
      <w:rFonts w:ascii="Arial" w:hAnsi="Arial" w:cs="Arial"/>
      <w:sz w:val="24"/>
      <w:lang w:eastAsia="en-US"/>
    </w:rPr>
  </w:style>
  <w:style w:type="paragraph" w:styleId="NoSpacing">
    <w:name w:val="No Spacing"/>
    <w:uiPriority w:val="1"/>
    <w:qFormat/>
    <w:rsid w:val="00B12629"/>
    <w:rPr>
      <w:rFonts w:ascii="Calibri" w:eastAsia="Calibri" w:hAnsi="Calibri"/>
      <w:sz w:val="22"/>
      <w:szCs w:val="22"/>
      <w:lang w:eastAsia="en-US"/>
    </w:rPr>
  </w:style>
  <w:style w:type="paragraph" w:customStyle="1" w:styleId="sincerely">
    <w:name w:val="sincerely"/>
    <w:basedOn w:val="Normal"/>
    <w:rsid w:val="00B12629"/>
    <w:pPr>
      <w:overflowPunct w:val="0"/>
      <w:autoSpaceDE w:val="0"/>
      <w:autoSpaceDN w:val="0"/>
      <w:adjustRightInd w:val="0"/>
      <w:spacing w:after="240"/>
    </w:pPr>
    <w:rPr>
      <w:rFonts w:ascii="Times New Roman" w:hAnsi="Times New Roman" w:cs="Times New Roman"/>
      <w:lang w:eastAsia="en-GB"/>
    </w:rPr>
  </w:style>
  <w:style w:type="paragraph" w:customStyle="1" w:styleId="Default">
    <w:name w:val="Default"/>
    <w:rsid w:val="00BD4DFD"/>
    <w:pPr>
      <w:autoSpaceDE w:val="0"/>
      <w:autoSpaceDN w:val="0"/>
      <w:adjustRightInd w:val="0"/>
    </w:pPr>
    <w:rPr>
      <w:rFonts w:ascii="Tahoma" w:eastAsiaTheme="minorHAnsi" w:hAnsi="Tahoma" w:cs="Tahoma"/>
      <w:color w:val="000000"/>
      <w:sz w:val="24"/>
      <w:szCs w:val="24"/>
      <w:lang w:eastAsia="en-US"/>
    </w:rPr>
  </w:style>
  <w:style w:type="character" w:customStyle="1" w:styleId="FooterChar">
    <w:name w:val="Footer Char"/>
    <w:basedOn w:val="DefaultParagraphFont"/>
    <w:link w:val="Footer"/>
    <w:uiPriority w:val="99"/>
    <w:rsid w:val="000F367A"/>
    <w:rPr>
      <w:rFonts w:ascii="Arial" w:hAnsi="Arial" w:cs="Arial"/>
      <w:sz w:val="18"/>
      <w:lang w:eastAsia="en-US"/>
    </w:rPr>
  </w:style>
  <w:style w:type="character" w:styleId="FollowedHyperlink">
    <w:name w:val="FollowedHyperlink"/>
    <w:basedOn w:val="DefaultParagraphFont"/>
    <w:rsid w:val="005757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uiPriority w:val="59"/>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Hyperlink">
    <w:name w:val="Hyperlink"/>
    <w:basedOn w:val="DefaultParagraphFont"/>
    <w:rsid w:val="00BB10F3"/>
    <w:rPr>
      <w:color w:val="0000FF" w:themeColor="hyperlink"/>
      <w:u w:val="single"/>
    </w:rPr>
  </w:style>
  <w:style w:type="paragraph" w:styleId="ListParagraph">
    <w:name w:val="List Paragraph"/>
    <w:basedOn w:val="Normal"/>
    <w:uiPriority w:val="34"/>
    <w:qFormat/>
    <w:rsid w:val="00BB10F3"/>
    <w:pPr>
      <w:ind w:left="720"/>
    </w:pPr>
    <w:rPr>
      <w:rFonts w:ascii="Calibri" w:eastAsia="Calibri" w:hAnsi="Calibri" w:cs="Calibri"/>
      <w:sz w:val="22"/>
      <w:szCs w:val="22"/>
    </w:rPr>
  </w:style>
  <w:style w:type="character" w:styleId="CommentReference">
    <w:name w:val="annotation reference"/>
    <w:basedOn w:val="DefaultParagraphFont"/>
    <w:rsid w:val="001C217A"/>
    <w:rPr>
      <w:sz w:val="16"/>
      <w:szCs w:val="16"/>
    </w:rPr>
  </w:style>
  <w:style w:type="paragraph" w:styleId="CommentText">
    <w:name w:val="annotation text"/>
    <w:basedOn w:val="Normal"/>
    <w:link w:val="CommentTextChar"/>
    <w:rsid w:val="001C217A"/>
    <w:rPr>
      <w:sz w:val="20"/>
    </w:rPr>
  </w:style>
  <w:style w:type="character" w:customStyle="1" w:styleId="CommentTextChar">
    <w:name w:val="Comment Text Char"/>
    <w:basedOn w:val="DefaultParagraphFont"/>
    <w:link w:val="CommentText"/>
    <w:rsid w:val="001C217A"/>
    <w:rPr>
      <w:rFonts w:ascii="Arial" w:hAnsi="Arial" w:cs="Arial"/>
      <w:lang w:eastAsia="en-US"/>
    </w:rPr>
  </w:style>
  <w:style w:type="paragraph" w:styleId="CommentSubject">
    <w:name w:val="annotation subject"/>
    <w:basedOn w:val="CommentText"/>
    <w:next w:val="CommentText"/>
    <w:link w:val="CommentSubjectChar"/>
    <w:rsid w:val="001C217A"/>
    <w:rPr>
      <w:b/>
      <w:bCs/>
    </w:rPr>
  </w:style>
  <w:style w:type="character" w:customStyle="1" w:styleId="CommentSubjectChar">
    <w:name w:val="Comment Subject Char"/>
    <w:basedOn w:val="CommentTextChar"/>
    <w:link w:val="CommentSubject"/>
    <w:rsid w:val="001C217A"/>
    <w:rPr>
      <w:rFonts w:ascii="Arial" w:hAnsi="Arial" w:cs="Arial"/>
      <w:b/>
      <w:bCs/>
      <w:lang w:eastAsia="en-US"/>
    </w:rPr>
  </w:style>
  <w:style w:type="paragraph" w:styleId="BalloonText">
    <w:name w:val="Balloon Text"/>
    <w:basedOn w:val="Normal"/>
    <w:link w:val="BalloonTextChar"/>
    <w:rsid w:val="001C217A"/>
    <w:rPr>
      <w:rFonts w:ascii="Tahoma" w:hAnsi="Tahoma" w:cs="Tahoma"/>
      <w:sz w:val="16"/>
      <w:szCs w:val="16"/>
    </w:rPr>
  </w:style>
  <w:style w:type="character" w:customStyle="1" w:styleId="BalloonTextChar">
    <w:name w:val="Balloon Text Char"/>
    <w:basedOn w:val="DefaultParagraphFont"/>
    <w:link w:val="BalloonText"/>
    <w:rsid w:val="001C217A"/>
    <w:rPr>
      <w:rFonts w:ascii="Tahoma" w:hAnsi="Tahoma" w:cs="Tahoma"/>
      <w:sz w:val="16"/>
      <w:szCs w:val="16"/>
      <w:lang w:eastAsia="en-US"/>
    </w:rPr>
  </w:style>
  <w:style w:type="paragraph" w:styleId="Revision">
    <w:name w:val="Revision"/>
    <w:hidden/>
    <w:uiPriority w:val="99"/>
    <w:semiHidden/>
    <w:rsid w:val="00F37963"/>
    <w:rPr>
      <w:rFonts w:ascii="Arial" w:hAnsi="Arial" w:cs="Arial"/>
      <w:sz w:val="24"/>
      <w:lang w:eastAsia="en-US"/>
    </w:rPr>
  </w:style>
  <w:style w:type="paragraph" w:styleId="NoSpacing">
    <w:name w:val="No Spacing"/>
    <w:uiPriority w:val="1"/>
    <w:qFormat/>
    <w:rsid w:val="00B12629"/>
    <w:rPr>
      <w:rFonts w:ascii="Calibri" w:eastAsia="Calibri" w:hAnsi="Calibri"/>
      <w:sz w:val="22"/>
      <w:szCs w:val="22"/>
      <w:lang w:eastAsia="en-US"/>
    </w:rPr>
  </w:style>
  <w:style w:type="paragraph" w:customStyle="1" w:styleId="sincerely">
    <w:name w:val="sincerely"/>
    <w:basedOn w:val="Normal"/>
    <w:rsid w:val="00B12629"/>
    <w:pPr>
      <w:overflowPunct w:val="0"/>
      <w:autoSpaceDE w:val="0"/>
      <w:autoSpaceDN w:val="0"/>
      <w:adjustRightInd w:val="0"/>
      <w:spacing w:after="240"/>
    </w:pPr>
    <w:rPr>
      <w:rFonts w:ascii="Times New Roman" w:hAnsi="Times New Roman" w:cs="Times New Roman"/>
      <w:lang w:eastAsia="en-GB"/>
    </w:rPr>
  </w:style>
  <w:style w:type="paragraph" w:customStyle="1" w:styleId="Default">
    <w:name w:val="Default"/>
    <w:rsid w:val="00BD4DFD"/>
    <w:pPr>
      <w:autoSpaceDE w:val="0"/>
      <w:autoSpaceDN w:val="0"/>
      <w:adjustRightInd w:val="0"/>
    </w:pPr>
    <w:rPr>
      <w:rFonts w:ascii="Tahoma" w:eastAsiaTheme="minorHAnsi" w:hAnsi="Tahoma" w:cs="Tahoma"/>
      <w:color w:val="000000"/>
      <w:sz w:val="24"/>
      <w:szCs w:val="24"/>
      <w:lang w:eastAsia="en-US"/>
    </w:rPr>
  </w:style>
  <w:style w:type="character" w:customStyle="1" w:styleId="FooterChar">
    <w:name w:val="Footer Char"/>
    <w:basedOn w:val="DefaultParagraphFont"/>
    <w:link w:val="Footer"/>
    <w:uiPriority w:val="99"/>
    <w:rsid w:val="000F367A"/>
    <w:rPr>
      <w:rFonts w:ascii="Arial" w:hAnsi="Arial" w:cs="Arial"/>
      <w:sz w:val="18"/>
      <w:lang w:eastAsia="en-US"/>
    </w:rPr>
  </w:style>
  <w:style w:type="character" w:styleId="FollowedHyperlink">
    <w:name w:val="FollowedHyperlink"/>
    <w:basedOn w:val="DefaultParagraphFont"/>
    <w:rsid w:val="00575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7041">
      <w:bodyDiv w:val="1"/>
      <w:marLeft w:val="0"/>
      <w:marRight w:val="0"/>
      <w:marTop w:val="0"/>
      <w:marBottom w:val="0"/>
      <w:divBdr>
        <w:top w:val="none" w:sz="0" w:space="0" w:color="auto"/>
        <w:left w:val="none" w:sz="0" w:space="0" w:color="auto"/>
        <w:bottom w:val="none" w:sz="0" w:space="0" w:color="auto"/>
        <w:right w:val="none" w:sz="0" w:space="0" w:color="auto"/>
      </w:divBdr>
    </w:div>
    <w:div w:id="1691299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a.local\wa\templates\Regulation\Regulation%20letter%20Maple%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cessRefNo xmlns="81475796-d977-40e8-8c72-206ce960be01" xsi:nil="true"/>
    <Process xmlns="81475796-d977-40e8-8c72-206ce960be01" xsi:nil="true"/>
    <ProcessPlannedStartDate xmlns="81475796-d977-40e8-8c72-206ce960be01" xsi:nil="true"/>
    <RelatedOrganisation xmlns="81475796-d977-40e8-8c72-206ce960be01" xsi:nil="true"/>
    <ProcessUserRefNo xmlns="81475796-d977-40e8-8c72-206ce960be01" xsi:nil="true"/>
    <HCNumber xmlns="81475796-d977-40e8-8c72-206ce960be01" xsi:nil="true"/>
    <HCCategory xmlns="81475796-d977-40e8-8c72-206ce960be01">Other</HCCategory>
    <Organisation xmlns="81475796-d977-40e8-8c72-206ce960be01" xsi:nil="true"/>
    <Region xmlns="81475796-d977-40e8-8c72-206ce960be01" xsi:nil="true"/>
    <ProcessPlannedEndDate xmlns="81475796-d977-40e8-8c72-206ce960be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86E8CA5AAC34B9A7D32B7549BBCD4" ma:contentTypeVersion="11" ma:contentTypeDescription="Create a new document." ma:contentTypeScope="" ma:versionID="4b3c77be969115a0a8f1d8733303a365">
  <xsd:schema xmlns:xsd="http://www.w3.org/2001/XMLSchema" xmlns:xs="http://www.w3.org/2001/XMLSchema" xmlns:p="http://schemas.microsoft.com/office/2006/metadata/properties" xmlns:ns2="81475796-d977-40e8-8c72-206ce960be01" targetNamespace="http://schemas.microsoft.com/office/2006/metadata/properties" ma:root="true" ma:fieldsID="238dc50bf83a7ebcc3eec4c1575a4d84" ns2:_="">
    <xsd:import namespace="81475796-d977-40e8-8c72-206ce960be01"/>
    <xsd:element name="properties">
      <xsd:complexType>
        <xsd:sequence>
          <xsd:element name="documentManagement">
            <xsd:complexType>
              <xsd:all>
                <xsd:element ref="ns2:HCNumber" minOccurs="0"/>
                <xsd:element ref="ns2:Organisation" minOccurs="0"/>
                <xsd:element ref="ns2:Process" minOccurs="0"/>
                <xsd:element ref="ns2:ProcessPlannedEndDate" minOccurs="0"/>
                <xsd:element ref="ns2:ProcessPlannedStartDate" minOccurs="0"/>
                <xsd:element ref="ns2:ProcessRefNo" minOccurs="0"/>
                <xsd:element ref="ns2:ProcessUserRefNo" minOccurs="0"/>
                <xsd:element ref="ns2:Region" minOccurs="0"/>
                <xsd:element ref="ns2:RelatedOrganisation" minOccurs="0"/>
                <xsd:element ref="ns2:HC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75796-d977-40e8-8c72-206ce960be01" elementFormDefault="qualified">
    <xsd:import namespace="http://schemas.microsoft.com/office/2006/documentManagement/types"/>
    <xsd:import namespace="http://schemas.microsoft.com/office/infopath/2007/PartnerControls"/>
    <xsd:element name="HCNumber" ma:index="8" nillable="true" ma:displayName="HCNumber" ma:internalName="HCNumber">
      <xsd:simpleType>
        <xsd:restriction base="dms:Text">
          <xsd:maxLength value="6"/>
        </xsd:restriction>
      </xsd:simpleType>
    </xsd:element>
    <xsd:element name="Organisation" ma:index="9" nillable="true" ma:displayName="Organisation" ma:internalName="Organisation">
      <xsd:simpleType>
        <xsd:restriction base="dms:Text">
          <xsd:maxLength value="25"/>
        </xsd:restriction>
      </xsd:simpleType>
    </xsd:element>
    <xsd:element name="Process" ma:index="10" nillable="true" ma:displayName="Process" ma:internalName="Process">
      <xsd:simpleType>
        <xsd:restriction base="dms:Text">
          <xsd:maxLength value="255"/>
        </xsd:restriction>
      </xsd:simpleType>
    </xsd:element>
    <xsd:element name="ProcessPlannedEndDate" ma:index="11" nillable="true" ma:displayName="ProcessPlannedEndDate" ma:format="DateOnly" ma:internalName="ProcessPlannedEndDate">
      <xsd:simpleType>
        <xsd:restriction base="dms:DateTime"/>
      </xsd:simpleType>
    </xsd:element>
    <xsd:element name="ProcessPlannedStartDate" ma:index="12" nillable="true" ma:displayName="ProcessPlannedStartDate" ma:format="DateOnly" ma:internalName="ProcessPlannedStartDate">
      <xsd:simpleType>
        <xsd:restriction base="dms:DateTime"/>
      </xsd:simpleType>
    </xsd:element>
    <xsd:element name="ProcessRefNo" ma:index="13" nillable="true" ma:displayName="ProcessRefNo" ma:internalName="ProcessRefNo">
      <xsd:simpleType>
        <xsd:restriction base="dms:Text">
          <xsd:maxLength value="10"/>
        </xsd:restriction>
      </xsd:simpleType>
    </xsd:element>
    <xsd:element name="ProcessUserRefNo" ma:index="14" nillable="true" ma:displayName="ProcessUserRefNo" ma:internalName="ProcessUserRefNo">
      <xsd:simpleType>
        <xsd:restriction base="dms:Text">
          <xsd:maxLength value="25"/>
        </xsd:restriction>
      </xsd:simpleType>
    </xsd:element>
    <xsd:element name="Region" ma:index="15" nillable="true" ma:displayName="Region" ma:internalName="Region">
      <xsd:simpleType>
        <xsd:restriction base="dms:Text">
          <xsd:maxLength value="25"/>
        </xsd:restriction>
      </xsd:simpleType>
    </xsd:element>
    <xsd:element name="RelatedOrganisation" ma:index="16" nillable="true" ma:displayName="RelatedOrganisation" ma:internalName="RelatedOrganisation">
      <xsd:simpleType>
        <xsd:restriction base="dms:Text">
          <xsd:maxLength value="200"/>
        </xsd:restriction>
      </xsd:simpleType>
    </xsd:element>
    <xsd:element name="HCCategory" ma:index="17" nillable="true" ma:displayName="HCCategory" ma:default="Other" ma:format="Dropdown" ma:internalName="HCCategory">
      <xsd:simpleType>
        <xsd:restriction base="dms:Choice">
          <xsd:enumeration value="Guidance"/>
          <xsd:enumeration value="Reference"/>
          <xsd:enumeration value="Train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06C6-2E48-4AFF-AED7-03641F33C161}">
  <ds:schemaRefs>
    <ds:schemaRef ds:uri="http://schemas.microsoft.com/sharepoint/v3/contenttype/forms"/>
  </ds:schemaRefs>
</ds:datastoreItem>
</file>

<file path=customXml/itemProps2.xml><?xml version="1.0" encoding="utf-8"?>
<ds:datastoreItem xmlns:ds="http://schemas.openxmlformats.org/officeDocument/2006/customXml" ds:itemID="{8D2D29C2-9234-4C69-A531-4CA7FAB7F6F6}">
  <ds:schemaRefs>
    <ds:schemaRef ds:uri="http://www.w3.org/XML/1998/namespace"/>
    <ds:schemaRef ds:uri="http://purl.org/dc/terms/"/>
    <ds:schemaRef ds:uri="http://schemas.microsoft.com/office/2006/documentManagement/types"/>
    <ds:schemaRef ds:uri="http://schemas.openxmlformats.org/package/2006/metadata/core-properties"/>
    <ds:schemaRef ds:uri="81475796-d977-40e8-8c72-206ce960be01"/>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15D8AD9-C118-4CF8-B4CF-109208BFD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75796-d977-40e8-8c72-206ce960b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5CDD8-3796-46A3-93F8-BE054489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Regulation letter Maple House</Template>
  <TotalTime>1</TotalTime>
  <Pages>5</Pages>
  <Words>1608</Words>
  <Characters>8308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Address 1</vt:lpstr>
    </vt:vector>
  </TitlesOfParts>
  <Company>HCA</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Jane Denchfield</dc:creator>
  <cp:lastModifiedBy>Andrew Oldfield</cp:lastModifiedBy>
  <cp:revision>2</cp:revision>
  <cp:lastPrinted>2015-12-15T11:06:00Z</cp:lastPrinted>
  <dcterms:created xsi:type="dcterms:W3CDTF">2015-12-15T13:47:00Z</dcterms:created>
  <dcterms:modified xsi:type="dcterms:W3CDTF">2015-12-15T13:47:00Z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d7dfb469-55a4-48fe-b746-67c17af2b261</vt:lpwstr>
  </property>
  <property fmtid="{D5CDD505-2E9C-101B-9397-08002B2CF9AE}" pid="3" name="HCAGPMS">
    <vt:lpwstr>OFFICIAL</vt:lpwstr>
  </property>
  <property fmtid="{D5CDD505-2E9C-101B-9397-08002B2CF9AE}" pid="4" name="ContentTypeId">
    <vt:lpwstr>0x010100E8E86E8CA5AAC34B9A7D32B7549BBCD4</vt:lpwstr>
  </property>
</Properties>
</file>