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5" w:type="dxa"/>
        <w:tblInd w:w="-1214" w:type="dxa"/>
        <w:tblLayout w:type="fixed"/>
        <w:tblCellMar>
          <w:left w:w="0" w:type="dxa"/>
          <w:right w:w="0" w:type="dxa"/>
        </w:tblCellMar>
        <w:tblLook w:val="0000"/>
      </w:tblPr>
      <w:tblGrid>
        <w:gridCol w:w="1214"/>
        <w:gridCol w:w="6120"/>
        <w:gridCol w:w="180"/>
        <w:gridCol w:w="3481"/>
      </w:tblGrid>
      <w:tr w:rsidR="00064272" w:rsidTr="009C1B45">
        <w:trPr>
          <w:cantSplit/>
          <w:trHeight w:val="1361"/>
        </w:trPr>
        <w:tc>
          <w:tcPr>
            <w:tcW w:w="7334" w:type="dxa"/>
            <w:gridSpan w:val="2"/>
            <w:tcBorders>
              <w:top w:val="nil"/>
            </w:tcBorders>
          </w:tcPr>
          <w:p w:rsidR="00064272" w:rsidRDefault="00064272" w:rsidP="00CF776B">
            <w:pPr>
              <w:rPr>
                <w:rFonts w:ascii="Arial" w:hAnsi="Arial"/>
                <w:color w:val="000000"/>
              </w:rPr>
            </w:pPr>
            <w:r w:rsidRPr="00C8797E">
              <w:rPr>
                <w:rFonts w:ascii="Arial" w:hAnsi="Arial"/>
                <w:color w:val="000000"/>
                <w:sz w:val="22"/>
              </w:rPr>
              <w:t xml:space="preserve">   </w:t>
            </w:r>
            <w:r w:rsidR="00F57D95">
              <w:rPr>
                <w:rFonts w:ascii="Arial" w:hAnsi="Arial"/>
                <w:noProof/>
                <w:color w:val="000000"/>
              </w:rPr>
              <w:drawing>
                <wp:inline distT="0" distB="0" distL="0" distR="0">
                  <wp:extent cx="14001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00175" cy="1095375"/>
                          </a:xfrm>
                          <a:prstGeom prst="rect">
                            <a:avLst/>
                          </a:prstGeom>
                          <a:noFill/>
                          <a:ln w="9525">
                            <a:noFill/>
                            <a:miter lim="800000"/>
                            <a:headEnd/>
                            <a:tailEnd/>
                          </a:ln>
                        </pic:spPr>
                      </pic:pic>
                    </a:graphicData>
                  </a:graphic>
                </wp:inline>
              </w:drawing>
            </w:r>
          </w:p>
          <w:p w:rsidR="00064272" w:rsidRPr="00C8797E" w:rsidRDefault="00064272" w:rsidP="00CF776B">
            <w:pPr>
              <w:rPr>
                <w:rFonts w:ascii="Arial" w:hAnsi="Arial"/>
                <w:color w:val="000000"/>
              </w:rPr>
            </w:pPr>
          </w:p>
        </w:tc>
        <w:tc>
          <w:tcPr>
            <w:tcW w:w="180" w:type="dxa"/>
          </w:tcPr>
          <w:p w:rsidR="00064272" w:rsidRPr="00C8797E" w:rsidRDefault="00064272" w:rsidP="00CF776B">
            <w:pPr>
              <w:pStyle w:val="MOJnormal"/>
              <w:rPr>
                <w:color w:val="000000"/>
                <w:sz w:val="22"/>
              </w:rPr>
            </w:pPr>
          </w:p>
        </w:tc>
        <w:tc>
          <w:tcPr>
            <w:tcW w:w="3481" w:type="dxa"/>
            <w:vMerge w:val="restart"/>
            <w:tcBorders>
              <w:top w:val="nil"/>
            </w:tcBorders>
          </w:tcPr>
          <w:p w:rsidR="00064272" w:rsidRPr="00924204" w:rsidRDefault="009C1B45" w:rsidP="009C1B45">
            <w:pPr>
              <w:pStyle w:val="MOJtext-otheraddress"/>
              <w:rPr>
                <w:b/>
                <w:sz w:val="20"/>
              </w:rPr>
            </w:pPr>
            <w:r w:rsidRPr="00924204">
              <w:rPr>
                <w:b/>
                <w:sz w:val="20"/>
              </w:rPr>
              <w:t xml:space="preserve"> </w:t>
            </w:r>
          </w:p>
        </w:tc>
      </w:tr>
      <w:tr w:rsidR="00064272" w:rsidTr="009C1B45">
        <w:trPr>
          <w:cantSplit/>
          <w:trHeight w:val="1259"/>
        </w:trPr>
        <w:tc>
          <w:tcPr>
            <w:tcW w:w="1214" w:type="dxa"/>
          </w:tcPr>
          <w:p w:rsidR="00064272" w:rsidRDefault="00064272" w:rsidP="007532AB">
            <w:r>
              <w:rPr>
                <w:rFonts w:ascii="Arial" w:hAnsi="Arial" w:cs="Arial"/>
                <w:color w:val="000000"/>
                <w:sz w:val="22"/>
              </w:rPr>
              <w:t> </w:t>
            </w:r>
          </w:p>
        </w:tc>
        <w:tc>
          <w:tcPr>
            <w:tcW w:w="6120" w:type="dxa"/>
          </w:tcPr>
          <w:p w:rsidR="00064272" w:rsidRPr="00991BA5" w:rsidRDefault="00064272" w:rsidP="009C1B45">
            <w:pPr>
              <w:spacing w:line="280" w:lineRule="atLeast"/>
              <w:rPr>
                <w:rFonts w:ascii="Arial" w:hAnsi="Arial" w:cs="Arial"/>
                <w:color w:val="000000"/>
              </w:rPr>
            </w:pPr>
          </w:p>
        </w:tc>
        <w:tc>
          <w:tcPr>
            <w:tcW w:w="180" w:type="dxa"/>
          </w:tcPr>
          <w:p w:rsidR="00064272" w:rsidRPr="00C8797E" w:rsidRDefault="00064272" w:rsidP="00CF776B">
            <w:pPr>
              <w:pStyle w:val="MOJnormal"/>
              <w:rPr>
                <w:color w:val="000000"/>
                <w:sz w:val="22"/>
              </w:rPr>
            </w:pPr>
          </w:p>
        </w:tc>
        <w:tc>
          <w:tcPr>
            <w:tcW w:w="3481" w:type="dxa"/>
            <w:vMerge/>
          </w:tcPr>
          <w:p w:rsidR="00064272" w:rsidRPr="00C8797E" w:rsidRDefault="00064272" w:rsidP="00CF776B">
            <w:pPr>
              <w:pStyle w:val="MOJtext-otheraddress"/>
              <w:rPr>
                <w:color w:val="000000"/>
                <w:sz w:val="22"/>
              </w:rPr>
            </w:pPr>
          </w:p>
        </w:tc>
      </w:tr>
      <w:tr w:rsidR="00064272" w:rsidTr="009C1B45">
        <w:trPr>
          <w:cantSplit/>
          <w:trHeight w:val="73"/>
        </w:trPr>
        <w:tc>
          <w:tcPr>
            <w:tcW w:w="1214" w:type="dxa"/>
          </w:tcPr>
          <w:p w:rsidR="00064272" w:rsidRDefault="00064272" w:rsidP="007532AB">
            <w:r>
              <w:rPr>
                <w:rFonts w:ascii="Arial" w:hAnsi="Arial" w:cs="Arial"/>
                <w:color w:val="000000"/>
                <w:sz w:val="22"/>
              </w:rPr>
              <w:t> </w:t>
            </w:r>
          </w:p>
        </w:tc>
        <w:tc>
          <w:tcPr>
            <w:tcW w:w="6120" w:type="dxa"/>
          </w:tcPr>
          <w:p w:rsidR="00064272" w:rsidRDefault="00064272" w:rsidP="007532AB">
            <w:pPr>
              <w:spacing w:line="280" w:lineRule="atLeast"/>
              <w:rPr>
                <w:rFonts w:ascii="Arial" w:hAnsi="Arial" w:cs="Arial"/>
                <w:color w:val="000000"/>
              </w:rPr>
            </w:pPr>
            <w:r>
              <w:rPr>
                <w:rFonts w:ascii="Arial" w:hAnsi="Arial" w:cs="Arial"/>
                <w:b/>
                <w:color w:val="000000"/>
              </w:rPr>
              <w:t>Our Reference:</w:t>
            </w:r>
            <w:r>
              <w:rPr>
                <w:rFonts w:ascii="Arial" w:hAnsi="Arial" w:cs="Arial"/>
                <w:color w:val="000000"/>
                <w:sz w:val="22"/>
              </w:rPr>
              <w:t xml:space="preserve"> </w:t>
            </w:r>
          </w:p>
          <w:p w:rsidR="00064272" w:rsidRDefault="00064272" w:rsidP="007532AB">
            <w:pPr>
              <w:spacing w:line="280" w:lineRule="atLeast"/>
            </w:pPr>
            <w:r>
              <w:rPr>
                <w:rFonts w:ascii="Arial" w:hAnsi="Arial" w:cs="Arial"/>
                <w:color w:val="000000"/>
              </w:rPr>
              <w:t xml:space="preserve">FOI </w:t>
            </w:r>
            <w:r w:rsidRPr="00B65477">
              <w:rPr>
                <w:rFonts w:ascii="Arial" w:hAnsi="Arial" w:cs="Arial"/>
                <w:color w:val="000000"/>
              </w:rPr>
              <w:t>97</w:t>
            </w:r>
            <w:r>
              <w:rPr>
                <w:rFonts w:ascii="Arial" w:hAnsi="Arial" w:cs="Arial"/>
                <w:color w:val="000000"/>
              </w:rPr>
              <w:t>292</w:t>
            </w:r>
          </w:p>
        </w:tc>
        <w:tc>
          <w:tcPr>
            <w:tcW w:w="180" w:type="dxa"/>
          </w:tcPr>
          <w:p w:rsidR="00064272" w:rsidRPr="00924204" w:rsidRDefault="00064272" w:rsidP="00CF776B">
            <w:pPr>
              <w:spacing w:line="280" w:lineRule="atLeast"/>
              <w:rPr>
                <w:rFonts w:ascii="Arial" w:hAnsi="Arial"/>
              </w:rPr>
            </w:pPr>
            <w:r w:rsidRPr="00924204">
              <w:rPr>
                <w:rFonts w:ascii="Arial" w:hAnsi="Arial"/>
                <w:sz w:val="22"/>
              </w:rPr>
              <w:tab/>
            </w:r>
          </w:p>
        </w:tc>
        <w:tc>
          <w:tcPr>
            <w:tcW w:w="3481" w:type="dxa"/>
          </w:tcPr>
          <w:p w:rsidR="00064272" w:rsidRPr="009D30E1" w:rsidRDefault="00064272" w:rsidP="00CF776B">
            <w:pPr>
              <w:pStyle w:val="MOJnormal"/>
              <w:rPr>
                <w:sz w:val="22"/>
              </w:rPr>
            </w:pPr>
            <w:r>
              <w:rPr>
                <w:sz w:val="22"/>
              </w:rPr>
              <w:t>August</w:t>
            </w:r>
            <w:r w:rsidRPr="009D30E1">
              <w:rPr>
                <w:sz w:val="22"/>
              </w:rPr>
              <w:t xml:space="preserve"> 2015</w:t>
            </w:r>
          </w:p>
        </w:tc>
      </w:tr>
    </w:tbl>
    <w:p w:rsidR="00064272" w:rsidRDefault="00064272"/>
    <w:p w:rsidR="00064272" w:rsidRDefault="00064272"/>
    <w:p w:rsidR="00064272" w:rsidRDefault="00064272"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9C1B45" w:rsidRDefault="009C1B45" w:rsidP="00991BA5">
      <w:pPr>
        <w:rPr>
          <w:rFonts w:ascii="Arial" w:hAnsi="Arial" w:cs="Arial"/>
          <w:sz w:val="22"/>
          <w:szCs w:val="22"/>
        </w:rPr>
      </w:pPr>
    </w:p>
    <w:p w:rsidR="00064272" w:rsidRPr="00C86096" w:rsidRDefault="009C1B45" w:rsidP="00991BA5">
      <w:pPr>
        <w:rPr>
          <w:rFonts w:ascii="Arial" w:hAnsi="Arial" w:cs="Arial"/>
          <w:sz w:val="22"/>
          <w:szCs w:val="22"/>
        </w:rPr>
      </w:pPr>
      <w:r>
        <w:rPr>
          <w:rFonts w:ascii="Arial" w:hAnsi="Arial" w:cs="Arial"/>
          <w:sz w:val="22"/>
          <w:szCs w:val="22"/>
        </w:rPr>
        <w:t xml:space="preserve">You </w:t>
      </w:r>
      <w:r w:rsidR="00064272" w:rsidRPr="00C86096">
        <w:rPr>
          <w:rFonts w:ascii="Arial" w:hAnsi="Arial" w:cs="Arial"/>
          <w:sz w:val="22"/>
          <w:szCs w:val="22"/>
        </w:rPr>
        <w:t>asked for the following information from the Ministry of Justice (MoJ):</w:t>
      </w:r>
    </w:p>
    <w:p w:rsidR="00064272" w:rsidRPr="00837B21" w:rsidRDefault="00064272" w:rsidP="00F05C6E"/>
    <w:p w:rsidR="00064272" w:rsidRPr="0042393F" w:rsidRDefault="00064272" w:rsidP="0042393F">
      <w:pPr>
        <w:rPr>
          <w:rFonts w:ascii="Arial" w:hAnsi="Arial" w:cs="Arial"/>
          <w:b/>
          <w:sz w:val="22"/>
          <w:szCs w:val="22"/>
        </w:rPr>
      </w:pPr>
      <w:r w:rsidRPr="0042393F">
        <w:rPr>
          <w:rFonts w:ascii="Arial" w:hAnsi="Arial" w:cs="Arial"/>
          <w:b/>
          <w:i/>
          <w:sz w:val="22"/>
        </w:rPr>
        <w:t>“</w:t>
      </w:r>
      <w:r w:rsidRPr="0042393F">
        <w:rPr>
          <w:rFonts w:ascii="Arial" w:hAnsi="Arial" w:cs="Arial"/>
          <w:b/>
          <w:sz w:val="22"/>
          <w:szCs w:val="22"/>
        </w:rPr>
        <w:t>1. How many people convicted of robbery were not sent to prison in each of the last three years for (a) adults and (b) young offenders?</w:t>
      </w:r>
    </w:p>
    <w:p w:rsidR="00064272" w:rsidRPr="0042393F" w:rsidRDefault="00064272" w:rsidP="0042393F">
      <w:pPr>
        <w:spacing w:after="200" w:line="276" w:lineRule="auto"/>
        <w:rPr>
          <w:rFonts w:ascii="Arial" w:hAnsi="Arial" w:cs="Arial"/>
          <w:b/>
          <w:sz w:val="22"/>
          <w:szCs w:val="22"/>
        </w:rPr>
      </w:pPr>
      <w:r w:rsidRPr="0042393F">
        <w:rPr>
          <w:rFonts w:ascii="Arial" w:hAnsi="Arial" w:cs="Arial"/>
          <w:b/>
          <w:sz w:val="22"/>
          <w:szCs w:val="22"/>
        </w:rPr>
        <w:t>2. How many (a) adults and (b) young offenders who received a non-custodial sentence for robbery went on to be convicted of another offence within a one year period?</w:t>
      </w:r>
    </w:p>
    <w:p w:rsidR="00064272" w:rsidRPr="0042393F" w:rsidRDefault="00064272" w:rsidP="0042393F">
      <w:pPr>
        <w:spacing w:after="200" w:line="276" w:lineRule="auto"/>
        <w:rPr>
          <w:rFonts w:ascii="Arial" w:hAnsi="Arial" w:cs="Arial"/>
          <w:b/>
          <w:sz w:val="22"/>
          <w:szCs w:val="22"/>
        </w:rPr>
      </w:pPr>
      <w:r w:rsidRPr="0042393F">
        <w:rPr>
          <w:rFonts w:ascii="Arial" w:hAnsi="Arial" w:cs="Arial"/>
          <w:b/>
          <w:sz w:val="22"/>
          <w:szCs w:val="22"/>
        </w:rPr>
        <w:t>3. How many people convicted of burglary were not sent to prison in each of the last three years for (a) adults and (b) young offenders?</w:t>
      </w:r>
    </w:p>
    <w:p w:rsidR="00064272" w:rsidRPr="0042393F" w:rsidRDefault="00064272" w:rsidP="0042393F">
      <w:pPr>
        <w:spacing w:after="200" w:line="276" w:lineRule="auto"/>
        <w:rPr>
          <w:rFonts w:ascii="Arial" w:hAnsi="Arial" w:cs="Arial"/>
          <w:b/>
        </w:rPr>
      </w:pPr>
      <w:r w:rsidRPr="0042393F">
        <w:rPr>
          <w:rFonts w:ascii="Arial" w:hAnsi="Arial" w:cs="Arial"/>
          <w:b/>
          <w:sz w:val="22"/>
          <w:szCs w:val="22"/>
        </w:rPr>
        <w:t>4. How many (a) adults and (b) young offenders who received a non-custodial sentence for burglary went on to be convicted of another offence within a one year period?</w:t>
      </w:r>
      <w:r w:rsidRPr="0042393F">
        <w:rPr>
          <w:rFonts w:ascii="Arial" w:hAnsi="Arial" w:cs="Arial"/>
          <w:b/>
          <w:i/>
          <w:sz w:val="22"/>
        </w:rPr>
        <w:t>”</w:t>
      </w:r>
    </w:p>
    <w:p w:rsidR="00064272" w:rsidRDefault="00064272" w:rsidP="0081625B">
      <w:pPr>
        <w:jc w:val="center"/>
        <w:rPr>
          <w:rFonts w:ascii="Arial" w:hAnsi="Arial" w:cs="Arial"/>
          <w:sz w:val="22"/>
          <w:szCs w:val="22"/>
        </w:rPr>
      </w:pPr>
    </w:p>
    <w:p w:rsidR="00064272" w:rsidRDefault="00064272" w:rsidP="0081625B">
      <w:pPr>
        <w:rPr>
          <w:rFonts w:ascii="Arial" w:hAnsi="Arial" w:cs="Arial"/>
          <w:sz w:val="22"/>
          <w:szCs w:val="22"/>
        </w:rPr>
      </w:pPr>
      <w:r>
        <w:rPr>
          <w:rFonts w:ascii="Arial" w:hAnsi="Arial" w:cs="Arial"/>
          <w:sz w:val="22"/>
          <w:szCs w:val="22"/>
        </w:rPr>
        <w:t>Your request has been handled under the Freedom of Information Act 2000 (FOIA).</w:t>
      </w:r>
    </w:p>
    <w:p w:rsidR="00064272" w:rsidRDefault="00064272" w:rsidP="0081625B">
      <w:pPr>
        <w:rPr>
          <w:rFonts w:ascii="Arial" w:hAnsi="Arial" w:cs="Arial"/>
          <w:sz w:val="22"/>
          <w:szCs w:val="22"/>
        </w:rPr>
      </w:pPr>
    </w:p>
    <w:p w:rsidR="00064272" w:rsidRDefault="00064272" w:rsidP="0081625B">
      <w:pPr>
        <w:rPr>
          <w:rFonts w:ascii="Arial" w:hAnsi="Arial" w:cs="Arial"/>
          <w:sz w:val="22"/>
          <w:szCs w:val="22"/>
        </w:rPr>
      </w:pPr>
      <w:r>
        <w:rPr>
          <w:rFonts w:ascii="Arial" w:hAnsi="Arial" w:cs="Arial"/>
          <w:sz w:val="22"/>
          <w:szCs w:val="22"/>
        </w:rPr>
        <w:t xml:space="preserve">I can confirm that the department holds information that you have asked for, and I am pleased to provide this to you. </w:t>
      </w:r>
    </w:p>
    <w:p w:rsidR="00064272" w:rsidRDefault="00064272" w:rsidP="0081625B">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423487">
      <w:pPr>
        <w:rPr>
          <w:rFonts w:ascii="Arial" w:hAnsi="Arial" w:cs="Arial"/>
          <w:sz w:val="22"/>
          <w:szCs w:val="22"/>
        </w:rPr>
      </w:pPr>
      <w:r>
        <w:rPr>
          <w:rFonts w:ascii="Arial" w:hAnsi="Arial" w:cs="Arial"/>
          <w:sz w:val="22"/>
          <w:szCs w:val="22"/>
        </w:rPr>
        <w:t>The table below presents the total number of offenders originally sentenced for robbery or burglary, the number of those who did not receive a custodial sentence and the number who went on to commit a proven re-offence within 12 months of the commencement of their non-custodial sentence.</w:t>
      </w:r>
    </w:p>
    <w:p w:rsidR="00064272" w:rsidRDefault="00064272" w:rsidP="00514002">
      <w:pPr>
        <w:rPr>
          <w:rFonts w:ascii="Arial" w:hAnsi="Arial" w:cs="Arial"/>
          <w:sz w:val="22"/>
          <w:szCs w:val="22"/>
        </w:rPr>
      </w:pPr>
    </w:p>
    <w:p w:rsidR="00EB7CE9" w:rsidRDefault="00EB7CE9" w:rsidP="00514002">
      <w:pPr>
        <w:rPr>
          <w:rFonts w:ascii="Arial" w:hAnsi="Arial" w:cs="Arial"/>
          <w:sz w:val="22"/>
          <w:szCs w:val="22"/>
        </w:rPr>
      </w:pPr>
      <w:r>
        <w:rPr>
          <w:rFonts w:ascii="Arial" w:hAnsi="Arial" w:cs="Arial"/>
          <w:sz w:val="22"/>
          <w:szCs w:val="22"/>
        </w:rPr>
        <w:t>These figures show that in 2013, the latest year for which we have figures:</w:t>
      </w:r>
    </w:p>
    <w:p w:rsidR="00EB7CE9" w:rsidRDefault="00EB7CE9" w:rsidP="00EB7CE9">
      <w:pPr>
        <w:numPr>
          <w:ilvl w:val="0"/>
          <w:numId w:val="6"/>
        </w:numPr>
        <w:rPr>
          <w:rFonts w:ascii="Arial" w:hAnsi="Arial" w:cs="Arial"/>
          <w:sz w:val="22"/>
          <w:szCs w:val="22"/>
        </w:rPr>
      </w:pPr>
      <w:r>
        <w:rPr>
          <w:rFonts w:ascii="Arial" w:hAnsi="Arial" w:cs="Arial"/>
          <w:sz w:val="22"/>
          <w:szCs w:val="22"/>
        </w:rPr>
        <w:t>13.8% of adults convicted of robbery did not receive a custodial sentence, down from 20.2% in 2010;</w:t>
      </w:r>
    </w:p>
    <w:p w:rsidR="00EB7CE9" w:rsidRDefault="00EB7CE9" w:rsidP="00EB7CE9">
      <w:pPr>
        <w:numPr>
          <w:ilvl w:val="0"/>
          <w:numId w:val="6"/>
        </w:numPr>
        <w:rPr>
          <w:rFonts w:ascii="Arial" w:hAnsi="Arial" w:cs="Arial"/>
          <w:sz w:val="22"/>
          <w:szCs w:val="22"/>
        </w:rPr>
      </w:pPr>
      <w:r>
        <w:rPr>
          <w:rFonts w:ascii="Arial" w:hAnsi="Arial" w:cs="Arial"/>
          <w:sz w:val="22"/>
          <w:szCs w:val="22"/>
        </w:rPr>
        <w:t>47.8% of adults convicted of burglary did not receive a custodial sentence, down from 60.9% in 2010;</w:t>
      </w:r>
    </w:p>
    <w:p w:rsidR="00EB7CE9" w:rsidRDefault="00EB7CE9" w:rsidP="00EB7CE9">
      <w:pPr>
        <w:rPr>
          <w:rFonts w:ascii="Arial" w:hAnsi="Arial" w:cs="Arial"/>
          <w:sz w:val="22"/>
          <w:szCs w:val="22"/>
        </w:rPr>
      </w:pPr>
      <w:r>
        <w:rPr>
          <w:rFonts w:ascii="Arial" w:hAnsi="Arial" w:cs="Arial"/>
          <w:sz w:val="22"/>
          <w:szCs w:val="22"/>
        </w:rPr>
        <w:t>Overall more people are going to prison for burglary and robbery, and fewer are reoffending within 12 months.  We also ensure serial offenders receive harsher sentences – persistent offenders are three times more likely to be sent to prison.</w:t>
      </w: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Pr="00E100B7" w:rsidRDefault="00064272" w:rsidP="00514002">
      <w:pPr>
        <w:rPr>
          <w:rFonts w:ascii="Arial" w:hAnsi="Arial" w:cs="Arial"/>
          <w:b/>
          <w:sz w:val="22"/>
          <w:szCs w:val="22"/>
        </w:rPr>
      </w:pPr>
      <w:r>
        <w:rPr>
          <w:rFonts w:ascii="Arial" w:hAnsi="Arial" w:cs="Arial"/>
          <w:b/>
          <w:sz w:val="22"/>
          <w:szCs w:val="22"/>
        </w:rPr>
        <w:t xml:space="preserve">Table 1: </w:t>
      </w:r>
      <w:r w:rsidRPr="00E100B7">
        <w:rPr>
          <w:rFonts w:ascii="Arial" w:hAnsi="Arial" w:cs="Arial"/>
          <w:b/>
          <w:sz w:val="22"/>
          <w:szCs w:val="22"/>
        </w:rPr>
        <w:t xml:space="preserve">Adult and juvenile proven re-offending data, by index offence of robbery and burglary, 12 months ending </w:t>
      </w:r>
      <w:r>
        <w:rPr>
          <w:rFonts w:ascii="Arial" w:hAnsi="Arial" w:cs="Arial"/>
          <w:b/>
          <w:sz w:val="22"/>
          <w:szCs w:val="22"/>
        </w:rPr>
        <w:t>September</w:t>
      </w:r>
      <w:r w:rsidRPr="00E100B7">
        <w:rPr>
          <w:rFonts w:ascii="Arial" w:hAnsi="Arial" w:cs="Arial"/>
          <w:b/>
          <w:sz w:val="22"/>
          <w:szCs w:val="22"/>
        </w:rPr>
        <w:t xml:space="preserve"> 20</w:t>
      </w:r>
      <w:r w:rsidR="00F57D95">
        <w:rPr>
          <w:rFonts w:ascii="Arial" w:hAnsi="Arial" w:cs="Arial"/>
          <w:b/>
          <w:sz w:val="22"/>
          <w:szCs w:val="22"/>
        </w:rPr>
        <w:t>10</w:t>
      </w:r>
      <w:r w:rsidRPr="00E100B7">
        <w:rPr>
          <w:rFonts w:ascii="Arial" w:hAnsi="Arial" w:cs="Arial"/>
          <w:b/>
          <w:sz w:val="22"/>
          <w:szCs w:val="22"/>
        </w:rPr>
        <w:t xml:space="preserve"> to 12 months ending </w:t>
      </w:r>
      <w:r>
        <w:rPr>
          <w:rFonts w:ascii="Arial" w:hAnsi="Arial" w:cs="Arial"/>
          <w:b/>
          <w:sz w:val="22"/>
          <w:szCs w:val="22"/>
        </w:rPr>
        <w:t>September</w:t>
      </w:r>
      <w:r w:rsidRPr="00E100B7">
        <w:rPr>
          <w:rFonts w:ascii="Arial" w:hAnsi="Arial" w:cs="Arial"/>
          <w:b/>
          <w:sz w:val="22"/>
          <w:szCs w:val="22"/>
        </w:rPr>
        <w:t xml:space="preserve"> 2013</w:t>
      </w:r>
    </w:p>
    <w:p w:rsidR="00064272" w:rsidRDefault="00064272" w:rsidP="00514002"/>
    <w:p w:rsidR="00064272" w:rsidRPr="00062B0A" w:rsidRDefault="00F57D95" w:rsidP="00514002">
      <w:pPr>
        <w:rPr>
          <w:rFonts w:ascii="Arial" w:hAnsi="Arial" w:cs="Arial"/>
          <w:sz w:val="22"/>
          <w:szCs w:val="22"/>
        </w:rPr>
      </w:pPr>
      <w:r>
        <w:rPr>
          <w:noProof/>
        </w:rPr>
        <w:drawing>
          <wp:inline distT="0" distB="0" distL="0" distR="0">
            <wp:extent cx="5257800" cy="5753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257800" cy="5753100"/>
                    </a:xfrm>
                    <a:prstGeom prst="rect">
                      <a:avLst/>
                    </a:prstGeom>
                    <a:noFill/>
                    <a:ln w="9525">
                      <a:noFill/>
                      <a:miter lim="800000"/>
                      <a:headEnd/>
                      <a:tailEnd/>
                    </a:ln>
                  </pic:spPr>
                </pic:pic>
              </a:graphicData>
            </a:graphic>
          </wp:inline>
        </w:drawing>
      </w:r>
    </w:p>
    <w:p w:rsidR="00064272" w:rsidRDefault="00064272" w:rsidP="00514002">
      <w:pPr>
        <w:rPr>
          <w:rFonts w:ascii="Arial" w:hAnsi="Arial" w:cs="Arial"/>
          <w:sz w:val="22"/>
          <w:szCs w:val="22"/>
        </w:rPr>
      </w:pPr>
    </w:p>
    <w:p w:rsidR="00064272" w:rsidRDefault="00064272" w:rsidP="00514002">
      <w:pPr>
        <w:rPr>
          <w:rFonts w:ascii="Arial" w:hAnsi="Arial" w:cs="Arial"/>
          <w:sz w:val="22"/>
          <w:szCs w:val="22"/>
        </w:rPr>
      </w:pPr>
    </w:p>
    <w:p w:rsidR="00064272" w:rsidRDefault="00064272" w:rsidP="00EC5F3D">
      <w:pPr>
        <w:rPr>
          <w:rFonts w:ascii="Arial" w:hAnsi="Arial" w:cs="Arial"/>
          <w:sz w:val="22"/>
          <w:szCs w:val="22"/>
        </w:rPr>
      </w:pPr>
    </w:p>
    <w:p w:rsidR="00064272" w:rsidRPr="00166C9D" w:rsidRDefault="00064272" w:rsidP="00B60822">
      <w:pPr>
        <w:autoSpaceDE w:val="0"/>
        <w:autoSpaceDN w:val="0"/>
        <w:adjustRightInd w:val="0"/>
        <w:rPr>
          <w:rFonts w:ascii="Arial" w:hAnsi="Arial" w:cs="Arial"/>
          <w:sz w:val="22"/>
          <w:szCs w:val="22"/>
        </w:rPr>
      </w:pPr>
      <w:r>
        <w:rPr>
          <w:rFonts w:ascii="Arial" w:hAnsi="Arial" w:cs="Arial"/>
          <w:sz w:val="22"/>
          <w:szCs w:val="22"/>
        </w:rPr>
        <w:t>A p</w:t>
      </w:r>
      <w:r w:rsidRPr="00166C9D">
        <w:rPr>
          <w:rFonts w:ascii="Arial" w:hAnsi="Arial" w:cs="Arial"/>
          <w:sz w:val="22"/>
          <w:szCs w:val="22"/>
        </w:rPr>
        <w:t>roven re-offen</w:t>
      </w:r>
      <w:r>
        <w:rPr>
          <w:rFonts w:ascii="Arial" w:hAnsi="Arial" w:cs="Arial"/>
          <w:sz w:val="22"/>
          <w:szCs w:val="22"/>
        </w:rPr>
        <w:t>ce</w:t>
      </w:r>
      <w:r w:rsidRPr="00166C9D">
        <w:rPr>
          <w:rFonts w:ascii="Arial" w:hAnsi="Arial" w:cs="Arial"/>
          <w:sz w:val="22"/>
          <w:szCs w:val="22"/>
        </w:rPr>
        <w:t xml:space="preserve"> is defined as any offence committed in a </w:t>
      </w:r>
      <w:r>
        <w:rPr>
          <w:rFonts w:ascii="Arial" w:hAnsi="Arial" w:cs="Arial"/>
          <w:sz w:val="22"/>
          <w:szCs w:val="22"/>
        </w:rPr>
        <w:t>12 month</w:t>
      </w:r>
      <w:r w:rsidRPr="00166C9D">
        <w:rPr>
          <w:rFonts w:ascii="Arial" w:hAnsi="Arial" w:cs="Arial"/>
          <w:sz w:val="22"/>
          <w:szCs w:val="22"/>
        </w:rPr>
        <w:t xml:space="preserve"> follow-up period </w:t>
      </w:r>
      <w:r>
        <w:rPr>
          <w:rFonts w:ascii="Arial" w:hAnsi="Arial" w:cs="Arial"/>
          <w:sz w:val="22"/>
          <w:szCs w:val="22"/>
        </w:rPr>
        <w:t>which results in</w:t>
      </w:r>
      <w:r w:rsidRPr="00166C9D">
        <w:rPr>
          <w:rFonts w:ascii="Arial" w:hAnsi="Arial" w:cs="Arial"/>
          <w:sz w:val="22"/>
          <w:szCs w:val="22"/>
        </w:rPr>
        <w:t xml:space="preserve"> a court conviction or caution. Following this one year period, a further six month waiting period is allowed for cases </w:t>
      </w:r>
      <w:r>
        <w:rPr>
          <w:rFonts w:ascii="Arial" w:hAnsi="Arial" w:cs="Arial"/>
          <w:sz w:val="22"/>
          <w:szCs w:val="22"/>
        </w:rPr>
        <w:t>to progress through the courts.</w:t>
      </w:r>
    </w:p>
    <w:p w:rsidR="00064272" w:rsidRDefault="00064272" w:rsidP="00EC5F3D">
      <w:pPr>
        <w:rPr>
          <w:rFonts w:ascii="Arial" w:hAnsi="Arial" w:cs="Arial"/>
          <w:sz w:val="22"/>
          <w:szCs w:val="22"/>
        </w:rPr>
      </w:pPr>
    </w:p>
    <w:p w:rsidR="00064272" w:rsidRPr="00C50F5D" w:rsidRDefault="00064272" w:rsidP="00764428">
      <w:pPr>
        <w:autoSpaceDE w:val="0"/>
        <w:autoSpaceDN w:val="0"/>
        <w:adjustRightInd w:val="0"/>
        <w:rPr>
          <w:rFonts w:ascii="Arial" w:hAnsi="Arial"/>
          <w:sz w:val="22"/>
        </w:rPr>
      </w:pPr>
      <w:r w:rsidRPr="00C50F5D">
        <w:rPr>
          <w:rFonts w:ascii="Arial" w:hAnsi="Arial"/>
          <w:sz w:val="22"/>
        </w:rPr>
        <w:t xml:space="preserve">The statistics presented are a </w:t>
      </w:r>
      <w:r>
        <w:rPr>
          <w:rFonts w:ascii="Arial" w:hAnsi="Arial"/>
          <w:sz w:val="22"/>
        </w:rPr>
        <w:t xml:space="preserve">further breakdown of </w:t>
      </w:r>
      <w:r w:rsidRPr="00C50F5D">
        <w:rPr>
          <w:rFonts w:ascii="Arial" w:hAnsi="Arial"/>
          <w:sz w:val="22"/>
        </w:rPr>
        <w:t xml:space="preserve">figures published in Tables </w:t>
      </w:r>
      <w:r>
        <w:rPr>
          <w:rFonts w:ascii="Arial" w:hAnsi="Arial"/>
          <w:sz w:val="22"/>
        </w:rPr>
        <w:t>5</w:t>
      </w:r>
      <w:r w:rsidRPr="00C50F5D">
        <w:rPr>
          <w:rFonts w:ascii="Arial" w:hAnsi="Arial"/>
          <w:sz w:val="22"/>
        </w:rPr>
        <w:t>a</w:t>
      </w:r>
      <w:r>
        <w:rPr>
          <w:rFonts w:ascii="Arial" w:hAnsi="Arial"/>
          <w:sz w:val="22"/>
        </w:rPr>
        <w:t xml:space="preserve"> and 5b</w:t>
      </w:r>
      <w:r w:rsidRPr="00C50F5D">
        <w:rPr>
          <w:rFonts w:ascii="Arial" w:hAnsi="Arial"/>
          <w:sz w:val="22"/>
        </w:rPr>
        <w:t xml:space="preserve"> of the “Proven Re-offending Statistics Quarterly Bulletin, </w:t>
      </w:r>
      <w:r>
        <w:rPr>
          <w:rFonts w:ascii="Arial" w:hAnsi="Arial"/>
          <w:sz w:val="22"/>
        </w:rPr>
        <w:t>October 2012 to September 2013</w:t>
      </w:r>
      <w:r w:rsidRPr="00C50F5D">
        <w:rPr>
          <w:rFonts w:ascii="Arial" w:hAnsi="Arial"/>
          <w:sz w:val="22"/>
        </w:rPr>
        <w:t xml:space="preserve">”, which can be found in the Excel document entitled “Proven Re-offending Tables, </w:t>
      </w:r>
      <w:r>
        <w:rPr>
          <w:rFonts w:ascii="Arial" w:hAnsi="Arial"/>
          <w:sz w:val="22"/>
        </w:rPr>
        <w:t>October 2012 to September 2013</w:t>
      </w:r>
      <w:r w:rsidRPr="00C50F5D">
        <w:rPr>
          <w:rFonts w:ascii="Arial" w:hAnsi="Arial"/>
          <w:sz w:val="22"/>
        </w:rPr>
        <w:t>” at the following link:</w:t>
      </w:r>
    </w:p>
    <w:p w:rsidR="00064272" w:rsidRPr="00C50F5D" w:rsidRDefault="00064272" w:rsidP="00764428">
      <w:pPr>
        <w:autoSpaceDE w:val="0"/>
        <w:autoSpaceDN w:val="0"/>
        <w:adjustRightInd w:val="0"/>
        <w:rPr>
          <w:rFonts w:ascii="Arial" w:hAnsi="Arial"/>
          <w:sz w:val="22"/>
        </w:rPr>
      </w:pPr>
    </w:p>
    <w:p w:rsidR="00064272" w:rsidRDefault="00BA64C7" w:rsidP="00764428">
      <w:pPr>
        <w:autoSpaceDE w:val="0"/>
        <w:autoSpaceDN w:val="0"/>
        <w:adjustRightInd w:val="0"/>
      </w:pPr>
      <w:hyperlink r:id="rId9" w:history="1">
        <w:r w:rsidR="00064272" w:rsidRPr="00C526C7">
          <w:rPr>
            <w:rStyle w:val="Hyperlink"/>
          </w:rPr>
          <w:t>https://www.gov.uk/government/statistics/proven-reoffending-statistics-quarterly-october-2012-to-september-2013</w:t>
        </w:r>
      </w:hyperlink>
    </w:p>
    <w:p w:rsidR="00064272" w:rsidRPr="00764428" w:rsidRDefault="00064272" w:rsidP="00764428">
      <w:pPr>
        <w:autoSpaceDE w:val="0"/>
        <w:autoSpaceDN w:val="0"/>
        <w:adjustRightInd w:val="0"/>
        <w:rPr>
          <w:rFonts w:ascii="Arial" w:hAnsi="Arial"/>
          <w:sz w:val="22"/>
        </w:rPr>
      </w:pPr>
    </w:p>
    <w:p w:rsidR="00064272" w:rsidRDefault="00064272" w:rsidP="00764428">
      <w:pPr>
        <w:autoSpaceDE w:val="0"/>
        <w:autoSpaceDN w:val="0"/>
        <w:adjustRightInd w:val="0"/>
        <w:rPr>
          <w:rFonts w:ascii="Arial" w:hAnsi="Arial"/>
          <w:sz w:val="22"/>
        </w:rPr>
      </w:pPr>
    </w:p>
    <w:p w:rsidR="00064272" w:rsidRDefault="00064272" w:rsidP="00764428">
      <w:pPr>
        <w:autoSpaceDE w:val="0"/>
        <w:autoSpaceDN w:val="0"/>
        <w:adjustRightInd w:val="0"/>
        <w:rPr>
          <w:rFonts w:ascii="Arial" w:hAnsi="Arial"/>
          <w:sz w:val="22"/>
        </w:rPr>
      </w:pPr>
    </w:p>
    <w:p w:rsidR="00064272" w:rsidRDefault="00064272" w:rsidP="00764428">
      <w:pPr>
        <w:autoSpaceDE w:val="0"/>
        <w:autoSpaceDN w:val="0"/>
        <w:adjustRightInd w:val="0"/>
        <w:rPr>
          <w:rFonts w:ascii="Arial" w:hAnsi="Arial"/>
          <w:sz w:val="22"/>
        </w:rPr>
      </w:pPr>
    </w:p>
    <w:p w:rsidR="00064272" w:rsidRDefault="00064272" w:rsidP="00764428">
      <w:pPr>
        <w:autoSpaceDE w:val="0"/>
        <w:autoSpaceDN w:val="0"/>
        <w:adjustRightInd w:val="0"/>
        <w:rPr>
          <w:rFonts w:ascii="Arial" w:hAnsi="Arial"/>
          <w:sz w:val="22"/>
        </w:rPr>
      </w:pPr>
    </w:p>
    <w:p w:rsidR="00064272" w:rsidRPr="00C50F5D" w:rsidRDefault="00064272" w:rsidP="00764428">
      <w:pPr>
        <w:autoSpaceDE w:val="0"/>
        <w:autoSpaceDN w:val="0"/>
        <w:adjustRightInd w:val="0"/>
        <w:rPr>
          <w:rFonts w:ascii="Arial" w:hAnsi="Arial"/>
          <w:sz w:val="22"/>
        </w:rPr>
      </w:pPr>
      <w:r w:rsidRPr="00C50F5D">
        <w:rPr>
          <w:rFonts w:ascii="Arial" w:hAnsi="Arial"/>
          <w:sz w:val="22"/>
        </w:rPr>
        <w:t xml:space="preserve">Please note that the data required for measuring proven re-offending are mainly based on an extract from the Police National Computer (PNC), and excludes offenders that cannot be matched to the PNC. Therefore, the </w:t>
      </w:r>
      <w:r>
        <w:rPr>
          <w:rFonts w:ascii="Arial" w:hAnsi="Arial"/>
          <w:sz w:val="22"/>
        </w:rPr>
        <w:t>figures provided</w:t>
      </w:r>
      <w:r w:rsidRPr="00C50F5D">
        <w:rPr>
          <w:rFonts w:ascii="Arial" w:hAnsi="Arial"/>
          <w:sz w:val="22"/>
        </w:rPr>
        <w:t xml:space="preserve"> do not represent all proven offenders. </w:t>
      </w:r>
    </w:p>
    <w:p w:rsidR="00064272" w:rsidRPr="00C50F5D" w:rsidRDefault="00064272" w:rsidP="00764428">
      <w:pPr>
        <w:autoSpaceDE w:val="0"/>
        <w:autoSpaceDN w:val="0"/>
        <w:adjustRightInd w:val="0"/>
        <w:rPr>
          <w:rFonts w:ascii="Arial" w:hAnsi="Arial"/>
          <w:sz w:val="22"/>
        </w:rPr>
      </w:pPr>
    </w:p>
    <w:p w:rsidR="00064272" w:rsidRDefault="00064272" w:rsidP="00764428">
      <w:pPr>
        <w:autoSpaceDE w:val="0"/>
        <w:autoSpaceDN w:val="0"/>
        <w:adjustRightInd w:val="0"/>
        <w:rPr>
          <w:rFonts w:ascii="Arial" w:hAnsi="Arial"/>
          <w:sz w:val="22"/>
        </w:rPr>
      </w:pPr>
      <w:r w:rsidRPr="00C50F5D">
        <w:rPr>
          <w:rFonts w:ascii="Arial" w:hAnsi="Arial"/>
          <w:sz w:val="22"/>
        </w:rPr>
        <w:t>An explanation of the proven re-offending measure and definitions of the main terms used in the bulletin can be found at the same link in the “Definitions and Measurement” document.</w:t>
      </w:r>
    </w:p>
    <w:p w:rsidR="00064272" w:rsidRPr="003C0D6F" w:rsidRDefault="00064272" w:rsidP="008E54CB">
      <w:pPr>
        <w:rPr>
          <w:rFonts w:ascii="Arial" w:hAnsi="Arial" w:cs="Arial"/>
          <w:color w:val="0000FF"/>
          <w:sz w:val="22"/>
          <w:szCs w:val="22"/>
        </w:rPr>
      </w:pPr>
    </w:p>
    <w:p w:rsidR="00866C7D" w:rsidRPr="00866C7D" w:rsidRDefault="00866C7D" w:rsidP="00866C7D">
      <w:pPr>
        <w:rPr>
          <w:rFonts w:ascii="Arial" w:hAnsi="Arial" w:cs="Arial"/>
          <w:sz w:val="22"/>
          <w:szCs w:val="22"/>
        </w:rPr>
      </w:pPr>
      <w:r w:rsidRPr="00866C7D">
        <w:rPr>
          <w:rFonts w:ascii="Arial" w:hAnsi="Arial" w:cs="Arial"/>
          <w:sz w:val="22"/>
          <w:szCs w:val="22"/>
        </w:rPr>
        <w:t>The Government legislated in the Criminal Justice and Courts Act 2015 to introduce further statutory restrictions on the use of cautions for serious and repeat offenders. The provisions came into force in April 2015.</w:t>
      </w:r>
    </w:p>
    <w:p w:rsidR="00064272" w:rsidRDefault="00064272" w:rsidP="00F158B0">
      <w:pPr>
        <w:autoSpaceDE w:val="0"/>
        <w:autoSpaceDN w:val="0"/>
        <w:adjustRightInd w:val="0"/>
        <w:rPr>
          <w:rFonts w:ascii="Arial" w:hAnsi="Arial" w:cs="Arial"/>
          <w:sz w:val="22"/>
          <w:szCs w:val="22"/>
        </w:rPr>
      </w:pPr>
    </w:p>
    <w:p w:rsidR="00064272" w:rsidRDefault="00064272" w:rsidP="00F158B0">
      <w:pPr>
        <w:autoSpaceDE w:val="0"/>
        <w:autoSpaceDN w:val="0"/>
        <w:adjustRightInd w:val="0"/>
        <w:rPr>
          <w:rFonts w:ascii="Arial" w:hAnsi="Arial" w:cs="Arial"/>
          <w:sz w:val="22"/>
          <w:szCs w:val="22"/>
        </w:rPr>
      </w:pPr>
    </w:p>
    <w:p w:rsidR="00064272" w:rsidRPr="003C0D6F" w:rsidRDefault="00064272" w:rsidP="00F158B0">
      <w:pPr>
        <w:autoSpaceDE w:val="0"/>
        <w:autoSpaceDN w:val="0"/>
        <w:adjustRightInd w:val="0"/>
        <w:rPr>
          <w:rFonts w:ascii="Arial" w:hAnsi="Arial" w:cs="Arial"/>
          <w:sz w:val="22"/>
          <w:szCs w:val="22"/>
        </w:rPr>
      </w:pPr>
      <w:r>
        <w:rPr>
          <w:rFonts w:ascii="Arial" w:hAnsi="Arial" w:cs="Arial"/>
          <w:sz w:val="22"/>
          <w:szCs w:val="22"/>
        </w:rPr>
        <w:t xml:space="preserve">You can also find more information by reading the full text of the Act (available at </w:t>
      </w:r>
      <w:hyperlink r:id="rId10" w:history="1">
        <w:r w:rsidRPr="00AC617F">
          <w:rPr>
            <w:rStyle w:val="Hyperlink"/>
            <w:rFonts w:ascii="Arial" w:hAnsi="Arial" w:cs="Arial"/>
            <w:sz w:val="22"/>
            <w:szCs w:val="22"/>
          </w:rPr>
          <w:t>http://www.legislation.gov.uk/ukpga/2000/36/contents</w:t>
        </w:r>
      </w:hyperlink>
      <w:r>
        <w:rPr>
          <w:rFonts w:ascii="Arial" w:hAnsi="Arial" w:cs="Arial"/>
          <w:sz w:val="22"/>
          <w:szCs w:val="22"/>
        </w:rPr>
        <w:t>).</w:t>
      </w:r>
    </w:p>
    <w:p w:rsidR="00064272" w:rsidRPr="009B624A" w:rsidRDefault="00064272" w:rsidP="009B624A">
      <w:pPr>
        <w:autoSpaceDE w:val="0"/>
        <w:autoSpaceDN w:val="0"/>
        <w:adjustRightInd w:val="0"/>
        <w:rPr>
          <w:rFonts w:ascii="Arial" w:hAnsi="Arial" w:cs="Arial"/>
          <w:color w:val="0000FF"/>
          <w:sz w:val="22"/>
          <w:szCs w:val="22"/>
        </w:rPr>
      </w:pPr>
    </w:p>
    <w:p w:rsidR="00064272" w:rsidRPr="00AB3DC4" w:rsidRDefault="00064272" w:rsidP="00ED7C29">
      <w:pPr>
        <w:autoSpaceDE w:val="0"/>
        <w:autoSpaceDN w:val="0"/>
        <w:adjustRightInd w:val="0"/>
        <w:rPr>
          <w:rFonts w:ascii="Arial" w:hAnsi="Arial" w:cs="Arial"/>
          <w:sz w:val="22"/>
          <w:szCs w:val="22"/>
        </w:rPr>
      </w:pPr>
      <w:r>
        <w:rPr>
          <w:rFonts w:ascii="Arial" w:hAnsi="Arial" w:cs="Arial"/>
          <w:sz w:val="22"/>
          <w:szCs w:val="22"/>
        </w:rPr>
        <w:t>You have the right to appeal our decision if you think it is incorrect. Details can be found in the ‘How to Appeal’ section attached at the end of this letter.</w:t>
      </w:r>
    </w:p>
    <w:p w:rsidR="00064272" w:rsidRDefault="00064272" w:rsidP="00ED7C29">
      <w:pPr>
        <w:autoSpaceDE w:val="0"/>
        <w:autoSpaceDN w:val="0"/>
        <w:adjustRightInd w:val="0"/>
        <w:rPr>
          <w:rFonts w:ascii="Arial" w:hAnsi="Arial" w:cs="Arial"/>
          <w:sz w:val="22"/>
          <w:szCs w:val="22"/>
        </w:rPr>
      </w:pPr>
    </w:p>
    <w:p w:rsidR="00064272" w:rsidRDefault="00064272" w:rsidP="004734B5">
      <w:pPr>
        <w:jc w:val="center"/>
      </w:pPr>
      <w:r>
        <w:rPr>
          <w:rFonts w:ascii="Arial" w:hAnsi="Arial" w:cs="Arial"/>
          <w:sz w:val="22"/>
          <w:u w:val="single"/>
        </w:rPr>
        <w:t>Disclosure Log</w:t>
      </w:r>
    </w:p>
    <w:p w:rsidR="00064272" w:rsidRDefault="00064272" w:rsidP="004734B5">
      <w:pPr>
        <w:jc w:val="center"/>
      </w:pPr>
      <w:r>
        <w:rPr>
          <w:rFonts w:ascii="Arial Unicode MS" w:eastAsia="Arial Unicode MS" w:cs="Arial Unicode MS" w:hint="eastAsia"/>
        </w:rPr>
        <w:t>​</w:t>
      </w:r>
    </w:p>
    <w:p w:rsidR="00064272" w:rsidRPr="0058203E" w:rsidRDefault="00064272" w:rsidP="004734B5">
      <w:pPr>
        <w:rPr>
          <w:rFonts w:ascii="Arial" w:hAnsi="Arial" w:cs="Arial"/>
          <w:sz w:val="22"/>
          <w:szCs w:val="22"/>
        </w:rPr>
      </w:pPr>
      <w:r>
        <w:rPr>
          <w:rFonts w:ascii="Arial" w:hAnsi="Arial" w:cs="Arial"/>
          <w:sz w:val="22"/>
        </w:rPr>
        <w:t xml:space="preserve">You can also view information that the Ministry of Justice has disclosed in response </w:t>
      </w:r>
      <w:r w:rsidRPr="0058203E">
        <w:rPr>
          <w:rFonts w:ascii="Arial" w:hAnsi="Arial" w:cs="Arial"/>
          <w:sz w:val="22"/>
          <w:szCs w:val="22"/>
        </w:rPr>
        <w:t>to previous Freedom of Information requests. Responses are anonymised and published on our on-line disclosure log which can be found on the MoJ website:</w:t>
      </w:r>
    </w:p>
    <w:p w:rsidR="00064272" w:rsidRPr="0058203E" w:rsidRDefault="00BA64C7" w:rsidP="004734B5">
      <w:pPr>
        <w:rPr>
          <w:rFonts w:ascii="Arial" w:hAnsi="Arial" w:cs="Arial"/>
          <w:sz w:val="22"/>
          <w:szCs w:val="22"/>
        </w:rPr>
      </w:pPr>
      <w:hyperlink r:id="rId11" w:history="1">
        <w:r w:rsidR="00064272" w:rsidRPr="0058203E">
          <w:rPr>
            <w:rStyle w:val="Hyperlink"/>
            <w:rFonts w:ascii="Arial" w:hAnsi="Arial" w:cs="Arial"/>
            <w:sz w:val="22"/>
            <w:szCs w:val="22"/>
          </w:rPr>
          <w:t>https://www.gov.uk/government/organisations/ministry-of-justice/series/freedom-of-information-disclosure-log</w:t>
        </w:r>
      </w:hyperlink>
    </w:p>
    <w:p w:rsidR="00064272" w:rsidRPr="0058203E" w:rsidRDefault="00064272" w:rsidP="004734B5">
      <w:pPr>
        <w:rPr>
          <w:rFonts w:ascii="Arial" w:hAnsi="Arial" w:cs="Arial"/>
          <w:sz w:val="22"/>
          <w:szCs w:val="22"/>
        </w:rPr>
      </w:pPr>
    </w:p>
    <w:p w:rsidR="00064272" w:rsidRDefault="00064272" w:rsidP="009C1B45">
      <w:pPr>
        <w:autoSpaceDE w:val="0"/>
        <w:autoSpaceDN w:val="0"/>
        <w:adjustRightInd w:val="0"/>
        <w:rPr>
          <w:rFonts w:ascii="Arial" w:hAnsi="Arial" w:cs="Arial"/>
          <w:sz w:val="22"/>
          <w:szCs w:val="22"/>
        </w:rPr>
      </w:pPr>
      <w:r w:rsidRPr="0058203E">
        <w:rPr>
          <w:rFonts w:ascii="Arial Unicode MS" w:eastAsia="Arial Unicode MS" w:cs="Arial" w:hint="eastAsia"/>
          <w:sz w:val="22"/>
          <w:szCs w:val="22"/>
        </w:rPr>
        <w:t>​</w:t>
      </w:r>
      <w:bookmarkStart w:id="0" w:name="_GoBack"/>
      <w:bookmarkEnd w:id="0"/>
    </w:p>
    <w:p w:rsidR="00064272" w:rsidRPr="00D8325C" w:rsidRDefault="00064272" w:rsidP="0058203E">
      <w:pPr>
        <w:rPr>
          <w:color w:val="000000"/>
          <w:szCs w:val="22"/>
        </w:rPr>
      </w:pPr>
    </w:p>
    <w:sectPr w:rsidR="00064272" w:rsidRPr="00D8325C" w:rsidSect="002179DD">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D9" w:rsidRDefault="00382BD9">
      <w:r>
        <w:separator/>
      </w:r>
    </w:p>
  </w:endnote>
  <w:endnote w:type="continuationSeparator" w:id="0">
    <w:p w:rsidR="00382BD9" w:rsidRDefault="00382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D9" w:rsidRDefault="00382BD9">
      <w:r>
        <w:separator/>
      </w:r>
    </w:p>
  </w:footnote>
  <w:footnote w:type="continuationSeparator" w:id="0">
    <w:p w:rsidR="00382BD9" w:rsidRDefault="00382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D2C59"/>
    <w:multiLevelType w:val="hybridMultilevel"/>
    <w:tmpl w:val="F84AC294"/>
    <w:lvl w:ilvl="0" w:tplc="F9027A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F6F11"/>
    <w:rsid w:val="000224B4"/>
    <w:rsid w:val="000300C8"/>
    <w:rsid w:val="000317F7"/>
    <w:rsid w:val="00043C1B"/>
    <w:rsid w:val="00062B0A"/>
    <w:rsid w:val="00064272"/>
    <w:rsid w:val="00070881"/>
    <w:rsid w:val="00076AEF"/>
    <w:rsid w:val="000829FA"/>
    <w:rsid w:val="000900D8"/>
    <w:rsid w:val="000A2BCA"/>
    <w:rsid w:val="000A4EBC"/>
    <w:rsid w:val="000B0277"/>
    <w:rsid w:val="000B4A7A"/>
    <w:rsid w:val="000C02AC"/>
    <w:rsid w:val="000E01F8"/>
    <w:rsid w:val="000E47F6"/>
    <w:rsid w:val="000F067E"/>
    <w:rsid w:val="000F26B8"/>
    <w:rsid w:val="00130E69"/>
    <w:rsid w:val="0013675E"/>
    <w:rsid w:val="00150A41"/>
    <w:rsid w:val="00166C9D"/>
    <w:rsid w:val="00187839"/>
    <w:rsid w:val="001A3C14"/>
    <w:rsid w:val="001A485D"/>
    <w:rsid w:val="001A6C9B"/>
    <w:rsid w:val="001C0E08"/>
    <w:rsid w:val="001C27E9"/>
    <w:rsid w:val="001C31DE"/>
    <w:rsid w:val="001C3519"/>
    <w:rsid w:val="001D01A8"/>
    <w:rsid w:val="001D0D46"/>
    <w:rsid w:val="001D7BC6"/>
    <w:rsid w:val="002141B6"/>
    <w:rsid w:val="002179DD"/>
    <w:rsid w:val="0022089E"/>
    <w:rsid w:val="00241782"/>
    <w:rsid w:val="00261B0E"/>
    <w:rsid w:val="0028156B"/>
    <w:rsid w:val="002C5C22"/>
    <w:rsid w:val="0031452A"/>
    <w:rsid w:val="0031559C"/>
    <w:rsid w:val="003567CB"/>
    <w:rsid w:val="00377547"/>
    <w:rsid w:val="003803E6"/>
    <w:rsid w:val="003827E2"/>
    <w:rsid w:val="00382BD9"/>
    <w:rsid w:val="00396864"/>
    <w:rsid w:val="003B40A1"/>
    <w:rsid w:val="003B48C1"/>
    <w:rsid w:val="003C0D6F"/>
    <w:rsid w:val="003E5D59"/>
    <w:rsid w:val="003F6C63"/>
    <w:rsid w:val="00406CE1"/>
    <w:rsid w:val="004204D0"/>
    <w:rsid w:val="00423487"/>
    <w:rsid w:val="0042393F"/>
    <w:rsid w:val="004253BB"/>
    <w:rsid w:val="00434DCA"/>
    <w:rsid w:val="004734B5"/>
    <w:rsid w:val="00481129"/>
    <w:rsid w:val="004E1E12"/>
    <w:rsid w:val="00514002"/>
    <w:rsid w:val="005202DD"/>
    <w:rsid w:val="00526484"/>
    <w:rsid w:val="005356A5"/>
    <w:rsid w:val="00536C82"/>
    <w:rsid w:val="005427CC"/>
    <w:rsid w:val="00543BEB"/>
    <w:rsid w:val="00570D99"/>
    <w:rsid w:val="0058203E"/>
    <w:rsid w:val="005B7296"/>
    <w:rsid w:val="005C2AFE"/>
    <w:rsid w:val="005C3A12"/>
    <w:rsid w:val="005C6267"/>
    <w:rsid w:val="005D0A14"/>
    <w:rsid w:val="006201B1"/>
    <w:rsid w:val="0062178F"/>
    <w:rsid w:val="006269C1"/>
    <w:rsid w:val="0062714C"/>
    <w:rsid w:val="00672C95"/>
    <w:rsid w:val="006C5F8A"/>
    <w:rsid w:val="006D47E9"/>
    <w:rsid w:val="006D5717"/>
    <w:rsid w:val="006E4F5C"/>
    <w:rsid w:val="00707F63"/>
    <w:rsid w:val="007462F4"/>
    <w:rsid w:val="007532AB"/>
    <w:rsid w:val="00764428"/>
    <w:rsid w:val="007850D3"/>
    <w:rsid w:val="00786C77"/>
    <w:rsid w:val="007B643E"/>
    <w:rsid w:val="007E7BAF"/>
    <w:rsid w:val="007E7F0F"/>
    <w:rsid w:val="007F2CB3"/>
    <w:rsid w:val="0081625B"/>
    <w:rsid w:val="0082563D"/>
    <w:rsid w:val="00837883"/>
    <w:rsid w:val="00837B21"/>
    <w:rsid w:val="00866C7D"/>
    <w:rsid w:val="008C08C4"/>
    <w:rsid w:val="008E54CB"/>
    <w:rsid w:val="008E5E2E"/>
    <w:rsid w:val="00924204"/>
    <w:rsid w:val="00942E7A"/>
    <w:rsid w:val="009709AD"/>
    <w:rsid w:val="00980B3C"/>
    <w:rsid w:val="0098376A"/>
    <w:rsid w:val="00991BA5"/>
    <w:rsid w:val="00991D27"/>
    <w:rsid w:val="00994EC6"/>
    <w:rsid w:val="009B624A"/>
    <w:rsid w:val="009C1B45"/>
    <w:rsid w:val="009D30E1"/>
    <w:rsid w:val="009E501C"/>
    <w:rsid w:val="00A14DF2"/>
    <w:rsid w:val="00A15836"/>
    <w:rsid w:val="00A3178F"/>
    <w:rsid w:val="00A4070B"/>
    <w:rsid w:val="00A41BDD"/>
    <w:rsid w:val="00AA3A3A"/>
    <w:rsid w:val="00AB3DC4"/>
    <w:rsid w:val="00AC095F"/>
    <w:rsid w:val="00AC617F"/>
    <w:rsid w:val="00AD0F02"/>
    <w:rsid w:val="00AE53C4"/>
    <w:rsid w:val="00AF5ADE"/>
    <w:rsid w:val="00AF6F11"/>
    <w:rsid w:val="00B022AA"/>
    <w:rsid w:val="00B27CC9"/>
    <w:rsid w:val="00B41573"/>
    <w:rsid w:val="00B4348A"/>
    <w:rsid w:val="00B55A9E"/>
    <w:rsid w:val="00B60822"/>
    <w:rsid w:val="00B65477"/>
    <w:rsid w:val="00B67A9F"/>
    <w:rsid w:val="00B81932"/>
    <w:rsid w:val="00B852D5"/>
    <w:rsid w:val="00BA64C7"/>
    <w:rsid w:val="00BD1779"/>
    <w:rsid w:val="00BE6E9C"/>
    <w:rsid w:val="00BF247F"/>
    <w:rsid w:val="00C00996"/>
    <w:rsid w:val="00C17FA3"/>
    <w:rsid w:val="00C50F5D"/>
    <w:rsid w:val="00C526C7"/>
    <w:rsid w:val="00C72576"/>
    <w:rsid w:val="00C765DD"/>
    <w:rsid w:val="00C86096"/>
    <w:rsid w:val="00C8797E"/>
    <w:rsid w:val="00C97F31"/>
    <w:rsid w:val="00CA1094"/>
    <w:rsid w:val="00CA31AD"/>
    <w:rsid w:val="00CD22C6"/>
    <w:rsid w:val="00CF776B"/>
    <w:rsid w:val="00D054E1"/>
    <w:rsid w:val="00D073BB"/>
    <w:rsid w:val="00D1279D"/>
    <w:rsid w:val="00D31A00"/>
    <w:rsid w:val="00D41DA2"/>
    <w:rsid w:val="00D71F9D"/>
    <w:rsid w:val="00D8325C"/>
    <w:rsid w:val="00DC5FA7"/>
    <w:rsid w:val="00DD24E4"/>
    <w:rsid w:val="00DF4FFE"/>
    <w:rsid w:val="00E015A9"/>
    <w:rsid w:val="00E0591C"/>
    <w:rsid w:val="00E100B7"/>
    <w:rsid w:val="00E1544C"/>
    <w:rsid w:val="00E36BAC"/>
    <w:rsid w:val="00E70ED4"/>
    <w:rsid w:val="00E82239"/>
    <w:rsid w:val="00E8681D"/>
    <w:rsid w:val="00E873AE"/>
    <w:rsid w:val="00E947E0"/>
    <w:rsid w:val="00EA68EE"/>
    <w:rsid w:val="00EB7CE9"/>
    <w:rsid w:val="00EC5F3D"/>
    <w:rsid w:val="00ED7C29"/>
    <w:rsid w:val="00EE7CFD"/>
    <w:rsid w:val="00F05C6E"/>
    <w:rsid w:val="00F158B0"/>
    <w:rsid w:val="00F15EE1"/>
    <w:rsid w:val="00F35B4A"/>
    <w:rsid w:val="00F404A6"/>
    <w:rsid w:val="00F503EF"/>
    <w:rsid w:val="00F57D95"/>
    <w:rsid w:val="00F75CB8"/>
    <w:rsid w:val="00F80D88"/>
    <w:rsid w:val="00F9166D"/>
    <w:rsid w:val="00FB2056"/>
    <w:rsid w:val="00FE4497"/>
    <w:rsid w:val="00FF7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E947E0"/>
    <w:rPr>
      <w:rFonts w:ascii="Cambria" w:hAnsi="Cambria" w:cs="Times New Roman"/>
      <w:b/>
      <w:bCs/>
      <w:i/>
      <w:iCs/>
      <w:sz w:val="28"/>
      <w:szCs w:val="28"/>
    </w:rPr>
  </w:style>
  <w:style w:type="paragraph" w:customStyle="1" w:styleId="MOJnormal">
    <w:name w:val="MOJ normal"/>
    <w:next w:val="Normal"/>
    <w:uiPriority w:val="99"/>
    <w:rsid w:val="00AF6F11"/>
    <w:rPr>
      <w:rFonts w:ascii="Arial" w:hAnsi="Arial"/>
      <w:sz w:val="24"/>
      <w:lang w:eastAsia="en-US"/>
    </w:rPr>
  </w:style>
  <w:style w:type="paragraph" w:customStyle="1" w:styleId="MOJtext-otheraddress">
    <w:name w:val="MOJ text - other address"/>
    <w:next w:val="Normal"/>
    <w:uiPriority w:val="99"/>
    <w:rsid w:val="00AF6F11"/>
    <w:rPr>
      <w:rFonts w:ascii="Arial" w:hAnsi="Arial"/>
      <w:sz w:val="24"/>
      <w:lang w:eastAsia="en-US"/>
    </w:rPr>
  </w:style>
  <w:style w:type="character" w:styleId="Hyperlink">
    <w:name w:val="Hyperlink"/>
    <w:uiPriority w:val="99"/>
    <w:rsid w:val="00ED7C29"/>
    <w:rPr>
      <w:rFonts w:cs="Times New Roman"/>
      <w:color w:val="0000FF"/>
      <w:u w:val="single"/>
    </w:rPr>
  </w:style>
  <w:style w:type="character" w:styleId="FollowedHyperlink">
    <w:name w:val="FollowedHyperlink"/>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link w:val="FootnoteText"/>
    <w:uiPriority w:val="99"/>
    <w:semiHidden/>
    <w:locked/>
    <w:rsid w:val="00E947E0"/>
    <w:rPr>
      <w:rFonts w:cs="Times New Roman"/>
      <w:sz w:val="20"/>
      <w:szCs w:val="20"/>
    </w:rPr>
  </w:style>
  <w:style w:type="character" w:styleId="FootnoteReference">
    <w:name w:val="footnote reference"/>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link w:val="Header"/>
    <w:uiPriority w:val="99"/>
    <w:semiHidden/>
    <w:locked/>
    <w:rsid w:val="00E947E0"/>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link w:val="Footer"/>
    <w:uiPriority w:val="99"/>
    <w:semiHidden/>
    <w:locked/>
    <w:rsid w:val="00E947E0"/>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uiPriority w:val="99"/>
    <w:rsid w:val="00434DCA"/>
    <w:rPr>
      <w:rFonts w:cs="Times New Roman"/>
    </w:rPr>
  </w:style>
  <w:style w:type="character" w:customStyle="1" w:styleId="legdslegrhslegp2text">
    <w:name w:val="legds legrhs legp2text"/>
    <w:uiPriority w:val="99"/>
    <w:rsid w:val="00434DCA"/>
    <w:rPr>
      <w:rFonts w:cs="Times New Roman"/>
    </w:rPr>
  </w:style>
  <w:style w:type="character" w:customStyle="1" w:styleId="legdsleglhslegp3no">
    <w:name w:val="legds leglhs legp3no"/>
    <w:uiPriority w:val="99"/>
    <w:rsid w:val="00434DCA"/>
    <w:rPr>
      <w:rFonts w:cs="Times New Roman"/>
    </w:rPr>
  </w:style>
  <w:style w:type="character" w:customStyle="1" w:styleId="legdslegrhslegp3text">
    <w:name w:val="legds legrhs legp3text"/>
    <w:uiPriority w:val="99"/>
    <w:rsid w:val="00434DCA"/>
    <w:rPr>
      <w:rFonts w:cs="Times New Roman"/>
    </w:rPr>
  </w:style>
  <w:style w:type="character" w:customStyle="1" w:styleId="legdsleglhslegp4no">
    <w:name w:val="legds leglhs legp4no"/>
    <w:uiPriority w:val="99"/>
    <w:rsid w:val="00434DCA"/>
    <w:rPr>
      <w:rFonts w:cs="Times New Roman"/>
    </w:rPr>
  </w:style>
  <w:style w:type="character" w:customStyle="1" w:styleId="legdslegrhslegp4text">
    <w:name w:val="legds legrhs legp4text"/>
    <w:uiPriority w:val="99"/>
    <w:rsid w:val="00434DCA"/>
    <w:rPr>
      <w:rFonts w:cs="Times New Roman"/>
    </w:rPr>
  </w:style>
  <w:style w:type="character" w:customStyle="1" w:styleId="legterm">
    <w:name w:val="legterm"/>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link w:val="BalloonText"/>
    <w:uiPriority w:val="99"/>
    <w:semiHidden/>
    <w:locked/>
    <w:rsid w:val="00E947E0"/>
    <w:rPr>
      <w:rFonts w:cs="Times New Roman"/>
      <w:sz w:val="2"/>
    </w:rPr>
  </w:style>
  <w:style w:type="character" w:styleId="CommentReference">
    <w:name w:val="annotation reference"/>
    <w:uiPriority w:val="99"/>
    <w:rsid w:val="00FE4497"/>
    <w:rPr>
      <w:rFonts w:cs="Times New Roman"/>
      <w:sz w:val="16"/>
      <w:szCs w:val="16"/>
    </w:rPr>
  </w:style>
  <w:style w:type="paragraph" w:styleId="CommentText">
    <w:name w:val="annotation text"/>
    <w:basedOn w:val="Normal"/>
    <w:link w:val="CommentTextChar"/>
    <w:uiPriority w:val="99"/>
    <w:rsid w:val="00FE4497"/>
    <w:rPr>
      <w:sz w:val="20"/>
      <w:szCs w:val="20"/>
    </w:rPr>
  </w:style>
  <w:style w:type="character" w:customStyle="1" w:styleId="CommentTextChar">
    <w:name w:val="Comment Text Char"/>
    <w:link w:val="CommentText"/>
    <w:uiPriority w:val="99"/>
    <w:locked/>
    <w:rsid w:val="00FE4497"/>
    <w:rPr>
      <w:rFonts w:cs="Times New Roman"/>
    </w:rPr>
  </w:style>
  <w:style w:type="paragraph" w:styleId="CommentSubject">
    <w:name w:val="annotation subject"/>
    <w:basedOn w:val="CommentText"/>
    <w:next w:val="CommentText"/>
    <w:link w:val="CommentSubjectChar"/>
    <w:uiPriority w:val="99"/>
    <w:rsid w:val="00FE4497"/>
    <w:rPr>
      <w:b/>
      <w:bCs/>
    </w:rPr>
  </w:style>
  <w:style w:type="character" w:customStyle="1" w:styleId="CommentSubjectChar">
    <w:name w:val="Comment Subject Char"/>
    <w:link w:val="CommentSubject"/>
    <w:uiPriority w:val="99"/>
    <w:locked/>
    <w:rsid w:val="00FE4497"/>
    <w:rPr>
      <w:rFonts w:cs="Times New Roman"/>
      <w:b/>
      <w:bCs/>
    </w:rPr>
  </w:style>
</w:styles>
</file>

<file path=word/webSettings.xml><?xml version="1.0" encoding="utf-8"?>
<w:webSettings xmlns:r="http://schemas.openxmlformats.org/officeDocument/2006/relationships" xmlns:w="http://schemas.openxmlformats.org/wordprocessingml/2006/main">
  <w:divs>
    <w:div w:id="477845400">
      <w:marLeft w:val="0"/>
      <w:marRight w:val="0"/>
      <w:marTop w:val="0"/>
      <w:marBottom w:val="0"/>
      <w:divBdr>
        <w:top w:val="none" w:sz="0" w:space="0" w:color="auto"/>
        <w:left w:val="none" w:sz="0" w:space="0" w:color="auto"/>
        <w:bottom w:val="none" w:sz="0" w:space="0" w:color="auto"/>
        <w:right w:val="none" w:sz="0" w:space="0" w:color="auto"/>
      </w:divBdr>
    </w:div>
    <w:div w:id="477845402">
      <w:marLeft w:val="0"/>
      <w:marRight w:val="0"/>
      <w:marTop w:val="0"/>
      <w:marBottom w:val="0"/>
      <w:divBdr>
        <w:top w:val="none" w:sz="0" w:space="0" w:color="auto"/>
        <w:left w:val="none" w:sz="0" w:space="0" w:color="auto"/>
        <w:bottom w:val="none" w:sz="0" w:space="0" w:color="auto"/>
        <w:right w:val="none" w:sz="0" w:space="0" w:color="auto"/>
      </w:divBdr>
    </w:div>
    <w:div w:id="477845403">
      <w:marLeft w:val="0"/>
      <w:marRight w:val="0"/>
      <w:marTop w:val="0"/>
      <w:marBottom w:val="0"/>
      <w:divBdr>
        <w:top w:val="none" w:sz="0" w:space="0" w:color="auto"/>
        <w:left w:val="none" w:sz="0" w:space="0" w:color="auto"/>
        <w:bottom w:val="none" w:sz="0" w:space="0" w:color="auto"/>
        <w:right w:val="none" w:sz="0" w:space="0" w:color="auto"/>
      </w:divBdr>
      <w:divsChild>
        <w:div w:id="477845410">
          <w:marLeft w:val="0"/>
          <w:marRight w:val="0"/>
          <w:marTop w:val="0"/>
          <w:marBottom w:val="0"/>
          <w:divBdr>
            <w:top w:val="none" w:sz="0" w:space="0" w:color="auto"/>
            <w:left w:val="none" w:sz="0" w:space="0" w:color="auto"/>
            <w:bottom w:val="none" w:sz="0" w:space="0" w:color="auto"/>
            <w:right w:val="none" w:sz="0" w:space="0" w:color="auto"/>
          </w:divBdr>
          <w:divsChild>
            <w:div w:id="477845401">
              <w:marLeft w:val="0"/>
              <w:marRight w:val="0"/>
              <w:marTop w:val="0"/>
              <w:marBottom w:val="0"/>
              <w:divBdr>
                <w:top w:val="none" w:sz="0" w:space="0" w:color="auto"/>
                <w:left w:val="none" w:sz="0" w:space="0" w:color="auto"/>
                <w:bottom w:val="none" w:sz="0" w:space="0" w:color="auto"/>
                <w:right w:val="none" w:sz="0" w:space="0" w:color="auto"/>
              </w:divBdr>
              <w:divsChild>
                <w:div w:id="4778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5409">
      <w:marLeft w:val="0"/>
      <w:marRight w:val="0"/>
      <w:marTop w:val="0"/>
      <w:marBottom w:val="0"/>
      <w:divBdr>
        <w:top w:val="none" w:sz="0" w:space="0" w:color="auto"/>
        <w:left w:val="none" w:sz="0" w:space="0" w:color="auto"/>
        <w:bottom w:val="none" w:sz="0" w:space="0" w:color="auto"/>
        <w:right w:val="none" w:sz="0" w:space="0" w:color="auto"/>
      </w:divBdr>
      <w:divsChild>
        <w:div w:id="477845406">
          <w:marLeft w:val="0"/>
          <w:marRight w:val="0"/>
          <w:marTop w:val="0"/>
          <w:marBottom w:val="0"/>
          <w:divBdr>
            <w:top w:val="none" w:sz="0" w:space="0" w:color="auto"/>
            <w:left w:val="none" w:sz="0" w:space="0" w:color="auto"/>
            <w:bottom w:val="none" w:sz="0" w:space="0" w:color="auto"/>
            <w:right w:val="none" w:sz="0" w:space="0" w:color="auto"/>
          </w:divBdr>
          <w:divsChild>
            <w:div w:id="477845404">
              <w:marLeft w:val="0"/>
              <w:marRight w:val="0"/>
              <w:marTop w:val="0"/>
              <w:marBottom w:val="0"/>
              <w:divBdr>
                <w:top w:val="single" w:sz="2" w:space="0" w:color="FFFFFF"/>
                <w:left w:val="single" w:sz="6" w:space="0" w:color="FFFFFF"/>
                <w:bottom w:val="single" w:sz="6" w:space="0" w:color="FFFFFF"/>
                <w:right w:val="single" w:sz="6" w:space="0" w:color="FFFFFF"/>
              </w:divBdr>
              <w:divsChild>
                <w:div w:id="477845407">
                  <w:marLeft w:val="0"/>
                  <w:marRight w:val="0"/>
                  <w:marTop w:val="0"/>
                  <w:marBottom w:val="0"/>
                  <w:divBdr>
                    <w:top w:val="single" w:sz="6" w:space="1" w:color="D3D3D3"/>
                    <w:left w:val="none" w:sz="0" w:space="0" w:color="auto"/>
                    <w:bottom w:val="none" w:sz="0" w:space="0" w:color="auto"/>
                    <w:right w:val="none" w:sz="0" w:space="0" w:color="auto"/>
                  </w:divBdr>
                  <w:divsChild>
                    <w:div w:id="477845408">
                      <w:marLeft w:val="0"/>
                      <w:marRight w:val="0"/>
                      <w:marTop w:val="0"/>
                      <w:marBottom w:val="0"/>
                      <w:divBdr>
                        <w:top w:val="none" w:sz="0" w:space="0" w:color="auto"/>
                        <w:left w:val="none" w:sz="0" w:space="0" w:color="auto"/>
                        <w:bottom w:val="none" w:sz="0" w:space="0" w:color="auto"/>
                        <w:right w:val="none" w:sz="0" w:space="0" w:color="auto"/>
                      </w:divBdr>
                      <w:divsChild>
                        <w:div w:id="477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45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ministry-of-justice/series/freedom-of-information-disclosure-log" TargetMode="External"/><Relationship Id="rId5" Type="http://schemas.openxmlformats.org/officeDocument/2006/relationships/footnotes" Target="footnotes.xml"/><Relationship Id="rId10" Type="http://schemas.openxmlformats.org/officeDocument/2006/relationships/hyperlink" Target="http://www.legislation.gov.uk/ukpga/2000/36/contents" TargetMode="External"/><Relationship Id="rId4" Type="http://schemas.openxmlformats.org/officeDocument/2006/relationships/webSettings" Target="webSettings.xml"/><Relationship Id="rId9" Type="http://schemas.openxmlformats.org/officeDocument/2006/relationships/hyperlink" Target="https://www.gov.uk/government/statistics/proven-reoffending-statistics-quarterly-october-2012-to-september-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2015-08-20T14:07:00Z</dcterms:created>
  <dcterms:modified xsi:type="dcterms:W3CDTF">2015-08-20T14:07:00Z</dcterms:modified>
</cp:coreProperties>
</file>