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FD635" w14:textId="77777777" w:rsidR="00BE3397" w:rsidRDefault="00BE3397" w:rsidP="00BE3397">
      <w:pPr>
        <w:pStyle w:val="zzDoNotRemove"/>
      </w:pPr>
      <w:r w:rsidRPr="0006568B">
        <w:t xml:space="preserve">Do </w:t>
      </w:r>
      <w:hyperlink r:id="rId8" w:history="1">
        <w:r w:rsidRPr="0006568B">
          <w:rPr>
            <w:rStyle w:val="Bold"/>
          </w:rPr>
          <w:t>not</w:t>
        </w:r>
      </w:hyperlink>
      <w:r w:rsidRPr="0006568B">
        <w:t xml:space="preserve"> remove this if sending to </w:t>
      </w:r>
      <w:proofErr w:type="spellStart"/>
      <w:r w:rsidRPr="0006568B">
        <w:t>pagerunner</w:t>
      </w:r>
      <w:r w:rsidRPr="001E53AB">
        <w:t>r</w:t>
      </w:r>
      <w:proofErr w:type="spellEnd"/>
      <w:r w:rsidRPr="001E53AB">
        <w:t xml:space="preserve"> Page Title</w:t>
      </w:r>
    </w:p>
    <w:p w14:paraId="637979BB" w14:textId="77777777" w:rsidR="00BE3397" w:rsidRDefault="00BE3397" w:rsidP="00BE3397">
      <w:pPr>
        <w:pStyle w:val="zzDoNotRemove"/>
      </w:pPr>
    </w:p>
    <w:p w14:paraId="463FE9E7" w14:textId="77777777" w:rsidR="00BE3397" w:rsidRDefault="00C167CE" w:rsidP="004F1E78">
      <w:pPr>
        <w:pStyle w:val="zzCoverdonotuse"/>
      </w:pPr>
      <w:bookmarkStart w:id="0" w:name="_GoBack"/>
      <w:r>
        <w:t xml:space="preserve">Consultation on Guidance on Harbour Closure Orders and Pilotage Function Removal Orders for English harbours </w:t>
      </w:r>
      <w:proofErr w:type="gramStart"/>
      <w:r>
        <w:t>and</w:t>
      </w:r>
      <w:proofErr w:type="gramEnd"/>
      <w:r>
        <w:t xml:space="preserve"> Welsh non-fishery harbours</w:t>
      </w:r>
    </w:p>
    <w:bookmarkEnd w:id="0"/>
    <w:p w14:paraId="1CFD1D22" w14:textId="77777777" w:rsidR="00E038BC" w:rsidRDefault="00E038BC" w:rsidP="00E038BC">
      <w:pPr>
        <w:pStyle w:val="zzSubtitledonotuse"/>
      </w:pPr>
    </w:p>
    <w:p w14:paraId="35536F81" w14:textId="660B8C5E" w:rsidR="007C16DE" w:rsidRDefault="007C16DE" w:rsidP="004F1E78">
      <w:pPr>
        <w:pStyle w:val="zzCoverdonotuse"/>
      </w:pPr>
    </w:p>
    <w:p w14:paraId="791FF885" w14:textId="77777777" w:rsidR="007C16DE" w:rsidRPr="007C16DE" w:rsidRDefault="007C16DE" w:rsidP="007C16DE"/>
    <w:p w14:paraId="11B77ADE" w14:textId="77777777" w:rsidR="007C16DE" w:rsidRPr="007C16DE" w:rsidRDefault="007C16DE" w:rsidP="007C16DE"/>
    <w:p w14:paraId="33398DD7" w14:textId="54021389" w:rsidR="007C16DE" w:rsidRPr="007C16DE" w:rsidRDefault="007C16DE" w:rsidP="007C16DE">
      <w:pPr>
        <w:tabs>
          <w:tab w:val="left" w:pos="2461"/>
        </w:tabs>
      </w:pPr>
      <w:r>
        <w:tab/>
      </w:r>
    </w:p>
    <w:p w14:paraId="106AF99A" w14:textId="77777777" w:rsidR="007C16DE" w:rsidRPr="007C16DE" w:rsidRDefault="007C16DE" w:rsidP="007C16DE"/>
    <w:p w14:paraId="6CDA5CFF" w14:textId="77777777" w:rsidR="007C16DE" w:rsidRPr="007C16DE" w:rsidRDefault="007C16DE" w:rsidP="007C16DE"/>
    <w:p w14:paraId="66E23298" w14:textId="77777777" w:rsidR="007C16DE" w:rsidRPr="007C16DE" w:rsidRDefault="007C16DE" w:rsidP="007C16DE"/>
    <w:p w14:paraId="57CE1493" w14:textId="77777777" w:rsidR="007C16DE" w:rsidRPr="007C16DE" w:rsidRDefault="007C16DE" w:rsidP="007C16DE"/>
    <w:p w14:paraId="2657A616" w14:textId="77777777" w:rsidR="007C16DE" w:rsidRPr="007C16DE" w:rsidRDefault="007C16DE" w:rsidP="007C16DE"/>
    <w:p w14:paraId="7A9DA0F6" w14:textId="77777777" w:rsidR="007C16DE" w:rsidRPr="007C16DE" w:rsidRDefault="007C16DE" w:rsidP="007C16DE"/>
    <w:p w14:paraId="658C5768" w14:textId="77777777" w:rsidR="007C16DE" w:rsidRPr="007C16DE" w:rsidRDefault="007C16DE" w:rsidP="007C16DE"/>
    <w:p w14:paraId="6414D0C8" w14:textId="0C34ED9D" w:rsidR="00E038BC" w:rsidRPr="007C16DE" w:rsidRDefault="00E038BC" w:rsidP="007C16DE">
      <w:pPr>
        <w:sectPr w:rsidR="00E038BC" w:rsidRPr="007C16DE" w:rsidSect="00650230">
          <w:headerReference w:type="default" r:id="rId9"/>
          <w:footerReference w:type="even" r:id="rId10"/>
          <w:footerReference w:type="default" r:id="rId11"/>
          <w:endnotePr>
            <w:numFmt w:val="decimal"/>
          </w:endnotePr>
          <w:pgSz w:w="11907" w:h="16840" w:code="9"/>
          <w:pgMar w:top="1985" w:right="1134" w:bottom="851" w:left="1134" w:header="1077" w:footer="709" w:gutter="0"/>
          <w:cols w:space="708"/>
          <w:docGrid w:linePitch="360"/>
        </w:sectPr>
      </w:pPr>
    </w:p>
    <w:p w14:paraId="5CE96CA5" w14:textId="77777777" w:rsidR="00BE3397" w:rsidRPr="005055DF" w:rsidRDefault="00D07621" w:rsidP="00BE3397">
      <w:pPr>
        <w:pStyle w:val="22-BodyText"/>
      </w:pPr>
      <w:r w:rsidRPr="00591523">
        <w:lastRenderedPageBreak/>
        <w:t>The Department for Transport has actively considered the needs of blind and partially sighted people in accessing this document. The text will be made available in full on the Department’s website. The text may be freely downloaded and translated by individuals or organisations for conversion into other accessible formats. If you have other needs in this regard please contact the Department</w:t>
      </w:r>
      <w:r w:rsidR="00BE3397" w:rsidRPr="005055DF">
        <w:t xml:space="preserve">. </w:t>
      </w:r>
    </w:p>
    <w:p w14:paraId="01F9EC68" w14:textId="77777777" w:rsidR="00BE3397" w:rsidRDefault="00BE3397" w:rsidP="002A515B">
      <w:pPr>
        <w:pStyle w:val="22-BodyText"/>
        <w:spacing w:after="0"/>
      </w:pPr>
      <w:r w:rsidRPr="005055DF">
        <w:t>Department for Transport</w:t>
      </w:r>
      <w:r w:rsidRPr="007E0622">
        <w:rPr>
          <w:rFonts w:eastAsia="MS Gothic"/>
        </w:rPr>
        <w:br/>
      </w:r>
      <w:r w:rsidRPr="005055DF">
        <w:t>Great Minster House</w:t>
      </w:r>
      <w:r w:rsidRPr="007E0622">
        <w:rPr>
          <w:rFonts w:eastAsia="MS Gothic"/>
        </w:rPr>
        <w:br/>
      </w:r>
      <w:r w:rsidR="005B4F6B">
        <w:t xml:space="preserve">33 </w:t>
      </w:r>
      <w:proofErr w:type="spellStart"/>
      <w:r w:rsidR="005B4F6B">
        <w:t>Horseferry</w:t>
      </w:r>
      <w:proofErr w:type="spellEnd"/>
      <w:r w:rsidR="005B4F6B">
        <w:t xml:space="preserve"> Road</w:t>
      </w:r>
      <w:r w:rsidRPr="007E0622">
        <w:rPr>
          <w:rFonts w:eastAsia="MS Gothic"/>
        </w:rPr>
        <w:br/>
      </w:r>
      <w:r w:rsidRPr="005055DF">
        <w:t>London SW1P 4DR</w:t>
      </w:r>
      <w:r w:rsidRPr="007E0622">
        <w:rPr>
          <w:rFonts w:eastAsia="MS Gothic"/>
        </w:rPr>
        <w:br/>
      </w:r>
      <w:r w:rsidRPr="005055DF">
        <w:t xml:space="preserve">Telephone </w:t>
      </w:r>
      <w:r>
        <w:t>0300 330 3000</w:t>
      </w:r>
      <w:r w:rsidRPr="007E0622">
        <w:rPr>
          <w:rFonts w:eastAsia="MS Gothic"/>
        </w:rPr>
        <w:br/>
      </w:r>
      <w:r w:rsidRPr="005055DF">
        <w:t xml:space="preserve">Website </w:t>
      </w:r>
      <w:hyperlink r:id="rId12" w:history="1">
        <w:r w:rsidRPr="002E1B9B">
          <w:rPr>
            <w:rStyle w:val="Hyperlink"/>
          </w:rPr>
          <w:t>www.gov.uk</w:t>
        </w:r>
        <w:r w:rsidR="002E1B9B" w:rsidRPr="002E1B9B">
          <w:rPr>
            <w:rStyle w:val="Hyperlink"/>
          </w:rPr>
          <w:t>/dft</w:t>
        </w:r>
      </w:hyperlink>
    </w:p>
    <w:p w14:paraId="6BEF0BEC" w14:textId="77777777" w:rsidR="002A515B" w:rsidRPr="002A515B" w:rsidRDefault="008C7268" w:rsidP="002A515B">
      <w:pPr>
        <w:pStyle w:val="22-BodyText"/>
        <w:spacing w:before="0"/>
      </w:pPr>
      <w:r w:rsidRPr="008C7268">
        <w:t xml:space="preserve">General enquiries: </w:t>
      </w:r>
      <w:hyperlink r:id="rId13" w:history="1">
        <w:r w:rsidRPr="008C7268">
          <w:rPr>
            <w:rStyle w:val="Hyperlink"/>
          </w:rPr>
          <w:t>https://forms.dft.gov.uk</w:t>
        </w:r>
      </w:hyperlink>
    </w:p>
    <w:p w14:paraId="4CA95B24" w14:textId="77777777" w:rsidR="002A515B" w:rsidRPr="005055DF" w:rsidRDefault="002A515B" w:rsidP="00BE3397">
      <w:pPr>
        <w:pStyle w:val="22-BodyText"/>
      </w:pPr>
    </w:p>
    <w:p w14:paraId="181A4EF8" w14:textId="71BE680A" w:rsidR="00BE3397" w:rsidRPr="005055DF" w:rsidRDefault="00BE3397" w:rsidP="00BE3397">
      <w:pPr>
        <w:pStyle w:val="22-BodyText"/>
      </w:pPr>
      <w:r w:rsidRPr="005055DF">
        <w:t>© Crown copyright 20</w:t>
      </w:r>
      <w:r w:rsidR="00B17ACB">
        <w:t>1</w:t>
      </w:r>
      <w:r w:rsidR="009C2EF1">
        <w:t>5</w:t>
      </w:r>
    </w:p>
    <w:p w14:paraId="4454403C" w14:textId="77777777" w:rsidR="00BE3397" w:rsidRPr="005055DF" w:rsidRDefault="00BE3397" w:rsidP="00BE3397">
      <w:pPr>
        <w:pStyle w:val="22-BodyText"/>
      </w:pPr>
      <w:r w:rsidRPr="005055DF">
        <w:t>Copyright in the typographical arrangement rests with the Crown.</w:t>
      </w:r>
    </w:p>
    <w:p w14:paraId="6F3103DA" w14:textId="77777777" w:rsidR="00BE3397" w:rsidRDefault="00BE3397" w:rsidP="00BE3397">
      <w:pPr>
        <w:pStyle w:val="22-BodyText"/>
      </w:pPr>
      <w:r w:rsidRPr="00E472E7">
        <w:t xml:space="preserve">You may re-use this information (not including logos or third-party material) free of charge in any format or medium, under the terms of the Open Government Licence. To view this licence, visit </w:t>
      </w:r>
      <w:r w:rsidR="00456EB7" w:rsidRPr="00456EB7">
        <w:rPr>
          <w:rFonts w:eastAsia="MS Gothic"/>
        </w:rPr>
        <w:br/>
      </w:r>
      <w:hyperlink r:id="rId14" w:history="1">
        <w:r w:rsidR="00456EB7" w:rsidRPr="006D482E">
          <w:rPr>
            <w:rStyle w:val="Hyperlink"/>
          </w:rPr>
          <w:t>www.nationalarchives.gov.uk/doc/open-government-licence</w:t>
        </w:r>
      </w:hyperlink>
      <w:r w:rsidR="0039268E" w:rsidRPr="0039268E">
        <w:t xml:space="preserve">  </w:t>
      </w:r>
      <w:r w:rsidR="00F040B8" w:rsidRPr="0039268E">
        <w:rPr>
          <w:noProof/>
          <w:lang w:eastAsia="en-GB"/>
        </w:rPr>
        <w:drawing>
          <wp:inline distT="0" distB="0" distL="0" distR="0" wp14:anchorId="0519EB5C" wp14:editId="4E66D621">
            <wp:extent cx="314325" cy="123825"/>
            <wp:effectExtent l="0" t="0" r="9525" b="9525"/>
            <wp:docPr id="1" name="Picture 1" descr="ogl-symbol-41px-retina-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symbol-41px-retina-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325" cy="123825"/>
                    </a:xfrm>
                    <a:prstGeom prst="rect">
                      <a:avLst/>
                    </a:prstGeom>
                    <a:noFill/>
                    <a:ln>
                      <a:noFill/>
                    </a:ln>
                  </pic:spPr>
                </pic:pic>
              </a:graphicData>
            </a:graphic>
          </wp:inline>
        </w:drawing>
      </w:r>
      <w:r w:rsidR="0039268E" w:rsidRPr="0039268E">
        <w:t xml:space="preserve">  </w:t>
      </w:r>
      <w:r w:rsidR="00456EB7" w:rsidRPr="00456EB7">
        <w:rPr>
          <w:rFonts w:eastAsia="MS Gothic"/>
        </w:rPr>
        <w:br/>
      </w:r>
      <w:r w:rsidR="0039268E" w:rsidRPr="0039268E">
        <w:t>or write to the Information Policy Team, The National Archives, Kew, London TW9 4DU, or e-mail</w:t>
      </w:r>
      <w:r w:rsidRPr="00E472E7">
        <w:t xml:space="preserve">: </w:t>
      </w:r>
      <w:hyperlink r:id="rId16" w:history="1">
        <w:r w:rsidRPr="00E472E7">
          <w:rPr>
            <w:rStyle w:val="Hyperlink"/>
          </w:rPr>
          <w:t>psi@nationalarchives.gsi.gov.uk</w:t>
        </w:r>
      </w:hyperlink>
      <w:r w:rsidRPr="00E472E7">
        <w:t>.</w:t>
      </w:r>
    </w:p>
    <w:p w14:paraId="466DBC07" w14:textId="77777777" w:rsidR="00BE3397" w:rsidRDefault="00477253" w:rsidP="005D1945">
      <w:pPr>
        <w:pStyle w:val="22-BodyText"/>
        <w:sectPr w:rsidR="00BE3397" w:rsidSect="00BD7AF9">
          <w:headerReference w:type="default" r:id="rId17"/>
          <w:footerReference w:type="default" r:id="rId18"/>
          <w:endnotePr>
            <w:numFmt w:val="decimal"/>
          </w:endnotePr>
          <w:pgSz w:w="11907" w:h="16840" w:code="9"/>
          <w:pgMar w:top="1393" w:right="1701" w:bottom="1134" w:left="1701" w:header="709" w:footer="709" w:gutter="0"/>
          <w:cols w:space="708"/>
          <w:titlePg/>
          <w:docGrid w:linePitch="360"/>
        </w:sectPr>
      </w:pPr>
      <w:r w:rsidRPr="0016611F">
        <w:t>Where we have identified any third-party copyright information you will need to obtain permission from the copyright holders concerned.</w:t>
      </w:r>
    </w:p>
    <w:p w14:paraId="7AD33FDE" w14:textId="77777777" w:rsidR="00BE3397" w:rsidRPr="005055DF" w:rsidRDefault="00BE3397" w:rsidP="00BE3397">
      <w:pPr>
        <w:pStyle w:val="zzContentsHeaderdonotuse"/>
      </w:pPr>
      <w:r w:rsidRPr="005055DF">
        <w:lastRenderedPageBreak/>
        <w:t>Contents</w:t>
      </w:r>
    </w:p>
    <w:p w14:paraId="2138C781" w14:textId="77777777" w:rsidR="00801293" w:rsidRDefault="00BE3397">
      <w:pPr>
        <w:pStyle w:val="TOC1"/>
        <w:tabs>
          <w:tab w:val="right" w:leader="dot" w:pos="8495"/>
        </w:tabs>
        <w:rPr>
          <w:rFonts w:asciiTheme="minorHAnsi" w:eastAsiaTheme="minorEastAsia" w:hAnsiTheme="minorHAnsi" w:cstheme="minorBidi"/>
          <w:bCs w:val="0"/>
          <w:noProof/>
          <w:sz w:val="22"/>
          <w:szCs w:val="22"/>
          <w:lang w:eastAsia="en-GB"/>
        </w:rPr>
      </w:pPr>
      <w:r w:rsidRPr="005055DF">
        <w:rPr>
          <w:sz w:val="24"/>
        </w:rPr>
        <w:fldChar w:fldCharType="begin"/>
      </w:r>
      <w:r w:rsidRPr="00675524">
        <w:instrText xml:space="preserve"> TOC \o "1-2" \t "Heading 1 NoNumber,1" </w:instrText>
      </w:r>
      <w:r w:rsidRPr="005055DF">
        <w:rPr>
          <w:sz w:val="24"/>
        </w:rPr>
        <w:fldChar w:fldCharType="separate"/>
      </w:r>
      <w:r w:rsidR="00801293">
        <w:rPr>
          <w:noProof/>
        </w:rPr>
        <w:t>Executive summary</w:t>
      </w:r>
      <w:r w:rsidR="00801293">
        <w:rPr>
          <w:noProof/>
        </w:rPr>
        <w:tab/>
      </w:r>
      <w:r w:rsidR="00801293">
        <w:rPr>
          <w:noProof/>
        </w:rPr>
        <w:fldChar w:fldCharType="begin"/>
      </w:r>
      <w:r w:rsidR="00801293">
        <w:rPr>
          <w:noProof/>
        </w:rPr>
        <w:instrText xml:space="preserve"> PAGEREF _Toc424652206 \h </w:instrText>
      </w:r>
      <w:r w:rsidR="00801293">
        <w:rPr>
          <w:noProof/>
        </w:rPr>
      </w:r>
      <w:r w:rsidR="00801293">
        <w:rPr>
          <w:noProof/>
        </w:rPr>
        <w:fldChar w:fldCharType="separate"/>
      </w:r>
      <w:r w:rsidR="00DD1203">
        <w:rPr>
          <w:noProof/>
        </w:rPr>
        <w:t>4</w:t>
      </w:r>
      <w:r w:rsidR="00801293">
        <w:rPr>
          <w:noProof/>
        </w:rPr>
        <w:fldChar w:fldCharType="end"/>
      </w:r>
    </w:p>
    <w:p w14:paraId="1A4A5E6E" w14:textId="77777777" w:rsidR="00801293" w:rsidRDefault="00801293">
      <w:pPr>
        <w:pStyle w:val="TOC2"/>
        <w:tabs>
          <w:tab w:val="right" w:leader="dot" w:pos="8495"/>
        </w:tabs>
        <w:rPr>
          <w:rFonts w:asciiTheme="minorHAnsi" w:eastAsiaTheme="minorEastAsia" w:hAnsiTheme="minorHAnsi" w:cstheme="minorBidi"/>
          <w:noProof/>
          <w:sz w:val="22"/>
          <w:szCs w:val="22"/>
          <w:lang w:eastAsia="en-GB"/>
        </w:rPr>
      </w:pPr>
      <w:r>
        <w:rPr>
          <w:noProof/>
        </w:rPr>
        <w:t>Introduction</w:t>
      </w:r>
      <w:r>
        <w:rPr>
          <w:noProof/>
        </w:rPr>
        <w:tab/>
      </w:r>
      <w:r>
        <w:rPr>
          <w:noProof/>
        </w:rPr>
        <w:fldChar w:fldCharType="begin"/>
      </w:r>
      <w:r>
        <w:rPr>
          <w:noProof/>
        </w:rPr>
        <w:instrText xml:space="preserve"> PAGEREF _Toc424652207 \h </w:instrText>
      </w:r>
      <w:r>
        <w:rPr>
          <w:noProof/>
        </w:rPr>
      </w:r>
      <w:r>
        <w:rPr>
          <w:noProof/>
        </w:rPr>
        <w:fldChar w:fldCharType="separate"/>
      </w:r>
      <w:r w:rsidR="00DD1203">
        <w:rPr>
          <w:noProof/>
        </w:rPr>
        <w:t>4</w:t>
      </w:r>
      <w:r>
        <w:rPr>
          <w:noProof/>
        </w:rPr>
        <w:fldChar w:fldCharType="end"/>
      </w:r>
    </w:p>
    <w:p w14:paraId="32156F23" w14:textId="77777777" w:rsidR="00801293" w:rsidRDefault="00801293">
      <w:pPr>
        <w:pStyle w:val="TOC2"/>
        <w:tabs>
          <w:tab w:val="right" w:leader="dot" w:pos="8495"/>
        </w:tabs>
        <w:rPr>
          <w:rFonts w:asciiTheme="minorHAnsi" w:eastAsiaTheme="minorEastAsia" w:hAnsiTheme="minorHAnsi" w:cstheme="minorBidi"/>
          <w:noProof/>
          <w:sz w:val="22"/>
          <w:szCs w:val="22"/>
          <w:lang w:eastAsia="en-GB"/>
        </w:rPr>
      </w:pPr>
      <w:r>
        <w:rPr>
          <w:noProof/>
        </w:rPr>
        <w:t>How to respond</w:t>
      </w:r>
      <w:r>
        <w:rPr>
          <w:noProof/>
        </w:rPr>
        <w:tab/>
      </w:r>
      <w:r>
        <w:rPr>
          <w:noProof/>
        </w:rPr>
        <w:fldChar w:fldCharType="begin"/>
      </w:r>
      <w:r>
        <w:rPr>
          <w:noProof/>
        </w:rPr>
        <w:instrText xml:space="preserve"> PAGEREF _Toc424652208 \h </w:instrText>
      </w:r>
      <w:r>
        <w:rPr>
          <w:noProof/>
        </w:rPr>
      </w:r>
      <w:r>
        <w:rPr>
          <w:noProof/>
        </w:rPr>
        <w:fldChar w:fldCharType="separate"/>
      </w:r>
      <w:r w:rsidR="00DD1203">
        <w:rPr>
          <w:noProof/>
        </w:rPr>
        <w:t>5</w:t>
      </w:r>
      <w:r>
        <w:rPr>
          <w:noProof/>
        </w:rPr>
        <w:fldChar w:fldCharType="end"/>
      </w:r>
    </w:p>
    <w:p w14:paraId="7B556EFF" w14:textId="77777777" w:rsidR="00801293" w:rsidRDefault="00801293">
      <w:pPr>
        <w:pStyle w:val="TOC2"/>
        <w:tabs>
          <w:tab w:val="right" w:leader="dot" w:pos="8495"/>
        </w:tabs>
        <w:rPr>
          <w:rFonts w:asciiTheme="minorHAnsi" w:eastAsiaTheme="minorEastAsia" w:hAnsiTheme="minorHAnsi" w:cstheme="minorBidi"/>
          <w:noProof/>
          <w:sz w:val="22"/>
          <w:szCs w:val="22"/>
          <w:lang w:eastAsia="en-GB"/>
        </w:rPr>
      </w:pPr>
      <w:r>
        <w:rPr>
          <w:noProof/>
        </w:rPr>
        <w:t>Freedom of Information</w:t>
      </w:r>
      <w:r>
        <w:rPr>
          <w:noProof/>
        </w:rPr>
        <w:tab/>
      </w:r>
      <w:r>
        <w:rPr>
          <w:noProof/>
        </w:rPr>
        <w:fldChar w:fldCharType="begin"/>
      </w:r>
      <w:r>
        <w:rPr>
          <w:noProof/>
        </w:rPr>
        <w:instrText xml:space="preserve"> PAGEREF _Toc424652209 \h </w:instrText>
      </w:r>
      <w:r>
        <w:rPr>
          <w:noProof/>
        </w:rPr>
      </w:r>
      <w:r>
        <w:rPr>
          <w:noProof/>
        </w:rPr>
        <w:fldChar w:fldCharType="separate"/>
      </w:r>
      <w:r w:rsidR="00DD1203">
        <w:rPr>
          <w:noProof/>
        </w:rPr>
        <w:t>6</w:t>
      </w:r>
      <w:r>
        <w:rPr>
          <w:noProof/>
        </w:rPr>
        <w:fldChar w:fldCharType="end"/>
      </w:r>
    </w:p>
    <w:p w14:paraId="17903250" w14:textId="77777777" w:rsidR="00801293" w:rsidRDefault="00801293">
      <w:pPr>
        <w:pStyle w:val="TOC1"/>
        <w:tabs>
          <w:tab w:val="left" w:pos="480"/>
          <w:tab w:val="right" w:leader="dot" w:pos="8495"/>
        </w:tabs>
        <w:rPr>
          <w:rFonts w:asciiTheme="minorHAnsi" w:eastAsiaTheme="minorEastAsia" w:hAnsiTheme="minorHAnsi" w:cstheme="minorBidi"/>
          <w:bCs w:val="0"/>
          <w:noProof/>
          <w:sz w:val="22"/>
          <w:szCs w:val="22"/>
          <w:lang w:eastAsia="en-GB"/>
        </w:rPr>
      </w:pPr>
      <w:r>
        <w:rPr>
          <w:noProof/>
        </w:rPr>
        <w:t>1.</w:t>
      </w:r>
      <w:r>
        <w:rPr>
          <w:rFonts w:asciiTheme="minorHAnsi" w:eastAsiaTheme="minorEastAsia" w:hAnsiTheme="minorHAnsi" w:cstheme="minorBidi"/>
          <w:bCs w:val="0"/>
          <w:noProof/>
          <w:sz w:val="22"/>
          <w:szCs w:val="22"/>
          <w:lang w:eastAsia="en-GB"/>
        </w:rPr>
        <w:tab/>
      </w:r>
      <w:r>
        <w:rPr>
          <w:noProof/>
        </w:rPr>
        <w:t>Consultation on draft Guidance on Harbour Closure Orders and Pilotage Function Removal Orders.</w:t>
      </w:r>
      <w:r>
        <w:rPr>
          <w:noProof/>
        </w:rPr>
        <w:tab/>
      </w:r>
      <w:r>
        <w:rPr>
          <w:noProof/>
        </w:rPr>
        <w:fldChar w:fldCharType="begin"/>
      </w:r>
      <w:r>
        <w:rPr>
          <w:noProof/>
        </w:rPr>
        <w:instrText xml:space="preserve"> PAGEREF _Toc424652210 \h </w:instrText>
      </w:r>
      <w:r>
        <w:rPr>
          <w:noProof/>
        </w:rPr>
      </w:r>
      <w:r>
        <w:rPr>
          <w:noProof/>
        </w:rPr>
        <w:fldChar w:fldCharType="separate"/>
      </w:r>
      <w:r w:rsidR="00DD1203">
        <w:rPr>
          <w:noProof/>
        </w:rPr>
        <w:t>7</w:t>
      </w:r>
      <w:r>
        <w:rPr>
          <w:noProof/>
        </w:rPr>
        <w:fldChar w:fldCharType="end"/>
      </w:r>
    </w:p>
    <w:p w14:paraId="11E6DC57" w14:textId="77777777" w:rsidR="00801293" w:rsidRDefault="00801293">
      <w:pPr>
        <w:pStyle w:val="TOC1"/>
        <w:tabs>
          <w:tab w:val="right" w:leader="dot" w:pos="8495"/>
        </w:tabs>
        <w:rPr>
          <w:rFonts w:asciiTheme="minorHAnsi" w:eastAsiaTheme="minorEastAsia" w:hAnsiTheme="minorHAnsi" w:cstheme="minorBidi"/>
          <w:bCs w:val="0"/>
          <w:noProof/>
          <w:sz w:val="22"/>
          <w:szCs w:val="22"/>
          <w:lang w:eastAsia="en-GB"/>
        </w:rPr>
      </w:pPr>
      <w:r>
        <w:rPr>
          <w:noProof/>
        </w:rPr>
        <w:t>What will happen next</w:t>
      </w:r>
      <w:r>
        <w:rPr>
          <w:noProof/>
        </w:rPr>
        <w:tab/>
      </w:r>
      <w:r>
        <w:rPr>
          <w:noProof/>
        </w:rPr>
        <w:fldChar w:fldCharType="begin"/>
      </w:r>
      <w:r>
        <w:rPr>
          <w:noProof/>
        </w:rPr>
        <w:instrText xml:space="preserve"> PAGEREF _Toc424652211 \h </w:instrText>
      </w:r>
      <w:r>
        <w:rPr>
          <w:noProof/>
        </w:rPr>
      </w:r>
      <w:r>
        <w:rPr>
          <w:noProof/>
        </w:rPr>
        <w:fldChar w:fldCharType="separate"/>
      </w:r>
      <w:r w:rsidR="00DD1203">
        <w:rPr>
          <w:noProof/>
        </w:rPr>
        <w:t>15</w:t>
      </w:r>
      <w:r>
        <w:rPr>
          <w:noProof/>
        </w:rPr>
        <w:fldChar w:fldCharType="end"/>
      </w:r>
    </w:p>
    <w:p w14:paraId="609FAEB3" w14:textId="77777777" w:rsidR="00801293" w:rsidRDefault="00801293">
      <w:pPr>
        <w:pStyle w:val="TOC1"/>
        <w:tabs>
          <w:tab w:val="right" w:leader="dot" w:pos="8495"/>
        </w:tabs>
        <w:rPr>
          <w:rFonts w:asciiTheme="minorHAnsi" w:eastAsiaTheme="minorEastAsia" w:hAnsiTheme="minorHAnsi" w:cstheme="minorBidi"/>
          <w:bCs w:val="0"/>
          <w:noProof/>
          <w:sz w:val="22"/>
          <w:szCs w:val="22"/>
          <w:lang w:eastAsia="en-GB"/>
        </w:rPr>
      </w:pPr>
      <w:r>
        <w:rPr>
          <w:noProof/>
        </w:rPr>
        <w:t>Annex A: Impact assessment</w:t>
      </w:r>
      <w:r>
        <w:rPr>
          <w:noProof/>
        </w:rPr>
        <w:tab/>
      </w:r>
      <w:r>
        <w:rPr>
          <w:noProof/>
        </w:rPr>
        <w:fldChar w:fldCharType="begin"/>
      </w:r>
      <w:r>
        <w:rPr>
          <w:noProof/>
        </w:rPr>
        <w:instrText xml:space="preserve"> PAGEREF _Toc424652212 \h </w:instrText>
      </w:r>
      <w:r>
        <w:rPr>
          <w:noProof/>
        </w:rPr>
      </w:r>
      <w:r>
        <w:rPr>
          <w:noProof/>
        </w:rPr>
        <w:fldChar w:fldCharType="separate"/>
      </w:r>
      <w:r w:rsidR="00DD1203">
        <w:rPr>
          <w:noProof/>
        </w:rPr>
        <w:t>16</w:t>
      </w:r>
      <w:r>
        <w:rPr>
          <w:noProof/>
        </w:rPr>
        <w:fldChar w:fldCharType="end"/>
      </w:r>
    </w:p>
    <w:p w14:paraId="68FDF299" w14:textId="77777777" w:rsidR="00801293" w:rsidRDefault="00801293">
      <w:pPr>
        <w:pStyle w:val="TOC1"/>
        <w:tabs>
          <w:tab w:val="right" w:leader="dot" w:pos="8495"/>
        </w:tabs>
        <w:rPr>
          <w:rFonts w:asciiTheme="minorHAnsi" w:eastAsiaTheme="minorEastAsia" w:hAnsiTheme="minorHAnsi" w:cstheme="minorBidi"/>
          <w:bCs w:val="0"/>
          <w:noProof/>
          <w:sz w:val="22"/>
          <w:szCs w:val="22"/>
          <w:lang w:eastAsia="en-GB"/>
        </w:rPr>
      </w:pPr>
      <w:r>
        <w:rPr>
          <w:noProof/>
        </w:rPr>
        <w:t>Annex B: Full list of consultation questions</w:t>
      </w:r>
      <w:r>
        <w:rPr>
          <w:noProof/>
        </w:rPr>
        <w:tab/>
      </w:r>
      <w:r>
        <w:rPr>
          <w:noProof/>
        </w:rPr>
        <w:fldChar w:fldCharType="begin"/>
      </w:r>
      <w:r>
        <w:rPr>
          <w:noProof/>
        </w:rPr>
        <w:instrText xml:space="preserve"> PAGEREF _Toc424652213 \h </w:instrText>
      </w:r>
      <w:r>
        <w:rPr>
          <w:noProof/>
        </w:rPr>
      </w:r>
      <w:r>
        <w:rPr>
          <w:noProof/>
        </w:rPr>
        <w:fldChar w:fldCharType="separate"/>
      </w:r>
      <w:r w:rsidR="00DD1203">
        <w:rPr>
          <w:noProof/>
        </w:rPr>
        <w:t>17</w:t>
      </w:r>
      <w:r>
        <w:rPr>
          <w:noProof/>
        </w:rPr>
        <w:fldChar w:fldCharType="end"/>
      </w:r>
    </w:p>
    <w:p w14:paraId="7150D529" w14:textId="77777777" w:rsidR="00801293" w:rsidRDefault="00801293">
      <w:pPr>
        <w:pStyle w:val="TOC1"/>
        <w:tabs>
          <w:tab w:val="right" w:leader="dot" w:pos="8495"/>
        </w:tabs>
        <w:rPr>
          <w:rFonts w:asciiTheme="minorHAnsi" w:eastAsiaTheme="minorEastAsia" w:hAnsiTheme="minorHAnsi" w:cstheme="minorBidi"/>
          <w:bCs w:val="0"/>
          <w:noProof/>
          <w:sz w:val="22"/>
          <w:szCs w:val="22"/>
          <w:lang w:eastAsia="en-GB"/>
        </w:rPr>
      </w:pPr>
      <w:r>
        <w:rPr>
          <w:noProof/>
        </w:rPr>
        <w:t>Annex C: Consultation principles</w:t>
      </w:r>
      <w:r>
        <w:rPr>
          <w:noProof/>
        </w:rPr>
        <w:tab/>
      </w:r>
      <w:r>
        <w:rPr>
          <w:noProof/>
        </w:rPr>
        <w:fldChar w:fldCharType="begin"/>
      </w:r>
      <w:r>
        <w:rPr>
          <w:noProof/>
        </w:rPr>
        <w:instrText xml:space="preserve"> PAGEREF _Toc424652214 \h </w:instrText>
      </w:r>
      <w:r>
        <w:rPr>
          <w:noProof/>
        </w:rPr>
      </w:r>
      <w:r>
        <w:rPr>
          <w:noProof/>
        </w:rPr>
        <w:fldChar w:fldCharType="separate"/>
      </w:r>
      <w:r w:rsidR="00DD1203">
        <w:rPr>
          <w:noProof/>
        </w:rPr>
        <w:t>20</w:t>
      </w:r>
      <w:r>
        <w:rPr>
          <w:noProof/>
        </w:rPr>
        <w:fldChar w:fldCharType="end"/>
      </w:r>
    </w:p>
    <w:p w14:paraId="450E7038" w14:textId="77777777" w:rsidR="00801293" w:rsidRDefault="00801293">
      <w:pPr>
        <w:pStyle w:val="TOC1"/>
        <w:tabs>
          <w:tab w:val="right" w:leader="dot" w:pos="8495"/>
        </w:tabs>
        <w:rPr>
          <w:rFonts w:asciiTheme="minorHAnsi" w:eastAsiaTheme="minorEastAsia" w:hAnsiTheme="minorHAnsi" w:cstheme="minorBidi"/>
          <w:bCs w:val="0"/>
          <w:noProof/>
          <w:sz w:val="22"/>
          <w:szCs w:val="22"/>
          <w:lang w:eastAsia="en-GB"/>
        </w:rPr>
      </w:pPr>
      <w:r>
        <w:rPr>
          <w:noProof/>
        </w:rPr>
        <w:t>Annex D: List of those consulted</w:t>
      </w:r>
      <w:r>
        <w:rPr>
          <w:noProof/>
        </w:rPr>
        <w:tab/>
      </w:r>
      <w:r>
        <w:rPr>
          <w:noProof/>
        </w:rPr>
        <w:fldChar w:fldCharType="begin"/>
      </w:r>
      <w:r>
        <w:rPr>
          <w:noProof/>
        </w:rPr>
        <w:instrText xml:space="preserve"> PAGEREF _Toc424652215 \h </w:instrText>
      </w:r>
      <w:r>
        <w:rPr>
          <w:noProof/>
        </w:rPr>
      </w:r>
      <w:r>
        <w:rPr>
          <w:noProof/>
        </w:rPr>
        <w:fldChar w:fldCharType="separate"/>
      </w:r>
      <w:r w:rsidR="00DD1203">
        <w:rPr>
          <w:noProof/>
        </w:rPr>
        <w:t>21</w:t>
      </w:r>
      <w:r>
        <w:rPr>
          <w:noProof/>
        </w:rPr>
        <w:fldChar w:fldCharType="end"/>
      </w:r>
    </w:p>
    <w:p w14:paraId="55F3E497" w14:textId="77777777" w:rsidR="00801293" w:rsidRDefault="00801293">
      <w:pPr>
        <w:pStyle w:val="TOC1"/>
        <w:tabs>
          <w:tab w:val="right" w:leader="dot" w:pos="8495"/>
        </w:tabs>
        <w:rPr>
          <w:rFonts w:asciiTheme="minorHAnsi" w:eastAsiaTheme="minorEastAsia" w:hAnsiTheme="minorHAnsi" w:cstheme="minorBidi"/>
          <w:bCs w:val="0"/>
          <w:noProof/>
          <w:sz w:val="22"/>
          <w:szCs w:val="22"/>
          <w:lang w:eastAsia="en-GB"/>
        </w:rPr>
      </w:pPr>
      <w:r>
        <w:rPr>
          <w:noProof/>
        </w:rPr>
        <w:t>Annex E: Guidance on Harbour Closure Orders and Pilotage Function Removal Orders</w:t>
      </w:r>
      <w:r>
        <w:rPr>
          <w:noProof/>
        </w:rPr>
        <w:tab/>
      </w:r>
      <w:r>
        <w:rPr>
          <w:noProof/>
        </w:rPr>
        <w:fldChar w:fldCharType="begin"/>
      </w:r>
      <w:r>
        <w:rPr>
          <w:noProof/>
        </w:rPr>
        <w:instrText xml:space="preserve"> PAGEREF _Toc424652216 \h </w:instrText>
      </w:r>
      <w:r>
        <w:rPr>
          <w:noProof/>
        </w:rPr>
      </w:r>
      <w:r>
        <w:rPr>
          <w:noProof/>
        </w:rPr>
        <w:fldChar w:fldCharType="separate"/>
      </w:r>
      <w:r w:rsidR="00DD1203">
        <w:rPr>
          <w:noProof/>
        </w:rPr>
        <w:t>22</w:t>
      </w:r>
      <w:r>
        <w:rPr>
          <w:noProof/>
        </w:rPr>
        <w:fldChar w:fldCharType="end"/>
      </w:r>
    </w:p>
    <w:p w14:paraId="5344FFE4" w14:textId="77777777" w:rsidR="00BE3397" w:rsidRPr="005055DF" w:rsidRDefault="00BE3397" w:rsidP="00BE3397">
      <w:pPr>
        <w:pStyle w:val="22-BodyText"/>
        <w:sectPr w:rsidR="00BE3397" w:rsidRPr="005055DF" w:rsidSect="00230D8E">
          <w:footerReference w:type="default" r:id="rId19"/>
          <w:endnotePr>
            <w:numFmt w:val="decimal"/>
          </w:endnotePr>
          <w:pgSz w:w="11907" w:h="16840" w:code="9"/>
          <w:pgMar w:top="1393" w:right="1701" w:bottom="1134" w:left="1701" w:header="709" w:footer="709" w:gutter="0"/>
          <w:cols w:space="708"/>
          <w:docGrid w:linePitch="360"/>
        </w:sectPr>
      </w:pPr>
      <w:r w:rsidRPr="005055DF">
        <w:fldChar w:fldCharType="end"/>
      </w:r>
    </w:p>
    <w:p w14:paraId="75373CC6" w14:textId="77777777" w:rsidR="00BE3397" w:rsidRDefault="00BE3397" w:rsidP="00BE3397">
      <w:pPr>
        <w:pStyle w:val="Heading1NoNumber"/>
      </w:pPr>
      <w:bookmarkStart w:id="1" w:name="_Toc424652206"/>
      <w:r w:rsidRPr="005055DF">
        <w:lastRenderedPageBreak/>
        <w:t>Executive summary</w:t>
      </w:r>
      <w:bookmarkEnd w:id="1"/>
    </w:p>
    <w:p w14:paraId="632366E6" w14:textId="77777777" w:rsidR="00AB0689" w:rsidRPr="00AB0689" w:rsidRDefault="00AB0689" w:rsidP="00AB0689">
      <w:pPr>
        <w:pStyle w:val="Heading2"/>
      </w:pPr>
      <w:bookmarkStart w:id="2" w:name="_Toc424652207"/>
      <w:r>
        <w:t>Introduction</w:t>
      </w:r>
      <w:bookmarkEnd w:id="2"/>
    </w:p>
    <w:p w14:paraId="602F5FD7" w14:textId="77777777" w:rsidR="00F92AE4" w:rsidRDefault="00F92AE4" w:rsidP="00F92AE4">
      <w:pPr>
        <w:pStyle w:val="MainTextNumbered"/>
      </w:pPr>
      <w:r w:rsidRPr="00F92AE4">
        <w:t xml:space="preserve">Harbour authorities are responsible for managing and running safe and efficient harbours. </w:t>
      </w:r>
      <w:r>
        <w:t xml:space="preserve"> Their powers are laid out in local Acts and Orders.  Harbour authorities have</w:t>
      </w:r>
      <w:r w:rsidRPr="00F92AE4">
        <w:t xml:space="preserve"> particular </w:t>
      </w:r>
      <w:r>
        <w:t>r</w:t>
      </w:r>
      <w:r w:rsidRPr="00F92AE4">
        <w:t>esponsibilities in relation to the safety of vessels and people within the harbour, efficient navigation and the protection of the port environment.</w:t>
      </w:r>
    </w:p>
    <w:p w14:paraId="147CB697" w14:textId="700548AD" w:rsidR="00F92AE4" w:rsidRDefault="00F92AE4" w:rsidP="00F92AE4">
      <w:pPr>
        <w:pStyle w:val="MainTextNumbered"/>
      </w:pPr>
      <w:bookmarkStart w:id="3" w:name="_Toc340236184"/>
      <w:r w:rsidRPr="00F92AE4">
        <w:t xml:space="preserve">Under the </w:t>
      </w:r>
      <w:r>
        <w:t xml:space="preserve">non-statutory </w:t>
      </w:r>
      <w:r w:rsidRPr="00F92AE4">
        <w:t>Port Marine Safety Code</w:t>
      </w:r>
      <w:r w:rsidR="006003AC">
        <w:t>, developed collaboratively by industry and government</w:t>
      </w:r>
      <w:r w:rsidRPr="00F92AE4">
        <w:t xml:space="preserve">, harbour authorities are encouraged to keep their powers under review and take action as necessary to ensure they are appropriate. In some cases this </w:t>
      </w:r>
      <w:r w:rsidR="00D73392">
        <w:t>may</w:t>
      </w:r>
      <w:r w:rsidRPr="00F92AE4">
        <w:t xml:space="preserve"> mean relinquishing powers that are no longer necessary for the safe and economic operation of the harbour</w:t>
      </w:r>
      <w:r w:rsidR="00DD1203">
        <w:t>,</w:t>
      </w:r>
      <w:r w:rsidR="00D73392">
        <w:t xml:space="preserve"> for example if the harbour is no longer commercially viable </w:t>
      </w:r>
      <w:r w:rsidR="00EF5F0B">
        <w:t>owing</w:t>
      </w:r>
      <w:r w:rsidR="00D73392">
        <w:t xml:space="preserve"> to a sustained reduction in traffic</w:t>
      </w:r>
      <w:r w:rsidRPr="00F92AE4">
        <w:t>.</w:t>
      </w:r>
    </w:p>
    <w:p w14:paraId="0F757F86" w14:textId="6E4083FE" w:rsidR="00F92AE4" w:rsidRPr="00F92AE4" w:rsidRDefault="00F92AE4" w:rsidP="00F92AE4">
      <w:pPr>
        <w:pStyle w:val="MainTextNumbered"/>
      </w:pPr>
      <w:r w:rsidRPr="00F92AE4">
        <w:t xml:space="preserve">The Marine Navigation Act 2013 created two new processes allowing the relevant administration in England, Wales and Scotland to make an order revoking a harbour authority’s status as either a Harbour Authority </w:t>
      </w:r>
      <w:r w:rsidR="00F46ED5">
        <w:t>as defined in</w:t>
      </w:r>
      <w:r w:rsidRPr="00F92AE4">
        <w:t xml:space="preserve"> the Harbours Act 1964 (“</w:t>
      </w:r>
      <w:r>
        <w:t xml:space="preserve">the </w:t>
      </w:r>
      <w:r w:rsidRPr="00F92AE4">
        <w:t>1964 Act”)</w:t>
      </w:r>
      <w:r w:rsidR="00F46ED5">
        <w:t>, generally known as a Statutory Harbour Authority,</w:t>
      </w:r>
      <w:r w:rsidRPr="00F92AE4">
        <w:t xml:space="preserve"> or a Competent Harbour Authority for the purposes of the Pilotage Act 1987 (</w:t>
      </w:r>
      <w:proofErr w:type="gramStart"/>
      <w:r w:rsidRPr="00F92AE4">
        <w:t>“</w:t>
      </w:r>
      <w:r>
        <w:t xml:space="preserve"> the</w:t>
      </w:r>
      <w:proofErr w:type="gramEnd"/>
      <w:r>
        <w:t xml:space="preserve"> </w:t>
      </w:r>
      <w:r w:rsidRPr="00F92AE4">
        <w:t xml:space="preserve">1987 Act”). This guidance does not apply in the Scottish context. </w:t>
      </w:r>
    </w:p>
    <w:p w14:paraId="29A9E1CB" w14:textId="15C1F80E" w:rsidR="00F92AE4" w:rsidRPr="00F92AE4" w:rsidRDefault="00F92AE4" w:rsidP="00F92AE4">
      <w:pPr>
        <w:pStyle w:val="MainTextNumbered"/>
      </w:pPr>
      <w:r w:rsidRPr="00220887">
        <w:rPr>
          <w:rStyle w:val="Bold"/>
        </w:rPr>
        <w:t xml:space="preserve">The harbour closure order guidance is statutory guidance issued under section </w:t>
      </w:r>
      <w:proofErr w:type="gramStart"/>
      <w:r w:rsidRPr="00220887">
        <w:rPr>
          <w:rStyle w:val="Bold"/>
        </w:rPr>
        <w:t>17A(</w:t>
      </w:r>
      <w:proofErr w:type="gramEnd"/>
      <w:r w:rsidRPr="00220887">
        <w:rPr>
          <w:rStyle w:val="Bold"/>
        </w:rPr>
        <w:t>2) of the 1964 Act</w:t>
      </w:r>
      <w:r w:rsidRPr="00F92AE4">
        <w:t xml:space="preserve"> which requires the Secretary of State to publish guidance about the circumstances in which a closure order will be made</w:t>
      </w:r>
      <w:r w:rsidR="00D73392">
        <w:t xml:space="preserve">. </w:t>
      </w:r>
      <w:r w:rsidR="00DD1203">
        <w:t xml:space="preserve"> </w:t>
      </w:r>
      <w:r w:rsidR="00D73392">
        <w:t xml:space="preserve">As part of this, </w:t>
      </w:r>
      <w:r w:rsidRPr="00F92AE4">
        <w:t xml:space="preserve">the Secretary of State </w:t>
      </w:r>
      <w:r w:rsidR="00EF5F0B">
        <w:t>must</w:t>
      </w:r>
      <w:r w:rsidRPr="00F92AE4">
        <w:t xml:space="preserve"> have regard to the </w:t>
      </w:r>
      <w:r w:rsidR="00D73392">
        <w:t>'</w:t>
      </w:r>
      <w:r w:rsidRPr="00F92AE4">
        <w:t>underlying purpose</w:t>
      </w:r>
      <w:r w:rsidR="00D73392">
        <w:t>'</w:t>
      </w:r>
      <w:r w:rsidR="00EF5F0B">
        <w:t xml:space="preserve">, namely </w:t>
      </w:r>
      <w:r w:rsidRPr="00F92AE4">
        <w:t>permitting or requiring harbour authorities to cease to maintain harbours which are no longer commercially viable or necessary.  This guidance sets out how the requirement that the Secretary of State has regard to the underlying purpose of a harbour closure order will be implemented in practice and the information required</w:t>
      </w:r>
      <w:r>
        <w:t xml:space="preserve"> to be provided</w:t>
      </w:r>
      <w:r w:rsidR="00D73392">
        <w:t xml:space="preserve"> by harbours applying for a closure order</w:t>
      </w:r>
      <w:r w:rsidRPr="00F92AE4">
        <w:t xml:space="preserve">. </w:t>
      </w:r>
    </w:p>
    <w:p w14:paraId="7547DF5E" w14:textId="77777777" w:rsidR="00F92AE4" w:rsidRPr="00F92AE4" w:rsidRDefault="00F92AE4" w:rsidP="00F92AE4">
      <w:pPr>
        <w:pStyle w:val="MainTextNumbered"/>
      </w:pPr>
      <w:r w:rsidRPr="00F92AE4">
        <w:lastRenderedPageBreak/>
        <w:t xml:space="preserve">This document also provides </w:t>
      </w:r>
      <w:r w:rsidR="006003AC">
        <w:t xml:space="preserve">non-statutory </w:t>
      </w:r>
      <w:r w:rsidRPr="00F92AE4">
        <w:t xml:space="preserve">guidance on the process that will be followed for an Order to remove a harbour authority from the list of designated Competent Harbour Authorities for the purposes of the 1987 Act.  </w:t>
      </w:r>
    </w:p>
    <w:p w14:paraId="615102F2" w14:textId="77777777" w:rsidR="00F92AE4" w:rsidRPr="00F92AE4" w:rsidRDefault="00F92AE4" w:rsidP="00F92AE4">
      <w:pPr>
        <w:pStyle w:val="MainTextNumbered"/>
      </w:pPr>
      <w:r>
        <w:rPr>
          <w:rStyle w:val="Bold"/>
        </w:rPr>
        <w:t xml:space="preserve">This consultation seeks your views on </w:t>
      </w:r>
      <w:r w:rsidR="00651039">
        <w:rPr>
          <w:rStyle w:val="Bold"/>
        </w:rPr>
        <w:t>a draft</w:t>
      </w:r>
      <w:r>
        <w:rPr>
          <w:rStyle w:val="Bold"/>
        </w:rPr>
        <w:t xml:space="preserve"> Guidance document</w:t>
      </w:r>
      <w:r w:rsidR="00651039">
        <w:rPr>
          <w:rStyle w:val="Bold"/>
        </w:rPr>
        <w:t xml:space="preserve"> (Annex </w:t>
      </w:r>
      <w:r w:rsidR="00D809A6">
        <w:rPr>
          <w:rStyle w:val="Bold"/>
        </w:rPr>
        <w:t>E</w:t>
      </w:r>
      <w:r w:rsidR="00651039">
        <w:rPr>
          <w:rStyle w:val="Bold"/>
        </w:rPr>
        <w:t xml:space="preserve">) </w:t>
      </w:r>
      <w:r>
        <w:rPr>
          <w:rStyle w:val="Bold"/>
        </w:rPr>
        <w:t xml:space="preserve"> which covers statutory guidance on the circumstances in which a harbour closure order will be made under section 17A of the 1964 Act and</w:t>
      </w:r>
      <w:r w:rsidR="00651039">
        <w:rPr>
          <w:rStyle w:val="Bold"/>
        </w:rPr>
        <w:t xml:space="preserve"> non-statutory guidance on </w:t>
      </w:r>
      <w:r>
        <w:rPr>
          <w:rStyle w:val="Bold"/>
        </w:rPr>
        <w:t xml:space="preserve">the process for applying for a pilotage function removal order under section 1(4A) of the 1987 Act.  </w:t>
      </w:r>
    </w:p>
    <w:p w14:paraId="7BEAEA08" w14:textId="77777777" w:rsidR="00302D38" w:rsidRDefault="00302D38" w:rsidP="00AB0689">
      <w:pPr>
        <w:pStyle w:val="22-BodyText"/>
      </w:pPr>
    </w:p>
    <w:p w14:paraId="7E21393A" w14:textId="77777777" w:rsidR="00302D38" w:rsidRPr="00302D38" w:rsidRDefault="00302D38" w:rsidP="00302D38">
      <w:pPr>
        <w:pStyle w:val="Heading2"/>
      </w:pPr>
      <w:bookmarkStart w:id="4" w:name="_Toc424652208"/>
      <w:r w:rsidRPr="00302D38">
        <w:t>How to respond</w:t>
      </w:r>
      <w:bookmarkEnd w:id="3"/>
      <w:bookmarkEnd w:id="4"/>
    </w:p>
    <w:p w14:paraId="17BE0551" w14:textId="0EE9CA6E" w:rsidR="00DD1203" w:rsidRDefault="00302D38" w:rsidP="00302D38">
      <w:pPr>
        <w:pStyle w:val="22-BodyText"/>
      </w:pPr>
      <w:r w:rsidRPr="00302D38">
        <w:t xml:space="preserve">The consultation period began on </w:t>
      </w:r>
      <w:r w:rsidR="007C16DE" w:rsidRPr="007C16DE">
        <w:t>Tuesday 18 August 2015</w:t>
      </w:r>
      <w:r w:rsidR="00AB0689" w:rsidRPr="007C16DE">
        <w:t xml:space="preserve"> </w:t>
      </w:r>
      <w:r w:rsidR="00AB0689">
        <w:t xml:space="preserve">and will run until </w:t>
      </w:r>
      <w:r w:rsidR="007C16DE">
        <w:t xml:space="preserve">Tuesday 13 October 2015.  </w:t>
      </w:r>
      <w:r w:rsidRPr="00302D38">
        <w:t>Please ensure that your response reaches us before the closing date. If you would like further copies of this consultatio</w:t>
      </w:r>
      <w:r w:rsidR="00AB0689">
        <w:t>n document, it can be found at</w:t>
      </w:r>
      <w:r w:rsidR="00DD1203">
        <w:t xml:space="preserve"> the following link: </w:t>
      </w:r>
    </w:p>
    <w:p w14:paraId="3A078F7D" w14:textId="77777777" w:rsidR="00E07767" w:rsidRDefault="00E07767" w:rsidP="00302D38">
      <w:pPr>
        <w:pStyle w:val="22-BodyText"/>
      </w:pPr>
    </w:p>
    <w:p w14:paraId="1E03913F" w14:textId="099D76BF" w:rsidR="00DD1203" w:rsidRDefault="00994311" w:rsidP="00302D38">
      <w:pPr>
        <w:pStyle w:val="22-BodyText"/>
      </w:pPr>
      <w:hyperlink r:id="rId20" w:anchor="consultations" w:history="1">
        <w:r w:rsidR="001661B5" w:rsidRPr="00E54B38">
          <w:rPr>
            <w:rStyle w:val="Hyperlink"/>
          </w:rPr>
          <w:t>https://www.gov.uk/dft#consultations</w:t>
        </w:r>
      </w:hyperlink>
      <w:r w:rsidR="001661B5">
        <w:t xml:space="preserve"> </w:t>
      </w:r>
    </w:p>
    <w:p w14:paraId="1E2C64E4" w14:textId="77777777" w:rsidR="00DD1203" w:rsidRDefault="00DD1203" w:rsidP="00302D38">
      <w:pPr>
        <w:pStyle w:val="22-BodyText"/>
      </w:pPr>
    </w:p>
    <w:p w14:paraId="5B9D5DE1" w14:textId="4AD94332" w:rsidR="00302D38" w:rsidRPr="00302D38" w:rsidRDefault="00AB0689" w:rsidP="00302D38">
      <w:pPr>
        <w:pStyle w:val="22-BodyText"/>
      </w:pPr>
      <w:proofErr w:type="gramStart"/>
      <w:r>
        <w:t>or</w:t>
      </w:r>
      <w:proofErr w:type="gramEnd"/>
      <w:r>
        <w:t xml:space="preserve"> you can contact </w:t>
      </w:r>
      <w:r w:rsidR="00DD1203">
        <w:t>Caroline Wall at the below address</w:t>
      </w:r>
      <w:r w:rsidR="00302D38" w:rsidRPr="00302D38">
        <w:t xml:space="preserve"> if you </w:t>
      </w:r>
      <w:r w:rsidR="008C7268">
        <w:t>need</w:t>
      </w:r>
      <w:r w:rsidR="00302D38" w:rsidRPr="00302D38">
        <w:t xml:space="preserve"> alternative formats (Braille, audio CD, etc</w:t>
      </w:r>
      <w:r w:rsidR="00622ABE">
        <w:t>.</w:t>
      </w:r>
      <w:r w:rsidR="00302D38" w:rsidRPr="00302D38">
        <w:t>).</w:t>
      </w:r>
    </w:p>
    <w:p w14:paraId="3F276BA9" w14:textId="77777777" w:rsidR="00302D38" w:rsidRPr="00302D38" w:rsidRDefault="00302D38" w:rsidP="00302D38">
      <w:pPr>
        <w:pStyle w:val="22-BodyText"/>
      </w:pPr>
      <w:r w:rsidRPr="00302D38">
        <w:t>Please send consultation responses to</w:t>
      </w:r>
      <w:r w:rsidR="00AB0689">
        <w:t>:</w:t>
      </w:r>
      <w:r w:rsidRPr="00302D38">
        <w:t xml:space="preserve"> </w:t>
      </w:r>
    </w:p>
    <w:p w14:paraId="665A13F3" w14:textId="77777777" w:rsidR="00220887" w:rsidRDefault="00220887" w:rsidP="00220887">
      <w:pPr>
        <w:pStyle w:val="22-BodyText"/>
      </w:pPr>
    </w:p>
    <w:p w14:paraId="28BC3E26" w14:textId="77777777" w:rsidR="00220887" w:rsidRPr="00220887" w:rsidRDefault="00220887" w:rsidP="00220887">
      <w:pPr>
        <w:pStyle w:val="22-BodyText"/>
      </w:pPr>
      <w:r w:rsidRPr="00220887">
        <w:t>Caroline Wall</w:t>
      </w:r>
    </w:p>
    <w:p w14:paraId="58A90EB8" w14:textId="77777777" w:rsidR="00220887" w:rsidRPr="00220887" w:rsidRDefault="00220887" w:rsidP="00220887">
      <w:pPr>
        <w:pStyle w:val="22-BodyText"/>
      </w:pPr>
      <w:r w:rsidRPr="00220887">
        <w:t>Ports Governance Branch</w:t>
      </w:r>
    </w:p>
    <w:p w14:paraId="68A69DA8" w14:textId="77777777" w:rsidR="00220887" w:rsidRPr="00220887" w:rsidRDefault="00220887" w:rsidP="00220887">
      <w:pPr>
        <w:pStyle w:val="22-BodyText"/>
      </w:pPr>
      <w:r w:rsidRPr="00220887">
        <w:t>Maritime Commerce and Infrastructure Division</w:t>
      </w:r>
    </w:p>
    <w:p w14:paraId="5AFB16B0" w14:textId="77777777" w:rsidR="00220887" w:rsidRPr="00220887" w:rsidRDefault="00220887" w:rsidP="00220887">
      <w:pPr>
        <w:pStyle w:val="22-BodyText"/>
      </w:pPr>
      <w:r w:rsidRPr="00220887">
        <w:t>Department for Transport</w:t>
      </w:r>
    </w:p>
    <w:p w14:paraId="6DA243EA" w14:textId="77777777" w:rsidR="00220887" w:rsidRPr="00220887" w:rsidRDefault="00220887" w:rsidP="00220887">
      <w:pPr>
        <w:pStyle w:val="22-BodyText"/>
      </w:pPr>
      <w:r w:rsidRPr="00220887">
        <w:t>Zone 2/32</w:t>
      </w:r>
    </w:p>
    <w:p w14:paraId="05144A05" w14:textId="77777777" w:rsidR="00220887" w:rsidRPr="00220887" w:rsidRDefault="00220887" w:rsidP="00220887">
      <w:pPr>
        <w:pStyle w:val="22-BodyText"/>
      </w:pPr>
      <w:r w:rsidRPr="00220887">
        <w:t>Great Minster House</w:t>
      </w:r>
    </w:p>
    <w:p w14:paraId="76684568" w14:textId="77777777" w:rsidR="00220887" w:rsidRPr="00220887" w:rsidRDefault="00220887" w:rsidP="00220887">
      <w:pPr>
        <w:pStyle w:val="22-BodyText"/>
      </w:pPr>
      <w:r w:rsidRPr="00220887">
        <w:t xml:space="preserve">33 </w:t>
      </w:r>
      <w:proofErr w:type="spellStart"/>
      <w:r w:rsidRPr="00220887">
        <w:t>Horseferry</w:t>
      </w:r>
      <w:proofErr w:type="spellEnd"/>
      <w:r w:rsidRPr="00220887">
        <w:t xml:space="preserve"> Road</w:t>
      </w:r>
    </w:p>
    <w:p w14:paraId="193B8B56" w14:textId="77777777" w:rsidR="00220887" w:rsidRPr="00220887" w:rsidRDefault="00220887" w:rsidP="00220887">
      <w:pPr>
        <w:pStyle w:val="22-BodyText"/>
      </w:pPr>
      <w:r w:rsidRPr="00220887">
        <w:t>London</w:t>
      </w:r>
    </w:p>
    <w:p w14:paraId="1C5D3318" w14:textId="77777777" w:rsidR="00220887" w:rsidRPr="00220887" w:rsidRDefault="00220887" w:rsidP="00220887">
      <w:pPr>
        <w:pStyle w:val="22-BodyText"/>
      </w:pPr>
      <w:r w:rsidRPr="00220887">
        <w:t>SW1P 4DR</w:t>
      </w:r>
    </w:p>
    <w:p w14:paraId="3E7DD2D2" w14:textId="77777777" w:rsidR="00220887" w:rsidRPr="00220887" w:rsidRDefault="00220887" w:rsidP="00220887">
      <w:pPr>
        <w:pStyle w:val="22-BodyText"/>
      </w:pPr>
      <w:r w:rsidRPr="00220887">
        <w:t>Phone number: 020 7944 6251</w:t>
      </w:r>
    </w:p>
    <w:p w14:paraId="7C0D977B" w14:textId="77777777" w:rsidR="00220887" w:rsidRPr="00220887" w:rsidRDefault="00220887" w:rsidP="00220887">
      <w:pPr>
        <w:pStyle w:val="22-BodyText"/>
      </w:pPr>
      <w:proofErr w:type="gramStart"/>
      <w:r w:rsidRPr="00220887">
        <w:lastRenderedPageBreak/>
        <w:t>or</w:t>
      </w:r>
      <w:proofErr w:type="gramEnd"/>
    </w:p>
    <w:p w14:paraId="307937AE" w14:textId="77777777" w:rsidR="00220887" w:rsidRPr="00220887" w:rsidRDefault="00220887" w:rsidP="00220887">
      <w:pPr>
        <w:pStyle w:val="22-BodyText"/>
      </w:pPr>
      <w:r w:rsidRPr="00220887">
        <w:t xml:space="preserve">By e-mail: </w:t>
      </w:r>
      <w:r>
        <w:t>ports</w:t>
      </w:r>
      <w:r w:rsidRPr="00220887">
        <w:t>@dft.gsi.gov.uk</w:t>
      </w:r>
    </w:p>
    <w:p w14:paraId="3559DA90" w14:textId="77777777" w:rsidR="00220887" w:rsidRDefault="00220887" w:rsidP="00220887">
      <w:pPr>
        <w:pStyle w:val="22-BodyText"/>
      </w:pPr>
    </w:p>
    <w:p w14:paraId="5322A3AC" w14:textId="77777777" w:rsidR="00220887" w:rsidRDefault="00220887" w:rsidP="00220887">
      <w:pPr>
        <w:pStyle w:val="22-BodyText"/>
      </w:pPr>
    </w:p>
    <w:p w14:paraId="72EDE3C2" w14:textId="754D11F6" w:rsidR="00302D38" w:rsidRPr="00302D38" w:rsidRDefault="00220887" w:rsidP="00220887">
      <w:pPr>
        <w:pStyle w:val="22-BodyText"/>
      </w:pPr>
      <w:r w:rsidRPr="00220887">
        <w:t>Please quote “</w:t>
      </w:r>
      <w:r>
        <w:t xml:space="preserve">Ports Guidance - </w:t>
      </w:r>
      <w:proofErr w:type="spellStart"/>
      <w:r>
        <w:t>DfT</w:t>
      </w:r>
      <w:proofErr w:type="spellEnd"/>
      <w:r>
        <w:t xml:space="preserve"> 2015</w:t>
      </w:r>
      <w:r w:rsidRPr="00220887">
        <w:t>-</w:t>
      </w:r>
      <w:r w:rsidR="001E54FB">
        <w:t>13</w:t>
      </w:r>
      <w:r w:rsidRPr="00220887">
        <w:t>" in the subject box.</w:t>
      </w:r>
      <w:r>
        <w:t xml:space="preserve"> </w:t>
      </w:r>
      <w:r w:rsidR="00302D38" w:rsidRPr="00302D38">
        <w:t>When responding, please state whether you are responding as an individual or representing the views of an organisation. If responding on behalf of a larger organisation, please make it clear who the organisation represents and, where applicable, how the views of members were assembled.</w:t>
      </w:r>
    </w:p>
    <w:p w14:paraId="72208DE4" w14:textId="64411B8B" w:rsidR="00302D38" w:rsidRPr="00302D38" w:rsidRDefault="00302D38" w:rsidP="00302D38">
      <w:pPr>
        <w:pStyle w:val="22-BodyText"/>
      </w:pPr>
      <w:r w:rsidRPr="00302D38">
        <w:t xml:space="preserve">A list of those consulted is attached at </w:t>
      </w:r>
      <w:r w:rsidR="00D809A6" w:rsidRPr="00D809A6">
        <w:t xml:space="preserve">Annex </w:t>
      </w:r>
      <w:r w:rsidR="00B02B6F">
        <w:t>D</w:t>
      </w:r>
      <w:r w:rsidR="00220887">
        <w:t xml:space="preserve">. </w:t>
      </w:r>
      <w:r w:rsidRPr="00302D38">
        <w:t xml:space="preserve"> If you have any suggestions of others who may wish to be involved in t</w:t>
      </w:r>
      <w:r w:rsidR="00AB0689">
        <w:t xml:space="preserve">his process please contact us. </w:t>
      </w:r>
    </w:p>
    <w:p w14:paraId="65F049E1" w14:textId="77777777" w:rsidR="00302D38" w:rsidRPr="00302D38" w:rsidRDefault="00302D38" w:rsidP="00302D38">
      <w:pPr>
        <w:pStyle w:val="Heading2"/>
      </w:pPr>
      <w:bookmarkStart w:id="5" w:name="_Toc424652209"/>
      <w:r w:rsidRPr="00302D38">
        <w:t>Freedom of Information</w:t>
      </w:r>
      <w:bookmarkEnd w:id="5"/>
    </w:p>
    <w:p w14:paraId="4E4F25DD" w14:textId="77777777" w:rsidR="00302D38" w:rsidRPr="00302D38" w:rsidRDefault="00302D38" w:rsidP="00302D38">
      <w:pPr>
        <w:pStyle w:val="22-BodyText"/>
      </w:pPr>
      <w:r w:rsidRPr="00302D38">
        <w:t>Information provided in response to this consultation, including personal information, may be subject to publication or disclosure in accordance with the Freedom of Information Act 2000 (FOIA) or the Environmental Information Regulations 2004.</w:t>
      </w:r>
    </w:p>
    <w:p w14:paraId="4D6C630E" w14:textId="77777777" w:rsidR="00302D38" w:rsidRPr="00302D38" w:rsidRDefault="00302D38" w:rsidP="00302D38">
      <w:pPr>
        <w:pStyle w:val="22-BodyText"/>
      </w:pPr>
      <w:r w:rsidRPr="00302D38">
        <w:t xml:space="preserve">If you want information that you provide to be treated as confidential, please be aware that, under the FOIA, there is a statutory Code of Practice with which public authorities must comply and which deals, amongst other things, with obligations of confidence. </w:t>
      </w:r>
    </w:p>
    <w:p w14:paraId="5220ECC5" w14:textId="77777777" w:rsidR="00302D38" w:rsidRPr="00302D38" w:rsidRDefault="00302D38" w:rsidP="00302D38">
      <w:pPr>
        <w:pStyle w:val="22-BodyText"/>
      </w:pPr>
      <w:r w:rsidRPr="00302D38">
        <w:t xml:space="preserve">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Department. </w:t>
      </w:r>
    </w:p>
    <w:p w14:paraId="542835DB" w14:textId="77777777" w:rsidR="00302D38" w:rsidRPr="00302D38" w:rsidRDefault="00302D38" w:rsidP="00302D38">
      <w:pPr>
        <w:pStyle w:val="22-BodyText"/>
      </w:pPr>
      <w:r w:rsidRPr="00302D38">
        <w:t>The Department will process your personal data in accordance with the Data Protection Act (DPA) and in the majority of circumstances this will mean that your personal data will not be disclosed to third parties.</w:t>
      </w:r>
    </w:p>
    <w:p w14:paraId="25A6E8CE" w14:textId="77777777" w:rsidR="00302D38" w:rsidRPr="004246C4" w:rsidRDefault="00302D38" w:rsidP="00302D38">
      <w:pPr>
        <w:pStyle w:val="MainTextNumbered"/>
        <w:numPr>
          <w:ilvl w:val="0"/>
          <w:numId w:val="0"/>
        </w:numPr>
        <w:ind w:left="777" w:hanging="777"/>
      </w:pPr>
      <w:r w:rsidRPr="00302D38">
        <w:br w:type="page"/>
      </w:r>
    </w:p>
    <w:p w14:paraId="0F3DDCF0" w14:textId="77777777" w:rsidR="00BE3397" w:rsidRDefault="00220887" w:rsidP="00BE3397">
      <w:pPr>
        <w:pStyle w:val="Heading1"/>
      </w:pPr>
      <w:bookmarkStart w:id="6" w:name="_Toc424652210"/>
      <w:r>
        <w:lastRenderedPageBreak/>
        <w:t>Consultation on draft Guidance on Harbour Closure Orders and Pilotage Function Removal Orders.</w:t>
      </w:r>
      <w:bookmarkEnd w:id="6"/>
    </w:p>
    <w:p w14:paraId="53519C35" w14:textId="77777777" w:rsidR="00220887" w:rsidRPr="003D0159" w:rsidRDefault="00220887" w:rsidP="003D0159">
      <w:pPr>
        <w:pStyle w:val="NumberedNotes"/>
        <w:numPr>
          <w:ilvl w:val="0"/>
          <w:numId w:val="0"/>
        </w:numPr>
        <w:ind w:left="1080" w:hanging="360"/>
        <w:rPr>
          <w:rStyle w:val="Bold"/>
        </w:rPr>
      </w:pPr>
    </w:p>
    <w:p w14:paraId="7CE27FDB" w14:textId="77777777" w:rsidR="003D0159" w:rsidRPr="003D0159" w:rsidRDefault="003D0159" w:rsidP="003D0159">
      <w:pPr>
        <w:pStyle w:val="Number1"/>
        <w:numPr>
          <w:ilvl w:val="0"/>
          <w:numId w:val="0"/>
        </w:numPr>
        <w:ind w:left="720" w:hanging="720"/>
        <w:rPr>
          <w:rStyle w:val="Bold"/>
        </w:rPr>
      </w:pPr>
    </w:p>
    <w:p w14:paraId="184FF643" w14:textId="77777777" w:rsidR="007E6582" w:rsidRDefault="007E6582" w:rsidP="00D809A6">
      <w:pPr>
        <w:pStyle w:val="Number1"/>
      </w:pPr>
      <w:r>
        <w:t>This consultation seeks views on a Guidance document (</w:t>
      </w:r>
      <w:r w:rsidR="00D809A6" w:rsidRPr="00D809A6">
        <w:t>Annex E</w:t>
      </w:r>
      <w:r>
        <w:t xml:space="preserve">) giving statutory guidance on </w:t>
      </w:r>
      <w:r w:rsidR="00C3565E">
        <w:t xml:space="preserve">the circumstances in which </w:t>
      </w:r>
      <w:r>
        <w:t>harbour closure orders</w:t>
      </w:r>
      <w:r w:rsidR="00C3565E">
        <w:t xml:space="preserve"> will be made</w:t>
      </w:r>
      <w:r>
        <w:t xml:space="preserve"> and additional guidance on</w:t>
      </w:r>
      <w:r w:rsidR="00C3565E">
        <w:t xml:space="preserve"> the process for</w:t>
      </w:r>
      <w:r>
        <w:t xml:space="preserve"> pilotage function removal orders. </w:t>
      </w:r>
    </w:p>
    <w:p w14:paraId="4EA72C00" w14:textId="77777777" w:rsidR="007E6582" w:rsidRDefault="007E6582" w:rsidP="007E6582">
      <w:pPr>
        <w:pStyle w:val="Number1"/>
        <w:numPr>
          <w:ilvl w:val="0"/>
          <w:numId w:val="0"/>
        </w:numPr>
        <w:rPr>
          <w:rStyle w:val="Bold"/>
        </w:rPr>
      </w:pPr>
    </w:p>
    <w:p w14:paraId="7E4FD6A9" w14:textId="77777777" w:rsidR="007E6582" w:rsidRPr="007E6582" w:rsidRDefault="00FA60E7" w:rsidP="00FA60E7">
      <w:pPr>
        <w:pStyle w:val="Heading3"/>
        <w:rPr>
          <w:rStyle w:val="Bold"/>
        </w:rPr>
      </w:pPr>
      <w:r>
        <w:rPr>
          <w:rStyle w:val="Bold"/>
        </w:rPr>
        <w:t>PART A: HARBOUR CLOSURE ORDERS</w:t>
      </w:r>
    </w:p>
    <w:p w14:paraId="57EB095B" w14:textId="77777777" w:rsidR="007E6582" w:rsidRDefault="007E6582" w:rsidP="007E6582">
      <w:pPr>
        <w:pStyle w:val="Number1"/>
        <w:numPr>
          <w:ilvl w:val="0"/>
          <w:numId w:val="0"/>
        </w:numPr>
      </w:pPr>
    </w:p>
    <w:p w14:paraId="0F35484C" w14:textId="611F1776" w:rsidR="00EF5F0B" w:rsidRDefault="00A25BA7" w:rsidP="001170D4">
      <w:pPr>
        <w:pStyle w:val="Number1"/>
      </w:pPr>
      <w:r>
        <w:t>Section 6 of the Marine Navigation Act 2013</w:t>
      </w:r>
      <w:r w:rsidR="00D00706">
        <w:rPr>
          <w:rStyle w:val="FootnoteReference"/>
        </w:rPr>
        <w:footnoteReference w:id="2"/>
      </w:r>
      <w:r w:rsidR="00FE7875">
        <w:t xml:space="preserve"> ("</w:t>
      </w:r>
      <w:r w:rsidR="00EF5F0B">
        <w:rPr>
          <w:rStyle w:val="Bold"/>
        </w:rPr>
        <w:t>the</w:t>
      </w:r>
      <w:r w:rsidR="00BA34C0">
        <w:rPr>
          <w:rStyle w:val="Bold"/>
        </w:rPr>
        <w:t xml:space="preserve"> 2013 Act</w:t>
      </w:r>
      <w:r w:rsidR="00FE7875">
        <w:t>")</w:t>
      </w:r>
      <w:r>
        <w:t xml:space="preserve"> inserted new </w:t>
      </w:r>
      <w:r w:rsidR="004A4005">
        <w:t xml:space="preserve">sections </w:t>
      </w:r>
      <w:r>
        <w:t>17A-17F</w:t>
      </w:r>
      <w:r w:rsidR="00BB7D41">
        <w:t xml:space="preserve"> </w:t>
      </w:r>
      <w:r>
        <w:t>into the Harbours Act 1964 ("</w:t>
      </w:r>
      <w:r w:rsidRPr="00FE7875">
        <w:rPr>
          <w:rStyle w:val="Bold"/>
        </w:rPr>
        <w:t>the 1964 Act</w:t>
      </w:r>
      <w:r w:rsidR="00FE7875" w:rsidRPr="00FE7875">
        <w:rPr>
          <w:rStyle w:val="Bold"/>
        </w:rPr>
        <w:t>"</w:t>
      </w:r>
      <w:r w:rsidRPr="00FE7875">
        <w:rPr>
          <w:rStyle w:val="Bold"/>
        </w:rPr>
        <w:t>)</w:t>
      </w:r>
      <w:r w:rsidR="004A4005">
        <w:t xml:space="preserve"> empowering the Secretary of State to make harbour closure orders. Hitherto, the 1964 Act did not provide f</w:t>
      </w:r>
      <w:r w:rsidR="00FE7875">
        <w:t>or complete closure of a harbou</w:t>
      </w:r>
      <w:r w:rsidR="00ED330A">
        <w:t>r</w:t>
      </w:r>
      <w:r w:rsidR="002C2E3E">
        <w:t xml:space="preserve"> by means of a </w:t>
      </w:r>
      <w:r w:rsidR="007E4B54">
        <w:t>Harbour Revision Order ("</w:t>
      </w:r>
      <w:r w:rsidR="002C2E3E">
        <w:t>HRO</w:t>
      </w:r>
      <w:r w:rsidR="007E4B54">
        <w:t>")</w:t>
      </w:r>
      <w:r w:rsidR="004A4005">
        <w:t>, only partial closure</w:t>
      </w:r>
      <w:r w:rsidR="00D73392">
        <w:t xml:space="preserve">. </w:t>
      </w:r>
      <w:r w:rsidR="00EF5F0B">
        <w:t>A  Harbour Authority  that</w:t>
      </w:r>
      <w:r w:rsidR="00D73392">
        <w:t xml:space="preserve"> w</w:t>
      </w:r>
      <w:r w:rsidR="00EF5F0B">
        <w:t xml:space="preserve">ished </w:t>
      </w:r>
      <w:r w:rsidR="00D73392">
        <w:t>to close and</w:t>
      </w:r>
      <w:r w:rsidR="00EF5F0B">
        <w:t>/or</w:t>
      </w:r>
      <w:r w:rsidR="00D73392">
        <w:t xml:space="preserve"> cease </w:t>
      </w:r>
      <w:r w:rsidR="00EF5F0B">
        <w:t xml:space="preserve">to </w:t>
      </w:r>
      <w:r w:rsidR="00D73392">
        <w:t xml:space="preserve">be </w:t>
      </w:r>
      <w:r w:rsidR="00EF5F0B">
        <w:t xml:space="preserve">a statutory </w:t>
      </w:r>
      <w:r w:rsidR="00D73392">
        <w:t>harbour authorit</w:t>
      </w:r>
      <w:r w:rsidR="00EF5F0B">
        <w:t>y</w:t>
      </w:r>
      <w:r w:rsidR="00D73392">
        <w:t xml:space="preserve"> </w:t>
      </w:r>
      <w:r w:rsidR="00F46ED5">
        <w:t xml:space="preserve">("SHA"), that is to say a harbour authority as defined in the 1964 Act, </w:t>
      </w:r>
      <w:r w:rsidR="00D73392">
        <w:t xml:space="preserve">would have </w:t>
      </w:r>
      <w:r w:rsidR="00EF5F0B">
        <w:t xml:space="preserve">to promote </w:t>
      </w:r>
      <w:r w:rsidR="00D73392">
        <w:t>a local Act of parliament to achieve this, which c</w:t>
      </w:r>
      <w:r w:rsidR="00EF5F0B">
        <w:t>ould be</w:t>
      </w:r>
      <w:r w:rsidR="00D73392">
        <w:t xml:space="preserve"> both costly and time consuming.  </w:t>
      </w:r>
    </w:p>
    <w:p w14:paraId="254BB2E7" w14:textId="00D3E9EE" w:rsidR="007E6582" w:rsidRDefault="009743E4" w:rsidP="008042E4">
      <w:pPr>
        <w:pStyle w:val="Number1"/>
        <w:tabs>
          <w:tab w:val="num" w:pos="2051"/>
        </w:tabs>
      </w:pPr>
      <w:r>
        <w:t xml:space="preserve">In contrast, </w:t>
      </w:r>
      <w:r w:rsidR="007E4B54">
        <w:t>a Harbour Closure Order ("</w:t>
      </w:r>
      <w:r w:rsidR="002C2E3E">
        <w:t>HCO</w:t>
      </w:r>
      <w:r w:rsidR="007E4B54">
        <w:t>")</w:t>
      </w:r>
      <w:r w:rsidR="00A9406F">
        <w:t xml:space="preserve"> </w:t>
      </w:r>
      <w:r w:rsidR="002C2E3E">
        <w:t>provide</w:t>
      </w:r>
      <w:r w:rsidR="007E4B54">
        <w:t>s</w:t>
      </w:r>
      <w:r w:rsidR="002C2E3E">
        <w:t xml:space="preserve"> a relatively low cost and straightforward way of achieving this</w:t>
      </w:r>
      <w:r>
        <w:t xml:space="preserve"> objective</w:t>
      </w:r>
      <w:r w:rsidR="002C2E3E">
        <w:t xml:space="preserve">. </w:t>
      </w:r>
      <w:r w:rsidR="001C3BC5">
        <w:t xml:space="preserve"> </w:t>
      </w:r>
      <w:r w:rsidR="002C2E3E">
        <w:t>While the Department does not anticipate many SHAs applying for these orders, they may be a useful and suitable approach for some</w:t>
      </w:r>
      <w:r w:rsidR="001C3BC5">
        <w:t>.</w:t>
      </w:r>
      <w:r w:rsidR="002C2E3E">
        <w:t xml:space="preserve">   </w:t>
      </w:r>
    </w:p>
    <w:p w14:paraId="641B0F2C" w14:textId="192E4BEA" w:rsidR="00D95780" w:rsidRDefault="00A25BA7" w:rsidP="00D95780">
      <w:pPr>
        <w:pStyle w:val="Number1"/>
      </w:pPr>
      <w:r>
        <w:lastRenderedPageBreak/>
        <w:t>Part A of the draft Guidance document is statutory guidance on harbour closure orders in fulfilment of the Secretary of State</w:t>
      </w:r>
      <w:r w:rsidR="004A4005">
        <w:t xml:space="preserve">'s obligation under section 17A(2) of the 1964 Act and explains the circumstances in which a harbour closure order will be made.  In doing so, the Secretary of State must have regard to the underlying purpose of permitting or requiring </w:t>
      </w:r>
      <w:r w:rsidR="00BB7D41">
        <w:t>SHAs</w:t>
      </w:r>
      <w:r w:rsidR="004A4005">
        <w:t xml:space="preserve"> to cease to maintain harbours which are no longer commercially viable or necessary</w:t>
      </w:r>
      <w:r w:rsidR="009743E4">
        <w:t>.</w:t>
      </w:r>
    </w:p>
    <w:p w14:paraId="7D220138" w14:textId="266B782C" w:rsidR="00D95780" w:rsidRDefault="00D95780" w:rsidP="00D95780">
      <w:pPr>
        <w:pStyle w:val="Number1"/>
      </w:pPr>
      <w:r>
        <w:t>This guidance</w:t>
      </w:r>
      <w:r w:rsidR="00BB7D41">
        <w:t xml:space="preserve"> is aimed at SHAs who wish to apply for a harbour closure order under section </w:t>
      </w:r>
      <w:proofErr w:type="gramStart"/>
      <w:r w:rsidR="00BB7D41">
        <w:t>17A(</w:t>
      </w:r>
      <w:proofErr w:type="gramEnd"/>
      <w:r w:rsidR="00BB7D41">
        <w:t>1)(a) of the 1964 Act</w:t>
      </w:r>
      <w:r w:rsidR="009743E4">
        <w:t>,</w:t>
      </w:r>
      <w:r w:rsidR="00BB7D41">
        <w:t xml:space="preserve"> though sections 17A(1) (b) and (c) provide</w:t>
      </w:r>
      <w:r w:rsidR="00C3565E">
        <w:t xml:space="preserve"> respectively</w:t>
      </w:r>
      <w:r w:rsidR="00BB7D41">
        <w:t xml:space="preserve"> for the Secretary of State to make a harbour closure order with the consent of the SHA</w:t>
      </w:r>
      <w:r w:rsidR="00C3565E">
        <w:t xml:space="preserve"> </w:t>
      </w:r>
      <w:r w:rsidR="00BB7D41">
        <w:t xml:space="preserve">or if the Secretary of State has consulted the SHA and is satisfied that they are unlikely to object. </w:t>
      </w:r>
    </w:p>
    <w:p w14:paraId="1C95B350" w14:textId="77777777" w:rsidR="001212A4" w:rsidRPr="001212A4" w:rsidRDefault="001212A4" w:rsidP="00D809A6">
      <w:pPr>
        <w:pStyle w:val="Number1"/>
        <w:rPr>
          <w:u w:val="single"/>
        </w:rPr>
      </w:pPr>
      <w:r>
        <w:t xml:space="preserve">Part A of </w:t>
      </w:r>
      <w:r w:rsidR="00D809A6" w:rsidRPr="00D809A6">
        <w:t>Annex E</w:t>
      </w:r>
      <w:r>
        <w:t xml:space="preserve"> is laid out as follows:</w:t>
      </w:r>
    </w:p>
    <w:p w14:paraId="03DCEC6A" w14:textId="77777777" w:rsidR="00545299" w:rsidRDefault="00545299" w:rsidP="001212A4">
      <w:pPr>
        <w:pStyle w:val="Number1"/>
        <w:numPr>
          <w:ilvl w:val="0"/>
          <w:numId w:val="0"/>
        </w:numPr>
        <w:ind w:left="720"/>
        <w:rPr>
          <w:rStyle w:val="Bold"/>
        </w:rPr>
      </w:pPr>
    </w:p>
    <w:p w14:paraId="22822871" w14:textId="1A97680B" w:rsidR="009A3FB2" w:rsidRDefault="001212A4" w:rsidP="001212A4">
      <w:pPr>
        <w:pStyle w:val="Number1"/>
        <w:numPr>
          <w:ilvl w:val="0"/>
          <w:numId w:val="0"/>
        </w:numPr>
        <w:ind w:left="720"/>
      </w:pPr>
      <w:r w:rsidRPr="001212A4">
        <w:rPr>
          <w:rStyle w:val="Bold"/>
        </w:rPr>
        <w:t>Section 1</w:t>
      </w:r>
      <w:r w:rsidR="00532ED2">
        <w:t xml:space="preserve"> (pages 6 to 9) </w:t>
      </w:r>
      <w:r w:rsidR="00BB7D41">
        <w:t xml:space="preserve">sets out the background to </w:t>
      </w:r>
      <w:r w:rsidR="00A9406F">
        <w:t>HCOs</w:t>
      </w:r>
    </w:p>
    <w:p w14:paraId="765646B2" w14:textId="77777777" w:rsidR="001212A4" w:rsidRDefault="00BB7D41" w:rsidP="001212A4">
      <w:pPr>
        <w:pStyle w:val="Number1"/>
        <w:numPr>
          <w:ilvl w:val="0"/>
          <w:numId w:val="0"/>
        </w:numPr>
        <w:ind w:left="720"/>
      </w:pPr>
      <w:r w:rsidRPr="001212A4">
        <w:rPr>
          <w:rStyle w:val="Bold"/>
        </w:rPr>
        <w:t>Section 2</w:t>
      </w:r>
      <w:r w:rsidR="00532ED2">
        <w:t xml:space="preserve"> (pages 10 to 13</w:t>
      </w:r>
      <w:r w:rsidR="001212A4">
        <w:t>)</w:t>
      </w:r>
      <w:r>
        <w:t xml:space="preserve"> on the content of a harbour closure</w:t>
      </w:r>
      <w:r w:rsidR="00FA60E7">
        <w:t xml:space="preserve"> orders</w:t>
      </w:r>
      <w:r>
        <w:t xml:space="preserve"> adheres closely to the </w:t>
      </w:r>
      <w:r w:rsidR="00513CB2">
        <w:t xml:space="preserve">detailed </w:t>
      </w:r>
      <w:r>
        <w:t>provisions in sections 17B (Content of closure order)</w:t>
      </w:r>
      <w:r w:rsidR="003F18D6">
        <w:t xml:space="preserve">, 17C (Harbour closure orders property </w:t>
      </w:r>
      <w:proofErr w:type="spellStart"/>
      <w:r w:rsidR="003F18D6">
        <w:t>etc</w:t>
      </w:r>
      <w:proofErr w:type="spellEnd"/>
      <w:r w:rsidR="003F18D6">
        <w:t xml:space="preserve">) and 17F (Supplemental).   </w:t>
      </w:r>
    </w:p>
    <w:p w14:paraId="320622E9" w14:textId="6A83F135" w:rsidR="009A3FB2" w:rsidRDefault="00532ED2" w:rsidP="001212A4">
      <w:pPr>
        <w:pStyle w:val="Number1"/>
        <w:numPr>
          <w:ilvl w:val="0"/>
          <w:numId w:val="0"/>
        </w:numPr>
        <w:ind w:left="720"/>
      </w:pPr>
      <w:r w:rsidRPr="001212A4">
        <w:rPr>
          <w:rStyle w:val="Bold"/>
        </w:rPr>
        <w:t>Section 3</w:t>
      </w:r>
      <w:r w:rsidR="001212A4">
        <w:t xml:space="preserve"> </w:t>
      </w:r>
      <w:r>
        <w:t xml:space="preserve">(pages </w:t>
      </w:r>
      <w:r w:rsidR="008465DD">
        <w:t>14 to 19) notes that se</w:t>
      </w:r>
      <w:r w:rsidR="003F18D6">
        <w:t xml:space="preserve">ction </w:t>
      </w:r>
      <w:proofErr w:type="gramStart"/>
      <w:r w:rsidR="003F18D6">
        <w:t>17D(</w:t>
      </w:r>
      <w:proofErr w:type="gramEnd"/>
      <w:r w:rsidR="003F18D6">
        <w:t>1)</w:t>
      </w:r>
      <w:r w:rsidR="008465DD">
        <w:t xml:space="preserve"> of the 1964 Act </w:t>
      </w:r>
      <w:r w:rsidR="003F18D6">
        <w:t xml:space="preserve"> applies the procedure set out in P</w:t>
      </w:r>
      <w:r w:rsidR="008465DD">
        <w:t xml:space="preserve">art 1 of Schedule 3 to the </w:t>
      </w:r>
      <w:r w:rsidR="003F18D6">
        <w:t>Act</w:t>
      </w:r>
      <w:r w:rsidR="004D6088">
        <w:rPr>
          <w:rStyle w:val="FootnoteReference"/>
        </w:rPr>
        <w:footnoteReference w:id="3"/>
      </w:r>
      <w:r w:rsidR="003F18D6">
        <w:t xml:space="preserve"> to </w:t>
      </w:r>
      <w:r w:rsidR="00A9406F">
        <w:t>HCOs</w:t>
      </w:r>
      <w:r w:rsidR="008465DD">
        <w:t xml:space="preserve">. It is the same procedure as for </w:t>
      </w:r>
      <w:r w:rsidR="00FA4948">
        <w:t xml:space="preserve">HROs but with modifications </w:t>
      </w:r>
      <w:r w:rsidR="008465DD">
        <w:t xml:space="preserve">specific to some closure orders. </w:t>
      </w:r>
      <w:r w:rsidR="0037332F">
        <w:t xml:space="preserve"> The Secretary of State is empowered under the 1964 Act to recoup the costs of any inquiry or hearing held into an HCO which can be costly and the Department would seek to recoup any such costs.  However, this approach will be kept under review as appli</w:t>
      </w:r>
      <w:r w:rsidR="00D14894">
        <w:t>cations for HCOs are considered (see paragraph 3.4 of Part A of the guidance).</w:t>
      </w:r>
      <w:r w:rsidR="0037332F">
        <w:t xml:space="preserve"> </w:t>
      </w:r>
      <w:r w:rsidR="008465DD">
        <w:t xml:space="preserve"> </w:t>
      </w:r>
      <w:r w:rsidR="003F18D6">
        <w:t xml:space="preserve"> </w:t>
      </w:r>
    </w:p>
    <w:p w14:paraId="56517659" w14:textId="77777777" w:rsidR="0033080C" w:rsidRDefault="0033080C" w:rsidP="001212A4">
      <w:pPr>
        <w:pStyle w:val="Number1"/>
        <w:numPr>
          <w:ilvl w:val="0"/>
          <w:numId w:val="0"/>
        </w:numPr>
        <w:ind w:left="720"/>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5"/>
      </w:tblGrid>
      <w:tr w:rsidR="0033080C" w14:paraId="5F26267E" w14:textId="77777777" w:rsidTr="009D7C94">
        <w:trPr>
          <w:trHeight w:val="1654"/>
        </w:trPr>
        <w:tc>
          <w:tcPr>
            <w:tcW w:w="8315" w:type="dxa"/>
            <w:shd w:val="clear" w:color="auto" w:fill="E2F6EC"/>
          </w:tcPr>
          <w:p w14:paraId="1A5D72ED" w14:textId="78554EC4" w:rsidR="0033080C" w:rsidRPr="0033080C" w:rsidRDefault="0033080C" w:rsidP="0033080C">
            <w:pPr>
              <w:pStyle w:val="BoxTextHeader"/>
              <w:rPr>
                <w:rStyle w:val="Bold"/>
              </w:rPr>
            </w:pPr>
            <w:r>
              <w:lastRenderedPageBreak/>
              <w:t>Question  1</w:t>
            </w:r>
          </w:p>
          <w:p w14:paraId="0E0EBD4D" w14:textId="77777777" w:rsidR="0033080C" w:rsidRPr="0033080C" w:rsidRDefault="0033080C" w:rsidP="0033080C">
            <w:pPr>
              <w:pStyle w:val="BoxTextHeader"/>
              <w:rPr>
                <w:rStyle w:val="Bold"/>
              </w:rPr>
            </w:pPr>
            <w:r>
              <w:rPr>
                <w:rStyle w:val="Bold"/>
              </w:rPr>
              <w:t>Are there any areas of the section of the guidance on harbour closure orders (</w:t>
            </w:r>
            <w:r w:rsidRPr="0033080C">
              <w:rPr>
                <w:rStyle w:val="Bold"/>
              </w:rPr>
              <w:t>Annex E Part A) where you think additional detail would be helpful?</w:t>
            </w:r>
          </w:p>
          <w:p w14:paraId="6680E639" w14:textId="77777777" w:rsidR="0033080C" w:rsidRDefault="0033080C" w:rsidP="0033080C">
            <w:pPr>
              <w:pStyle w:val="BoxTextHeader"/>
              <w:rPr>
                <w:rStyle w:val="Bold"/>
              </w:rPr>
            </w:pPr>
          </w:p>
          <w:p w14:paraId="7A0CFBD5" w14:textId="77777777" w:rsidR="0033080C" w:rsidRPr="0033080C" w:rsidRDefault="0033080C" w:rsidP="0033080C">
            <w:pPr>
              <w:pStyle w:val="BoxTextHeader"/>
              <w:rPr>
                <w:rStyle w:val="Bold"/>
              </w:rPr>
            </w:pPr>
            <w:r>
              <w:rPr>
                <w:rStyle w:val="Bold"/>
              </w:rPr>
              <w:t xml:space="preserve">YES/NO.  If yes, please explain </w:t>
            </w:r>
            <w:r w:rsidRPr="0033080C">
              <w:rPr>
                <w:rStyle w:val="Bold"/>
              </w:rPr>
              <w:t>what additional detail you would like to see.</w:t>
            </w:r>
          </w:p>
        </w:tc>
      </w:tr>
    </w:tbl>
    <w:p w14:paraId="0E3616DE" w14:textId="77777777" w:rsidR="0033080C" w:rsidRDefault="0033080C" w:rsidP="001212A4">
      <w:pPr>
        <w:pStyle w:val="Number1"/>
        <w:numPr>
          <w:ilvl w:val="0"/>
          <w:numId w:val="0"/>
        </w:numPr>
        <w:ind w:left="720"/>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5"/>
      </w:tblGrid>
      <w:tr w:rsidR="00B70705" w14:paraId="240EF5D3" w14:textId="77777777" w:rsidTr="009D7C94">
        <w:trPr>
          <w:trHeight w:val="1654"/>
        </w:trPr>
        <w:tc>
          <w:tcPr>
            <w:tcW w:w="5000" w:type="pct"/>
            <w:shd w:val="clear" w:color="auto" w:fill="E2F6EC"/>
          </w:tcPr>
          <w:p w14:paraId="12F30297" w14:textId="7BBB9B1A" w:rsidR="00B70705" w:rsidRPr="00B70705" w:rsidRDefault="00B70705" w:rsidP="00B70705">
            <w:pPr>
              <w:pStyle w:val="BoxTextHeader"/>
            </w:pPr>
            <w:r>
              <w:t>Question 2</w:t>
            </w:r>
          </w:p>
          <w:p w14:paraId="0FB71826" w14:textId="673A35D8" w:rsidR="00B70705" w:rsidRPr="00B70705" w:rsidRDefault="00B70705" w:rsidP="00B70705">
            <w:pPr>
              <w:pStyle w:val="BoxTextHeader"/>
              <w:rPr>
                <w:rStyle w:val="Bold"/>
              </w:rPr>
            </w:pPr>
            <w:r w:rsidRPr="005D4909">
              <w:rPr>
                <w:rStyle w:val="Bold"/>
              </w:rPr>
              <w:t>Are there any other organisations or types of organisations that should typically be included in the list of consultees (</w:t>
            </w:r>
            <w:r w:rsidRPr="00B70705">
              <w:rPr>
                <w:rStyle w:val="Bold"/>
              </w:rPr>
              <w:t>Annex E Part A, paragraph 3.1</w:t>
            </w:r>
            <w:r w:rsidR="009743E4">
              <w:rPr>
                <w:rStyle w:val="Bold"/>
              </w:rPr>
              <w:t>2</w:t>
            </w:r>
            <w:r w:rsidRPr="00B70705">
              <w:rPr>
                <w:rStyle w:val="Bold"/>
              </w:rPr>
              <w:t>)?</w:t>
            </w:r>
          </w:p>
          <w:p w14:paraId="7E26339B" w14:textId="77777777" w:rsidR="00B70705" w:rsidRDefault="00B70705" w:rsidP="00B70705">
            <w:pPr>
              <w:pStyle w:val="BoxTextHeader"/>
              <w:rPr>
                <w:rStyle w:val="Bold"/>
              </w:rPr>
            </w:pPr>
          </w:p>
          <w:p w14:paraId="1A96BE4B" w14:textId="77777777" w:rsidR="00B70705" w:rsidRPr="00B70705" w:rsidRDefault="00B70705" w:rsidP="00B70705">
            <w:pPr>
              <w:pStyle w:val="BoxTextHeader"/>
              <w:rPr>
                <w:rStyle w:val="Bold"/>
              </w:rPr>
            </w:pPr>
            <w:r>
              <w:rPr>
                <w:rStyle w:val="Bold"/>
              </w:rPr>
              <w:t>YES/NO.  If yes, please specify</w:t>
            </w:r>
          </w:p>
        </w:tc>
      </w:tr>
    </w:tbl>
    <w:p w14:paraId="30761438" w14:textId="77777777" w:rsidR="001B670E" w:rsidRDefault="001B670E" w:rsidP="001212A4">
      <w:pPr>
        <w:pStyle w:val="Number1"/>
        <w:numPr>
          <w:ilvl w:val="0"/>
          <w:numId w:val="0"/>
        </w:numPr>
        <w:ind w:left="720"/>
      </w:pPr>
    </w:p>
    <w:p w14:paraId="3CF27E70" w14:textId="77777777" w:rsidR="00532ED2" w:rsidRPr="009A3FB2" w:rsidRDefault="00532ED2" w:rsidP="009A3FB2">
      <w:pPr>
        <w:pStyle w:val="Heading3"/>
        <w:rPr>
          <w:rStyle w:val="Underline"/>
        </w:rPr>
      </w:pPr>
      <w:r w:rsidRPr="009A3FB2">
        <w:rPr>
          <w:rStyle w:val="Underline"/>
        </w:rPr>
        <w:t>Full or partial closure</w:t>
      </w:r>
    </w:p>
    <w:p w14:paraId="3DE95D36" w14:textId="1F0311F3" w:rsidR="00532ED2" w:rsidRDefault="00532ED2" w:rsidP="00A7418E">
      <w:pPr>
        <w:pStyle w:val="Number1"/>
      </w:pPr>
      <w:r>
        <w:t>A</w:t>
      </w:r>
      <w:r w:rsidR="00A9406F">
        <w:t>n HCO</w:t>
      </w:r>
      <w:r>
        <w:t xml:space="preserve"> may remove all the statutory functions of an SHA (full closure) or specified ones (partial closure). </w:t>
      </w:r>
      <w:r w:rsidR="00DE7C37">
        <w:t xml:space="preserve">Partial closure of a viable harbour is not a matter for such an order, as </w:t>
      </w:r>
      <w:proofErr w:type="gramStart"/>
      <w:r w:rsidR="00DE7C37">
        <w:t xml:space="preserve">it </w:t>
      </w:r>
      <w:r w:rsidR="00A9406F">
        <w:t xml:space="preserve"> </w:t>
      </w:r>
      <w:r w:rsidR="00DE7C37">
        <w:t>would</w:t>
      </w:r>
      <w:proofErr w:type="gramEnd"/>
      <w:r w:rsidR="00DE7C37">
        <w:t xml:space="preserve"> not meet the statutory underlying purpose. An</w:t>
      </w:r>
      <w:r w:rsidR="00A9406F">
        <w:t xml:space="preserve"> HRO</w:t>
      </w:r>
      <w:r w:rsidR="00DE7C37">
        <w:t xml:space="preserve"> under section 14 of the 1964 Act would be more appropriate. </w:t>
      </w:r>
      <w:r>
        <w:t xml:space="preserve"> There is currently no fee for applying for a harbour closure order </w:t>
      </w:r>
      <w:r w:rsidR="005C5745">
        <w:t>though the Department retains the right to do so under legislation</w:t>
      </w:r>
      <w:r w:rsidR="00D6214A">
        <w:t xml:space="preserve"> (ref. paragraph 3.8 of Part A of the guidance, third bullet).</w:t>
      </w:r>
    </w:p>
    <w:p w14:paraId="3CA9C83E" w14:textId="77777777" w:rsidR="001B670E" w:rsidRDefault="001B670E" w:rsidP="00A7418E">
      <w:pPr>
        <w:pStyle w:val="Heading3"/>
        <w:rPr>
          <w:rStyle w:val="Underline"/>
        </w:rPr>
      </w:pPr>
    </w:p>
    <w:p w14:paraId="5873D461" w14:textId="77777777" w:rsidR="00A7418E" w:rsidRDefault="003E4C25" w:rsidP="00A7418E">
      <w:pPr>
        <w:pStyle w:val="Heading3"/>
        <w:rPr>
          <w:rStyle w:val="Underline"/>
        </w:rPr>
      </w:pPr>
      <w:r>
        <w:rPr>
          <w:rStyle w:val="Underline"/>
        </w:rPr>
        <w:t xml:space="preserve">The underlying purpose that must be considered by the Secretary of State </w:t>
      </w:r>
    </w:p>
    <w:p w14:paraId="6EA76F9E" w14:textId="77777777" w:rsidR="00A7418E" w:rsidRDefault="00A7418E" w:rsidP="00A7418E">
      <w:pPr>
        <w:pStyle w:val="Number1"/>
      </w:pPr>
      <w:r w:rsidRPr="00A7418E">
        <w:t>In accordance with section 17A(2) of the 1964 Act the Secretary of State must have regard to the underlying purpose</w:t>
      </w:r>
      <w:r w:rsidR="003E4C25">
        <w:t>, as defined in section 17A(3),</w:t>
      </w:r>
      <w:r w:rsidRPr="00A7418E">
        <w:t xml:space="preserve"> in determining whether or not to make a harbour closure order.  The underlying purpose is defined in the legislation as the purpose of permitting or requiring SHAs to cease to maintain harbours which are no longer commercially viable or necessary.  In practice, this means that the Secretary of State will consider </w:t>
      </w:r>
      <w:r w:rsidRPr="00A7418E">
        <w:lastRenderedPageBreak/>
        <w:t>matters relating to whether the harbour is still commercially viable, and/or whether it is still necessary, which may include (but are not limited to) the following factors:</w:t>
      </w:r>
    </w:p>
    <w:p w14:paraId="2871ED32" w14:textId="77777777" w:rsidR="0022243D" w:rsidRPr="00A7418E" w:rsidRDefault="0022243D" w:rsidP="0022243D">
      <w:pPr>
        <w:pStyle w:val="Number1"/>
        <w:numPr>
          <w:ilvl w:val="0"/>
          <w:numId w:val="0"/>
        </w:numPr>
        <w:ind w:left="720"/>
      </w:pPr>
    </w:p>
    <w:p w14:paraId="35A5671D" w14:textId="77777777" w:rsidR="00A7418E" w:rsidRDefault="0022243D" w:rsidP="00A7418E">
      <w:pPr>
        <w:pStyle w:val="Number1"/>
        <w:numPr>
          <w:ilvl w:val="0"/>
          <w:numId w:val="0"/>
        </w:numPr>
        <w:ind w:left="720"/>
      </w:pPr>
      <w:r>
        <w:t xml:space="preserve">(a) </w:t>
      </w:r>
      <w:proofErr w:type="gramStart"/>
      <w:r w:rsidR="00A7418E" w:rsidRPr="00A7418E">
        <w:t>a</w:t>
      </w:r>
      <w:proofErr w:type="gramEnd"/>
      <w:r w:rsidR="00A7418E" w:rsidRPr="00A7418E">
        <w:t xml:space="preserve"> change in the local economic area, reducing demand for the use</w:t>
      </w:r>
      <w:r w:rsidR="00A55D56">
        <w:t xml:space="preserve"> of the harbour;</w:t>
      </w:r>
    </w:p>
    <w:p w14:paraId="2571961C" w14:textId="77777777" w:rsidR="0022243D" w:rsidRPr="00A7418E" w:rsidRDefault="0022243D" w:rsidP="00A7418E">
      <w:pPr>
        <w:pStyle w:val="Number1"/>
        <w:numPr>
          <w:ilvl w:val="0"/>
          <w:numId w:val="0"/>
        </w:numPr>
        <w:ind w:left="720"/>
      </w:pPr>
    </w:p>
    <w:p w14:paraId="11986A18" w14:textId="3F3093FC" w:rsidR="00A7418E" w:rsidRDefault="0022243D" w:rsidP="0022243D">
      <w:pPr>
        <w:pStyle w:val="Number1"/>
        <w:numPr>
          <w:ilvl w:val="0"/>
          <w:numId w:val="0"/>
        </w:numPr>
        <w:ind w:left="720"/>
      </w:pPr>
      <w:r>
        <w:t xml:space="preserve">(b) </w:t>
      </w:r>
      <w:proofErr w:type="gramStart"/>
      <w:r w:rsidR="00A7418E" w:rsidRPr="00A7418E">
        <w:t>physical</w:t>
      </w:r>
      <w:proofErr w:type="gramEnd"/>
      <w:r w:rsidR="00A7418E" w:rsidRPr="00A7418E">
        <w:t xml:space="preserve"> restrictions in terms of the size of </w:t>
      </w:r>
      <w:r w:rsidR="00C0423A">
        <w:t>vessels</w:t>
      </w:r>
      <w:r w:rsidR="00C0423A" w:rsidRPr="00A7418E">
        <w:t xml:space="preserve"> </w:t>
      </w:r>
      <w:r w:rsidR="00A7418E" w:rsidRPr="00A7418E">
        <w:t>that can access its facilities making ongoing usage unviable;</w:t>
      </w:r>
    </w:p>
    <w:p w14:paraId="1F2ADDDB" w14:textId="77777777" w:rsidR="0022243D" w:rsidRPr="00A7418E" w:rsidRDefault="0022243D" w:rsidP="0022243D">
      <w:pPr>
        <w:pStyle w:val="Number1"/>
        <w:numPr>
          <w:ilvl w:val="0"/>
          <w:numId w:val="0"/>
        </w:numPr>
        <w:ind w:left="720"/>
      </w:pPr>
    </w:p>
    <w:p w14:paraId="4A8DEACE" w14:textId="234F5FFB" w:rsidR="00A7418E" w:rsidRDefault="0022243D" w:rsidP="0022243D">
      <w:pPr>
        <w:pStyle w:val="Number1"/>
        <w:numPr>
          <w:ilvl w:val="0"/>
          <w:numId w:val="0"/>
        </w:numPr>
        <w:ind w:left="720"/>
      </w:pPr>
      <w:r>
        <w:t xml:space="preserve">(c) </w:t>
      </w:r>
      <w:proofErr w:type="gramStart"/>
      <w:r w:rsidR="00A7418E" w:rsidRPr="00A7418E">
        <w:t>a</w:t>
      </w:r>
      <w:proofErr w:type="gramEnd"/>
      <w:r w:rsidR="00A7418E" w:rsidRPr="00A7418E">
        <w:t xml:space="preserve"> </w:t>
      </w:r>
      <w:r w:rsidR="00C0423A">
        <w:t>decline</w:t>
      </w:r>
      <w:r w:rsidR="00C0423A" w:rsidRPr="00A7418E">
        <w:t xml:space="preserve"> </w:t>
      </w:r>
      <w:r w:rsidR="00A7418E" w:rsidRPr="00A7418E">
        <w:t xml:space="preserve">in the number of </w:t>
      </w:r>
      <w:r w:rsidR="00C0423A">
        <w:t>vessels</w:t>
      </w:r>
      <w:r w:rsidR="00C0423A" w:rsidRPr="00A7418E">
        <w:t xml:space="preserve"> </w:t>
      </w:r>
      <w:r w:rsidR="00A7418E" w:rsidRPr="00A7418E">
        <w:t>using the area;</w:t>
      </w:r>
    </w:p>
    <w:p w14:paraId="4175CF48" w14:textId="77777777" w:rsidR="0022243D" w:rsidRPr="00A7418E" w:rsidRDefault="0022243D" w:rsidP="0022243D">
      <w:pPr>
        <w:pStyle w:val="Number1"/>
        <w:numPr>
          <w:ilvl w:val="0"/>
          <w:numId w:val="0"/>
        </w:numPr>
        <w:ind w:left="720"/>
      </w:pPr>
    </w:p>
    <w:p w14:paraId="5F9DCCF4" w14:textId="77777777" w:rsidR="00A7418E" w:rsidRDefault="0022243D" w:rsidP="0022243D">
      <w:pPr>
        <w:pStyle w:val="Number1"/>
        <w:numPr>
          <w:ilvl w:val="0"/>
          <w:numId w:val="0"/>
        </w:numPr>
        <w:ind w:left="720"/>
      </w:pPr>
      <w:r>
        <w:t xml:space="preserve">(d) </w:t>
      </w:r>
      <w:proofErr w:type="gramStart"/>
      <w:r w:rsidR="00A7418E" w:rsidRPr="00A7418E">
        <w:t>competition</w:t>
      </w:r>
      <w:proofErr w:type="gramEnd"/>
      <w:r w:rsidR="00A7418E" w:rsidRPr="00A7418E">
        <w:t xml:space="preserve"> with other local ports;</w:t>
      </w:r>
    </w:p>
    <w:p w14:paraId="43CC97A3" w14:textId="77777777" w:rsidR="0022243D" w:rsidRPr="00A7418E" w:rsidRDefault="0022243D" w:rsidP="0022243D">
      <w:pPr>
        <w:pStyle w:val="Number1"/>
        <w:numPr>
          <w:ilvl w:val="0"/>
          <w:numId w:val="0"/>
        </w:numPr>
        <w:ind w:left="720"/>
      </w:pPr>
    </w:p>
    <w:p w14:paraId="1AE230BE" w14:textId="5D0547F2" w:rsidR="00A7418E" w:rsidRPr="00A7418E" w:rsidRDefault="0022243D" w:rsidP="0022243D">
      <w:pPr>
        <w:pStyle w:val="Number1"/>
        <w:numPr>
          <w:ilvl w:val="0"/>
          <w:numId w:val="0"/>
        </w:numPr>
        <w:ind w:left="720"/>
      </w:pPr>
      <w:r>
        <w:t xml:space="preserve">(e) </w:t>
      </w:r>
      <w:proofErr w:type="gramStart"/>
      <w:r w:rsidR="00A7418E" w:rsidRPr="00A7418E">
        <w:t>a</w:t>
      </w:r>
      <w:proofErr w:type="gramEnd"/>
      <w:r w:rsidR="00A7418E" w:rsidRPr="00A7418E">
        <w:t xml:space="preserve"> change in the type of vessels using the area</w:t>
      </w:r>
      <w:r w:rsidR="008B109A">
        <w:t>.</w:t>
      </w:r>
      <w:r w:rsidR="00A7418E" w:rsidRPr="00A7418E">
        <w:t xml:space="preserve"> </w:t>
      </w:r>
    </w:p>
    <w:p w14:paraId="7274AB68" w14:textId="77777777" w:rsidR="0022243D" w:rsidRDefault="0022243D" w:rsidP="0022243D">
      <w:pPr>
        <w:pStyle w:val="Number1"/>
        <w:numPr>
          <w:ilvl w:val="0"/>
          <w:numId w:val="0"/>
        </w:numPr>
        <w:ind w:left="720"/>
      </w:pPr>
    </w:p>
    <w:p w14:paraId="388EAD04" w14:textId="756BEEC5" w:rsidR="008B109A" w:rsidRDefault="008B109A" w:rsidP="0027682D">
      <w:pPr>
        <w:pStyle w:val="Number1"/>
      </w:pPr>
      <w:r>
        <w:t xml:space="preserve"> If a harbour</w:t>
      </w:r>
      <w:r w:rsidRPr="008B109A">
        <w:t xml:space="preserve"> </w:t>
      </w:r>
      <w:r w:rsidRPr="00A7418E">
        <w:t xml:space="preserve">is not </w:t>
      </w:r>
      <w:r>
        <w:t xml:space="preserve">commercially </w:t>
      </w:r>
      <w:r w:rsidRPr="00A7418E">
        <w:t>viable then the SHA may not be able to fulfil the duties and costs imposed on it by its statutory functions.  This may cause dis-benefits to the SHA and those using or considering using the harbour.  Accordingly, the Secretary of State may form the view that the underlying purpose test is met and that the harbour should be closed.</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9"/>
      </w:tblGrid>
      <w:tr w:rsidR="0033080C" w14:paraId="7009AD29" w14:textId="77777777" w:rsidTr="009D7C94">
        <w:trPr>
          <w:trHeight w:val="1654"/>
        </w:trPr>
        <w:tc>
          <w:tcPr>
            <w:tcW w:w="8315" w:type="dxa"/>
            <w:shd w:val="clear" w:color="auto" w:fill="E2F6EC"/>
          </w:tcPr>
          <w:p w14:paraId="4D39553C" w14:textId="2EA5FA83" w:rsidR="0033080C" w:rsidRPr="0033080C" w:rsidRDefault="0033080C" w:rsidP="0033080C">
            <w:pPr>
              <w:pStyle w:val="BoxTextHeader"/>
            </w:pPr>
            <w:r>
              <w:t>Q</w:t>
            </w:r>
            <w:r w:rsidRPr="0033080C">
              <w:t xml:space="preserve">uestion </w:t>
            </w:r>
            <w:r w:rsidR="00B70705">
              <w:t>3</w:t>
            </w:r>
          </w:p>
          <w:p w14:paraId="2B87B80A" w14:textId="77777777" w:rsidR="0033080C" w:rsidRPr="0033080C" w:rsidRDefault="0033080C" w:rsidP="0033080C">
            <w:pPr>
              <w:pStyle w:val="22-BodyText"/>
            </w:pPr>
            <w:r w:rsidRPr="00DE1A91">
              <w:t xml:space="preserve">Are you satisfied the guidance is sufficiently clear about the requirement for the Secretary of State to have regard to the underlying purpose </w:t>
            </w:r>
            <w:r w:rsidRPr="0033080C">
              <w:t>set out in section 17A of the Harbours Act 1964 of permitting or requiring harbour authorities to cease to maintain harbours that are no longer commercially viable or necessary and the circumstances in which a closure order will be made (Part A of Annex E paragraphs 1.6 and 1.7)?</w:t>
            </w:r>
          </w:p>
          <w:p w14:paraId="10AC17ED" w14:textId="77777777" w:rsidR="0033080C" w:rsidRDefault="0033080C" w:rsidP="0033080C">
            <w:pPr>
              <w:pStyle w:val="BoxText"/>
            </w:pPr>
          </w:p>
          <w:p w14:paraId="351E8CBB" w14:textId="77777777" w:rsidR="0033080C" w:rsidRPr="0033080C" w:rsidRDefault="0033080C" w:rsidP="0033080C">
            <w:pPr>
              <w:pStyle w:val="BoxText"/>
            </w:pPr>
            <w:r w:rsidRPr="00DE1A91">
              <w:t>YES/NO.  If no, please explain why.</w:t>
            </w:r>
          </w:p>
        </w:tc>
      </w:tr>
    </w:tbl>
    <w:p w14:paraId="305C3ECB" w14:textId="77777777" w:rsidR="0033080C" w:rsidRDefault="0033080C" w:rsidP="008042E4">
      <w:pPr>
        <w:pStyle w:val="Number1"/>
        <w:numPr>
          <w:ilvl w:val="0"/>
          <w:numId w:val="0"/>
        </w:numPr>
        <w:ind w:left="720"/>
      </w:pPr>
    </w:p>
    <w:p w14:paraId="5DE1ADE9" w14:textId="77777777" w:rsidR="0033080C" w:rsidRDefault="0033080C" w:rsidP="008042E4">
      <w:pPr>
        <w:pStyle w:val="Number1"/>
        <w:numPr>
          <w:ilvl w:val="0"/>
          <w:numId w:val="0"/>
        </w:numPr>
        <w:ind w:left="720"/>
      </w:pPr>
    </w:p>
    <w:p w14:paraId="1180EA15" w14:textId="61F82370" w:rsidR="008B109A" w:rsidRDefault="008B109A" w:rsidP="008042E4">
      <w:pPr>
        <w:pStyle w:val="Heading3"/>
      </w:pPr>
      <w:r>
        <w:rPr>
          <w:rStyle w:val="Underline"/>
        </w:rPr>
        <w:lastRenderedPageBreak/>
        <w:t>An SHA's obligations under the general law</w:t>
      </w:r>
      <w:r>
        <w:t xml:space="preserve"> </w:t>
      </w:r>
    </w:p>
    <w:p w14:paraId="19A0EA9E" w14:textId="08FF90C8" w:rsidR="008B109A" w:rsidRDefault="008B109A" w:rsidP="008B109A">
      <w:pPr>
        <w:pStyle w:val="Number1"/>
      </w:pPr>
      <w:r w:rsidRPr="008B109A">
        <w:t>As well as its functions under its own local statutes, an SHA also has duties and powers under the general law which need to be taken account of in a harbour closure order.  For example, an SHA has responsibilities as a local lighthouse authority under section 193 of the Merchant Shipping Act 1995 ("the 1995 Act") to mark and light its harbou</w:t>
      </w:r>
      <w:r w:rsidR="009743E4">
        <w:t>r</w:t>
      </w:r>
      <w:r w:rsidRPr="008B109A">
        <w:t>.   It also has wreck marking and removal powers under section 252 of the 1995 Act.</w:t>
      </w:r>
    </w:p>
    <w:p w14:paraId="71076427" w14:textId="5C3BE9EB" w:rsidR="008B109A" w:rsidRDefault="0059619F" w:rsidP="008B109A">
      <w:pPr>
        <w:pStyle w:val="Number1"/>
      </w:pPr>
      <w:r>
        <w:t>There may also require to be provision made in the closure order in relation to pension schemes for an SHA's officers.</w:t>
      </w:r>
    </w:p>
    <w:p w14:paraId="3EF8E555" w14:textId="77777777" w:rsidR="000D74C7" w:rsidRDefault="000D74C7" w:rsidP="000D74C7">
      <w:pPr>
        <w:pStyle w:val="Number1"/>
        <w:numPr>
          <w:ilvl w:val="0"/>
          <w:numId w:val="0"/>
        </w:numPr>
        <w:ind w:left="720"/>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5"/>
      </w:tblGrid>
      <w:tr w:rsidR="0033080C" w14:paraId="3025E105" w14:textId="77777777" w:rsidTr="009D7C94">
        <w:trPr>
          <w:trHeight w:val="1654"/>
        </w:trPr>
        <w:tc>
          <w:tcPr>
            <w:tcW w:w="5000" w:type="pct"/>
            <w:shd w:val="clear" w:color="auto" w:fill="E2F6EC"/>
          </w:tcPr>
          <w:p w14:paraId="36C21528" w14:textId="30884723" w:rsidR="0033080C" w:rsidRPr="0033080C" w:rsidRDefault="0033080C" w:rsidP="0033080C">
            <w:pPr>
              <w:pStyle w:val="BoxTextHeader"/>
            </w:pPr>
            <w:r>
              <w:t xml:space="preserve">Question </w:t>
            </w:r>
            <w:r w:rsidR="00B70705">
              <w:t>4</w:t>
            </w:r>
          </w:p>
          <w:p w14:paraId="4EB272ED" w14:textId="77777777" w:rsidR="0033080C" w:rsidRPr="0033080C" w:rsidRDefault="0033080C" w:rsidP="0033080C">
            <w:pPr>
              <w:pStyle w:val="BoxTextHeader"/>
              <w:rPr>
                <w:rStyle w:val="Bold"/>
              </w:rPr>
            </w:pPr>
            <w:r w:rsidRPr="006E58B1">
              <w:rPr>
                <w:rStyle w:val="Bold"/>
              </w:rPr>
              <w:t xml:space="preserve">Reference is made to a harbour authority’s responsibilities under general legislation as regards lighting and buoying, wrecks </w:t>
            </w:r>
            <w:r w:rsidRPr="0033080C">
              <w:rPr>
                <w:rStyle w:val="Bold"/>
              </w:rPr>
              <w:t>and pensions (Annex E Part A, paragraph 2.8).   Are there any other generic responsibilities for harbour authorities under general legislation that we should highlight in the guidance as needing to be provided for in a harbour closure order?</w:t>
            </w:r>
          </w:p>
          <w:p w14:paraId="2EEFCE4F" w14:textId="77777777" w:rsidR="0033080C" w:rsidRDefault="0033080C" w:rsidP="0033080C">
            <w:pPr>
              <w:pStyle w:val="BoxTextHeader"/>
              <w:rPr>
                <w:rStyle w:val="Bold"/>
              </w:rPr>
            </w:pPr>
          </w:p>
          <w:p w14:paraId="40CA68DE" w14:textId="77777777" w:rsidR="0033080C" w:rsidRPr="0033080C" w:rsidRDefault="0033080C" w:rsidP="0033080C">
            <w:pPr>
              <w:pStyle w:val="BoxTextHeader"/>
            </w:pPr>
            <w:r w:rsidRPr="006E58B1">
              <w:rPr>
                <w:rStyle w:val="Bold"/>
              </w:rPr>
              <w:t>YES/NO.   If yes, please specify</w:t>
            </w:r>
            <w:r w:rsidRPr="0033080C">
              <w:rPr>
                <w:rStyle w:val="Bold"/>
              </w:rPr>
              <w:t>.</w:t>
            </w:r>
          </w:p>
        </w:tc>
      </w:tr>
    </w:tbl>
    <w:p w14:paraId="14180AAC" w14:textId="77777777" w:rsidR="0033080C" w:rsidRDefault="0033080C" w:rsidP="008B109A">
      <w:pPr>
        <w:pStyle w:val="Heading3"/>
        <w:rPr>
          <w:rStyle w:val="Underline"/>
        </w:rPr>
      </w:pPr>
    </w:p>
    <w:p w14:paraId="5490500A" w14:textId="770F5184" w:rsidR="008B109A" w:rsidRDefault="008B109A" w:rsidP="008B109A">
      <w:pPr>
        <w:pStyle w:val="Heading3"/>
      </w:pPr>
      <w:r>
        <w:rPr>
          <w:rStyle w:val="Underline"/>
        </w:rPr>
        <w:t>Statement of reasons</w:t>
      </w:r>
    </w:p>
    <w:p w14:paraId="61CD72FB" w14:textId="77777777" w:rsidR="0027682D" w:rsidRDefault="0027682D" w:rsidP="0027682D">
      <w:pPr>
        <w:pStyle w:val="Number1"/>
      </w:pPr>
      <w:r w:rsidRPr="0027682D">
        <w:t>Whilst not required by legislation it is strongly advised that the SHA, when applying for a closure order,  includes a statement of reasons that explains:</w:t>
      </w:r>
    </w:p>
    <w:p w14:paraId="21C0F64E" w14:textId="77777777" w:rsidR="0027682D" w:rsidRDefault="0027682D" w:rsidP="0027682D">
      <w:pPr>
        <w:pStyle w:val="Number1"/>
        <w:numPr>
          <w:ilvl w:val="0"/>
          <w:numId w:val="0"/>
        </w:numPr>
        <w:ind w:left="720"/>
      </w:pPr>
      <w:r>
        <w:t xml:space="preserve">a) </w:t>
      </w:r>
      <w:proofErr w:type="gramStart"/>
      <w:r w:rsidR="00796C66">
        <w:t>why</w:t>
      </w:r>
      <w:proofErr w:type="gramEnd"/>
      <w:r w:rsidR="00796C66">
        <w:t xml:space="preserve"> there is a need for a closure order</w:t>
      </w:r>
      <w:r>
        <w:t>;</w:t>
      </w:r>
    </w:p>
    <w:p w14:paraId="02B5D021" w14:textId="77777777" w:rsidR="0027682D" w:rsidRPr="0027682D" w:rsidRDefault="0027682D" w:rsidP="0027682D">
      <w:pPr>
        <w:pStyle w:val="Number1"/>
        <w:numPr>
          <w:ilvl w:val="0"/>
          <w:numId w:val="0"/>
        </w:numPr>
        <w:ind w:left="720"/>
      </w:pPr>
    </w:p>
    <w:p w14:paraId="13FE2189" w14:textId="77777777" w:rsidR="0027682D" w:rsidRDefault="0027682D" w:rsidP="0027682D">
      <w:pPr>
        <w:pStyle w:val="Number1"/>
        <w:numPr>
          <w:ilvl w:val="0"/>
          <w:numId w:val="0"/>
        </w:numPr>
        <w:ind w:left="720"/>
      </w:pPr>
      <w:r>
        <w:t xml:space="preserve">b) </w:t>
      </w:r>
      <w:proofErr w:type="gramStart"/>
      <w:r w:rsidRPr="0027682D">
        <w:t>whether</w:t>
      </w:r>
      <w:proofErr w:type="gramEnd"/>
      <w:r w:rsidRPr="0027682D">
        <w:t xml:space="preserve"> it is proposed to remove all the statutory functions or only certain ones</w:t>
      </w:r>
      <w:r>
        <w:t>;</w:t>
      </w:r>
    </w:p>
    <w:p w14:paraId="17594A4F" w14:textId="77777777" w:rsidR="0027682D" w:rsidRPr="0027682D" w:rsidRDefault="0027682D" w:rsidP="0027682D">
      <w:pPr>
        <w:pStyle w:val="Number1"/>
        <w:numPr>
          <w:ilvl w:val="0"/>
          <w:numId w:val="0"/>
        </w:numPr>
        <w:ind w:left="720"/>
      </w:pPr>
    </w:p>
    <w:p w14:paraId="57847265" w14:textId="77777777" w:rsidR="0027682D" w:rsidRDefault="0027682D" w:rsidP="0027682D">
      <w:pPr>
        <w:pStyle w:val="Number1"/>
        <w:numPr>
          <w:ilvl w:val="0"/>
          <w:numId w:val="0"/>
        </w:numPr>
        <w:ind w:left="720"/>
      </w:pPr>
      <w:r>
        <w:t xml:space="preserve">c) </w:t>
      </w:r>
      <w:proofErr w:type="gramStart"/>
      <w:r w:rsidRPr="0027682D">
        <w:t>the</w:t>
      </w:r>
      <w:proofErr w:type="gramEnd"/>
      <w:r w:rsidRPr="0027682D">
        <w:t xml:space="preserve"> need for any transitional provisions</w:t>
      </w:r>
      <w:r>
        <w:t>;</w:t>
      </w:r>
    </w:p>
    <w:p w14:paraId="0F25614A" w14:textId="77777777" w:rsidR="0027682D" w:rsidRPr="0027682D" w:rsidRDefault="0027682D" w:rsidP="0027682D">
      <w:pPr>
        <w:pStyle w:val="Number1"/>
        <w:numPr>
          <w:ilvl w:val="0"/>
          <w:numId w:val="0"/>
        </w:numPr>
        <w:ind w:left="720"/>
      </w:pPr>
    </w:p>
    <w:p w14:paraId="28120A22" w14:textId="77777777" w:rsidR="0027682D" w:rsidRDefault="0027682D" w:rsidP="0027682D">
      <w:pPr>
        <w:pStyle w:val="Number1"/>
        <w:numPr>
          <w:ilvl w:val="0"/>
          <w:numId w:val="0"/>
        </w:numPr>
        <w:ind w:left="720"/>
      </w:pPr>
      <w:r>
        <w:t xml:space="preserve">d) </w:t>
      </w:r>
      <w:proofErr w:type="gramStart"/>
      <w:r w:rsidRPr="0027682D">
        <w:t>the</w:t>
      </w:r>
      <w:proofErr w:type="gramEnd"/>
      <w:r w:rsidRPr="0027682D">
        <w:t xml:space="preserve"> proposals for transfer of property, rights or liabilities</w:t>
      </w:r>
      <w:r>
        <w:t>;</w:t>
      </w:r>
    </w:p>
    <w:p w14:paraId="571B814F" w14:textId="77777777" w:rsidR="0027682D" w:rsidRPr="0027682D" w:rsidRDefault="0027682D" w:rsidP="0027682D">
      <w:pPr>
        <w:pStyle w:val="Number1"/>
        <w:numPr>
          <w:ilvl w:val="0"/>
          <w:numId w:val="0"/>
        </w:numPr>
        <w:ind w:left="720"/>
      </w:pPr>
    </w:p>
    <w:p w14:paraId="553C8E10" w14:textId="77777777" w:rsidR="0027682D" w:rsidRDefault="0027682D" w:rsidP="0027682D">
      <w:pPr>
        <w:pStyle w:val="Number1"/>
        <w:numPr>
          <w:ilvl w:val="0"/>
          <w:numId w:val="0"/>
        </w:numPr>
        <w:ind w:left="720"/>
      </w:pPr>
      <w:r>
        <w:lastRenderedPageBreak/>
        <w:t xml:space="preserve">e) </w:t>
      </w:r>
      <w:r w:rsidRPr="0027682D">
        <w:t>an assessment of likely costs and benefits of its proposals (including, but not limited to, the impact on harbour users and others with an interest in the harbour or who may be affected by harbour closure)</w:t>
      </w:r>
      <w:r>
        <w:t>.</w:t>
      </w:r>
    </w:p>
    <w:p w14:paraId="0F22D7E7" w14:textId="77777777" w:rsidR="0027682D" w:rsidRPr="0027682D" w:rsidRDefault="0027682D" w:rsidP="0027682D">
      <w:pPr>
        <w:pStyle w:val="Number1"/>
        <w:numPr>
          <w:ilvl w:val="0"/>
          <w:numId w:val="0"/>
        </w:numPr>
        <w:ind w:left="720"/>
      </w:pPr>
    </w:p>
    <w:p w14:paraId="46C17576" w14:textId="77777777" w:rsidR="0027682D" w:rsidRPr="0027682D" w:rsidRDefault="0027682D" w:rsidP="0027682D">
      <w:pPr>
        <w:pStyle w:val="Number1"/>
        <w:numPr>
          <w:ilvl w:val="0"/>
          <w:numId w:val="0"/>
        </w:numPr>
        <w:ind w:left="720"/>
      </w:pPr>
      <w:r w:rsidRPr="0027682D">
        <w:t xml:space="preserve">The statement of reasons will need to explain the basis for each provision the SHA requires in the draft Order.  </w:t>
      </w:r>
    </w:p>
    <w:p w14:paraId="06C400B8" w14:textId="77777777" w:rsidR="0027682D" w:rsidRDefault="0027682D" w:rsidP="001B670E">
      <w:pPr>
        <w:pStyle w:val="Number1"/>
        <w:numPr>
          <w:ilvl w:val="0"/>
          <w:numId w:val="0"/>
        </w:numPr>
        <w:ind w:left="720"/>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5"/>
      </w:tblGrid>
      <w:tr w:rsidR="0033080C" w14:paraId="329CFBD5" w14:textId="77777777" w:rsidTr="009D7C94">
        <w:trPr>
          <w:trHeight w:val="1654"/>
        </w:trPr>
        <w:tc>
          <w:tcPr>
            <w:tcW w:w="5000" w:type="pct"/>
            <w:shd w:val="clear" w:color="auto" w:fill="E2F6EC"/>
          </w:tcPr>
          <w:p w14:paraId="63FFBCD5" w14:textId="771DD17E" w:rsidR="0033080C" w:rsidRPr="0033080C" w:rsidRDefault="0033080C" w:rsidP="0033080C">
            <w:pPr>
              <w:pStyle w:val="BoxTextHeader"/>
            </w:pPr>
            <w:r>
              <w:t xml:space="preserve">Question </w:t>
            </w:r>
            <w:r w:rsidR="00B70705">
              <w:t>5</w:t>
            </w:r>
          </w:p>
          <w:p w14:paraId="64FC14F6" w14:textId="77777777" w:rsidR="0033080C" w:rsidRPr="0033080C" w:rsidRDefault="0033080C" w:rsidP="0033080C">
            <w:pPr>
              <w:pStyle w:val="BoxTextHeader"/>
              <w:rPr>
                <w:rStyle w:val="Bold"/>
              </w:rPr>
            </w:pPr>
            <w:r w:rsidRPr="006E58B1">
              <w:rPr>
                <w:rStyle w:val="Bold"/>
              </w:rPr>
              <w:t>Is there any further information you think we should ask a harbour authority to provide in the requested statement of reasons (</w:t>
            </w:r>
            <w:r w:rsidRPr="0033080C">
              <w:rPr>
                <w:rStyle w:val="Bold"/>
              </w:rPr>
              <w:t>Annex E Part A, paragraphs 2.1 and 2.2)?</w:t>
            </w:r>
          </w:p>
          <w:p w14:paraId="35BD1C8D" w14:textId="77777777" w:rsidR="0033080C" w:rsidRDefault="0033080C" w:rsidP="0033080C">
            <w:pPr>
              <w:pStyle w:val="BoxTextHeader"/>
              <w:rPr>
                <w:rStyle w:val="Bold"/>
              </w:rPr>
            </w:pPr>
          </w:p>
          <w:p w14:paraId="32FD1860" w14:textId="77777777" w:rsidR="0033080C" w:rsidRPr="0033080C" w:rsidRDefault="0033080C" w:rsidP="0033080C">
            <w:pPr>
              <w:pStyle w:val="BoxTextHeader"/>
              <w:rPr>
                <w:rStyle w:val="Bold"/>
              </w:rPr>
            </w:pPr>
            <w:r w:rsidRPr="006E58B1">
              <w:rPr>
                <w:rStyle w:val="Bold"/>
              </w:rPr>
              <w:t xml:space="preserve">YES/NO.  If yes, please </w:t>
            </w:r>
            <w:r w:rsidRPr="0033080C">
              <w:rPr>
                <w:rStyle w:val="Bold"/>
              </w:rPr>
              <w:t>specify</w:t>
            </w:r>
          </w:p>
        </w:tc>
      </w:tr>
    </w:tbl>
    <w:p w14:paraId="30B32784" w14:textId="77777777" w:rsidR="0033080C" w:rsidRDefault="0033080C" w:rsidP="001B670E">
      <w:pPr>
        <w:pStyle w:val="Number1"/>
        <w:numPr>
          <w:ilvl w:val="0"/>
          <w:numId w:val="0"/>
        </w:numPr>
        <w:ind w:left="720"/>
      </w:pPr>
    </w:p>
    <w:p w14:paraId="285C45F2" w14:textId="77777777" w:rsidR="0027682D" w:rsidRDefault="0027682D" w:rsidP="0027682D">
      <w:pPr>
        <w:pStyle w:val="Number1"/>
        <w:numPr>
          <w:ilvl w:val="0"/>
          <w:numId w:val="0"/>
        </w:numPr>
        <w:ind w:left="720"/>
        <w:rPr>
          <w:rStyle w:val="Bold"/>
        </w:rPr>
      </w:pPr>
    </w:p>
    <w:p w14:paraId="76F42A1B" w14:textId="77777777" w:rsidR="0027682D" w:rsidRDefault="0027682D" w:rsidP="00490BD5">
      <w:pPr>
        <w:pStyle w:val="Number1"/>
        <w:numPr>
          <w:ilvl w:val="0"/>
          <w:numId w:val="0"/>
        </w:numPr>
        <w:ind w:left="720" w:hanging="720"/>
        <w:rPr>
          <w:rStyle w:val="Bold"/>
        </w:rPr>
      </w:pPr>
      <w:r>
        <w:rPr>
          <w:rStyle w:val="Bold"/>
        </w:rPr>
        <w:t>P</w:t>
      </w:r>
      <w:r w:rsidRPr="0027682D">
        <w:rPr>
          <w:rStyle w:val="Bold"/>
        </w:rPr>
        <w:t>ART B: PILOTAGE FUNCTION REMOVAL ORDERS</w:t>
      </w:r>
    </w:p>
    <w:p w14:paraId="10003BCE" w14:textId="77777777" w:rsidR="0027682D" w:rsidRPr="0027682D" w:rsidRDefault="0027682D" w:rsidP="0027682D">
      <w:pPr>
        <w:pStyle w:val="Number1"/>
        <w:numPr>
          <w:ilvl w:val="0"/>
          <w:numId w:val="0"/>
        </w:numPr>
        <w:ind w:left="720"/>
        <w:rPr>
          <w:rStyle w:val="Bold"/>
        </w:rPr>
      </w:pPr>
    </w:p>
    <w:p w14:paraId="74031A2F" w14:textId="4DFACF6D" w:rsidR="0027682D" w:rsidRDefault="0027682D" w:rsidP="0027682D">
      <w:pPr>
        <w:pStyle w:val="Number1"/>
      </w:pPr>
      <w:r>
        <w:t xml:space="preserve">Section 1 of the </w:t>
      </w:r>
      <w:r w:rsidR="001C66F8">
        <w:t>2013 Act</w:t>
      </w:r>
      <w:r>
        <w:t xml:space="preserve"> inserted new provisions into section 1 of the Pilotage Act 1987 (</w:t>
      </w:r>
      <w:r>
        <w:rPr>
          <w:rStyle w:val="Bold"/>
        </w:rPr>
        <w:t>"the 1987 Act"</w:t>
      </w:r>
      <w:r>
        <w:rPr>
          <w:rStyle w:val="BoldOff"/>
        </w:rPr>
        <w:t>)</w:t>
      </w:r>
      <w:r>
        <w:t xml:space="preserve"> which enable the Secretary of State to make an order relieving an SHA of its pilotage functions if they are no longer necessary in its area of jurisdiction as a "competent harbour authority" for the purposes of the 1987 Act.  </w:t>
      </w:r>
    </w:p>
    <w:p w14:paraId="361080CD" w14:textId="77777777" w:rsidR="0027682D" w:rsidRDefault="00490BD5" w:rsidP="00D809A6">
      <w:pPr>
        <w:pStyle w:val="Number1"/>
      </w:pPr>
      <w:r>
        <w:t xml:space="preserve">Part B of the Guidance (pages 18-20 of </w:t>
      </w:r>
      <w:r w:rsidR="00D809A6" w:rsidRPr="00D809A6">
        <w:t>Annex E</w:t>
      </w:r>
      <w:r>
        <w:t>) sets out the background to the pilotage function and the responsibilities of competent harbour author</w:t>
      </w:r>
      <w:r w:rsidR="006003AC">
        <w:t>i</w:t>
      </w:r>
      <w:r>
        <w:t>ties, and, as there is no procedure set out in legislation for pilotage function removal orders, the intended process to be followed (paragraphs 4.8 to 4.11</w:t>
      </w:r>
      <w:r w:rsidR="006003AC">
        <w:t>)</w:t>
      </w:r>
      <w:r>
        <w:t xml:space="preserve"> in respect of such orders. </w:t>
      </w:r>
    </w:p>
    <w:p w14:paraId="66A83676" w14:textId="1FE4E198" w:rsidR="001B2A0D" w:rsidRDefault="001B2A0D" w:rsidP="00D809A6">
      <w:pPr>
        <w:pStyle w:val="Number1"/>
      </w:pPr>
      <w:r>
        <w:t xml:space="preserve">To date one pilotage function </w:t>
      </w:r>
      <w:r w:rsidR="009743E4">
        <w:t xml:space="preserve">removal </w:t>
      </w:r>
      <w:r>
        <w:t>order</w:t>
      </w:r>
      <w:r w:rsidR="009D7C94">
        <w:rPr>
          <w:rStyle w:val="FootnoteReference"/>
        </w:rPr>
        <w:footnoteReference w:id="4"/>
      </w:r>
      <w:r>
        <w:t xml:space="preserve"> has been made</w:t>
      </w:r>
      <w:r w:rsidR="003709DB">
        <w:t xml:space="preserve"> under section 1(4A) of the 1987 Act</w:t>
      </w:r>
      <w:r w:rsidR="009743E4">
        <w:t>,</w:t>
      </w:r>
      <w:r w:rsidR="009D7C94">
        <w:t xml:space="preserve"> which removed the competent harbour authority status of </w:t>
      </w:r>
      <w:r>
        <w:t>Yarmouth (Isle of Wight) Harbour Authority</w:t>
      </w:r>
      <w:r w:rsidR="009D7C94">
        <w:t xml:space="preserve">.  The intended process for handling </w:t>
      </w:r>
      <w:r w:rsidR="009743E4">
        <w:t>such</w:t>
      </w:r>
      <w:r w:rsidR="009D7C94">
        <w:t xml:space="preserve"> orders set out in Part B of the Guidance docum</w:t>
      </w:r>
      <w:r w:rsidR="004C4449">
        <w:t xml:space="preserve">ent draws on the Department's experience of dealing with the Yarmouth </w:t>
      </w:r>
      <w:r w:rsidR="004C4449">
        <w:lastRenderedPageBreak/>
        <w:t>case</w:t>
      </w:r>
      <w:r w:rsidR="009743E4">
        <w:t>,</w:t>
      </w:r>
      <w:r w:rsidR="004C4449">
        <w:t xml:space="preserve"> albeit that it was a relatively straightforward case, pilotage services never having been provided at the harbour.  Future applications may entail more factors </w:t>
      </w:r>
      <w:r w:rsidR="009743E4">
        <w:t xml:space="preserve">that </w:t>
      </w:r>
      <w:r w:rsidR="004C4449">
        <w:t>need to be taken into consideration before the Department can reach a decision on whether to grant an order</w:t>
      </w:r>
      <w:r w:rsidR="003709DB">
        <w:t>.</w:t>
      </w:r>
    </w:p>
    <w:p w14:paraId="0C5F73D1" w14:textId="12ACBC99" w:rsidR="00892D4D" w:rsidRDefault="00892D4D" w:rsidP="00D809A6">
      <w:pPr>
        <w:pStyle w:val="Number1"/>
      </w:pPr>
      <w:r>
        <w:t>The Guidance on pilotage function removal orders is necessarily less detailed</w:t>
      </w:r>
      <w:r w:rsidR="00597470">
        <w:t xml:space="preserve"> than that for harbour closure orders</w:t>
      </w:r>
      <w:r>
        <w:t xml:space="preserve"> </w:t>
      </w:r>
      <w:r w:rsidR="00597470">
        <w:t>as an order only needs to provide f</w:t>
      </w:r>
      <w:r>
        <w:t>or the removal of a single function</w:t>
      </w:r>
      <w:r w:rsidR="00597470">
        <w:t xml:space="preserve">.  </w:t>
      </w:r>
      <w:r w:rsidR="009743E4">
        <w:t>In comparison with</w:t>
      </w:r>
      <w:r w:rsidR="00597470">
        <w:t xml:space="preserve"> harbour closure orders</w:t>
      </w:r>
      <w:r w:rsidR="009743E4">
        <w:t>,</w:t>
      </w:r>
      <w:r w:rsidR="00597470">
        <w:t xml:space="preserve"> </w:t>
      </w:r>
      <w:r>
        <w:t xml:space="preserve">there are </w:t>
      </w:r>
      <w:r w:rsidR="009743E4">
        <w:t>fewer</w:t>
      </w:r>
      <w:r>
        <w:t xml:space="preserve"> detailed </w:t>
      </w:r>
      <w:r w:rsidR="00597470">
        <w:t>requirements as to content set out in law</w:t>
      </w:r>
      <w:r w:rsidR="009743E4">
        <w:t xml:space="preserve"> and there is no requirement on the </w:t>
      </w:r>
      <w:r w:rsidR="00597470">
        <w:t xml:space="preserve">Secretary of State </w:t>
      </w:r>
      <w:r w:rsidR="009743E4">
        <w:t xml:space="preserve">to provide </w:t>
      </w:r>
      <w:r w:rsidR="00597470">
        <w:t>statut</w:t>
      </w:r>
      <w:r w:rsidR="009743E4">
        <w:t>ory guidance.</w:t>
      </w:r>
      <w:r w:rsidR="00597470">
        <w:t xml:space="preserve">  </w:t>
      </w:r>
      <w:r>
        <w:t xml:space="preserve">  </w:t>
      </w:r>
    </w:p>
    <w:p w14:paraId="1586A700" w14:textId="77777777" w:rsidR="003709DB" w:rsidRDefault="003709DB" w:rsidP="003709DB">
      <w:pPr>
        <w:pStyle w:val="Number1"/>
        <w:numPr>
          <w:ilvl w:val="0"/>
          <w:numId w:val="0"/>
        </w:numPr>
        <w:ind w:left="720"/>
      </w:pPr>
    </w:p>
    <w:p w14:paraId="7593FF6F" w14:textId="49BB39B0" w:rsidR="00844084" w:rsidRDefault="00844084" w:rsidP="00844084">
      <w:pPr>
        <w:pStyle w:val="Number1"/>
        <w:numPr>
          <w:ilvl w:val="0"/>
          <w:numId w:val="0"/>
        </w:numPr>
        <w:ind w:left="720"/>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5"/>
      </w:tblGrid>
      <w:tr w:rsidR="00844084" w14:paraId="695826F6" w14:textId="77777777" w:rsidTr="009D7C94">
        <w:trPr>
          <w:trHeight w:val="1654"/>
        </w:trPr>
        <w:tc>
          <w:tcPr>
            <w:tcW w:w="5000" w:type="pct"/>
            <w:shd w:val="clear" w:color="auto" w:fill="E2F6EC"/>
          </w:tcPr>
          <w:p w14:paraId="1E1A6821" w14:textId="77777777" w:rsidR="00844084" w:rsidRPr="00844084" w:rsidRDefault="00844084" w:rsidP="00844084">
            <w:pPr>
              <w:pStyle w:val="BoxTextHeader"/>
            </w:pPr>
            <w:r w:rsidRPr="00844084">
              <w:t xml:space="preserve">Question 6 </w:t>
            </w:r>
          </w:p>
          <w:p w14:paraId="76198B22" w14:textId="77777777" w:rsidR="00844084" w:rsidRPr="00844084" w:rsidRDefault="00844084" w:rsidP="00844084">
            <w:pPr>
              <w:pStyle w:val="BoxTextHeader"/>
              <w:rPr>
                <w:rStyle w:val="Bold"/>
              </w:rPr>
            </w:pPr>
            <w:r w:rsidRPr="00844084">
              <w:rPr>
                <w:rStyle w:val="Bold"/>
              </w:rPr>
              <w:t xml:space="preserve">Do you agree with the proposed process for a pilotage function removal order (Annex E Part B, paragraphs 4.8-4.11)? </w:t>
            </w:r>
          </w:p>
          <w:p w14:paraId="4CFB8CB0" w14:textId="77777777" w:rsidR="00844084" w:rsidRPr="00844084" w:rsidRDefault="00844084" w:rsidP="00844084">
            <w:pPr>
              <w:pStyle w:val="BoxTextHeader"/>
              <w:rPr>
                <w:rStyle w:val="Bold"/>
              </w:rPr>
            </w:pPr>
          </w:p>
          <w:p w14:paraId="69512728" w14:textId="77777777" w:rsidR="00844084" w:rsidRPr="00844084" w:rsidRDefault="00844084" w:rsidP="00844084">
            <w:pPr>
              <w:pStyle w:val="BoxTextHeader"/>
            </w:pPr>
            <w:r w:rsidRPr="00844084">
              <w:rPr>
                <w:rStyle w:val="Bold"/>
              </w:rPr>
              <w:t>YES/NO.  If no, please state what elements you would alter, add or remove to the process.</w:t>
            </w:r>
          </w:p>
        </w:tc>
      </w:tr>
    </w:tbl>
    <w:p w14:paraId="1952566F" w14:textId="77777777" w:rsidR="001C66F8" w:rsidRDefault="001C66F8" w:rsidP="001C66F8">
      <w:pPr>
        <w:pStyle w:val="Number1"/>
        <w:numPr>
          <w:ilvl w:val="0"/>
          <w:numId w:val="0"/>
        </w:num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5"/>
      </w:tblGrid>
      <w:tr w:rsidR="004A3110" w14:paraId="427E94FE" w14:textId="77777777" w:rsidTr="009D7C94">
        <w:trPr>
          <w:trHeight w:val="1654"/>
        </w:trPr>
        <w:tc>
          <w:tcPr>
            <w:tcW w:w="5000" w:type="pct"/>
            <w:shd w:val="clear" w:color="auto" w:fill="E2F6EC"/>
          </w:tcPr>
          <w:p w14:paraId="1C37564B" w14:textId="77777777" w:rsidR="004A3110" w:rsidRPr="004A3110" w:rsidRDefault="004A3110" w:rsidP="004A3110">
            <w:pPr>
              <w:pStyle w:val="BoxTextHeader"/>
            </w:pPr>
            <w:r w:rsidRPr="004A3110">
              <w:t xml:space="preserve">Question 7  </w:t>
            </w:r>
          </w:p>
          <w:p w14:paraId="11F64940" w14:textId="77777777" w:rsidR="004A3110" w:rsidRPr="004A3110" w:rsidRDefault="004A3110" w:rsidP="004A3110">
            <w:pPr>
              <w:pStyle w:val="BoxTextHeader"/>
              <w:rPr>
                <w:rStyle w:val="Bold"/>
              </w:rPr>
            </w:pPr>
            <w:r w:rsidRPr="004A3110">
              <w:rPr>
                <w:rStyle w:val="Bold"/>
              </w:rPr>
              <w:t>Should a competent harbour authority seeking a pilotage function removal order be required to provide any further information than that listed in at paragraph 4.9 of Annex E Part B?</w:t>
            </w:r>
          </w:p>
          <w:p w14:paraId="3064D319" w14:textId="77777777" w:rsidR="004A3110" w:rsidRPr="004A3110" w:rsidRDefault="004A3110" w:rsidP="004A3110">
            <w:pPr>
              <w:pStyle w:val="BoxTextHeader"/>
              <w:rPr>
                <w:rStyle w:val="Bold"/>
              </w:rPr>
            </w:pPr>
          </w:p>
          <w:p w14:paraId="27033E6D" w14:textId="77777777" w:rsidR="004A3110" w:rsidRPr="004A3110" w:rsidRDefault="004A3110" w:rsidP="004A3110">
            <w:pPr>
              <w:pStyle w:val="BoxTextHeader"/>
            </w:pPr>
            <w:r w:rsidRPr="004A3110">
              <w:rPr>
                <w:rStyle w:val="Bold"/>
              </w:rPr>
              <w:t>YES/NO.  If yes, please state what information and why you believe it should be required.</w:t>
            </w:r>
          </w:p>
        </w:tc>
      </w:tr>
    </w:tbl>
    <w:p w14:paraId="610E0FEC" w14:textId="77777777" w:rsidR="004A3110" w:rsidRDefault="004A3110" w:rsidP="001C66F8">
      <w:pPr>
        <w:pStyle w:val="Number1"/>
        <w:numPr>
          <w:ilvl w:val="0"/>
          <w:numId w:val="0"/>
        </w:numPr>
      </w:pPr>
    </w:p>
    <w:p w14:paraId="75BDFEAC" w14:textId="4148251F" w:rsidR="001C66F8" w:rsidRDefault="001C66F8" w:rsidP="001C66F8">
      <w:pPr>
        <w:pStyle w:val="Number1"/>
        <w:numPr>
          <w:ilvl w:val="0"/>
          <w:numId w:val="0"/>
        </w:numPr>
        <w:rPr>
          <w:rStyle w:val="Bold"/>
        </w:rPr>
      </w:pPr>
      <w:r>
        <w:rPr>
          <w:rStyle w:val="Bold"/>
        </w:rPr>
        <w:t>GENERAL</w:t>
      </w:r>
    </w:p>
    <w:p w14:paraId="7810E2C0" w14:textId="77777777" w:rsidR="001C66F8" w:rsidRDefault="001C66F8" w:rsidP="001C66F8">
      <w:pPr>
        <w:pStyle w:val="Number1"/>
        <w:numPr>
          <w:ilvl w:val="0"/>
          <w:numId w:val="0"/>
        </w:numPr>
        <w:rPr>
          <w:rStyle w:val="Bold"/>
        </w:rPr>
      </w:pPr>
    </w:p>
    <w:p w14:paraId="3AD7CE45" w14:textId="041103EA" w:rsidR="001C66F8" w:rsidRPr="001C66F8" w:rsidRDefault="001C66F8" w:rsidP="001C66F8">
      <w:pPr>
        <w:pStyle w:val="Heading3"/>
        <w:rPr>
          <w:rStyle w:val="Underline"/>
        </w:rPr>
      </w:pPr>
      <w:r>
        <w:rPr>
          <w:rStyle w:val="Underline"/>
        </w:rPr>
        <w:t>Devolution</w:t>
      </w:r>
    </w:p>
    <w:p w14:paraId="07C4E2EB" w14:textId="77777777" w:rsidR="001C66F8" w:rsidRDefault="001C66F8" w:rsidP="001C66F8">
      <w:pPr>
        <w:pStyle w:val="Number1"/>
        <w:numPr>
          <w:ilvl w:val="0"/>
          <w:numId w:val="0"/>
        </w:numPr>
      </w:pPr>
    </w:p>
    <w:p w14:paraId="67BAEB5E" w14:textId="63B9F1B7" w:rsidR="001C66F8" w:rsidRPr="001C66F8" w:rsidRDefault="001C66F8" w:rsidP="001C66F8">
      <w:pPr>
        <w:pStyle w:val="Number1"/>
      </w:pPr>
      <w:r w:rsidRPr="001C66F8">
        <w:t xml:space="preserve">Port policy legislation is a devolved matter. The Secretary of State in England will assess applications </w:t>
      </w:r>
      <w:r>
        <w:t xml:space="preserve">for harbour closure </w:t>
      </w:r>
      <w:r>
        <w:lastRenderedPageBreak/>
        <w:t xml:space="preserve">orders or </w:t>
      </w:r>
      <w:r w:rsidR="007364B9">
        <w:t xml:space="preserve">pilotage function removal orders </w:t>
      </w:r>
      <w:r w:rsidRPr="001C66F8">
        <w:t xml:space="preserve">for ports in England and non-fishery ports in Wales.  </w:t>
      </w:r>
    </w:p>
    <w:p w14:paraId="08E4676B" w14:textId="6BDEBF73" w:rsidR="001C66F8" w:rsidRPr="001C66F8" w:rsidRDefault="001C66F8" w:rsidP="001C66F8">
      <w:pPr>
        <w:pStyle w:val="Number1"/>
      </w:pPr>
      <w:r w:rsidRPr="001C66F8">
        <w:t>In the cas</w:t>
      </w:r>
      <w:r w:rsidR="00844084">
        <w:t>e of a fishery harbour in Wales, an SHA</w:t>
      </w:r>
      <w:r w:rsidRPr="001C66F8">
        <w:t xml:space="preserve"> should liaise with the Welsh Government. </w:t>
      </w:r>
    </w:p>
    <w:p w14:paraId="40C4C15C" w14:textId="3103A896" w:rsidR="00844084" w:rsidRDefault="001C66F8" w:rsidP="001C66F8">
      <w:pPr>
        <w:pStyle w:val="Number1"/>
      </w:pPr>
      <w:r w:rsidRPr="001C66F8">
        <w:t xml:space="preserve">However the Government has announced its intention to devolve port development to the Welsh Government. The new primary legislation needed to achieve this, as part of a wide-ranging devolution settlement for Wales, was included in the Queen’s </w:t>
      </w:r>
      <w:r w:rsidR="00F83D7E">
        <w:t>S</w:t>
      </w:r>
      <w:r w:rsidRPr="001C66F8">
        <w:t xml:space="preserve">peech on 27 May 2015.  </w:t>
      </w:r>
      <w:r w:rsidR="00844084">
        <w:t>A Wales Bill is currently under</w:t>
      </w:r>
      <w:r w:rsidR="00F83D7E">
        <w:t xml:space="preserve"> </w:t>
      </w:r>
      <w:r w:rsidR="00844084">
        <w:t>development.</w:t>
      </w:r>
    </w:p>
    <w:p w14:paraId="6CF71CE4" w14:textId="74674D58" w:rsidR="00844084" w:rsidRDefault="00844084" w:rsidP="001C66F8">
      <w:pPr>
        <w:pStyle w:val="Number1"/>
      </w:pPr>
      <w:r>
        <w:t>Th</w:t>
      </w:r>
      <w:r w:rsidR="004C4449">
        <w:t xml:space="preserve">is first edition of the </w:t>
      </w:r>
      <w:r>
        <w:t>Guidance document is drafted to accord with the current position in law re</w:t>
      </w:r>
      <w:r w:rsidR="00F83D7E">
        <w:t>garding Wales.</w:t>
      </w:r>
      <w:r>
        <w:t xml:space="preserve">  </w:t>
      </w:r>
    </w:p>
    <w:p w14:paraId="3D60276C" w14:textId="3A0F146B" w:rsidR="001C66F8" w:rsidRDefault="00844084" w:rsidP="001C66F8">
      <w:pPr>
        <w:pStyle w:val="Number1"/>
      </w:pPr>
      <w:r>
        <w:t>The Scottish Ministers are responsible for all harbours in Scotland.  Transport Scotland has been consulted regarding the drafting of this Guidance document so as to align the general Government approach to dealing with harbour closure and pilotage function removal orders.  However, Transport Scotland will be issuing their own Gui</w:t>
      </w:r>
      <w:r w:rsidR="004C4449">
        <w:t>dance document tailored somewhat</w:t>
      </w:r>
      <w:r>
        <w:t xml:space="preserve"> to reflect </w:t>
      </w:r>
      <w:r w:rsidR="00F83D7E">
        <w:t>objectives in Scotland</w:t>
      </w:r>
      <w:r>
        <w:t>.</w:t>
      </w:r>
    </w:p>
    <w:p w14:paraId="71668DC0" w14:textId="34E04A08" w:rsidR="00F83D7E" w:rsidRPr="001C66F8" w:rsidRDefault="00F83D7E" w:rsidP="001C66F8">
      <w:pPr>
        <w:pStyle w:val="Number1"/>
      </w:pPr>
      <w:r>
        <w:t>The legislation relating to both types of order covered by this guidance does not apply in Northern Ireland.</w:t>
      </w:r>
    </w:p>
    <w:p w14:paraId="3229F88A" w14:textId="115D79B1" w:rsidR="00FE7875" w:rsidRDefault="00FE7875" w:rsidP="00490BD5">
      <w:pPr>
        <w:pStyle w:val="Number1"/>
        <w:numPr>
          <w:ilvl w:val="0"/>
          <w:numId w:val="0"/>
        </w:numPr>
        <w:ind w:left="720"/>
      </w:pPr>
    </w:p>
    <w:p w14:paraId="0F30853A" w14:textId="5EE6C5C4" w:rsidR="006E58B1" w:rsidRDefault="006E58B1"/>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5"/>
      </w:tblGrid>
      <w:tr w:rsidR="004A3110" w14:paraId="51841DCE" w14:textId="77777777" w:rsidTr="009D7C94">
        <w:trPr>
          <w:trHeight w:val="1654"/>
        </w:trPr>
        <w:tc>
          <w:tcPr>
            <w:tcW w:w="5000" w:type="pct"/>
            <w:shd w:val="clear" w:color="auto" w:fill="E2F6EC"/>
          </w:tcPr>
          <w:p w14:paraId="62A7FC89" w14:textId="6F8F12A0" w:rsidR="004A3110" w:rsidRPr="004A3110" w:rsidRDefault="004A3110" w:rsidP="004A3110">
            <w:pPr>
              <w:pStyle w:val="BoxTextHeader"/>
              <w:rPr>
                <w:rStyle w:val="Bold"/>
              </w:rPr>
            </w:pPr>
            <w:r w:rsidRPr="004A3110">
              <w:t xml:space="preserve">Question </w:t>
            </w:r>
            <w:r>
              <w:t>8</w:t>
            </w:r>
          </w:p>
          <w:p w14:paraId="61901060" w14:textId="7E44D76F" w:rsidR="004A3110" w:rsidRPr="004A3110" w:rsidRDefault="004A3110" w:rsidP="004A3110">
            <w:pPr>
              <w:pStyle w:val="BoxTextHeader"/>
              <w:rPr>
                <w:rStyle w:val="Bold"/>
              </w:rPr>
            </w:pPr>
            <w:r w:rsidRPr="004A3110">
              <w:rPr>
                <w:rStyle w:val="Bold"/>
              </w:rPr>
              <w:t>Do you have any other comments on Part A or Part B of the draft guidance (Annex E) not covered in questions 1-7 above</w:t>
            </w:r>
            <w:r w:rsidR="00FD6713">
              <w:rPr>
                <w:rStyle w:val="Bold"/>
              </w:rPr>
              <w:t>, for example the Department's approach regarding inqui</w:t>
            </w:r>
            <w:r w:rsidR="00326AB9">
              <w:rPr>
                <w:rStyle w:val="Bold"/>
              </w:rPr>
              <w:t xml:space="preserve">ry/hearing costs and Order fees </w:t>
            </w:r>
            <w:r w:rsidR="00FD6713">
              <w:rPr>
                <w:rStyle w:val="Bold"/>
              </w:rPr>
              <w:t>(see paragraphs 3.4 and 3.8 of Part A of the guidance)?</w:t>
            </w:r>
          </w:p>
          <w:p w14:paraId="6ED10F55" w14:textId="77777777" w:rsidR="004A3110" w:rsidRPr="004A3110" w:rsidRDefault="004A3110" w:rsidP="004A3110">
            <w:pPr>
              <w:pStyle w:val="BoxTextHeader"/>
              <w:rPr>
                <w:rStyle w:val="Bold"/>
              </w:rPr>
            </w:pPr>
          </w:p>
          <w:p w14:paraId="654635A0" w14:textId="77777777" w:rsidR="004A3110" w:rsidRPr="004A3110" w:rsidRDefault="004A3110" w:rsidP="004A3110">
            <w:pPr>
              <w:pStyle w:val="BoxTextHeader"/>
              <w:rPr>
                <w:rStyle w:val="Bold"/>
              </w:rPr>
            </w:pPr>
            <w:r w:rsidRPr="004A3110">
              <w:rPr>
                <w:rStyle w:val="Bold"/>
              </w:rPr>
              <w:t>YES/NO.  If yes, please give your comments</w:t>
            </w:r>
          </w:p>
        </w:tc>
      </w:tr>
    </w:tbl>
    <w:p w14:paraId="026099E3" w14:textId="77777777" w:rsidR="0010218B" w:rsidRDefault="0010218B">
      <w:pPr>
        <w:rPr>
          <w:color w:val="007161"/>
          <w:sz w:val="36"/>
          <w:szCs w:val="70"/>
        </w:rPr>
      </w:pPr>
    </w:p>
    <w:p w14:paraId="18B2516A" w14:textId="77777777" w:rsidR="001E7568" w:rsidRDefault="001E7568" w:rsidP="000D3CAC">
      <w:pPr>
        <w:rPr>
          <w:rStyle w:val="Bold"/>
        </w:rPr>
      </w:pPr>
    </w:p>
    <w:p w14:paraId="2CB7C141" w14:textId="77A8634A" w:rsidR="000D3CAC" w:rsidRDefault="000D3CAC" w:rsidP="000D3CAC">
      <w:pPr>
        <w:rPr>
          <w:rStyle w:val="Bold"/>
        </w:rPr>
      </w:pPr>
    </w:p>
    <w:tbl>
      <w:tblPr>
        <w:tblW w:w="4950" w:type="pct"/>
        <w:tblLayout w:type="fixed"/>
        <w:tblCellMar>
          <w:bottom w:w="57" w:type="dxa"/>
        </w:tblCellMar>
        <w:tblLook w:val="04A0" w:firstRow="1" w:lastRow="0" w:firstColumn="1" w:lastColumn="0" w:noHBand="0" w:noVBand="1"/>
      </w:tblPr>
      <w:tblGrid>
        <w:gridCol w:w="8420"/>
      </w:tblGrid>
      <w:tr w:rsidR="00490BD5" w14:paraId="0DFA006D" w14:textId="77777777" w:rsidTr="008042E4">
        <w:tc>
          <w:tcPr>
            <w:tcW w:w="8420" w:type="dxa"/>
          </w:tcPr>
          <w:p w14:paraId="207D9CED" w14:textId="77777777" w:rsidR="00490BD5" w:rsidRPr="00490BD5" w:rsidRDefault="00490BD5" w:rsidP="00490BD5"/>
        </w:tc>
      </w:tr>
    </w:tbl>
    <w:p w14:paraId="0BB5AD12" w14:textId="77777777" w:rsidR="002915A1" w:rsidRDefault="002915A1"/>
    <w:p w14:paraId="45BC5E3A" w14:textId="77777777" w:rsidR="006E58B1" w:rsidRDefault="006E58B1"/>
    <w:p w14:paraId="17105BAE" w14:textId="77777777" w:rsidR="006E58B1" w:rsidRDefault="006E58B1"/>
    <w:p w14:paraId="6FAF345D" w14:textId="77777777" w:rsidR="006E58B1" w:rsidRDefault="006E58B1"/>
    <w:p w14:paraId="7C4443EE" w14:textId="31FE2EBA" w:rsidR="00E607E6" w:rsidRPr="00494BAE" w:rsidRDefault="00E607E6" w:rsidP="00E607E6">
      <w:pPr>
        <w:pStyle w:val="Heading1NoNumber"/>
      </w:pPr>
      <w:bookmarkStart w:id="7" w:name="_Toc340236187"/>
      <w:bookmarkStart w:id="8" w:name="_Toc424652211"/>
      <w:r w:rsidRPr="00494BAE">
        <w:lastRenderedPageBreak/>
        <w:t>What will happen next</w:t>
      </w:r>
      <w:bookmarkEnd w:id="7"/>
      <w:bookmarkEnd w:id="8"/>
      <w:r w:rsidR="00184A93">
        <w:t>?</w:t>
      </w:r>
    </w:p>
    <w:p w14:paraId="61EEEA5C" w14:textId="4297FC31" w:rsidR="00E607E6" w:rsidRPr="00E607E6" w:rsidRDefault="00E607E6" w:rsidP="00E607E6">
      <w:pPr>
        <w:pStyle w:val="22-BodyText"/>
      </w:pPr>
      <w:r w:rsidRPr="00E607E6">
        <w:t xml:space="preserve">A summary of responses, including the next steps, will be published within three months of the consultation closing on </w:t>
      </w:r>
      <w:r w:rsidR="007C16DE">
        <w:t xml:space="preserve">Tuesday 13 October 2015. </w:t>
      </w:r>
      <w:r w:rsidRPr="00E607E6">
        <w:t xml:space="preserve"> Paper copies will be available on request. </w:t>
      </w:r>
    </w:p>
    <w:p w14:paraId="25A1B0A7" w14:textId="77777777" w:rsidR="00E607E6" w:rsidRPr="00E607E6" w:rsidRDefault="00E607E6" w:rsidP="00E607E6">
      <w:pPr>
        <w:pStyle w:val="22-BodyText"/>
      </w:pPr>
      <w:r w:rsidRPr="00E607E6">
        <w:t xml:space="preserve">If you have questions </w:t>
      </w:r>
      <w:r>
        <w:t>about his consultation</w:t>
      </w:r>
      <w:r w:rsidRPr="00E607E6">
        <w:t xml:space="preserve"> please contact:</w:t>
      </w:r>
    </w:p>
    <w:p w14:paraId="4702B95B" w14:textId="77777777" w:rsidR="001124A9" w:rsidRDefault="001124A9" w:rsidP="00E607E6">
      <w:pPr>
        <w:pStyle w:val="22-BodyText"/>
      </w:pPr>
      <w:r>
        <w:t>Caroline Wall</w:t>
      </w:r>
    </w:p>
    <w:p w14:paraId="4E8DA4DC" w14:textId="77777777" w:rsidR="001124A9" w:rsidRDefault="001124A9" w:rsidP="00E607E6">
      <w:pPr>
        <w:pStyle w:val="22-BodyText"/>
      </w:pPr>
      <w:r>
        <w:t>Ports Governance Branch</w:t>
      </w:r>
    </w:p>
    <w:p w14:paraId="2AFA6CBB" w14:textId="77777777" w:rsidR="001124A9" w:rsidRDefault="001124A9" w:rsidP="00E607E6">
      <w:pPr>
        <w:pStyle w:val="22-BodyText"/>
      </w:pPr>
      <w:r>
        <w:t>Maritime Commerce &amp; Infrastructure</w:t>
      </w:r>
    </w:p>
    <w:p w14:paraId="642A0F7C" w14:textId="77777777" w:rsidR="001124A9" w:rsidRDefault="001124A9" w:rsidP="00E607E6">
      <w:pPr>
        <w:pStyle w:val="22-BodyText"/>
      </w:pPr>
      <w:r>
        <w:t>Department for Transport</w:t>
      </w:r>
    </w:p>
    <w:p w14:paraId="3CA0E1D0" w14:textId="77777777" w:rsidR="001124A9" w:rsidRDefault="001124A9" w:rsidP="00E607E6">
      <w:pPr>
        <w:pStyle w:val="22-BodyText"/>
      </w:pPr>
      <w:r>
        <w:t>Zone 2/32</w:t>
      </w:r>
    </w:p>
    <w:p w14:paraId="0303B345" w14:textId="77777777" w:rsidR="001124A9" w:rsidRDefault="001124A9" w:rsidP="00E607E6">
      <w:pPr>
        <w:pStyle w:val="22-BodyText"/>
      </w:pPr>
      <w:r>
        <w:t>Great Minster House</w:t>
      </w:r>
    </w:p>
    <w:p w14:paraId="40011537" w14:textId="77777777" w:rsidR="001124A9" w:rsidRDefault="001124A9" w:rsidP="00E607E6">
      <w:pPr>
        <w:pStyle w:val="22-BodyText"/>
      </w:pPr>
      <w:r>
        <w:t xml:space="preserve">33 </w:t>
      </w:r>
      <w:proofErr w:type="spellStart"/>
      <w:r>
        <w:t>Horseferry</w:t>
      </w:r>
      <w:proofErr w:type="spellEnd"/>
      <w:r>
        <w:t xml:space="preserve"> Road</w:t>
      </w:r>
    </w:p>
    <w:p w14:paraId="0497ACD6" w14:textId="77777777" w:rsidR="001124A9" w:rsidRDefault="001124A9" w:rsidP="00E607E6">
      <w:pPr>
        <w:pStyle w:val="22-BodyText"/>
      </w:pPr>
      <w:r>
        <w:t>LONDON</w:t>
      </w:r>
    </w:p>
    <w:p w14:paraId="49CE4DA8" w14:textId="77777777" w:rsidR="001124A9" w:rsidRDefault="001124A9" w:rsidP="00E607E6">
      <w:pPr>
        <w:pStyle w:val="22-BodyText"/>
      </w:pPr>
      <w:r>
        <w:t>SW1P 4DR</w:t>
      </w:r>
    </w:p>
    <w:p w14:paraId="0A85FD8D" w14:textId="77777777" w:rsidR="001124A9" w:rsidRDefault="001124A9" w:rsidP="00E607E6">
      <w:pPr>
        <w:pStyle w:val="22-BodyText"/>
      </w:pPr>
      <w:r>
        <w:t>Tel: 020 7944 6251</w:t>
      </w:r>
    </w:p>
    <w:p w14:paraId="515CC3B1" w14:textId="77777777" w:rsidR="001124A9" w:rsidRDefault="001124A9" w:rsidP="00E607E6">
      <w:pPr>
        <w:pStyle w:val="22-BodyText"/>
      </w:pPr>
      <w:r>
        <w:t>Email: caroline.wall@dft.gsi.gov.uk</w:t>
      </w:r>
    </w:p>
    <w:p w14:paraId="2D40BCAC" w14:textId="77777777" w:rsidR="002915A1" w:rsidRDefault="002915A1">
      <w:pPr>
        <w:rPr>
          <w:rFonts w:cs="HelveticaNeue-Light"/>
          <w:color w:val="007161"/>
          <w:spacing w:val="-6"/>
          <w:sz w:val="56"/>
          <w:szCs w:val="56"/>
        </w:rPr>
      </w:pPr>
      <w:bookmarkStart w:id="9" w:name="_Toc340236189"/>
      <w:r>
        <w:br w:type="page"/>
      </w:r>
    </w:p>
    <w:p w14:paraId="2792D865" w14:textId="77777777" w:rsidR="00E607E6" w:rsidRPr="00E607E6" w:rsidRDefault="00E607E6" w:rsidP="00E607E6">
      <w:pPr>
        <w:pStyle w:val="Heading1NoNumber"/>
      </w:pPr>
      <w:bookmarkStart w:id="10" w:name="_Toc424652212"/>
      <w:r w:rsidRPr="00E607E6">
        <w:lastRenderedPageBreak/>
        <w:t xml:space="preserve">Annex </w:t>
      </w:r>
      <w:r>
        <w:t>A:</w:t>
      </w:r>
      <w:r w:rsidRPr="00E607E6">
        <w:t xml:space="preserve"> Impact assessment</w:t>
      </w:r>
      <w:bookmarkEnd w:id="9"/>
      <w:bookmarkEnd w:id="10"/>
    </w:p>
    <w:p w14:paraId="4784603A" w14:textId="746476A2" w:rsidR="00445292" w:rsidRDefault="00445292" w:rsidP="001124A9">
      <w:pPr>
        <w:pStyle w:val="AnnexA"/>
      </w:pPr>
      <w:r>
        <w:t>In the case of the statutory guidance on harbour closure orders, as the guidance clarifies what is set out in new sections 17A-17F of the 1964 Act rather than placing any new statutory duty on business to comply an impact assessment has not therefore been prepared.</w:t>
      </w:r>
    </w:p>
    <w:p w14:paraId="3C6C5A20" w14:textId="339815EB" w:rsidR="00E607E6" w:rsidRDefault="00445292" w:rsidP="001124A9">
      <w:pPr>
        <w:pStyle w:val="AnnexA"/>
      </w:pPr>
      <w:r>
        <w:t xml:space="preserve">The guidance on pilotage function removal orders, elaborates a suggested process to be followed by a competent harbour authority for the purposes of the 1987 Act, given that there is no procedure set out in the legislation.  </w:t>
      </w:r>
      <w:r w:rsidR="008017B3">
        <w:t xml:space="preserve">As the process is not being imposed, </w:t>
      </w:r>
      <w:r>
        <w:t>no impact assessment has been prepared.</w:t>
      </w:r>
    </w:p>
    <w:p w14:paraId="23CA5B4A" w14:textId="77777777" w:rsidR="00445292" w:rsidRDefault="00445292" w:rsidP="00445292">
      <w:pPr>
        <w:pStyle w:val="AnnexA"/>
        <w:numPr>
          <w:ilvl w:val="0"/>
          <w:numId w:val="0"/>
        </w:numPr>
        <w:ind w:left="774"/>
      </w:pPr>
    </w:p>
    <w:p w14:paraId="5F162CBB" w14:textId="77777777" w:rsidR="0075321D" w:rsidRDefault="0075321D" w:rsidP="0075321D">
      <w:pPr>
        <w:pStyle w:val="Heading1NoNumber"/>
      </w:pPr>
      <w:bookmarkStart w:id="11" w:name="_Toc424652213"/>
      <w:r>
        <w:lastRenderedPageBreak/>
        <w:t>Ann</w:t>
      </w:r>
      <w:r w:rsidR="00652F0C">
        <w:t xml:space="preserve">ex B: Full list of consultation </w:t>
      </w:r>
      <w:r>
        <w:t>questions</w:t>
      </w:r>
      <w:bookmarkEnd w:id="11"/>
    </w:p>
    <w:p w14:paraId="70BEE343" w14:textId="77777777" w:rsidR="00652F0C" w:rsidRPr="00652F0C" w:rsidRDefault="00652F0C" w:rsidP="00652F0C">
      <w:pPr>
        <w:rPr>
          <w:rStyle w:val="Bold"/>
        </w:rPr>
      </w:pPr>
      <w:r w:rsidRPr="00652F0C">
        <w:rPr>
          <w:rStyle w:val="Bold"/>
        </w:rPr>
        <w:t xml:space="preserve">Consultation questions on Part A of the Guidance </w:t>
      </w:r>
    </w:p>
    <w:p w14:paraId="66217FAB" w14:textId="77777777" w:rsidR="00652F0C" w:rsidRPr="00652F0C" w:rsidRDefault="00652F0C" w:rsidP="00652F0C">
      <w:pPr>
        <w:rPr>
          <w:rStyle w:val="Bold"/>
        </w:rPr>
      </w:pPr>
      <w:r w:rsidRPr="00652F0C">
        <w:rPr>
          <w:rStyle w:val="Bold"/>
        </w:rPr>
        <w:t>(</w:t>
      </w:r>
      <w:proofErr w:type="gramStart"/>
      <w:r w:rsidRPr="00652F0C">
        <w:rPr>
          <w:rStyle w:val="Bold"/>
        </w:rPr>
        <w:t>harbour</w:t>
      </w:r>
      <w:proofErr w:type="gramEnd"/>
      <w:r w:rsidRPr="00652F0C">
        <w:rPr>
          <w:rStyle w:val="Bold"/>
        </w:rPr>
        <w:t xml:space="preserve"> closure orders)</w:t>
      </w:r>
    </w:p>
    <w:p w14:paraId="2E2BA68D" w14:textId="77777777" w:rsidR="00652F0C" w:rsidRPr="00652F0C" w:rsidRDefault="00652F0C" w:rsidP="00652F0C"/>
    <w:tbl>
      <w:tblPr>
        <w:tblW w:w="4955" w:type="pct"/>
        <w:tblLayout w:type="fixed"/>
        <w:tblCellMar>
          <w:bottom w:w="57" w:type="dxa"/>
        </w:tblCellMar>
        <w:tblLook w:val="04A0" w:firstRow="1" w:lastRow="0" w:firstColumn="1" w:lastColumn="0" w:noHBand="0" w:noVBand="1"/>
      </w:tblPr>
      <w:tblGrid>
        <w:gridCol w:w="113"/>
        <w:gridCol w:w="8307"/>
        <w:gridCol w:w="8"/>
      </w:tblGrid>
      <w:tr w:rsidR="00652F0C" w:rsidRPr="00652F0C" w14:paraId="55B35A07" w14:textId="77777777" w:rsidTr="009D7C94">
        <w:trPr>
          <w:gridAfter w:val="1"/>
          <w:wAfter w:w="8" w:type="dxa"/>
        </w:trPr>
        <w:tc>
          <w:tcPr>
            <w:tcW w:w="8420" w:type="dxa"/>
            <w:gridSpan w:val="2"/>
          </w:tcPr>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0"/>
            </w:tblGrid>
            <w:tr w:rsidR="00323D41" w:rsidRPr="00652F0C" w14:paraId="4D1D9CC7" w14:textId="77777777" w:rsidTr="009D7C94">
              <w:trPr>
                <w:trHeight w:val="1654"/>
              </w:trPr>
              <w:tc>
                <w:tcPr>
                  <w:tcW w:w="8315" w:type="dxa"/>
                  <w:shd w:val="clear" w:color="auto" w:fill="E2F6EC"/>
                </w:tcPr>
                <w:p w14:paraId="5FAB0F4E" w14:textId="0DE0148D" w:rsidR="00323D41" w:rsidRPr="00323D41" w:rsidRDefault="00323D41" w:rsidP="00323D41">
                  <w:pPr>
                    <w:rPr>
                      <w:rStyle w:val="Bold"/>
                    </w:rPr>
                  </w:pPr>
                  <w:r w:rsidRPr="00652F0C">
                    <w:rPr>
                      <w:rStyle w:val="Bold"/>
                    </w:rPr>
                    <w:t xml:space="preserve">Question </w:t>
                  </w:r>
                  <w:r>
                    <w:rPr>
                      <w:rStyle w:val="Bold"/>
                    </w:rPr>
                    <w:t>1</w:t>
                  </w:r>
                </w:p>
                <w:p w14:paraId="4076FFDF" w14:textId="77777777" w:rsidR="00323D41" w:rsidRPr="00323D41" w:rsidRDefault="00323D41" w:rsidP="00323D41">
                  <w:r w:rsidRPr="00652F0C">
                    <w:t>Are there any areas of the section of the guidance on harbour closure orders (</w:t>
                  </w:r>
                  <w:r w:rsidRPr="00323D41">
                    <w:t>Annex E Part A) where you think additional detail would be helpful?</w:t>
                  </w:r>
                </w:p>
                <w:p w14:paraId="3042F45D" w14:textId="77777777" w:rsidR="00323D41" w:rsidRDefault="00323D41" w:rsidP="00323D41"/>
                <w:p w14:paraId="13A57246" w14:textId="77777777" w:rsidR="00323D41" w:rsidRPr="00323D41" w:rsidRDefault="00323D41" w:rsidP="00323D41">
                  <w:r w:rsidRPr="00652F0C">
                    <w:t>YES/NO.  If yes, please explain what additional detail you would like to see.</w:t>
                  </w:r>
                </w:p>
              </w:tc>
            </w:tr>
          </w:tbl>
          <w:p w14:paraId="6CC79FD6" w14:textId="77777777" w:rsidR="00652F0C" w:rsidRDefault="00652F0C" w:rsidP="00652F0C"/>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0"/>
            </w:tblGrid>
            <w:tr w:rsidR="00323D41" w:rsidRPr="00652F0C" w14:paraId="3F2FF855" w14:textId="77777777" w:rsidTr="009D7C94">
              <w:trPr>
                <w:trHeight w:val="1654"/>
              </w:trPr>
              <w:tc>
                <w:tcPr>
                  <w:tcW w:w="5000" w:type="pct"/>
                  <w:shd w:val="clear" w:color="auto" w:fill="E2F6EC"/>
                </w:tcPr>
                <w:p w14:paraId="3D90B281" w14:textId="68810F8E" w:rsidR="00323D41" w:rsidRPr="00323D41" w:rsidRDefault="00323D41" w:rsidP="00323D41">
                  <w:pPr>
                    <w:rPr>
                      <w:rStyle w:val="Bold"/>
                    </w:rPr>
                  </w:pPr>
                  <w:r w:rsidRPr="00652F0C">
                    <w:rPr>
                      <w:rStyle w:val="Bold"/>
                    </w:rPr>
                    <w:t xml:space="preserve">Question </w:t>
                  </w:r>
                  <w:r>
                    <w:rPr>
                      <w:rStyle w:val="Bold"/>
                    </w:rPr>
                    <w:t>2</w:t>
                  </w:r>
                </w:p>
                <w:p w14:paraId="731CD926" w14:textId="3A3EAC7A" w:rsidR="00323D41" w:rsidRPr="00323D41" w:rsidRDefault="00323D41" w:rsidP="00323D41">
                  <w:r w:rsidRPr="00652F0C">
                    <w:t>Are there any other organisations or types of organisations that should typically be included in the list of consultees (</w:t>
                  </w:r>
                  <w:r w:rsidRPr="00323D41">
                    <w:t>Annex E Part A, paragraph 3.1</w:t>
                  </w:r>
                  <w:r w:rsidR="00F83D7E">
                    <w:t>2</w:t>
                  </w:r>
                  <w:r w:rsidRPr="00323D41">
                    <w:t>)?</w:t>
                  </w:r>
                </w:p>
                <w:p w14:paraId="34C3824A" w14:textId="77777777" w:rsidR="00323D41" w:rsidRDefault="00323D41" w:rsidP="00323D41"/>
                <w:p w14:paraId="4B6A118C" w14:textId="77777777" w:rsidR="00323D41" w:rsidRPr="00323D41" w:rsidRDefault="00323D41" w:rsidP="00323D41">
                  <w:r w:rsidRPr="00652F0C">
                    <w:t>YES/NO.  If yes, please specify</w:t>
                  </w:r>
                </w:p>
              </w:tc>
            </w:tr>
          </w:tbl>
          <w:p w14:paraId="71A10D9D" w14:textId="77777777" w:rsidR="00323D41" w:rsidRDefault="00323D41" w:rsidP="00652F0C"/>
          <w:p w14:paraId="5BA14A7C" w14:textId="77777777" w:rsidR="00323D41" w:rsidRPr="00652F0C" w:rsidRDefault="00323D41" w:rsidP="00652F0C"/>
        </w:tc>
      </w:tr>
      <w:tr w:rsidR="00652F0C" w:rsidRPr="00652F0C" w14:paraId="01CA6DD2" w14:textId="77777777" w:rsidTr="009D7C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Look w:val="01E0" w:firstRow="1" w:lastRow="1" w:firstColumn="1" w:lastColumn="1" w:noHBand="0" w:noVBand="0"/>
        </w:tblPrEx>
        <w:trPr>
          <w:gridBefore w:val="1"/>
          <w:wBefore w:w="113" w:type="dxa"/>
          <w:trHeight w:val="1654"/>
        </w:trPr>
        <w:tc>
          <w:tcPr>
            <w:tcW w:w="8315" w:type="dxa"/>
            <w:gridSpan w:val="2"/>
            <w:shd w:val="clear" w:color="auto" w:fill="E2F6EC"/>
          </w:tcPr>
          <w:p w14:paraId="5C91965C" w14:textId="116BA1C2" w:rsidR="00652F0C" w:rsidRPr="00652F0C" w:rsidRDefault="00652F0C" w:rsidP="00652F0C">
            <w:pPr>
              <w:rPr>
                <w:rStyle w:val="Bold"/>
              </w:rPr>
            </w:pPr>
            <w:r w:rsidRPr="00652F0C">
              <w:rPr>
                <w:rStyle w:val="Bold"/>
              </w:rPr>
              <w:t xml:space="preserve">Question </w:t>
            </w:r>
            <w:r w:rsidR="00323D41">
              <w:rPr>
                <w:rStyle w:val="Bold"/>
              </w:rPr>
              <w:t>3</w:t>
            </w:r>
          </w:p>
          <w:p w14:paraId="58421CC4" w14:textId="77777777" w:rsidR="00652F0C" w:rsidRPr="00652F0C" w:rsidRDefault="00652F0C" w:rsidP="00652F0C">
            <w:r w:rsidRPr="00652F0C">
              <w:t xml:space="preserve">Are you satisfied the guidance is sufficiently clear about the requirement for the Secretary of State to have regard to the underlying purpose set out in section 17A of the Harbours Act 1964 of permitting or requiring harbour authorities to cease to maintain harbours that are no longer commercially viable or necessary and the circumstances in which a closure order will be made (Part A of </w:t>
            </w:r>
            <w:r w:rsidR="00D809A6" w:rsidRPr="00D809A6">
              <w:t>Annex E</w:t>
            </w:r>
            <w:r w:rsidRPr="00652F0C">
              <w:t xml:space="preserve"> paragraphs 1.6 and 1.7)?</w:t>
            </w:r>
          </w:p>
          <w:p w14:paraId="7B5660C5" w14:textId="77777777" w:rsidR="00652F0C" w:rsidRDefault="00652F0C" w:rsidP="00652F0C"/>
          <w:p w14:paraId="3BCB500A" w14:textId="77777777" w:rsidR="00652F0C" w:rsidRPr="00652F0C" w:rsidRDefault="00652F0C" w:rsidP="00652F0C">
            <w:r w:rsidRPr="00652F0C">
              <w:t>YES/NO.  If no, please explain why.</w:t>
            </w:r>
          </w:p>
        </w:tc>
      </w:tr>
    </w:tbl>
    <w:p w14:paraId="4DE3D121" w14:textId="77777777" w:rsidR="00652F0C" w:rsidRPr="00652F0C" w:rsidRDefault="00652F0C" w:rsidP="00652F0C"/>
    <w:p w14:paraId="08069F28" w14:textId="77777777" w:rsidR="00652F0C" w:rsidRDefault="00652F0C" w:rsidP="00652F0C"/>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5"/>
      </w:tblGrid>
      <w:tr w:rsidR="00323D41" w:rsidRPr="00652F0C" w14:paraId="1B326BAA" w14:textId="77777777" w:rsidTr="00323D41">
        <w:trPr>
          <w:trHeight w:val="1654"/>
        </w:trPr>
        <w:tc>
          <w:tcPr>
            <w:tcW w:w="5000" w:type="pct"/>
            <w:tcBorders>
              <w:top w:val="single" w:sz="4" w:space="0" w:color="auto"/>
              <w:left w:val="single" w:sz="4" w:space="0" w:color="auto"/>
              <w:bottom w:val="single" w:sz="4" w:space="0" w:color="auto"/>
              <w:right w:val="single" w:sz="4" w:space="0" w:color="auto"/>
            </w:tcBorders>
            <w:shd w:val="clear" w:color="auto" w:fill="E2F6EC"/>
          </w:tcPr>
          <w:p w14:paraId="6B0D2ACC" w14:textId="6929565B" w:rsidR="00323D41" w:rsidRPr="00323D41" w:rsidRDefault="00323D41" w:rsidP="00323D41">
            <w:pPr>
              <w:rPr>
                <w:rStyle w:val="Bold"/>
              </w:rPr>
            </w:pPr>
            <w:r w:rsidRPr="00323D41">
              <w:rPr>
                <w:rStyle w:val="Bold"/>
              </w:rPr>
              <w:lastRenderedPageBreak/>
              <w:t xml:space="preserve">Question </w:t>
            </w:r>
            <w:r>
              <w:rPr>
                <w:rStyle w:val="Bold"/>
              </w:rPr>
              <w:t>4</w:t>
            </w:r>
          </w:p>
          <w:p w14:paraId="732FBCEE" w14:textId="77777777" w:rsidR="00323D41" w:rsidRPr="00323D41" w:rsidRDefault="00323D41" w:rsidP="00323D41">
            <w:r w:rsidRPr="00323D41">
              <w:t>Reference is made to a harbour authority’s responsibilities under general legislation as regards lighting and buoying, and wrecks (Annex E Part A, paragraph 2.8).   Are there any other generic responsibilities for harbour authorities under general legislation that we should highlight in the guidance as needing to be provided for in a harbour closure order?</w:t>
            </w:r>
          </w:p>
          <w:p w14:paraId="096FFB2A" w14:textId="77777777" w:rsidR="00323D41" w:rsidRPr="00323D41" w:rsidRDefault="00323D41" w:rsidP="00323D41"/>
          <w:p w14:paraId="280321BF" w14:textId="77777777" w:rsidR="00323D41" w:rsidRPr="00323D41" w:rsidRDefault="00323D41" w:rsidP="00323D41">
            <w:r w:rsidRPr="00323D41">
              <w:t>YES/NO.   If yes, please specify.</w:t>
            </w:r>
          </w:p>
        </w:tc>
      </w:tr>
    </w:tbl>
    <w:p w14:paraId="4FC18B05" w14:textId="77777777" w:rsidR="00323D41" w:rsidRDefault="00323D41"/>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5"/>
      </w:tblGrid>
      <w:tr w:rsidR="00652F0C" w:rsidRPr="00652F0C" w14:paraId="321AAB2B" w14:textId="77777777" w:rsidTr="009D7C94">
        <w:trPr>
          <w:trHeight w:val="1654"/>
        </w:trPr>
        <w:tc>
          <w:tcPr>
            <w:tcW w:w="5000" w:type="pct"/>
            <w:shd w:val="clear" w:color="auto" w:fill="E2F6EC"/>
          </w:tcPr>
          <w:p w14:paraId="01147E14" w14:textId="71E2DAD0" w:rsidR="00652F0C" w:rsidRPr="00652F0C" w:rsidRDefault="00652F0C" w:rsidP="00652F0C">
            <w:pPr>
              <w:rPr>
                <w:rStyle w:val="Bold"/>
              </w:rPr>
            </w:pPr>
            <w:r w:rsidRPr="00652F0C">
              <w:rPr>
                <w:rStyle w:val="Bold"/>
              </w:rPr>
              <w:t xml:space="preserve">Question </w:t>
            </w:r>
            <w:r w:rsidR="00323D41">
              <w:rPr>
                <w:rStyle w:val="Bold"/>
              </w:rPr>
              <w:t>5</w:t>
            </w:r>
          </w:p>
          <w:p w14:paraId="0A356FC1" w14:textId="77777777" w:rsidR="00652F0C" w:rsidRPr="00652F0C" w:rsidRDefault="00652F0C" w:rsidP="00652F0C">
            <w:r w:rsidRPr="00652F0C">
              <w:t>Is there any further information you think we should ask a harbour authority to provide in the requested statement of reasons (</w:t>
            </w:r>
            <w:r w:rsidR="00D809A6" w:rsidRPr="00D809A6">
              <w:t>Annex E</w:t>
            </w:r>
            <w:r w:rsidRPr="00652F0C">
              <w:t xml:space="preserve"> Part A, paragraphs 2.1 and 2.2)?</w:t>
            </w:r>
          </w:p>
          <w:p w14:paraId="3F0CF237" w14:textId="77777777" w:rsidR="00652F0C" w:rsidRDefault="00652F0C" w:rsidP="00652F0C"/>
          <w:p w14:paraId="6EB508AC" w14:textId="77777777" w:rsidR="00652F0C" w:rsidRPr="00652F0C" w:rsidRDefault="00652F0C" w:rsidP="00652F0C">
            <w:r w:rsidRPr="00652F0C">
              <w:t>YES/NO.  If yes, please specify</w:t>
            </w:r>
          </w:p>
        </w:tc>
      </w:tr>
    </w:tbl>
    <w:p w14:paraId="44254DB0" w14:textId="77777777" w:rsidR="00652F0C" w:rsidRDefault="00652F0C" w:rsidP="00652F0C"/>
    <w:p w14:paraId="1BA50B11" w14:textId="77777777" w:rsidR="00652F0C" w:rsidRPr="00652F0C" w:rsidRDefault="00652F0C" w:rsidP="00652F0C"/>
    <w:p w14:paraId="25A64373" w14:textId="77777777" w:rsidR="00652F0C" w:rsidRPr="00652F0C" w:rsidRDefault="00652F0C" w:rsidP="00652F0C">
      <w:pPr>
        <w:rPr>
          <w:rStyle w:val="Bold"/>
        </w:rPr>
      </w:pPr>
      <w:r w:rsidRPr="00652F0C">
        <w:rPr>
          <w:rStyle w:val="Bold"/>
        </w:rPr>
        <w:t xml:space="preserve">Consultation questions on Part B of the Guidance </w:t>
      </w:r>
    </w:p>
    <w:p w14:paraId="7676560F" w14:textId="77777777" w:rsidR="00652F0C" w:rsidRPr="00652F0C" w:rsidRDefault="00652F0C" w:rsidP="00652F0C">
      <w:pPr>
        <w:rPr>
          <w:rStyle w:val="Bold"/>
        </w:rPr>
      </w:pPr>
      <w:r w:rsidRPr="00652F0C">
        <w:rPr>
          <w:rStyle w:val="Bold"/>
        </w:rPr>
        <w:t>(</w:t>
      </w:r>
      <w:proofErr w:type="gramStart"/>
      <w:r w:rsidRPr="00652F0C">
        <w:rPr>
          <w:rStyle w:val="Bold"/>
        </w:rPr>
        <w:t>pilotage</w:t>
      </w:r>
      <w:proofErr w:type="gramEnd"/>
      <w:r w:rsidRPr="00652F0C">
        <w:rPr>
          <w:rStyle w:val="Bold"/>
        </w:rPr>
        <w:t xml:space="preserve"> function removal orders)</w:t>
      </w:r>
    </w:p>
    <w:p w14:paraId="34D08200" w14:textId="77777777" w:rsidR="00652F0C" w:rsidRDefault="00652F0C" w:rsidP="00652F0C"/>
    <w:p w14:paraId="55CE645C" w14:textId="77777777" w:rsidR="00881DA5" w:rsidRPr="00652F0C" w:rsidRDefault="00881DA5" w:rsidP="00652F0C"/>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5"/>
      </w:tblGrid>
      <w:tr w:rsidR="00652F0C" w:rsidRPr="00652F0C" w14:paraId="1AF4EC8E" w14:textId="77777777" w:rsidTr="009D7C94">
        <w:trPr>
          <w:trHeight w:val="1654"/>
        </w:trPr>
        <w:tc>
          <w:tcPr>
            <w:tcW w:w="5000" w:type="pct"/>
            <w:shd w:val="clear" w:color="auto" w:fill="E2F6EC"/>
          </w:tcPr>
          <w:p w14:paraId="3E17F9EA" w14:textId="5DBEB5CF" w:rsidR="00652F0C" w:rsidRPr="00652F0C" w:rsidRDefault="00652F0C" w:rsidP="00652F0C">
            <w:pPr>
              <w:rPr>
                <w:rStyle w:val="Bold"/>
              </w:rPr>
            </w:pPr>
            <w:r w:rsidRPr="00652F0C">
              <w:rPr>
                <w:rStyle w:val="Bold"/>
              </w:rPr>
              <w:t xml:space="preserve">Question </w:t>
            </w:r>
            <w:r w:rsidR="00497B36">
              <w:rPr>
                <w:rStyle w:val="Bold"/>
              </w:rPr>
              <w:t>6</w:t>
            </w:r>
            <w:r w:rsidR="00497B36" w:rsidRPr="00652F0C">
              <w:rPr>
                <w:rStyle w:val="Bold"/>
              </w:rPr>
              <w:t xml:space="preserve"> </w:t>
            </w:r>
          </w:p>
          <w:p w14:paraId="38DB5D86" w14:textId="77777777" w:rsidR="00652F0C" w:rsidRPr="00652F0C" w:rsidRDefault="00652F0C" w:rsidP="00652F0C">
            <w:r w:rsidRPr="00652F0C">
              <w:t>Do you agree with the proposed process for a pilotage function removal order (</w:t>
            </w:r>
            <w:r w:rsidR="00D809A6" w:rsidRPr="00D809A6">
              <w:t>Annex E</w:t>
            </w:r>
            <w:r w:rsidRPr="00652F0C">
              <w:t xml:space="preserve"> Part B, paragraphs 4.8-4.11)? </w:t>
            </w:r>
          </w:p>
          <w:p w14:paraId="529FBD83" w14:textId="77777777" w:rsidR="00652F0C" w:rsidRDefault="00652F0C" w:rsidP="00652F0C"/>
          <w:p w14:paraId="553630A4" w14:textId="77777777" w:rsidR="00652F0C" w:rsidRPr="00652F0C" w:rsidRDefault="00652F0C" w:rsidP="00652F0C">
            <w:r w:rsidRPr="00652F0C">
              <w:t>YES/NO.  If no, please state what elements you would alter, add or remove to the process</w:t>
            </w:r>
            <w:r w:rsidR="00C070BA">
              <w:t xml:space="preserve">. </w:t>
            </w:r>
          </w:p>
        </w:tc>
      </w:tr>
    </w:tbl>
    <w:p w14:paraId="4123C96B" w14:textId="77777777" w:rsidR="00652F0C" w:rsidRDefault="00652F0C" w:rsidP="00652F0C"/>
    <w:p w14:paraId="69ED1142" w14:textId="77777777" w:rsidR="00881DA5" w:rsidRPr="00652F0C" w:rsidRDefault="00881DA5" w:rsidP="00652F0C"/>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5"/>
      </w:tblGrid>
      <w:tr w:rsidR="00652F0C" w:rsidRPr="00652F0C" w14:paraId="2C9A36E6" w14:textId="77777777" w:rsidTr="009D7C94">
        <w:trPr>
          <w:trHeight w:val="1654"/>
        </w:trPr>
        <w:tc>
          <w:tcPr>
            <w:tcW w:w="5000" w:type="pct"/>
            <w:shd w:val="clear" w:color="auto" w:fill="E2F6EC"/>
          </w:tcPr>
          <w:p w14:paraId="14F2F2CD" w14:textId="7851C161" w:rsidR="00652F0C" w:rsidRPr="00652F0C" w:rsidRDefault="00652F0C" w:rsidP="00652F0C">
            <w:pPr>
              <w:rPr>
                <w:rStyle w:val="Bold"/>
              </w:rPr>
            </w:pPr>
            <w:r w:rsidRPr="00652F0C">
              <w:rPr>
                <w:rStyle w:val="Bold"/>
              </w:rPr>
              <w:t xml:space="preserve">Question </w:t>
            </w:r>
            <w:r w:rsidR="00497B36">
              <w:rPr>
                <w:rStyle w:val="Bold"/>
              </w:rPr>
              <w:t>7</w:t>
            </w:r>
            <w:r w:rsidR="00497B36" w:rsidRPr="00652F0C">
              <w:rPr>
                <w:rStyle w:val="Bold"/>
              </w:rPr>
              <w:t xml:space="preserve">  </w:t>
            </w:r>
          </w:p>
          <w:p w14:paraId="47596FA6" w14:textId="77777777" w:rsidR="00652F0C" w:rsidRPr="00652F0C" w:rsidRDefault="00652F0C" w:rsidP="00652F0C">
            <w:r w:rsidRPr="00652F0C">
              <w:t xml:space="preserve">Should a competent harbour authority seeking a pilotage function removal order be required to provide any further information than that listed in at paragraph 4.9 of </w:t>
            </w:r>
            <w:r w:rsidR="00D809A6" w:rsidRPr="00D809A6">
              <w:t>Annex E</w:t>
            </w:r>
            <w:r w:rsidRPr="00652F0C">
              <w:t xml:space="preserve"> Part B?</w:t>
            </w:r>
          </w:p>
          <w:p w14:paraId="4D1D1097" w14:textId="77777777" w:rsidR="00652F0C" w:rsidRDefault="00652F0C" w:rsidP="00652F0C"/>
          <w:p w14:paraId="6F125029" w14:textId="77777777" w:rsidR="00652F0C" w:rsidRPr="00652F0C" w:rsidRDefault="00652F0C" w:rsidP="00652F0C">
            <w:r w:rsidRPr="00652F0C">
              <w:t>YES/NO.  If yes, please state what information and why you believe it should be required</w:t>
            </w:r>
            <w:r w:rsidR="00C070BA">
              <w:t>.</w:t>
            </w:r>
          </w:p>
        </w:tc>
      </w:tr>
    </w:tbl>
    <w:p w14:paraId="54F6F1A4" w14:textId="77777777" w:rsidR="00497B36" w:rsidRDefault="00497B36" w:rsidP="00652F0C">
      <w:pPr>
        <w:rPr>
          <w:rStyle w:val="Bold"/>
        </w:rPr>
      </w:pPr>
    </w:p>
    <w:p w14:paraId="3BD2D321" w14:textId="77777777" w:rsidR="00A34029" w:rsidRDefault="00A34029">
      <w:pPr>
        <w:rPr>
          <w:rStyle w:val="Bold"/>
        </w:rPr>
      </w:pPr>
      <w:r>
        <w:rPr>
          <w:rStyle w:val="Bold"/>
        </w:rPr>
        <w:br w:type="page"/>
      </w:r>
    </w:p>
    <w:p w14:paraId="3338CEBA" w14:textId="2878C2B8" w:rsidR="00652F0C" w:rsidRPr="00652F0C" w:rsidRDefault="00652F0C" w:rsidP="00652F0C">
      <w:pPr>
        <w:rPr>
          <w:rStyle w:val="Bold"/>
        </w:rPr>
      </w:pPr>
      <w:r w:rsidRPr="00652F0C">
        <w:rPr>
          <w:rStyle w:val="Bold"/>
        </w:rPr>
        <w:lastRenderedPageBreak/>
        <w:t>Consultation questions: general</w:t>
      </w:r>
    </w:p>
    <w:p w14:paraId="255F7FC0" w14:textId="77777777" w:rsidR="00652F0C" w:rsidRPr="00652F0C" w:rsidRDefault="00652F0C" w:rsidP="00652F0C"/>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5"/>
      </w:tblGrid>
      <w:tr w:rsidR="00652F0C" w:rsidRPr="00652F0C" w14:paraId="265BCE4D" w14:textId="77777777" w:rsidTr="009D7C94">
        <w:trPr>
          <w:trHeight w:val="1654"/>
        </w:trPr>
        <w:tc>
          <w:tcPr>
            <w:tcW w:w="5000" w:type="pct"/>
            <w:shd w:val="clear" w:color="auto" w:fill="E2F6EC"/>
          </w:tcPr>
          <w:p w14:paraId="5BB4BBD8" w14:textId="737497C0" w:rsidR="00652F0C" w:rsidRPr="00652F0C" w:rsidRDefault="00652F0C" w:rsidP="00652F0C">
            <w:pPr>
              <w:rPr>
                <w:rStyle w:val="Bold"/>
              </w:rPr>
            </w:pPr>
            <w:r w:rsidRPr="00652F0C">
              <w:rPr>
                <w:rStyle w:val="Bold"/>
              </w:rPr>
              <w:t xml:space="preserve">Question </w:t>
            </w:r>
            <w:r w:rsidR="00BD5E33">
              <w:rPr>
                <w:rStyle w:val="Bold"/>
              </w:rPr>
              <w:t>8</w:t>
            </w:r>
          </w:p>
          <w:p w14:paraId="3F97382B" w14:textId="3EF3B019" w:rsidR="00652F0C" w:rsidRPr="00652F0C" w:rsidRDefault="00652F0C" w:rsidP="00652F0C">
            <w:r w:rsidRPr="00652F0C">
              <w:t xml:space="preserve">Do you have any other comments on </w:t>
            </w:r>
            <w:r w:rsidR="00497B36">
              <w:t xml:space="preserve">Part A or Part B of </w:t>
            </w:r>
            <w:r w:rsidRPr="00652F0C">
              <w:t>the draft guidance (</w:t>
            </w:r>
            <w:r w:rsidR="00D809A6" w:rsidRPr="00D809A6">
              <w:t>Annex E</w:t>
            </w:r>
            <w:r w:rsidRPr="00652F0C">
              <w:t>) not covered in questions 1-</w:t>
            </w:r>
            <w:r w:rsidR="00497B36">
              <w:t>7</w:t>
            </w:r>
            <w:r w:rsidRPr="00652F0C">
              <w:t xml:space="preserve"> above</w:t>
            </w:r>
            <w:r w:rsidR="00881DA5" w:rsidRPr="00881DA5">
              <w:t>, for example the Department's approach regarding inquiry/hearing costs and Order fees (see paragraphs 3.4 and 3.8 of Part A of the guidance)?</w:t>
            </w:r>
          </w:p>
          <w:p w14:paraId="27529646" w14:textId="77777777" w:rsidR="00652F0C" w:rsidRPr="00652F0C" w:rsidRDefault="00652F0C" w:rsidP="00652F0C">
            <w:r w:rsidRPr="00652F0C">
              <w:t>YES/NO.  If yes, please give your comments</w:t>
            </w:r>
          </w:p>
        </w:tc>
      </w:tr>
    </w:tbl>
    <w:p w14:paraId="7DBEC395" w14:textId="77777777" w:rsidR="00E607E6" w:rsidRPr="00E607E6" w:rsidRDefault="00622ABE" w:rsidP="00E607E6">
      <w:pPr>
        <w:pStyle w:val="Heading1NoNumber"/>
      </w:pPr>
      <w:bookmarkStart w:id="12" w:name="_Toc340236190"/>
      <w:bookmarkStart w:id="13" w:name="_Toc424652214"/>
      <w:r>
        <w:lastRenderedPageBreak/>
        <w:t>Annex C</w:t>
      </w:r>
      <w:r w:rsidR="00E607E6">
        <w:t>:</w:t>
      </w:r>
      <w:r w:rsidR="00E607E6" w:rsidRPr="00E607E6">
        <w:t xml:space="preserve"> Consultation principles</w:t>
      </w:r>
      <w:bookmarkEnd w:id="12"/>
      <w:bookmarkEnd w:id="13"/>
    </w:p>
    <w:p w14:paraId="1A621D9F" w14:textId="77777777" w:rsidR="005016E9" w:rsidRDefault="00E607E6" w:rsidP="00E607E6">
      <w:pPr>
        <w:pStyle w:val="22-BodyText"/>
      </w:pPr>
      <w:r w:rsidRPr="00AA38B9">
        <w:t xml:space="preserve">The consultation is being conducted in line with the Government's </w:t>
      </w:r>
      <w:r>
        <w:t>key</w:t>
      </w:r>
      <w:r w:rsidRPr="00AA38B9">
        <w:t xml:space="preserve"> </w:t>
      </w:r>
      <w:r>
        <w:t>c</w:t>
      </w:r>
      <w:r w:rsidRPr="00AA38B9">
        <w:t>onsultation</w:t>
      </w:r>
      <w:r>
        <w:t xml:space="preserve"> principles which</w:t>
      </w:r>
      <w:r w:rsidRPr="00AA38B9">
        <w:t xml:space="preserve"> are listed </w:t>
      </w:r>
      <w:r>
        <w:t>below.</w:t>
      </w:r>
      <w:r w:rsidRPr="00AA38B9">
        <w:t xml:space="preserve"> </w:t>
      </w:r>
      <w:r>
        <w:t>Further information</w:t>
      </w:r>
      <w:r w:rsidRPr="00AA38B9">
        <w:t xml:space="preserve"> is available at </w:t>
      </w:r>
    </w:p>
    <w:p w14:paraId="41172538" w14:textId="77777777" w:rsidR="00E607E6" w:rsidRDefault="00994311" w:rsidP="00E607E6">
      <w:pPr>
        <w:pStyle w:val="22-BodyText"/>
      </w:pPr>
      <w:hyperlink r:id="rId21" w:history="1">
        <w:r w:rsidR="00E607E6" w:rsidRPr="00155F04">
          <w:rPr>
            <w:rStyle w:val="Hyperlink"/>
          </w:rPr>
          <w:t>https://www.gov.uk/government/publications/consultation-principles-guidance</w:t>
        </w:r>
      </w:hyperlink>
    </w:p>
    <w:p w14:paraId="2FFBA19F" w14:textId="77777777" w:rsidR="005016E9" w:rsidRDefault="005016E9" w:rsidP="00E607E6">
      <w:pPr>
        <w:pStyle w:val="22-BodyText"/>
      </w:pPr>
    </w:p>
    <w:p w14:paraId="63742727" w14:textId="77777777" w:rsidR="00E607E6" w:rsidRPr="00E607E6" w:rsidRDefault="00E607E6" w:rsidP="00E607E6">
      <w:pPr>
        <w:pStyle w:val="22-BodyText"/>
      </w:pPr>
      <w:r w:rsidRPr="00AA38B9">
        <w:t xml:space="preserve">If you have </w:t>
      </w:r>
      <w:r w:rsidRPr="00E607E6">
        <w:t>any comments about the consultation process please contact:</w:t>
      </w:r>
    </w:p>
    <w:p w14:paraId="7A0EED90" w14:textId="77777777" w:rsidR="005016E9" w:rsidRDefault="005016E9" w:rsidP="00E607E6"/>
    <w:p w14:paraId="29BCAAD2" w14:textId="77777777" w:rsidR="00E607E6" w:rsidRPr="00E607E6" w:rsidRDefault="00E607E6" w:rsidP="00E607E6">
      <w:r w:rsidRPr="00E607E6">
        <w:t>Consultation Co-ordinator</w:t>
      </w:r>
    </w:p>
    <w:p w14:paraId="45F1F75B" w14:textId="77777777" w:rsidR="00E607E6" w:rsidRPr="00E607E6" w:rsidRDefault="00E607E6" w:rsidP="00E607E6">
      <w:r w:rsidRPr="00E607E6">
        <w:t xml:space="preserve">Department for Transport </w:t>
      </w:r>
      <w:r w:rsidRPr="00E607E6">
        <w:br/>
        <w:t>Zone 1/14 Great Minster House</w:t>
      </w:r>
      <w:r w:rsidRPr="00E607E6">
        <w:br/>
        <w:t>London SW1P 4DR</w:t>
      </w:r>
    </w:p>
    <w:p w14:paraId="6EAB3952" w14:textId="77777777" w:rsidR="005016E9" w:rsidRDefault="005016E9" w:rsidP="00E607E6"/>
    <w:p w14:paraId="39C2E1C5" w14:textId="10B575FA" w:rsidR="00E607E6" w:rsidRPr="00E607E6" w:rsidRDefault="00E607E6" w:rsidP="00E607E6">
      <w:r w:rsidRPr="00E607E6">
        <w:t xml:space="preserve">Email </w:t>
      </w:r>
      <w:hyperlink r:id="rId22" w:history="1">
        <w:r w:rsidRPr="00E607E6">
          <w:rPr>
            <w:rStyle w:val="Hyperlink"/>
          </w:rPr>
          <w:t>consultation@dft.gsi.gov.uk</w:t>
        </w:r>
      </w:hyperlink>
    </w:p>
    <w:p w14:paraId="045C1A76" w14:textId="77777777" w:rsidR="00E607E6" w:rsidRPr="00E607E6" w:rsidRDefault="00622ABE" w:rsidP="0075321D">
      <w:pPr>
        <w:pStyle w:val="Heading1NoNumber"/>
      </w:pPr>
      <w:bookmarkStart w:id="14" w:name="_Toc340236191"/>
      <w:bookmarkStart w:id="15" w:name="_Toc424652215"/>
      <w:r>
        <w:lastRenderedPageBreak/>
        <w:t>Annex D</w:t>
      </w:r>
      <w:r w:rsidR="0075321D">
        <w:t>:</w:t>
      </w:r>
      <w:r w:rsidR="00E607E6" w:rsidRPr="00E607E6">
        <w:t xml:space="preserve"> List of those consulted</w:t>
      </w:r>
      <w:bookmarkEnd w:id="14"/>
      <w:bookmarkEnd w:id="15"/>
    </w:p>
    <w:p w14:paraId="5C6FD6D0" w14:textId="77777777" w:rsidR="004B1452" w:rsidRDefault="004B1452" w:rsidP="004B1452">
      <w:r>
        <w:t>British Ports Association (BPA)</w:t>
      </w:r>
    </w:p>
    <w:p w14:paraId="4990E15F" w14:textId="77777777" w:rsidR="004B1452" w:rsidRDefault="004B1452" w:rsidP="004B1452"/>
    <w:p w14:paraId="5622E45C" w14:textId="77777777" w:rsidR="004B1452" w:rsidRDefault="002F6A7B" w:rsidP="004B1452">
      <w:r>
        <w:t xml:space="preserve">The </w:t>
      </w:r>
      <w:r w:rsidR="004B1452">
        <w:t>Crown Estate</w:t>
      </w:r>
    </w:p>
    <w:p w14:paraId="139F7803" w14:textId="77777777" w:rsidR="004B1452" w:rsidRDefault="004B1452" w:rsidP="004B1452"/>
    <w:p w14:paraId="67CBD5B7" w14:textId="77777777" w:rsidR="002F6A7B" w:rsidRDefault="002F6A7B" w:rsidP="004B1452">
      <w:r>
        <w:t>Marine Management Organisation (MMO)</w:t>
      </w:r>
    </w:p>
    <w:p w14:paraId="11D2CA64" w14:textId="77777777" w:rsidR="002F6A7B" w:rsidRDefault="002F6A7B" w:rsidP="004B1452"/>
    <w:p w14:paraId="5EAB09EF" w14:textId="77777777" w:rsidR="004B1452" w:rsidRDefault="004B1452" w:rsidP="004B1452">
      <w:r>
        <w:t>Maritime and Coastguard Agency (MCA)</w:t>
      </w:r>
    </w:p>
    <w:p w14:paraId="62A90B16" w14:textId="77777777" w:rsidR="004B1452" w:rsidRDefault="004B1452" w:rsidP="004B1452"/>
    <w:p w14:paraId="0A1B2F1A" w14:textId="1C7BA5D4" w:rsidR="004B1452" w:rsidRDefault="004B1452" w:rsidP="004B1452">
      <w:r>
        <w:t>National Federation of Fishermen's Organisations (</w:t>
      </w:r>
      <w:r w:rsidR="006003AC">
        <w:t>NFFO</w:t>
      </w:r>
      <w:r>
        <w:t>)</w:t>
      </w:r>
    </w:p>
    <w:p w14:paraId="4FEA9F55" w14:textId="77777777" w:rsidR="004B1452" w:rsidRDefault="004B1452" w:rsidP="004B1452"/>
    <w:p w14:paraId="76EF6421" w14:textId="77777777" w:rsidR="004B1452" w:rsidRDefault="004B1452" w:rsidP="004B1452">
      <w:r>
        <w:t>National Resources Wales (NRW)</w:t>
      </w:r>
    </w:p>
    <w:p w14:paraId="58E1478A" w14:textId="77777777" w:rsidR="004B1452" w:rsidRDefault="004B1452" w:rsidP="004B1452"/>
    <w:p w14:paraId="55825538" w14:textId="77777777" w:rsidR="004B1452" w:rsidRDefault="004B1452" w:rsidP="004B1452">
      <w:r>
        <w:t>Natural England</w:t>
      </w:r>
    </w:p>
    <w:p w14:paraId="040C2841" w14:textId="77777777" w:rsidR="004B1452" w:rsidRDefault="004B1452" w:rsidP="004B1452"/>
    <w:p w14:paraId="6170F019" w14:textId="77777777" w:rsidR="004B1452" w:rsidRDefault="004B1452" w:rsidP="004B1452">
      <w:r>
        <w:t>Royal Yachting Association (RYA)</w:t>
      </w:r>
    </w:p>
    <w:p w14:paraId="44B7C88C" w14:textId="77777777" w:rsidR="004B1452" w:rsidRDefault="004B1452" w:rsidP="004B1452">
      <w:r>
        <w:t xml:space="preserve"> </w:t>
      </w:r>
    </w:p>
    <w:p w14:paraId="5CC2F732" w14:textId="77777777" w:rsidR="004B1452" w:rsidRDefault="004B1452" w:rsidP="004B1452">
      <w:r>
        <w:t>Trinity House</w:t>
      </w:r>
    </w:p>
    <w:p w14:paraId="3E921686" w14:textId="77777777" w:rsidR="004B1452" w:rsidRDefault="004B1452" w:rsidP="004B1452"/>
    <w:p w14:paraId="0576F8F6" w14:textId="77777777" w:rsidR="004B1452" w:rsidRDefault="004B1452" w:rsidP="004B1452">
      <w:r>
        <w:t>UK Chamber of Shipping (</w:t>
      </w:r>
      <w:proofErr w:type="spellStart"/>
      <w:r>
        <w:t>CoS</w:t>
      </w:r>
      <w:proofErr w:type="spellEnd"/>
      <w:r>
        <w:t>)</w:t>
      </w:r>
    </w:p>
    <w:p w14:paraId="4039A685" w14:textId="77777777" w:rsidR="006003AC" w:rsidRDefault="006003AC" w:rsidP="004B1452"/>
    <w:p w14:paraId="7EB61C25" w14:textId="77777777" w:rsidR="006003AC" w:rsidRDefault="006003AC" w:rsidP="004B1452">
      <w:r>
        <w:t>UK Harbour Masters' Association (UKHMA)</w:t>
      </w:r>
    </w:p>
    <w:p w14:paraId="2B62C3DC" w14:textId="77777777" w:rsidR="004B1452" w:rsidRDefault="004B1452" w:rsidP="004B1452"/>
    <w:p w14:paraId="070091B0" w14:textId="77777777" w:rsidR="004B1452" w:rsidRDefault="004B1452" w:rsidP="004B1452">
      <w:r>
        <w:t>UK Major Ports Group (UKMPG)</w:t>
      </w:r>
    </w:p>
    <w:p w14:paraId="3BE1BA58" w14:textId="77777777" w:rsidR="006003AC" w:rsidRDefault="006003AC" w:rsidP="004B1452"/>
    <w:p w14:paraId="5DB69EA7" w14:textId="77777777" w:rsidR="006003AC" w:rsidRDefault="006003AC" w:rsidP="004B1452">
      <w:r>
        <w:t>UK Maritime Pilots' Association (UKMPA)</w:t>
      </w:r>
    </w:p>
    <w:p w14:paraId="41F160F5" w14:textId="77777777" w:rsidR="004B1452" w:rsidRDefault="004B1452" w:rsidP="004B1452"/>
    <w:p w14:paraId="64216D3F" w14:textId="77777777" w:rsidR="004B1452" w:rsidRDefault="004B1452" w:rsidP="004B1452">
      <w:r>
        <w:t>Welsh Government</w:t>
      </w:r>
    </w:p>
    <w:p w14:paraId="7168E658" w14:textId="77777777" w:rsidR="003F7516" w:rsidRDefault="003F7516">
      <w:pPr>
        <w:rPr>
          <w:color w:val="000000"/>
          <w:szCs w:val="20"/>
        </w:rPr>
      </w:pPr>
      <w:r>
        <w:br w:type="page"/>
      </w:r>
    </w:p>
    <w:p w14:paraId="6059C3B7" w14:textId="19B6A2DE" w:rsidR="003F7516" w:rsidRPr="00E607E6" w:rsidRDefault="008E3B25" w:rsidP="003F7516">
      <w:pPr>
        <w:pStyle w:val="Heading1NoNumber"/>
      </w:pPr>
      <w:bookmarkStart w:id="16" w:name="_Toc424652216"/>
      <w:r>
        <w:lastRenderedPageBreak/>
        <w:t>Annex E</w:t>
      </w:r>
      <w:r w:rsidR="003F7516">
        <w:t>:</w:t>
      </w:r>
      <w:r w:rsidR="003F7516" w:rsidRPr="00E607E6">
        <w:t xml:space="preserve"> </w:t>
      </w:r>
      <w:r w:rsidR="003F7516">
        <w:t>Guidance on Harbour Closure Orders and Pilotage Function Removal Orders</w:t>
      </w:r>
      <w:bookmarkEnd w:id="16"/>
    </w:p>
    <w:p w14:paraId="65879B49" w14:textId="7F9AE663" w:rsidR="00960D72" w:rsidRPr="00A90E77" w:rsidRDefault="00A90E77" w:rsidP="00881DA5">
      <w:r>
        <w:t xml:space="preserve">Please see separate Guidance document uploaded with this consultation document. </w:t>
      </w:r>
    </w:p>
    <w:sectPr w:rsidR="00960D72" w:rsidRPr="00A90E77" w:rsidSect="008D2D2C">
      <w:headerReference w:type="even" r:id="rId23"/>
      <w:headerReference w:type="default" r:id="rId24"/>
      <w:footerReference w:type="even" r:id="rId25"/>
      <w:headerReference w:type="first" r:id="rId26"/>
      <w:footerReference w:type="first" r:id="rId27"/>
      <w:endnotePr>
        <w:numFmt w:val="decimal"/>
      </w:endnotePr>
      <w:pgSz w:w="11907" w:h="16840" w:code="9"/>
      <w:pgMar w:top="1395"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3DC60" w14:textId="77777777" w:rsidR="00994311" w:rsidRPr="00060C2C" w:rsidRDefault="00994311">
      <w:pPr>
        <w:rPr>
          <w:highlight w:val="yellow"/>
        </w:rPr>
      </w:pPr>
      <w:r w:rsidRPr="00060C2C">
        <w:rPr>
          <w:highlight w:val="yellow"/>
        </w:rPr>
        <w:separator/>
      </w:r>
    </w:p>
  </w:endnote>
  <w:endnote w:type="continuationSeparator" w:id="0">
    <w:p w14:paraId="58BCF5CD" w14:textId="77777777" w:rsidR="00994311" w:rsidRPr="00060C2C" w:rsidRDefault="00994311">
      <w:pPr>
        <w:rPr>
          <w:highlight w:val="yellow"/>
        </w:rPr>
      </w:pPr>
      <w:r w:rsidRPr="00060C2C">
        <w:rPr>
          <w:highlight w:val="yellow"/>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23180" w14:textId="77777777" w:rsidR="009D7C94" w:rsidRDefault="009D7C94" w:rsidP="00BD7A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81ED2A" w14:textId="77777777" w:rsidR="009D7C94" w:rsidRDefault="009D7C94" w:rsidP="00BD7A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6D26A" w14:textId="6AC26B23" w:rsidR="009D7C94" w:rsidRPr="008D6AA9" w:rsidRDefault="00650230" w:rsidP="00C167CE">
    <w:pPr>
      <w:pStyle w:val="zzDate"/>
      <w:jc w:val="left"/>
    </w:pPr>
    <w:r>
      <w:t>August</w:t>
    </w:r>
    <w:r w:rsidR="009D7C94">
      <w:t xml:space="preserve">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13EDC" w14:textId="77777777" w:rsidR="009D7C94" w:rsidRDefault="009D7C94" w:rsidP="008455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9655418" w14:textId="77777777" w:rsidR="009D7C94" w:rsidRDefault="009D7C94" w:rsidP="00BD7AF9">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42756" w14:textId="77777777" w:rsidR="009D7C94" w:rsidRDefault="009D7C94" w:rsidP="002C2D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084F">
      <w:rPr>
        <w:rStyle w:val="PageNumber"/>
        <w:noProof/>
      </w:rPr>
      <w:t>21</w:t>
    </w:r>
    <w:r>
      <w:rPr>
        <w:rStyle w:val="PageNumber"/>
      </w:rPr>
      <w:fldChar w:fldCharType="end"/>
    </w:r>
  </w:p>
  <w:p w14:paraId="09D5F07A" w14:textId="77777777" w:rsidR="009D7C94" w:rsidRPr="00CB536D" w:rsidRDefault="009D7C94" w:rsidP="00CB536D">
    <w:pPr>
      <w:rPr>
        <w:rStyle w:val="PageNumbe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123CD" w14:textId="77777777" w:rsidR="009D7C94" w:rsidRDefault="009D7C94" w:rsidP="00104C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084F">
      <w:rPr>
        <w:rStyle w:val="PageNumber"/>
        <w:noProof/>
      </w:rPr>
      <w:t>20</w:t>
    </w:r>
    <w:r>
      <w:rPr>
        <w:rStyle w:val="PageNumber"/>
      </w:rPr>
      <w:fldChar w:fldCharType="end"/>
    </w:r>
  </w:p>
  <w:p w14:paraId="701730E2" w14:textId="77777777" w:rsidR="009D7C94" w:rsidRDefault="009D7C94" w:rsidP="00104CD0">
    <w:pP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416B7" w14:textId="77777777" w:rsidR="009D7C94" w:rsidRDefault="009D7C94" w:rsidP="005174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73399" w14:textId="77777777" w:rsidR="00994311" w:rsidRPr="00F97158" w:rsidRDefault="00994311">
      <w:r w:rsidRPr="00F97158">
        <w:separator/>
      </w:r>
    </w:p>
  </w:footnote>
  <w:footnote w:type="continuationSeparator" w:id="0">
    <w:p w14:paraId="18C54544" w14:textId="77777777" w:rsidR="00994311" w:rsidRPr="00F97158" w:rsidRDefault="00994311">
      <w:r w:rsidRPr="00F97158">
        <w:continuationSeparator/>
      </w:r>
    </w:p>
  </w:footnote>
  <w:footnote w:type="continuationNotice" w:id="1">
    <w:p w14:paraId="698F5D33" w14:textId="77777777" w:rsidR="00994311" w:rsidRDefault="00994311"/>
  </w:footnote>
  <w:footnote w:id="2">
    <w:p w14:paraId="7DD8D71B" w14:textId="091BD105" w:rsidR="009D7C94" w:rsidRDefault="009D7C94">
      <w:pPr>
        <w:pStyle w:val="FootnoteText"/>
      </w:pPr>
      <w:r>
        <w:rPr>
          <w:rStyle w:val="FootnoteReference"/>
        </w:rPr>
        <w:footnoteRef/>
      </w:r>
      <w:r>
        <w:t xml:space="preserve"> </w:t>
      </w:r>
      <w:r w:rsidRPr="00D00706">
        <w:t>http://www.legislation.gov.uk/ukpga/2013/23/section/6</w:t>
      </w:r>
    </w:p>
  </w:footnote>
  <w:footnote w:id="3">
    <w:p w14:paraId="72095E57" w14:textId="1AACB7E0" w:rsidR="004D6088" w:rsidRDefault="004D6088">
      <w:pPr>
        <w:pStyle w:val="FootnoteText"/>
      </w:pPr>
      <w:r>
        <w:rPr>
          <w:rStyle w:val="FootnoteReference"/>
        </w:rPr>
        <w:footnoteRef/>
      </w:r>
      <w:r>
        <w:t xml:space="preserve"> </w:t>
      </w:r>
      <w:hyperlink r:id="rId1" w:history="1">
        <w:r w:rsidRPr="008F68B8">
          <w:rPr>
            <w:rStyle w:val="Hyperlink"/>
          </w:rPr>
          <w:t>http://www.legislation.gov.uk/ukpga/1964/40/schedule/3/part/I</w:t>
        </w:r>
      </w:hyperlink>
      <w:r>
        <w:t xml:space="preserve"> </w:t>
      </w:r>
    </w:p>
  </w:footnote>
  <w:footnote w:id="4">
    <w:p w14:paraId="509648F5" w14:textId="281CAFD4" w:rsidR="009D7C94" w:rsidRDefault="009D7C94">
      <w:pPr>
        <w:pStyle w:val="FootnoteText"/>
      </w:pPr>
      <w:r>
        <w:rPr>
          <w:rStyle w:val="FootnoteReference"/>
        </w:rPr>
        <w:footnoteRef/>
      </w:r>
      <w:r>
        <w:t xml:space="preserve"> </w:t>
      </w:r>
      <w:hyperlink r:id="rId2" w:history="1">
        <w:r w:rsidRPr="003F0170">
          <w:rPr>
            <w:rStyle w:val="Hyperlink"/>
          </w:rPr>
          <w:t>http://www.legislation.gov.uk/uksi/2015/132/made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6AF16" w14:textId="77777777" w:rsidR="009D7C94" w:rsidRDefault="009D7C94">
    <w:pPr>
      <w:pStyle w:val="Header"/>
    </w:pPr>
    <w:r>
      <w:rPr>
        <w:noProof/>
        <w:lang w:eastAsia="en-GB"/>
      </w:rPr>
      <w:drawing>
        <wp:inline distT="0" distB="0" distL="0" distR="0" wp14:anchorId="1D82AC0A" wp14:editId="390EBDA5">
          <wp:extent cx="1485900" cy="952500"/>
          <wp:effectExtent l="0" t="0" r="0" b="0"/>
          <wp:docPr id="10" name="Picture 10" descr="DfT_3298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T_3298_SML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9525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50312" w14:textId="77777777" w:rsidR="009D7C94" w:rsidRDefault="009D7C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89A1E" w14:textId="77777777" w:rsidR="009D7C94" w:rsidRDefault="009D7C94" w:rsidP="0051742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8540B" w14:textId="77777777" w:rsidR="009D7C94" w:rsidRDefault="009D7C94" w:rsidP="0051742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25454" w14:textId="77777777" w:rsidR="009D7C94" w:rsidRDefault="009D7C94" w:rsidP="005174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81453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6328D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5AC6E4"/>
    <w:lvl w:ilvl="0">
      <w:start w:val="1"/>
      <w:numFmt w:val="decimal"/>
      <w:pStyle w:val="ListNumber3"/>
      <w:lvlText w:val="%1."/>
      <w:lvlJc w:val="left"/>
      <w:pPr>
        <w:tabs>
          <w:tab w:val="num" w:pos="926"/>
        </w:tabs>
        <w:ind w:left="926" w:hanging="360"/>
      </w:pPr>
    </w:lvl>
  </w:abstractNum>
  <w:abstractNum w:abstractNumId="3" w15:restartNumberingAfterBreak="0">
    <w:nsid w:val="FFFFFF82"/>
    <w:multiLevelType w:val="singleLevel"/>
    <w:tmpl w:val="1E922AF2"/>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265E6780"/>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01264668"/>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40E428F"/>
    <w:multiLevelType w:val="hybridMultilevel"/>
    <w:tmpl w:val="72CEBDB2"/>
    <w:lvl w:ilvl="0" w:tplc="D3200F4E">
      <w:start w:val="1"/>
      <w:numFmt w:val="decimal"/>
      <w:pStyle w:val="Number2"/>
      <w:lvlText w:val="2.%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B597FCA"/>
    <w:multiLevelType w:val="multilevel"/>
    <w:tmpl w:val="727C5BD0"/>
    <w:name w:val="test"/>
    <w:lvl w:ilvl="0">
      <w:start w:val="1"/>
      <w:numFmt w:val="decimal"/>
      <w:lvlText w:val="%1."/>
      <w:lvlJc w:val="left"/>
      <w:pPr>
        <w:tabs>
          <w:tab w:val="num" w:pos="1020"/>
        </w:tabs>
        <w:ind w:left="1020" w:hanging="1020"/>
      </w:pPr>
      <w:rPr>
        <w:rFonts w:hint="default"/>
      </w:rPr>
    </w:lvl>
    <w:lvl w:ilvl="1">
      <w:start w:val="1"/>
      <w:numFmt w:val="decimal"/>
      <w:lvlText w:val="%1.%2"/>
      <w:lvlJc w:val="left"/>
      <w:pPr>
        <w:tabs>
          <w:tab w:val="num" w:pos="1020"/>
        </w:tabs>
        <w:ind w:left="1020" w:hanging="1020"/>
      </w:pPr>
      <w:rPr>
        <w:rFonts w:hint="default"/>
      </w:rPr>
    </w:lvl>
    <w:lvl w:ilvl="2">
      <w:start w:val="1"/>
      <w:numFmt w:val="none"/>
      <w:lvlText w:val="."/>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27D07ED"/>
    <w:multiLevelType w:val="hybridMultilevel"/>
    <w:tmpl w:val="6E54248E"/>
    <w:lvl w:ilvl="0" w:tplc="A314B0F8">
      <w:start w:val="1"/>
      <w:numFmt w:val="decimal"/>
      <w:pStyle w:val="Number14"/>
      <w:lvlText w:val="14.%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49C4DF7"/>
    <w:multiLevelType w:val="hybridMultilevel"/>
    <w:tmpl w:val="C1D0C2F2"/>
    <w:lvl w:ilvl="0" w:tplc="62C805E8">
      <w:start w:val="1"/>
      <w:numFmt w:val="decimal"/>
      <w:pStyle w:val="NumberedNotes"/>
      <w:lvlText w:val="%1."/>
      <w:lvlJc w:val="left"/>
      <w:pPr>
        <w:tabs>
          <w:tab w:val="num" w:pos="774"/>
        </w:tabs>
        <w:ind w:left="774" w:hanging="774"/>
      </w:pPr>
      <w:rPr>
        <w:rFonts w:ascii="Arial" w:hAnsi="Arial" w:hint="default"/>
        <w:b w:val="0"/>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56C7902"/>
    <w:multiLevelType w:val="multilevel"/>
    <w:tmpl w:val="6428EB02"/>
    <w:lvl w:ilvl="0">
      <w:start w:val="1"/>
      <w:numFmt w:val="lowerLetter"/>
      <w:pStyle w:val="22-BodyText-Letters"/>
      <w:lvlText w:val="%1."/>
      <w:lvlJc w:val="left"/>
      <w:pPr>
        <w:tabs>
          <w:tab w:val="num" w:pos="1021"/>
        </w:tabs>
        <w:ind w:left="1021" w:hanging="341"/>
      </w:pPr>
      <w:rPr>
        <w:rFonts w:hint="default"/>
      </w:rPr>
    </w:lvl>
    <w:lvl w:ilvl="1">
      <w:start w:val="1"/>
      <w:numFmt w:val="lowerLetter"/>
      <w:lvlText w:val="%2."/>
      <w:lvlJc w:val="left"/>
      <w:pPr>
        <w:tabs>
          <w:tab w:val="num" w:pos="2101"/>
        </w:tabs>
        <w:ind w:left="2101" w:hanging="360"/>
      </w:pPr>
      <w:rPr>
        <w:rFonts w:hint="default"/>
      </w:rPr>
    </w:lvl>
    <w:lvl w:ilvl="2">
      <w:start w:val="1"/>
      <w:numFmt w:val="lowerRoman"/>
      <w:lvlText w:val="%3."/>
      <w:lvlJc w:val="right"/>
      <w:pPr>
        <w:tabs>
          <w:tab w:val="num" w:pos="2821"/>
        </w:tabs>
        <w:ind w:left="2821" w:hanging="180"/>
      </w:pPr>
      <w:rPr>
        <w:rFonts w:hint="default"/>
      </w:rPr>
    </w:lvl>
    <w:lvl w:ilvl="3">
      <w:start w:val="1"/>
      <w:numFmt w:val="decimal"/>
      <w:lvlText w:val="%4."/>
      <w:lvlJc w:val="left"/>
      <w:pPr>
        <w:tabs>
          <w:tab w:val="num" w:pos="3541"/>
        </w:tabs>
        <w:ind w:left="3541" w:hanging="360"/>
      </w:pPr>
      <w:rPr>
        <w:rFonts w:hint="default"/>
      </w:rPr>
    </w:lvl>
    <w:lvl w:ilvl="4">
      <w:start w:val="1"/>
      <w:numFmt w:val="lowerLetter"/>
      <w:lvlText w:val="%5."/>
      <w:lvlJc w:val="left"/>
      <w:pPr>
        <w:tabs>
          <w:tab w:val="num" w:pos="4261"/>
        </w:tabs>
        <w:ind w:left="4261" w:hanging="360"/>
      </w:pPr>
      <w:rPr>
        <w:rFonts w:hint="default"/>
      </w:rPr>
    </w:lvl>
    <w:lvl w:ilvl="5">
      <w:start w:val="1"/>
      <w:numFmt w:val="lowerRoman"/>
      <w:lvlText w:val="%6."/>
      <w:lvlJc w:val="right"/>
      <w:pPr>
        <w:tabs>
          <w:tab w:val="num" w:pos="4981"/>
        </w:tabs>
        <w:ind w:left="4981" w:hanging="180"/>
      </w:pPr>
      <w:rPr>
        <w:rFonts w:hint="default"/>
      </w:rPr>
    </w:lvl>
    <w:lvl w:ilvl="6">
      <w:start w:val="1"/>
      <w:numFmt w:val="decimal"/>
      <w:lvlText w:val="%7."/>
      <w:lvlJc w:val="left"/>
      <w:pPr>
        <w:tabs>
          <w:tab w:val="num" w:pos="5701"/>
        </w:tabs>
        <w:ind w:left="5701" w:hanging="360"/>
      </w:pPr>
      <w:rPr>
        <w:rFonts w:hint="default"/>
      </w:rPr>
    </w:lvl>
    <w:lvl w:ilvl="7">
      <w:start w:val="1"/>
      <w:numFmt w:val="lowerLetter"/>
      <w:lvlText w:val="%8."/>
      <w:lvlJc w:val="left"/>
      <w:pPr>
        <w:tabs>
          <w:tab w:val="num" w:pos="6421"/>
        </w:tabs>
        <w:ind w:left="6421" w:hanging="360"/>
      </w:pPr>
      <w:rPr>
        <w:rFonts w:hint="default"/>
      </w:rPr>
    </w:lvl>
    <w:lvl w:ilvl="8">
      <w:start w:val="1"/>
      <w:numFmt w:val="lowerRoman"/>
      <w:lvlText w:val="%9."/>
      <w:lvlJc w:val="right"/>
      <w:pPr>
        <w:tabs>
          <w:tab w:val="num" w:pos="7141"/>
        </w:tabs>
        <w:ind w:left="7141" w:hanging="180"/>
      </w:pPr>
      <w:rPr>
        <w:rFonts w:hint="default"/>
      </w:rPr>
    </w:lvl>
  </w:abstractNum>
  <w:abstractNum w:abstractNumId="11" w15:restartNumberingAfterBreak="0">
    <w:nsid w:val="16113B34"/>
    <w:multiLevelType w:val="hybridMultilevel"/>
    <w:tmpl w:val="F4A875E2"/>
    <w:lvl w:ilvl="0" w:tplc="C84A3876">
      <w:start w:val="1"/>
      <w:numFmt w:val="decimal"/>
      <w:pStyle w:val="Number5"/>
      <w:lvlText w:val="5.%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B2B6890"/>
    <w:multiLevelType w:val="hybridMultilevel"/>
    <w:tmpl w:val="7B944B5C"/>
    <w:lvl w:ilvl="0" w:tplc="F7482DE2">
      <w:start w:val="1"/>
      <w:numFmt w:val="bullet"/>
      <w:pStyle w:val="BoxText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AE1CCC"/>
    <w:multiLevelType w:val="hybridMultilevel"/>
    <w:tmpl w:val="F98E479A"/>
    <w:lvl w:ilvl="0" w:tplc="25CE979E">
      <w:start w:val="1"/>
      <w:numFmt w:val="decimal"/>
      <w:pStyle w:val="AnnexA"/>
      <w:lvlText w:val="A.%1"/>
      <w:lvlJc w:val="left"/>
      <w:pPr>
        <w:tabs>
          <w:tab w:val="num" w:pos="774"/>
        </w:tabs>
        <w:ind w:left="774"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C3A2277"/>
    <w:multiLevelType w:val="multilevel"/>
    <w:tmpl w:val="9E8AC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69D15BB"/>
    <w:multiLevelType w:val="hybridMultilevel"/>
    <w:tmpl w:val="F7D2BD4A"/>
    <w:lvl w:ilvl="0" w:tplc="1D2A3336">
      <w:start w:val="1"/>
      <w:numFmt w:val="decimal"/>
      <w:pStyle w:val="AnnexH"/>
      <w:lvlText w:val="H.%1"/>
      <w:lvlJc w:val="left"/>
      <w:pPr>
        <w:tabs>
          <w:tab w:val="num" w:pos="774"/>
        </w:tabs>
        <w:ind w:left="774"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77C7196"/>
    <w:multiLevelType w:val="hybridMultilevel"/>
    <w:tmpl w:val="CF18410E"/>
    <w:lvl w:ilvl="0" w:tplc="3ED6EE40">
      <w:start w:val="1"/>
      <w:numFmt w:val="decimal"/>
      <w:pStyle w:val="Number10"/>
      <w:lvlText w:val="10.%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9D35173"/>
    <w:multiLevelType w:val="hybridMultilevel"/>
    <w:tmpl w:val="2522F24C"/>
    <w:lvl w:ilvl="0" w:tplc="03F29CF0">
      <w:start w:val="1"/>
      <w:numFmt w:val="decimal"/>
      <w:pStyle w:val="AnnexD"/>
      <w:lvlText w:val="D.%1"/>
      <w:lvlJc w:val="left"/>
      <w:pPr>
        <w:tabs>
          <w:tab w:val="num" w:pos="774"/>
        </w:tabs>
        <w:ind w:left="774"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B516ED2"/>
    <w:multiLevelType w:val="multilevel"/>
    <w:tmpl w:val="2E305500"/>
    <w:styleLink w:val="CurrentList1"/>
    <w:lvl w:ilvl="0">
      <w:start w:val="1"/>
      <w:numFmt w:val="decimal"/>
      <w:lvlText w:val="%1."/>
      <w:lvlJc w:val="left"/>
      <w:pPr>
        <w:tabs>
          <w:tab w:val="num" w:pos="1303"/>
        </w:tabs>
        <w:ind w:left="1303" w:hanging="1020"/>
      </w:pPr>
      <w:rPr>
        <w:rFonts w:hint="default"/>
      </w:rPr>
    </w:lvl>
    <w:lvl w:ilvl="1">
      <w:start w:val="1"/>
      <w:numFmt w:val="decimal"/>
      <w:lvlText w:val="%1.%2"/>
      <w:lvlJc w:val="left"/>
      <w:pPr>
        <w:tabs>
          <w:tab w:val="num" w:pos="1303"/>
        </w:tabs>
        <w:ind w:left="1303" w:hanging="1020"/>
      </w:pPr>
      <w:rPr>
        <w:rFonts w:hint="default"/>
      </w:rPr>
    </w:lvl>
    <w:lvl w:ilvl="2">
      <w:start w:val="1"/>
      <w:numFmt w:val="none"/>
      <w:lvlText w:val="."/>
      <w:lvlJc w:val="left"/>
      <w:pPr>
        <w:tabs>
          <w:tab w:val="num" w:pos="1303"/>
        </w:tabs>
        <w:ind w:left="1303" w:hanging="1020"/>
      </w:pPr>
      <w:rPr>
        <w:rFonts w:hint="default"/>
      </w:rPr>
    </w:lvl>
    <w:lvl w:ilvl="3">
      <w:start w:val="1"/>
      <w:numFmt w:val="decimal"/>
      <w:lvlText w:val="%1.%2.%3.%4"/>
      <w:lvlJc w:val="left"/>
      <w:pPr>
        <w:tabs>
          <w:tab w:val="num" w:pos="1303"/>
        </w:tabs>
        <w:ind w:left="1303" w:hanging="1020"/>
      </w:pPr>
      <w:rPr>
        <w:rFonts w:hint="default"/>
      </w:rPr>
    </w:lvl>
    <w:lvl w:ilvl="4">
      <w:start w:val="1"/>
      <w:numFmt w:val="decimal"/>
      <w:lvlText w:val="%1.%2.%3.%4.%5"/>
      <w:lvlJc w:val="left"/>
      <w:pPr>
        <w:tabs>
          <w:tab w:val="num" w:pos="1363"/>
        </w:tabs>
        <w:ind w:left="1363" w:hanging="1080"/>
      </w:pPr>
      <w:rPr>
        <w:rFonts w:hint="default"/>
      </w:rPr>
    </w:lvl>
    <w:lvl w:ilvl="5">
      <w:start w:val="1"/>
      <w:numFmt w:val="decimal"/>
      <w:lvlText w:val="%1.%2.%3.%4.%5.%6"/>
      <w:lvlJc w:val="left"/>
      <w:pPr>
        <w:tabs>
          <w:tab w:val="num" w:pos="1363"/>
        </w:tabs>
        <w:ind w:left="1363" w:hanging="1080"/>
      </w:pPr>
      <w:rPr>
        <w:rFonts w:hint="default"/>
      </w:rPr>
    </w:lvl>
    <w:lvl w:ilvl="6">
      <w:start w:val="1"/>
      <w:numFmt w:val="decimal"/>
      <w:lvlText w:val="%1.%2.%3.%4.%5.%6.%7"/>
      <w:lvlJc w:val="left"/>
      <w:pPr>
        <w:tabs>
          <w:tab w:val="num" w:pos="1723"/>
        </w:tabs>
        <w:ind w:left="1723" w:hanging="1440"/>
      </w:pPr>
      <w:rPr>
        <w:rFonts w:hint="default"/>
      </w:rPr>
    </w:lvl>
    <w:lvl w:ilvl="7">
      <w:start w:val="1"/>
      <w:numFmt w:val="decimal"/>
      <w:lvlText w:val="%1.%2.%3.%4.%5.%6.%7.%8"/>
      <w:lvlJc w:val="left"/>
      <w:pPr>
        <w:tabs>
          <w:tab w:val="num" w:pos="1723"/>
        </w:tabs>
        <w:ind w:left="1723" w:hanging="1440"/>
      </w:pPr>
      <w:rPr>
        <w:rFonts w:hint="default"/>
      </w:rPr>
    </w:lvl>
    <w:lvl w:ilvl="8">
      <w:start w:val="1"/>
      <w:numFmt w:val="decimal"/>
      <w:lvlText w:val="%1.%2.%3.%4.%5.%6.%7.%8.%9"/>
      <w:lvlJc w:val="left"/>
      <w:pPr>
        <w:tabs>
          <w:tab w:val="num" w:pos="2083"/>
        </w:tabs>
        <w:ind w:left="2083" w:hanging="1800"/>
      </w:pPr>
      <w:rPr>
        <w:rFonts w:hint="default"/>
      </w:rPr>
    </w:lvl>
  </w:abstractNum>
  <w:abstractNum w:abstractNumId="19" w15:restartNumberingAfterBreak="0">
    <w:nsid w:val="2F7B50AD"/>
    <w:multiLevelType w:val="hybridMultilevel"/>
    <w:tmpl w:val="6002C63E"/>
    <w:lvl w:ilvl="0" w:tplc="7562D300">
      <w:start w:val="1"/>
      <w:numFmt w:val="decimal"/>
      <w:pStyle w:val="AnnexC"/>
      <w:lvlText w:val="C.%1"/>
      <w:lvlJc w:val="left"/>
      <w:pPr>
        <w:tabs>
          <w:tab w:val="num" w:pos="774"/>
        </w:tabs>
        <w:ind w:left="774"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0E278BD"/>
    <w:multiLevelType w:val="hybridMultilevel"/>
    <w:tmpl w:val="C9847FC2"/>
    <w:lvl w:ilvl="0" w:tplc="D7683B44">
      <w:start w:val="1"/>
      <w:numFmt w:val="decimal"/>
      <w:pStyle w:val="Number4"/>
      <w:lvlText w:val="4.%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4A5576E"/>
    <w:multiLevelType w:val="multilevel"/>
    <w:tmpl w:val="B44C7992"/>
    <w:name w:val="followeHeadOne"/>
    <w:lvl w:ilvl="0">
      <w:start w:val="1"/>
      <w:numFmt w:val="decimal"/>
      <w:pStyle w:val="ListNumber"/>
      <w:lvlText w:val="%1."/>
      <w:lvlJc w:val="left"/>
      <w:pPr>
        <w:tabs>
          <w:tab w:val="num" w:pos="1303"/>
        </w:tabs>
        <w:ind w:left="1303" w:hanging="1020"/>
      </w:pPr>
      <w:rPr>
        <w:rFonts w:hint="default"/>
      </w:rPr>
    </w:lvl>
    <w:lvl w:ilvl="1">
      <w:start w:val="1"/>
      <w:numFmt w:val="decimal"/>
      <w:lvlText w:val="%1.%2"/>
      <w:lvlJc w:val="left"/>
      <w:pPr>
        <w:tabs>
          <w:tab w:val="num" w:pos="1303"/>
        </w:tabs>
        <w:ind w:left="1303" w:hanging="1020"/>
      </w:pPr>
      <w:rPr>
        <w:rFonts w:hint="default"/>
      </w:rPr>
    </w:lvl>
    <w:lvl w:ilvl="2">
      <w:start w:val="1"/>
      <w:numFmt w:val="none"/>
      <w:lvlText w:val="."/>
      <w:lvlJc w:val="left"/>
      <w:pPr>
        <w:tabs>
          <w:tab w:val="num" w:pos="1303"/>
        </w:tabs>
        <w:ind w:left="1303" w:hanging="1020"/>
      </w:pPr>
      <w:rPr>
        <w:rFonts w:hint="default"/>
      </w:rPr>
    </w:lvl>
    <w:lvl w:ilvl="3">
      <w:start w:val="1"/>
      <w:numFmt w:val="decimal"/>
      <w:lvlText w:val="%1.%2.%3.%4"/>
      <w:lvlJc w:val="left"/>
      <w:pPr>
        <w:tabs>
          <w:tab w:val="num" w:pos="1303"/>
        </w:tabs>
        <w:ind w:left="1303" w:hanging="1020"/>
      </w:pPr>
      <w:rPr>
        <w:rFonts w:hint="default"/>
      </w:rPr>
    </w:lvl>
    <w:lvl w:ilvl="4">
      <w:start w:val="1"/>
      <w:numFmt w:val="decimal"/>
      <w:lvlText w:val="%1.%2.%3.%4.%5"/>
      <w:lvlJc w:val="left"/>
      <w:pPr>
        <w:tabs>
          <w:tab w:val="num" w:pos="1363"/>
        </w:tabs>
        <w:ind w:left="1363" w:hanging="1080"/>
      </w:pPr>
      <w:rPr>
        <w:rFonts w:hint="default"/>
      </w:rPr>
    </w:lvl>
    <w:lvl w:ilvl="5">
      <w:numFmt w:val="none"/>
      <w:lvlText w:val=""/>
      <w:lvlJc w:val="left"/>
      <w:pPr>
        <w:tabs>
          <w:tab w:val="num" w:pos="360"/>
        </w:tabs>
      </w:pPr>
    </w:lvl>
    <w:lvl w:ilvl="6">
      <w:start w:val="1"/>
      <w:numFmt w:val="decimal"/>
      <w:lvlText w:val="%1.%2.%3.%4.%5.%6.%7"/>
      <w:lvlJc w:val="left"/>
      <w:pPr>
        <w:tabs>
          <w:tab w:val="num" w:pos="1723"/>
        </w:tabs>
        <w:ind w:left="1723" w:hanging="1440"/>
      </w:pPr>
      <w:rPr>
        <w:rFonts w:hint="default"/>
      </w:rPr>
    </w:lvl>
    <w:lvl w:ilvl="7">
      <w:start w:val="1"/>
      <w:numFmt w:val="decimal"/>
      <w:lvlText w:val="%1.%2.%3.%4.%5.%6.%7.%8"/>
      <w:lvlJc w:val="left"/>
      <w:pPr>
        <w:tabs>
          <w:tab w:val="num" w:pos="1723"/>
        </w:tabs>
        <w:ind w:left="1723" w:hanging="1440"/>
      </w:pPr>
      <w:rPr>
        <w:rFonts w:hint="default"/>
      </w:rPr>
    </w:lvl>
    <w:lvl w:ilvl="8">
      <w:start w:val="1"/>
      <w:numFmt w:val="decimal"/>
      <w:lvlText w:val="%1.%2.%3.%4.%5.%6.%7.%8.%9"/>
      <w:lvlJc w:val="left"/>
      <w:pPr>
        <w:tabs>
          <w:tab w:val="num" w:pos="2083"/>
        </w:tabs>
        <w:ind w:left="2083" w:hanging="1800"/>
      </w:pPr>
      <w:rPr>
        <w:rFonts w:hint="default"/>
      </w:rPr>
    </w:lvl>
  </w:abstractNum>
  <w:abstractNum w:abstractNumId="22" w15:restartNumberingAfterBreak="0">
    <w:nsid w:val="3BB9576A"/>
    <w:multiLevelType w:val="hybridMultilevel"/>
    <w:tmpl w:val="193C565C"/>
    <w:lvl w:ilvl="0" w:tplc="959890C0">
      <w:start w:val="1"/>
      <w:numFmt w:val="decimal"/>
      <w:pStyle w:val="Number12"/>
      <w:lvlText w:val="12.%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C4279B6"/>
    <w:multiLevelType w:val="hybridMultilevel"/>
    <w:tmpl w:val="E83E5AA0"/>
    <w:lvl w:ilvl="0" w:tplc="73C26FB4">
      <w:start w:val="1"/>
      <w:numFmt w:val="decimal"/>
      <w:pStyle w:val="Number1"/>
      <w:lvlText w:val="1.%1"/>
      <w:lvlJc w:val="left"/>
      <w:pPr>
        <w:tabs>
          <w:tab w:val="num" w:pos="2051"/>
        </w:tabs>
        <w:ind w:left="2051" w:hanging="774"/>
      </w:pPr>
      <w:rPr>
        <w:rFonts w:ascii="Arial" w:hAnsi="Arial" w:hint="default"/>
        <w:b/>
        <w:i w:val="0"/>
        <w:color w:val="007161"/>
      </w:rPr>
    </w:lvl>
    <w:lvl w:ilvl="1" w:tplc="45AC2876">
      <w:start w:val="1"/>
      <w:numFmt w:val="bullet"/>
      <w:pStyle w:val="22-BulletText"/>
      <w:lvlText w:val=""/>
      <w:lvlJc w:val="left"/>
      <w:pPr>
        <w:tabs>
          <w:tab w:val="num" w:pos="1363"/>
        </w:tabs>
        <w:ind w:left="1363" w:hanging="283"/>
      </w:pPr>
      <w:rPr>
        <w:rFonts w:ascii="Symbol" w:hAnsi="Symbol" w:hint="default"/>
        <w:b/>
        <w:i w:val="0"/>
        <w:color w:val="007161"/>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E04598C"/>
    <w:multiLevelType w:val="multilevel"/>
    <w:tmpl w:val="AFB06BA4"/>
    <w:lvl w:ilvl="0">
      <w:start w:val="1"/>
      <w:numFmt w:val="decimal"/>
      <w:lvlText w:val="%1"/>
      <w:lvlJc w:val="left"/>
      <w:pPr>
        <w:ind w:left="540" w:hanging="540"/>
      </w:pPr>
      <w:rPr>
        <w:rFonts w:hint="default"/>
        <w:color w:val="FFFFFF" w:themeColor="background1"/>
      </w:rPr>
    </w:lvl>
    <w:lvl w:ilvl="1">
      <w:start w:val="1"/>
      <w:numFmt w:val="decimal"/>
      <w:lvlText w:val="%1.%2"/>
      <w:lvlJc w:val="left"/>
      <w:pPr>
        <w:ind w:left="143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415F26B4"/>
    <w:multiLevelType w:val="multilevel"/>
    <w:tmpl w:val="0832CA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38F016A"/>
    <w:multiLevelType w:val="hybridMultilevel"/>
    <w:tmpl w:val="A17A2F1C"/>
    <w:lvl w:ilvl="0" w:tplc="AED818A4">
      <w:start w:val="1"/>
      <w:numFmt w:val="decimal"/>
      <w:pStyle w:val="Number3"/>
      <w:lvlText w:val="3.%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4BA6067"/>
    <w:multiLevelType w:val="hybridMultilevel"/>
    <w:tmpl w:val="26F4B3D8"/>
    <w:lvl w:ilvl="0" w:tplc="6C2E96D0">
      <w:start w:val="1"/>
      <w:numFmt w:val="decimal"/>
      <w:pStyle w:val="AnnexE"/>
      <w:lvlText w:val="E.%1"/>
      <w:lvlJc w:val="left"/>
      <w:pPr>
        <w:tabs>
          <w:tab w:val="num" w:pos="774"/>
        </w:tabs>
        <w:ind w:left="774"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5F75220"/>
    <w:multiLevelType w:val="hybridMultilevel"/>
    <w:tmpl w:val="EA30F858"/>
    <w:lvl w:ilvl="0" w:tplc="73A055C6">
      <w:start w:val="1"/>
      <w:numFmt w:val="decimal"/>
      <w:pStyle w:val="AnnexI"/>
      <w:lvlText w:val="I.%1"/>
      <w:lvlJc w:val="left"/>
      <w:pPr>
        <w:tabs>
          <w:tab w:val="num" w:pos="774"/>
        </w:tabs>
        <w:ind w:left="774"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9E819A0"/>
    <w:multiLevelType w:val="hybridMultilevel"/>
    <w:tmpl w:val="AD286F18"/>
    <w:lvl w:ilvl="0" w:tplc="8388717E">
      <w:start w:val="1"/>
      <w:numFmt w:val="decimal"/>
      <w:pStyle w:val="Number13"/>
      <w:lvlText w:val="13.%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1F61F79"/>
    <w:multiLevelType w:val="multilevel"/>
    <w:tmpl w:val="33FCA086"/>
    <w:lvl w:ilvl="0">
      <w:start w:val="1"/>
      <w:numFmt w:val="decimal"/>
      <w:pStyle w:val="22-BodyText-Numbers"/>
      <w:lvlText w:val="%1"/>
      <w:lvlJc w:val="left"/>
      <w:pPr>
        <w:tabs>
          <w:tab w:val="num" w:pos="1021"/>
        </w:tabs>
        <w:ind w:left="1021" w:hanging="341"/>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31" w15:restartNumberingAfterBreak="0">
    <w:nsid w:val="54285D06"/>
    <w:multiLevelType w:val="hybridMultilevel"/>
    <w:tmpl w:val="B9FC6994"/>
    <w:lvl w:ilvl="0" w:tplc="BF4C6C62">
      <w:start w:val="1"/>
      <w:numFmt w:val="decimal"/>
      <w:pStyle w:val="Number15"/>
      <w:lvlText w:val="15.%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4812CAC"/>
    <w:multiLevelType w:val="multilevel"/>
    <w:tmpl w:val="0809001F"/>
    <w:name w:val="followeHeadOne2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8A75774"/>
    <w:multiLevelType w:val="hybridMultilevel"/>
    <w:tmpl w:val="75108B36"/>
    <w:lvl w:ilvl="0" w:tplc="08090017">
      <w:start w:val="1"/>
      <w:numFmt w:val="lowerLetter"/>
      <w:lvlText w:val="%1)"/>
      <w:lvlJc w:val="left"/>
      <w:pPr>
        <w:ind w:left="1724" w:hanging="360"/>
      </w:pPr>
      <w:rPr>
        <w:rFonts w:hint="default"/>
      </w:r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34" w15:restartNumberingAfterBreak="0">
    <w:nsid w:val="5C347D4E"/>
    <w:multiLevelType w:val="hybridMultilevel"/>
    <w:tmpl w:val="6BD6526C"/>
    <w:lvl w:ilvl="0" w:tplc="9222CE78">
      <w:start w:val="1"/>
      <w:numFmt w:val="decimal"/>
      <w:pStyle w:val="Number16"/>
      <w:lvlText w:val="16.%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E036FDC"/>
    <w:multiLevelType w:val="hybridMultilevel"/>
    <w:tmpl w:val="7B38B610"/>
    <w:lvl w:ilvl="0" w:tplc="151C29C2">
      <w:start w:val="1"/>
      <w:numFmt w:val="decimal"/>
      <w:pStyle w:val="Number6"/>
      <w:lvlText w:val="6.%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2907878"/>
    <w:multiLevelType w:val="hybridMultilevel"/>
    <w:tmpl w:val="BC825078"/>
    <w:lvl w:ilvl="0" w:tplc="7BCEEB52">
      <w:start w:val="1"/>
      <w:numFmt w:val="decimal"/>
      <w:pStyle w:val="Number11"/>
      <w:lvlText w:val="11.%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7C132DF"/>
    <w:multiLevelType w:val="hybridMultilevel"/>
    <w:tmpl w:val="9D068F12"/>
    <w:lvl w:ilvl="0" w:tplc="A2E6FBC0">
      <w:start w:val="1"/>
      <w:numFmt w:val="decimal"/>
      <w:pStyle w:val="AnnexJ"/>
      <w:lvlText w:val="J.%1"/>
      <w:lvlJc w:val="left"/>
      <w:pPr>
        <w:tabs>
          <w:tab w:val="num" w:pos="774"/>
        </w:tabs>
        <w:ind w:left="774"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9F82BEB"/>
    <w:multiLevelType w:val="multilevel"/>
    <w:tmpl w:val="2328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F11E71"/>
    <w:multiLevelType w:val="multilevel"/>
    <w:tmpl w:val="4830EEE4"/>
    <w:styleLink w:val="ArticleSection"/>
    <w:lvl w:ilvl="0">
      <w:start w:val="1"/>
      <w:numFmt w:val="decimal"/>
      <w:lvlText w:val="Table %1."/>
      <w:lvlJc w:val="left"/>
      <w:pPr>
        <w:tabs>
          <w:tab w:val="num" w:pos="1440"/>
        </w:tabs>
        <w:ind w:left="0" w:firstLine="0"/>
      </w:pPr>
      <w:rPr>
        <w:rFonts w:ascii="Arial" w:hAnsi="Arial" w:hint="default"/>
        <w:sz w:val="20"/>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0" w15:restartNumberingAfterBreak="0">
    <w:nsid w:val="71342E39"/>
    <w:multiLevelType w:val="hybridMultilevel"/>
    <w:tmpl w:val="CDF47DAE"/>
    <w:lvl w:ilvl="0" w:tplc="DAA43FF0">
      <w:start w:val="1"/>
      <w:numFmt w:val="decimal"/>
      <w:pStyle w:val="Number8"/>
      <w:lvlText w:val="8.%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1A22ECB"/>
    <w:multiLevelType w:val="hybridMultilevel"/>
    <w:tmpl w:val="9CB8B3B6"/>
    <w:lvl w:ilvl="0" w:tplc="0B8C5DFC">
      <w:start w:val="1"/>
      <w:numFmt w:val="decimal"/>
      <w:pStyle w:val="ListNumber2"/>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3EC686F"/>
    <w:multiLevelType w:val="hybridMultilevel"/>
    <w:tmpl w:val="F37A33AE"/>
    <w:lvl w:ilvl="0" w:tplc="784C5A9E">
      <w:start w:val="1"/>
      <w:numFmt w:val="decimal"/>
      <w:pStyle w:val="MainTextNumbered"/>
      <w:lvlText w:val="%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5354650"/>
    <w:multiLevelType w:val="hybridMultilevel"/>
    <w:tmpl w:val="2F9CCE98"/>
    <w:lvl w:ilvl="0" w:tplc="CF58ECE8">
      <w:start w:val="1"/>
      <w:numFmt w:val="decimal"/>
      <w:pStyle w:val="AnnexB"/>
      <w:lvlText w:val="B.%1"/>
      <w:lvlJc w:val="left"/>
      <w:pPr>
        <w:tabs>
          <w:tab w:val="num" w:pos="774"/>
        </w:tabs>
        <w:ind w:left="774"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6127201"/>
    <w:multiLevelType w:val="multilevel"/>
    <w:tmpl w:val="0809001F"/>
    <w:name w:val="followeHeadOne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76DB0AE3"/>
    <w:multiLevelType w:val="hybridMultilevel"/>
    <w:tmpl w:val="6630D8AE"/>
    <w:lvl w:ilvl="0" w:tplc="3CDAC678">
      <w:start w:val="1"/>
      <w:numFmt w:val="bullet"/>
      <w:pStyle w:val="22-EnIndent"/>
      <w:lvlText w:val="-"/>
      <w:lvlJc w:val="left"/>
      <w:pPr>
        <w:tabs>
          <w:tab w:val="num" w:pos="1134"/>
        </w:tabs>
        <w:ind w:left="1134" w:hanging="414"/>
      </w:pPr>
      <w:rPr>
        <w:rFonts w:ascii="Arial" w:hAnsi="Arial" w:hint="default"/>
        <w:color w:val="808080"/>
        <w:sz w:val="24"/>
        <w:szCs w:val="24"/>
      </w:rPr>
    </w:lvl>
    <w:lvl w:ilvl="1" w:tplc="08090019">
      <w:start w:val="1"/>
      <w:numFmt w:val="bullet"/>
      <w:lvlText w:val="-"/>
      <w:lvlJc w:val="left"/>
      <w:pPr>
        <w:tabs>
          <w:tab w:val="num" w:pos="1440"/>
        </w:tabs>
        <w:ind w:left="1440" w:hanging="360"/>
      </w:pPr>
      <w:rPr>
        <w:rFonts w:ascii="Arial" w:hAnsi="Arial" w:hint="default"/>
        <w:color w:val="808080"/>
        <w:sz w:val="24"/>
        <w:szCs w:val="24"/>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6" w15:restartNumberingAfterBreak="0">
    <w:nsid w:val="76FD294C"/>
    <w:multiLevelType w:val="hybridMultilevel"/>
    <w:tmpl w:val="461AA95E"/>
    <w:lvl w:ilvl="0" w:tplc="248A3096">
      <w:start w:val="1"/>
      <w:numFmt w:val="decimal"/>
      <w:pStyle w:val="AnnexF"/>
      <w:lvlText w:val="F.%1"/>
      <w:lvlJc w:val="left"/>
      <w:pPr>
        <w:tabs>
          <w:tab w:val="num" w:pos="774"/>
        </w:tabs>
        <w:ind w:left="774"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8AB7DCB"/>
    <w:multiLevelType w:val="hybridMultilevel"/>
    <w:tmpl w:val="35D8F224"/>
    <w:lvl w:ilvl="0" w:tplc="00BCAE9C">
      <w:start w:val="1"/>
      <w:numFmt w:val="decimal"/>
      <w:pStyle w:val="Number9"/>
      <w:lvlText w:val="9.%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172DEA"/>
    <w:multiLevelType w:val="hybridMultilevel"/>
    <w:tmpl w:val="1E24C506"/>
    <w:lvl w:ilvl="0" w:tplc="263C3968">
      <w:start w:val="1"/>
      <w:numFmt w:val="decimal"/>
      <w:pStyle w:val="Number7"/>
      <w:lvlText w:val="7.%1"/>
      <w:lvlJc w:val="left"/>
      <w:pPr>
        <w:tabs>
          <w:tab w:val="num" w:pos="1131"/>
        </w:tabs>
        <w:ind w:left="1131" w:hanging="774"/>
      </w:pPr>
      <w:rPr>
        <w:rFonts w:ascii="Arial" w:hAnsi="Arial" w:hint="default"/>
        <w:b/>
        <w:i w:val="0"/>
        <w:color w:val="0071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9905F83"/>
    <w:multiLevelType w:val="multilevel"/>
    <w:tmpl w:val="DEA063C2"/>
    <w:name w:val="HeadOne"/>
    <w:lvl w:ilvl="0">
      <w:start w:val="1"/>
      <w:numFmt w:val="decimal"/>
      <w:pStyle w:val="Heading1"/>
      <w:lvlText w:val="%1."/>
      <w:lvlJc w:val="left"/>
      <w:pPr>
        <w:tabs>
          <w:tab w:val="num" w:pos="1134"/>
        </w:tabs>
        <w:ind w:left="1134" w:hanging="774"/>
      </w:pPr>
      <w:rPr>
        <w:rFonts w:hint="default"/>
      </w:rPr>
    </w:lvl>
    <w:lvl w:ilvl="1">
      <w:start w:val="1"/>
      <w:numFmt w:val="decimal"/>
      <w:lvlText w:val="%1.%2"/>
      <w:lvlJc w:val="left"/>
      <w:pPr>
        <w:tabs>
          <w:tab w:val="num" w:pos="1380"/>
        </w:tabs>
        <w:ind w:left="1380" w:hanging="1020"/>
      </w:pPr>
      <w:rPr>
        <w:rFonts w:hint="default"/>
      </w:rPr>
    </w:lvl>
    <w:lvl w:ilvl="2">
      <w:start w:val="1"/>
      <w:numFmt w:val="none"/>
      <w:lvlText w:val="."/>
      <w:lvlJc w:val="left"/>
      <w:pPr>
        <w:tabs>
          <w:tab w:val="num" w:pos="1380"/>
        </w:tabs>
        <w:ind w:left="1380" w:hanging="1020"/>
      </w:pPr>
      <w:rPr>
        <w:rFonts w:hint="default"/>
      </w:rPr>
    </w:lvl>
    <w:lvl w:ilvl="3">
      <w:start w:val="1"/>
      <w:numFmt w:val="decimal"/>
      <w:lvlText w:val="%1.%2.%3.%4"/>
      <w:lvlJc w:val="left"/>
      <w:pPr>
        <w:tabs>
          <w:tab w:val="num" w:pos="1380"/>
        </w:tabs>
        <w:ind w:left="1380" w:hanging="10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50" w15:restartNumberingAfterBreak="0">
    <w:nsid w:val="7B2C20C4"/>
    <w:multiLevelType w:val="multilevel"/>
    <w:tmpl w:val="8932C858"/>
    <w:name w:val="tester22"/>
    <w:lvl w:ilvl="0">
      <w:start w:val="1"/>
      <w:numFmt w:val="decimal"/>
      <w:lvlText w:val="%1."/>
      <w:lvlJc w:val="left"/>
      <w:pPr>
        <w:tabs>
          <w:tab w:val="num" w:pos="1303"/>
        </w:tabs>
        <w:ind w:left="1303" w:hanging="1020"/>
      </w:pPr>
      <w:rPr>
        <w:rFonts w:hint="default"/>
      </w:rPr>
    </w:lvl>
    <w:lvl w:ilvl="1">
      <w:start w:val="1"/>
      <w:numFmt w:val="decimal"/>
      <w:lvlText w:val="%1.%2"/>
      <w:lvlJc w:val="left"/>
      <w:pPr>
        <w:tabs>
          <w:tab w:val="num" w:pos="1303"/>
        </w:tabs>
        <w:ind w:left="1303" w:hanging="1020"/>
      </w:pPr>
      <w:rPr>
        <w:rFonts w:hint="default"/>
      </w:rPr>
    </w:lvl>
    <w:lvl w:ilvl="2">
      <w:start w:val="1"/>
      <w:numFmt w:val="decimal"/>
      <w:lvlText w:val="%3."/>
      <w:lvlJc w:val="left"/>
      <w:pPr>
        <w:tabs>
          <w:tab w:val="num" w:pos="1303"/>
        </w:tabs>
        <w:ind w:left="1303" w:hanging="1020"/>
      </w:pPr>
      <w:rPr>
        <w:rFonts w:hint="default"/>
      </w:rPr>
    </w:lvl>
    <w:lvl w:ilvl="3">
      <w:start w:val="1"/>
      <w:numFmt w:val="decimal"/>
      <w:lvlText w:val="%1.%2.%3.%4"/>
      <w:lvlJc w:val="left"/>
      <w:pPr>
        <w:tabs>
          <w:tab w:val="num" w:pos="1303"/>
        </w:tabs>
        <w:ind w:left="1303" w:hanging="1020"/>
      </w:pPr>
      <w:rPr>
        <w:rFonts w:hint="default"/>
      </w:rPr>
    </w:lvl>
    <w:lvl w:ilvl="4">
      <w:start w:val="1"/>
      <w:numFmt w:val="decimal"/>
      <w:lvlText w:val="%1.%2.%3.%4.%5"/>
      <w:lvlJc w:val="left"/>
      <w:pPr>
        <w:tabs>
          <w:tab w:val="num" w:pos="1363"/>
        </w:tabs>
        <w:ind w:left="1363" w:hanging="1080"/>
      </w:pPr>
      <w:rPr>
        <w:rFonts w:hint="default"/>
      </w:rPr>
    </w:lvl>
    <w:lvl w:ilvl="5">
      <w:start w:val="1"/>
      <w:numFmt w:val="decimal"/>
      <w:lvlText w:val="%1.%2.%3.%4.%5.%6"/>
      <w:lvlJc w:val="left"/>
      <w:pPr>
        <w:tabs>
          <w:tab w:val="num" w:pos="1363"/>
        </w:tabs>
        <w:ind w:left="1363" w:hanging="1080"/>
      </w:pPr>
      <w:rPr>
        <w:rFonts w:hint="default"/>
      </w:rPr>
    </w:lvl>
    <w:lvl w:ilvl="6">
      <w:start w:val="1"/>
      <w:numFmt w:val="decimal"/>
      <w:lvlText w:val="%1.%2.%3.%4.%5.%6.%7"/>
      <w:lvlJc w:val="left"/>
      <w:pPr>
        <w:tabs>
          <w:tab w:val="num" w:pos="1723"/>
        </w:tabs>
        <w:ind w:left="1723" w:hanging="1440"/>
      </w:pPr>
      <w:rPr>
        <w:rFonts w:hint="default"/>
      </w:rPr>
    </w:lvl>
    <w:lvl w:ilvl="7">
      <w:start w:val="1"/>
      <w:numFmt w:val="decimal"/>
      <w:lvlRestart w:val="1"/>
      <w:lvlText w:val="%1%2%8.."/>
      <w:lvlJc w:val="left"/>
      <w:pPr>
        <w:tabs>
          <w:tab w:val="num" w:pos="1723"/>
        </w:tabs>
        <w:ind w:left="1723" w:hanging="1440"/>
      </w:pPr>
      <w:rPr>
        <w:rFonts w:hint="default"/>
      </w:rPr>
    </w:lvl>
    <w:lvl w:ilvl="8">
      <w:start w:val="1"/>
      <w:numFmt w:val="decimal"/>
      <w:lvlText w:val="%1.%2.%3.%4.%5.%6.%7.%8.%9"/>
      <w:lvlJc w:val="left"/>
      <w:pPr>
        <w:tabs>
          <w:tab w:val="num" w:pos="2083"/>
        </w:tabs>
        <w:ind w:left="2083" w:hanging="1800"/>
      </w:pPr>
      <w:rPr>
        <w:rFonts w:hint="default"/>
      </w:rPr>
    </w:lvl>
  </w:abstractNum>
  <w:abstractNum w:abstractNumId="51" w15:restartNumberingAfterBreak="0">
    <w:nsid w:val="7D962EDB"/>
    <w:multiLevelType w:val="hybridMultilevel"/>
    <w:tmpl w:val="95B0EC38"/>
    <w:lvl w:ilvl="0" w:tplc="A5624AD0">
      <w:start w:val="1"/>
      <w:numFmt w:val="decimal"/>
      <w:pStyle w:val="AnnexG"/>
      <w:lvlText w:val="G.%1"/>
      <w:lvlJc w:val="left"/>
      <w:pPr>
        <w:tabs>
          <w:tab w:val="num" w:pos="774"/>
        </w:tabs>
        <w:ind w:left="774"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15:restartNumberingAfterBreak="0">
    <w:nsid w:val="7E054837"/>
    <w:multiLevelType w:val="multilevel"/>
    <w:tmpl w:val="2E305500"/>
    <w:name w:val="followeHeadOne2"/>
    <w:numStyleLink w:val="CurrentList1"/>
  </w:abstractNum>
  <w:abstractNum w:abstractNumId="53" w15:restartNumberingAfterBreak="0">
    <w:nsid w:val="7E72401E"/>
    <w:multiLevelType w:val="multilevel"/>
    <w:tmpl w:val="08090023"/>
    <w:name w:val="followeHeadOne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45"/>
  </w:num>
  <w:num w:numId="2">
    <w:abstractNumId w:val="10"/>
  </w:num>
  <w:num w:numId="3">
    <w:abstractNumId w:val="30"/>
  </w:num>
  <w:num w:numId="4">
    <w:abstractNumId w:val="21"/>
  </w:num>
  <w:num w:numId="5">
    <w:abstractNumId w:val="49"/>
  </w:num>
  <w:num w:numId="6">
    <w:abstractNumId w:val="4"/>
  </w:num>
  <w:num w:numId="7">
    <w:abstractNumId w:val="3"/>
  </w:num>
  <w:num w:numId="8">
    <w:abstractNumId w:val="2"/>
  </w:num>
  <w:num w:numId="9">
    <w:abstractNumId w:val="1"/>
  </w:num>
  <w:num w:numId="10">
    <w:abstractNumId w:val="0"/>
  </w:num>
  <w:num w:numId="11">
    <w:abstractNumId w:val="41"/>
  </w:num>
  <w:num w:numId="12">
    <w:abstractNumId w:val="22"/>
  </w:num>
  <w:num w:numId="13">
    <w:abstractNumId w:val="26"/>
  </w:num>
  <w:num w:numId="14">
    <w:abstractNumId w:val="20"/>
  </w:num>
  <w:num w:numId="15">
    <w:abstractNumId w:val="11"/>
  </w:num>
  <w:num w:numId="16">
    <w:abstractNumId w:val="35"/>
  </w:num>
  <w:num w:numId="17">
    <w:abstractNumId w:val="48"/>
  </w:num>
  <w:num w:numId="18">
    <w:abstractNumId w:val="40"/>
  </w:num>
  <w:num w:numId="19">
    <w:abstractNumId w:val="47"/>
  </w:num>
  <w:num w:numId="20">
    <w:abstractNumId w:val="16"/>
  </w:num>
  <w:num w:numId="21">
    <w:abstractNumId w:val="36"/>
  </w:num>
  <w:num w:numId="22">
    <w:abstractNumId w:val="29"/>
  </w:num>
  <w:num w:numId="23">
    <w:abstractNumId w:val="8"/>
  </w:num>
  <w:num w:numId="24">
    <w:abstractNumId w:val="31"/>
  </w:num>
  <w:num w:numId="25">
    <w:abstractNumId w:val="34"/>
  </w:num>
  <w:num w:numId="26">
    <w:abstractNumId w:val="18"/>
  </w:num>
  <w:num w:numId="27">
    <w:abstractNumId w:val="39"/>
  </w:num>
  <w:num w:numId="28">
    <w:abstractNumId w:val="6"/>
  </w:num>
  <w:num w:numId="29">
    <w:abstractNumId w:val="42"/>
  </w:num>
  <w:num w:numId="30">
    <w:abstractNumId w:val="9"/>
  </w:num>
  <w:num w:numId="31">
    <w:abstractNumId w:val="23"/>
  </w:num>
  <w:num w:numId="32">
    <w:abstractNumId w:val="13"/>
  </w:num>
  <w:num w:numId="33">
    <w:abstractNumId w:val="43"/>
  </w:num>
  <w:num w:numId="34">
    <w:abstractNumId w:val="19"/>
  </w:num>
  <w:num w:numId="35">
    <w:abstractNumId w:val="17"/>
  </w:num>
  <w:num w:numId="36">
    <w:abstractNumId w:val="27"/>
  </w:num>
  <w:num w:numId="37">
    <w:abstractNumId w:val="46"/>
  </w:num>
  <w:num w:numId="38">
    <w:abstractNumId w:val="51"/>
  </w:num>
  <w:num w:numId="39">
    <w:abstractNumId w:val="15"/>
  </w:num>
  <w:num w:numId="40">
    <w:abstractNumId w:val="28"/>
  </w:num>
  <w:num w:numId="41">
    <w:abstractNumId w:val="37"/>
  </w:num>
  <w:num w:numId="42">
    <w:abstractNumId w:val="12"/>
  </w:num>
  <w:num w:numId="43">
    <w:abstractNumId w:val="25"/>
  </w:num>
  <w:num w:numId="44">
    <w:abstractNumId w:val="14"/>
  </w:num>
  <w:num w:numId="45">
    <w:abstractNumId w:val="38"/>
  </w:num>
  <w:num w:numId="46">
    <w:abstractNumId w:val="5"/>
  </w:num>
  <w:num w:numId="47">
    <w:abstractNumId w:val="24"/>
  </w:num>
  <w:num w:numId="48">
    <w:abstractNumId w:val="33"/>
  </w:num>
  <w:num w:numId="49">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4tUQzTtKTSbLxaP89SNsTpCyUJr9iLzeIizTniTHrzupG2BvtyW8TzK4FfFP27HLKJpXyopCPY/Upld4LfNF/A==" w:salt="AIKriwlTjHPhwJOptKmfFQ=="/>
  <w:defaultTabStop w:val="720"/>
  <w:doNotHyphenateCaps/>
  <w:evenAndOddHeaders/>
  <w:characterSpacingControl w:val="doNotCompress"/>
  <w:doNotValidateAgainstSchema/>
  <w:doNotDemarcateInvalidXml/>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CE"/>
    <w:rsid w:val="000037C0"/>
    <w:rsid w:val="00007A21"/>
    <w:rsid w:val="000114BF"/>
    <w:rsid w:val="00015549"/>
    <w:rsid w:val="00015ED0"/>
    <w:rsid w:val="00016614"/>
    <w:rsid w:val="00017FB9"/>
    <w:rsid w:val="00022204"/>
    <w:rsid w:val="000233AD"/>
    <w:rsid w:val="00023D2F"/>
    <w:rsid w:val="000247B0"/>
    <w:rsid w:val="00025A14"/>
    <w:rsid w:val="00031352"/>
    <w:rsid w:val="00033FD3"/>
    <w:rsid w:val="000354FE"/>
    <w:rsid w:val="00035B5E"/>
    <w:rsid w:val="000374A7"/>
    <w:rsid w:val="00037EF1"/>
    <w:rsid w:val="00040A7C"/>
    <w:rsid w:val="0004213D"/>
    <w:rsid w:val="0004216D"/>
    <w:rsid w:val="0004697E"/>
    <w:rsid w:val="00054804"/>
    <w:rsid w:val="00055795"/>
    <w:rsid w:val="00057951"/>
    <w:rsid w:val="00060C2C"/>
    <w:rsid w:val="0006125A"/>
    <w:rsid w:val="00061764"/>
    <w:rsid w:val="00062EAF"/>
    <w:rsid w:val="00063271"/>
    <w:rsid w:val="0006568B"/>
    <w:rsid w:val="000665D8"/>
    <w:rsid w:val="0006721E"/>
    <w:rsid w:val="00067D1C"/>
    <w:rsid w:val="000726D9"/>
    <w:rsid w:val="00076077"/>
    <w:rsid w:val="000768B6"/>
    <w:rsid w:val="00077EFF"/>
    <w:rsid w:val="00080A7C"/>
    <w:rsid w:val="000820ED"/>
    <w:rsid w:val="00087A29"/>
    <w:rsid w:val="00091320"/>
    <w:rsid w:val="000A1947"/>
    <w:rsid w:val="000A388B"/>
    <w:rsid w:val="000A7228"/>
    <w:rsid w:val="000A7F7D"/>
    <w:rsid w:val="000B132D"/>
    <w:rsid w:val="000B38F2"/>
    <w:rsid w:val="000C2172"/>
    <w:rsid w:val="000C41D2"/>
    <w:rsid w:val="000C5950"/>
    <w:rsid w:val="000D3CAC"/>
    <w:rsid w:val="000D627C"/>
    <w:rsid w:val="000D63D4"/>
    <w:rsid w:val="000D74C7"/>
    <w:rsid w:val="000D764F"/>
    <w:rsid w:val="000E1251"/>
    <w:rsid w:val="000E1E83"/>
    <w:rsid w:val="000E2546"/>
    <w:rsid w:val="000E2C16"/>
    <w:rsid w:val="000E4E9A"/>
    <w:rsid w:val="000F00A8"/>
    <w:rsid w:val="000F2269"/>
    <w:rsid w:val="001014AF"/>
    <w:rsid w:val="0010218B"/>
    <w:rsid w:val="00103658"/>
    <w:rsid w:val="00104CD0"/>
    <w:rsid w:val="001114ED"/>
    <w:rsid w:val="00111F7B"/>
    <w:rsid w:val="001124A9"/>
    <w:rsid w:val="00113DE3"/>
    <w:rsid w:val="00115647"/>
    <w:rsid w:val="001212A4"/>
    <w:rsid w:val="0012137B"/>
    <w:rsid w:val="00121E3F"/>
    <w:rsid w:val="001239B4"/>
    <w:rsid w:val="00124071"/>
    <w:rsid w:val="00125A4F"/>
    <w:rsid w:val="00125BBE"/>
    <w:rsid w:val="00126810"/>
    <w:rsid w:val="00127434"/>
    <w:rsid w:val="001300F7"/>
    <w:rsid w:val="00131221"/>
    <w:rsid w:val="00133EFD"/>
    <w:rsid w:val="00134F6C"/>
    <w:rsid w:val="00135A16"/>
    <w:rsid w:val="00137482"/>
    <w:rsid w:val="001377F8"/>
    <w:rsid w:val="00140048"/>
    <w:rsid w:val="00143D6D"/>
    <w:rsid w:val="00153C0C"/>
    <w:rsid w:val="00153D93"/>
    <w:rsid w:val="0016134B"/>
    <w:rsid w:val="00165C8D"/>
    <w:rsid w:val="0016611F"/>
    <w:rsid w:val="001661B5"/>
    <w:rsid w:val="001664DB"/>
    <w:rsid w:val="00167F98"/>
    <w:rsid w:val="00170C1B"/>
    <w:rsid w:val="00172AE5"/>
    <w:rsid w:val="00177EC7"/>
    <w:rsid w:val="00181F23"/>
    <w:rsid w:val="00182CC2"/>
    <w:rsid w:val="00182D14"/>
    <w:rsid w:val="00183B79"/>
    <w:rsid w:val="00184A93"/>
    <w:rsid w:val="00190EEC"/>
    <w:rsid w:val="00193872"/>
    <w:rsid w:val="001956D7"/>
    <w:rsid w:val="00196BA6"/>
    <w:rsid w:val="001A270D"/>
    <w:rsid w:val="001A2C6B"/>
    <w:rsid w:val="001A3F76"/>
    <w:rsid w:val="001B18F9"/>
    <w:rsid w:val="001B2A0D"/>
    <w:rsid w:val="001B34DB"/>
    <w:rsid w:val="001B4305"/>
    <w:rsid w:val="001B670E"/>
    <w:rsid w:val="001C02CE"/>
    <w:rsid w:val="001C3BC5"/>
    <w:rsid w:val="001C3CBE"/>
    <w:rsid w:val="001C3D2C"/>
    <w:rsid w:val="001C4661"/>
    <w:rsid w:val="001C5A64"/>
    <w:rsid w:val="001C66F8"/>
    <w:rsid w:val="001D377D"/>
    <w:rsid w:val="001D6B43"/>
    <w:rsid w:val="001D70C1"/>
    <w:rsid w:val="001D7E28"/>
    <w:rsid w:val="001E0742"/>
    <w:rsid w:val="001E1155"/>
    <w:rsid w:val="001E2EBC"/>
    <w:rsid w:val="001E41D3"/>
    <w:rsid w:val="001E53AB"/>
    <w:rsid w:val="001E5401"/>
    <w:rsid w:val="001E54FB"/>
    <w:rsid w:val="001E7568"/>
    <w:rsid w:val="001E7EE0"/>
    <w:rsid w:val="00200A65"/>
    <w:rsid w:val="00201FC7"/>
    <w:rsid w:val="00206E95"/>
    <w:rsid w:val="00210CEF"/>
    <w:rsid w:val="00216116"/>
    <w:rsid w:val="00220887"/>
    <w:rsid w:val="00221011"/>
    <w:rsid w:val="0022243D"/>
    <w:rsid w:val="00222C90"/>
    <w:rsid w:val="00223AF2"/>
    <w:rsid w:val="0022414F"/>
    <w:rsid w:val="00226BEF"/>
    <w:rsid w:val="00227E4E"/>
    <w:rsid w:val="00230B3B"/>
    <w:rsid w:val="00230D8E"/>
    <w:rsid w:val="00233325"/>
    <w:rsid w:val="00233A69"/>
    <w:rsid w:val="00235CBE"/>
    <w:rsid w:val="00244F33"/>
    <w:rsid w:val="00246EB1"/>
    <w:rsid w:val="002514D5"/>
    <w:rsid w:val="00255749"/>
    <w:rsid w:val="00255E38"/>
    <w:rsid w:val="002561C8"/>
    <w:rsid w:val="00257D15"/>
    <w:rsid w:val="002607D8"/>
    <w:rsid w:val="00261F70"/>
    <w:rsid w:val="00263B38"/>
    <w:rsid w:val="00265FAE"/>
    <w:rsid w:val="0026682B"/>
    <w:rsid w:val="00270E1A"/>
    <w:rsid w:val="00272FBD"/>
    <w:rsid w:val="0027682D"/>
    <w:rsid w:val="00277741"/>
    <w:rsid w:val="00277BAC"/>
    <w:rsid w:val="0028304E"/>
    <w:rsid w:val="00283619"/>
    <w:rsid w:val="0028492B"/>
    <w:rsid w:val="00286CCE"/>
    <w:rsid w:val="002902A0"/>
    <w:rsid w:val="002915A1"/>
    <w:rsid w:val="00291FF6"/>
    <w:rsid w:val="00292155"/>
    <w:rsid w:val="00292320"/>
    <w:rsid w:val="00295651"/>
    <w:rsid w:val="002A15D3"/>
    <w:rsid w:val="002A4032"/>
    <w:rsid w:val="002A515B"/>
    <w:rsid w:val="002B745B"/>
    <w:rsid w:val="002C0887"/>
    <w:rsid w:val="002C1674"/>
    <w:rsid w:val="002C2D05"/>
    <w:rsid w:val="002C2E3E"/>
    <w:rsid w:val="002C76CE"/>
    <w:rsid w:val="002C7E63"/>
    <w:rsid w:val="002D2FFD"/>
    <w:rsid w:val="002D39E9"/>
    <w:rsid w:val="002D5A7C"/>
    <w:rsid w:val="002E1417"/>
    <w:rsid w:val="002E1B9B"/>
    <w:rsid w:val="002E2F71"/>
    <w:rsid w:val="002E38FA"/>
    <w:rsid w:val="002E703B"/>
    <w:rsid w:val="002E7246"/>
    <w:rsid w:val="002F16A1"/>
    <w:rsid w:val="002F212F"/>
    <w:rsid w:val="002F6A7B"/>
    <w:rsid w:val="00302071"/>
    <w:rsid w:val="003026E4"/>
    <w:rsid w:val="00302A93"/>
    <w:rsid w:val="00302D38"/>
    <w:rsid w:val="003033A2"/>
    <w:rsid w:val="0031183B"/>
    <w:rsid w:val="003162A7"/>
    <w:rsid w:val="00317265"/>
    <w:rsid w:val="00323851"/>
    <w:rsid w:val="00323D41"/>
    <w:rsid w:val="00326AB9"/>
    <w:rsid w:val="00326B82"/>
    <w:rsid w:val="00326E4C"/>
    <w:rsid w:val="0033080C"/>
    <w:rsid w:val="00330A66"/>
    <w:rsid w:val="00334553"/>
    <w:rsid w:val="003345CF"/>
    <w:rsid w:val="00336BB2"/>
    <w:rsid w:val="00342F07"/>
    <w:rsid w:val="0034354E"/>
    <w:rsid w:val="00345922"/>
    <w:rsid w:val="00350234"/>
    <w:rsid w:val="0035060A"/>
    <w:rsid w:val="00350C39"/>
    <w:rsid w:val="0035232A"/>
    <w:rsid w:val="00353E64"/>
    <w:rsid w:val="00354717"/>
    <w:rsid w:val="00355B54"/>
    <w:rsid w:val="003560F3"/>
    <w:rsid w:val="00357FEB"/>
    <w:rsid w:val="00362275"/>
    <w:rsid w:val="00362A2D"/>
    <w:rsid w:val="0036336E"/>
    <w:rsid w:val="00363B17"/>
    <w:rsid w:val="00364998"/>
    <w:rsid w:val="00366263"/>
    <w:rsid w:val="00366E14"/>
    <w:rsid w:val="0036727E"/>
    <w:rsid w:val="003709DB"/>
    <w:rsid w:val="0037332F"/>
    <w:rsid w:val="00374002"/>
    <w:rsid w:val="00375C9E"/>
    <w:rsid w:val="00375FFA"/>
    <w:rsid w:val="00383E2D"/>
    <w:rsid w:val="00385605"/>
    <w:rsid w:val="003857C8"/>
    <w:rsid w:val="00386D7D"/>
    <w:rsid w:val="00391014"/>
    <w:rsid w:val="0039249D"/>
    <w:rsid w:val="0039268E"/>
    <w:rsid w:val="00392E1E"/>
    <w:rsid w:val="003938B9"/>
    <w:rsid w:val="00396E03"/>
    <w:rsid w:val="003977E1"/>
    <w:rsid w:val="003A2A7B"/>
    <w:rsid w:val="003A31EC"/>
    <w:rsid w:val="003A51B6"/>
    <w:rsid w:val="003B495F"/>
    <w:rsid w:val="003B5946"/>
    <w:rsid w:val="003C09DB"/>
    <w:rsid w:val="003C2F83"/>
    <w:rsid w:val="003C3CBE"/>
    <w:rsid w:val="003C602D"/>
    <w:rsid w:val="003D0159"/>
    <w:rsid w:val="003D3FE4"/>
    <w:rsid w:val="003E0843"/>
    <w:rsid w:val="003E4C25"/>
    <w:rsid w:val="003F1081"/>
    <w:rsid w:val="003F18D6"/>
    <w:rsid w:val="003F2505"/>
    <w:rsid w:val="003F3B34"/>
    <w:rsid w:val="003F532A"/>
    <w:rsid w:val="003F7516"/>
    <w:rsid w:val="00416B59"/>
    <w:rsid w:val="00417589"/>
    <w:rsid w:val="00420716"/>
    <w:rsid w:val="0042078F"/>
    <w:rsid w:val="0042340F"/>
    <w:rsid w:val="004246C4"/>
    <w:rsid w:val="004259F7"/>
    <w:rsid w:val="00427A7A"/>
    <w:rsid w:val="004302A5"/>
    <w:rsid w:val="004302D9"/>
    <w:rsid w:val="00433B01"/>
    <w:rsid w:val="00444077"/>
    <w:rsid w:val="00445292"/>
    <w:rsid w:val="00445498"/>
    <w:rsid w:val="00450964"/>
    <w:rsid w:val="00454163"/>
    <w:rsid w:val="00456EB7"/>
    <w:rsid w:val="0046078F"/>
    <w:rsid w:val="00460BBC"/>
    <w:rsid w:val="004616D2"/>
    <w:rsid w:val="00462F07"/>
    <w:rsid w:val="00463A51"/>
    <w:rsid w:val="00464C9C"/>
    <w:rsid w:val="004662F1"/>
    <w:rsid w:val="00470376"/>
    <w:rsid w:val="00472FCA"/>
    <w:rsid w:val="00477253"/>
    <w:rsid w:val="00477939"/>
    <w:rsid w:val="0048170C"/>
    <w:rsid w:val="00482475"/>
    <w:rsid w:val="00483787"/>
    <w:rsid w:val="0049088B"/>
    <w:rsid w:val="00490BD5"/>
    <w:rsid w:val="0049289E"/>
    <w:rsid w:val="00496346"/>
    <w:rsid w:val="00497B36"/>
    <w:rsid w:val="004A0539"/>
    <w:rsid w:val="004A3110"/>
    <w:rsid w:val="004A3EDC"/>
    <w:rsid w:val="004A4005"/>
    <w:rsid w:val="004A645D"/>
    <w:rsid w:val="004A6806"/>
    <w:rsid w:val="004B1452"/>
    <w:rsid w:val="004B27AF"/>
    <w:rsid w:val="004B313F"/>
    <w:rsid w:val="004B4F3B"/>
    <w:rsid w:val="004B53E7"/>
    <w:rsid w:val="004B6D8D"/>
    <w:rsid w:val="004C4449"/>
    <w:rsid w:val="004C5776"/>
    <w:rsid w:val="004C60BC"/>
    <w:rsid w:val="004C61BC"/>
    <w:rsid w:val="004D172C"/>
    <w:rsid w:val="004D5F38"/>
    <w:rsid w:val="004D6088"/>
    <w:rsid w:val="004D71A7"/>
    <w:rsid w:val="004E3A2D"/>
    <w:rsid w:val="004E4505"/>
    <w:rsid w:val="004E5B37"/>
    <w:rsid w:val="004E6A9F"/>
    <w:rsid w:val="004E7B3D"/>
    <w:rsid w:val="004F010A"/>
    <w:rsid w:val="004F1E78"/>
    <w:rsid w:val="004F33C6"/>
    <w:rsid w:val="004F3A9F"/>
    <w:rsid w:val="004F3C74"/>
    <w:rsid w:val="004F411F"/>
    <w:rsid w:val="004F64A4"/>
    <w:rsid w:val="004F6F33"/>
    <w:rsid w:val="005016E9"/>
    <w:rsid w:val="0050484E"/>
    <w:rsid w:val="005055DF"/>
    <w:rsid w:val="00507188"/>
    <w:rsid w:val="00510469"/>
    <w:rsid w:val="00513124"/>
    <w:rsid w:val="00513CB2"/>
    <w:rsid w:val="00515A03"/>
    <w:rsid w:val="00517421"/>
    <w:rsid w:val="00517B1C"/>
    <w:rsid w:val="005219CA"/>
    <w:rsid w:val="00524680"/>
    <w:rsid w:val="00525460"/>
    <w:rsid w:val="0052723A"/>
    <w:rsid w:val="00531CFB"/>
    <w:rsid w:val="00532ED2"/>
    <w:rsid w:val="0053325D"/>
    <w:rsid w:val="00533B2D"/>
    <w:rsid w:val="00535CC3"/>
    <w:rsid w:val="00536774"/>
    <w:rsid w:val="00537D90"/>
    <w:rsid w:val="00537E3D"/>
    <w:rsid w:val="005417E6"/>
    <w:rsid w:val="00545299"/>
    <w:rsid w:val="00546999"/>
    <w:rsid w:val="00552FA1"/>
    <w:rsid w:val="005616D1"/>
    <w:rsid w:val="00565166"/>
    <w:rsid w:val="00570898"/>
    <w:rsid w:val="0057109C"/>
    <w:rsid w:val="00571303"/>
    <w:rsid w:val="00572ED3"/>
    <w:rsid w:val="00575D5D"/>
    <w:rsid w:val="00580AF0"/>
    <w:rsid w:val="00580E76"/>
    <w:rsid w:val="00583192"/>
    <w:rsid w:val="00590E4B"/>
    <w:rsid w:val="00593D06"/>
    <w:rsid w:val="0059559E"/>
    <w:rsid w:val="0059619F"/>
    <w:rsid w:val="0059671A"/>
    <w:rsid w:val="00596DB2"/>
    <w:rsid w:val="00597470"/>
    <w:rsid w:val="005A1B0C"/>
    <w:rsid w:val="005A1EC6"/>
    <w:rsid w:val="005A2F10"/>
    <w:rsid w:val="005A6C73"/>
    <w:rsid w:val="005A6D7F"/>
    <w:rsid w:val="005A7430"/>
    <w:rsid w:val="005A7574"/>
    <w:rsid w:val="005A759B"/>
    <w:rsid w:val="005B0C73"/>
    <w:rsid w:val="005B0DED"/>
    <w:rsid w:val="005B2628"/>
    <w:rsid w:val="005B4F6B"/>
    <w:rsid w:val="005B5856"/>
    <w:rsid w:val="005B6613"/>
    <w:rsid w:val="005B7843"/>
    <w:rsid w:val="005C5745"/>
    <w:rsid w:val="005D08BE"/>
    <w:rsid w:val="005D0FDB"/>
    <w:rsid w:val="005D1945"/>
    <w:rsid w:val="005D1969"/>
    <w:rsid w:val="005D4909"/>
    <w:rsid w:val="005D5A4D"/>
    <w:rsid w:val="005E003F"/>
    <w:rsid w:val="005E1F22"/>
    <w:rsid w:val="005E304E"/>
    <w:rsid w:val="005E66EF"/>
    <w:rsid w:val="005E74ED"/>
    <w:rsid w:val="005F0721"/>
    <w:rsid w:val="005F0A26"/>
    <w:rsid w:val="005F3597"/>
    <w:rsid w:val="005F4832"/>
    <w:rsid w:val="005F648A"/>
    <w:rsid w:val="006003AC"/>
    <w:rsid w:val="006028D9"/>
    <w:rsid w:val="00603F3D"/>
    <w:rsid w:val="00606A90"/>
    <w:rsid w:val="00606D63"/>
    <w:rsid w:val="00611FAE"/>
    <w:rsid w:val="006130B8"/>
    <w:rsid w:val="006144E8"/>
    <w:rsid w:val="00617CC9"/>
    <w:rsid w:val="006204B4"/>
    <w:rsid w:val="00621CCC"/>
    <w:rsid w:val="00622ABE"/>
    <w:rsid w:val="00624C4D"/>
    <w:rsid w:val="00624F74"/>
    <w:rsid w:val="00625913"/>
    <w:rsid w:val="006308D4"/>
    <w:rsid w:val="00632233"/>
    <w:rsid w:val="006325BD"/>
    <w:rsid w:val="0063389D"/>
    <w:rsid w:val="006402BC"/>
    <w:rsid w:val="0064096C"/>
    <w:rsid w:val="006414F5"/>
    <w:rsid w:val="00643EA2"/>
    <w:rsid w:val="006444BC"/>
    <w:rsid w:val="00644D3D"/>
    <w:rsid w:val="0064612C"/>
    <w:rsid w:val="00650230"/>
    <w:rsid w:val="00651039"/>
    <w:rsid w:val="00651B33"/>
    <w:rsid w:val="00652F0C"/>
    <w:rsid w:val="0065316A"/>
    <w:rsid w:val="006549AD"/>
    <w:rsid w:val="00656532"/>
    <w:rsid w:val="006651BC"/>
    <w:rsid w:val="006700B7"/>
    <w:rsid w:val="00671C89"/>
    <w:rsid w:val="00672BCB"/>
    <w:rsid w:val="00672BD0"/>
    <w:rsid w:val="00675524"/>
    <w:rsid w:val="006755A5"/>
    <w:rsid w:val="00675CBF"/>
    <w:rsid w:val="00681CB3"/>
    <w:rsid w:val="00686405"/>
    <w:rsid w:val="0068773B"/>
    <w:rsid w:val="00691157"/>
    <w:rsid w:val="00691236"/>
    <w:rsid w:val="00691855"/>
    <w:rsid w:val="00692B87"/>
    <w:rsid w:val="00693AFE"/>
    <w:rsid w:val="0069504F"/>
    <w:rsid w:val="006A0F38"/>
    <w:rsid w:val="006A322A"/>
    <w:rsid w:val="006A69B8"/>
    <w:rsid w:val="006B14DB"/>
    <w:rsid w:val="006B2449"/>
    <w:rsid w:val="006B51DF"/>
    <w:rsid w:val="006B5979"/>
    <w:rsid w:val="006B6CB6"/>
    <w:rsid w:val="006B7933"/>
    <w:rsid w:val="006C206D"/>
    <w:rsid w:val="006C30C6"/>
    <w:rsid w:val="006C568D"/>
    <w:rsid w:val="006C7AAA"/>
    <w:rsid w:val="006D219B"/>
    <w:rsid w:val="006D5131"/>
    <w:rsid w:val="006D6101"/>
    <w:rsid w:val="006D6566"/>
    <w:rsid w:val="006E07F9"/>
    <w:rsid w:val="006E418C"/>
    <w:rsid w:val="006E58B1"/>
    <w:rsid w:val="006E6A8E"/>
    <w:rsid w:val="006F0750"/>
    <w:rsid w:val="006F1E00"/>
    <w:rsid w:val="006F5493"/>
    <w:rsid w:val="006F6479"/>
    <w:rsid w:val="006F7BDC"/>
    <w:rsid w:val="007012DF"/>
    <w:rsid w:val="0070292E"/>
    <w:rsid w:val="00704194"/>
    <w:rsid w:val="0070419E"/>
    <w:rsid w:val="00707C59"/>
    <w:rsid w:val="007100C3"/>
    <w:rsid w:val="00710373"/>
    <w:rsid w:val="00710B35"/>
    <w:rsid w:val="00712739"/>
    <w:rsid w:val="00714140"/>
    <w:rsid w:val="00714B95"/>
    <w:rsid w:val="0071616C"/>
    <w:rsid w:val="00716760"/>
    <w:rsid w:val="007171D3"/>
    <w:rsid w:val="0071756A"/>
    <w:rsid w:val="00725591"/>
    <w:rsid w:val="00725931"/>
    <w:rsid w:val="007348EC"/>
    <w:rsid w:val="00735004"/>
    <w:rsid w:val="007364B9"/>
    <w:rsid w:val="007402BD"/>
    <w:rsid w:val="00740BAB"/>
    <w:rsid w:val="00743707"/>
    <w:rsid w:val="00743AB0"/>
    <w:rsid w:val="00743F75"/>
    <w:rsid w:val="0074466D"/>
    <w:rsid w:val="0074585A"/>
    <w:rsid w:val="007461D8"/>
    <w:rsid w:val="007471D2"/>
    <w:rsid w:val="0075321D"/>
    <w:rsid w:val="00755049"/>
    <w:rsid w:val="00762C0E"/>
    <w:rsid w:val="00765690"/>
    <w:rsid w:val="00773068"/>
    <w:rsid w:val="00774B6C"/>
    <w:rsid w:val="007753CD"/>
    <w:rsid w:val="0077625C"/>
    <w:rsid w:val="00781134"/>
    <w:rsid w:val="0078244D"/>
    <w:rsid w:val="0078250E"/>
    <w:rsid w:val="00783AD1"/>
    <w:rsid w:val="00785973"/>
    <w:rsid w:val="0079084F"/>
    <w:rsid w:val="00793BE8"/>
    <w:rsid w:val="00796257"/>
    <w:rsid w:val="00796C66"/>
    <w:rsid w:val="00797AF2"/>
    <w:rsid w:val="007A357B"/>
    <w:rsid w:val="007A43DB"/>
    <w:rsid w:val="007A4682"/>
    <w:rsid w:val="007A79F4"/>
    <w:rsid w:val="007B022F"/>
    <w:rsid w:val="007B0867"/>
    <w:rsid w:val="007B56D1"/>
    <w:rsid w:val="007C0252"/>
    <w:rsid w:val="007C16DE"/>
    <w:rsid w:val="007C42F1"/>
    <w:rsid w:val="007C6216"/>
    <w:rsid w:val="007C690B"/>
    <w:rsid w:val="007D3204"/>
    <w:rsid w:val="007D3BD6"/>
    <w:rsid w:val="007D6099"/>
    <w:rsid w:val="007D7BF2"/>
    <w:rsid w:val="007E0622"/>
    <w:rsid w:val="007E0CD9"/>
    <w:rsid w:val="007E2B18"/>
    <w:rsid w:val="007E432D"/>
    <w:rsid w:val="007E44B6"/>
    <w:rsid w:val="007E4B54"/>
    <w:rsid w:val="007E4E38"/>
    <w:rsid w:val="007E6582"/>
    <w:rsid w:val="007E7E52"/>
    <w:rsid w:val="007F1548"/>
    <w:rsid w:val="007F2DCA"/>
    <w:rsid w:val="007F4DDA"/>
    <w:rsid w:val="007F61EF"/>
    <w:rsid w:val="007F72F9"/>
    <w:rsid w:val="008003BE"/>
    <w:rsid w:val="00800531"/>
    <w:rsid w:val="00801293"/>
    <w:rsid w:val="008017B3"/>
    <w:rsid w:val="00801CFD"/>
    <w:rsid w:val="008042E4"/>
    <w:rsid w:val="008059EA"/>
    <w:rsid w:val="00812461"/>
    <w:rsid w:val="00814163"/>
    <w:rsid w:val="00814A02"/>
    <w:rsid w:val="008150A1"/>
    <w:rsid w:val="008158E1"/>
    <w:rsid w:val="0081735F"/>
    <w:rsid w:val="00822052"/>
    <w:rsid w:val="008229DC"/>
    <w:rsid w:val="008257B7"/>
    <w:rsid w:val="00825F19"/>
    <w:rsid w:val="00826AAF"/>
    <w:rsid w:val="00830082"/>
    <w:rsid w:val="008313DC"/>
    <w:rsid w:val="0083398E"/>
    <w:rsid w:val="00844084"/>
    <w:rsid w:val="00845500"/>
    <w:rsid w:val="008465DD"/>
    <w:rsid w:val="00850F63"/>
    <w:rsid w:val="00851757"/>
    <w:rsid w:val="008534C0"/>
    <w:rsid w:val="00853BF9"/>
    <w:rsid w:val="008601CB"/>
    <w:rsid w:val="008630D1"/>
    <w:rsid w:val="00863216"/>
    <w:rsid w:val="00863C86"/>
    <w:rsid w:val="00864EBD"/>
    <w:rsid w:val="00865BB6"/>
    <w:rsid w:val="00870068"/>
    <w:rsid w:val="00872652"/>
    <w:rsid w:val="00874803"/>
    <w:rsid w:val="00877E92"/>
    <w:rsid w:val="00880C2C"/>
    <w:rsid w:val="00881B9E"/>
    <w:rsid w:val="00881DA5"/>
    <w:rsid w:val="00882083"/>
    <w:rsid w:val="00884865"/>
    <w:rsid w:val="00884F9E"/>
    <w:rsid w:val="008859F7"/>
    <w:rsid w:val="00886941"/>
    <w:rsid w:val="0088704A"/>
    <w:rsid w:val="00892B96"/>
    <w:rsid w:val="00892D4D"/>
    <w:rsid w:val="00892ED9"/>
    <w:rsid w:val="00895E13"/>
    <w:rsid w:val="00897546"/>
    <w:rsid w:val="008A0956"/>
    <w:rsid w:val="008A0B2D"/>
    <w:rsid w:val="008A151C"/>
    <w:rsid w:val="008A4213"/>
    <w:rsid w:val="008A4341"/>
    <w:rsid w:val="008A70F9"/>
    <w:rsid w:val="008B004B"/>
    <w:rsid w:val="008B109A"/>
    <w:rsid w:val="008B2ACF"/>
    <w:rsid w:val="008B30D0"/>
    <w:rsid w:val="008B44FF"/>
    <w:rsid w:val="008B59E5"/>
    <w:rsid w:val="008B5D60"/>
    <w:rsid w:val="008B7BF2"/>
    <w:rsid w:val="008C010D"/>
    <w:rsid w:val="008C62AB"/>
    <w:rsid w:val="008C64AA"/>
    <w:rsid w:val="008C7268"/>
    <w:rsid w:val="008C7CAB"/>
    <w:rsid w:val="008D1ACC"/>
    <w:rsid w:val="008D2D2C"/>
    <w:rsid w:val="008D6AA9"/>
    <w:rsid w:val="008D7390"/>
    <w:rsid w:val="008E2E47"/>
    <w:rsid w:val="008E3B25"/>
    <w:rsid w:val="008E4230"/>
    <w:rsid w:val="008E473D"/>
    <w:rsid w:val="008E7A2D"/>
    <w:rsid w:val="008F5375"/>
    <w:rsid w:val="00900063"/>
    <w:rsid w:val="00900AE6"/>
    <w:rsid w:val="00900B9E"/>
    <w:rsid w:val="00904F32"/>
    <w:rsid w:val="00910762"/>
    <w:rsid w:val="00914101"/>
    <w:rsid w:val="009158C4"/>
    <w:rsid w:val="00915DB2"/>
    <w:rsid w:val="00916FA3"/>
    <w:rsid w:val="00920447"/>
    <w:rsid w:val="0092300D"/>
    <w:rsid w:val="00926DBF"/>
    <w:rsid w:val="009331FA"/>
    <w:rsid w:val="009368F2"/>
    <w:rsid w:val="00936972"/>
    <w:rsid w:val="00940D7A"/>
    <w:rsid w:val="00941444"/>
    <w:rsid w:val="009430C4"/>
    <w:rsid w:val="00953FDA"/>
    <w:rsid w:val="009541FD"/>
    <w:rsid w:val="00955E06"/>
    <w:rsid w:val="00960851"/>
    <w:rsid w:val="00960D72"/>
    <w:rsid w:val="00960FE9"/>
    <w:rsid w:val="00963E30"/>
    <w:rsid w:val="00963E35"/>
    <w:rsid w:val="00963E93"/>
    <w:rsid w:val="00964A3A"/>
    <w:rsid w:val="00966902"/>
    <w:rsid w:val="009707AE"/>
    <w:rsid w:val="00970D2E"/>
    <w:rsid w:val="009743E4"/>
    <w:rsid w:val="009757E6"/>
    <w:rsid w:val="00976EC2"/>
    <w:rsid w:val="0098575E"/>
    <w:rsid w:val="00991D8A"/>
    <w:rsid w:val="00994311"/>
    <w:rsid w:val="00994D73"/>
    <w:rsid w:val="009A171C"/>
    <w:rsid w:val="009A1FD4"/>
    <w:rsid w:val="009A3B5C"/>
    <w:rsid w:val="009A3FB2"/>
    <w:rsid w:val="009A64AF"/>
    <w:rsid w:val="009A793A"/>
    <w:rsid w:val="009B0663"/>
    <w:rsid w:val="009B4860"/>
    <w:rsid w:val="009B6BB7"/>
    <w:rsid w:val="009B6C17"/>
    <w:rsid w:val="009C2EF1"/>
    <w:rsid w:val="009C33F4"/>
    <w:rsid w:val="009C6BE5"/>
    <w:rsid w:val="009D2753"/>
    <w:rsid w:val="009D40BE"/>
    <w:rsid w:val="009D6C53"/>
    <w:rsid w:val="009D7173"/>
    <w:rsid w:val="009D7C94"/>
    <w:rsid w:val="009E3500"/>
    <w:rsid w:val="009E3F56"/>
    <w:rsid w:val="009E648B"/>
    <w:rsid w:val="009E659E"/>
    <w:rsid w:val="009E671A"/>
    <w:rsid w:val="009F107A"/>
    <w:rsid w:val="009F143B"/>
    <w:rsid w:val="009F56A0"/>
    <w:rsid w:val="00A0444E"/>
    <w:rsid w:val="00A078EA"/>
    <w:rsid w:val="00A10FFC"/>
    <w:rsid w:val="00A1208A"/>
    <w:rsid w:val="00A1268F"/>
    <w:rsid w:val="00A1291A"/>
    <w:rsid w:val="00A15532"/>
    <w:rsid w:val="00A25BA7"/>
    <w:rsid w:val="00A261CF"/>
    <w:rsid w:val="00A263C8"/>
    <w:rsid w:val="00A30093"/>
    <w:rsid w:val="00A30C6A"/>
    <w:rsid w:val="00A32A20"/>
    <w:rsid w:val="00A32F11"/>
    <w:rsid w:val="00A34029"/>
    <w:rsid w:val="00A36CFC"/>
    <w:rsid w:val="00A412B4"/>
    <w:rsid w:val="00A42301"/>
    <w:rsid w:val="00A4749A"/>
    <w:rsid w:val="00A51F08"/>
    <w:rsid w:val="00A55874"/>
    <w:rsid w:val="00A55D56"/>
    <w:rsid w:val="00A565AC"/>
    <w:rsid w:val="00A66663"/>
    <w:rsid w:val="00A73D31"/>
    <w:rsid w:val="00A7418E"/>
    <w:rsid w:val="00A777D9"/>
    <w:rsid w:val="00A8443B"/>
    <w:rsid w:val="00A9078B"/>
    <w:rsid w:val="00A90E77"/>
    <w:rsid w:val="00A9406F"/>
    <w:rsid w:val="00AA1B53"/>
    <w:rsid w:val="00AA3925"/>
    <w:rsid w:val="00AA6AEE"/>
    <w:rsid w:val="00AB0689"/>
    <w:rsid w:val="00AB20A1"/>
    <w:rsid w:val="00AC1A99"/>
    <w:rsid w:val="00AC3E98"/>
    <w:rsid w:val="00AC6266"/>
    <w:rsid w:val="00AD3439"/>
    <w:rsid w:val="00AD48E5"/>
    <w:rsid w:val="00AD6EE1"/>
    <w:rsid w:val="00AE1191"/>
    <w:rsid w:val="00AE175B"/>
    <w:rsid w:val="00AE1DCE"/>
    <w:rsid w:val="00AE4425"/>
    <w:rsid w:val="00AE4695"/>
    <w:rsid w:val="00AF24F4"/>
    <w:rsid w:val="00AF4B92"/>
    <w:rsid w:val="00AF5198"/>
    <w:rsid w:val="00AF5CA8"/>
    <w:rsid w:val="00AF639F"/>
    <w:rsid w:val="00B01BED"/>
    <w:rsid w:val="00B02B6F"/>
    <w:rsid w:val="00B03AE6"/>
    <w:rsid w:val="00B04230"/>
    <w:rsid w:val="00B06FAD"/>
    <w:rsid w:val="00B1098B"/>
    <w:rsid w:val="00B13DE4"/>
    <w:rsid w:val="00B17A26"/>
    <w:rsid w:val="00B17ACB"/>
    <w:rsid w:val="00B20281"/>
    <w:rsid w:val="00B2262B"/>
    <w:rsid w:val="00B23B4F"/>
    <w:rsid w:val="00B241B1"/>
    <w:rsid w:val="00B258F6"/>
    <w:rsid w:val="00B3018D"/>
    <w:rsid w:val="00B3072D"/>
    <w:rsid w:val="00B3122E"/>
    <w:rsid w:val="00B3153F"/>
    <w:rsid w:val="00B33297"/>
    <w:rsid w:val="00B35873"/>
    <w:rsid w:val="00B43750"/>
    <w:rsid w:val="00B51694"/>
    <w:rsid w:val="00B51BEA"/>
    <w:rsid w:val="00B5555B"/>
    <w:rsid w:val="00B604C9"/>
    <w:rsid w:val="00B60674"/>
    <w:rsid w:val="00B643B3"/>
    <w:rsid w:val="00B70705"/>
    <w:rsid w:val="00B730D7"/>
    <w:rsid w:val="00B73E24"/>
    <w:rsid w:val="00B80D1F"/>
    <w:rsid w:val="00B8413A"/>
    <w:rsid w:val="00B877E8"/>
    <w:rsid w:val="00B878C0"/>
    <w:rsid w:val="00B9302D"/>
    <w:rsid w:val="00B93BD3"/>
    <w:rsid w:val="00B9577D"/>
    <w:rsid w:val="00B979DE"/>
    <w:rsid w:val="00B97F0C"/>
    <w:rsid w:val="00BA0EE8"/>
    <w:rsid w:val="00BA2ED1"/>
    <w:rsid w:val="00BA34C0"/>
    <w:rsid w:val="00BB246B"/>
    <w:rsid w:val="00BB2A25"/>
    <w:rsid w:val="00BB7D41"/>
    <w:rsid w:val="00BC376C"/>
    <w:rsid w:val="00BC42B1"/>
    <w:rsid w:val="00BC6446"/>
    <w:rsid w:val="00BC69CF"/>
    <w:rsid w:val="00BC7040"/>
    <w:rsid w:val="00BD0DD8"/>
    <w:rsid w:val="00BD4A42"/>
    <w:rsid w:val="00BD4F23"/>
    <w:rsid w:val="00BD5E33"/>
    <w:rsid w:val="00BD7171"/>
    <w:rsid w:val="00BD7AF9"/>
    <w:rsid w:val="00BE0616"/>
    <w:rsid w:val="00BE0AA4"/>
    <w:rsid w:val="00BE3397"/>
    <w:rsid w:val="00BE365D"/>
    <w:rsid w:val="00BE6C34"/>
    <w:rsid w:val="00BE6DAE"/>
    <w:rsid w:val="00BF4138"/>
    <w:rsid w:val="00C0423A"/>
    <w:rsid w:val="00C0674F"/>
    <w:rsid w:val="00C06B3D"/>
    <w:rsid w:val="00C070BA"/>
    <w:rsid w:val="00C16358"/>
    <w:rsid w:val="00C167CE"/>
    <w:rsid w:val="00C229CF"/>
    <w:rsid w:val="00C3434E"/>
    <w:rsid w:val="00C3565E"/>
    <w:rsid w:val="00C3626F"/>
    <w:rsid w:val="00C36AF1"/>
    <w:rsid w:val="00C41D69"/>
    <w:rsid w:val="00C447CD"/>
    <w:rsid w:val="00C468FA"/>
    <w:rsid w:val="00C475B7"/>
    <w:rsid w:val="00C545C1"/>
    <w:rsid w:val="00C5633F"/>
    <w:rsid w:val="00C56643"/>
    <w:rsid w:val="00C57217"/>
    <w:rsid w:val="00C66427"/>
    <w:rsid w:val="00C66850"/>
    <w:rsid w:val="00C677D8"/>
    <w:rsid w:val="00C70BE8"/>
    <w:rsid w:val="00C71432"/>
    <w:rsid w:val="00C7191B"/>
    <w:rsid w:val="00C76194"/>
    <w:rsid w:val="00C91D2A"/>
    <w:rsid w:val="00C929EC"/>
    <w:rsid w:val="00C93C95"/>
    <w:rsid w:val="00C957E5"/>
    <w:rsid w:val="00C96E0A"/>
    <w:rsid w:val="00CA0187"/>
    <w:rsid w:val="00CA3195"/>
    <w:rsid w:val="00CA4B1E"/>
    <w:rsid w:val="00CA782C"/>
    <w:rsid w:val="00CB536D"/>
    <w:rsid w:val="00CC24BC"/>
    <w:rsid w:val="00CC2AF3"/>
    <w:rsid w:val="00CC4F67"/>
    <w:rsid w:val="00CD1AA9"/>
    <w:rsid w:val="00CD1CAE"/>
    <w:rsid w:val="00CD2530"/>
    <w:rsid w:val="00CD29F0"/>
    <w:rsid w:val="00CD6FE9"/>
    <w:rsid w:val="00CD7E85"/>
    <w:rsid w:val="00CE1F25"/>
    <w:rsid w:val="00CE2473"/>
    <w:rsid w:val="00CE3956"/>
    <w:rsid w:val="00CE3A66"/>
    <w:rsid w:val="00CE4C1C"/>
    <w:rsid w:val="00CE673E"/>
    <w:rsid w:val="00CF38E2"/>
    <w:rsid w:val="00CF470C"/>
    <w:rsid w:val="00CF50A6"/>
    <w:rsid w:val="00CF5AF1"/>
    <w:rsid w:val="00CF6C19"/>
    <w:rsid w:val="00D00706"/>
    <w:rsid w:val="00D02A52"/>
    <w:rsid w:val="00D03B26"/>
    <w:rsid w:val="00D043B0"/>
    <w:rsid w:val="00D04C38"/>
    <w:rsid w:val="00D07621"/>
    <w:rsid w:val="00D10A1B"/>
    <w:rsid w:val="00D14894"/>
    <w:rsid w:val="00D167CC"/>
    <w:rsid w:val="00D21C25"/>
    <w:rsid w:val="00D2337E"/>
    <w:rsid w:val="00D2446A"/>
    <w:rsid w:val="00D33931"/>
    <w:rsid w:val="00D34800"/>
    <w:rsid w:val="00D3627D"/>
    <w:rsid w:val="00D367DD"/>
    <w:rsid w:val="00D42220"/>
    <w:rsid w:val="00D4420E"/>
    <w:rsid w:val="00D44B34"/>
    <w:rsid w:val="00D44C6A"/>
    <w:rsid w:val="00D44E9A"/>
    <w:rsid w:val="00D453ED"/>
    <w:rsid w:val="00D46CDA"/>
    <w:rsid w:val="00D542EE"/>
    <w:rsid w:val="00D55FEF"/>
    <w:rsid w:val="00D56BEB"/>
    <w:rsid w:val="00D6214A"/>
    <w:rsid w:val="00D62264"/>
    <w:rsid w:val="00D62336"/>
    <w:rsid w:val="00D66744"/>
    <w:rsid w:val="00D667D5"/>
    <w:rsid w:val="00D674DE"/>
    <w:rsid w:val="00D67CE7"/>
    <w:rsid w:val="00D70E96"/>
    <w:rsid w:val="00D7141D"/>
    <w:rsid w:val="00D73392"/>
    <w:rsid w:val="00D75D2A"/>
    <w:rsid w:val="00D7634C"/>
    <w:rsid w:val="00D809A6"/>
    <w:rsid w:val="00D91382"/>
    <w:rsid w:val="00D94481"/>
    <w:rsid w:val="00D95780"/>
    <w:rsid w:val="00DA29CB"/>
    <w:rsid w:val="00DA405E"/>
    <w:rsid w:val="00DB5D59"/>
    <w:rsid w:val="00DB64B9"/>
    <w:rsid w:val="00DB6666"/>
    <w:rsid w:val="00DB73C6"/>
    <w:rsid w:val="00DC2FA5"/>
    <w:rsid w:val="00DC3442"/>
    <w:rsid w:val="00DC53FB"/>
    <w:rsid w:val="00DC7D26"/>
    <w:rsid w:val="00DD024D"/>
    <w:rsid w:val="00DD1203"/>
    <w:rsid w:val="00DD39C2"/>
    <w:rsid w:val="00DE1128"/>
    <w:rsid w:val="00DE1255"/>
    <w:rsid w:val="00DE1A91"/>
    <w:rsid w:val="00DE38F5"/>
    <w:rsid w:val="00DE7C37"/>
    <w:rsid w:val="00DF16F4"/>
    <w:rsid w:val="00DF3C01"/>
    <w:rsid w:val="00DF68FC"/>
    <w:rsid w:val="00E032C7"/>
    <w:rsid w:val="00E038BC"/>
    <w:rsid w:val="00E03FF2"/>
    <w:rsid w:val="00E04D22"/>
    <w:rsid w:val="00E056E5"/>
    <w:rsid w:val="00E07767"/>
    <w:rsid w:val="00E100B2"/>
    <w:rsid w:val="00E11F03"/>
    <w:rsid w:val="00E12462"/>
    <w:rsid w:val="00E13E6E"/>
    <w:rsid w:val="00E23FB7"/>
    <w:rsid w:val="00E265E0"/>
    <w:rsid w:val="00E267D6"/>
    <w:rsid w:val="00E26C50"/>
    <w:rsid w:val="00E26E52"/>
    <w:rsid w:val="00E303AD"/>
    <w:rsid w:val="00E30FA5"/>
    <w:rsid w:val="00E31680"/>
    <w:rsid w:val="00E321A9"/>
    <w:rsid w:val="00E3418C"/>
    <w:rsid w:val="00E34BED"/>
    <w:rsid w:val="00E376B1"/>
    <w:rsid w:val="00E37D49"/>
    <w:rsid w:val="00E37E0B"/>
    <w:rsid w:val="00E405C3"/>
    <w:rsid w:val="00E421B6"/>
    <w:rsid w:val="00E436FF"/>
    <w:rsid w:val="00E43B67"/>
    <w:rsid w:val="00E44161"/>
    <w:rsid w:val="00E45118"/>
    <w:rsid w:val="00E4538B"/>
    <w:rsid w:val="00E472E7"/>
    <w:rsid w:val="00E522E7"/>
    <w:rsid w:val="00E53EB2"/>
    <w:rsid w:val="00E5738B"/>
    <w:rsid w:val="00E60699"/>
    <w:rsid w:val="00E607E6"/>
    <w:rsid w:val="00E63354"/>
    <w:rsid w:val="00E63B84"/>
    <w:rsid w:val="00E70387"/>
    <w:rsid w:val="00E747E5"/>
    <w:rsid w:val="00E74D4E"/>
    <w:rsid w:val="00E7794A"/>
    <w:rsid w:val="00E819C2"/>
    <w:rsid w:val="00E83BFD"/>
    <w:rsid w:val="00E8653A"/>
    <w:rsid w:val="00E909D4"/>
    <w:rsid w:val="00E925E2"/>
    <w:rsid w:val="00E964E7"/>
    <w:rsid w:val="00E975D8"/>
    <w:rsid w:val="00EA39F8"/>
    <w:rsid w:val="00EA4919"/>
    <w:rsid w:val="00EA5FB4"/>
    <w:rsid w:val="00EA7444"/>
    <w:rsid w:val="00EB0A5C"/>
    <w:rsid w:val="00EB222C"/>
    <w:rsid w:val="00EB2339"/>
    <w:rsid w:val="00EB3BAD"/>
    <w:rsid w:val="00EB3DAE"/>
    <w:rsid w:val="00EB44D9"/>
    <w:rsid w:val="00EC00EF"/>
    <w:rsid w:val="00EC142B"/>
    <w:rsid w:val="00EC40E0"/>
    <w:rsid w:val="00EC443B"/>
    <w:rsid w:val="00ED259A"/>
    <w:rsid w:val="00ED330A"/>
    <w:rsid w:val="00ED3B25"/>
    <w:rsid w:val="00ED450C"/>
    <w:rsid w:val="00ED66BD"/>
    <w:rsid w:val="00ED681C"/>
    <w:rsid w:val="00ED6A4D"/>
    <w:rsid w:val="00EE1644"/>
    <w:rsid w:val="00EE34C9"/>
    <w:rsid w:val="00EE65BD"/>
    <w:rsid w:val="00EE723A"/>
    <w:rsid w:val="00EE73D7"/>
    <w:rsid w:val="00EF277B"/>
    <w:rsid w:val="00EF39A7"/>
    <w:rsid w:val="00EF5A3F"/>
    <w:rsid w:val="00EF5F0B"/>
    <w:rsid w:val="00F040B8"/>
    <w:rsid w:val="00F04AF5"/>
    <w:rsid w:val="00F06985"/>
    <w:rsid w:val="00F06F55"/>
    <w:rsid w:val="00F11E20"/>
    <w:rsid w:val="00F1329E"/>
    <w:rsid w:val="00F22FE0"/>
    <w:rsid w:val="00F25EE0"/>
    <w:rsid w:val="00F27C49"/>
    <w:rsid w:val="00F36010"/>
    <w:rsid w:val="00F37740"/>
    <w:rsid w:val="00F446C8"/>
    <w:rsid w:val="00F45140"/>
    <w:rsid w:val="00F46ED5"/>
    <w:rsid w:val="00F47E63"/>
    <w:rsid w:val="00F52FD8"/>
    <w:rsid w:val="00F534D4"/>
    <w:rsid w:val="00F54530"/>
    <w:rsid w:val="00F6028E"/>
    <w:rsid w:val="00F607B6"/>
    <w:rsid w:val="00F62E30"/>
    <w:rsid w:val="00F66D31"/>
    <w:rsid w:val="00F71D18"/>
    <w:rsid w:val="00F7250C"/>
    <w:rsid w:val="00F732C5"/>
    <w:rsid w:val="00F74D3C"/>
    <w:rsid w:val="00F81E42"/>
    <w:rsid w:val="00F82785"/>
    <w:rsid w:val="00F83D7E"/>
    <w:rsid w:val="00F84E7B"/>
    <w:rsid w:val="00F855E4"/>
    <w:rsid w:val="00F86109"/>
    <w:rsid w:val="00F91A97"/>
    <w:rsid w:val="00F92AE4"/>
    <w:rsid w:val="00F92BBB"/>
    <w:rsid w:val="00F97158"/>
    <w:rsid w:val="00FA4948"/>
    <w:rsid w:val="00FA5CA0"/>
    <w:rsid w:val="00FA60E7"/>
    <w:rsid w:val="00FA7828"/>
    <w:rsid w:val="00FB18E5"/>
    <w:rsid w:val="00FB1DCE"/>
    <w:rsid w:val="00FB213F"/>
    <w:rsid w:val="00FB2930"/>
    <w:rsid w:val="00FB5C68"/>
    <w:rsid w:val="00FC4BEA"/>
    <w:rsid w:val="00FC783C"/>
    <w:rsid w:val="00FD19DB"/>
    <w:rsid w:val="00FD20AC"/>
    <w:rsid w:val="00FD25A0"/>
    <w:rsid w:val="00FD2716"/>
    <w:rsid w:val="00FD29CA"/>
    <w:rsid w:val="00FD5632"/>
    <w:rsid w:val="00FD6713"/>
    <w:rsid w:val="00FD7818"/>
    <w:rsid w:val="00FE1307"/>
    <w:rsid w:val="00FE285F"/>
    <w:rsid w:val="00FE6358"/>
    <w:rsid w:val="00FE7798"/>
    <w:rsid w:val="00FE7875"/>
    <w:rsid w:val="00FF0707"/>
    <w:rsid w:val="00FF0BD8"/>
    <w:rsid w:val="00FF0BFD"/>
    <w:rsid w:val="00FF50B5"/>
    <w:rsid w:val="00FF7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528BE25"/>
  <w15:chartTrackingRefBased/>
  <w15:docId w15:val="{78DC5EC0-9E4E-4A46-99E2-F33A7C00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10" w:qFormat="1"/>
    <w:lsdException w:name="heading 2" w:locked="1" w:qFormat="1"/>
    <w:lsdException w:name="heading 3" w:locked="1" w:uiPriority="12" w:qFormat="1"/>
    <w:lsdException w:name="heading 4" w:locked="1" w:qFormat="1"/>
    <w:lsdException w:name="heading 5" w:locked="1"/>
    <w:lsdException w:name="heading 6" w:locked="1"/>
    <w:lsdException w:name="heading 7" w:locked="1"/>
    <w:lsdException w:name="heading 8" w:locked="1"/>
    <w:lsdException w:name="heading 9" w:locked="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lsdException w:name="Emphasis" w:locked="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F0C"/>
    <w:rPr>
      <w:rFonts w:ascii="Arial" w:hAnsi="Arial" w:cs="Arial"/>
      <w:sz w:val="28"/>
      <w:szCs w:val="24"/>
      <w:lang w:eastAsia="en-US"/>
    </w:rPr>
  </w:style>
  <w:style w:type="paragraph" w:styleId="Heading1">
    <w:name w:val="heading 1"/>
    <w:next w:val="Heading2"/>
    <w:uiPriority w:val="10"/>
    <w:qFormat/>
    <w:rsid w:val="00525460"/>
    <w:pPr>
      <w:keepNext/>
      <w:keepLines/>
      <w:pageBreakBefore/>
      <w:widowControl w:val="0"/>
      <w:numPr>
        <w:numId w:val="5"/>
      </w:numPr>
      <w:tabs>
        <w:tab w:val="clear" w:pos="1134"/>
        <w:tab w:val="left" w:pos="680"/>
      </w:tabs>
      <w:suppressAutoHyphens/>
      <w:autoSpaceDE w:val="0"/>
      <w:autoSpaceDN w:val="0"/>
      <w:adjustRightInd w:val="0"/>
      <w:spacing w:after="1320" w:line="720" w:lineRule="atLeast"/>
      <w:ind w:left="680" w:hanging="680"/>
      <w:outlineLvl w:val="0"/>
    </w:pPr>
    <w:rPr>
      <w:rFonts w:ascii="Arial" w:hAnsi="Arial" w:cs="HelveticaNeue-Light"/>
      <w:color w:val="007161"/>
      <w:spacing w:val="-6"/>
      <w:sz w:val="56"/>
      <w:szCs w:val="56"/>
      <w:lang w:eastAsia="en-US"/>
    </w:rPr>
  </w:style>
  <w:style w:type="paragraph" w:styleId="Heading2">
    <w:name w:val="heading 2"/>
    <w:next w:val="Heading3"/>
    <w:qFormat/>
    <w:rsid w:val="008D7390"/>
    <w:pPr>
      <w:keepNext/>
      <w:keepLines/>
      <w:spacing w:before="360" w:after="120"/>
      <w:outlineLvl w:val="1"/>
    </w:pPr>
    <w:rPr>
      <w:rFonts w:ascii="Arial" w:hAnsi="Arial" w:cs="Arial"/>
      <w:color w:val="007161"/>
      <w:sz w:val="36"/>
      <w:szCs w:val="70"/>
      <w:lang w:eastAsia="en-US"/>
    </w:rPr>
  </w:style>
  <w:style w:type="paragraph" w:styleId="Heading3">
    <w:name w:val="heading 3"/>
    <w:uiPriority w:val="12"/>
    <w:qFormat/>
    <w:rsid w:val="008A4341"/>
    <w:pPr>
      <w:keepNext/>
      <w:keepLines/>
      <w:spacing w:before="240" w:after="120"/>
      <w:outlineLvl w:val="2"/>
    </w:pPr>
    <w:rPr>
      <w:rFonts w:ascii="Arial" w:hAnsi="Arial" w:cs="Arial"/>
      <w:b/>
      <w:color w:val="000000"/>
      <w:sz w:val="28"/>
      <w:szCs w:val="44"/>
      <w:lang w:eastAsia="en-US"/>
    </w:rPr>
  </w:style>
  <w:style w:type="paragraph" w:styleId="Heading4">
    <w:name w:val="heading 4"/>
    <w:basedOn w:val="Normal"/>
    <w:next w:val="Normal"/>
    <w:qFormat/>
    <w:rsid w:val="008A4341"/>
    <w:pPr>
      <w:keepNext/>
      <w:keepLines/>
      <w:spacing w:before="240" w:after="120"/>
      <w:outlineLvl w:val="3"/>
    </w:pPr>
    <w:rPr>
      <w:i/>
      <w:color w:val="000000"/>
    </w:rPr>
  </w:style>
  <w:style w:type="paragraph" w:styleId="Heading5">
    <w:name w:val="heading 5"/>
    <w:basedOn w:val="Normal"/>
    <w:next w:val="Normal"/>
    <w:rsid w:val="00FF7A66"/>
    <w:pPr>
      <w:spacing w:before="240" w:after="60"/>
      <w:outlineLvl w:val="4"/>
    </w:pPr>
    <w:rPr>
      <w:b/>
      <w:bCs/>
      <w:iCs/>
      <w:sz w:val="20"/>
      <w:szCs w:val="26"/>
    </w:rPr>
  </w:style>
  <w:style w:type="paragraph" w:styleId="Heading6">
    <w:name w:val="heading 6"/>
    <w:basedOn w:val="Normal"/>
    <w:next w:val="Normal"/>
    <w:locked/>
    <w:rsid w:val="008B004B"/>
    <w:pPr>
      <w:spacing w:before="240" w:after="60"/>
      <w:outlineLvl w:val="5"/>
    </w:pPr>
    <w:rPr>
      <w:rFonts w:ascii="Times New Roman" w:hAnsi="Times New Roman" w:cs="Times New Roman"/>
      <w:b/>
      <w:bCs/>
      <w:sz w:val="22"/>
      <w:szCs w:val="22"/>
    </w:rPr>
  </w:style>
  <w:style w:type="paragraph" w:styleId="Heading7">
    <w:name w:val="heading 7"/>
    <w:basedOn w:val="Normal"/>
    <w:next w:val="Normal"/>
    <w:locked/>
    <w:rsid w:val="008B004B"/>
    <w:pPr>
      <w:spacing w:before="240" w:after="60"/>
      <w:outlineLvl w:val="6"/>
    </w:pPr>
    <w:rPr>
      <w:rFonts w:ascii="Times New Roman" w:hAnsi="Times New Roman" w:cs="Times New Roman"/>
    </w:rPr>
  </w:style>
  <w:style w:type="paragraph" w:styleId="Heading8">
    <w:name w:val="heading 8"/>
    <w:basedOn w:val="Normal"/>
    <w:next w:val="Normal"/>
    <w:locked/>
    <w:rsid w:val="002A15D3"/>
    <w:pPr>
      <w:spacing w:before="240" w:after="60"/>
      <w:outlineLvl w:val="7"/>
    </w:pPr>
    <w:rPr>
      <w:rFonts w:ascii="Times New Roman" w:hAnsi="Times New Roman" w:cs="Times New Roman"/>
      <w:i/>
      <w:iCs/>
    </w:rPr>
  </w:style>
  <w:style w:type="paragraph" w:styleId="Heading9">
    <w:name w:val="heading 9"/>
    <w:basedOn w:val="Normal"/>
    <w:next w:val="Normal"/>
    <w:locked/>
    <w:rsid w:val="006204B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2-BodyTextCharChar">
    <w:name w:val="22 - Body Text Char Char"/>
    <w:link w:val="22-BodyText"/>
    <w:locked/>
    <w:rsid w:val="008A4341"/>
    <w:rPr>
      <w:rFonts w:ascii="Arial" w:hAnsi="Arial" w:cs="Arial"/>
      <w:color w:val="000000"/>
      <w:sz w:val="28"/>
      <w:lang w:eastAsia="en-US"/>
    </w:rPr>
  </w:style>
  <w:style w:type="paragraph" w:customStyle="1" w:styleId="22-BodyText">
    <w:name w:val="22 - Body Text"/>
    <w:link w:val="22-BodyTextCharChar"/>
    <w:qFormat/>
    <w:rsid w:val="008A4341"/>
    <w:pPr>
      <w:keepLines/>
      <w:tabs>
        <w:tab w:val="left" w:pos="1080"/>
      </w:tabs>
      <w:spacing w:before="120" w:after="120"/>
    </w:pPr>
    <w:rPr>
      <w:rFonts w:ascii="Arial" w:hAnsi="Arial" w:cs="Arial"/>
      <w:color w:val="000000"/>
      <w:sz w:val="28"/>
      <w:lang w:eastAsia="en-US"/>
    </w:rPr>
  </w:style>
  <w:style w:type="paragraph" w:customStyle="1" w:styleId="22-BulletText">
    <w:name w:val="22 - Bullet Text"/>
    <w:qFormat/>
    <w:rsid w:val="003162A7"/>
    <w:pPr>
      <w:numPr>
        <w:ilvl w:val="1"/>
        <w:numId w:val="31"/>
      </w:numPr>
      <w:tabs>
        <w:tab w:val="clear" w:pos="1363"/>
        <w:tab w:val="num" w:pos="1080"/>
      </w:tabs>
      <w:spacing w:after="120"/>
      <w:ind w:left="1080" w:hanging="360"/>
    </w:pPr>
    <w:rPr>
      <w:rFonts w:ascii="Arial" w:hAnsi="Arial" w:cs="Arial"/>
      <w:color w:val="000000"/>
      <w:sz w:val="28"/>
      <w:lang w:eastAsia="en-US"/>
    </w:rPr>
  </w:style>
  <w:style w:type="paragraph" w:customStyle="1" w:styleId="NumberedNotes">
    <w:name w:val="Numbered Notes"/>
    <w:autoRedefine/>
    <w:qFormat/>
    <w:rsid w:val="0092300D"/>
    <w:pPr>
      <w:numPr>
        <w:numId w:val="30"/>
      </w:numPr>
      <w:tabs>
        <w:tab w:val="clear" w:pos="774"/>
        <w:tab w:val="num" w:pos="1080"/>
      </w:tabs>
      <w:spacing w:before="120" w:after="240"/>
      <w:ind w:left="1080" w:hanging="360"/>
      <w:contextualSpacing/>
    </w:pPr>
    <w:rPr>
      <w:rFonts w:ascii="Arial" w:hAnsi="Arial" w:cs="Arial"/>
      <w:iCs/>
      <w:color w:val="000000"/>
      <w:lang w:eastAsia="en-US"/>
    </w:rPr>
  </w:style>
  <w:style w:type="paragraph" w:customStyle="1" w:styleId="22-BodyText-Numbers">
    <w:name w:val="22 - Body Text -  Numbers"/>
    <w:qFormat/>
    <w:rsid w:val="003162A7"/>
    <w:pPr>
      <w:keepNext/>
      <w:numPr>
        <w:numId w:val="3"/>
      </w:numPr>
    </w:pPr>
    <w:rPr>
      <w:rFonts w:ascii="Arial" w:hAnsi="Arial" w:cs="Arial"/>
      <w:color w:val="000000"/>
      <w:sz w:val="28"/>
      <w:lang w:eastAsia="en-US"/>
    </w:rPr>
  </w:style>
  <w:style w:type="character" w:customStyle="1" w:styleId="Italic">
    <w:name w:val="Italic"/>
    <w:qFormat/>
    <w:rsid w:val="00EB3DAE"/>
    <w:rPr>
      <w:i/>
      <w:iCs/>
    </w:rPr>
  </w:style>
  <w:style w:type="character" w:customStyle="1" w:styleId="Bold">
    <w:name w:val="Bold"/>
    <w:rsid w:val="00EB3DAE"/>
    <w:rPr>
      <w:b/>
      <w:bCs/>
    </w:rPr>
  </w:style>
  <w:style w:type="paragraph" w:customStyle="1" w:styleId="image">
    <w:name w:val="image"/>
    <w:next w:val="22-BodyText"/>
    <w:link w:val="imageChar"/>
    <w:rsid w:val="004F6F33"/>
    <w:pPr>
      <w:keepNext/>
      <w:spacing w:after="120"/>
    </w:pPr>
    <w:rPr>
      <w:rFonts w:ascii="Arial" w:hAnsi="Arial" w:cs="Arial"/>
      <w:color w:val="FF0000"/>
      <w:lang w:eastAsia="en-US"/>
    </w:rPr>
  </w:style>
  <w:style w:type="paragraph" w:styleId="Footer">
    <w:name w:val="footer"/>
    <w:basedOn w:val="Normal"/>
    <w:rsid w:val="00F06F55"/>
    <w:pPr>
      <w:tabs>
        <w:tab w:val="center" w:pos="4320"/>
        <w:tab w:val="right" w:pos="8640"/>
      </w:tabs>
    </w:pPr>
  </w:style>
  <w:style w:type="paragraph" w:customStyle="1" w:styleId="TableHeader">
    <w:name w:val="TableHeader"/>
    <w:basedOn w:val="22-BodyText"/>
    <w:qFormat/>
    <w:rsid w:val="007D3204"/>
    <w:rPr>
      <w:b/>
      <w:bCs/>
      <w:color w:val="FFFFFF"/>
    </w:rPr>
  </w:style>
  <w:style w:type="paragraph" w:customStyle="1" w:styleId="22-BodyText-Letters">
    <w:name w:val="22 - Body Text -  Letters"/>
    <w:link w:val="22-BodyText-LettersCharChar"/>
    <w:qFormat/>
    <w:rsid w:val="003162A7"/>
    <w:pPr>
      <w:keepNext/>
      <w:numPr>
        <w:numId w:val="2"/>
      </w:numPr>
    </w:pPr>
    <w:rPr>
      <w:rFonts w:ascii="Arial" w:hAnsi="Arial" w:cs="Arial"/>
      <w:color w:val="000000"/>
      <w:sz w:val="28"/>
      <w:lang w:eastAsia="en-US"/>
    </w:rPr>
  </w:style>
  <w:style w:type="paragraph" w:customStyle="1" w:styleId="22-EnIndent">
    <w:name w:val="22 - En Indent"/>
    <w:qFormat/>
    <w:rsid w:val="003162A7"/>
    <w:pPr>
      <w:numPr>
        <w:numId w:val="1"/>
      </w:numPr>
      <w:tabs>
        <w:tab w:val="clear" w:pos="1134"/>
        <w:tab w:val="num" w:pos="1080"/>
      </w:tabs>
      <w:ind w:left="1080" w:hanging="360"/>
    </w:pPr>
    <w:rPr>
      <w:rFonts w:ascii="Arial" w:hAnsi="Arial" w:cs="Arial"/>
      <w:color w:val="000000"/>
      <w:sz w:val="28"/>
      <w:lang w:eastAsia="en-US"/>
    </w:rPr>
  </w:style>
  <w:style w:type="paragraph" w:customStyle="1" w:styleId="MainTextNumbered">
    <w:name w:val="MainText Numbered"/>
    <w:basedOn w:val="Normal"/>
    <w:uiPriority w:val="1"/>
    <w:qFormat/>
    <w:rsid w:val="003162A7"/>
    <w:pPr>
      <w:numPr>
        <w:numId w:val="29"/>
      </w:numPr>
      <w:tabs>
        <w:tab w:val="clear" w:pos="1131"/>
        <w:tab w:val="left" w:pos="777"/>
      </w:tabs>
      <w:spacing w:before="120" w:after="120"/>
      <w:ind w:left="777" w:hanging="777"/>
    </w:pPr>
    <w:rPr>
      <w:rFonts w:cs="Times New Roman"/>
      <w:color w:val="000000"/>
      <w:szCs w:val="20"/>
    </w:rPr>
  </w:style>
  <w:style w:type="character" w:styleId="FollowedHyperlink">
    <w:name w:val="FollowedHyperlink"/>
    <w:locked/>
    <w:rsid w:val="0006568B"/>
    <w:rPr>
      <w:color w:val="800080"/>
      <w:u w:val="single"/>
    </w:rPr>
  </w:style>
  <w:style w:type="paragraph" w:customStyle="1" w:styleId="60-BulletTextFullout">
    <w:name w:val="60 - Bullet Text • Fullout"/>
    <w:basedOn w:val="Normal"/>
    <w:rsid w:val="00B04230"/>
  </w:style>
  <w:style w:type="paragraph" w:customStyle="1" w:styleId="TableText">
    <w:name w:val="TableText"/>
    <w:basedOn w:val="22-BodyText"/>
    <w:qFormat/>
    <w:rsid w:val="000C5950"/>
    <w:rPr>
      <w:sz w:val="20"/>
    </w:rPr>
  </w:style>
  <w:style w:type="character" w:styleId="Hyperlink">
    <w:name w:val="Hyperlink"/>
    <w:rsid w:val="00D2446A"/>
    <w:rPr>
      <w:color w:val="0000FF"/>
      <w:u w:val="single"/>
    </w:rPr>
  </w:style>
  <w:style w:type="paragraph" w:styleId="Header">
    <w:name w:val="header"/>
    <w:rsid w:val="007A4682"/>
    <w:pPr>
      <w:tabs>
        <w:tab w:val="center" w:pos="4320"/>
        <w:tab w:val="right" w:pos="8640"/>
      </w:tabs>
    </w:pPr>
    <w:rPr>
      <w:rFonts w:ascii="Arial" w:hAnsi="Arial" w:cs="Arial"/>
      <w:sz w:val="24"/>
      <w:szCs w:val="24"/>
      <w:lang w:eastAsia="en-US"/>
    </w:rPr>
  </w:style>
  <w:style w:type="paragraph" w:customStyle="1" w:styleId="Number1">
    <w:name w:val="Number 1"/>
    <w:uiPriority w:val="2"/>
    <w:qFormat/>
    <w:rsid w:val="003162A7"/>
    <w:pPr>
      <w:numPr>
        <w:numId w:val="31"/>
      </w:numPr>
      <w:tabs>
        <w:tab w:val="clear" w:pos="2051"/>
        <w:tab w:val="num" w:pos="720"/>
      </w:tabs>
      <w:spacing w:before="120" w:after="120"/>
      <w:ind w:left="720" w:hanging="720"/>
    </w:pPr>
    <w:rPr>
      <w:rFonts w:ascii="Arial" w:hAnsi="Arial"/>
      <w:color w:val="000000"/>
      <w:sz w:val="28"/>
      <w:lang w:eastAsia="en-US"/>
    </w:rPr>
  </w:style>
  <w:style w:type="character" w:customStyle="1" w:styleId="Underline">
    <w:name w:val="Underline"/>
    <w:qFormat/>
    <w:rsid w:val="00B9302D"/>
    <w:rPr>
      <w:u w:val="single"/>
    </w:rPr>
  </w:style>
  <w:style w:type="character" w:customStyle="1" w:styleId="EndnoteTextChar">
    <w:name w:val="Endnote Text Char"/>
    <w:link w:val="EndnoteText"/>
    <w:rsid w:val="000A388B"/>
    <w:rPr>
      <w:rFonts w:ascii="Arial" w:hAnsi="Arial" w:cs="Arial"/>
      <w:lang w:val="en-GB" w:eastAsia="en-US" w:bidi="ar-SA"/>
    </w:rPr>
  </w:style>
  <w:style w:type="paragraph" w:styleId="EndnoteText">
    <w:name w:val="endnote text"/>
    <w:basedOn w:val="Normal"/>
    <w:link w:val="EndnoteTextChar"/>
    <w:semiHidden/>
    <w:rsid w:val="00DA405E"/>
    <w:rPr>
      <w:sz w:val="20"/>
      <w:szCs w:val="20"/>
    </w:rPr>
  </w:style>
  <w:style w:type="paragraph" w:customStyle="1" w:styleId="QuoteText">
    <w:name w:val="Quote Text"/>
    <w:basedOn w:val="22-BodyText"/>
    <w:autoRedefine/>
    <w:qFormat/>
    <w:rsid w:val="007E0622"/>
    <w:pPr>
      <w:keepNext/>
      <w:tabs>
        <w:tab w:val="clear" w:pos="1080"/>
      </w:tabs>
      <w:spacing w:line="340" w:lineRule="atLeast"/>
      <w:ind w:left="720"/>
    </w:pPr>
    <w:rPr>
      <w:i/>
      <w:iCs/>
    </w:rPr>
  </w:style>
  <w:style w:type="paragraph" w:customStyle="1" w:styleId="AnnexA">
    <w:name w:val="Annex A"/>
    <w:basedOn w:val="Number1"/>
    <w:qFormat/>
    <w:rsid w:val="007F61EF"/>
    <w:pPr>
      <w:numPr>
        <w:numId w:val="32"/>
      </w:numPr>
    </w:pPr>
    <w:rPr>
      <w:color w:val="auto"/>
    </w:rPr>
  </w:style>
  <w:style w:type="table" w:customStyle="1" w:styleId="TableStyle">
    <w:name w:val="TableStyle"/>
    <w:basedOn w:val="TableNormal"/>
    <w:rsid w:val="00F81E42"/>
    <w:pPr>
      <w:spacing w:before="120" w:after="120"/>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wordWrap/>
        <w:spacing w:beforeLines="0" w:before="60" w:beforeAutospacing="0" w:afterLines="0" w:after="60" w:afterAutospacing="0"/>
        <w:contextualSpacing w:val="0"/>
      </w:pPr>
      <w:rPr>
        <w:rFonts w:ascii="Arial" w:hAnsi="Arial"/>
        <w:b w:val="0"/>
        <w:bCs/>
        <w:i w:val="0"/>
        <w:color w:val="FFFFFF"/>
        <w:sz w:val="18"/>
      </w:rPr>
      <w:tblPr/>
      <w:tcPr>
        <w:tcBorders>
          <w:top w:val="nil"/>
          <w:left w:val="nil"/>
          <w:bottom w:val="nil"/>
          <w:right w:val="nil"/>
          <w:insideH w:val="nil"/>
          <w:insideV w:val="nil"/>
          <w:tl2br w:val="nil"/>
          <w:tr2bl w:val="nil"/>
        </w:tcBorders>
        <w:shd w:val="clear" w:color="auto" w:fill="007161"/>
      </w:tcPr>
    </w:tblStylePr>
    <w:tblStylePr w:type="lastRow">
      <w:rPr>
        <w:b w:val="0"/>
        <w:i w:val="0"/>
      </w:rPr>
    </w:tblStylePr>
  </w:style>
  <w:style w:type="character" w:styleId="EndnoteReference">
    <w:name w:val="endnote reference"/>
    <w:semiHidden/>
    <w:rsid w:val="001D7E28"/>
    <w:rPr>
      <w:vertAlign w:val="superscript"/>
    </w:rPr>
  </w:style>
  <w:style w:type="character" w:customStyle="1" w:styleId="imageChar">
    <w:name w:val="image Char"/>
    <w:link w:val="image"/>
    <w:rsid w:val="0046078F"/>
    <w:rPr>
      <w:rFonts w:ascii="Arial" w:hAnsi="Arial" w:cs="Arial"/>
      <w:color w:val="FF0000"/>
      <w:lang w:val="en-GB" w:eastAsia="en-US" w:bidi="ar-SA"/>
    </w:rPr>
  </w:style>
  <w:style w:type="character" w:customStyle="1" w:styleId="22-BodyText-LettersCharChar">
    <w:name w:val="22 - Body Text -  Letters Char Char"/>
    <w:link w:val="22-BodyText-Letters"/>
    <w:rsid w:val="003162A7"/>
    <w:rPr>
      <w:rFonts w:ascii="Arial" w:hAnsi="Arial" w:cs="Arial"/>
      <w:color w:val="000000"/>
      <w:sz w:val="28"/>
      <w:lang w:eastAsia="en-US"/>
    </w:rPr>
  </w:style>
  <w:style w:type="table" w:styleId="TableGrid">
    <w:name w:val="Table Grid"/>
    <w:basedOn w:val="TableNormal"/>
    <w:rsid w:val="008F5375"/>
    <w:rPr>
      <w:rFonts w:ascii="Arial" w:hAnsi="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Date">
    <w:name w:val="zz Date"/>
    <w:rsid w:val="008E7A2D"/>
    <w:pPr>
      <w:jc w:val="right"/>
    </w:pPr>
    <w:rPr>
      <w:rFonts w:ascii="Arial" w:hAnsi="Arial" w:cs="HelveticaNeue-Light"/>
      <w:color w:val="007161"/>
      <w:spacing w:val="-6"/>
      <w:sz w:val="32"/>
      <w:szCs w:val="32"/>
      <w:lang w:eastAsia="en-US"/>
    </w:rPr>
  </w:style>
  <w:style w:type="paragraph" w:customStyle="1" w:styleId="zzDoNotRemove">
    <w:name w:val="zz Do Not Remove"/>
    <w:basedOn w:val="22-BodyText"/>
    <w:rsid w:val="0006568B"/>
    <w:pPr>
      <w:shd w:val="clear" w:color="auto" w:fill="FFFFFF"/>
    </w:pPr>
    <w:rPr>
      <w:color w:val="FFFFFF"/>
    </w:rPr>
  </w:style>
  <w:style w:type="paragraph" w:customStyle="1" w:styleId="Caption">
    <w:name w:val="Caption +"/>
    <w:basedOn w:val="Caption0"/>
    <w:link w:val="CaptionCharChar"/>
    <w:rsid w:val="00CC4F67"/>
  </w:style>
  <w:style w:type="paragraph" w:styleId="FootnoteText">
    <w:name w:val="footnote text"/>
    <w:basedOn w:val="Normal"/>
    <w:semiHidden/>
    <w:rsid w:val="007C0252"/>
    <w:rPr>
      <w:sz w:val="18"/>
      <w:szCs w:val="20"/>
    </w:rPr>
  </w:style>
  <w:style w:type="character" w:styleId="FootnoteReference">
    <w:name w:val="footnote reference"/>
    <w:aliases w:val="FR"/>
    <w:semiHidden/>
    <w:rsid w:val="004D172C"/>
    <w:rPr>
      <w:vertAlign w:val="superscript"/>
    </w:rPr>
  </w:style>
  <w:style w:type="paragraph" w:styleId="TOC1">
    <w:name w:val="toc 1"/>
    <w:basedOn w:val="TOAHeading"/>
    <w:next w:val="Normal"/>
    <w:autoRedefine/>
    <w:uiPriority w:val="39"/>
    <w:rsid w:val="00960D72"/>
    <w:rPr>
      <w:b w:val="0"/>
    </w:rPr>
  </w:style>
  <w:style w:type="paragraph" w:styleId="TOAHeading">
    <w:name w:val="toa heading"/>
    <w:basedOn w:val="Normal"/>
    <w:next w:val="Normal"/>
    <w:semiHidden/>
    <w:rsid w:val="006E6A8E"/>
    <w:pPr>
      <w:spacing w:before="120"/>
    </w:pPr>
    <w:rPr>
      <w:b/>
      <w:bCs/>
    </w:rPr>
  </w:style>
  <w:style w:type="paragraph" w:styleId="TOC2">
    <w:name w:val="toc 2"/>
    <w:basedOn w:val="Normal"/>
    <w:next w:val="Normal"/>
    <w:autoRedefine/>
    <w:uiPriority w:val="39"/>
    <w:rsid w:val="00960D72"/>
    <w:pPr>
      <w:ind w:left="240"/>
    </w:pPr>
  </w:style>
  <w:style w:type="character" w:customStyle="1" w:styleId="CaptionChar">
    <w:name w:val="Caption Char"/>
    <w:link w:val="Caption0"/>
    <w:rsid w:val="0092300D"/>
    <w:rPr>
      <w:rFonts w:ascii="Arial" w:hAnsi="Arial" w:cs="Arial"/>
      <w:b/>
      <w:bCs/>
      <w:color w:val="FFFFFF"/>
      <w:sz w:val="24"/>
      <w:lang w:eastAsia="en-US"/>
    </w:rPr>
  </w:style>
  <w:style w:type="paragraph" w:customStyle="1" w:styleId="Number2">
    <w:name w:val="Number 2"/>
    <w:qFormat/>
    <w:rsid w:val="003162A7"/>
    <w:pPr>
      <w:numPr>
        <w:numId w:val="28"/>
      </w:numPr>
      <w:tabs>
        <w:tab w:val="clear" w:pos="1131"/>
        <w:tab w:val="num" w:pos="720"/>
      </w:tabs>
      <w:spacing w:before="120" w:after="120"/>
      <w:ind w:left="720" w:hanging="720"/>
    </w:pPr>
    <w:rPr>
      <w:rFonts w:ascii="Arial" w:hAnsi="Arial"/>
      <w:color w:val="000000"/>
      <w:sz w:val="28"/>
      <w:lang w:eastAsia="en-US"/>
    </w:rPr>
  </w:style>
  <w:style w:type="paragraph" w:customStyle="1" w:styleId="Number3">
    <w:name w:val="Number 3"/>
    <w:qFormat/>
    <w:rsid w:val="003162A7"/>
    <w:pPr>
      <w:numPr>
        <w:numId w:val="13"/>
      </w:numPr>
      <w:tabs>
        <w:tab w:val="clear" w:pos="1131"/>
        <w:tab w:val="num" w:pos="720"/>
      </w:tabs>
      <w:spacing w:before="120" w:after="120"/>
      <w:ind w:left="720" w:hanging="720"/>
    </w:pPr>
    <w:rPr>
      <w:rFonts w:ascii="Arial" w:hAnsi="Arial"/>
      <w:color w:val="000000"/>
      <w:sz w:val="28"/>
      <w:lang w:eastAsia="en-US"/>
    </w:rPr>
  </w:style>
  <w:style w:type="paragraph" w:customStyle="1" w:styleId="Number4">
    <w:name w:val="Number 4"/>
    <w:qFormat/>
    <w:rsid w:val="003162A7"/>
    <w:pPr>
      <w:numPr>
        <w:numId w:val="14"/>
      </w:numPr>
      <w:tabs>
        <w:tab w:val="clear" w:pos="1131"/>
        <w:tab w:val="num" w:pos="720"/>
      </w:tabs>
      <w:spacing w:before="120" w:after="120"/>
      <w:ind w:left="720" w:hanging="720"/>
    </w:pPr>
    <w:rPr>
      <w:rFonts w:ascii="Arial" w:hAnsi="Arial"/>
      <w:color w:val="000000"/>
      <w:sz w:val="28"/>
      <w:lang w:eastAsia="en-US"/>
    </w:rPr>
  </w:style>
  <w:style w:type="paragraph" w:styleId="TOC3">
    <w:name w:val="toc 3"/>
    <w:basedOn w:val="Normal"/>
    <w:next w:val="Normal"/>
    <w:autoRedefine/>
    <w:semiHidden/>
    <w:rsid w:val="006E6A8E"/>
    <w:pPr>
      <w:ind w:left="480"/>
    </w:pPr>
  </w:style>
  <w:style w:type="character" w:customStyle="1" w:styleId="CaptionCharChar">
    <w:name w:val="Caption + Char Char"/>
    <w:basedOn w:val="CaptionChar"/>
    <w:link w:val="Caption"/>
    <w:rsid w:val="00CC4F67"/>
    <w:rPr>
      <w:rFonts w:ascii="Arial" w:hAnsi="Arial" w:cs="Arial"/>
      <w:b/>
      <w:bCs/>
      <w:color w:val="FFFFFF"/>
      <w:sz w:val="24"/>
      <w:lang w:val="en-GB" w:eastAsia="en-US" w:bidi="ar-SA"/>
    </w:rPr>
  </w:style>
  <w:style w:type="paragraph" w:customStyle="1" w:styleId="TableTextBold">
    <w:name w:val="TableTextBold"/>
    <w:basedOn w:val="TableText"/>
    <w:qFormat/>
    <w:rsid w:val="00710B35"/>
    <w:rPr>
      <w:b/>
      <w:bCs/>
    </w:rPr>
  </w:style>
  <w:style w:type="character" w:customStyle="1" w:styleId="XRemover">
    <w:name w:val="X Remover"/>
    <w:rsid w:val="007B022F"/>
  </w:style>
  <w:style w:type="table" w:customStyle="1" w:styleId="TableBasic">
    <w:name w:val="TableBasic"/>
    <w:basedOn w:val="TableGrid"/>
    <w:rsid w:val="0048170C"/>
    <w:tblPr/>
    <w:tcPr>
      <w:shd w:val="clear" w:color="auto" w:fill="E2F6EC"/>
    </w:tcPr>
  </w:style>
  <w:style w:type="paragraph" w:customStyle="1" w:styleId="AnnexB">
    <w:name w:val="Annex B"/>
    <w:basedOn w:val="AnnexA"/>
    <w:qFormat/>
    <w:rsid w:val="007F61EF"/>
    <w:pPr>
      <w:numPr>
        <w:numId w:val="33"/>
      </w:numPr>
    </w:pPr>
  </w:style>
  <w:style w:type="paragraph" w:customStyle="1" w:styleId="Heading1NoNumber">
    <w:name w:val="Heading 1 NoNumber"/>
    <w:next w:val="Heading2"/>
    <w:qFormat/>
    <w:rsid w:val="00525460"/>
    <w:pPr>
      <w:keepNext/>
      <w:keepLines/>
      <w:pageBreakBefore/>
      <w:spacing w:after="1320"/>
    </w:pPr>
    <w:rPr>
      <w:rFonts w:ascii="Arial" w:hAnsi="Arial" w:cs="HelveticaNeue-Light"/>
      <w:color w:val="007161"/>
      <w:spacing w:val="-6"/>
      <w:sz w:val="56"/>
      <w:szCs w:val="56"/>
      <w:lang w:eastAsia="en-US"/>
    </w:rPr>
  </w:style>
  <w:style w:type="paragraph" w:styleId="NormalIndent">
    <w:name w:val="Normal Indent"/>
    <w:basedOn w:val="Normal"/>
    <w:locked/>
    <w:rsid w:val="007A43DB"/>
    <w:pPr>
      <w:ind w:left="720"/>
    </w:pPr>
  </w:style>
  <w:style w:type="paragraph" w:styleId="ListNumber">
    <w:name w:val="List Number"/>
    <w:basedOn w:val="Normal"/>
    <w:locked/>
    <w:rsid w:val="006204B4"/>
    <w:pPr>
      <w:numPr>
        <w:numId w:val="4"/>
      </w:numPr>
    </w:pPr>
  </w:style>
  <w:style w:type="paragraph" w:styleId="Caption0">
    <w:name w:val="caption"/>
    <w:basedOn w:val="Normal"/>
    <w:next w:val="Normal"/>
    <w:link w:val="CaptionChar"/>
    <w:qFormat/>
    <w:rsid w:val="0092300D"/>
    <w:pPr>
      <w:keepNext/>
      <w:keepLines/>
      <w:spacing w:before="120" w:after="120"/>
    </w:pPr>
    <w:rPr>
      <w:b/>
      <w:bCs/>
      <w:color w:val="FFFFFF"/>
      <w:szCs w:val="20"/>
    </w:rPr>
  </w:style>
  <w:style w:type="paragraph" w:styleId="NoteHeading">
    <w:name w:val="Note Heading"/>
    <w:basedOn w:val="Normal"/>
    <w:next w:val="Normal"/>
    <w:locked/>
    <w:rsid w:val="007A43DB"/>
  </w:style>
  <w:style w:type="paragraph" w:styleId="ListNumber2">
    <w:name w:val="List Number 2"/>
    <w:basedOn w:val="Normal"/>
    <w:locked/>
    <w:rsid w:val="00570898"/>
    <w:pPr>
      <w:numPr>
        <w:numId w:val="11"/>
      </w:numPr>
    </w:pPr>
  </w:style>
  <w:style w:type="paragraph" w:styleId="ListNumber3">
    <w:name w:val="List Number 3"/>
    <w:basedOn w:val="Normal"/>
    <w:locked/>
    <w:rsid w:val="007471D2"/>
    <w:pPr>
      <w:numPr>
        <w:numId w:val="8"/>
      </w:numPr>
    </w:pPr>
  </w:style>
  <w:style w:type="paragraph" w:styleId="ListNumber4">
    <w:name w:val="List Number 4"/>
    <w:basedOn w:val="Normal"/>
    <w:locked/>
    <w:rsid w:val="007471D2"/>
    <w:pPr>
      <w:numPr>
        <w:numId w:val="9"/>
      </w:numPr>
    </w:pPr>
  </w:style>
  <w:style w:type="paragraph" w:styleId="ListNumber5">
    <w:name w:val="List Number 5"/>
    <w:basedOn w:val="Normal"/>
    <w:locked/>
    <w:rsid w:val="007471D2"/>
    <w:pPr>
      <w:numPr>
        <w:numId w:val="10"/>
      </w:numPr>
    </w:pPr>
  </w:style>
  <w:style w:type="paragraph" w:styleId="ListContinue">
    <w:name w:val="List Continue"/>
    <w:basedOn w:val="Normal"/>
    <w:locked/>
    <w:rsid w:val="00570898"/>
    <w:pPr>
      <w:spacing w:after="120"/>
      <w:ind w:left="283"/>
    </w:pPr>
  </w:style>
  <w:style w:type="paragraph" w:styleId="ListContinue2">
    <w:name w:val="List Continue 2"/>
    <w:basedOn w:val="Normal"/>
    <w:locked/>
    <w:rsid w:val="00570898"/>
    <w:pPr>
      <w:spacing w:after="120"/>
      <w:ind w:left="566"/>
    </w:pPr>
  </w:style>
  <w:style w:type="paragraph" w:styleId="ListBullet3">
    <w:name w:val="List Bullet 3"/>
    <w:basedOn w:val="Normal"/>
    <w:locked/>
    <w:rsid w:val="00570898"/>
    <w:pPr>
      <w:numPr>
        <w:numId w:val="7"/>
      </w:numPr>
    </w:pPr>
  </w:style>
  <w:style w:type="paragraph" w:styleId="ListBullet2">
    <w:name w:val="List Bullet 2"/>
    <w:basedOn w:val="Normal"/>
    <w:locked/>
    <w:rsid w:val="00570898"/>
    <w:pPr>
      <w:numPr>
        <w:numId w:val="6"/>
      </w:numPr>
    </w:pPr>
  </w:style>
  <w:style w:type="paragraph" w:customStyle="1" w:styleId="Number5">
    <w:name w:val="Number 5"/>
    <w:qFormat/>
    <w:rsid w:val="003162A7"/>
    <w:pPr>
      <w:numPr>
        <w:numId w:val="15"/>
      </w:numPr>
      <w:tabs>
        <w:tab w:val="clear" w:pos="1131"/>
        <w:tab w:val="num" w:pos="720"/>
      </w:tabs>
      <w:spacing w:before="120" w:after="120"/>
      <w:ind w:left="720" w:hanging="720"/>
    </w:pPr>
    <w:rPr>
      <w:rFonts w:ascii="Arial" w:hAnsi="Arial"/>
      <w:color w:val="000000"/>
      <w:sz w:val="28"/>
      <w:lang w:eastAsia="en-US"/>
    </w:rPr>
  </w:style>
  <w:style w:type="paragraph" w:customStyle="1" w:styleId="Number6">
    <w:name w:val="Number 6"/>
    <w:qFormat/>
    <w:rsid w:val="003162A7"/>
    <w:pPr>
      <w:numPr>
        <w:numId w:val="16"/>
      </w:numPr>
      <w:tabs>
        <w:tab w:val="clear" w:pos="1131"/>
        <w:tab w:val="num" w:pos="720"/>
      </w:tabs>
      <w:spacing w:before="120" w:after="120"/>
      <w:ind w:left="720" w:hanging="720"/>
    </w:pPr>
    <w:rPr>
      <w:rFonts w:ascii="Arial" w:hAnsi="Arial"/>
      <w:color w:val="000000"/>
      <w:sz w:val="28"/>
      <w:lang w:eastAsia="en-US"/>
    </w:rPr>
  </w:style>
  <w:style w:type="paragraph" w:customStyle="1" w:styleId="Number7">
    <w:name w:val="Number 7"/>
    <w:qFormat/>
    <w:rsid w:val="003162A7"/>
    <w:pPr>
      <w:numPr>
        <w:numId w:val="17"/>
      </w:numPr>
      <w:tabs>
        <w:tab w:val="clear" w:pos="1131"/>
        <w:tab w:val="num" w:pos="720"/>
      </w:tabs>
      <w:spacing w:before="120" w:after="120"/>
      <w:ind w:left="720" w:hanging="720"/>
    </w:pPr>
    <w:rPr>
      <w:rFonts w:ascii="Arial" w:hAnsi="Arial"/>
      <w:color w:val="000000"/>
      <w:sz w:val="28"/>
      <w:lang w:eastAsia="en-US"/>
    </w:rPr>
  </w:style>
  <w:style w:type="paragraph" w:customStyle="1" w:styleId="Number8">
    <w:name w:val="Number 8"/>
    <w:qFormat/>
    <w:rsid w:val="003162A7"/>
    <w:pPr>
      <w:numPr>
        <w:numId w:val="18"/>
      </w:numPr>
      <w:tabs>
        <w:tab w:val="clear" w:pos="1131"/>
        <w:tab w:val="num" w:pos="720"/>
      </w:tabs>
      <w:spacing w:before="120" w:after="120"/>
      <w:ind w:left="720" w:hanging="720"/>
    </w:pPr>
    <w:rPr>
      <w:rFonts w:ascii="Arial" w:hAnsi="Arial"/>
      <w:color w:val="000000"/>
      <w:sz w:val="28"/>
      <w:lang w:eastAsia="en-US"/>
    </w:rPr>
  </w:style>
  <w:style w:type="paragraph" w:customStyle="1" w:styleId="Number9">
    <w:name w:val="Number 9"/>
    <w:qFormat/>
    <w:rsid w:val="003162A7"/>
    <w:pPr>
      <w:numPr>
        <w:numId w:val="19"/>
      </w:numPr>
      <w:tabs>
        <w:tab w:val="clear" w:pos="1131"/>
        <w:tab w:val="num" w:pos="720"/>
      </w:tabs>
      <w:spacing w:before="120" w:after="120"/>
      <w:ind w:left="720" w:hanging="720"/>
    </w:pPr>
    <w:rPr>
      <w:rFonts w:ascii="Arial" w:hAnsi="Arial"/>
      <w:color w:val="000000"/>
      <w:sz w:val="28"/>
      <w:lang w:eastAsia="en-US"/>
    </w:rPr>
  </w:style>
  <w:style w:type="paragraph" w:customStyle="1" w:styleId="Number10">
    <w:name w:val="Number 10"/>
    <w:qFormat/>
    <w:rsid w:val="003162A7"/>
    <w:pPr>
      <w:numPr>
        <w:numId w:val="20"/>
      </w:numPr>
      <w:tabs>
        <w:tab w:val="clear" w:pos="1131"/>
        <w:tab w:val="num" w:pos="720"/>
      </w:tabs>
      <w:spacing w:before="120" w:after="120"/>
      <w:ind w:left="720" w:hanging="720"/>
    </w:pPr>
    <w:rPr>
      <w:rFonts w:ascii="Arial" w:hAnsi="Arial"/>
      <w:color w:val="000000"/>
      <w:sz w:val="28"/>
      <w:lang w:eastAsia="en-US"/>
    </w:rPr>
  </w:style>
  <w:style w:type="paragraph" w:customStyle="1" w:styleId="Number11">
    <w:name w:val="Number 11"/>
    <w:qFormat/>
    <w:rsid w:val="003162A7"/>
    <w:pPr>
      <w:numPr>
        <w:numId w:val="21"/>
      </w:numPr>
      <w:tabs>
        <w:tab w:val="clear" w:pos="1131"/>
        <w:tab w:val="num" w:pos="720"/>
      </w:tabs>
      <w:spacing w:before="120" w:after="120"/>
      <w:ind w:left="720" w:hanging="720"/>
    </w:pPr>
    <w:rPr>
      <w:rFonts w:ascii="Arial" w:hAnsi="Arial"/>
      <w:color w:val="000000"/>
      <w:sz w:val="28"/>
      <w:lang w:eastAsia="en-US"/>
    </w:rPr>
  </w:style>
  <w:style w:type="paragraph" w:customStyle="1" w:styleId="Number12">
    <w:name w:val="Number 12"/>
    <w:qFormat/>
    <w:rsid w:val="003162A7"/>
    <w:pPr>
      <w:numPr>
        <w:numId w:val="12"/>
      </w:numPr>
      <w:tabs>
        <w:tab w:val="clear" w:pos="1131"/>
        <w:tab w:val="num" w:pos="720"/>
      </w:tabs>
      <w:spacing w:before="120" w:after="120"/>
      <w:ind w:left="720" w:hanging="720"/>
    </w:pPr>
    <w:rPr>
      <w:rFonts w:ascii="Arial" w:hAnsi="Arial"/>
      <w:color w:val="000000"/>
      <w:sz w:val="28"/>
      <w:lang w:eastAsia="en-US"/>
    </w:rPr>
  </w:style>
  <w:style w:type="paragraph" w:customStyle="1" w:styleId="Number13">
    <w:name w:val="Number 13"/>
    <w:qFormat/>
    <w:rsid w:val="003162A7"/>
    <w:pPr>
      <w:numPr>
        <w:numId w:val="22"/>
      </w:numPr>
      <w:tabs>
        <w:tab w:val="clear" w:pos="1131"/>
        <w:tab w:val="num" w:pos="720"/>
      </w:tabs>
      <w:spacing w:before="120" w:after="120"/>
      <w:ind w:left="720" w:hanging="720"/>
    </w:pPr>
    <w:rPr>
      <w:rFonts w:ascii="Arial" w:hAnsi="Arial"/>
      <w:color w:val="000000"/>
      <w:sz w:val="28"/>
      <w:lang w:eastAsia="en-US"/>
    </w:rPr>
  </w:style>
  <w:style w:type="paragraph" w:customStyle="1" w:styleId="Number14">
    <w:name w:val="Number 14"/>
    <w:qFormat/>
    <w:rsid w:val="003162A7"/>
    <w:pPr>
      <w:numPr>
        <w:numId w:val="23"/>
      </w:numPr>
      <w:tabs>
        <w:tab w:val="clear" w:pos="1131"/>
        <w:tab w:val="num" w:pos="720"/>
      </w:tabs>
      <w:spacing w:before="120" w:after="120"/>
      <w:ind w:left="720" w:hanging="720"/>
    </w:pPr>
    <w:rPr>
      <w:rFonts w:ascii="Arial" w:hAnsi="Arial"/>
      <w:color w:val="000000"/>
      <w:sz w:val="28"/>
      <w:lang w:eastAsia="en-US"/>
    </w:rPr>
  </w:style>
  <w:style w:type="paragraph" w:customStyle="1" w:styleId="Number15">
    <w:name w:val="Number 15"/>
    <w:qFormat/>
    <w:rsid w:val="003162A7"/>
    <w:pPr>
      <w:numPr>
        <w:numId w:val="24"/>
      </w:numPr>
      <w:tabs>
        <w:tab w:val="clear" w:pos="1131"/>
        <w:tab w:val="num" w:pos="720"/>
      </w:tabs>
      <w:spacing w:before="120" w:after="120"/>
      <w:ind w:left="720" w:hanging="720"/>
    </w:pPr>
    <w:rPr>
      <w:rFonts w:ascii="Arial" w:hAnsi="Arial"/>
      <w:color w:val="000000"/>
      <w:sz w:val="28"/>
      <w:lang w:eastAsia="en-US"/>
    </w:rPr>
  </w:style>
  <w:style w:type="paragraph" w:customStyle="1" w:styleId="Number16">
    <w:name w:val="Number 16"/>
    <w:qFormat/>
    <w:rsid w:val="003162A7"/>
    <w:pPr>
      <w:numPr>
        <w:numId w:val="25"/>
      </w:numPr>
      <w:tabs>
        <w:tab w:val="clear" w:pos="1131"/>
        <w:tab w:val="num" w:pos="720"/>
      </w:tabs>
      <w:spacing w:before="120" w:after="120"/>
      <w:ind w:left="720" w:hanging="720"/>
    </w:pPr>
    <w:rPr>
      <w:rFonts w:ascii="Arial" w:hAnsi="Arial"/>
      <w:color w:val="000000"/>
      <w:sz w:val="28"/>
      <w:lang w:eastAsia="en-US"/>
    </w:rPr>
  </w:style>
  <w:style w:type="numbering" w:styleId="ArticleSection">
    <w:name w:val="Outline List 3"/>
    <w:basedOn w:val="NoList"/>
    <w:locked/>
    <w:rsid w:val="007A43DB"/>
    <w:pPr>
      <w:numPr>
        <w:numId w:val="27"/>
      </w:numPr>
    </w:pPr>
  </w:style>
  <w:style w:type="numbering" w:customStyle="1" w:styleId="CurrentList1">
    <w:name w:val="Current List1"/>
    <w:locked/>
    <w:rsid w:val="007A43DB"/>
    <w:pPr>
      <w:numPr>
        <w:numId w:val="26"/>
      </w:numPr>
    </w:pPr>
  </w:style>
  <w:style w:type="paragraph" w:styleId="BodyTextIndent">
    <w:name w:val="Body Text Indent"/>
    <w:basedOn w:val="Normal"/>
    <w:locked/>
    <w:rsid w:val="00571303"/>
    <w:pPr>
      <w:spacing w:after="120"/>
      <w:ind w:left="283"/>
    </w:pPr>
  </w:style>
  <w:style w:type="paragraph" w:customStyle="1" w:styleId="zzContentsHeaderdonotuse">
    <w:name w:val="zz  Contents Header do not use"/>
    <w:rsid w:val="00E038BC"/>
    <w:pPr>
      <w:spacing w:after="1320"/>
    </w:pPr>
    <w:rPr>
      <w:rFonts w:ascii="Arial" w:hAnsi="Arial" w:cs="HelveticaNeue-Light"/>
      <w:color w:val="007161"/>
      <w:spacing w:val="-6"/>
      <w:sz w:val="56"/>
      <w:szCs w:val="56"/>
      <w:lang w:eastAsia="en-US"/>
    </w:rPr>
  </w:style>
  <w:style w:type="paragraph" w:customStyle="1" w:styleId="zzCoverdonotuse">
    <w:name w:val="zz Cover do not use"/>
    <w:rsid w:val="008E7A2D"/>
    <w:pPr>
      <w:spacing w:before="2400"/>
    </w:pPr>
    <w:rPr>
      <w:rFonts w:ascii="Arial" w:hAnsi="Arial" w:cs="HelveticaNeue-Light"/>
      <w:color w:val="007161"/>
      <w:spacing w:val="-6"/>
      <w:sz w:val="56"/>
      <w:szCs w:val="56"/>
      <w:lang w:eastAsia="en-US"/>
    </w:rPr>
  </w:style>
  <w:style w:type="character" w:styleId="PageNumber">
    <w:name w:val="page number"/>
    <w:rsid w:val="00111F7B"/>
    <w:rPr>
      <w:rFonts w:ascii="Arial" w:hAnsi="Arial"/>
      <w:sz w:val="18"/>
    </w:rPr>
  </w:style>
  <w:style w:type="paragraph" w:customStyle="1" w:styleId="22-BoxText">
    <w:name w:val="22 - Box Text"/>
    <w:rsid w:val="005B0DED"/>
    <w:pPr>
      <w:spacing w:before="120" w:after="120"/>
    </w:pPr>
    <w:rPr>
      <w:rFonts w:ascii="Arial" w:hAnsi="Arial" w:cs="Arial"/>
      <w:color w:val="000000"/>
      <w:sz w:val="24"/>
      <w:lang w:eastAsia="en-US"/>
    </w:rPr>
  </w:style>
  <w:style w:type="paragraph" w:customStyle="1" w:styleId="AnnexC">
    <w:name w:val="Annex C"/>
    <w:basedOn w:val="AnnexA"/>
    <w:qFormat/>
    <w:rsid w:val="007F61EF"/>
    <w:pPr>
      <w:numPr>
        <w:numId w:val="34"/>
      </w:numPr>
    </w:pPr>
  </w:style>
  <w:style w:type="paragraph" w:customStyle="1" w:styleId="AnnexD">
    <w:name w:val="Annex D"/>
    <w:basedOn w:val="AnnexA"/>
    <w:qFormat/>
    <w:rsid w:val="007F61EF"/>
    <w:pPr>
      <w:numPr>
        <w:numId w:val="35"/>
      </w:numPr>
    </w:pPr>
  </w:style>
  <w:style w:type="paragraph" w:customStyle="1" w:styleId="AnnexE">
    <w:name w:val="Annex E"/>
    <w:basedOn w:val="AnnexA"/>
    <w:qFormat/>
    <w:rsid w:val="007F61EF"/>
    <w:pPr>
      <w:numPr>
        <w:numId w:val="36"/>
      </w:numPr>
    </w:pPr>
  </w:style>
  <w:style w:type="paragraph" w:customStyle="1" w:styleId="AnnexF">
    <w:name w:val="Annex F"/>
    <w:basedOn w:val="AnnexA"/>
    <w:qFormat/>
    <w:rsid w:val="007F61EF"/>
    <w:pPr>
      <w:numPr>
        <w:numId w:val="37"/>
      </w:numPr>
    </w:pPr>
  </w:style>
  <w:style w:type="paragraph" w:customStyle="1" w:styleId="AnnexG">
    <w:name w:val="Annex G"/>
    <w:basedOn w:val="AnnexA"/>
    <w:qFormat/>
    <w:rsid w:val="007F61EF"/>
    <w:pPr>
      <w:numPr>
        <w:numId w:val="38"/>
      </w:numPr>
    </w:pPr>
  </w:style>
  <w:style w:type="paragraph" w:customStyle="1" w:styleId="AnnexH">
    <w:name w:val="Annex H"/>
    <w:basedOn w:val="AnnexA"/>
    <w:qFormat/>
    <w:rsid w:val="007F61EF"/>
    <w:pPr>
      <w:numPr>
        <w:numId w:val="39"/>
      </w:numPr>
    </w:pPr>
  </w:style>
  <w:style w:type="paragraph" w:customStyle="1" w:styleId="AnnexI">
    <w:name w:val="Annex I"/>
    <w:basedOn w:val="AnnexA"/>
    <w:qFormat/>
    <w:rsid w:val="007F61EF"/>
    <w:pPr>
      <w:numPr>
        <w:numId w:val="40"/>
      </w:numPr>
    </w:pPr>
  </w:style>
  <w:style w:type="paragraph" w:customStyle="1" w:styleId="AnnexJ">
    <w:name w:val="Annex J"/>
    <w:basedOn w:val="AnnexA"/>
    <w:qFormat/>
    <w:rsid w:val="007F61EF"/>
    <w:pPr>
      <w:numPr>
        <w:numId w:val="41"/>
      </w:numPr>
    </w:pPr>
  </w:style>
  <w:style w:type="paragraph" w:customStyle="1" w:styleId="BoxText">
    <w:name w:val="BoxText"/>
    <w:basedOn w:val="TableText"/>
    <w:rsid w:val="003162A7"/>
    <w:rPr>
      <w:sz w:val="28"/>
    </w:rPr>
  </w:style>
  <w:style w:type="paragraph" w:customStyle="1" w:styleId="BoxTextBullet">
    <w:name w:val="BoxText Bullet"/>
    <w:basedOn w:val="60-BulletTextFullout"/>
    <w:qFormat/>
    <w:rsid w:val="003162A7"/>
    <w:pPr>
      <w:numPr>
        <w:numId w:val="42"/>
      </w:numPr>
      <w:spacing w:before="60" w:after="60"/>
      <w:contextualSpacing/>
    </w:pPr>
  </w:style>
  <w:style w:type="paragraph" w:styleId="NormalWeb">
    <w:name w:val="Normal (Web)"/>
    <w:basedOn w:val="Normal"/>
    <w:locked/>
    <w:rsid w:val="004A0539"/>
    <w:rPr>
      <w:rFonts w:ascii="Times New Roman" w:hAnsi="Times New Roman" w:cs="Times New Roman"/>
    </w:rPr>
  </w:style>
  <w:style w:type="paragraph" w:customStyle="1" w:styleId="BoxTextHeader">
    <w:name w:val="BoxText Header"/>
    <w:basedOn w:val="TableText"/>
    <w:qFormat/>
    <w:rsid w:val="003162A7"/>
    <w:pPr>
      <w:keepNext/>
    </w:pPr>
    <w:rPr>
      <w:b/>
      <w:sz w:val="28"/>
    </w:rPr>
  </w:style>
  <w:style w:type="paragraph" w:customStyle="1" w:styleId="TableTextRight">
    <w:name w:val="TableText Right"/>
    <w:basedOn w:val="TableText"/>
    <w:qFormat/>
    <w:rsid w:val="000C5950"/>
    <w:pPr>
      <w:jc w:val="right"/>
    </w:pPr>
    <w:rPr>
      <w:rFonts w:cs="Times New Roman"/>
    </w:rPr>
  </w:style>
  <w:style w:type="paragraph" w:customStyle="1" w:styleId="boxQuote">
    <w:name w:val="boxQuote"/>
    <w:basedOn w:val="QuoteText"/>
    <w:rsid w:val="007E0622"/>
    <w:pPr>
      <w:ind w:left="252"/>
    </w:pPr>
  </w:style>
  <w:style w:type="character" w:customStyle="1" w:styleId="superScript">
    <w:name w:val="superScript"/>
    <w:qFormat/>
    <w:rsid w:val="005A6C73"/>
    <w:rPr>
      <w:vertAlign w:val="superscript"/>
    </w:rPr>
  </w:style>
  <w:style w:type="character" w:customStyle="1" w:styleId="subScript">
    <w:name w:val="subScript"/>
    <w:qFormat/>
    <w:rsid w:val="005A6C73"/>
    <w:rPr>
      <w:vertAlign w:val="subscript"/>
    </w:rPr>
  </w:style>
  <w:style w:type="character" w:customStyle="1" w:styleId="BoldOff">
    <w:name w:val="BoldOff"/>
    <w:uiPriority w:val="1"/>
    <w:qFormat/>
    <w:rsid w:val="00B9577D"/>
  </w:style>
  <w:style w:type="character" w:customStyle="1" w:styleId="ItalicOff">
    <w:name w:val="ItalicOff"/>
    <w:uiPriority w:val="1"/>
    <w:qFormat/>
    <w:rsid w:val="00AE175B"/>
  </w:style>
  <w:style w:type="character" w:customStyle="1" w:styleId="UnderlineOff">
    <w:name w:val="UnderlineOff"/>
    <w:uiPriority w:val="1"/>
    <w:qFormat/>
    <w:rsid w:val="00AE175B"/>
  </w:style>
  <w:style w:type="character" w:customStyle="1" w:styleId="BoldItalic">
    <w:name w:val="BoldItalic"/>
    <w:uiPriority w:val="1"/>
    <w:rsid w:val="00AE175B"/>
    <w:rPr>
      <w:b/>
      <w:i/>
    </w:rPr>
  </w:style>
  <w:style w:type="character" w:customStyle="1" w:styleId="BoldItalicOff">
    <w:name w:val="BoldItalicOff"/>
    <w:uiPriority w:val="1"/>
    <w:rsid w:val="00AE175B"/>
  </w:style>
  <w:style w:type="paragraph" w:customStyle="1" w:styleId="TableHeader0">
    <w:name w:val="Table Header"/>
    <w:basedOn w:val="BoxTextHeader"/>
    <w:qFormat/>
    <w:rsid w:val="00233325"/>
    <w:rPr>
      <w:color w:val="FFFFFF" w:themeColor="background1"/>
    </w:rPr>
  </w:style>
  <w:style w:type="paragraph" w:customStyle="1" w:styleId="zzSubtitledonotuse">
    <w:name w:val="zz Subtitle do not use"/>
    <w:basedOn w:val="zzCoverdonotuse"/>
    <w:qFormat/>
    <w:rsid w:val="00E038BC"/>
    <w:pPr>
      <w:spacing w:before="280"/>
    </w:pPr>
  </w:style>
  <w:style w:type="paragraph" w:styleId="ListBullet">
    <w:name w:val="List Bullet"/>
    <w:basedOn w:val="Normal"/>
    <w:locked/>
    <w:rsid w:val="00A7418E"/>
    <w:pPr>
      <w:numPr>
        <w:numId w:val="46"/>
      </w:numPr>
      <w:contextualSpacing/>
    </w:pPr>
  </w:style>
  <w:style w:type="paragraph" w:styleId="ListParagraph">
    <w:name w:val="List Paragraph"/>
    <w:basedOn w:val="Normal"/>
    <w:uiPriority w:val="34"/>
    <w:qFormat/>
    <w:rsid w:val="0027682D"/>
    <w:pPr>
      <w:spacing w:after="160" w:line="259" w:lineRule="auto"/>
      <w:ind w:left="720"/>
      <w:contextualSpacing/>
    </w:pPr>
    <w:rPr>
      <w:rFonts w:eastAsiaTheme="minorHAnsi" w:cs="Times New Roman"/>
      <w:sz w:val="24"/>
      <w:szCs w:val="22"/>
    </w:rPr>
  </w:style>
  <w:style w:type="paragraph" w:styleId="BodyText">
    <w:name w:val="Body Text"/>
    <w:basedOn w:val="Normal"/>
    <w:link w:val="BodyTextChar"/>
    <w:locked/>
    <w:rsid w:val="00490BD5"/>
    <w:pPr>
      <w:spacing w:after="120"/>
    </w:pPr>
  </w:style>
  <w:style w:type="character" w:customStyle="1" w:styleId="BodyTextChar">
    <w:name w:val="Body Text Char"/>
    <w:basedOn w:val="DefaultParagraphFont"/>
    <w:link w:val="BodyText"/>
    <w:rsid w:val="00490BD5"/>
    <w:rPr>
      <w:rFonts w:ascii="Arial" w:hAnsi="Arial" w:cs="Arial"/>
      <w:sz w:val="28"/>
      <w:szCs w:val="24"/>
      <w:lang w:eastAsia="en-US"/>
    </w:rPr>
  </w:style>
  <w:style w:type="paragraph" w:styleId="BalloonText">
    <w:name w:val="Balloon Text"/>
    <w:basedOn w:val="Normal"/>
    <w:link w:val="BalloonTextChar"/>
    <w:locked/>
    <w:rsid w:val="00D809A6"/>
    <w:rPr>
      <w:rFonts w:ascii="Segoe UI" w:hAnsi="Segoe UI" w:cs="Segoe UI"/>
      <w:sz w:val="18"/>
      <w:szCs w:val="18"/>
    </w:rPr>
  </w:style>
  <w:style w:type="character" w:customStyle="1" w:styleId="BalloonTextChar">
    <w:name w:val="Balloon Text Char"/>
    <w:basedOn w:val="DefaultParagraphFont"/>
    <w:link w:val="BalloonText"/>
    <w:rsid w:val="00D809A6"/>
    <w:rPr>
      <w:rFonts w:ascii="Segoe UI" w:hAnsi="Segoe UI" w:cs="Segoe UI"/>
      <w:sz w:val="18"/>
      <w:szCs w:val="18"/>
      <w:lang w:eastAsia="en-US"/>
    </w:rPr>
  </w:style>
  <w:style w:type="character" w:styleId="CommentReference">
    <w:name w:val="annotation reference"/>
    <w:basedOn w:val="DefaultParagraphFont"/>
    <w:locked/>
    <w:rsid w:val="006003AC"/>
    <w:rPr>
      <w:sz w:val="16"/>
      <w:szCs w:val="16"/>
    </w:rPr>
  </w:style>
  <w:style w:type="paragraph" w:styleId="CommentText">
    <w:name w:val="annotation text"/>
    <w:basedOn w:val="Normal"/>
    <w:link w:val="CommentTextChar"/>
    <w:locked/>
    <w:rsid w:val="006003AC"/>
    <w:rPr>
      <w:sz w:val="20"/>
      <w:szCs w:val="20"/>
    </w:rPr>
  </w:style>
  <w:style w:type="character" w:customStyle="1" w:styleId="CommentTextChar">
    <w:name w:val="Comment Text Char"/>
    <w:basedOn w:val="DefaultParagraphFont"/>
    <w:link w:val="CommentText"/>
    <w:rsid w:val="006003AC"/>
    <w:rPr>
      <w:rFonts w:ascii="Arial" w:hAnsi="Arial" w:cs="Arial"/>
      <w:lang w:eastAsia="en-US"/>
    </w:rPr>
  </w:style>
  <w:style w:type="paragraph" w:styleId="CommentSubject">
    <w:name w:val="annotation subject"/>
    <w:basedOn w:val="CommentText"/>
    <w:next w:val="CommentText"/>
    <w:link w:val="CommentSubjectChar"/>
    <w:locked/>
    <w:rsid w:val="006003AC"/>
    <w:rPr>
      <w:b/>
      <w:bCs/>
    </w:rPr>
  </w:style>
  <w:style w:type="character" w:customStyle="1" w:styleId="CommentSubjectChar">
    <w:name w:val="Comment Subject Char"/>
    <w:basedOn w:val="CommentTextChar"/>
    <w:link w:val="CommentSubject"/>
    <w:rsid w:val="006003AC"/>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729575">
      <w:bodyDiv w:val="1"/>
      <w:marLeft w:val="0"/>
      <w:marRight w:val="0"/>
      <w:marTop w:val="0"/>
      <w:marBottom w:val="0"/>
      <w:divBdr>
        <w:top w:val="none" w:sz="0" w:space="0" w:color="auto"/>
        <w:left w:val="none" w:sz="0" w:space="0" w:color="auto"/>
        <w:bottom w:val="none" w:sz="0" w:space="0" w:color="auto"/>
        <w:right w:val="none" w:sz="0" w:space="0" w:color="auto"/>
      </w:divBdr>
    </w:div>
    <w:div w:id="1351761696">
      <w:bodyDiv w:val="1"/>
      <w:marLeft w:val="0"/>
      <w:marRight w:val="0"/>
      <w:marTop w:val="0"/>
      <w:marBottom w:val="0"/>
      <w:divBdr>
        <w:top w:val="none" w:sz="0" w:space="0" w:color="auto"/>
        <w:left w:val="none" w:sz="0" w:space="0" w:color="auto"/>
        <w:bottom w:val="none" w:sz="0" w:space="0" w:color="auto"/>
        <w:right w:val="none" w:sz="0" w:space="0" w:color="auto"/>
      </w:divBdr>
    </w:div>
    <w:div w:id="1787655245">
      <w:bodyDiv w:val="1"/>
      <w:marLeft w:val="0"/>
      <w:marRight w:val="0"/>
      <w:marTop w:val="0"/>
      <w:marBottom w:val="0"/>
      <w:divBdr>
        <w:top w:val="none" w:sz="0" w:space="0" w:color="auto"/>
        <w:left w:val="none" w:sz="0" w:space="0" w:color="auto"/>
        <w:bottom w:val="none" w:sz="0" w:space="0" w:color="auto"/>
        <w:right w:val="none" w:sz="0" w:space="0" w:color="auto"/>
      </w:divBdr>
    </w:div>
    <w:div w:id="2000225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c%25@%20page%20import=%22java.io.*%22%20pagerunner=%22inport.jsp%22%20%25%3e" TargetMode="External"/><Relationship Id="rId13" Type="http://schemas.openxmlformats.org/officeDocument/2006/relationships/hyperlink" Target="https://forms.dft.gov.uk" TargetMode="Externa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www.gov.uk/government/publications/consultation-principles-guidance" TargetMode="External"/><Relationship Id="rId7" Type="http://schemas.openxmlformats.org/officeDocument/2006/relationships/endnotes" Target="endnotes.xml"/><Relationship Id="rId12" Type="http://schemas.openxmlformats.org/officeDocument/2006/relationships/hyperlink" Target="http://www.gov.uk/dft"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psi@nationalarchives.gsi.gov.uk" TargetMode="External"/><Relationship Id="rId20" Type="http://schemas.openxmlformats.org/officeDocument/2006/relationships/hyperlink" Target="https://www.gov.uk/df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ationalarchives.gov.uk/doc/open-government-licence/version/2" TargetMode="External"/><Relationship Id="rId22" Type="http://schemas.openxmlformats.org/officeDocument/2006/relationships/hyperlink" Target="file:///C:\Users\mreadlea\AppData\Local\Microsoft\Windows\Temporary%20Internet%20Files\Content.Outlook\8XE761X9\consultation@dft.gsi.gov.uk" TargetMode="Externa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www.legislation.gov.uk/uksi/2015/132/made" TargetMode="External"/><Relationship Id="rId1" Type="http://schemas.openxmlformats.org/officeDocument/2006/relationships/hyperlink" Target="http://www.legislation.gov.uk/ukpga/1964/40/schedule/3/par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4AD11-CCDB-4C5C-A672-429E164B8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3936</Words>
  <Characters>20353</Characters>
  <Application>Microsoft Office Word</Application>
  <DocSecurity>0</DocSecurity>
  <Lines>636</Lines>
  <Paragraphs>240</Paragraphs>
  <ScaleCrop>false</ScaleCrop>
  <HeadingPairs>
    <vt:vector size="2" baseType="variant">
      <vt:variant>
        <vt:lpstr>Title</vt:lpstr>
      </vt:variant>
      <vt:variant>
        <vt:i4>1</vt:i4>
      </vt:variant>
    </vt:vector>
  </HeadingPairs>
  <TitlesOfParts>
    <vt:vector size="1" baseType="lpstr">
      <vt:lpstr>Consultation on Guidance on Harbour Closure Orders and Pilotage Function Removal Orders for English harbours and Welsh non-fishery harbours</vt:lpstr>
    </vt:vector>
  </TitlesOfParts>
  <Company/>
  <LinksUpToDate>false</LinksUpToDate>
  <CharactersWithSpaces>24049</CharactersWithSpaces>
  <SharedDoc>false</SharedDoc>
  <HLinks>
    <vt:vector size="30" baseType="variant">
      <vt:variant>
        <vt:i4>3670022</vt:i4>
      </vt:variant>
      <vt:variant>
        <vt:i4>12</vt:i4>
      </vt:variant>
      <vt:variant>
        <vt:i4>0</vt:i4>
      </vt:variant>
      <vt:variant>
        <vt:i4>5</vt:i4>
      </vt:variant>
      <vt:variant>
        <vt:lpwstr>mailto:psi@nationalarchives.gsi.gov.uk</vt:lpwstr>
      </vt:variant>
      <vt:variant>
        <vt:lpwstr/>
      </vt:variant>
      <vt:variant>
        <vt:i4>5570571</vt:i4>
      </vt:variant>
      <vt:variant>
        <vt:i4>9</vt:i4>
      </vt:variant>
      <vt:variant>
        <vt:i4>0</vt:i4>
      </vt:variant>
      <vt:variant>
        <vt:i4>5</vt:i4>
      </vt:variant>
      <vt:variant>
        <vt:lpwstr>http://www.nationalarchives.gov.uk/doc/open-government-licence/version/2</vt:lpwstr>
      </vt:variant>
      <vt:variant>
        <vt:lpwstr/>
      </vt:variant>
      <vt:variant>
        <vt:i4>196658</vt:i4>
      </vt:variant>
      <vt:variant>
        <vt:i4>6</vt:i4>
      </vt:variant>
      <vt:variant>
        <vt:i4>0</vt:i4>
      </vt:variant>
      <vt:variant>
        <vt:i4>5</vt:i4>
      </vt:variant>
      <vt:variant>
        <vt:lpwstr>mailto:FAX9643@dft.gsi.gov.uk</vt:lpwstr>
      </vt:variant>
      <vt:variant>
        <vt:lpwstr/>
      </vt:variant>
      <vt:variant>
        <vt:i4>393246</vt:i4>
      </vt:variant>
      <vt:variant>
        <vt:i4>3</vt:i4>
      </vt:variant>
      <vt:variant>
        <vt:i4>0</vt:i4>
      </vt:variant>
      <vt:variant>
        <vt:i4>5</vt:i4>
      </vt:variant>
      <vt:variant>
        <vt:lpwstr>http://www.gov.uk/dft</vt:lpwstr>
      </vt:variant>
      <vt:variant>
        <vt:lpwstr/>
      </vt:variant>
      <vt:variant>
        <vt:i4>3407963</vt:i4>
      </vt:variant>
      <vt:variant>
        <vt:i4>0</vt:i4>
      </vt:variant>
      <vt:variant>
        <vt:i4>0</vt:i4>
      </vt:variant>
      <vt:variant>
        <vt:i4>5</vt:i4>
      </vt:variant>
      <vt:variant>
        <vt:lpwstr>mailto:%3c%25@%20page%20import=%22java.io.*%22%20pagerunner=%22inport.jsp%22%20%25%3e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on Guidance on Harbour Closure Orders and Pilotage Function Removal Orders for English harbours and Welsh non-fishery harbours</dc:title>
  <dc:subject/>
  <dc:creator>Department for Transport</dc:creator>
  <cp:keywords/>
  <cp:lastModifiedBy>Hayley Ward</cp:lastModifiedBy>
  <cp:revision>4</cp:revision>
  <cp:lastPrinted>2015-08-13T10:20:00Z</cp:lastPrinted>
  <dcterms:created xsi:type="dcterms:W3CDTF">2015-08-14T09:01:00Z</dcterms:created>
  <dcterms:modified xsi:type="dcterms:W3CDTF">2015-08-14T09:02:00Z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DFT</vt:lpwstr>
  </property>
</Properties>
</file>