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5" w:type="dxa"/>
        <w:tblLayout w:type="fixed"/>
        <w:tblLook w:val="01E0" w:firstRow="1" w:lastRow="1" w:firstColumn="1" w:lastColumn="1" w:noHBand="0" w:noVBand="0"/>
      </w:tblPr>
      <w:tblGrid>
        <w:gridCol w:w="8324"/>
      </w:tblGrid>
      <w:tr w:rsidR="008E495F" w:rsidRPr="003A053F" w:rsidTr="000920FE">
        <w:trPr>
          <w:cantSplit/>
          <w:trHeight w:hRule="exact" w:val="7201"/>
        </w:trPr>
        <w:tc>
          <w:tcPr>
            <w:tcW w:w="8324" w:type="dxa"/>
          </w:tcPr>
          <w:p w:rsidR="008E495F" w:rsidRDefault="008E495F" w:rsidP="000920FE">
            <w:pPr>
              <w:pStyle w:val="Covertitle"/>
              <w:spacing w:after="240"/>
            </w:pPr>
            <w:r>
              <w:t xml:space="preserve">Consultation on changes to reoffending statistics following the introduction of the </w:t>
            </w:r>
            <w:r w:rsidR="004865FE">
              <w:t>Rehabilitation Programme</w:t>
            </w:r>
          </w:p>
          <w:p w:rsidR="008E495F" w:rsidRPr="00F2616E" w:rsidRDefault="008E495F" w:rsidP="000920FE">
            <w:pPr>
              <w:pStyle w:val="StyleCovertitleArial26ptNotBold"/>
              <w:spacing w:after="240"/>
            </w:pPr>
          </w:p>
        </w:tc>
      </w:tr>
      <w:tr w:rsidR="008E495F" w:rsidRPr="000920FE" w:rsidTr="000920FE">
        <w:trPr>
          <w:cantSplit/>
        </w:trPr>
        <w:tc>
          <w:tcPr>
            <w:tcW w:w="8324" w:type="dxa"/>
          </w:tcPr>
          <w:p w:rsidR="008E495F" w:rsidRPr="000920FE" w:rsidRDefault="008E495F" w:rsidP="000920FE">
            <w:pPr>
              <w:pStyle w:val="cover-othertext"/>
              <w:spacing w:after="240"/>
              <w:rPr>
                <w:b/>
              </w:rPr>
            </w:pPr>
          </w:p>
          <w:p w:rsidR="008E495F" w:rsidRDefault="008E495F" w:rsidP="000920FE">
            <w:pPr>
              <w:pStyle w:val="cover-othertext"/>
              <w:spacing w:after="240"/>
            </w:pPr>
          </w:p>
          <w:p w:rsidR="008E495F" w:rsidRDefault="008E495F" w:rsidP="00A26E04">
            <w:pPr>
              <w:pStyle w:val="cover-othertext"/>
              <w:spacing w:after="240"/>
            </w:pPr>
            <w:r>
              <w:t xml:space="preserve">This consultation begins on </w:t>
            </w:r>
            <w:bookmarkStart w:id="0" w:name="_GoBack"/>
            <w:r>
              <w:t>30th July 2015</w:t>
            </w:r>
          </w:p>
          <w:p w:rsidR="008E495F" w:rsidRPr="00EE4C1E" w:rsidRDefault="008E495F" w:rsidP="0099198F">
            <w:pPr>
              <w:pStyle w:val="cover-othertext"/>
              <w:spacing w:after="240"/>
            </w:pPr>
            <w:r>
              <w:t>This consultation ends on 30th October 2015</w:t>
            </w:r>
            <w:bookmarkEnd w:id="0"/>
          </w:p>
        </w:tc>
      </w:tr>
    </w:tbl>
    <w:p w:rsidR="008E495F" w:rsidRDefault="008E495F" w:rsidP="00F64366">
      <w:pPr>
        <w:pStyle w:val="Text"/>
      </w:pPr>
    </w:p>
    <w:p w:rsidR="008E495F" w:rsidRDefault="008E495F" w:rsidP="007C7960">
      <w:pPr>
        <w:pStyle w:val="Text"/>
      </w:pPr>
    </w:p>
    <w:p w:rsidR="008E495F" w:rsidRDefault="008E495F" w:rsidP="007C7960">
      <w:pPr>
        <w:pStyle w:val="Text"/>
      </w:pPr>
    </w:p>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Pr>
        <w:rPr>
          <w:b/>
          <w:bCs/>
          <w:color w:val="000000"/>
          <w:sz w:val="28"/>
          <w:szCs w:val="28"/>
        </w:rPr>
      </w:pPr>
    </w:p>
    <w:p w:rsidR="008E495F" w:rsidRDefault="008E495F" w:rsidP="00D9327C">
      <w:pPr>
        <w:rPr>
          <w:b/>
          <w:bCs/>
          <w:color w:val="000000"/>
          <w:sz w:val="28"/>
          <w:szCs w:val="28"/>
        </w:rPr>
      </w:pPr>
      <w:r w:rsidRPr="004C10A6">
        <w:rPr>
          <w:b/>
          <w:bCs/>
          <w:color w:val="000000"/>
          <w:sz w:val="28"/>
          <w:szCs w:val="28"/>
        </w:rPr>
        <w:lastRenderedPageBreak/>
        <w:t>About this consultation</w:t>
      </w:r>
    </w:p>
    <w:p w:rsidR="008E495F" w:rsidRDefault="008E495F" w:rsidP="00D9327C"/>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91"/>
        <w:gridCol w:w="3973"/>
      </w:tblGrid>
      <w:tr w:rsidR="008E495F" w:rsidRPr="004C10A6" w:rsidTr="004C10A6">
        <w:trPr>
          <w:trHeight w:val="272"/>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Pr>
                <w:b/>
                <w:bCs/>
                <w:color w:val="000000"/>
              </w:rPr>
              <w:t>To</w:t>
            </w:r>
            <w:r w:rsidRPr="004C10A6">
              <w:rPr>
                <w:b/>
                <w:bCs/>
                <w:color w:val="000000"/>
              </w:rPr>
              <w:t xml:space="preserve">: </w:t>
            </w:r>
          </w:p>
        </w:tc>
        <w:tc>
          <w:tcPr>
            <w:tcW w:w="3973" w:type="dxa"/>
            <w:tcBorders>
              <w:top w:val="single" w:sz="6" w:space="0" w:color="000000"/>
              <w:left w:val="single" w:sz="6" w:space="0" w:color="000000"/>
              <w:bottom w:val="single" w:sz="6" w:space="0" w:color="000000"/>
            </w:tcBorders>
          </w:tcPr>
          <w:p w:rsidR="008E495F" w:rsidRPr="004C10A6" w:rsidRDefault="008E495F" w:rsidP="00F42EB8">
            <w:pPr>
              <w:autoSpaceDE w:val="0"/>
              <w:autoSpaceDN w:val="0"/>
              <w:adjustRightInd w:val="0"/>
              <w:spacing w:after="240" w:line="240" w:lineRule="auto"/>
              <w:rPr>
                <w:color w:val="000000"/>
              </w:rPr>
            </w:pPr>
            <w:r w:rsidRPr="004C10A6">
              <w:rPr>
                <w:color w:val="000000"/>
              </w:rPr>
              <w:t xml:space="preserve">All persons with an interest in </w:t>
            </w:r>
            <w:r>
              <w:rPr>
                <w:color w:val="000000"/>
              </w:rPr>
              <w:t>reoffending</w:t>
            </w:r>
            <w:r w:rsidRPr="004C10A6">
              <w:rPr>
                <w:color w:val="000000"/>
              </w:rPr>
              <w:t xml:space="preserve">. </w:t>
            </w:r>
          </w:p>
        </w:tc>
      </w:tr>
      <w:tr w:rsidR="008E495F" w:rsidRPr="004C10A6" w:rsidTr="004C10A6">
        <w:trPr>
          <w:trHeight w:val="162"/>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Duration: </w:t>
            </w:r>
          </w:p>
        </w:tc>
        <w:tc>
          <w:tcPr>
            <w:tcW w:w="3973" w:type="dxa"/>
            <w:tcBorders>
              <w:top w:val="single" w:sz="6" w:space="0" w:color="000000"/>
              <w:left w:val="single" w:sz="6" w:space="0" w:color="000000"/>
              <w:bottom w:val="single" w:sz="6" w:space="0" w:color="000000"/>
            </w:tcBorders>
          </w:tcPr>
          <w:p w:rsidR="008E495F" w:rsidRPr="004C10A6" w:rsidRDefault="008E495F" w:rsidP="0099198F">
            <w:pPr>
              <w:autoSpaceDE w:val="0"/>
              <w:autoSpaceDN w:val="0"/>
              <w:adjustRightInd w:val="0"/>
              <w:spacing w:after="240" w:line="240" w:lineRule="auto"/>
              <w:rPr>
                <w:color w:val="000000"/>
              </w:rPr>
            </w:pPr>
            <w:r w:rsidRPr="004C10A6">
              <w:rPr>
                <w:color w:val="000000"/>
              </w:rPr>
              <w:t xml:space="preserve">From </w:t>
            </w:r>
            <w:r>
              <w:rPr>
                <w:color w:val="000000"/>
              </w:rPr>
              <w:t>30</w:t>
            </w:r>
            <w:r w:rsidRPr="004C10A6">
              <w:rPr>
                <w:color w:val="000000"/>
                <w:sz w:val="14"/>
                <w:szCs w:val="14"/>
              </w:rPr>
              <w:t xml:space="preserve">th </w:t>
            </w:r>
            <w:r>
              <w:rPr>
                <w:color w:val="000000"/>
              </w:rPr>
              <w:t>July 2015</w:t>
            </w:r>
            <w:r w:rsidRPr="004C10A6">
              <w:rPr>
                <w:color w:val="000000"/>
              </w:rPr>
              <w:t xml:space="preserve"> to </w:t>
            </w:r>
            <w:r>
              <w:rPr>
                <w:color w:val="000000"/>
              </w:rPr>
              <w:t>30</w:t>
            </w:r>
            <w:r w:rsidRPr="004C10A6">
              <w:rPr>
                <w:color w:val="000000"/>
                <w:sz w:val="14"/>
                <w:szCs w:val="14"/>
              </w:rPr>
              <w:t xml:space="preserve">th </w:t>
            </w:r>
            <w:r>
              <w:rPr>
                <w:color w:val="000000"/>
              </w:rPr>
              <w:t>October 2015</w:t>
            </w:r>
            <w:r w:rsidRPr="004C10A6">
              <w:rPr>
                <w:color w:val="000000"/>
              </w:rPr>
              <w:t xml:space="preserve"> </w:t>
            </w:r>
          </w:p>
        </w:tc>
      </w:tr>
      <w:tr w:rsidR="008E495F" w:rsidRPr="004C10A6" w:rsidTr="004C10A6">
        <w:trPr>
          <w:trHeight w:val="1271"/>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Enquiries (including requests for the paper in an alternative format) to: </w:t>
            </w:r>
          </w:p>
        </w:tc>
        <w:tc>
          <w:tcPr>
            <w:tcW w:w="3973" w:type="dxa"/>
            <w:tcBorders>
              <w:top w:val="single" w:sz="6" w:space="0" w:color="000000"/>
              <w:left w:val="single" w:sz="6" w:space="0" w:color="000000"/>
              <w:bottom w:val="single" w:sz="6" w:space="0" w:color="000000"/>
            </w:tcBorders>
          </w:tcPr>
          <w:p w:rsidR="008E495F" w:rsidRDefault="008E495F" w:rsidP="004C10A6">
            <w:pPr>
              <w:autoSpaceDE w:val="0"/>
              <w:autoSpaceDN w:val="0"/>
              <w:adjustRightInd w:val="0"/>
              <w:spacing w:line="240" w:lineRule="auto"/>
              <w:rPr>
                <w:color w:val="000000"/>
              </w:rPr>
            </w:pPr>
            <w:r>
              <w:rPr>
                <w:color w:val="000000"/>
              </w:rPr>
              <w:t>Nick Mavron</w:t>
            </w:r>
            <w:r w:rsidRPr="004C10A6">
              <w:rPr>
                <w:color w:val="000000"/>
              </w:rPr>
              <w:t xml:space="preserve"> </w:t>
            </w:r>
          </w:p>
          <w:p w:rsidR="008E495F" w:rsidRPr="004C10A6" w:rsidRDefault="008E495F" w:rsidP="004C10A6">
            <w:pPr>
              <w:autoSpaceDE w:val="0"/>
              <w:autoSpaceDN w:val="0"/>
              <w:adjustRightInd w:val="0"/>
              <w:spacing w:line="240" w:lineRule="auto"/>
              <w:rPr>
                <w:color w:val="000000"/>
              </w:rPr>
            </w:pPr>
            <w:r w:rsidRPr="004C10A6">
              <w:rPr>
                <w:color w:val="000000"/>
              </w:rPr>
              <w:t xml:space="preserve">Ministry of Justice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7th Floor 102 Petty </w:t>
            </w:r>
            <w:smartTag w:uri="urn:schemas-microsoft-com:office:smarttags" w:element="country-region">
              <w:r w:rsidRPr="004C10A6">
                <w:rPr>
                  <w:color w:val="000000"/>
                </w:rPr>
                <w:t>France</w:t>
              </w:r>
            </w:smartTag>
            <w:r w:rsidRPr="004C10A6">
              <w:rPr>
                <w:color w:val="000000"/>
              </w:rPr>
              <w:t xml:space="preserve"> </w:t>
            </w:r>
            <w:smartTag w:uri="urn:schemas-microsoft-com:office:smarttags" w:element="place">
              <w:smartTag w:uri="urn:schemas-microsoft-com:office:smarttags" w:element="City">
                <w:r w:rsidRPr="004C10A6">
                  <w:rPr>
                    <w:color w:val="000000"/>
                  </w:rPr>
                  <w:t>London</w:t>
                </w:r>
              </w:smartTag>
            </w:smartTag>
            <w:r w:rsidRPr="004C10A6">
              <w:rPr>
                <w:color w:val="000000"/>
              </w:rPr>
              <w:t xml:space="preserve"> SW1H 9AJ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Tel: 020 3334 3555 Fax: 020 3334 3669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Email: </w:t>
            </w:r>
            <w:r w:rsidRPr="004C10A6">
              <w:rPr>
                <w:color w:val="000000"/>
                <w:u w:val="single"/>
              </w:rPr>
              <w:t xml:space="preserve">statistics.enquiries@justice.gsi.gov.uk </w:t>
            </w:r>
          </w:p>
        </w:tc>
      </w:tr>
      <w:tr w:rsidR="008E495F" w:rsidRPr="004C10A6" w:rsidTr="004C10A6">
        <w:trPr>
          <w:trHeight w:val="1401"/>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How to respond: </w:t>
            </w:r>
          </w:p>
        </w:tc>
        <w:tc>
          <w:tcPr>
            <w:tcW w:w="3973" w:type="dxa"/>
            <w:tcBorders>
              <w:top w:val="single" w:sz="6" w:space="0" w:color="000000"/>
              <w:left w:val="single" w:sz="6" w:space="0" w:color="000000"/>
              <w:bottom w:val="single" w:sz="6" w:space="0" w:color="000000"/>
            </w:tcBorders>
          </w:tcPr>
          <w:p w:rsidR="008E495F" w:rsidRPr="004C10A6" w:rsidRDefault="008E495F" w:rsidP="004C10A6">
            <w:pPr>
              <w:autoSpaceDE w:val="0"/>
              <w:autoSpaceDN w:val="0"/>
              <w:adjustRightInd w:val="0"/>
              <w:spacing w:after="240" w:line="240" w:lineRule="auto"/>
              <w:rPr>
                <w:color w:val="000000"/>
              </w:rPr>
            </w:pPr>
            <w:r>
              <w:rPr>
                <w:color w:val="000000"/>
              </w:rPr>
              <w:t>Please send your response by 30</w:t>
            </w:r>
            <w:r w:rsidRPr="004C10A6">
              <w:rPr>
                <w:color w:val="000000"/>
                <w:sz w:val="14"/>
                <w:szCs w:val="14"/>
              </w:rPr>
              <w:t xml:space="preserve">th </w:t>
            </w:r>
            <w:r>
              <w:rPr>
                <w:color w:val="000000"/>
              </w:rPr>
              <w:t>October 2015</w:t>
            </w:r>
            <w:r w:rsidRPr="004C10A6">
              <w:rPr>
                <w:color w:val="000000"/>
              </w:rPr>
              <w:t xml:space="preserve"> to: </w:t>
            </w:r>
          </w:p>
          <w:p w:rsidR="008E495F" w:rsidRDefault="008E495F" w:rsidP="004C10A6">
            <w:pPr>
              <w:autoSpaceDE w:val="0"/>
              <w:autoSpaceDN w:val="0"/>
              <w:adjustRightInd w:val="0"/>
              <w:spacing w:after="240" w:line="240" w:lineRule="auto"/>
              <w:rPr>
                <w:color w:val="000000"/>
              </w:rPr>
            </w:pPr>
            <w:r>
              <w:rPr>
                <w:color w:val="000000"/>
              </w:rPr>
              <w:t>Nick Mavron</w:t>
            </w:r>
            <w:r w:rsidRPr="004C10A6">
              <w:rPr>
                <w:color w:val="000000"/>
              </w:rPr>
              <w:t xml:space="preserve">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Ministry of Justice 102 Petty </w:t>
            </w:r>
            <w:smartTag w:uri="urn:schemas-microsoft-com:office:smarttags" w:element="country-region">
              <w:r w:rsidRPr="004C10A6">
                <w:rPr>
                  <w:color w:val="000000"/>
                </w:rPr>
                <w:t>France</w:t>
              </w:r>
            </w:smartTag>
            <w:r w:rsidRPr="004C10A6">
              <w:rPr>
                <w:color w:val="000000"/>
              </w:rPr>
              <w:t xml:space="preserve"> </w:t>
            </w:r>
            <w:smartTag w:uri="urn:schemas-microsoft-com:office:smarttags" w:element="place">
              <w:smartTag w:uri="urn:schemas-microsoft-com:office:smarttags" w:element="City">
                <w:r w:rsidRPr="004C10A6">
                  <w:rPr>
                    <w:color w:val="000000"/>
                  </w:rPr>
                  <w:t>London</w:t>
                </w:r>
              </w:smartTag>
            </w:smartTag>
            <w:r w:rsidRPr="004C10A6">
              <w:rPr>
                <w:color w:val="000000"/>
              </w:rPr>
              <w:t xml:space="preserve"> SW1H 9AJ </w:t>
            </w:r>
          </w:p>
          <w:p w:rsidR="008E495F" w:rsidRPr="004C10A6" w:rsidRDefault="008E495F" w:rsidP="004C10A6">
            <w:pPr>
              <w:autoSpaceDE w:val="0"/>
              <w:autoSpaceDN w:val="0"/>
              <w:adjustRightInd w:val="0"/>
              <w:spacing w:after="240" w:line="240" w:lineRule="auto"/>
              <w:rPr>
                <w:color w:val="000000"/>
              </w:rPr>
            </w:pPr>
            <w:r w:rsidRPr="004C10A6">
              <w:rPr>
                <w:color w:val="000000"/>
              </w:rPr>
              <w:t xml:space="preserve">Or email it to: </w:t>
            </w:r>
          </w:p>
          <w:p w:rsidR="008E495F" w:rsidRPr="004C10A6" w:rsidRDefault="008E495F" w:rsidP="004C10A6">
            <w:pPr>
              <w:autoSpaceDE w:val="0"/>
              <w:autoSpaceDN w:val="0"/>
              <w:adjustRightInd w:val="0"/>
              <w:spacing w:after="240" w:line="240" w:lineRule="auto"/>
              <w:rPr>
                <w:color w:val="000000"/>
              </w:rPr>
            </w:pPr>
            <w:r w:rsidRPr="004C10A6">
              <w:rPr>
                <w:color w:val="000000"/>
                <w:u w:val="single"/>
              </w:rPr>
              <w:t xml:space="preserve">statistics.enquiries@justice.gsi.gov.uk </w:t>
            </w:r>
          </w:p>
        </w:tc>
      </w:tr>
      <w:tr w:rsidR="008E495F" w:rsidRPr="004C10A6" w:rsidTr="004C10A6">
        <w:trPr>
          <w:trHeight w:val="399"/>
          <w:jc w:val="center"/>
        </w:trPr>
        <w:tc>
          <w:tcPr>
            <w:tcW w:w="5691" w:type="dxa"/>
            <w:tcBorders>
              <w:top w:val="single" w:sz="6" w:space="0" w:color="000000"/>
              <w:bottom w:val="single" w:sz="6" w:space="0" w:color="000000"/>
              <w:right w:val="single" w:sz="6" w:space="0" w:color="000000"/>
            </w:tcBorders>
          </w:tcPr>
          <w:p w:rsidR="008E495F" w:rsidRPr="004C10A6" w:rsidRDefault="008E495F" w:rsidP="004C10A6">
            <w:pPr>
              <w:autoSpaceDE w:val="0"/>
              <w:autoSpaceDN w:val="0"/>
              <w:adjustRightInd w:val="0"/>
              <w:spacing w:after="240" w:line="240" w:lineRule="auto"/>
              <w:rPr>
                <w:color w:val="000000"/>
              </w:rPr>
            </w:pPr>
            <w:r w:rsidRPr="004C10A6">
              <w:rPr>
                <w:b/>
                <w:bCs/>
                <w:color w:val="000000"/>
              </w:rPr>
              <w:t xml:space="preserve">Response paper: </w:t>
            </w:r>
          </w:p>
        </w:tc>
        <w:tc>
          <w:tcPr>
            <w:tcW w:w="3973" w:type="dxa"/>
            <w:tcBorders>
              <w:top w:val="single" w:sz="6" w:space="0" w:color="000000"/>
              <w:left w:val="single" w:sz="6" w:space="0" w:color="000000"/>
              <w:bottom w:val="single" w:sz="6" w:space="0" w:color="000000"/>
            </w:tcBorders>
          </w:tcPr>
          <w:p w:rsidR="008E495F" w:rsidRPr="004C10A6" w:rsidRDefault="008E495F" w:rsidP="00F42EB8">
            <w:pPr>
              <w:autoSpaceDE w:val="0"/>
              <w:autoSpaceDN w:val="0"/>
              <w:adjustRightInd w:val="0"/>
              <w:spacing w:after="240" w:line="240" w:lineRule="auto"/>
              <w:rPr>
                <w:color w:val="000000"/>
              </w:rPr>
            </w:pPr>
            <w:r w:rsidRPr="004C10A6">
              <w:rPr>
                <w:color w:val="000000"/>
              </w:rPr>
              <w:t xml:space="preserve">A response to this consultation exercise is due to be published by </w:t>
            </w:r>
            <w:r>
              <w:rPr>
                <w:color w:val="000000"/>
              </w:rPr>
              <w:t>January 2016</w:t>
            </w:r>
            <w:r w:rsidRPr="004C10A6">
              <w:rPr>
                <w:color w:val="000000"/>
              </w:rPr>
              <w:t xml:space="preserve"> on the Ministry of Justice website at </w:t>
            </w:r>
            <w:r w:rsidRPr="004C10A6">
              <w:rPr>
                <w:color w:val="000000"/>
                <w:u w:val="single"/>
              </w:rPr>
              <w:t>www.justice.gov.uk</w:t>
            </w:r>
          </w:p>
        </w:tc>
      </w:tr>
    </w:tbl>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Default="008E495F" w:rsidP="00D9327C"/>
    <w:p w:rsidR="008E495F" w:rsidRPr="00D9327C" w:rsidRDefault="008E495F" w:rsidP="00D9327C">
      <w:pPr>
        <w:sectPr w:rsidR="008E495F" w:rsidRPr="00D9327C">
          <w:headerReference w:type="default" r:id="rId7"/>
          <w:pgSz w:w="11906" w:h="16838" w:code="9"/>
          <w:pgMar w:top="2835" w:right="1899" w:bottom="851" w:left="1899" w:header="567" w:footer="567" w:gutter="0"/>
          <w:cols w:space="720"/>
        </w:sectPr>
      </w:pPr>
    </w:p>
    <w:p w:rsidR="008E495F" w:rsidRDefault="008E495F">
      <w:pPr>
        <w:pStyle w:val="Heading-contents"/>
      </w:pPr>
      <w:r>
        <w:lastRenderedPageBreak/>
        <w:t>Contents</w:t>
      </w:r>
    </w:p>
    <w:p w:rsidR="009C47A3" w:rsidRDefault="009C47A3">
      <w:pPr>
        <w:pStyle w:val="TOC1"/>
        <w:rPr>
          <w:kern w:val="24"/>
        </w:rPr>
      </w:pPr>
    </w:p>
    <w:p w:rsidR="009C47A3" w:rsidRDefault="00C86D39">
      <w:pPr>
        <w:pStyle w:val="TOC1"/>
        <w:rPr>
          <w:rFonts w:asciiTheme="minorHAnsi" w:eastAsiaTheme="minorEastAsia" w:hAnsiTheme="minorHAnsi" w:cstheme="minorBidi"/>
          <w:noProof/>
          <w:szCs w:val="22"/>
        </w:rPr>
      </w:pPr>
      <w:r w:rsidRPr="00D81B12">
        <w:rPr>
          <w:kern w:val="24"/>
        </w:rPr>
        <w:fldChar w:fldCharType="begin"/>
      </w:r>
      <w:r w:rsidR="008E495F" w:rsidRPr="00D81B12">
        <w:rPr>
          <w:kern w:val="24"/>
        </w:rPr>
        <w:instrText xml:space="preserve"> TOC \t "Heading 1,1" </w:instrText>
      </w:r>
      <w:r w:rsidRPr="00D81B12">
        <w:rPr>
          <w:kern w:val="24"/>
        </w:rPr>
        <w:fldChar w:fldCharType="separate"/>
      </w:r>
      <w:r w:rsidR="009C47A3">
        <w:rPr>
          <w:noProof/>
        </w:rPr>
        <w:t>Introduction</w:t>
      </w:r>
      <w:r w:rsidR="009C47A3">
        <w:rPr>
          <w:noProof/>
        </w:rPr>
        <w:tab/>
      </w:r>
      <w:r>
        <w:rPr>
          <w:noProof/>
        </w:rPr>
        <w:fldChar w:fldCharType="begin"/>
      </w:r>
      <w:r w:rsidR="009C47A3">
        <w:rPr>
          <w:noProof/>
        </w:rPr>
        <w:instrText xml:space="preserve"> PAGEREF _Toc425866170 \h </w:instrText>
      </w:r>
      <w:r>
        <w:rPr>
          <w:noProof/>
        </w:rPr>
      </w:r>
      <w:r>
        <w:rPr>
          <w:noProof/>
        </w:rPr>
        <w:fldChar w:fldCharType="separate"/>
      </w:r>
      <w:r w:rsidR="009C47A3">
        <w:rPr>
          <w:noProof/>
        </w:rPr>
        <w:t>3</w:t>
      </w:r>
      <w:r>
        <w:rPr>
          <w:noProof/>
        </w:rPr>
        <w:fldChar w:fldCharType="end"/>
      </w:r>
    </w:p>
    <w:p w:rsidR="009C47A3" w:rsidRDefault="009C47A3">
      <w:pPr>
        <w:pStyle w:val="TOC1"/>
        <w:rPr>
          <w:rFonts w:asciiTheme="minorHAnsi" w:eastAsiaTheme="minorEastAsia" w:hAnsiTheme="minorHAnsi" w:cstheme="minorBidi"/>
          <w:noProof/>
          <w:szCs w:val="22"/>
        </w:rPr>
      </w:pPr>
      <w:r>
        <w:rPr>
          <w:noProof/>
        </w:rPr>
        <w:t>Chapter 1: Summary of the proposals</w:t>
      </w:r>
      <w:r>
        <w:rPr>
          <w:noProof/>
        </w:rPr>
        <w:tab/>
      </w:r>
      <w:r w:rsidR="00C86D39">
        <w:rPr>
          <w:noProof/>
        </w:rPr>
        <w:fldChar w:fldCharType="begin"/>
      </w:r>
      <w:r>
        <w:rPr>
          <w:noProof/>
        </w:rPr>
        <w:instrText xml:space="preserve"> PAGEREF _Toc425866171 \h </w:instrText>
      </w:r>
      <w:r w:rsidR="00C86D39">
        <w:rPr>
          <w:noProof/>
        </w:rPr>
      </w:r>
      <w:r w:rsidR="00C86D39">
        <w:rPr>
          <w:noProof/>
        </w:rPr>
        <w:fldChar w:fldCharType="separate"/>
      </w:r>
      <w:r>
        <w:rPr>
          <w:noProof/>
        </w:rPr>
        <w:t>5</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rPr>
        <w:t>Chapter 2: The proposals</w:t>
      </w:r>
      <w:r>
        <w:rPr>
          <w:noProof/>
        </w:rPr>
        <w:tab/>
      </w:r>
      <w:r w:rsidR="00C86D39">
        <w:rPr>
          <w:noProof/>
        </w:rPr>
        <w:fldChar w:fldCharType="begin"/>
      </w:r>
      <w:r>
        <w:rPr>
          <w:noProof/>
        </w:rPr>
        <w:instrText xml:space="preserve"> PAGEREF _Toc425866172 \h </w:instrText>
      </w:r>
      <w:r w:rsidR="00C86D39">
        <w:rPr>
          <w:noProof/>
        </w:rPr>
      </w:r>
      <w:r w:rsidR="00C86D39">
        <w:rPr>
          <w:noProof/>
        </w:rPr>
        <w:fldChar w:fldCharType="separate"/>
      </w:r>
      <w:r>
        <w:rPr>
          <w:noProof/>
        </w:rPr>
        <w:t>7</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rPr>
        <w:t>Chapter 3: New quarterly reoffending bulletin structure</w:t>
      </w:r>
      <w:r>
        <w:rPr>
          <w:noProof/>
        </w:rPr>
        <w:tab/>
      </w:r>
      <w:r w:rsidR="00C86D39">
        <w:rPr>
          <w:noProof/>
        </w:rPr>
        <w:fldChar w:fldCharType="begin"/>
      </w:r>
      <w:r>
        <w:rPr>
          <w:noProof/>
        </w:rPr>
        <w:instrText xml:space="preserve"> PAGEREF _Toc425866173 \h </w:instrText>
      </w:r>
      <w:r w:rsidR="00C86D39">
        <w:rPr>
          <w:noProof/>
        </w:rPr>
      </w:r>
      <w:r w:rsidR="00C86D39">
        <w:rPr>
          <w:noProof/>
        </w:rPr>
        <w:fldChar w:fldCharType="separate"/>
      </w:r>
      <w:r>
        <w:rPr>
          <w:noProof/>
        </w:rPr>
        <w:t>13</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lang w:eastAsia="en-US"/>
        </w:rPr>
        <w:t>Detailed proposals on tables in new publication</w:t>
      </w:r>
      <w:r>
        <w:rPr>
          <w:noProof/>
        </w:rPr>
        <w:tab/>
      </w:r>
      <w:r w:rsidR="00C86D39">
        <w:rPr>
          <w:noProof/>
        </w:rPr>
        <w:fldChar w:fldCharType="begin"/>
      </w:r>
      <w:r>
        <w:rPr>
          <w:noProof/>
        </w:rPr>
        <w:instrText xml:space="preserve"> PAGEREF _Toc425866174 \h </w:instrText>
      </w:r>
      <w:r w:rsidR="00C86D39">
        <w:rPr>
          <w:noProof/>
        </w:rPr>
      </w:r>
      <w:r w:rsidR="00C86D39">
        <w:rPr>
          <w:noProof/>
        </w:rPr>
        <w:fldChar w:fldCharType="separate"/>
      </w:r>
      <w:r>
        <w:rPr>
          <w:noProof/>
        </w:rPr>
        <w:t>15</w:t>
      </w:r>
      <w:r w:rsidR="00C86D39">
        <w:rPr>
          <w:noProof/>
        </w:rPr>
        <w:fldChar w:fldCharType="end"/>
      </w:r>
    </w:p>
    <w:p w:rsidR="009C47A3" w:rsidRDefault="009C47A3">
      <w:pPr>
        <w:pStyle w:val="TOC1"/>
        <w:rPr>
          <w:rFonts w:asciiTheme="minorHAnsi" w:eastAsiaTheme="minorEastAsia" w:hAnsiTheme="minorHAnsi" w:cstheme="minorBidi"/>
          <w:noProof/>
          <w:szCs w:val="22"/>
        </w:rPr>
      </w:pPr>
      <w:r>
        <w:rPr>
          <w:noProof/>
        </w:rPr>
        <w:t>Questionnaire</w:t>
      </w:r>
      <w:r>
        <w:rPr>
          <w:noProof/>
        </w:rPr>
        <w:tab/>
      </w:r>
      <w:r w:rsidR="00C86D39">
        <w:rPr>
          <w:noProof/>
        </w:rPr>
        <w:fldChar w:fldCharType="begin"/>
      </w:r>
      <w:r>
        <w:rPr>
          <w:noProof/>
        </w:rPr>
        <w:instrText xml:space="preserve"> PAGEREF _Toc425866175 \h </w:instrText>
      </w:r>
      <w:r w:rsidR="00C86D39">
        <w:rPr>
          <w:noProof/>
        </w:rPr>
      </w:r>
      <w:r w:rsidR="00C86D39">
        <w:rPr>
          <w:noProof/>
        </w:rPr>
        <w:fldChar w:fldCharType="separate"/>
      </w:r>
      <w:r>
        <w:rPr>
          <w:noProof/>
        </w:rPr>
        <w:t>17</w:t>
      </w:r>
      <w:r w:rsidR="00C86D39">
        <w:rPr>
          <w:noProof/>
        </w:rPr>
        <w:fldChar w:fldCharType="end"/>
      </w:r>
    </w:p>
    <w:p w:rsidR="008E495F" w:rsidRPr="007D0A4B" w:rsidRDefault="00C86D39" w:rsidP="00EB6697">
      <w:pPr>
        <w:pStyle w:val="TOC1"/>
      </w:pPr>
      <w:r w:rsidRPr="00D81B12">
        <w:rPr>
          <w:kern w:val="24"/>
        </w:rPr>
        <w:fldChar w:fldCharType="end"/>
      </w:r>
    </w:p>
    <w:p w:rsidR="008E495F" w:rsidRPr="005D728B" w:rsidRDefault="008E495F" w:rsidP="005D728B">
      <w:pPr>
        <w:pStyle w:val="StyleTopSinglesolidlineAuto05ptLinewidth"/>
      </w:pPr>
    </w:p>
    <w:p w:rsidR="008E495F" w:rsidRDefault="008E495F" w:rsidP="007A68C3">
      <w:pPr>
        <w:rPr>
          <w:u w:val="single"/>
        </w:rPr>
      </w:pPr>
    </w:p>
    <w:p w:rsidR="009C47A3" w:rsidRDefault="009C47A3">
      <w:pPr>
        <w:spacing w:line="240" w:lineRule="auto"/>
        <w:rPr>
          <w:b/>
          <w:bCs/>
          <w:color w:val="000000"/>
          <w:sz w:val="28"/>
          <w:szCs w:val="28"/>
        </w:rPr>
      </w:pPr>
      <w:r>
        <w:rPr>
          <w:b/>
          <w:bCs/>
          <w:sz w:val="28"/>
          <w:szCs w:val="28"/>
        </w:rPr>
        <w:br w:type="page"/>
      </w:r>
    </w:p>
    <w:p w:rsidR="009C47A3" w:rsidRDefault="009C47A3" w:rsidP="009C47A3">
      <w:pPr>
        <w:pStyle w:val="Default"/>
        <w:spacing w:after="240"/>
        <w:rPr>
          <w:sz w:val="22"/>
          <w:szCs w:val="22"/>
        </w:rPr>
      </w:pPr>
      <w:r>
        <w:rPr>
          <w:sz w:val="22"/>
          <w:szCs w:val="22"/>
        </w:rPr>
        <w:lastRenderedPageBreak/>
        <w:t xml:space="preserve">This consultation paper sets out the changes to the Ministry of Justice’s reoffending statistics for England and Wales. </w:t>
      </w:r>
    </w:p>
    <w:p w:rsidR="009C47A3" w:rsidRDefault="009C47A3" w:rsidP="009C47A3">
      <w:pPr>
        <w:pStyle w:val="Default"/>
        <w:spacing w:after="240"/>
        <w:rPr>
          <w:sz w:val="22"/>
          <w:szCs w:val="22"/>
        </w:rPr>
      </w:pPr>
      <w:r>
        <w:rPr>
          <w:sz w:val="22"/>
          <w:szCs w:val="22"/>
        </w:rPr>
        <w:t xml:space="preserve">The consultation falls within the scope of the Code of Practice on Consultation and follows the seven consultation criteria set out at the end of this consultation. </w:t>
      </w:r>
    </w:p>
    <w:p w:rsidR="009C47A3" w:rsidRDefault="009C47A3" w:rsidP="009C47A3">
      <w:pPr>
        <w:pStyle w:val="Default"/>
        <w:spacing w:after="240"/>
        <w:rPr>
          <w:sz w:val="22"/>
          <w:szCs w:val="22"/>
        </w:rPr>
      </w:pPr>
      <w:r w:rsidRPr="00037213">
        <w:rPr>
          <w:sz w:val="22"/>
          <w:szCs w:val="22"/>
        </w:rPr>
        <w:t>The paper will be sent to MoJ's corporate database which includes over 4,000 individual contacts. Recipients will include organisations such as The Howard League for Penal Reform and Civitas.</w:t>
      </w:r>
    </w:p>
    <w:p w:rsidR="008E495F" w:rsidRPr="00B0377E" w:rsidRDefault="00C80502" w:rsidP="00B0377E">
      <w:pPr>
        <w:pStyle w:val="Heading1"/>
      </w:pPr>
      <w:bookmarkStart w:id="1" w:name="_Toc425866170"/>
      <w:r>
        <w:lastRenderedPageBreak/>
        <w:t>Introduction</w:t>
      </w:r>
      <w:bookmarkEnd w:id="1"/>
    </w:p>
    <w:p w:rsidR="008E495F" w:rsidRPr="00324053" w:rsidRDefault="008E495F" w:rsidP="00BF554D">
      <w:pPr>
        <w:pStyle w:val="NormalWeb"/>
        <w:spacing w:line="276" w:lineRule="auto"/>
        <w:rPr>
          <w:rFonts w:ascii="Arial" w:hAnsi="Arial" w:cs="Arial"/>
          <w:color w:val="000000"/>
          <w:sz w:val="22"/>
          <w:szCs w:val="22"/>
        </w:rPr>
      </w:pPr>
      <w:r w:rsidRPr="00324053">
        <w:rPr>
          <w:rFonts w:ascii="Arial" w:hAnsi="Arial" w:cs="Arial"/>
          <w:color w:val="000000"/>
          <w:sz w:val="22"/>
          <w:szCs w:val="22"/>
        </w:rPr>
        <w:t xml:space="preserve">In </w:t>
      </w:r>
      <w:r w:rsidRPr="00324053">
        <w:rPr>
          <w:rFonts w:ascii="Arial" w:hAnsi="Arial" w:cs="Arial"/>
          <w:i/>
          <w:color w:val="000000"/>
          <w:sz w:val="22"/>
          <w:szCs w:val="22"/>
        </w:rPr>
        <w:t>“Transforming Rehabilitation: A Strategy for Reform”,</w:t>
      </w:r>
      <w:r w:rsidRPr="00324053">
        <w:rPr>
          <w:rFonts w:ascii="Arial" w:hAnsi="Arial" w:cs="Arial"/>
          <w:color w:val="000000"/>
          <w:sz w:val="22"/>
          <w:szCs w:val="22"/>
        </w:rPr>
        <w:t xml:space="preserve"> </w:t>
      </w:r>
      <w:r>
        <w:rPr>
          <w:rFonts w:ascii="Arial" w:hAnsi="Arial" w:cs="Arial"/>
          <w:color w:val="000000"/>
          <w:sz w:val="22"/>
          <w:szCs w:val="22"/>
        </w:rPr>
        <w:t xml:space="preserve">published in </w:t>
      </w:r>
      <w:r w:rsidR="00E661D9">
        <w:rPr>
          <w:rFonts w:ascii="Arial" w:hAnsi="Arial" w:cs="Arial"/>
          <w:color w:val="000000"/>
          <w:sz w:val="22"/>
          <w:szCs w:val="22"/>
        </w:rPr>
        <w:t>2013</w:t>
      </w:r>
      <w:r>
        <w:rPr>
          <w:rFonts w:ascii="Arial" w:hAnsi="Arial" w:cs="Arial"/>
          <w:color w:val="000000"/>
          <w:sz w:val="22"/>
          <w:szCs w:val="22"/>
        </w:rPr>
        <w:t xml:space="preserve"> </w:t>
      </w:r>
      <w:r w:rsidRPr="00324053">
        <w:rPr>
          <w:rFonts w:ascii="Arial" w:hAnsi="Arial" w:cs="Arial"/>
          <w:color w:val="000000"/>
          <w:sz w:val="22"/>
          <w:szCs w:val="22"/>
        </w:rPr>
        <w:t>the Secretary of State for Justice set out plans to introduce a new system for the management and rehabilitation of offenders in the community across England and Wales</w:t>
      </w:r>
      <w:r>
        <w:rPr>
          <w:rFonts w:ascii="Arial" w:hAnsi="Arial" w:cs="Arial"/>
          <w:color w:val="000000"/>
          <w:sz w:val="22"/>
          <w:szCs w:val="22"/>
        </w:rPr>
        <w:t>.</w:t>
      </w:r>
    </w:p>
    <w:p w:rsidR="008E495F" w:rsidRPr="00324053" w:rsidRDefault="008E495F" w:rsidP="00BF554D">
      <w:pPr>
        <w:pStyle w:val="NormalWeb"/>
        <w:spacing w:line="276" w:lineRule="auto"/>
        <w:rPr>
          <w:rFonts w:ascii="Arial" w:hAnsi="Arial" w:cs="Arial"/>
          <w:color w:val="000000"/>
          <w:sz w:val="22"/>
          <w:szCs w:val="22"/>
        </w:rPr>
      </w:pPr>
      <w:r w:rsidRPr="00324053">
        <w:rPr>
          <w:rFonts w:ascii="Arial" w:hAnsi="Arial" w:cs="Arial"/>
          <w:color w:val="000000"/>
          <w:sz w:val="22"/>
          <w:szCs w:val="22"/>
        </w:rPr>
        <w:t>The programme</w:t>
      </w:r>
      <w:r>
        <w:rPr>
          <w:rFonts w:ascii="Arial" w:hAnsi="Arial" w:cs="Arial"/>
          <w:color w:val="000000"/>
          <w:sz w:val="22"/>
          <w:szCs w:val="22"/>
        </w:rPr>
        <w:t>, which was fully implemented in February 2015</w:t>
      </w:r>
      <w:r w:rsidRPr="00324053">
        <w:rPr>
          <w:rFonts w:ascii="Arial" w:hAnsi="Arial" w:cs="Arial"/>
          <w:color w:val="000000"/>
          <w:sz w:val="22"/>
          <w:szCs w:val="22"/>
        </w:rPr>
        <w:t xml:space="preserve"> aims to bring down reoffending rates while continuing to protect the public. The reforms </w:t>
      </w:r>
      <w:r>
        <w:rPr>
          <w:rFonts w:ascii="Arial" w:hAnsi="Arial" w:cs="Arial"/>
          <w:color w:val="000000"/>
          <w:sz w:val="22"/>
          <w:szCs w:val="22"/>
        </w:rPr>
        <w:t>included</w:t>
      </w:r>
      <w:r w:rsidRPr="00324053">
        <w:rPr>
          <w:rFonts w:ascii="Arial" w:hAnsi="Arial" w:cs="Arial"/>
          <w:color w:val="000000"/>
          <w:sz w:val="22"/>
          <w:szCs w:val="22"/>
        </w:rPr>
        <w:t xml:space="preserve">: </w:t>
      </w:r>
    </w:p>
    <w:p w:rsidR="008E495F" w:rsidRPr="00324053" w:rsidRDefault="008E495F" w:rsidP="004F481E">
      <w:pPr>
        <w:numPr>
          <w:ilvl w:val="0"/>
          <w:numId w:val="8"/>
        </w:numPr>
        <w:autoSpaceDE w:val="0"/>
        <w:autoSpaceDN w:val="0"/>
        <w:adjustRightInd w:val="0"/>
        <w:spacing w:after="64" w:line="276" w:lineRule="auto"/>
        <w:ind w:left="360"/>
        <w:rPr>
          <w:color w:val="000000"/>
        </w:rPr>
      </w:pPr>
      <w:r w:rsidRPr="00324053">
        <w:rPr>
          <w:color w:val="000000"/>
        </w:rPr>
        <w:t>open</w:t>
      </w:r>
      <w:r>
        <w:rPr>
          <w:color w:val="000000"/>
        </w:rPr>
        <w:t>ing</w:t>
      </w:r>
      <w:r w:rsidRPr="00324053">
        <w:rPr>
          <w:color w:val="000000"/>
        </w:rPr>
        <w:t xml:space="preserve"> up the market to a diverse range of rehabilitation providers from the private, voluntary and social sectors (including mutuals) through 21 Community Rehabilitation Companies (CRCs)</w:t>
      </w:r>
      <w:r>
        <w:rPr>
          <w:color w:val="000000"/>
        </w:rPr>
        <w:t>;</w:t>
      </w:r>
      <w:r w:rsidRPr="00324053">
        <w:rPr>
          <w:color w:val="000000"/>
        </w:rPr>
        <w:t xml:space="preserve"> </w:t>
      </w:r>
    </w:p>
    <w:p w:rsidR="008E495F" w:rsidRPr="00532CEE" w:rsidRDefault="008E495F" w:rsidP="004F481E">
      <w:pPr>
        <w:numPr>
          <w:ilvl w:val="0"/>
          <w:numId w:val="8"/>
        </w:numPr>
        <w:autoSpaceDE w:val="0"/>
        <w:autoSpaceDN w:val="0"/>
        <w:adjustRightInd w:val="0"/>
        <w:spacing w:after="64" w:line="276" w:lineRule="auto"/>
        <w:ind w:left="360"/>
        <w:rPr>
          <w:color w:val="000000"/>
        </w:rPr>
      </w:pPr>
      <w:r w:rsidRPr="00532CEE">
        <w:rPr>
          <w:color w:val="000000"/>
        </w:rPr>
        <w:t xml:space="preserve">using a ‘payment by results’ approach to develop and implement effective ways of rehabilitating offenders and rewarding providers that devise and deliver the most </w:t>
      </w:r>
      <w:hyperlink r:id="rId8" w:history="1">
        <w:r w:rsidRPr="00532CEE">
          <w:rPr>
            <w:color w:val="000000"/>
          </w:rPr>
          <w:t>effective rehabilitation programmes</w:t>
        </w:r>
      </w:hyperlink>
      <w:r>
        <w:rPr>
          <w:color w:val="000000"/>
        </w:rPr>
        <w:t>;</w:t>
      </w:r>
    </w:p>
    <w:p w:rsidR="008E495F" w:rsidRPr="00324053" w:rsidRDefault="008E495F" w:rsidP="004F481E">
      <w:pPr>
        <w:numPr>
          <w:ilvl w:val="0"/>
          <w:numId w:val="8"/>
        </w:numPr>
        <w:autoSpaceDE w:val="0"/>
        <w:autoSpaceDN w:val="0"/>
        <w:adjustRightInd w:val="0"/>
        <w:spacing w:after="64" w:line="276" w:lineRule="auto"/>
        <w:ind w:left="360"/>
        <w:rPr>
          <w:color w:val="000000"/>
        </w:rPr>
      </w:pPr>
      <w:r w:rsidRPr="00324053">
        <w:rPr>
          <w:color w:val="000000"/>
        </w:rPr>
        <w:t>extend</w:t>
      </w:r>
      <w:r>
        <w:rPr>
          <w:color w:val="000000"/>
        </w:rPr>
        <w:t>ing</w:t>
      </w:r>
      <w:r w:rsidRPr="00324053">
        <w:rPr>
          <w:color w:val="000000"/>
        </w:rPr>
        <w:t xml:space="preserve"> statutory rehabilitation to </w:t>
      </w:r>
      <w:r>
        <w:rPr>
          <w:color w:val="000000"/>
        </w:rPr>
        <w:t xml:space="preserve">around </w:t>
      </w:r>
      <w:r w:rsidRPr="00324053">
        <w:rPr>
          <w:color w:val="000000"/>
        </w:rPr>
        <w:t xml:space="preserve">45,000 short sentenced offenders released from prison every year, who have the highest reoffending rates and yet </w:t>
      </w:r>
      <w:r>
        <w:rPr>
          <w:color w:val="000000"/>
        </w:rPr>
        <w:t>previously</w:t>
      </w:r>
      <w:r w:rsidRPr="00324053">
        <w:rPr>
          <w:color w:val="000000"/>
        </w:rPr>
        <w:t xml:space="preserve"> receive</w:t>
      </w:r>
      <w:r>
        <w:rPr>
          <w:color w:val="000000"/>
        </w:rPr>
        <w:t>d</w:t>
      </w:r>
      <w:r w:rsidRPr="00324053">
        <w:rPr>
          <w:color w:val="000000"/>
        </w:rPr>
        <w:t xml:space="preserve"> no supervision after release</w:t>
      </w:r>
      <w:r>
        <w:rPr>
          <w:color w:val="000000"/>
        </w:rPr>
        <w:t>;</w:t>
      </w:r>
      <w:r w:rsidRPr="00324053">
        <w:rPr>
          <w:color w:val="000000"/>
        </w:rPr>
        <w:t xml:space="preserve"> </w:t>
      </w:r>
    </w:p>
    <w:p w:rsidR="008E495F" w:rsidRPr="00324053" w:rsidRDefault="008E495F" w:rsidP="004F481E">
      <w:pPr>
        <w:numPr>
          <w:ilvl w:val="0"/>
          <w:numId w:val="8"/>
        </w:numPr>
        <w:autoSpaceDE w:val="0"/>
        <w:autoSpaceDN w:val="0"/>
        <w:adjustRightInd w:val="0"/>
        <w:spacing w:after="64" w:line="276" w:lineRule="auto"/>
        <w:ind w:left="360"/>
        <w:rPr>
          <w:color w:val="000000"/>
        </w:rPr>
      </w:pPr>
      <w:r>
        <w:rPr>
          <w:color w:val="000000"/>
        </w:rPr>
        <w:t>reorganising</w:t>
      </w:r>
      <w:r w:rsidRPr="00324053">
        <w:rPr>
          <w:color w:val="000000"/>
        </w:rPr>
        <w:t xml:space="preserve"> our prisons to resettle offenders ‘through the gate’, with continuous support from custody to community. This mean</w:t>
      </w:r>
      <w:r>
        <w:rPr>
          <w:color w:val="000000"/>
        </w:rPr>
        <w:t>s</w:t>
      </w:r>
      <w:r w:rsidRPr="00324053">
        <w:rPr>
          <w:color w:val="000000"/>
        </w:rPr>
        <w:t xml:space="preserve"> the majority of prisoners will be moved to a </w:t>
      </w:r>
      <w:hyperlink r:id="rId9" w:history="1">
        <w:r w:rsidRPr="00324053">
          <w:rPr>
            <w:color w:val="000000"/>
          </w:rPr>
          <w:t>resettlement prison</w:t>
        </w:r>
      </w:hyperlink>
      <w:r w:rsidRPr="00324053">
        <w:rPr>
          <w:color w:val="000000"/>
        </w:rPr>
        <w:t xml:space="preserve"> close to their community at least 3 months before release</w:t>
      </w:r>
      <w:r>
        <w:rPr>
          <w:color w:val="000000"/>
        </w:rPr>
        <w:t>; and</w:t>
      </w:r>
      <w:r w:rsidRPr="00324053">
        <w:rPr>
          <w:color w:val="000000"/>
        </w:rPr>
        <w:t xml:space="preserve"> </w:t>
      </w:r>
    </w:p>
    <w:p w:rsidR="008E495F" w:rsidRPr="00324053" w:rsidRDefault="008E495F" w:rsidP="004F481E">
      <w:pPr>
        <w:numPr>
          <w:ilvl w:val="0"/>
          <w:numId w:val="8"/>
        </w:numPr>
        <w:autoSpaceDE w:val="0"/>
        <w:autoSpaceDN w:val="0"/>
        <w:adjustRightInd w:val="0"/>
        <w:spacing w:after="64" w:line="276" w:lineRule="auto"/>
        <w:ind w:left="360"/>
        <w:rPr>
          <w:color w:val="000000"/>
        </w:rPr>
      </w:pPr>
      <w:r>
        <w:rPr>
          <w:color w:val="000000"/>
        </w:rPr>
        <w:t>creating</w:t>
      </w:r>
      <w:r w:rsidRPr="00324053">
        <w:rPr>
          <w:color w:val="000000"/>
        </w:rPr>
        <w:t xml:space="preserve"> a new public sector </w:t>
      </w:r>
      <w:hyperlink r:id="rId10" w:history="1">
        <w:r w:rsidRPr="00324053">
          <w:rPr>
            <w:color w:val="000000"/>
          </w:rPr>
          <w:t>National Probation Service</w:t>
        </w:r>
      </w:hyperlink>
      <w:r w:rsidRPr="00324053">
        <w:rPr>
          <w:color w:val="000000"/>
        </w:rPr>
        <w:t xml:space="preserve"> (NPS), to manage high risk offenders</w:t>
      </w:r>
      <w:r>
        <w:rPr>
          <w:color w:val="000000"/>
        </w:rPr>
        <w:t>.</w:t>
      </w:r>
    </w:p>
    <w:p w:rsidR="008E495F" w:rsidRPr="00BC76F2" w:rsidRDefault="008E495F" w:rsidP="00BF554D">
      <w:pPr>
        <w:autoSpaceDE w:val="0"/>
        <w:autoSpaceDN w:val="0"/>
        <w:adjustRightInd w:val="0"/>
        <w:spacing w:line="276" w:lineRule="auto"/>
        <w:rPr>
          <w:color w:val="000000"/>
        </w:rPr>
      </w:pPr>
    </w:p>
    <w:p w:rsidR="008E495F" w:rsidRDefault="008E495F" w:rsidP="00BF554D">
      <w:pPr>
        <w:pStyle w:val="Text"/>
        <w:spacing w:line="276" w:lineRule="auto"/>
        <w:rPr>
          <w:rFonts w:cs="Arial"/>
          <w:color w:val="000000"/>
          <w:sz w:val="14"/>
          <w:szCs w:val="14"/>
        </w:rPr>
      </w:pPr>
      <w:r>
        <w:rPr>
          <w:rFonts w:cs="Arial"/>
          <w:color w:val="000000"/>
          <w:szCs w:val="22"/>
        </w:rPr>
        <w:t>Until the implementation of these reforms most</w:t>
      </w:r>
      <w:r w:rsidRPr="00BC76F2">
        <w:rPr>
          <w:rFonts w:cs="Arial"/>
          <w:color w:val="000000"/>
          <w:szCs w:val="22"/>
        </w:rPr>
        <w:t xml:space="preserve"> of</w:t>
      </w:r>
      <w:r>
        <w:rPr>
          <w:rFonts w:cs="Arial"/>
          <w:color w:val="000000"/>
          <w:szCs w:val="22"/>
        </w:rPr>
        <w:t xml:space="preserve"> the</w:t>
      </w:r>
      <w:r w:rsidRPr="00BC76F2">
        <w:rPr>
          <w:rFonts w:cs="Arial"/>
          <w:color w:val="000000"/>
          <w:szCs w:val="22"/>
        </w:rPr>
        <w:t xml:space="preserve"> </w:t>
      </w:r>
      <w:r>
        <w:rPr>
          <w:rFonts w:cs="Arial"/>
          <w:color w:val="000000"/>
          <w:szCs w:val="22"/>
        </w:rPr>
        <w:t>probation services were</w:t>
      </w:r>
      <w:r w:rsidRPr="00BC76F2">
        <w:rPr>
          <w:rFonts w:cs="Arial"/>
          <w:color w:val="000000"/>
          <w:szCs w:val="22"/>
        </w:rPr>
        <w:t xml:space="preserve"> delivered by 35 Probation Trusts under contract to the National Offender Management Service (NOMS) on behalf of the Secretary of State.</w:t>
      </w:r>
      <w:r w:rsidRPr="00BC76F2">
        <w:rPr>
          <w:rFonts w:cs="Arial"/>
          <w:color w:val="000000"/>
          <w:sz w:val="14"/>
          <w:szCs w:val="14"/>
        </w:rPr>
        <w:t xml:space="preserve"> </w:t>
      </w:r>
    </w:p>
    <w:p w:rsidR="008E495F" w:rsidRDefault="008E495F" w:rsidP="00BF554D">
      <w:pPr>
        <w:pStyle w:val="Text"/>
        <w:spacing w:line="276" w:lineRule="auto"/>
        <w:rPr>
          <w:rFonts w:cs="Arial"/>
          <w:color w:val="000000"/>
          <w:szCs w:val="22"/>
        </w:rPr>
      </w:pPr>
      <w:r>
        <w:rPr>
          <w:rFonts w:cs="Arial"/>
          <w:color w:val="000000"/>
          <w:szCs w:val="22"/>
        </w:rPr>
        <w:t xml:space="preserve">Through these reforms 21 CRCs are now providing </w:t>
      </w:r>
      <w:r w:rsidRPr="00BC76F2">
        <w:rPr>
          <w:rFonts w:cs="Arial"/>
          <w:color w:val="000000"/>
          <w:szCs w:val="22"/>
        </w:rPr>
        <w:t xml:space="preserve">services in </w:t>
      </w:r>
      <w:r>
        <w:rPr>
          <w:rFonts w:cs="Arial"/>
          <w:color w:val="000000"/>
          <w:szCs w:val="22"/>
        </w:rPr>
        <w:t>their</w:t>
      </w:r>
      <w:r w:rsidRPr="00BC76F2">
        <w:rPr>
          <w:rFonts w:cs="Arial"/>
          <w:color w:val="000000"/>
          <w:szCs w:val="22"/>
        </w:rPr>
        <w:t xml:space="preserve"> Contract Pack</w:t>
      </w:r>
      <w:r>
        <w:rPr>
          <w:rFonts w:cs="Arial"/>
          <w:color w:val="000000"/>
          <w:szCs w:val="22"/>
        </w:rPr>
        <w:t>age Areas (CPAs). The CRCs are</w:t>
      </w:r>
      <w:r w:rsidRPr="00BC76F2">
        <w:rPr>
          <w:rFonts w:cs="Arial"/>
          <w:color w:val="000000"/>
          <w:szCs w:val="22"/>
        </w:rPr>
        <w:t xml:space="preserve"> owned and run by s</w:t>
      </w:r>
      <w:r>
        <w:rPr>
          <w:rFonts w:cs="Arial"/>
          <w:color w:val="000000"/>
          <w:szCs w:val="22"/>
        </w:rPr>
        <w:t>uccessful bidders from the recent competition and</w:t>
      </w:r>
      <w:r w:rsidRPr="00BC76F2">
        <w:rPr>
          <w:rFonts w:cs="Arial"/>
          <w:color w:val="000000"/>
          <w:szCs w:val="22"/>
        </w:rPr>
        <w:t xml:space="preserve"> </w:t>
      </w:r>
      <w:r>
        <w:rPr>
          <w:rFonts w:cs="Arial"/>
          <w:color w:val="000000"/>
          <w:szCs w:val="22"/>
        </w:rPr>
        <w:t xml:space="preserve">now </w:t>
      </w:r>
      <w:r w:rsidRPr="00BC76F2">
        <w:rPr>
          <w:rFonts w:cs="Arial"/>
          <w:color w:val="000000"/>
          <w:szCs w:val="22"/>
        </w:rPr>
        <w:t xml:space="preserve">deliver services under contract to NOMS. </w:t>
      </w:r>
    </w:p>
    <w:p w:rsidR="008E495F" w:rsidRDefault="008E495F" w:rsidP="00BF554D">
      <w:pPr>
        <w:pStyle w:val="Text"/>
        <w:spacing w:line="276" w:lineRule="auto"/>
        <w:rPr>
          <w:rFonts w:cs="Arial"/>
          <w:color w:val="000000"/>
          <w:szCs w:val="22"/>
        </w:rPr>
      </w:pPr>
      <w:r w:rsidRPr="00BC76F2">
        <w:rPr>
          <w:rFonts w:cs="Arial"/>
          <w:color w:val="000000"/>
          <w:szCs w:val="22"/>
        </w:rPr>
        <w:t xml:space="preserve">The NPS </w:t>
      </w:r>
      <w:r>
        <w:rPr>
          <w:rFonts w:cs="Arial"/>
          <w:color w:val="000000"/>
          <w:szCs w:val="22"/>
        </w:rPr>
        <w:t xml:space="preserve">is a delivery arm of NOMS and </w:t>
      </w:r>
      <w:r w:rsidRPr="00BC76F2">
        <w:rPr>
          <w:rFonts w:cs="Arial"/>
          <w:color w:val="000000"/>
          <w:szCs w:val="22"/>
        </w:rPr>
        <w:t>deliver</w:t>
      </w:r>
      <w:r>
        <w:rPr>
          <w:rFonts w:cs="Arial"/>
          <w:color w:val="000000"/>
          <w:szCs w:val="22"/>
        </w:rPr>
        <w:t>s</w:t>
      </w:r>
      <w:r w:rsidRPr="00BC76F2">
        <w:rPr>
          <w:rFonts w:cs="Arial"/>
          <w:color w:val="000000"/>
          <w:szCs w:val="22"/>
        </w:rPr>
        <w:t xml:space="preserve"> services under a service </w:t>
      </w:r>
      <w:r>
        <w:rPr>
          <w:rFonts w:cs="Arial"/>
          <w:color w:val="000000"/>
          <w:szCs w:val="22"/>
        </w:rPr>
        <w:t>level agreement (</w:t>
      </w:r>
      <w:smartTag w:uri="urn:schemas-microsoft-com:office:smarttags" w:element="place">
        <w:r>
          <w:rPr>
            <w:rFonts w:cs="Arial"/>
            <w:color w:val="000000"/>
            <w:szCs w:val="22"/>
          </w:rPr>
          <w:t>SLA</w:t>
        </w:r>
      </w:smartTag>
      <w:r>
        <w:rPr>
          <w:rFonts w:cs="Arial"/>
          <w:color w:val="000000"/>
          <w:szCs w:val="22"/>
        </w:rPr>
        <w:t xml:space="preserve">) within seven NPS divisions. </w:t>
      </w:r>
    </w:p>
    <w:p w:rsidR="008E495F" w:rsidRDefault="008E495F" w:rsidP="00E76A8C">
      <w:pPr>
        <w:pStyle w:val="Text"/>
        <w:spacing w:line="276" w:lineRule="auto"/>
        <w:rPr>
          <w:rFonts w:cs="Arial"/>
          <w:color w:val="000000"/>
          <w:szCs w:val="22"/>
        </w:rPr>
      </w:pPr>
      <w:r>
        <w:rPr>
          <w:rFonts w:cs="Arial"/>
          <w:color w:val="000000"/>
          <w:szCs w:val="22"/>
        </w:rPr>
        <w:t>CRCs</w:t>
      </w:r>
      <w:r w:rsidRPr="00BC76F2">
        <w:rPr>
          <w:rFonts w:cs="Arial"/>
          <w:color w:val="000000"/>
          <w:szCs w:val="22"/>
        </w:rPr>
        <w:t xml:space="preserve"> manage the majority of offenders in the community sentenced to Community Orders (COs), Suspended Sentence Orders (SSOs) and those subject to licence conditions or supervision requirements</w:t>
      </w:r>
      <w:r>
        <w:rPr>
          <w:rFonts w:cs="Arial"/>
          <w:color w:val="000000"/>
          <w:szCs w:val="22"/>
        </w:rPr>
        <w:t>,</w:t>
      </w:r>
      <w:r w:rsidRPr="00BC76F2">
        <w:rPr>
          <w:rFonts w:cs="Arial"/>
          <w:color w:val="000000"/>
          <w:szCs w:val="22"/>
        </w:rPr>
        <w:t xml:space="preserve"> and deliver </w:t>
      </w:r>
      <w:r w:rsidRPr="00BC76F2">
        <w:rPr>
          <w:rFonts w:cs="Arial"/>
          <w:color w:val="000000"/>
          <w:szCs w:val="22"/>
        </w:rPr>
        <w:lastRenderedPageBreak/>
        <w:t>rehabilitative support to offenders. The NPS directly manage offenders who pose a high risk of serious harm to the public (including those whose risk has escalated to high during the course of their sentence) or those released from custody who have comm</w:t>
      </w:r>
      <w:r>
        <w:rPr>
          <w:rFonts w:cs="Arial"/>
          <w:color w:val="000000"/>
          <w:szCs w:val="22"/>
        </w:rPr>
        <w:t>itted the most serious offences. It has a key role at certain stages o</w:t>
      </w:r>
      <w:r w:rsidRPr="00BC76F2">
        <w:rPr>
          <w:rFonts w:cs="Arial"/>
          <w:color w:val="000000"/>
          <w:szCs w:val="22"/>
        </w:rPr>
        <w:t xml:space="preserve">f the process for all offenders, for example in advising the courts on sentencing, determining </w:t>
      </w:r>
      <w:r>
        <w:rPr>
          <w:rFonts w:cs="Arial"/>
          <w:color w:val="000000"/>
          <w:szCs w:val="22"/>
        </w:rPr>
        <w:t xml:space="preserve">the </w:t>
      </w:r>
      <w:r w:rsidRPr="00BC76F2">
        <w:rPr>
          <w:rFonts w:cs="Arial"/>
          <w:color w:val="000000"/>
          <w:szCs w:val="22"/>
        </w:rPr>
        <w:t>allocation</w:t>
      </w:r>
      <w:r>
        <w:rPr>
          <w:rFonts w:cs="Arial"/>
          <w:color w:val="000000"/>
          <w:szCs w:val="22"/>
        </w:rPr>
        <w:t xml:space="preserve"> of offenders</w:t>
      </w:r>
      <w:r w:rsidRPr="00BC76F2">
        <w:rPr>
          <w:rFonts w:cs="Arial"/>
          <w:color w:val="000000"/>
          <w:szCs w:val="22"/>
        </w:rPr>
        <w:t xml:space="preserve"> and dealing with enforcement action, working closely with CRCs.</w:t>
      </w:r>
    </w:p>
    <w:p w:rsidR="008E495F" w:rsidRDefault="008E495F" w:rsidP="000156F0">
      <w:pPr>
        <w:pStyle w:val="Text"/>
        <w:spacing w:line="276" w:lineRule="auto"/>
      </w:pPr>
      <w:r>
        <w:rPr>
          <w:rFonts w:cs="Arial"/>
          <w:color w:val="000000"/>
          <w:szCs w:val="22"/>
        </w:rPr>
        <w:t>T</w:t>
      </w:r>
      <w:r w:rsidRPr="00DD661B">
        <w:t xml:space="preserve">o support the implementation of these reforms the </w:t>
      </w:r>
      <w:r>
        <w:t>Ministry</w:t>
      </w:r>
      <w:r w:rsidRPr="00DD661B">
        <w:t xml:space="preserve"> also introduced IT changes through the nDelius system for recording the flow of offenders released from prison and starting community sentences. The nDelius system</w:t>
      </w:r>
      <w:r>
        <w:t xml:space="preserve"> also</w:t>
      </w:r>
      <w:r w:rsidRPr="00DD661B">
        <w:t xml:space="preserve"> </w:t>
      </w:r>
      <w:r>
        <w:t xml:space="preserve">identifies </w:t>
      </w:r>
      <w:r w:rsidRPr="00DD661B">
        <w:t xml:space="preserve">whether an offender is managed by a CRC or the NPS </w:t>
      </w:r>
      <w:r>
        <w:t>after being sentenced.</w:t>
      </w:r>
    </w:p>
    <w:p w:rsidR="008E495F" w:rsidRDefault="008E495F" w:rsidP="00BF554D">
      <w:pPr>
        <w:pStyle w:val="Text"/>
        <w:spacing w:line="276" w:lineRule="auto"/>
      </w:pPr>
      <w:r>
        <w:t>Besides the impact of switching to the nDelius system the reforms themselves will</w:t>
      </w:r>
      <w:r w:rsidRPr="00DD661B">
        <w:t xml:space="preserve"> affect t</w:t>
      </w:r>
      <w:r>
        <w:t xml:space="preserve">he volume of offenders eligible for probation support. This is a consequence of now having almost all offenders </w:t>
      </w:r>
      <w:r w:rsidRPr="00511433">
        <w:t>subject to supervision on relea</w:t>
      </w:r>
      <w:r>
        <w:t>se from prison,</w:t>
      </w:r>
      <w:r w:rsidRPr="00511433">
        <w:t xml:space="preserve"> driven</w:t>
      </w:r>
      <w:r>
        <w:t xml:space="preserve"> in particular</w:t>
      </w:r>
      <w:r w:rsidRPr="00511433">
        <w:t xml:space="preserve"> by</w:t>
      </w:r>
      <w:r>
        <w:t xml:space="preserve"> those</w:t>
      </w:r>
      <w:r w:rsidRPr="00511433">
        <w:t xml:space="preserve"> offenders </w:t>
      </w:r>
      <w:r>
        <w:t>serving</w:t>
      </w:r>
      <w:r w:rsidRPr="00511433">
        <w:t xml:space="preserve"> sentences of less than 12 months who</w:t>
      </w:r>
      <w:r>
        <w:t xml:space="preserve"> would have</w:t>
      </w:r>
      <w:r w:rsidRPr="00511433">
        <w:t xml:space="preserve"> previously had no statutory supervision.</w:t>
      </w:r>
    </w:p>
    <w:p w:rsidR="008E495F" w:rsidRDefault="008E495F" w:rsidP="00BF554D">
      <w:pPr>
        <w:pStyle w:val="Text"/>
        <w:spacing w:line="276" w:lineRule="auto"/>
      </w:pPr>
      <w:r>
        <w:t xml:space="preserve">As a consequence of these reforms the Ministry is considering how it places a range of new reoffending statistics into the public domain while making sure they fit coherently alongside existing reoffending breakdowns. </w:t>
      </w: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Default="008E495F" w:rsidP="00BF554D">
      <w:pPr>
        <w:pStyle w:val="Text"/>
        <w:spacing w:line="276" w:lineRule="auto"/>
      </w:pPr>
    </w:p>
    <w:p w:rsidR="008E495F" w:rsidRPr="00A26E04" w:rsidRDefault="008E495F" w:rsidP="00A26E04">
      <w:pPr>
        <w:pStyle w:val="Heading1"/>
      </w:pPr>
      <w:bookmarkStart w:id="2" w:name="_Toc425866171"/>
      <w:r>
        <w:lastRenderedPageBreak/>
        <w:t xml:space="preserve">Chapter 1: </w:t>
      </w:r>
      <w:r w:rsidRPr="00A26E04">
        <w:t>Summary of the proposals</w:t>
      </w:r>
      <w:bookmarkEnd w:id="2"/>
      <w:r w:rsidRPr="00A26E04">
        <w:t xml:space="preserve"> </w:t>
      </w:r>
    </w:p>
    <w:p w:rsidR="008E495F" w:rsidRDefault="008E495F" w:rsidP="00BF554D">
      <w:pPr>
        <w:pStyle w:val="Text"/>
        <w:spacing w:line="276" w:lineRule="auto"/>
        <w:rPr>
          <w:szCs w:val="22"/>
        </w:rPr>
      </w:pPr>
      <w:r>
        <w:t>The key change we are proposing in this consultation is to to align</w:t>
      </w:r>
      <w:r w:rsidR="00E661D9">
        <w:t xml:space="preserve"> the existing reoffending measure</w:t>
      </w:r>
      <w:r>
        <w:t xml:space="preserve"> with those</w:t>
      </w:r>
      <w:r w:rsidR="00437427">
        <w:t xml:space="preserve"> measures</w:t>
      </w:r>
      <w:r>
        <w:t xml:space="preserve"> necessary for assessing progress against the rehabilitation reforms. This will help support the Ministry in meeting its commitment of statistical best practice by giving a coherent overview of all statistics related to reoffending. </w:t>
      </w:r>
    </w:p>
    <w:p w:rsidR="008E495F" w:rsidRDefault="008E495F" w:rsidP="008F0F07">
      <w:pPr>
        <w:pStyle w:val="Text"/>
        <w:spacing w:line="276" w:lineRule="auto"/>
      </w:pPr>
      <w:r>
        <w:t>As a consequence of these reforms this document sets out and seeks views on three key proposals:</w:t>
      </w:r>
    </w:p>
    <w:p w:rsidR="008E495F" w:rsidRDefault="008E495F" w:rsidP="004662A8">
      <w:pPr>
        <w:pStyle w:val="Text"/>
        <w:numPr>
          <w:ilvl w:val="0"/>
          <w:numId w:val="18"/>
        </w:numPr>
        <w:spacing w:line="276" w:lineRule="auto"/>
      </w:pPr>
      <w:r>
        <w:t xml:space="preserve">To </w:t>
      </w:r>
      <w:r w:rsidR="00C52591">
        <w:t xml:space="preserve">replace the existing reoffending </w:t>
      </w:r>
      <w:r>
        <w:t>quarterly publication of headline statistical information on adult and juvenile reoffending</w:t>
      </w:r>
      <w:r w:rsidR="00C52591">
        <w:t xml:space="preserve"> with one that will</w:t>
      </w:r>
      <w:r w:rsidR="003E7B3E">
        <w:t xml:space="preserve"> </w:t>
      </w:r>
      <w:r>
        <w:t xml:space="preserve">include </w:t>
      </w:r>
    </w:p>
    <w:p w:rsidR="00F45102" w:rsidRDefault="008E495F">
      <w:pPr>
        <w:pStyle w:val="Text"/>
        <w:numPr>
          <w:ilvl w:val="1"/>
          <w:numId w:val="20"/>
        </w:numPr>
        <w:spacing w:line="276" w:lineRule="auto"/>
      </w:pPr>
      <w:r>
        <w:t xml:space="preserve">reoffending outcomes for the payment by results (PbR) element of the reforms, split by relevant cohorts and CRCs; and </w:t>
      </w:r>
    </w:p>
    <w:p w:rsidR="00F45102" w:rsidRDefault="008E495F">
      <w:pPr>
        <w:pStyle w:val="Text"/>
        <w:numPr>
          <w:ilvl w:val="1"/>
          <w:numId w:val="20"/>
        </w:numPr>
        <w:spacing w:line="276" w:lineRule="auto"/>
      </w:pPr>
      <w:r>
        <w:t>reoffending outcomes for the NPS, split by relevant cohorts and the seven NPS divisions;</w:t>
      </w:r>
    </w:p>
    <w:p w:rsidR="008E495F" w:rsidRDefault="008E495F" w:rsidP="004662A8">
      <w:pPr>
        <w:pStyle w:val="Text"/>
        <w:numPr>
          <w:ilvl w:val="0"/>
          <w:numId w:val="18"/>
        </w:numPr>
        <w:spacing w:line="276" w:lineRule="auto"/>
      </w:pPr>
      <w:r>
        <w:t>To replace</w:t>
      </w:r>
      <w:r w:rsidRPr="004C10A6">
        <w:t xml:space="preserve"> </w:t>
      </w:r>
      <w:r>
        <w:t xml:space="preserve">the </w:t>
      </w:r>
      <w:r w:rsidRPr="004C10A6">
        <w:t xml:space="preserve">‘adjusted to baseline’ </w:t>
      </w:r>
      <w:r>
        <w:t>reof</w:t>
      </w:r>
      <w:r w:rsidRPr="004C10A6">
        <w:t>fending rates</w:t>
      </w:r>
      <w:r>
        <w:t xml:space="preserve"> previously available in the proven reoffending bulletin with</w:t>
      </w:r>
      <w:r w:rsidRPr="004C10A6">
        <w:t xml:space="preserve"> OGRS4</w:t>
      </w:r>
      <w:r>
        <w:t xml:space="preserve"> (Offender Group Reconviction Scale). This will be produced for both adult and juvenile offenders; and</w:t>
      </w:r>
    </w:p>
    <w:p w:rsidR="008E495F" w:rsidRDefault="008E495F" w:rsidP="004662A8">
      <w:pPr>
        <w:pStyle w:val="Text"/>
        <w:numPr>
          <w:ilvl w:val="0"/>
          <w:numId w:val="18"/>
        </w:numPr>
        <w:spacing w:line="23" w:lineRule="atLeast"/>
      </w:pPr>
      <w:r>
        <w:t xml:space="preserve">To produce interim PbR figures for the first </w:t>
      </w:r>
      <w:r w:rsidR="003E7B3E">
        <w:t xml:space="preserve">two quarterly </w:t>
      </w:r>
      <w:r>
        <w:t xml:space="preserve">cohorts of eligible offenders, and equivalent figures for NPS offenders, until final outcomes for these cohorts become available. This will help to address the information gap created by switching to three month cohorts for reporting reoffending and </w:t>
      </w:r>
      <w:r w:rsidR="003E7B3E">
        <w:t xml:space="preserve">will </w:t>
      </w:r>
      <w:r>
        <w:t>allow CRCs’ progress to be assessed at the earliest opportunity.</w:t>
      </w:r>
    </w:p>
    <w:p w:rsidR="008E495F" w:rsidRDefault="008E495F" w:rsidP="00F22E0D">
      <w:pPr>
        <w:pStyle w:val="Text"/>
        <w:spacing w:line="23" w:lineRule="atLeast"/>
      </w:pPr>
      <w:r>
        <w:rPr>
          <w:szCs w:val="22"/>
        </w:rPr>
        <w:t>The full proposals are set out in Chapter 2.</w:t>
      </w:r>
    </w:p>
    <w:p w:rsidR="008E495F" w:rsidRDefault="008E495F" w:rsidP="00BF554D">
      <w:pPr>
        <w:pStyle w:val="Text"/>
        <w:spacing w:line="23" w:lineRule="atLeast"/>
      </w:pPr>
      <w:r>
        <w:t>This package of proposals represents a significant improvement in terms of:</w:t>
      </w:r>
    </w:p>
    <w:p w:rsidR="008E495F" w:rsidRDefault="008E495F" w:rsidP="00BF554D">
      <w:pPr>
        <w:pStyle w:val="Bulletundernumberedtext"/>
        <w:spacing w:line="23" w:lineRule="atLeast"/>
      </w:pPr>
      <w:r>
        <w:t xml:space="preserve">a </w:t>
      </w:r>
      <w:r w:rsidRPr="00F26F63">
        <w:rPr>
          <w:b/>
        </w:rPr>
        <w:t>wider range</w:t>
      </w:r>
      <w:r>
        <w:t xml:space="preserve"> of data available to cover both PbR and the existing reoffending research based questions;</w:t>
      </w:r>
    </w:p>
    <w:p w:rsidR="008E495F" w:rsidRDefault="008E495F" w:rsidP="00BF554D">
      <w:pPr>
        <w:pStyle w:val="Bulletundernumberedtext"/>
        <w:spacing w:line="23" w:lineRule="atLeast"/>
      </w:pPr>
      <w:r>
        <w:t xml:space="preserve">the presentation of a </w:t>
      </w:r>
      <w:r w:rsidRPr="00F26F63">
        <w:rPr>
          <w:b/>
        </w:rPr>
        <w:t>coherent overview</w:t>
      </w:r>
      <w:r>
        <w:t xml:space="preserve"> of reoffending statistics to help understanding;</w:t>
      </w:r>
    </w:p>
    <w:p w:rsidR="008E495F" w:rsidRDefault="008E495F" w:rsidP="00BF554D">
      <w:pPr>
        <w:pStyle w:val="Bulletundernumberedtext"/>
        <w:spacing w:line="23" w:lineRule="atLeast"/>
      </w:pPr>
      <w:r w:rsidRPr="00F26F63">
        <w:rPr>
          <w:b/>
        </w:rPr>
        <w:t>simplifying access</w:t>
      </w:r>
      <w:r>
        <w:t xml:space="preserve"> to information in line with the Code of Practice;</w:t>
      </w:r>
    </w:p>
    <w:p w:rsidR="008E495F" w:rsidRDefault="008E495F" w:rsidP="00BF554D">
      <w:pPr>
        <w:pStyle w:val="Bulletundernumberedtext"/>
        <w:spacing w:line="23" w:lineRule="atLeast"/>
      </w:pPr>
      <w:r>
        <w:rPr>
          <w:b/>
        </w:rPr>
        <w:lastRenderedPageBreak/>
        <w:t>r</w:t>
      </w:r>
      <w:r w:rsidRPr="00A94A54">
        <w:rPr>
          <w:b/>
        </w:rPr>
        <w:t>elevan</w:t>
      </w:r>
      <w:r>
        <w:rPr>
          <w:b/>
        </w:rPr>
        <w:t>ce</w:t>
      </w:r>
      <w:r w:rsidRPr="00A94A54">
        <w:rPr>
          <w:b/>
        </w:rPr>
        <w:t xml:space="preserve"> </w:t>
      </w:r>
      <w:r>
        <w:t xml:space="preserve">to what the organisation is aiming to achieve; </w:t>
      </w:r>
    </w:p>
    <w:p w:rsidR="008E495F" w:rsidRDefault="008E495F" w:rsidP="00BF554D">
      <w:pPr>
        <w:pStyle w:val="Bulletundernumberedtext"/>
        <w:spacing w:line="23" w:lineRule="atLeast"/>
      </w:pPr>
      <w:r>
        <w:t xml:space="preserve">being </w:t>
      </w:r>
      <w:r>
        <w:rPr>
          <w:b/>
        </w:rPr>
        <w:t>w</w:t>
      </w:r>
      <w:r w:rsidRPr="00A94A54">
        <w:rPr>
          <w:b/>
        </w:rPr>
        <w:t>ell-defined</w:t>
      </w:r>
      <w:r>
        <w:rPr>
          <w:b/>
        </w:rPr>
        <w:t>,</w:t>
      </w:r>
      <w:r>
        <w:t xml:space="preserve"> with a clear, unambiguous definition so that data will be collected consistently, and the measure is easy to understand and use; </w:t>
      </w:r>
    </w:p>
    <w:p w:rsidR="008E495F" w:rsidRDefault="008E495F" w:rsidP="00BF554D">
      <w:pPr>
        <w:pStyle w:val="Bulletundernumberedtext"/>
        <w:spacing w:line="23" w:lineRule="atLeast"/>
      </w:pPr>
      <w:r>
        <w:t xml:space="preserve">being </w:t>
      </w:r>
      <w:r>
        <w:rPr>
          <w:b/>
        </w:rPr>
        <w:t>t</w:t>
      </w:r>
      <w:r w:rsidRPr="00A94A54">
        <w:rPr>
          <w:b/>
        </w:rPr>
        <w:t>imely</w:t>
      </w:r>
      <w:r>
        <w:t xml:space="preserve">, producing data frequently enough to track progress, and quickly enough for the data to still be useful; </w:t>
      </w:r>
    </w:p>
    <w:p w:rsidR="008E495F" w:rsidRDefault="008E495F" w:rsidP="00BF554D">
      <w:pPr>
        <w:pStyle w:val="Bulletundernumberedtext"/>
        <w:spacing w:line="23" w:lineRule="atLeast"/>
      </w:pPr>
      <w:r>
        <w:t xml:space="preserve">being </w:t>
      </w:r>
      <w:r>
        <w:rPr>
          <w:b/>
        </w:rPr>
        <w:t>r</w:t>
      </w:r>
      <w:r w:rsidRPr="00A94A54">
        <w:rPr>
          <w:b/>
        </w:rPr>
        <w:t>eliable</w:t>
      </w:r>
      <w:r>
        <w:t>, and accurate enough for its intended use, and responsive to change; and</w:t>
      </w:r>
    </w:p>
    <w:p w:rsidR="008E495F" w:rsidRDefault="008E495F" w:rsidP="00BF554D">
      <w:pPr>
        <w:pStyle w:val="Bulletundernumberedtext"/>
        <w:spacing w:line="23" w:lineRule="atLeast"/>
      </w:pPr>
      <w:r>
        <w:t xml:space="preserve">being </w:t>
      </w:r>
      <w:r>
        <w:rPr>
          <w:b/>
        </w:rPr>
        <w:t>c</w:t>
      </w:r>
      <w:r w:rsidRPr="00A94A54">
        <w:rPr>
          <w:b/>
        </w:rPr>
        <w:t>omparable</w:t>
      </w:r>
      <w:r>
        <w:t xml:space="preserve"> with published PbR baselines back to 2011 and overall headline reoffending rates going back to 2000. </w:t>
      </w:r>
    </w:p>
    <w:p w:rsidR="008E495F" w:rsidRDefault="008E495F" w:rsidP="00BF554D">
      <w:pPr>
        <w:pStyle w:val="Bulletundernumberedtext"/>
        <w:numPr>
          <w:ilvl w:val="0"/>
          <w:numId w:val="0"/>
        </w:numPr>
        <w:spacing w:line="23" w:lineRule="atLeast"/>
        <w:ind w:left="714"/>
      </w:pPr>
    </w:p>
    <w:p w:rsidR="008E495F" w:rsidRPr="00B0377E" w:rsidRDefault="008E495F" w:rsidP="00BF554D">
      <w:pPr>
        <w:pStyle w:val="Text"/>
        <w:spacing w:line="23" w:lineRule="atLeast"/>
      </w:pPr>
      <w:r>
        <w:t>Views are invited from all users of reoffending statistics. In order to ensure we can develop these proposals and publish statistics in a timely fashion, we are asking for responses by 30</w:t>
      </w:r>
      <w:r w:rsidRPr="004662A8">
        <w:rPr>
          <w:vertAlign w:val="superscript"/>
        </w:rPr>
        <w:t>th</w:t>
      </w:r>
      <w:r>
        <w:t xml:space="preserve"> October</w:t>
      </w:r>
      <w:r w:rsidRPr="00511433">
        <w:t xml:space="preserve"> 2015.</w:t>
      </w:r>
    </w:p>
    <w:p w:rsidR="008E495F" w:rsidRDefault="008E495F" w:rsidP="00BE1E5B">
      <w:pPr>
        <w:pStyle w:val="Text"/>
      </w:pPr>
    </w:p>
    <w:p w:rsidR="008E495F" w:rsidRDefault="008E495F" w:rsidP="00BE1E5B">
      <w:pPr>
        <w:pStyle w:val="Text"/>
      </w:pPr>
    </w:p>
    <w:p w:rsidR="008E495F" w:rsidRDefault="008E495F" w:rsidP="009C47A3">
      <w:pPr>
        <w:pStyle w:val="Default"/>
        <w:spacing w:after="788"/>
        <w:rPr>
          <w:sz w:val="22"/>
          <w:szCs w:val="22"/>
        </w:rPr>
      </w:pPr>
      <w:bookmarkStart w:id="3" w:name="_Toc239159569"/>
      <w:r>
        <w:rPr>
          <w:b/>
          <w:bCs/>
          <w:sz w:val="28"/>
          <w:szCs w:val="28"/>
        </w:rPr>
        <w:br w:type="page"/>
      </w:r>
    </w:p>
    <w:p w:rsidR="008E495F" w:rsidRPr="00037213" w:rsidRDefault="008A7ADB" w:rsidP="00037213">
      <w:pPr>
        <w:pStyle w:val="Heading1"/>
      </w:pPr>
      <w:bookmarkStart w:id="4" w:name="_Toc425866172"/>
      <w:r>
        <w:lastRenderedPageBreak/>
        <w:t xml:space="preserve">Chapter 2: </w:t>
      </w:r>
      <w:r w:rsidR="008E495F">
        <w:t>The</w:t>
      </w:r>
      <w:r w:rsidR="008E495F" w:rsidRPr="00083C84">
        <w:t xml:space="preserve"> proposals</w:t>
      </w:r>
      <w:bookmarkEnd w:id="4"/>
    </w:p>
    <w:bookmarkEnd w:id="3"/>
    <w:p w:rsidR="008E495F" w:rsidRPr="009103CB" w:rsidRDefault="008E495F" w:rsidP="00083C84">
      <w:pPr>
        <w:pStyle w:val="Text"/>
        <w:rPr>
          <w:b/>
          <w:sz w:val="24"/>
          <w:szCs w:val="24"/>
        </w:rPr>
      </w:pPr>
      <w:r w:rsidRPr="009103CB">
        <w:rPr>
          <w:b/>
          <w:sz w:val="24"/>
          <w:szCs w:val="24"/>
        </w:rPr>
        <w:t>Proposal 1: Quarterly reoffending bulletin</w:t>
      </w:r>
    </w:p>
    <w:p w:rsidR="008E495F" w:rsidRDefault="008E495F" w:rsidP="00812C92">
      <w:pPr>
        <w:pStyle w:val="Text"/>
        <w:spacing w:line="276" w:lineRule="auto"/>
      </w:pPr>
      <w:r>
        <w:t>We are proposing to</w:t>
      </w:r>
      <w:r w:rsidR="00C52591">
        <w:t xml:space="preserve"> replace</w:t>
      </w:r>
      <w:r>
        <w:t xml:space="preserve"> </w:t>
      </w:r>
      <w:r w:rsidR="00C52591">
        <w:t xml:space="preserve">the existing </w:t>
      </w:r>
      <w:r>
        <w:t>quarterly</w:t>
      </w:r>
      <w:r w:rsidR="00C52591">
        <w:t xml:space="preserve"> reoffending</w:t>
      </w:r>
      <w:r>
        <w:t xml:space="preserve"> bulletin</w:t>
      </w:r>
      <w:r w:rsidR="00C52591">
        <w:t xml:space="preserve"> with one</w:t>
      </w:r>
      <w:r>
        <w:t xml:space="preserve"> </w:t>
      </w:r>
      <w:r w:rsidR="00C52591">
        <w:t>presenting</w:t>
      </w:r>
      <w:r>
        <w:t xml:space="preserve"> one year reoffending statistics relating to young offenders (age under 18 years) and most adult offenders now managed by CRCs and the NPS. We intend to continue publishing the existing National Statistics publication, until this </w:t>
      </w:r>
      <w:r w:rsidR="00C52591">
        <w:t>replacement</w:t>
      </w:r>
      <w:r>
        <w:t xml:space="preserve"> bulletin is in place from October 2017.</w:t>
      </w:r>
    </w:p>
    <w:p w:rsidR="008E495F" w:rsidRDefault="008E495F" w:rsidP="00812C92">
      <w:pPr>
        <w:pStyle w:val="Text"/>
        <w:spacing w:line="276" w:lineRule="auto"/>
      </w:pPr>
      <w:r>
        <w:t xml:space="preserve">We propose that this </w:t>
      </w:r>
      <w:r w:rsidR="00C52591">
        <w:t>bulletin</w:t>
      </w:r>
      <w:r>
        <w:t xml:space="preserve"> will routinely publish one year reoffending statistics, such as binary reoffending rates (the proportion of offenders who reoffend) for CRCs and the NPS</w:t>
      </w:r>
      <w:r w:rsidR="000E7458" w:rsidRPr="000E7458">
        <w:t xml:space="preserve"> </w:t>
      </w:r>
      <w:r w:rsidR="000E7458">
        <w:t>which are not currently available</w:t>
      </w:r>
      <w:r>
        <w:t>. The publication will also include on an annual basis, further geographical level breakdowns for reoffending</w:t>
      </w:r>
      <w:r w:rsidR="000E7458">
        <w:t xml:space="preserve"> alongside</w:t>
      </w:r>
      <w:r>
        <w:t xml:space="preserve"> additional analysis on Serious Further Offences (SFOs) and any new analysis in reoffending statistics that would otherwise have been presented in the compendium of reoffending. This will provide users with the opportunity to comment on emerging work and plans for future work.</w:t>
      </w:r>
    </w:p>
    <w:p w:rsidR="008E495F" w:rsidRDefault="008E495F" w:rsidP="00812C92">
      <w:pPr>
        <w:pStyle w:val="Text"/>
        <w:spacing w:line="276" w:lineRule="auto"/>
      </w:pPr>
      <w:r>
        <w:t xml:space="preserve">To align with the PbR measure of reoffending we are proposing the use of: </w:t>
      </w:r>
    </w:p>
    <w:p w:rsidR="008E495F" w:rsidRDefault="008E495F" w:rsidP="00037213">
      <w:pPr>
        <w:pStyle w:val="Text"/>
        <w:numPr>
          <w:ilvl w:val="1"/>
          <w:numId w:val="15"/>
        </w:numPr>
        <w:tabs>
          <w:tab w:val="clear" w:pos="1440"/>
          <w:tab w:val="num" w:pos="360"/>
        </w:tabs>
        <w:spacing w:line="276" w:lineRule="auto"/>
        <w:ind w:left="360"/>
      </w:pPr>
      <w:r>
        <w:t xml:space="preserve">Three month cohorts for all measures of reoffending including for juveniles, which will then align with the adult PbR element of the reforms. Reporting will then be done for each new quarterly cohort rather than for a rolling annual cohort of offenders as used by the current measure of reoffending; and </w:t>
      </w:r>
    </w:p>
    <w:p w:rsidR="008E495F" w:rsidRDefault="008E495F" w:rsidP="00037213">
      <w:pPr>
        <w:pStyle w:val="Text"/>
        <w:numPr>
          <w:ilvl w:val="1"/>
          <w:numId w:val="15"/>
        </w:numPr>
        <w:tabs>
          <w:tab w:val="clear" w:pos="1440"/>
          <w:tab w:val="num" w:pos="360"/>
        </w:tabs>
        <w:spacing w:line="23" w:lineRule="atLeast"/>
        <w:ind w:left="360"/>
      </w:pPr>
      <w:r>
        <w:t>an annual cohort (available on an financial year basis) that combines the preceding quarterly cohorts to calculate both annual binary and frequency measures of reoffending for the PbR element of the reforms. Using this annual cohort to create geographical breakdowns at local authority (LA) level, including those used by the Youth Justice Board (YJB) for breakdowns by Youth Offending Teams (YOTs)</w:t>
      </w:r>
    </w:p>
    <w:p w:rsidR="008E495F" w:rsidRDefault="008E495F" w:rsidP="00037213">
      <w:pPr>
        <w:pStyle w:val="Normal1"/>
        <w:spacing w:before="100" w:beforeAutospacing="1"/>
        <w:jc w:val="both"/>
        <w:rPr>
          <w:rFonts w:cs="Times New Roman"/>
          <w:b/>
          <w:color w:val="auto"/>
        </w:rPr>
      </w:pPr>
    </w:p>
    <w:p w:rsidR="008E495F" w:rsidRPr="00037213" w:rsidRDefault="008E495F" w:rsidP="00037213">
      <w:pPr>
        <w:pStyle w:val="Normal1"/>
        <w:spacing w:before="100" w:beforeAutospacing="1"/>
        <w:jc w:val="both"/>
        <w:rPr>
          <w:rFonts w:cs="Times New Roman"/>
          <w:color w:val="auto"/>
        </w:rPr>
      </w:pPr>
      <w:r w:rsidRPr="006E10F2">
        <w:rPr>
          <w:rFonts w:cs="Times New Roman"/>
          <w:b/>
          <w:color w:val="auto"/>
        </w:rPr>
        <w:t>Quarterly reporting</w:t>
      </w:r>
    </w:p>
    <w:p w:rsidR="008E495F" w:rsidRDefault="00C52591" w:rsidP="00037213">
      <w:pPr>
        <w:pStyle w:val="Normal1"/>
        <w:spacing w:before="100" w:beforeAutospacing="1"/>
        <w:jc w:val="both"/>
        <w:rPr>
          <w:highlight w:val="white"/>
        </w:rPr>
      </w:pPr>
      <w:r>
        <w:rPr>
          <w:rFonts w:cs="Times New Roman"/>
          <w:color w:val="auto"/>
        </w:rPr>
        <w:t>This bulletin</w:t>
      </w:r>
      <w:r w:rsidR="008E495F">
        <w:rPr>
          <w:rFonts w:cs="Times New Roman"/>
          <w:color w:val="auto"/>
        </w:rPr>
        <w:t xml:space="preserve"> will include one year reoffending rates for</w:t>
      </w:r>
      <w:r w:rsidR="008E495F" w:rsidRPr="00BF554D">
        <w:rPr>
          <w:rFonts w:cs="Times New Roman"/>
          <w:color w:val="auto"/>
        </w:rPr>
        <w:t xml:space="preserve"> a series of</w:t>
      </w:r>
      <w:r w:rsidR="0045361E">
        <w:rPr>
          <w:rFonts w:cs="Times New Roman"/>
          <w:color w:val="auto"/>
        </w:rPr>
        <w:t xml:space="preserve"> quarterly</w:t>
      </w:r>
      <w:r w:rsidR="008E495F" w:rsidRPr="00BF554D">
        <w:rPr>
          <w:rFonts w:cs="Times New Roman"/>
          <w:color w:val="auto"/>
        </w:rPr>
        <w:t xml:space="preserve"> offender cohorts. These</w:t>
      </w:r>
      <w:r w:rsidR="008E495F">
        <w:rPr>
          <w:rFonts w:cs="Times New Roman"/>
          <w:color w:val="auto"/>
        </w:rPr>
        <w:t xml:space="preserve"> cohorts will represent</w:t>
      </w:r>
      <w:r w:rsidR="008E495F" w:rsidRPr="00BF554D">
        <w:rPr>
          <w:rFonts w:cs="Times New Roman"/>
          <w:color w:val="auto"/>
        </w:rPr>
        <w:t xml:space="preserve"> the groups of o</w:t>
      </w:r>
      <w:r w:rsidR="008E495F">
        <w:rPr>
          <w:rFonts w:cs="Times New Roman"/>
          <w:color w:val="auto"/>
        </w:rPr>
        <w:t>ffenders whose reoffending can also be used to determine the</w:t>
      </w:r>
      <w:r w:rsidR="008E495F" w:rsidRPr="00BF554D">
        <w:rPr>
          <w:rFonts w:cs="Times New Roman"/>
          <w:color w:val="auto"/>
        </w:rPr>
        <w:t xml:space="preserve"> success or otherwise</w:t>
      </w:r>
      <w:r w:rsidR="008E495F">
        <w:rPr>
          <w:rFonts w:cs="Times New Roman"/>
          <w:color w:val="auto"/>
        </w:rPr>
        <w:t xml:space="preserve"> of CRCs</w:t>
      </w:r>
      <w:r w:rsidR="008E495F" w:rsidRPr="00BF554D">
        <w:rPr>
          <w:rFonts w:cs="Times New Roman"/>
          <w:color w:val="auto"/>
        </w:rPr>
        <w:t xml:space="preserve"> at reducing </w:t>
      </w:r>
      <w:r w:rsidR="008E495F">
        <w:rPr>
          <w:rFonts w:cs="Times New Roman"/>
          <w:color w:val="auto"/>
        </w:rPr>
        <w:t>reof</w:t>
      </w:r>
      <w:r w:rsidR="008E495F" w:rsidRPr="00BF554D">
        <w:rPr>
          <w:rFonts w:cs="Times New Roman"/>
          <w:color w:val="auto"/>
        </w:rPr>
        <w:t>fending rates</w:t>
      </w:r>
      <w:r w:rsidR="008E495F">
        <w:rPr>
          <w:rFonts w:cs="Times New Roman"/>
          <w:color w:val="auto"/>
        </w:rPr>
        <w:t xml:space="preserve"> against a fixed baseline, adjusted for changes in the case mix of the offenders being supervised</w:t>
      </w:r>
      <w:r w:rsidR="008E495F" w:rsidRPr="00BF554D">
        <w:rPr>
          <w:rFonts w:cs="Times New Roman"/>
          <w:color w:val="auto"/>
        </w:rPr>
        <w:t xml:space="preserve">. </w:t>
      </w:r>
    </w:p>
    <w:p w:rsidR="008E495F" w:rsidRDefault="008E495F" w:rsidP="00037213">
      <w:pPr>
        <w:pStyle w:val="Text"/>
        <w:spacing w:line="23" w:lineRule="atLeast"/>
        <w:ind w:left="360"/>
      </w:pPr>
    </w:p>
    <w:p w:rsidR="008E495F" w:rsidRDefault="008E495F" w:rsidP="00037213">
      <w:pPr>
        <w:pStyle w:val="Text"/>
        <w:spacing w:line="23" w:lineRule="atLeast"/>
        <w:ind w:left="360"/>
      </w:pPr>
    </w:p>
    <w:p w:rsidR="008E495F" w:rsidRPr="00B20A47" w:rsidRDefault="008E495F" w:rsidP="00BF554D">
      <w:pPr>
        <w:pStyle w:val="Normal1"/>
        <w:spacing w:before="100" w:beforeAutospacing="1"/>
        <w:jc w:val="both"/>
        <w:rPr>
          <w:rFonts w:cs="Times New Roman"/>
          <w:b/>
          <w:color w:val="auto"/>
        </w:rPr>
      </w:pPr>
      <w:r>
        <w:rPr>
          <w:rFonts w:cs="Times New Roman"/>
          <w:b/>
          <w:color w:val="auto"/>
        </w:rPr>
        <w:t>Cohort creation</w:t>
      </w:r>
    </w:p>
    <w:p w:rsidR="008E495F" w:rsidRPr="00BF554D" w:rsidRDefault="008E495F" w:rsidP="00BF554D">
      <w:pPr>
        <w:pStyle w:val="Normal1"/>
        <w:spacing w:before="100" w:beforeAutospacing="1"/>
        <w:jc w:val="both"/>
        <w:rPr>
          <w:rFonts w:cs="Times New Roman"/>
          <w:b/>
          <w:color w:val="auto"/>
        </w:rPr>
      </w:pPr>
      <w:r w:rsidRPr="00BF554D">
        <w:rPr>
          <w:rFonts w:cs="Times New Roman"/>
          <w:color w:val="auto"/>
        </w:rPr>
        <w:t xml:space="preserve">Each </w:t>
      </w:r>
      <w:r w:rsidRPr="00B20A47">
        <w:rPr>
          <w:rFonts w:cs="Times New Roman"/>
          <w:b/>
          <w:color w:val="auto"/>
        </w:rPr>
        <w:t>quarterly cohort</w:t>
      </w:r>
      <w:r>
        <w:rPr>
          <w:rFonts w:cs="Times New Roman"/>
          <w:color w:val="auto"/>
        </w:rPr>
        <w:t xml:space="preserve"> will comprise of offender starts with each </w:t>
      </w:r>
      <w:r w:rsidRPr="00BF554D">
        <w:rPr>
          <w:rFonts w:cs="Times New Roman"/>
          <w:color w:val="auto"/>
        </w:rPr>
        <w:t xml:space="preserve">start associated with an offender and an index offence. </w:t>
      </w:r>
      <w:r>
        <w:rPr>
          <w:rFonts w:cs="Times New Roman"/>
          <w:color w:val="auto"/>
        </w:rPr>
        <w:t>As is the case for the current reoffending measure, t</w:t>
      </w:r>
      <w:r w:rsidRPr="00BF554D">
        <w:rPr>
          <w:rFonts w:cs="Times New Roman"/>
          <w:color w:val="auto"/>
        </w:rPr>
        <w:t>he index offence is the most serious offence associated with the sentence which led to the offe</w:t>
      </w:r>
      <w:r>
        <w:rPr>
          <w:rFonts w:cs="Times New Roman"/>
          <w:color w:val="auto"/>
        </w:rPr>
        <w:t>nder being eligible to join the</w:t>
      </w:r>
      <w:r w:rsidRPr="00BF554D">
        <w:rPr>
          <w:rFonts w:cs="Times New Roman"/>
          <w:color w:val="auto"/>
        </w:rPr>
        <w:t xml:space="preserve"> cohort. Each individual offe</w:t>
      </w:r>
      <w:r>
        <w:rPr>
          <w:rFonts w:cs="Times New Roman"/>
          <w:color w:val="auto"/>
        </w:rPr>
        <w:t>nder will be allocated to a</w:t>
      </w:r>
      <w:r w:rsidRPr="00BF554D">
        <w:rPr>
          <w:rFonts w:cs="Times New Roman"/>
          <w:color w:val="auto"/>
        </w:rPr>
        <w:t xml:space="preserve"> quarterly cohort only once, based on their first entry in a given quarter.</w:t>
      </w:r>
    </w:p>
    <w:p w:rsidR="008E495F" w:rsidRDefault="008E495F" w:rsidP="00BF554D">
      <w:pPr>
        <w:pStyle w:val="Normal1"/>
        <w:spacing w:before="100" w:beforeAutospacing="1"/>
        <w:jc w:val="both"/>
        <w:rPr>
          <w:rFonts w:cs="Times New Roman"/>
          <w:color w:val="auto"/>
        </w:rPr>
      </w:pPr>
    </w:p>
    <w:p w:rsidR="008E495F" w:rsidRPr="00BF554D" w:rsidRDefault="008E495F" w:rsidP="00037213">
      <w:pPr>
        <w:pStyle w:val="Normal1"/>
        <w:spacing w:before="100" w:beforeAutospacing="1"/>
        <w:jc w:val="both"/>
        <w:rPr>
          <w:rFonts w:cs="Times New Roman"/>
          <w:color w:val="auto"/>
        </w:rPr>
      </w:pPr>
      <w:r w:rsidRPr="00BF554D">
        <w:rPr>
          <w:rFonts w:cs="Times New Roman"/>
          <w:color w:val="auto"/>
        </w:rPr>
        <w:t>Cohorts will be built up on a quarterly basis and will include:</w:t>
      </w:r>
    </w:p>
    <w:p w:rsidR="008E495F" w:rsidRDefault="008E495F" w:rsidP="00037213">
      <w:pPr>
        <w:pStyle w:val="Normal1"/>
        <w:numPr>
          <w:ilvl w:val="0"/>
          <w:numId w:val="9"/>
        </w:numPr>
        <w:spacing w:before="100" w:beforeAutospacing="1"/>
        <w:ind w:left="357" w:hanging="357"/>
        <w:rPr>
          <w:highlight w:val="white"/>
        </w:rPr>
      </w:pPr>
      <w:r>
        <w:rPr>
          <w:highlight w:val="white"/>
        </w:rPr>
        <w:t>all offenders released from a custodial sentence;</w:t>
      </w:r>
    </w:p>
    <w:p w:rsidR="008E495F" w:rsidRDefault="008E495F" w:rsidP="00037213">
      <w:pPr>
        <w:pStyle w:val="Normal1"/>
        <w:numPr>
          <w:ilvl w:val="0"/>
          <w:numId w:val="9"/>
        </w:numPr>
        <w:spacing w:before="100" w:beforeAutospacing="1"/>
        <w:ind w:left="357" w:hanging="357"/>
        <w:rPr>
          <w:highlight w:val="white"/>
        </w:rPr>
      </w:pPr>
      <w:r>
        <w:rPr>
          <w:highlight w:val="white"/>
        </w:rPr>
        <w:t>all offenders who begin a community order (CO);</w:t>
      </w:r>
    </w:p>
    <w:p w:rsidR="008E495F" w:rsidRDefault="008E495F" w:rsidP="00037213">
      <w:pPr>
        <w:pStyle w:val="Normal1"/>
        <w:numPr>
          <w:ilvl w:val="0"/>
          <w:numId w:val="9"/>
        </w:numPr>
        <w:spacing w:before="100" w:beforeAutospacing="1"/>
        <w:ind w:left="357" w:hanging="357"/>
        <w:rPr>
          <w:highlight w:val="white"/>
        </w:rPr>
      </w:pPr>
      <w:r>
        <w:rPr>
          <w:highlight w:val="white"/>
        </w:rPr>
        <w:t xml:space="preserve">all offenders who begin a suspended sentence order (SSO); </w:t>
      </w:r>
    </w:p>
    <w:p w:rsidR="008E495F" w:rsidRPr="00A05A71" w:rsidRDefault="008E495F" w:rsidP="00037213">
      <w:pPr>
        <w:pStyle w:val="Normal1"/>
        <w:numPr>
          <w:ilvl w:val="0"/>
          <w:numId w:val="9"/>
        </w:numPr>
        <w:spacing w:before="100" w:beforeAutospacing="1"/>
        <w:ind w:left="357" w:hanging="357"/>
        <w:rPr>
          <w:highlight w:val="white"/>
        </w:rPr>
      </w:pPr>
      <w:r>
        <w:rPr>
          <w:highlight w:val="white"/>
        </w:rPr>
        <w:t xml:space="preserve">all offenders receiving a </w:t>
      </w:r>
      <w:r>
        <w:t>f</w:t>
      </w:r>
      <w:r w:rsidRPr="002B0CDC">
        <w:t>ine</w:t>
      </w:r>
      <w:r>
        <w:t>, d</w:t>
      </w:r>
      <w:r w:rsidRPr="002B0CDC">
        <w:t>ischarge</w:t>
      </w:r>
      <w:r>
        <w:t xml:space="preserve"> or other disposals besides immediate custody for court convictions; and </w:t>
      </w:r>
    </w:p>
    <w:p w:rsidR="008E495F" w:rsidRPr="002B0CDC" w:rsidRDefault="008E495F" w:rsidP="00037213">
      <w:pPr>
        <w:pStyle w:val="Normal1"/>
        <w:numPr>
          <w:ilvl w:val="0"/>
          <w:numId w:val="9"/>
        </w:numPr>
        <w:spacing w:before="100" w:beforeAutospacing="1"/>
        <w:ind w:left="357" w:hanging="357"/>
      </w:pPr>
      <w:r>
        <w:rPr>
          <w:highlight w:val="white"/>
        </w:rPr>
        <w:t>all offenders receiving a caution</w:t>
      </w:r>
      <w:r>
        <w:t>.</w:t>
      </w:r>
      <w:r w:rsidRPr="002B0CDC">
        <w:t xml:space="preserve"> </w:t>
      </w:r>
    </w:p>
    <w:p w:rsidR="008E495F" w:rsidRDefault="008E495F" w:rsidP="00037213">
      <w:pPr>
        <w:pStyle w:val="Normal1"/>
        <w:spacing w:before="100" w:beforeAutospacing="1"/>
        <w:jc w:val="both"/>
        <w:rPr>
          <w:highlight w:val="white"/>
        </w:rPr>
      </w:pPr>
    </w:p>
    <w:p w:rsidR="008E495F" w:rsidRDefault="008E495F" w:rsidP="00037213">
      <w:pPr>
        <w:pStyle w:val="Normal1"/>
        <w:spacing w:before="120"/>
        <w:jc w:val="both"/>
        <w:rPr>
          <w:highlight w:val="white"/>
        </w:rPr>
      </w:pPr>
      <w:r>
        <w:rPr>
          <w:highlight w:val="white"/>
        </w:rPr>
        <w:t>The PbR cohorts will exclude:</w:t>
      </w:r>
    </w:p>
    <w:p w:rsidR="008E495F" w:rsidRDefault="008E495F" w:rsidP="00037213">
      <w:pPr>
        <w:spacing w:line="240" w:lineRule="auto"/>
        <w:rPr>
          <w:b/>
          <w:sz w:val="20"/>
          <w:szCs w:val="20"/>
        </w:rPr>
      </w:pPr>
    </w:p>
    <w:p w:rsidR="008E495F" w:rsidRDefault="008E495F" w:rsidP="00037213">
      <w:pPr>
        <w:pStyle w:val="Normal1"/>
        <w:numPr>
          <w:ilvl w:val="0"/>
          <w:numId w:val="10"/>
        </w:numPr>
        <w:spacing w:before="120"/>
        <w:ind w:left="357" w:hanging="357"/>
        <w:jc w:val="both"/>
        <w:rPr>
          <w:highlight w:val="white"/>
        </w:rPr>
      </w:pPr>
      <w:r>
        <w:rPr>
          <w:highlight w:val="white"/>
        </w:rPr>
        <w:t>offenders who do not receive one of the above disposals;</w:t>
      </w:r>
    </w:p>
    <w:p w:rsidR="008E495F" w:rsidRPr="00A05A71" w:rsidRDefault="008E495F" w:rsidP="00037213">
      <w:pPr>
        <w:pStyle w:val="Normal1"/>
        <w:numPr>
          <w:ilvl w:val="0"/>
          <w:numId w:val="10"/>
        </w:numPr>
        <w:spacing w:before="120"/>
        <w:ind w:left="357" w:hanging="357"/>
        <w:jc w:val="both"/>
        <w:rPr>
          <w:highlight w:val="white"/>
        </w:rPr>
      </w:pPr>
      <w:r>
        <w:rPr>
          <w:highlight w:val="white"/>
        </w:rPr>
        <w:t>o</w:t>
      </w:r>
      <w:r w:rsidRPr="00A05A71">
        <w:rPr>
          <w:highlight w:val="white"/>
        </w:rPr>
        <w:t xml:space="preserve">ffenders with the following </w:t>
      </w:r>
      <w:r>
        <w:rPr>
          <w:highlight w:val="white"/>
        </w:rPr>
        <w:t>two</w:t>
      </w:r>
      <w:r w:rsidRPr="00A05A71">
        <w:rPr>
          <w:highlight w:val="white"/>
        </w:rPr>
        <w:t xml:space="preserve"> </w:t>
      </w:r>
      <w:r>
        <w:rPr>
          <w:highlight w:val="white"/>
        </w:rPr>
        <w:t xml:space="preserve">sentence </w:t>
      </w:r>
      <w:r w:rsidRPr="00A05A71">
        <w:rPr>
          <w:highlight w:val="white"/>
        </w:rPr>
        <w:t>requirements</w:t>
      </w:r>
      <w:r>
        <w:rPr>
          <w:highlight w:val="white"/>
        </w:rPr>
        <w:t>, or a combination of the two</w:t>
      </w:r>
      <w:r w:rsidRPr="00A05A71">
        <w:rPr>
          <w:highlight w:val="white"/>
        </w:rPr>
        <w:t>:</w:t>
      </w:r>
    </w:p>
    <w:p w:rsidR="008E495F" w:rsidRPr="00A05A71" w:rsidRDefault="008E495F" w:rsidP="00037213">
      <w:pPr>
        <w:numPr>
          <w:ilvl w:val="0"/>
          <w:numId w:val="12"/>
        </w:numPr>
        <w:spacing w:line="240" w:lineRule="auto"/>
      </w:pPr>
      <w:r w:rsidRPr="00A05A71">
        <w:t>Standalone Unpaid Work/Community Payback</w:t>
      </w:r>
    </w:p>
    <w:p w:rsidR="008E495F" w:rsidRDefault="008E495F" w:rsidP="00037213">
      <w:pPr>
        <w:numPr>
          <w:ilvl w:val="0"/>
          <w:numId w:val="12"/>
        </w:numPr>
        <w:spacing w:line="240" w:lineRule="auto"/>
      </w:pPr>
      <w:r w:rsidRPr="00A05A71">
        <w:t>S</w:t>
      </w:r>
      <w:r>
        <w:t>tandalone Electronic Monitoring</w:t>
      </w:r>
      <w:r w:rsidRPr="00A05A71">
        <w:t>/Curfew</w:t>
      </w:r>
      <w:r>
        <w:t>; and</w:t>
      </w:r>
      <w:r w:rsidRPr="00A05A71">
        <w:t xml:space="preserve"> </w:t>
      </w:r>
    </w:p>
    <w:p w:rsidR="008E495F" w:rsidRDefault="008E495F" w:rsidP="00037213">
      <w:pPr>
        <w:pStyle w:val="Normal1"/>
        <w:numPr>
          <w:ilvl w:val="0"/>
          <w:numId w:val="10"/>
        </w:numPr>
        <w:spacing w:before="120"/>
        <w:ind w:left="357" w:hanging="357"/>
        <w:jc w:val="both"/>
        <w:rPr>
          <w:highlight w:val="white"/>
        </w:rPr>
      </w:pPr>
      <w:r>
        <w:rPr>
          <w:highlight w:val="white"/>
        </w:rPr>
        <w:t xml:space="preserve">foreign national offenders subject to deportation. </w:t>
      </w:r>
    </w:p>
    <w:p w:rsidR="00843D72" w:rsidRDefault="00843D72" w:rsidP="00037213">
      <w:pPr>
        <w:pStyle w:val="Normal1"/>
        <w:numPr>
          <w:ilvl w:val="0"/>
          <w:numId w:val="10"/>
        </w:numPr>
        <w:spacing w:before="120"/>
        <w:ind w:left="357" w:hanging="357"/>
        <w:jc w:val="both"/>
        <w:rPr>
          <w:highlight w:val="white"/>
        </w:rPr>
      </w:pPr>
      <w:r>
        <w:rPr>
          <w:highlight w:val="white"/>
        </w:rPr>
        <w:t>all offenders receiving a caution</w:t>
      </w:r>
    </w:p>
    <w:p w:rsidR="008E495F" w:rsidRDefault="008E495F" w:rsidP="00BF554D">
      <w:pPr>
        <w:pStyle w:val="Normal1"/>
        <w:spacing w:before="100" w:beforeAutospacing="1"/>
        <w:jc w:val="both"/>
        <w:rPr>
          <w:rFonts w:cs="Times New Roman"/>
          <w:color w:val="auto"/>
        </w:rPr>
      </w:pPr>
    </w:p>
    <w:p w:rsidR="008E495F" w:rsidRDefault="008E495F" w:rsidP="00BF554D">
      <w:pPr>
        <w:pStyle w:val="Normal1"/>
        <w:spacing w:before="100" w:beforeAutospacing="1"/>
        <w:jc w:val="both"/>
        <w:rPr>
          <w:rFonts w:cs="Times New Roman"/>
          <w:color w:val="auto"/>
        </w:rPr>
      </w:pPr>
      <w:r w:rsidRPr="00B20A47">
        <w:rPr>
          <w:rFonts w:cs="Times New Roman"/>
          <w:b/>
          <w:color w:val="auto"/>
        </w:rPr>
        <w:t>Annual cohorts</w:t>
      </w:r>
      <w:r w:rsidRPr="00BF554D">
        <w:rPr>
          <w:rFonts w:cs="Times New Roman"/>
          <w:color w:val="auto"/>
        </w:rPr>
        <w:t xml:space="preserve"> will be </w:t>
      </w:r>
      <w:r>
        <w:rPr>
          <w:rFonts w:cs="Times New Roman"/>
          <w:color w:val="auto"/>
        </w:rPr>
        <w:t>formed simply by combining the four</w:t>
      </w:r>
      <w:r w:rsidRPr="00BF554D">
        <w:rPr>
          <w:rFonts w:cs="Times New Roman"/>
          <w:color w:val="auto"/>
        </w:rPr>
        <w:t xml:space="preserve"> quarterly cohorts of the relevant </w:t>
      </w:r>
      <w:r>
        <w:rPr>
          <w:rFonts w:cs="Times New Roman"/>
          <w:color w:val="auto"/>
        </w:rPr>
        <w:t xml:space="preserve">financial </w:t>
      </w:r>
      <w:r w:rsidRPr="00BF554D">
        <w:rPr>
          <w:rFonts w:cs="Times New Roman"/>
          <w:color w:val="auto"/>
        </w:rPr>
        <w:t>year; therefore an indi</w:t>
      </w:r>
      <w:r>
        <w:rPr>
          <w:rFonts w:cs="Times New Roman"/>
          <w:color w:val="auto"/>
        </w:rPr>
        <w:t>vidual offender may have up to four</w:t>
      </w:r>
      <w:r w:rsidRPr="00BF554D">
        <w:rPr>
          <w:rFonts w:cs="Times New Roman"/>
          <w:color w:val="auto"/>
        </w:rPr>
        <w:t xml:space="preserve"> starts within a single annual cohort.</w:t>
      </w:r>
      <w:r>
        <w:rPr>
          <w:rFonts w:cs="Times New Roman"/>
          <w:color w:val="auto"/>
        </w:rPr>
        <w:t xml:space="preserve"> This differs to the current annual cohort used to produce reoffending rates where an offender is only counted once. The impact of this change is to weight the measure towards the more prolific offenders meaning slightly higher reoffending rates when compared to the current measure </w:t>
      </w:r>
      <w:r>
        <w:rPr>
          <w:rFonts w:cs="Times New Roman"/>
          <w:color w:val="auto"/>
        </w:rPr>
        <w:lastRenderedPageBreak/>
        <w:t>of reoffending. The difference is illustrated in Annex 1 outlining the structure of the quarterly report.</w:t>
      </w:r>
    </w:p>
    <w:p w:rsidR="008E495F" w:rsidRPr="00A05A71" w:rsidRDefault="008E495F" w:rsidP="00A05A71">
      <w:pPr>
        <w:pStyle w:val="Normal1"/>
        <w:spacing w:before="120"/>
        <w:jc w:val="both"/>
        <w:rPr>
          <w:rFonts w:cs="Times New Roman"/>
          <w:color w:val="auto"/>
          <w:szCs w:val="22"/>
        </w:rPr>
      </w:pPr>
    </w:p>
    <w:p w:rsidR="003D1F21" w:rsidRPr="003D1F21" w:rsidRDefault="008E495F" w:rsidP="003D1F21">
      <w:pPr>
        <w:pStyle w:val="Text"/>
        <w:spacing w:line="276" w:lineRule="auto"/>
        <w:rPr>
          <w:szCs w:val="22"/>
        </w:rPr>
      </w:pPr>
      <w:r>
        <w:rPr>
          <w:szCs w:val="22"/>
        </w:rPr>
        <w:t>These changes reflect the need to provide a complete picture of reoffending while monitoring rehabilitation reforms whi</w:t>
      </w:r>
      <w:r w:rsidR="003D1F21">
        <w:rPr>
          <w:szCs w:val="22"/>
        </w:rPr>
        <w:t>ch is easily accessible to all.</w:t>
      </w:r>
      <w:r>
        <w:rPr>
          <w:szCs w:val="22"/>
        </w:rPr>
        <w:t xml:space="preserve"> </w:t>
      </w:r>
    </w:p>
    <w:p w:rsidR="003D1F21" w:rsidRDefault="003D1F21" w:rsidP="00606CCE">
      <w:pPr>
        <w:pStyle w:val="Text"/>
        <w:spacing w:after="100" w:afterAutospacing="1" w:line="276" w:lineRule="auto"/>
        <w:rPr>
          <w:b/>
          <w:szCs w:val="22"/>
        </w:rPr>
      </w:pPr>
    </w:p>
    <w:p w:rsidR="003D1F21" w:rsidRDefault="003D1F21" w:rsidP="00606CCE">
      <w:pPr>
        <w:pStyle w:val="Text"/>
        <w:spacing w:after="100" w:afterAutospacing="1" w:line="276" w:lineRule="auto"/>
        <w:rPr>
          <w:b/>
          <w:szCs w:val="22"/>
        </w:rPr>
      </w:pPr>
      <w:r w:rsidRPr="003D1F21">
        <w:rPr>
          <w:b/>
          <w:szCs w:val="22"/>
        </w:rPr>
        <w:t>Impact</w:t>
      </w:r>
      <w:r>
        <w:rPr>
          <w:b/>
          <w:szCs w:val="22"/>
        </w:rPr>
        <w:t>s of the change</w:t>
      </w:r>
      <w:r w:rsidRPr="003D1F21">
        <w:rPr>
          <w:b/>
          <w:szCs w:val="22"/>
        </w:rPr>
        <w:t>:</w:t>
      </w:r>
    </w:p>
    <w:p w:rsidR="008E495F" w:rsidRPr="003D1F21" w:rsidRDefault="003D1F21" w:rsidP="003D1F21">
      <w:pPr>
        <w:pStyle w:val="Text"/>
        <w:spacing w:after="100" w:afterAutospacing="1" w:line="276" w:lineRule="auto"/>
        <w:rPr>
          <w:b/>
        </w:rPr>
      </w:pPr>
      <w:r>
        <w:rPr>
          <w:szCs w:val="22"/>
        </w:rPr>
        <w:t>The proposed measure a</w:t>
      </w:r>
      <w:r w:rsidR="008E495F" w:rsidRPr="00606CCE">
        <w:rPr>
          <w:szCs w:val="22"/>
        </w:rPr>
        <w:t>ligns with the PbR measure so that we maintain a single framework for</w:t>
      </w:r>
      <w:r w:rsidR="008E495F">
        <w:t xml:space="preserve"> measuring reoffending - feedback from the previous consultation in 2011 suggested a single measure of reoffending was preferred to the many different measures that previously existed.</w:t>
      </w:r>
      <w:r>
        <w:rPr>
          <w:b/>
        </w:rPr>
        <w:t xml:space="preserve"> </w:t>
      </w:r>
      <w:r w:rsidRPr="003D1F21">
        <w:t>However,</w:t>
      </w:r>
      <w:r>
        <w:rPr>
          <w:b/>
        </w:rPr>
        <w:t xml:space="preserve"> </w:t>
      </w:r>
      <w:r>
        <w:t>t</w:t>
      </w:r>
      <w:r w:rsidR="008E495F">
        <w:t>hree month cohorts limit the scope for geographical breakdowns owing to the smaller number of offenders.</w:t>
      </w:r>
      <w:r w:rsidR="008E495F">
        <w:rPr>
          <w:b/>
        </w:rPr>
        <w:t xml:space="preserve"> </w:t>
      </w:r>
      <w:r w:rsidR="008E495F">
        <w:t>Counting rules for the annual cohorts will differ slightly to the quarterly cohorts. This is because the annual cohorts are created though combining the four quarterly cohorts so an offender is not necessarily unique, appearing up to four times.</w:t>
      </w:r>
    </w:p>
    <w:p w:rsidR="008E495F" w:rsidRPr="007F5882" w:rsidRDefault="008E495F" w:rsidP="00B20A47">
      <w:pPr>
        <w:pStyle w:val="Text"/>
        <w:spacing w:line="276" w:lineRule="auto"/>
        <w:rPr>
          <w:b/>
        </w:rPr>
      </w:pPr>
    </w:p>
    <w:p w:rsidR="008E495F" w:rsidRPr="00286825" w:rsidRDefault="008E495F" w:rsidP="00F91F0F">
      <w:pPr>
        <w:pStyle w:val="Text"/>
        <w:spacing w:line="276" w:lineRule="auto"/>
        <w:rPr>
          <w:b/>
        </w:rPr>
      </w:pPr>
      <w:r>
        <w:rPr>
          <w:b/>
        </w:rPr>
        <w:t>Question 1</w:t>
      </w:r>
      <w:r w:rsidRPr="00286825">
        <w:rPr>
          <w:b/>
        </w:rPr>
        <w:t xml:space="preserve"> – Do users agree with </w:t>
      </w:r>
      <w:r>
        <w:rPr>
          <w:b/>
        </w:rPr>
        <w:t>changing to three month cohorts to measure</w:t>
      </w:r>
      <w:r w:rsidRPr="00286825">
        <w:rPr>
          <w:b/>
        </w:rPr>
        <w:t xml:space="preserve"> </w:t>
      </w:r>
      <w:r>
        <w:rPr>
          <w:b/>
        </w:rPr>
        <w:t xml:space="preserve">all </w:t>
      </w:r>
      <w:r w:rsidRPr="00286825">
        <w:rPr>
          <w:b/>
        </w:rPr>
        <w:t xml:space="preserve">reoffending </w:t>
      </w:r>
      <w:r>
        <w:rPr>
          <w:b/>
        </w:rPr>
        <w:t xml:space="preserve">(not just PbR outcomes) </w:t>
      </w:r>
      <w:r w:rsidRPr="00286825">
        <w:rPr>
          <w:b/>
        </w:rPr>
        <w:t xml:space="preserve">and </w:t>
      </w:r>
      <w:r>
        <w:rPr>
          <w:b/>
        </w:rPr>
        <w:t>the creation of</w:t>
      </w:r>
      <w:r w:rsidRPr="00286825">
        <w:rPr>
          <w:b/>
        </w:rPr>
        <w:t xml:space="preserve"> annual cohort</w:t>
      </w:r>
      <w:r>
        <w:rPr>
          <w:b/>
        </w:rPr>
        <w:t>s, combining</w:t>
      </w:r>
      <w:r w:rsidRPr="00286825">
        <w:rPr>
          <w:b/>
        </w:rPr>
        <w:t xml:space="preserve"> the preceding quarterly cohorts</w:t>
      </w:r>
      <w:r>
        <w:rPr>
          <w:b/>
        </w:rPr>
        <w:t>,</w:t>
      </w:r>
      <w:r w:rsidRPr="00286825">
        <w:rPr>
          <w:b/>
        </w:rPr>
        <w:t xml:space="preserve"> to permit geographical breakdowns at LA level, including those used by the Youth Justice Board (YJB) for Youth Offending Teams (YOTs)</w:t>
      </w:r>
    </w:p>
    <w:p w:rsidR="008E495F" w:rsidRDefault="008E495F" w:rsidP="00BF554D">
      <w:pPr>
        <w:pStyle w:val="Text"/>
        <w:spacing w:line="23" w:lineRule="atLeast"/>
        <w:rPr>
          <w:b/>
        </w:rPr>
      </w:pPr>
    </w:p>
    <w:p w:rsidR="008E495F" w:rsidRPr="009103CB" w:rsidRDefault="008E495F" w:rsidP="00471B2D">
      <w:pPr>
        <w:pStyle w:val="Text"/>
        <w:rPr>
          <w:b/>
          <w:sz w:val="24"/>
          <w:szCs w:val="24"/>
        </w:rPr>
      </w:pPr>
      <w:r w:rsidRPr="009103CB">
        <w:rPr>
          <w:b/>
          <w:sz w:val="24"/>
          <w:szCs w:val="24"/>
        </w:rPr>
        <w:t xml:space="preserve">Proposal 2: Replacing ‘adjusted to baseline’ </w:t>
      </w:r>
      <w:r w:rsidR="009D4995">
        <w:rPr>
          <w:b/>
          <w:sz w:val="24"/>
          <w:szCs w:val="24"/>
        </w:rPr>
        <w:t xml:space="preserve">binary </w:t>
      </w:r>
      <w:r>
        <w:rPr>
          <w:b/>
          <w:sz w:val="24"/>
          <w:szCs w:val="24"/>
        </w:rPr>
        <w:t>reof</w:t>
      </w:r>
      <w:r w:rsidRPr="009103CB">
        <w:rPr>
          <w:b/>
          <w:sz w:val="24"/>
          <w:szCs w:val="24"/>
        </w:rPr>
        <w:t>fending rates by OGRS4</w:t>
      </w:r>
    </w:p>
    <w:p w:rsidR="008E495F" w:rsidRDefault="008E495F" w:rsidP="00B20A47">
      <w:pPr>
        <w:pStyle w:val="Text"/>
        <w:spacing w:line="23" w:lineRule="atLeast"/>
        <w:rPr>
          <w:szCs w:val="22"/>
        </w:rPr>
      </w:pPr>
      <w:r w:rsidRPr="00E14628">
        <w:rPr>
          <w:szCs w:val="22"/>
        </w:rPr>
        <w:t xml:space="preserve">As proven </w:t>
      </w:r>
      <w:r>
        <w:rPr>
          <w:szCs w:val="22"/>
        </w:rPr>
        <w:t>reof</w:t>
      </w:r>
      <w:r w:rsidRPr="00E14628">
        <w:rPr>
          <w:szCs w:val="22"/>
        </w:rPr>
        <w:t xml:space="preserve">fending is related to the characteristics of offenders, the </w:t>
      </w:r>
      <w:r w:rsidRPr="009A386B">
        <w:rPr>
          <w:b/>
          <w:szCs w:val="22"/>
        </w:rPr>
        <w:t>actual</w:t>
      </w:r>
      <w:r w:rsidRPr="00E14628">
        <w:rPr>
          <w:szCs w:val="22"/>
        </w:rPr>
        <w:t xml:space="preserve"> rate of proven </w:t>
      </w:r>
      <w:r>
        <w:rPr>
          <w:szCs w:val="22"/>
        </w:rPr>
        <w:t>reof</w:t>
      </w:r>
      <w:r w:rsidRPr="00E14628">
        <w:rPr>
          <w:szCs w:val="22"/>
        </w:rPr>
        <w:t xml:space="preserve">fending will depend, in part, on the characteristics of offenders coming into the system. This </w:t>
      </w:r>
      <w:r w:rsidRPr="009A386B">
        <w:rPr>
          <w:b/>
          <w:szCs w:val="22"/>
        </w:rPr>
        <w:t xml:space="preserve">actual </w:t>
      </w:r>
      <w:r w:rsidRPr="00E14628">
        <w:rPr>
          <w:szCs w:val="22"/>
        </w:rPr>
        <w:t xml:space="preserve">rate provides users with sufficient information on what the level of </w:t>
      </w:r>
      <w:r>
        <w:rPr>
          <w:szCs w:val="22"/>
        </w:rPr>
        <w:t>reof</w:t>
      </w:r>
      <w:r w:rsidRPr="00E14628">
        <w:rPr>
          <w:szCs w:val="22"/>
        </w:rPr>
        <w:t xml:space="preserve">fending is (e.g. in their local area) and how it is changing over time. </w:t>
      </w:r>
      <w:r>
        <w:rPr>
          <w:szCs w:val="22"/>
        </w:rPr>
        <w:t>In addition to the actual rate, earlier reoffending publications also</w:t>
      </w:r>
      <w:r w:rsidRPr="00E14628">
        <w:rPr>
          <w:szCs w:val="22"/>
        </w:rPr>
        <w:t xml:space="preserve"> </w:t>
      </w:r>
      <w:r>
        <w:rPr>
          <w:szCs w:val="22"/>
        </w:rPr>
        <w:t>included an ‘</w:t>
      </w:r>
      <w:r w:rsidRPr="009A386B">
        <w:rPr>
          <w:b/>
          <w:szCs w:val="22"/>
        </w:rPr>
        <w:t>adjusted</w:t>
      </w:r>
      <w:r w:rsidRPr="00E14628">
        <w:rPr>
          <w:szCs w:val="22"/>
        </w:rPr>
        <w:t xml:space="preserve"> proven </w:t>
      </w:r>
      <w:r>
        <w:rPr>
          <w:szCs w:val="22"/>
        </w:rPr>
        <w:t>reof</w:t>
      </w:r>
      <w:r w:rsidRPr="00E14628">
        <w:rPr>
          <w:szCs w:val="22"/>
        </w:rPr>
        <w:t>fending rate</w:t>
      </w:r>
      <w:r>
        <w:rPr>
          <w:szCs w:val="22"/>
        </w:rPr>
        <w:t>’</w:t>
      </w:r>
      <w:r w:rsidRPr="00E14628">
        <w:rPr>
          <w:szCs w:val="22"/>
        </w:rPr>
        <w:t xml:space="preserve"> to control for differences in the composition of the offender group</w:t>
      </w:r>
      <w:r>
        <w:rPr>
          <w:szCs w:val="22"/>
        </w:rPr>
        <w:t>. This was created to allow users</w:t>
      </w:r>
      <w:r w:rsidRPr="00E14628">
        <w:rPr>
          <w:szCs w:val="22"/>
        </w:rPr>
        <w:t xml:space="preserve"> to understand how changes in types of offenders coming through the justice system drive </w:t>
      </w:r>
      <w:r>
        <w:rPr>
          <w:szCs w:val="22"/>
        </w:rPr>
        <w:t>reof</w:t>
      </w:r>
      <w:r w:rsidRPr="00E14628">
        <w:rPr>
          <w:szCs w:val="22"/>
        </w:rPr>
        <w:t>fending rates.</w:t>
      </w:r>
    </w:p>
    <w:p w:rsidR="008E495F" w:rsidRDefault="008E495F" w:rsidP="00BF554D">
      <w:pPr>
        <w:pStyle w:val="Text"/>
        <w:spacing w:line="23" w:lineRule="atLeast"/>
        <w:rPr>
          <w:szCs w:val="22"/>
        </w:rPr>
      </w:pPr>
      <w:r>
        <w:rPr>
          <w:szCs w:val="22"/>
        </w:rPr>
        <w:t xml:space="preserve">In place of this ‘adjusted rate’ which is no longer published we are proposing to use the </w:t>
      </w:r>
      <w:r w:rsidRPr="009C3145">
        <w:rPr>
          <w:szCs w:val="22"/>
        </w:rPr>
        <w:t xml:space="preserve">OGRS4 (Offender Group Reconviction Scale) </w:t>
      </w:r>
      <w:r>
        <w:rPr>
          <w:szCs w:val="22"/>
        </w:rPr>
        <w:t xml:space="preserve">score to control for differences in offender characteristics across different offender groups for both </w:t>
      </w:r>
      <w:r>
        <w:rPr>
          <w:szCs w:val="22"/>
        </w:rPr>
        <w:lastRenderedPageBreak/>
        <w:t>adults and juveniles.</w:t>
      </w:r>
      <w:r w:rsidRPr="00200D8D">
        <w:rPr>
          <w:szCs w:val="22"/>
        </w:rPr>
        <w:t xml:space="preserve"> </w:t>
      </w:r>
      <w:r w:rsidRPr="009C3145">
        <w:rPr>
          <w:szCs w:val="22"/>
        </w:rPr>
        <w:t xml:space="preserve">OGRS4 is based on a well-established, peer-reviewed methodology for assessing and representing </w:t>
      </w:r>
      <w:r>
        <w:rPr>
          <w:szCs w:val="22"/>
        </w:rPr>
        <w:t>reof</w:t>
      </w:r>
      <w:r w:rsidRPr="009C3145">
        <w:rPr>
          <w:szCs w:val="22"/>
        </w:rPr>
        <w:t>fending risk.</w:t>
      </w:r>
    </w:p>
    <w:p w:rsidR="008E495F" w:rsidRDefault="000E7458" w:rsidP="00BF554D">
      <w:pPr>
        <w:pStyle w:val="Text"/>
        <w:spacing w:line="23" w:lineRule="atLeast"/>
        <w:rPr>
          <w:szCs w:val="22"/>
        </w:rPr>
      </w:pPr>
      <w:r>
        <w:rPr>
          <w:szCs w:val="22"/>
        </w:rPr>
        <w:t>Headline</w:t>
      </w:r>
      <w:r w:rsidR="008E495F" w:rsidRPr="009C3145">
        <w:rPr>
          <w:szCs w:val="22"/>
        </w:rPr>
        <w:t xml:space="preserve"> </w:t>
      </w:r>
      <w:r w:rsidR="008E495F">
        <w:rPr>
          <w:szCs w:val="22"/>
        </w:rPr>
        <w:t>reof</w:t>
      </w:r>
      <w:r w:rsidR="008E495F" w:rsidRPr="009C3145">
        <w:rPr>
          <w:szCs w:val="22"/>
        </w:rPr>
        <w:t>fending rates</w:t>
      </w:r>
      <w:r w:rsidR="008E495F">
        <w:rPr>
          <w:szCs w:val="22"/>
        </w:rPr>
        <w:t xml:space="preserve"> (excluding frequency measures)</w:t>
      </w:r>
      <w:r w:rsidR="008E495F" w:rsidRPr="009C3145">
        <w:rPr>
          <w:szCs w:val="22"/>
        </w:rPr>
        <w:t xml:space="preserve"> will be adjusted</w:t>
      </w:r>
      <w:r w:rsidR="008E495F">
        <w:rPr>
          <w:szCs w:val="22"/>
        </w:rPr>
        <w:t xml:space="preserve"> by</w:t>
      </w:r>
      <w:r w:rsidR="008E495F" w:rsidRPr="009C3145">
        <w:rPr>
          <w:szCs w:val="22"/>
        </w:rPr>
        <w:t xml:space="preserve"> </w:t>
      </w:r>
      <w:r w:rsidR="008E495F">
        <w:rPr>
          <w:szCs w:val="22"/>
        </w:rPr>
        <w:t>using OGRS4,</w:t>
      </w:r>
      <w:r w:rsidR="008E495F" w:rsidRPr="009C3145">
        <w:rPr>
          <w:szCs w:val="22"/>
        </w:rPr>
        <w:t xml:space="preserve"> to take account of the influence that differences in offender mix can have on binary </w:t>
      </w:r>
      <w:r w:rsidR="008E495F">
        <w:rPr>
          <w:szCs w:val="22"/>
        </w:rPr>
        <w:t>reof</w:t>
      </w:r>
      <w:r w:rsidR="008E495F" w:rsidRPr="009C3145">
        <w:rPr>
          <w:szCs w:val="22"/>
        </w:rPr>
        <w:t xml:space="preserve">fending rates before being used to determine PbR outcomes. </w:t>
      </w:r>
    </w:p>
    <w:p w:rsidR="008E495F" w:rsidRDefault="008E495F" w:rsidP="00BF554D">
      <w:pPr>
        <w:pStyle w:val="Text"/>
        <w:spacing w:line="23" w:lineRule="atLeast"/>
        <w:rPr>
          <w:szCs w:val="22"/>
        </w:rPr>
      </w:pPr>
      <w:r w:rsidRPr="009C3145">
        <w:rPr>
          <w:szCs w:val="22"/>
        </w:rPr>
        <w:t xml:space="preserve">OGRS4 uses age, gender and criminal history to assess the </w:t>
      </w:r>
      <w:r>
        <w:rPr>
          <w:szCs w:val="22"/>
        </w:rPr>
        <w:t>reof</w:t>
      </w:r>
      <w:r w:rsidRPr="009C3145">
        <w:rPr>
          <w:szCs w:val="22"/>
        </w:rPr>
        <w:t xml:space="preserve">fending risk of a given group of offenders by producing a score between 0 and 1. These scores can be used to compare the relative likelihood of </w:t>
      </w:r>
      <w:r>
        <w:rPr>
          <w:szCs w:val="22"/>
        </w:rPr>
        <w:t>reof</w:t>
      </w:r>
      <w:r w:rsidRPr="009C3145">
        <w:rPr>
          <w:szCs w:val="22"/>
        </w:rPr>
        <w:t>fending either over time or between different groups of offenders, with a higher rate meaning a group of offenders who are more likely to reoffend.</w:t>
      </w:r>
    </w:p>
    <w:p w:rsidR="008E495F" w:rsidRPr="00F8120E" w:rsidRDefault="008E495F" w:rsidP="00BF554D">
      <w:pPr>
        <w:pStyle w:val="Text"/>
        <w:spacing w:line="23" w:lineRule="atLeast"/>
        <w:rPr>
          <w:szCs w:val="22"/>
        </w:rPr>
      </w:pPr>
      <w:r w:rsidRPr="00F8120E">
        <w:rPr>
          <w:szCs w:val="22"/>
        </w:rPr>
        <w:t xml:space="preserve">The OGRS-adjusted </w:t>
      </w:r>
      <w:r>
        <w:rPr>
          <w:szCs w:val="22"/>
        </w:rPr>
        <w:t>reof</w:t>
      </w:r>
      <w:r w:rsidRPr="00F8120E">
        <w:rPr>
          <w:szCs w:val="22"/>
        </w:rPr>
        <w:t xml:space="preserve">fending rate </w:t>
      </w:r>
      <w:r>
        <w:rPr>
          <w:szCs w:val="22"/>
        </w:rPr>
        <w:t>for</w:t>
      </w:r>
      <w:r w:rsidRPr="00F8120E">
        <w:rPr>
          <w:szCs w:val="22"/>
        </w:rPr>
        <w:t xml:space="preserve"> a given </w:t>
      </w:r>
      <w:r>
        <w:rPr>
          <w:szCs w:val="22"/>
        </w:rPr>
        <w:t xml:space="preserve">CRC </w:t>
      </w:r>
      <w:r w:rsidRPr="00F8120E">
        <w:rPr>
          <w:szCs w:val="22"/>
        </w:rPr>
        <w:t xml:space="preserve">cohort will be calculated as the observed </w:t>
      </w:r>
      <w:r>
        <w:rPr>
          <w:szCs w:val="22"/>
        </w:rPr>
        <w:t>reof</w:t>
      </w:r>
      <w:r w:rsidRPr="00F8120E">
        <w:rPr>
          <w:szCs w:val="22"/>
        </w:rPr>
        <w:t xml:space="preserve">fending rate for that quarterly/annual cohort plus any difference between the OGRS4 score </w:t>
      </w:r>
      <w:r w:rsidR="009D4995">
        <w:rPr>
          <w:szCs w:val="22"/>
        </w:rPr>
        <w:t>in</w:t>
      </w:r>
      <w:r w:rsidR="009D4995" w:rsidRPr="00F8120E">
        <w:rPr>
          <w:szCs w:val="22"/>
        </w:rPr>
        <w:t xml:space="preserve"> </w:t>
      </w:r>
      <w:r w:rsidRPr="00F8120E">
        <w:rPr>
          <w:szCs w:val="22"/>
        </w:rPr>
        <w:t xml:space="preserve">that cohort and the 2011 </w:t>
      </w:r>
      <w:r>
        <w:rPr>
          <w:szCs w:val="22"/>
        </w:rPr>
        <w:t xml:space="preserve">CRC </w:t>
      </w:r>
      <w:r w:rsidR="00DE0C39">
        <w:rPr>
          <w:szCs w:val="22"/>
        </w:rPr>
        <w:t xml:space="preserve">baseline </w:t>
      </w:r>
      <w:r w:rsidRPr="00F8120E">
        <w:rPr>
          <w:szCs w:val="22"/>
        </w:rPr>
        <w:t xml:space="preserve">cohort. This calculation effectively standardises the mix of offenders in each cohort of a given </w:t>
      </w:r>
      <w:r>
        <w:rPr>
          <w:szCs w:val="22"/>
        </w:rPr>
        <w:t>CRC</w:t>
      </w:r>
      <w:r w:rsidRPr="00F8120E">
        <w:rPr>
          <w:szCs w:val="22"/>
        </w:rPr>
        <w:t xml:space="preserve"> to the 2011 mix for that same </w:t>
      </w:r>
      <w:r>
        <w:rPr>
          <w:szCs w:val="22"/>
        </w:rPr>
        <w:t>CRC</w:t>
      </w:r>
      <w:r w:rsidRPr="00F8120E">
        <w:rPr>
          <w:szCs w:val="22"/>
        </w:rPr>
        <w:t>.</w:t>
      </w:r>
      <w:r w:rsidR="00DE0C39">
        <w:rPr>
          <w:szCs w:val="22"/>
        </w:rPr>
        <w:t xml:space="preserve"> A similar approach will be used for the NPS regions.</w:t>
      </w:r>
    </w:p>
    <w:p w:rsidR="003D1F21" w:rsidRDefault="003D1F21" w:rsidP="00BF554D">
      <w:pPr>
        <w:pStyle w:val="Text"/>
        <w:spacing w:line="23" w:lineRule="atLeast"/>
        <w:rPr>
          <w:b/>
        </w:rPr>
      </w:pPr>
    </w:p>
    <w:p w:rsidR="003D1F21" w:rsidRPr="003D1F21" w:rsidRDefault="003D1F21" w:rsidP="003D1F21">
      <w:pPr>
        <w:pStyle w:val="Text"/>
        <w:spacing w:after="100" w:afterAutospacing="1" w:line="276" w:lineRule="auto"/>
        <w:rPr>
          <w:b/>
          <w:szCs w:val="22"/>
        </w:rPr>
      </w:pPr>
      <w:r w:rsidRPr="003D1F21">
        <w:rPr>
          <w:b/>
          <w:szCs w:val="22"/>
        </w:rPr>
        <w:t>Impact</w:t>
      </w:r>
      <w:r>
        <w:rPr>
          <w:b/>
          <w:szCs w:val="22"/>
        </w:rPr>
        <w:t>s of the change</w:t>
      </w:r>
      <w:r w:rsidRPr="003D1F21">
        <w:rPr>
          <w:b/>
          <w:szCs w:val="22"/>
        </w:rPr>
        <w:t>:</w:t>
      </w:r>
    </w:p>
    <w:p w:rsidR="008E495F" w:rsidRPr="003D1F21" w:rsidRDefault="008E495F" w:rsidP="00BF554D">
      <w:pPr>
        <w:pStyle w:val="Text"/>
        <w:spacing w:line="23" w:lineRule="atLeast"/>
      </w:pPr>
      <w:r>
        <w:t>OGRS is a well established approach for assessing an offender’s risk of reoffending and is the agreed methodology for adjusting PbR reoffending rates. It can be easily replicated and offender managers are already familiar with its use across the justice system. Many of the key variables used by the ‘adjusted rate’ to model reoffending risk are used by OGRS4.</w:t>
      </w:r>
      <w:r w:rsidR="003D1F21">
        <w:t xml:space="preserve"> </w:t>
      </w:r>
      <w:r>
        <w:t>It is</w:t>
      </w:r>
      <w:r w:rsidR="003D1F21">
        <w:t xml:space="preserve"> however</w:t>
      </w:r>
      <w:r>
        <w:t xml:space="preserve"> a model specifically developed for adult offenders so some care will need to be taken in its use for all young offenders. Rather than providing an actual ‘predicted’ rate </w:t>
      </w:r>
      <w:r w:rsidR="000A3D76">
        <w:t>of reoffending</w:t>
      </w:r>
      <w:r w:rsidR="00DE0C39">
        <w:t>,</w:t>
      </w:r>
      <w:r w:rsidR="000A3D76">
        <w:t xml:space="preserve"> </w:t>
      </w:r>
      <w:r>
        <w:t>OGRS4 uses a scale from between 0 and 1 to assess an offender’s risk of reoffending.</w:t>
      </w:r>
    </w:p>
    <w:p w:rsidR="008E495F" w:rsidRPr="00286825" w:rsidRDefault="008E495F" w:rsidP="00F91F0F">
      <w:pPr>
        <w:pStyle w:val="Text"/>
        <w:spacing w:line="23" w:lineRule="atLeast"/>
        <w:rPr>
          <w:b/>
        </w:rPr>
      </w:pPr>
      <w:r>
        <w:rPr>
          <w:b/>
        </w:rPr>
        <w:t>Question 2</w:t>
      </w:r>
      <w:r w:rsidRPr="00286825">
        <w:rPr>
          <w:b/>
        </w:rPr>
        <w:t xml:space="preserve"> – Are users content with the use of OGRS4 for all offender groups for assessing the likelihood of reoffending?</w:t>
      </w:r>
    </w:p>
    <w:p w:rsidR="008E495F" w:rsidRDefault="008E495F" w:rsidP="009103CB">
      <w:pPr>
        <w:pStyle w:val="Text"/>
        <w:rPr>
          <w:b/>
        </w:rPr>
      </w:pPr>
    </w:p>
    <w:p w:rsidR="008E495F" w:rsidRPr="009103CB" w:rsidRDefault="008E495F" w:rsidP="00471B2D">
      <w:pPr>
        <w:pStyle w:val="Text"/>
        <w:rPr>
          <w:b/>
          <w:sz w:val="24"/>
          <w:szCs w:val="24"/>
        </w:rPr>
      </w:pPr>
      <w:r w:rsidRPr="009103CB">
        <w:rPr>
          <w:b/>
          <w:sz w:val="24"/>
          <w:szCs w:val="24"/>
        </w:rPr>
        <w:t xml:space="preserve">Proposal 3: Quarterly </w:t>
      </w:r>
      <w:r>
        <w:rPr>
          <w:b/>
          <w:sz w:val="24"/>
          <w:szCs w:val="24"/>
        </w:rPr>
        <w:t>interim PbR measures and equivalent NPS measures of reoffending</w:t>
      </w:r>
    </w:p>
    <w:p w:rsidR="008E495F" w:rsidRDefault="008E495F" w:rsidP="00BF554D">
      <w:pPr>
        <w:pStyle w:val="Text"/>
        <w:spacing w:line="23" w:lineRule="atLeast"/>
      </w:pPr>
      <w:r>
        <w:rPr>
          <w:rFonts w:cs="Arial"/>
        </w:rPr>
        <w:t xml:space="preserve">Since the first headline PbR figures for Cohort 1 (October to December 2015) will not be available until October 2017 we are proposing </w:t>
      </w:r>
      <w:r>
        <w:t xml:space="preserve">to produce interim PbR figures for the first </w:t>
      </w:r>
      <w:r w:rsidR="003B6613">
        <w:t xml:space="preserve">two </w:t>
      </w:r>
      <w:r>
        <w:t xml:space="preserve">cohorts until final outcomes for these cohorts become available. This will help to address the information gap created by switching to three month cohorts for reporting reoffending and allows CRC’s progress to be assessed at the earliest opportunity. We also propose to produce the equivalent </w:t>
      </w:r>
      <w:r>
        <w:lastRenderedPageBreak/>
        <w:t xml:space="preserve">interim figures for the first </w:t>
      </w:r>
      <w:r w:rsidR="003B6613">
        <w:t xml:space="preserve">two </w:t>
      </w:r>
      <w:r>
        <w:t>NPS cohorts over the same period, broken down by NPS division. There are two possible interim measures to consider:</w:t>
      </w:r>
    </w:p>
    <w:p w:rsidR="008E495F" w:rsidRDefault="008E495F" w:rsidP="004662A8">
      <w:pPr>
        <w:pStyle w:val="Text"/>
        <w:numPr>
          <w:ilvl w:val="0"/>
          <w:numId w:val="19"/>
        </w:numPr>
        <w:spacing w:after="0" w:line="23" w:lineRule="atLeast"/>
        <w:rPr>
          <w:rFonts w:cs="Arial"/>
          <w:b/>
        </w:rPr>
      </w:pPr>
      <w:r w:rsidRPr="007440F7">
        <w:rPr>
          <w:b/>
        </w:rPr>
        <w:t xml:space="preserve">Reoffending rates </w:t>
      </w:r>
      <w:r w:rsidRPr="007440F7">
        <w:rPr>
          <w:rFonts w:cs="Arial"/>
          <w:b/>
        </w:rPr>
        <w:t xml:space="preserve">with defined follow up and waiting periods </w:t>
      </w:r>
    </w:p>
    <w:p w:rsidR="008E495F" w:rsidRPr="00277B72" w:rsidRDefault="008E495F" w:rsidP="00BF554D">
      <w:pPr>
        <w:pStyle w:val="Text"/>
        <w:spacing w:line="23" w:lineRule="atLeast"/>
        <w:rPr>
          <w:rFonts w:cs="Arial"/>
        </w:rPr>
      </w:pPr>
      <w:r>
        <w:t xml:space="preserve">We currently produce ‘interim estimates’ for the PbR prison pilots, which </w:t>
      </w:r>
      <w:r w:rsidRPr="00596752">
        <w:rPr>
          <w:rFonts w:cs="Arial"/>
        </w:rPr>
        <w:t>use shorte</w:t>
      </w:r>
      <w:r>
        <w:rPr>
          <w:rFonts w:cs="Arial"/>
        </w:rPr>
        <w:t>r follow-up and waiting periods</w:t>
      </w:r>
      <w:r w:rsidRPr="00596752">
        <w:rPr>
          <w:rFonts w:cs="Arial"/>
        </w:rPr>
        <w:t xml:space="preserve"> </w:t>
      </w:r>
      <w:r>
        <w:rPr>
          <w:rFonts w:cs="Arial"/>
        </w:rPr>
        <w:t>that we update quarterly as more data becomes available</w:t>
      </w:r>
      <w:r w:rsidRPr="00596752">
        <w:rPr>
          <w:rFonts w:cs="Arial"/>
        </w:rPr>
        <w:t xml:space="preserve">. </w:t>
      </w:r>
      <w:r>
        <w:rPr>
          <w:rFonts w:cs="Arial"/>
        </w:rPr>
        <w:t>These are</w:t>
      </w:r>
      <w:r w:rsidRPr="00596752">
        <w:rPr>
          <w:rFonts w:cs="Arial"/>
        </w:rPr>
        <w:t xml:space="preserve"> inten</w:t>
      </w:r>
      <w:r>
        <w:rPr>
          <w:rFonts w:cs="Arial"/>
        </w:rPr>
        <w:t>ded to provide users</w:t>
      </w:r>
      <w:r w:rsidRPr="00596752">
        <w:rPr>
          <w:rFonts w:cs="Arial"/>
        </w:rPr>
        <w:t xml:space="preserve"> with an earl</w:t>
      </w:r>
      <w:r>
        <w:rPr>
          <w:rFonts w:cs="Arial"/>
        </w:rPr>
        <w:t>y</w:t>
      </w:r>
      <w:r w:rsidRPr="00596752">
        <w:rPr>
          <w:rFonts w:cs="Arial"/>
        </w:rPr>
        <w:t xml:space="preserve"> indication of </w:t>
      </w:r>
      <w:r>
        <w:rPr>
          <w:rFonts w:cs="Arial"/>
        </w:rPr>
        <w:t>progress against targets until final outcomes become available and are published in the proven reoffending bulletin in Annex A. The main advantage in adopting this measure for CRCs and NPS divisions is that the follow up and waiting period is the same for each offender in a cohort with users already familiar with its presentation in the published interim results for the prison pilots.</w:t>
      </w:r>
    </w:p>
    <w:p w:rsidR="008E495F" w:rsidRDefault="008E495F" w:rsidP="004662A8">
      <w:pPr>
        <w:pStyle w:val="Text"/>
        <w:numPr>
          <w:ilvl w:val="0"/>
          <w:numId w:val="19"/>
        </w:numPr>
        <w:spacing w:after="0" w:line="23" w:lineRule="atLeast"/>
        <w:rPr>
          <w:b/>
        </w:rPr>
      </w:pPr>
      <w:r w:rsidRPr="007440F7">
        <w:rPr>
          <w:b/>
        </w:rPr>
        <w:t>Reoffending to date</w:t>
      </w:r>
    </w:p>
    <w:p w:rsidR="008E495F" w:rsidRDefault="008E495F" w:rsidP="00BF554D">
      <w:pPr>
        <w:pStyle w:val="Text"/>
        <w:spacing w:line="23" w:lineRule="atLeast"/>
        <w:rPr>
          <w:rFonts w:cs="Arial"/>
        </w:rPr>
      </w:pPr>
      <w:r>
        <w:t xml:space="preserve">Instead of </w:t>
      </w:r>
      <w:r>
        <w:rPr>
          <w:rFonts w:cs="Arial"/>
        </w:rPr>
        <w:t>measuring</w:t>
      </w:r>
      <w:r w:rsidRPr="00596752">
        <w:rPr>
          <w:rFonts w:cs="Arial"/>
        </w:rPr>
        <w:t xml:space="preserve"> </w:t>
      </w:r>
      <w:r>
        <w:rPr>
          <w:rFonts w:cs="Arial"/>
        </w:rPr>
        <w:t>reof</w:t>
      </w:r>
      <w:r w:rsidRPr="00596752">
        <w:rPr>
          <w:rFonts w:cs="Arial"/>
        </w:rPr>
        <w:t xml:space="preserve">fending </w:t>
      </w:r>
      <w:r w:rsidR="00DE0C39">
        <w:rPr>
          <w:rFonts w:cs="Arial"/>
        </w:rPr>
        <w:t>with a defined follow up and waiting period</w:t>
      </w:r>
      <w:r>
        <w:rPr>
          <w:rFonts w:cs="Arial"/>
        </w:rPr>
        <w:t xml:space="preserve">, this interim estimate would count any proven reoffending to date as recorded on MoJ’s PNC data extract. </w:t>
      </w:r>
      <w:r>
        <w:t>Unlike the first option</w:t>
      </w:r>
      <w:r>
        <w:rPr>
          <w:rFonts w:cs="Arial"/>
        </w:rPr>
        <w:t xml:space="preserve"> this will mean some offenders in the three month cohort will have a longer follow up period in which to reoffend. Despite this difference its key advantage is </w:t>
      </w:r>
      <w:r w:rsidR="00DE0C39">
        <w:rPr>
          <w:rFonts w:cs="Arial"/>
        </w:rPr>
        <w:t xml:space="preserve">to </w:t>
      </w:r>
      <w:r>
        <w:rPr>
          <w:rFonts w:cs="Arial"/>
        </w:rPr>
        <w:t>provid</w:t>
      </w:r>
      <w:r w:rsidR="00DE0C39">
        <w:rPr>
          <w:rFonts w:cs="Arial"/>
        </w:rPr>
        <w:t>e</w:t>
      </w:r>
      <w:r>
        <w:rPr>
          <w:rFonts w:cs="Arial"/>
        </w:rPr>
        <w:t xml:space="preserve"> users with a more accurate picture of reoffending to date and, furthermore, we will compare any interim figure with the corresponding figure from the baseline period (for PbR outcomes, the baseline period is calendar year 2011, and we would use the same baseline for any NPS interim measure too).</w:t>
      </w:r>
    </w:p>
    <w:p w:rsidR="008E495F" w:rsidRDefault="008E495F" w:rsidP="00BF554D">
      <w:pPr>
        <w:pStyle w:val="Text"/>
        <w:spacing w:line="23" w:lineRule="atLeast"/>
      </w:pPr>
      <w:r>
        <w:rPr>
          <w:rFonts w:cs="Arial"/>
        </w:rPr>
        <w:t xml:space="preserve">For this very reason we are proposing to use the ‘reoffending to date’ measure to produce interim reoffending information. </w:t>
      </w:r>
      <w:r>
        <w:t>While this does not represent real time MI, which CRCs</w:t>
      </w:r>
      <w:r w:rsidR="001E6AAE">
        <w:t xml:space="preserve"> might</w:t>
      </w:r>
      <w:r>
        <w:t xml:space="preserve"> be able to procure themselves through local police force arrangements, it will provide our best indication of progress to date for both CRCs and NPS divisions.</w:t>
      </w:r>
    </w:p>
    <w:p w:rsidR="008E495F" w:rsidRDefault="008E495F" w:rsidP="00D120C9">
      <w:pPr>
        <w:pStyle w:val="Text"/>
        <w:spacing w:line="23" w:lineRule="atLeast"/>
      </w:pPr>
      <w:r>
        <w:t xml:space="preserve">We propose publishing this as management information, making it available to all interested </w:t>
      </w:r>
      <w:r w:rsidR="001E6AAE">
        <w:t>for the first two PbR cohorts which will make up the first annual PbR cohort for the financial year ending March 2016</w:t>
      </w:r>
    </w:p>
    <w:p w:rsidR="008E495F" w:rsidRDefault="008E495F" w:rsidP="00BE2C99">
      <w:pPr>
        <w:pStyle w:val="Text"/>
        <w:spacing w:line="23" w:lineRule="atLeast"/>
        <w:ind w:left="-1928"/>
      </w:pPr>
    </w:p>
    <w:p w:rsidR="003D1F21" w:rsidRPr="003D1F21" w:rsidRDefault="003D1F21" w:rsidP="003D1F21">
      <w:pPr>
        <w:pStyle w:val="Text"/>
        <w:spacing w:after="100" w:afterAutospacing="1" w:line="276" w:lineRule="auto"/>
        <w:rPr>
          <w:b/>
          <w:szCs w:val="22"/>
        </w:rPr>
      </w:pPr>
      <w:r w:rsidRPr="003D1F21">
        <w:rPr>
          <w:b/>
          <w:szCs w:val="22"/>
        </w:rPr>
        <w:t>Impact</w:t>
      </w:r>
      <w:r>
        <w:rPr>
          <w:b/>
          <w:szCs w:val="22"/>
        </w:rPr>
        <w:t>s of the change</w:t>
      </w:r>
      <w:r w:rsidRPr="003D1F21">
        <w:rPr>
          <w:b/>
          <w:szCs w:val="22"/>
        </w:rPr>
        <w:t>:</w:t>
      </w:r>
    </w:p>
    <w:p w:rsidR="008E495F" w:rsidRPr="00103D16" w:rsidRDefault="003D1F21" w:rsidP="00BF554D">
      <w:pPr>
        <w:pStyle w:val="Text"/>
        <w:spacing w:line="23" w:lineRule="atLeast"/>
      </w:pPr>
      <w:r w:rsidRPr="003D1F21">
        <w:t>This proposal a</w:t>
      </w:r>
      <w:r w:rsidR="008E495F" w:rsidRPr="003D1F21">
        <w:t>ddresses the desire of users, including the CRCs and the NPS</w:t>
      </w:r>
      <w:r w:rsidR="008E495F">
        <w:t xml:space="preserve"> divisions, to have early indicators of progress in an accessible format. CRC’s are not obliged to share the real time reoffending information they collect so this management information will address this information gap until headline results are published</w:t>
      </w:r>
      <w:r w:rsidR="001E6AAE">
        <w:t>.</w:t>
      </w:r>
      <w:r w:rsidR="008E495F">
        <w:t xml:space="preserve"> </w:t>
      </w:r>
      <w:r w:rsidR="008E495F" w:rsidRPr="00103D16">
        <w:t>Thes</w:t>
      </w:r>
      <w:r w:rsidR="008E495F">
        <w:t>e estimates</w:t>
      </w:r>
      <w:r>
        <w:t>,</w:t>
      </w:r>
      <w:r w:rsidR="008E495F">
        <w:t xml:space="preserve"> </w:t>
      </w:r>
      <w:r>
        <w:t xml:space="preserve">however, </w:t>
      </w:r>
      <w:r w:rsidR="008E495F">
        <w:t>will only give an indication of progress an</w:t>
      </w:r>
      <w:r w:rsidR="008E495F" w:rsidRPr="00103D16">
        <w:t xml:space="preserve">d therefore care should be taken when interpreting </w:t>
      </w:r>
      <w:r w:rsidR="008E495F">
        <w:t>them. Aside from the risk of over interpreting these figures, there is also the risk of creating confusion by presenting management information and headline measures for different cohorts of offenders at the same time.</w:t>
      </w:r>
    </w:p>
    <w:p w:rsidR="008E495F" w:rsidRPr="00286825" w:rsidRDefault="008E495F" w:rsidP="00F91F0F">
      <w:pPr>
        <w:pStyle w:val="Text"/>
        <w:spacing w:line="23" w:lineRule="atLeast"/>
        <w:rPr>
          <w:b/>
        </w:rPr>
      </w:pPr>
      <w:r>
        <w:rPr>
          <w:b/>
        </w:rPr>
        <w:lastRenderedPageBreak/>
        <w:t>Question 3 - Does the proposal</w:t>
      </w:r>
      <w:r w:rsidRPr="00286825">
        <w:rPr>
          <w:b/>
        </w:rPr>
        <w:t xml:space="preserve"> </w:t>
      </w:r>
      <w:r>
        <w:rPr>
          <w:b/>
        </w:rPr>
        <w:t xml:space="preserve">for providing </w:t>
      </w:r>
      <w:r w:rsidRPr="00286825">
        <w:rPr>
          <w:b/>
        </w:rPr>
        <w:t>‘interim estimates’</w:t>
      </w:r>
      <w:r>
        <w:rPr>
          <w:b/>
        </w:rPr>
        <w:t xml:space="preserve"> for publication as management information until headline results become available,</w:t>
      </w:r>
      <w:r w:rsidRPr="00286825">
        <w:rPr>
          <w:b/>
        </w:rPr>
        <w:t xml:space="preserve"> cover users’ needs?</w:t>
      </w:r>
    </w:p>
    <w:p w:rsidR="008E495F" w:rsidRDefault="008E495F" w:rsidP="00BF554D">
      <w:pPr>
        <w:pStyle w:val="Text"/>
        <w:spacing w:line="23" w:lineRule="atLeast"/>
        <w:rPr>
          <w:szCs w:val="22"/>
        </w:rPr>
      </w:pPr>
    </w:p>
    <w:p w:rsidR="008E495F" w:rsidRDefault="008E495F" w:rsidP="00BF554D">
      <w:pPr>
        <w:pStyle w:val="Text"/>
        <w:spacing w:line="23" w:lineRule="atLeast"/>
      </w:pPr>
    </w:p>
    <w:p w:rsidR="008E495F" w:rsidRDefault="008E495F" w:rsidP="00BF554D">
      <w:pPr>
        <w:pStyle w:val="Text"/>
        <w:spacing w:line="23" w:lineRule="atLeast"/>
      </w:pPr>
      <w:bookmarkStart w:id="5" w:name="_Toc239159570"/>
    </w:p>
    <w:p w:rsidR="008E495F" w:rsidRDefault="008E495F" w:rsidP="00BF554D">
      <w:pPr>
        <w:pStyle w:val="Text"/>
        <w:spacing w:line="23" w:lineRule="atLeast"/>
      </w:pPr>
    </w:p>
    <w:p w:rsidR="008E495F" w:rsidRPr="002A1A4E" w:rsidRDefault="008E495F" w:rsidP="003343C8">
      <w:pPr>
        <w:pStyle w:val="Heading1"/>
      </w:pPr>
      <w:bookmarkStart w:id="6" w:name="_Toc425866173"/>
      <w:bookmarkEnd w:id="5"/>
      <w:r>
        <w:lastRenderedPageBreak/>
        <w:t>Chapter 3: New q</w:t>
      </w:r>
      <w:r w:rsidRPr="002A1A4E">
        <w:t>uarterly reoffending bulletin</w:t>
      </w:r>
      <w:r>
        <w:t xml:space="preserve"> structure</w:t>
      </w:r>
      <w:bookmarkEnd w:id="6"/>
    </w:p>
    <w:p w:rsidR="008E495F" w:rsidRDefault="008E495F" w:rsidP="00BF554D">
      <w:pPr>
        <w:pStyle w:val="Textnumbered"/>
        <w:spacing w:line="23" w:lineRule="atLeast"/>
      </w:pPr>
      <w:r>
        <w:t xml:space="preserve">The existing </w:t>
      </w:r>
      <w:hyperlink r:id="rId11" w:history="1">
        <w:r w:rsidRPr="005B1675">
          <w:rPr>
            <w:rStyle w:val="Hyperlink"/>
          </w:rPr>
          <w:t>adult</w:t>
        </w:r>
      </w:hyperlink>
      <w:r>
        <w:t xml:space="preserve"> and </w:t>
      </w:r>
      <w:hyperlink r:id="rId12" w:history="1">
        <w:r w:rsidRPr="005B1675">
          <w:rPr>
            <w:rStyle w:val="Hyperlink"/>
          </w:rPr>
          <w:t>juvenile</w:t>
        </w:r>
      </w:hyperlink>
      <w:r>
        <w:t xml:space="preserve"> reoffending statistics will continue in their current form until TR results become available. </w:t>
      </w:r>
    </w:p>
    <w:p w:rsidR="008E495F" w:rsidRDefault="008E495F" w:rsidP="006237CC">
      <w:pPr>
        <w:pStyle w:val="Textnumbered"/>
        <w:spacing w:line="23" w:lineRule="atLeast"/>
      </w:pPr>
      <w:r>
        <w:t>The new publication would comprise three main sections:</w:t>
      </w:r>
    </w:p>
    <w:p w:rsidR="008E495F" w:rsidRDefault="008E495F" w:rsidP="004F481E">
      <w:pPr>
        <w:pStyle w:val="Text"/>
        <w:numPr>
          <w:ilvl w:val="0"/>
          <w:numId w:val="6"/>
        </w:numPr>
        <w:spacing w:line="23" w:lineRule="atLeast"/>
        <w:rPr>
          <w:lang w:eastAsia="en-US"/>
        </w:rPr>
      </w:pPr>
      <w:r>
        <w:rPr>
          <w:lang w:eastAsia="en-US"/>
        </w:rPr>
        <w:t>An overview of reoffending statistics available; a brief summary of the National Statistics and the differences in methodology/coverage from those presented in the previous publication;</w:t>
      </w:r>
    </w:p>
    <w:p w:rsidR="008E495F" w:rsidRDefault="008E495F" w:rsidP="004F481E">
      <w:pPr>
        <w:pStyle w:val="Textnumbered"/>
        <w:numPr>
          <w:ilvl w:val="0"/>
          <w:numId w:val="6"/>
        </w:numPr>
        <w:spacing w:line="23" w:lineRule="atLeast"/>
      </w:pPr>
      <w:r>
        <w:t xml:space="preserve">headline reoffending figures following the availability of results from the CRC and NPS cohorts, although any comments on the current measures are welcomed and will feed into options as part of the response to this consultation; and </w:t>
      </w:r>
    </w:p>
    <w:p w:rsidR="008E495F" w:rsidRDefault="008E495F" w:rsidP="004F481E">
      <w:pPr>
        <w:pStyle w:val="Text"/>
        <w:numPr>
          <w:ilvl w:val="0"/>
          <w:numId w:val="6"/>
        </w:numPr>
        <w:spacing w:line="23" w:lineRule="atLeast"/>
        <w:rPr>
          <w:lang w:eastAsia="en-US"/>
        </w:rPr>
      </w:pPr>
      <w:r>
        <w:rPr>
          <w:lang w:eastAsia="en-US"/>
        </w:rPr>
        <w:t>Less regular statistics that would be updated in the annual bulletin including long term reoffending rates.</w:t>
      </w:r>
    </w:p>
    <w:p w:rsidR="008E495F" w:rsidRDefault="008E495F" w:rsidP="00BF554D">
      <w:pPr>
        <w:pStyle w:val="Textnumbered"/>
        <w:spacing w:line="23" w:lineRule="atLeast"/>
        <w:rPr>
          <w:lang w:eastAsia="en-US"/>
        </w:rPr>
      </w:pPr>
      <w:r>
        <w:rPr>
          <w:lang w:eastAsia="en-US"/>
        </w:rPr>
        <w:t>The regular statistics we plan to include on a quarterly basis for each specific breakdown are:</w:t>
      </w:r>
    </w:p>
    <w:p w:rsidR="008E495F" w:rsidRDefault="008E495F" w:rsidP="004F481E">
      <w:pPr>
        <w:pStyle w:val="Textnumbered"/>
        <w:numPr>
          <w:ilvl w:val="0"/>
          <w:numId w:val="11"/>
        </w:numPr>
        <w:rPr>
          <w:lang w:eastAsia="en-US"/>
        </w:rPr>
      </w:pPr>
      <w:r>
        <w:rPr>
          <w:lang w:eastAsia="en-US"/>
        </w:rPr>
        <w:t>Binary reoffending rate (reoffenders/ starts)</w:t>
      </w:r>
    </w:p>
    <w:p w:rsidR="008E495F" w:rsidRDefault="008E495F" w:rsidP="004F481E">
      <w:pPr>
        <w:pStyle w:val="Textnumbered"/>
        <w:numPr>
          <w:ilvl w:val="0"/>
          <w:numId w:val="11"/>
        </w:numPr>
        <w:rPr>
          <w:lang w:eastAsia="en-US"/>
        </w:rPr>
      </w:pPr>
      <w:r>
        <w:rPr>
          <w:lang w:eastAsia="en-US"/>
        </w:rPr>
        <w:t>Frequency reoffending rate (reoffences/ reoffenders)</w:t>
      </w:r>
    </w:p>
    <w:p w:rsidR="008E495F" w:rsidRDefault="008E495F" w:rsidP="004F481E">
      <w:pPr>
        <w:pStyle w:val="Textnumbered"/>
        <w:numPr>
          <w:ilvl w:val="0"/>
          <w:numId w:val="11"/>
        </w:numPr>
        <w:rPr>
          <w:lang w:eastAsia="en-US"/>
        </w:rPr>
      </w:pPr>
      <w:r>
        <w:rPr>
          <w:lang w:eastAsia="en-US"/>
        </w:rPr>
        <w:t>Average OGRS4 score (average of the OGRS4 score)</w:t>
      </w:r>
    </w:p>
    <w:p w:rsidR="008E495F" w:rsidRDefault="008E495F" w:rsidP="00820281">
      <w:pPr>
        <w:pStyle w:val="Text"/>
        <w:spacing w:line="23" w:lineRule="atLeast"/>
        <w:ind w:firstLine="360"/>
        <w:rPr>
          <w:lang w:eastAsia="en-US"/>
        </w:rPr>
      </w:pPr>
      <w:r>
        <w:rPr>
          <w:lang w:eastAsia="en-US"/>
        </w:rPr>
        <w:t>plus three supporting values:</w:t>
      </w:r>
    </w:p>
    <w:p w:rsidR="008E495F" w:rsidRDefault="008E495F" w:rsidP="004F481E">
      <w:pPr>
        <w:pStyle w:val="Textnumbered"/>
        <w:numPr>
          <w:ilvl w:val="0"/>
          <w:numId w:val="11"/>
        </w:numPr>
        <w:rPr>
          <w:lang w:eastAsia="en-US"/>
        </w:rPr>
      </w:pPr>
      <w:r>
        <w:rPr>
          <w:lang w:eastAsia="en-US"/>
        </w:rPr>
        <w:t>Number of starts</w:t>
      </w:r>
    </w:p>
    <w:p w:rsidR="008E495F" w:rsidRDefault="008E495F" w:rsidP="004F481E">
      <w:pPr>
        <w:pStyle w:val="Textnumbered"/>
        <w:numPr>
          <w:ilvl w:val="0"/>
          <w:numId w:val="11"/>
        </w:numPr>
        <w:rPr>
          <w:lang w:eastAsia="en-US"/>
        </w:rPr>
      </w:pPr>
      <w:r>
        <w:rPr>
          <w:lang w:eastAsia="en-US"/>
        </w:rPr>
        <w:t>Number of reoffenders</w:t>
      </w:r>
    </w:p>
    <w:p w:rsidR="008E495F" w:rsidRDefault="008E495F" w:rsidP="004F481E">
      <w:pPr>
        <w:pStyle w:val="Textnumbered"/>
        <w:numPr>
          <w:ilvl w:val="0"/>
          <w:numId w:val="11"/>
        </w:numPr>
        <w:rPr>
          <w:lang w:eastAsia="en-US"/>
        </w:rPr>
      </w:pPr>
      <w:r>
        <w:rPr>
          <w:lang w:eastAsia="en-US"/>
        </w:rPr>
        <w:t>Number of reoffences</w:t>
      </w:r>
    </w:p>
    <w:p w:rsidR="008E495F" w:rsidRDefault="008E495F" w:rsidP="006237CC">
      <w:pPr>
        <w:pStyle w:val="Text"/>
        <w:spacing w:after="100" w:afterAutospacing="1" w:line="23" w:lineRule="atLeast"/>
        <w:ind w:left="720"/>
        <w:rPr>
          <w:lang w:eastAsia="en-US"/>
        </w:rPr>
      </w:pPr>
    </w:p>
    <w:p w:rsidR="008E495F" w:rsidRDefault="008E495F" w:rsidP="006237CC">
      <w:pPr>
        <w:pStyle w:val="Textnumbered"/>
        <w:spacing w:line="23" w:lineRule="atLeast"/>
      </w:pPr>
      <w:r>
        <w:t xml:space="preserve">Providing a CSVs and pivot tables so that a complete breakdown of reoffending by each sentence type and combination for Community Orders and Suspended Sentence Orders (and when available, the new Rehabilitation Requirement Order). This will give more detail than currently published as National Statistics </w:t>
      </w:r>
    </w:p>
    <w:p w:rsidR="008E495F" w:rsidRDefault="008E495F" w:rsidP="006237CC">
      <w:pPr>
        <w:pStyle w:val="Textnumbered"/>
        <w:spacing w:line="23" w:lineRule="atLeast"/>
        <w:rPr>
          <w:lang w:eastAsia="en-US"/>
        </w:rPr>
      </w:pPr>
      <w:r>
        <w:rPr>
          <w:lang w:eastAsia="en-US"/>
        </w:rPr>
        <w:t>In addition the annual statistics will also include breakdowns of reoffending by</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t>YOTs</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t>CSPs</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lastRenderedPageBreak/>
        <w:t>Upper tier LA</w:t>
      </w:r>
    </w:p>
    <w:p w:rsidR="008E495F" w:rsidRDefault="008E495F" w:rsidP="004F481E">
      <w:pPr>
        <w:pStyle w:val="Textnumbered"/>
        <w:numPr>
          <w:ilvl w:val="0"/>
          <w:numId w:val="7"/>
        </w:numPr>
        <w:spacing w:after="100" w:afterAutospacing="1" w:line="23" w:lineRule="atLeast"/>
        <w:ind w:left="714" w:hanging="357"/>
        <w:rPr>
          <w:lang w:eastAsia="en-US"/>
        </w:rPr>
      </w:pPr>
      <w:r>
        <w:rPr>
          <w:lang w:eastAsia="en-US"/>
        </w:rPr>
        <w:t>Resettlement prison</w:t>
      </w:r>
    </w:p>
    <w:p w:rsidR="008E495F" w:rsidRDefault="008E495F" w:rsidP="003909E1">
      <w:pPr>
        <w:pStyle w:val="Textnumbered"/>
        <w:numPr>
          <w:ilvl w:val="0"/>
          <w:numId w:val="0"/>
        </w:numPr>
        <w:ind w:left="360" w:hanging="360"/>
        <w:rPr>
          <w:lang w:eastAsia="en-US"/>
        </w:rPr>
      </w:pPr>
      <w:bookmarkStart w:id="7" w:name="_Toc239159572"/>
    </w:p>
    <w:p w:rsidR="008E495F" w:rsidRPr="00286825" w:rsidRDefault="008E495F" w:rsidP="00F91F0F">
      <w:pPr>
        <w:pStyle w:val="Text"/>
        <w:spacing w:line="23" w:lineRule="atLeast"/>
        <w:rPr>
          <w:b/>
        </w:rPr>
      </w:pPr>
      <w:r>
        <w:rPr>
          <w:b/>
        </w:rPr>
        <w:t>Question 4</w:t>
      </w:r>
      <w:r w:rsidRPr="00286825">
        <w:rPr>
          <w:b/>
        </w:rPr>
        <w:t xml:space="preserve"> – Do users support the </w:t>
      </w:r>
      <w:r>
        <w:rPr>
          <w:b/>
        </w:rPr>
        <w:t>outline structure for the bulletin including reoffending splits by CRCs</w:t>
      </w:r>
      <w:r w:rsidRPr="00286825">
        <w:rPr>
          <w:b/>
        </w:rPr>
        <w:t xml:space="preserve"> and the NPS</w:t>
      </w:r>
      <w:r>
        <w:rPr>
          <w:b/>
        </w:rPr>
        <w:t xml:space="preserve"> divisions</w:t>
      </w:r>
      <w:r w:rsidRPr="00286825">
        <w:rPr>
          <w:b/>
        </w:rPr>
        <w:t>?</w:t>
      </w:r>
    </w:p>
    <w:p w:rsidR="008E495F" w:rsidRPr="00F91F0F" w:rsidRDefault="008E495F" w:rsidP="00F91F0F">
      <w:pPr>
        <w:pStyle w:val="Text"/>
        <w:spacing w:line="23" w:lineRule="atLeast"/>
        <w:rPr>
          <w:b/>
        </w:rPr>
      </w:pPr>
    </w:p>
    <w:p w:rsidR="008E495F" w:rsidRDefault="008E495F" w:rsidP="003909E1">
      <w:pPr>
        <w:autoSpaceDE w:val="0"/>
        <w:autoSpaceDN w:val="0"/>
        <w:adjustRightInd w:val="0"/>
        <w:spacing w:after="240" w:line="240" w:lineRule="auto"/>
        <w:rPr>
          <w:color w:val="000000"/>
        </w:rPr>
      </w:pPr>
      <w:r w:rsidRPr="00F91F0F">
        <w:rPr>
          <w:b/>
          <w:bCs/>
          <w:iCs/>
          <w:color w:val="000000"/>
        </w:rPr>
        <w:t xml:space="preserve">Historical data </w:t>
      </w:r>
    </w:p>
    <w:p w:rsidR="008E495F" w:rsidRPr="003909E1" w:rsidRDefault="008E495F" w:rsidP="003909E1">
      <w:pPr>
        <w:autoSpaceDE w:val="0"/>
        <w:autoSpaceDN w:val="0"/>
        <w:adjustRightInd w:val="0"/>
        <w:spacing w:after="240" w:line="240" w:lineRule="auto"/>
        <w:rPr>
          <w:color w:val="000000"/>
        </w:rPr>
      </w:pPr>
      <w:r>
        <w:rPr>
          <w:color w:val="000000"/>
        </w:rPr>
        <w:t>We propose that re</w:t>
      </w:r>
      <w:r w:rsidRPr="003909E1">
        <w:rPr>
          <w:color w:val="000000"/>
        </w:rPr>
        <w:t xml:space="preserve">offending rates </w:t>
      </w:r>
      <w:r>
        <w:rPr>
          <w:color w:val="000000"/>
        </w:rPr>
        <w:t>for the annual cohorts will</w:t>
      </w:r>
      <w:r w:rsidRPr="003909E1">
        <w:rPr>
          <w:color w:val="000000"/>
        </w:rPr>
        <w:t xml:space="preserve"> be provided at the national level back to 2000 to ensure trends are available on the same time series as the current measure, and since this is the earliest date from which the data source can be reliably produced. </w:t>
      </w:r>
    </w:p>
    <w:p w:rsidR="008E495F" w:rsidRPr="003909E1" w:rsidRDefault="008E495F" w:rsidP="003909E1">
      <w:pPr>
        <w:autoSpaceDE w:val="0"/>
        <w:autoSpaceDN w:val="0"/>
        <w:adjustRightInd w:val="0"/>
        <w:spacing w:after="240" w:line="240" w:lineRule="auto"/>
        <w:rPr>
          <w:color w:val="000000"/>
        </w:rPr>
      </w:pPr>
      <w:r w:rsidRPr="003909E1">
        <w:rPr>
          <w:color w:val="000000"/>
        </w:rPr>
        <w:t xml:space="preserve">We would provide local-level breakdowns of this data back to 2005 to provide a trend for local areas. Data will not be provided at local level further back than 2005, reflecting both concerns over quality of postcode information and the resources required to produce this additional data. </w:t>
      </w:r>
    </w:p>
    <w:p w:rsidR="008E495F" w:rsidRPr="001E3415" w:rsidRDefault="008E495F" w:rsidP="003909E1">
      <w:pPr>
        <w:autoSpaceDE w:val="0"/>
        <w:autoSpaceDN w:val="0"/>
        <w:adjustRightInd w:val="0"/>
        <w:spacing w:after="240" w:line="240" w:lineRule="auto"/>
        <w:rPr>
          <w:color w:val="000000"/>
        </w:rPr>
      </w:pPr>
      <w:r w:rsidRPr="001E3415">
        <w:rPr>
          <w:b/>
          <w:bCs/>
          <w:iCs/>
          <w:color w:val="000000"/>
        </w:rPr>
        <w:t xml:space="preserve">Overall impact of all the proposed changes compared to the published National Statistics on </w:t>
      </w:r>
      <w:r>
        <w:rPr>
          <w:b/>
          <w:bCs/>
          <w:iCs/>
          <w:color w:val="000000"/>
        </w:rPr>
        <w:t>reof</w:t>
      </w:r>
      <w:r w:rsidRPr="001E3415">
        <w:rPr>
          <w:b/>
          <w:bCs/>
          <w:iCs/>
          <w:color w:val="000000"/>
        </w:rPr>
        <w:t xml:space="preserve">fending </w:t>
      </w:r>
    </w:p>
    <w:p w:rsidR="008E495F" w:rsidRDefault="008E495F" w:rsidP="003909E1">
      <w:pPr>
        <w:autoSpaceDE w:val="0"/>
        <w:autoSpaceDN w:val="0"/>
        <w:adjustRightInd w:val="0"/>
        <w:spacing w:after="240" w:line="240" w:lineRule="auto"/>
        <w:rPr>
          <w:color w:val="000000"/>
        </w:rPr>
      </w:pPr>
      <w:r w:rsidRPr="003909E1">
        <w:rPr>
          <w:color w:val="000000"/>
        </w:rPr>
        <w:t>A comparison of the numbers o</w:t>
      </w:r>
      <w:r>
        <w:rPr>
          <w:color w:val="000000"/>
        </w:rPr>
        <w:t>f offenders included and the re</w:t>
      </w:r>
      <w:r w:rsidRPr="003909E1">
        <w:rPr>
          <w:color w:val="000000"/>
        </w:rPr>
        <w:t>offending rate for adults on the current national measure and on the proposed new measur</w:t>
      </w:r>
      <w:r>
        <w:rPr>
          <w:color w:val="000000"/>
        </w:rPr>
        <w:t>e for 2012 are presented below.</w:t>
      </w:r>
      <w:r w:rsidRPr="003909E1">
        <w:rPr>
          <w:color w:val="000000"/>
        </w:rPr>
        <w:t>It has been included to provide an indication of th</w:t>
      </w:r>
      <w:r>
        <w:rPr>
          <w:color w:val="000000"/>
        </w:rPr>
        <w:t>e impact of changing the cohort</w:t>
      </w:r>
      <w:r w:rsidRPr="003909E1">
        <w:rPr>
          <w:color w:val="000000"/>
        </w:rPr>
        <w:t xml:space="preserve"> and the figures presented may not exactly match those in any future publication. Also, if changes are made as a result of this consultation or other feedback, this may affect the results produced. </w:t>
      </w:r>
    </w:p>
    <w:p w:rsidR="008E495F" w:rsidRPr="003909E1" w:rsidRDefault="008E495F" w:rsidP="003909E1">
      <w:pPr>
        <w:autoSpaceDE w:val="0"/>
        <w:autoSpaceDN w:val="0"/>
        <w:adjustRightInd w:val="0"/>
        <w:spacing w:after="240" w:line="240" w:lineRule="auto"/>
        <w:rPr>
          <w:color w:val="000000"/>
        </w:rPr>
      </w:pPr>
      <w:r>
        <w:rPr>
          <w:b/>
          <w:bCs/>
          <w:color w:val="000000"/>
        </w:rPr>
        <w:t>Proportion of adult offenders who re</w:t>
      </w:r>
      <w:r w:rsidRPr="003909E1">
        <w:rPr>
          <w:b/>
          <w:bCs/>
          <w:color w:val="000000"/>
        </w:rPr>
        <w:t>offend in the current national me</w:t>
      </w:r>
      <w:r>
        <w:rPr>
          <w:b/>
          <w:bCs/>
          <w:color w:val="000000"/>
        </w:rPr>
        <w:t>asure and proposed measure: 2012 data</w:t>
      </w:r>
    </w:p>
    <w:tbl>
      <w:tblPr>
        <w:tblW w:w="4153"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350"/>
        <w:gridCol w:w="2012"/>
        <w:gridCol w:w="2409"/>
      </w:tblGrid>
      <w:tr w:rsidR="008E495F" w:rsidRPr="003909E1" w:rsidTr="009928E8">
        <w:trPr>
          <w:trHeight w:val="138"/>
        </w:trPr>
        <w:tc>
          <w:tcPr>
            <w:tcW w:w="1735" w:type="pct"/>
            <w:tcBorders>
              <w:top w:val="single" w:sz="8" w:space="0" w:color="000000"/>
              <w:bottom w:val="single" w:sz="8" w:space="0" w:color="000000"/>
              <w:right w:val="single" w:sz="8" w:space="0" w:color="000000"/>
            </w:tcBorders>
          </w:tcPr>
          <w:p w:rsidR="008E495F" w:rsidRPr="003909E1" w:rsidRDefault="008E495F" w:rsidP="003909E1">
            <w:pPr>
              <w:autoSpaceDE w:val="0"/>
              <w:autoSpaceDN w:val="0"/>
              <w:adjustRightInd w:val="0"/>
              <w:spacing w:after="240" w:line="240" w:lineRule="auto"/>
              <w:rPr>
                <w:color w:val="000000"/>
                <w:sz w:val="20"/>
                <w:szCs w:val="20"/>
              </w:rPr>
            </w:pPr>
          </w:p>
        </w:tc>
        <w:tc>
          <w:tcPr>
            <w:tcW w:w="1486" w:type="pct"/>
            <w:tcBorders>
              <w:top w:val="single" w:sz="8" w:space="0" w:color="000000"/>
              <w:left w:val="single" w:sz="8" w:space="0" w:color="000000"/>
              <w:bottom w:val="single" w:sz="8" w:space="0" w:color="000000"/>
              <w:right w:val="single" w:sz="8" w:space="0" w:color="000000"/>
            </w:tcBorders>
          </w:tcPr>
          <w:p w:rsidR="008E495F" w:rsidRPr="003909E1" w:rsidRDefault="008E495F" w:rsidP="00A94BC9">
            <w:pPr>
              <w:autoSpaceDE w:val="0"/>
              <w:autoSpaceDN w:val="0"/>
              <w:adjustRightInd w:val="0"/>
              <w:spacing w:after="240" w:line="240" w:lineRule="auto"/>
              <w:jc w:val="right"/>
              <w:rPr>
                <w:color w:val="000000"/>
                <w:sz w:val="20"/>
                <w:szCs w:val="20"/>
              </w:rPr>
            </w:pPr>
            <w:r>
              <w:rPr>
                <w:b/>
                <w:bCs/>
                <w:color w:val="000000"/>
                <w:sz w:val="20"/>
                <w:szCs w:val="20"/>
              </w:rPr>
              <w:t>Current measure (12 month cohort)</w:t>
            </w:r>
            <w:r w:rsidRPr="003909E1">
              <w:rPr>
                <w:b/>
                <w:bCs/>
                <w:color w:val="000000"/>
                <w:sz w:val="20"/>
                <w:szCs w:val="20"/>
              </w:rPr>
              <w:t xml:space="preserve"> </w:t>
            </w:r>
          </w:p>
        </w:tc>
        <w:tc>
          <w:tcPr>
            <w:tcW w:w="1779" w:type="pct"/>
            <w:tcBorders>
              <w:top w:val="single" w:sz="8" w:space="0" w:color="000000"/>
              <w:left w:val="single" w:sz="8" w:space="0" w:color="000000"/>
              <w:bottom w:val="single" w:sz="8" w:space="0" w:color="000000"/>
            </w:tcBorders>
          </w:tcPr>
          <w:p w:rsidR="008E495F" w:rsidRPr="00A94BC9" w:rsidRDefault="008E495F" w:rsidP="003909E1">
            <w:pPr>
              <w:autoSpaceDE w:val="0"/>
              <w:autoSpaceDN w:val="0"/>
              <w:adjustRightInd w:val="0"/>
              <w:spacing w:after="240" w:line="240" w:lineRule="auto"/>
              <w:jc w:val="right"/>
              <w:rPr>
                <w:b/>
                <w:color w:val="000000"/>
                <w:sz w:val="20"/>
                <w:szCs w:val="20"/>
              </w:rPr>
            </w:pPr>
            <w:r w:rsidRPr="00A94BC9">
              <w:rPr>
                <w:b/>
                <w:color w:val="000000"/>
                <w:sz w:val="20"/>
                <w:szCs w:val="20"/>
              </w:rPr>
              <w:t>Proposed measure</w:t>
            </w:r>
            <w:r>
              <w:rPr>
                <w:b/>
                <w:color w:val="000000"/>
                <w:sz w:val="20"/>
                <w:szCs w:val="20"/>
              </w:rPr>
              <w:t xml:space="preserve"> (Jan-Mar 2012 cohort)</w:t>
            </w:r>
          </w:p>
        </w:tc>
      </w:tr>
      <w:tr w:rsidR="008E495F" w:rsidRPr="003909E1" w:rsidTr="009928E8">
        <w:trPr>
          <w:trHeight w:val="138"/>
        </w:trPr>
        <w:tc>
          <w:tcPr>
            <w:tcW w:w="1735" w:type="pct"/>
            <w:tcBorders>
              <w:top w:val="single" w:sz="8" w:space="0" w:color="000000"/>
              <w:bottom w:val="single" w:sz="8" w:space="0" w:color="000000"/>
              <w:right w:val="single" w:sz="8" w:space="0" w:color="000000"/>
            </w:tcBorders>
          </w:tcPr>
          <w:p w:rsidR="008E495F" w:rsidRPr="003909E1" w:rsidRDefault="008E495F" w:rsidP="00E03D68">
            <w:pPr>
              <w:autoSpaceDE w:val="0"/>
              <w:autoSpaceDN w:val="0"/>
              <w:adjustRightInd w:val="0"/>
              <w:spacing w:after="240" w:line="240" w:lineRule="auto"/>
              <w:rPr>
                <w:color w:val="000000"/>
                <w:sz w:val="20"/>
                <w:szCs w:val="20"/>
              </w:rPr>
            </w:pPr>
            <w:r>
              <w:rPr>
                <w:b/>
                <w:bCs/>
                <w:color w:val="000000"/>
                <w:sz w:val="20"/>
                <w:szCs w:val="20"/>
              </w:rPr>
              <w:t>Reoffending rate</w:t>
            </w:r>
            <w:r w:rsidRPr="003909E1">
              <w:rPr>
                <w:b/>
                <w:bCs/>
                <w:color w:val="000000"/>
                <w:sz w:val="20"/>
                <w:szCs w:val="20"/>
              </w:rPr>
              <w:t xml:space="preserve"> </w:t>
            </w:r>
          </w:p>
        </w:tc>
        <w:tc>
          <w:tcPr>
            <w:tcW w:w="1486" w:type="pct"/>
            <w:tcBorders>
              <w:top w:val="single" w:sz="8" w:space="0" w:color="000000"/>
              <w:left w:val="single" w:sz="8" w:space="0" w:color="000000"/>
              <w:bottom w:val="single" w:sz="8" w:space="0" w:color="000000"/>
              <w:right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35.2</w:t>
            </w:r>
          </w:p>
        </w:tc>
        <w:tc>
          <w:tcPr>
            <w:tcW w:w="1779" w:type="pct"/>
            <w:tcBorders>
              <w:top w:val="single" w:sz="8" w:space="0" w:color="000000"/>
              <w:left w:val="single" w:sz="8" w:space="0" w:color="000000"/>
              <w:bottom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40.5</w:t>
            </w:r>
          </w:p>
        </w:tc>
      </w:tr>
      <w:tr w:rsidR="008E495F" w:rsidRPr="003909E1" w:rsidTr="009928E8">
        <w:trPr>
          <w:trHeight w:val="138"/>
        </w:trPr>
        <w:tc>
          <w:tcPr>
            <w:tcW w:w="1735" w:type="pct"/>
            <w:tcBorders>
              <w:top w:val="single" w:sz="8" w:space="0" w:color="000000"/>
              <w:bottom w:val="single" w:sz="8" w:space="0" w:color="000000"/>
              <w:right w:val="single" w:sz="8" w:space="0" w:color="000000"/>
            </w:tcBorders>
          </w:tcPr>
          <w:p w:rsidR="008E495F" w:rsidRPr="003909E1" w:rsidRDefault="008E495F" w:rsidP="00E03D68">
            <w:pPr>
              <w:autoSpaceDE w:val="0"/>
              <w:autoSpaceDN w:val="0"/>
              <w:adjustRightInd w:val="0"/>
              <w:spacing w:after="240" w:line="240" w:lineRule="auto"/>
              <w:rPr>
                <w:color w:val="000000"/>
                <w:sz w:val="20"/>
                <w:szCs w:val="20"/>
              </w:rPr>
            </w:pPr>
            <w:r>
              <w:rPr>
                <w:b/>
                <w:bCs/>
                <w:color w:val="000000"/>
                <w:sz w:val="20"/>
                <w:szCs w:val="20"/>
              </w:rPr>
              <w:t>Number of offenders</w:t>
            </w:r>
            <w:r w:rsidRPr="003909E1">
              <w:rPr>
                <w:b/>
                <w:bCs/>
                <w:color w:val="000000"/>
                <w:sz w:val="20"/>
                <w:szCs w:val="20"/>
              </w:rPr>
              <w:t xml:space="preserve"> </w:t>
            </w:r>
          </w:p>
        </w:tc>
        <w:tc>
          <w:tcPr>
            <w:tcW w:w="1486" w:type="pct"/>
            <w:tcBorders>
              <w:top w:val="single" w:sz="8" w:space="0" w:color="000000"/>
              <w:left w:val="single" w:sz="8" w:space="0" w:color="000000"/>
              <w:bottom w:val="single" w:sz="8" w:space="0" w:color="000000"/>
              <w:right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183,000</w:t>
            </w:r>
          </w:p>
        </w:tc>
        <w:tc>
          <w:tcPr>
            <w:tcW w:w="1779" w:type="pct"/>
            <w:tcBorders>
              <w:top w:val="single" w:sz="8" w:space="0" w:color="000000"/>
              <w:left w:val="single" w:sz="8" w:space="0" w:color="000000"/>
              <w:bottom w:val="single" w:sz="8" w:space="0" w:color="000000"/>
            </w:tcBorders>
          </w:tcPr>
          <w:p w:rsidR="008E495F" w:rsidRPr="003909E1" w:rsidRDefault="008E495F" w:rsidP="003909E1">
            <w:pPr>
              <w:autoSpaceDE w:val="0"/>
              <w:autoSpaceDN w:val="0"/>
              <w:adjustRightInd w:val="0"/>
              <w:spacing w:after="240" w:line="240" w:lineRule="auto"/>
              <w:jc w:val="right"/>
              <w:rPr>
                <w:color w:val="000000"/>
                <w:sz w:val="20"/>
                <w:szCs w:val="20"/>
              </w:rPr>
            </w:pPr>
            <w:r>
              <w:rPr>
                <w:color w:val="000000"/>
                <w:sz w:val="20"/>
                <w:szCs w:val="20"/>
              </w:rPr>
              <w:t>56,000</w:t>
            </w:r>
          </w:p>
        </w:tc>
      </w:tr>
    </w:tbl>
    <w:p w:rsidR="008E495F" w:rsidRDefault="008E495F"/>
    <w:p w:rsidR="008E495F" w:rsidRDefault="008E495F">
      <w:r w:rsidRPr="00AB3A1A">
        <w:t xml:space="preserve">Using a quarterly cohort will </w:t>
      </w:r>
      <w:r>
        <w:t xml:space="preserve">mean that we over represent </w:t>
      </w:r>
      <w:r w:rsidRPr="00AB3A1A">
        <w:t>prolific</w:t>
      </w:r>
      <w:r>
        <w:t xml:space="preserve"> offenders. </w:t>
      </w:r>
      <w:r w:rsidRPr="00AB3A1A">
        <w:t xml:space="preserve">This </w:t>
      </w:r>
      <w:r>
        <w:t>increases</w:t>
      </w:r>
      <w:r w:rsidRPr="00AB3A1A">
        <w:t xml:space="preserve"> the proportion of adult offenders who reoffend by around </w:t>
      </w:r>
      <w:r>
        <w:t>5</w:t>
      </w:r>
      <w:r w:rsidRPr="00AB3A1A">
        <w:t xml:space="preserve"> percentage points.</w:t>
      </w:r>
    </w:p>
    <w:p w:rsidR="008E495F" w:rsidRDefault="008E495F" w:rsidP="00235411">
      <w:pPr>
        <w:pStyle w:val="Heading1"/>
        <w:rPr>
          <w:lang w:eastAsia="en-US"/>
        </w:rPr>
      </w:pPr>
      <w:bookmarkStart w:id="8" w:name="_Toc425866174"/>
      <w:r w:rsidRPr="00235411">
        <w:rPr>
          <w:lang w:eastAsia="en-US"/>
        </w:rPr>
        <w:lastRenderedPageBreak/>
        <w:t xml:space="preserve">Detailed proposals on </w:t>
      </w:r>
      <w:r>
        <w:rPr>
          <w:lang w:eastAsia="en-US"/>
        </w:rPr>
        <w:t>tables in new</w:t>
      </w:r>
      <w:r w:rsidRPr="00235411">
        <w:rPr>
          <w:lang w:eastAsia="en-US"/>
        </w:rPr>
        <w:t xml:space="preserve"> publication</w:t>
      </w:r>
      <w:bookmarkEnd w:id="7"/>
      <w:bookmarkEnd w:id="8"/>
    </w:p>
    <w:p w:rsidR="008E495F" w:rsidRDefault="008E495F" w:rsidP="00235411">
      <w:pPr>
        <w:pStyle w:val="Text"/>
        <w:rPr>
          <w:lang w:eastAsia="en-US"/>
        </w:rPr>
      </w:pPr>
      <w:r>
        <w:rPr>
          <w:lang w:eastAsia="en-US"/>
        </w:rPr>
        <w:t>Table 1</w:t>
      </w:r>
      <w:r w:rsidRPr="00235411">
        <w:rPr>
          <w:lang w:eastAsia="en-US"/>
        </w:rPr>
        <w:t xml:space="preserve"> below </w:t>
      </w:r>
      <w:r>
        <w:rPr>
          <w:lang w:eastAsia="en-US"/>
        </w:rPr>
        <w:t>outlines</w:t>
      </w:r>
      <w:r w:rsidRPr="00235411">
        <w:rPr>
          <w:lang w:eastAsia="en-US"/>
        </w:rPr>
        <w:t xml:space="preserve"> the proposed coverage of the new bulletin</w:t>
      </w:r>
      <w:r>
        <w:rPr>
          <w:lang w:eastAsia="en-US"/>
        </w:rPr>
        <w:t>, and Table 2 shows the proposed changes to existing tables</w:t>
      </w:r>
      <w:r w:rsidRPr="00235411">
        <w:rPr>
          <w:lang w:eastAsia="en-US"/>
        </w:rPr>
        <w:t>.</w:t>
      </w:r>
      <w:r>
        <w:rPr>
          <w:lang w:eastAsia="en-US"/>
        </w:rPr>
        <w:t xml:space="preserve"> We intend to also publish this information in CSV files and pivot tables, providing users with a </w:t>
      </w:r>
      <w:r>
        <w:rPr>
          <w:rFonts w:cs="Arial"/>
        </w:rPr>
        <w:t>more flexible format for locating</w:t>
      </w:r>
      <w:r w:rsidRPr="00A53F68">
        <w:rPr>
          <w:rFonts w:cs="Arial"/>
        </w:rPr>
        <w:t xml:space="preserve"> and extract</w:t>
      </w:r>
      <w:r>
        <w:rPr>
          <w:rFonts w:cs="Arial"/>
        </w:rPr>
        <w:t>ing</w:t>
      </w:r>
      <w:r w:rsidRPr="00A53F68">
        <w:rPr>
          <w:rFonts w:cs="Arial"/>
        </w:rPr>
        <w:t xml:space="preserve"> the specific information they require</w:t>
      </w:r>
      <w:r>
        <w:rPr>
          <w:lang w:eastAsia="en-US"/>
        </w:rPr>
        <w:t xml:space="preserve">. We intend to make these changes with the existing reoffending publication from October 2015 onwards so that users will become familiar with this new format. An example of this format is provided in the reoffending bulletin published alongside this consultation. </w:t>
      </w:r>
    </w:p>
    <w:p w:rsidR="008E495F" w:rsidRPr="00B52FB9" w:rsidRDefault="008E495F" w:rsidP="00235411">
      <w:pPr>
        <w:pStyle w:val="Text"/>
        <w:rPr>
          <w:b/>
          <w:szCs w:val="22"/>
          <w:lang w:eastAsia="en-US"/>
        </w:rPr>
      </w:pPr>
      <w:r w:rsidRPr="00B52FB9">
        <w:rPr>
          <w:b/>
          <w:szCs w:val="22"/>
          <w:lang w:eastAsia="en-US"/>
        </w:rPr>
        <w:t>Table 1 – Table outline for new bulletin</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4405"/>
        <w:gridCol w:w="2835"/>
      </w:tblGrid>
      <w:tr w:rsidR="008E495F" w:rsidTr="00D15D28">
        <w:tc>
          <w:tcPr>
            <w:tcW w:w="727" w:type="pct"/>
          </w:tcPr>
          <w:p w:rsidR="008E495F" w:rsidRPr="000920FE" w:rsidRDefault="008E495F" w:rsidP="00E1651E">
            <w:pPr>
              <w:rPr>
                <w:b/>
              </w:rPr>
            </w:pPr>
            <w:r w:rsidRPr="000920FE">
              <w:rPr>
                <w:b/>
              </w:rPr>
              <w:t>Proposed</w:t>
            </w:r>
          </w:p>
          <w:p w:rsidR="008E495F" w:rsidRDefault="008E495F" w:rsidP="00E1651E">
            <w:r w:rsidRPr="000920FE">
              <w:rPr>
                <w:b/>
              </w:rPr>
              <w:t>table</w:t>
            </w:r>
          </w:p>
        </w:tc>
        <w:tc>
          <w:tcPr>
            <w:tcW w:w="2600" w:type="pct"/>
          </w:tcPr>
          <w:p w:rsidR="008E495F" w:rsidRPr="000920FE" w:rsidRDefault="008E495F" w:rsidP="00E1651E">
            <w:pPr>
              <w:rPr>
                <w:b/>
              </w:rPr>
            </w:pPr>
            <w:r w:rsidRPr="000920FE">
              <w:rPr>
                <w:b/>
              </w:rPr>
              <w:t>Description</w:t>
            </w:r>
          </w:p>
        </w:tc>
        <w:tc>
          <w:tcPr>
            <w:tcW w:w="1673" w:type="pct"/>
          </w:tcPr>
          <w:p w:rsidR="008E495F" w:rsidRPr="000920FE" w:rsidRDefault="008E495F" w:rsidP="00E1651E">
            <w:pPr>
              <w:rPr>
                <w:b/>
              </w:rPr>
            </w:pPr>
            <w:r>
              <w:rPr>
                <w:b/>
              </w:rPr>
              <w:t>Back data available</w:t>
            </w:r>
          </w:p>
        </w:tc>
      </w:tr>
      <w:tr w:rsidR="008E495F" w:rsidTr="00D15D28">
        <w:tc>
          <w:tcPr>
            <w:tcW w:w="727" w:type="pct"/>
          </w:tcPr>
          <w:p w:rsidR="008E495F" w:rsidRDefault="008E495F" w:rsidP="00E1651E"/>
        </w:tc>
        <w:tc>
          <w:tcPr>
            <w:tcW w:w="2600" w:type="pct"/>
          </w:tcPr>
          <w:p w:rsidR="008E495F" w:rsidRPr="000920FE" w:rsidRDefault="008E495F" w:rsidP="000920FE">
            <w:pPr>
              <w:spacing w:line="240" w:lineRule="auto"/>
              <w:rPr>
                <w:b/>
              </w:rPr>
            </w:pPr>
            <w:r w:rsidRPr="000920FE">
              <w:rPr>
                <w:b/>
              </w:rPr>
              <w:t>Overview section</w:t>
            </w:r>
          </w:p>
        </w:tc>
        <w:tc>
          <w:tcPr>
            <w:tcW w:w="1673" w:type="pct"/>
          </w:tcPr>
          <w:p w:rsidR="008E495F" w:rsidRPr="000920FE" w:rsidRDefault="008E495F" w:rsidP="000920FE">
            <w:pPr>
              <w:spacing w:line="240" w:lineRule="auto"/>
              <w:rPr>
                <w:b/>
              </w:rPr>
            </w:pPr>
          </w:p>
        </w:tc>
      </w:tr>
      <w:tr w:rsidR="008E495F" w:rsidTr="00D15D28">
        <w:tc>
          <w:tcPr>
            <w:tcW w:w="727" w:type="pct"/>
          </w:tcPr>
          <w:p w:rsidR="008E495F" w:rsidRDefault="008E495F" w:rsidP="00E1651E">
            <w:r>
              <w:t>1</w:t>
            </w:r>
          </w:p>
        </w:tc>
        <w:tc>
          <w:tcPr>
            <w:tcW w:w="2600" w:type="pct"/>
          </w:tcPr>
          <w:p w:rsidR="008E495F" w:rsidRDefault="008E495F" w:rsidP="000920FE">
            <w:pPr>
              <w:spacing w:line="240" w:lineRule="auto"/>
            </w:pPr>
            <w:r>
              <w:t>Headline statistics on overall, adult and juvenile reoffending</w:t>
            </w:r>
          </w:p>
          <w:p w:rsidR="008E495F" w:rsidRDefault="008E495F" w:rsidP="000920FE">
            <w:pPr>
              <w:spacing w:line="240" w:lineRule="auto"/>
            </w:pPr>
          </w:p>
        </w:tc>
        <w:tc>
          <w:tcPr>
            <w:tcW w:w="1673" w:type="pct"/>
          </w:tcPr>
          <w:p w:rsidR="008E495F" w:rsidRDefault="008E495F" w:rsidP="000920FE">
            <w:pPr>
              <w:spacing w:line="240" w:lineRule="auto"/>
            </w:pPr>
            <w:r>
              <w:t>Yes from 2000</w:t>
            </w:r>
          </w:p>
        </w:tc>
      </w:tr>
      <w:tr w:rsidR="008E495F" w:rsidTr="00D15D28">
        <w:tc>
          <w:tcPr>
            <w:tcW w:w="727" w:type="pct"/>
          </w:tcPr>
          <w:p w:rsidR="008E495F" w:rsidRDefault="008E495F" w:rsidP="00E1651E">
            <w:r>
              <w:t>2 (a,b)</w:t>
            </w:r>
          </w:p>
        </w:tc>
        <w:tc>
          <w:tcPr>
            <w:tcW w:w="2600" w:type="pct"/>
          </w:tcPr>
          <w:p w:rsidR="008E495F" w:rsidRDefault="008E495F" w:rsidP="00E1651E">
            <w:pPr>
              <w:rPr>
                <w:b/>
              </w:rPr>
            </w:pPr>
            <w:r>
              <w:t>Reoffending rates by disposal (includes OCDs), adults (a), juvenile (b)</w:t>
            </w:r>
          </w:p>
        </w:tc>
        <w:tc>
          <w:tcPr>
            <w:tcW w:w="1673" w:type="pct"/>
          </w:tcPr>
          <w:p w:rsidR="008E495F" w:rsidRDefault="008E495F" w:rsidP="00E1651E">
            <w:r>
              <w:t>Yes from 2000</w:t>
            </w:r>
          </w:p>
        </w:tc>
      </w:tr>
      <w:tr w:rsidR="008E495F" w:rsidTr="00D15D28">
        <w:tc>
          <w:tcPr>
            <w:tcW w:w="727" w:type="pct"/>
          </w:tcPr>
          <w:p w:rsidR="008E495F" w:rsidRDefault="008E495F" w:rsidP="00E1651E">
            <w:r>
              <w:t>3 (a,b)</w:t>
            </w:r>
          </w:p>
        </w:tc>
        <w:tc>
          <w:tcPr>
            <w:tcW w:w="2600" w:type="pct"/>
          </w:tcPr>
          <w:p w:rsidR="008E495F" w:rsidRDefault="008E495F" w:rsidP="00E1651E">
            <w:pPr>
              <w:rPr>
                <w:b/>
              </w:rPr>
            </w:pPr>
            <w:r>
              <w:t>Reoffending rates by custody length, adults (a), juvenile (b)</w:t>
            </w:r>
          </w:p>
        </w:tc>
        <w:tc>
          <w:tcPr>
            <w:tcW w:w="1673" w:type="pct"/>
          </w:tcPr>
          <w:p w:rsidR="008E495F" w:rsidRDefault="008E495F" w:rsidP="00E1651E">
            <w:r>
              <w:t>Yes from 2000</w:t>
            </w:r>
          </w:p>
        </w:tc>
      </w:tr>
      <w:tr w:rsidR="008E495F" w:rsidTr="00D15D28">
        <w:tc>
          <w:tcPr>
            <w:tcW w:w="727" w:type="pct"/>
          </w:tcPr>
          <w:p w:rsidR="008E495F" w:rsidRDefault="008E495F" w:rsidP="00E1651E"/>
        </w:tc>
        <w:tc>
          <w:tcPr>
            <w:tcW w:w="2600" w:type="pct"/>
          </w:tcPr>
          <w:p w:rsidR="008E495F" w:rsidRPr="000920FE" w:rsidRDefault="008E495F" w:rsidP="00820DB2">
            <w:pPr>
              <w:rPr>
                <w:b/>
              </w:rPr>
            </w:pPr>
            <w:r>
              <w:rPr>
                <w:b/>
              </w:rPr>
              <w:t>CRC/NPS</w:t>
            </w:r>
          </w:p>
        </w:tc>
        <w:tc>
          <w:tcPr>
            <w:tcW w:w="1673" w:type="pct"/>
          </w:tcPr>
          <w:p w:rsidR="008E495F" w:rsidRDefault="008E495F" w:rsidP="00E1651E">
            <w:pPr>
              <w:rPr>
                <w:b/>
              </w:rPr>
            </w:pPr>
          </w:p>
        </w:tc>
      </w:tr>
      <w:tr w:rsidR="008E495F" w:rsidTr="00D15D28">
        <w:tc>
          <w:tcPr>
            <w:tcW w:w="727" w:type="pct"/>
          </w:tcPr>
          <w:p w:rsidR="008E495F" w:rsidRDefault="008E495F" w:rsidP="00E1651E">
            <w:r>
              <w:t>4</w:t>
            </w:r>
          </w:p>
        </w:tc>
        <w:tc>
          <w:tcPr>
            <w:tcW w:w="2600" w:type="pct"/>
          </w:tcPr>
          <w:p w:rsidR="008E495F" w:rsidRDefault="008E495F" w:rsidP="00820DB2">
            <w:r>
              <w:t>Reoffending rate for CRCs and NPS divisions, including by PbR-eligible cohorts (i.e. the ongoing PbR outcomes for each CRC)</w:t>
            </w:r>
          </w:p>
        </w:tc>
        <w:tc>
          <w:tcPr>
            <w:tcW w:w="1673" w:type="pct"/>
          </w:tcPr>
          <w:p w:rsidR="008E495F" w:rsidRDefault="008E495F" w:rsidP="00400835">
            <w:r>
              <w:t>No</w:t>
            </w:r>
          </w:p>
        </w:tc>
      </w:tr>
      <w:tr w:rsidR="008E495F" w:rsidTr="00D15D28">
        <w:tc>
          <w:tcPr>
            <w:tcW w:w="727" w:type="pct"/>
          </w:tcPr>
          <w:p w:rsidR="008E495F" w:rsidRDefault="008E495F" w:rsidP="00E1651E">
            <w:r>
              <w:t>5</w:t>
            </w:r>
          </w:p>
        </w:tc>
        <w:tc>
          <w:tcPr>
            <w:tcW w:w="2600" w:type="pct"/>
          </w:tcPr>
          <w:p w:rsidR="008E495F" w:rsidRDefault="008E495F" w:rsidP="00820DB2">
            <w:r>
              <w:t>Custody reoffending rate for CRCs and NPS divisions</w:t>
            </w:r>
          </w:p>
        </w:tc>
        <w:tc>
          <w:tcPr>
            <w:tcW w:w="1673" w:type="pct"/>
          </w:tcPr>
          <w:p w:rsidR="008E495F" w:rsidRDefault="008E495F" w:rsidP="009E15C3">
            <w:r>
              <w:t>No</w:t>
            </w:r>
          </w:p>
        </w:tc>
      </w:tr>
      <w:tr w:rsidR="008E495F" w:rsidTr="00D15D28">
        <w:tc>
          <w:tcPr>
            <w:tcW w:w="727" w:type="pct"/>
          </w:tcPr>
          <w:p w:rsidR="008E495F" w:rsidRDefault="008E495F" w:rsidP="00E1651E">
            <w:r>
              <w:t>6</w:t>
            </w:r>
          </w:p>
        </w:tc>
        <w:tc>
          <w:tcPr>
            <w:tcW w:w="2600" w:type="pct"/>
          </w:tcPr>
          <w:p w:rsidR="008E495F" w:rsidRDefault="008E495F" w:rsidP="00820DB2">
            <w:r>
              <w:t>Custody less than 12 month reoffending rate for CRCs and NPS divisions</w:t>
            </w:r>
          </w:p>
        </w:tc>
        <w:tc>
          <w:tcPr>
            <w:tcW w:w="1673" w:type="pct"/>
          </w:tcPr>
          <w:p w:rsidR="008E495F" w:rsidRDefault="008E495F" w:rsidP="00F05CEB">
            <w:r>
              <w:t>No</w:t>
            </w:r>
          </w:p>
        </w:tc>
      </w:tr>
      <w:tr w:rsidR="008E495F" w:rsidTr="00D15D28">
        <w:tc>
          <w:tcPr>
            <w:tcW w:w="727" w:type="pct"/>
          </w:tcPr>
          <w:p w:rsidR="008E495F" w:rsidRDefault="008E495F" w:rsidP="00E1651E">
            <w:r>
              <w:t>7</w:t>
            </w:r>
          </w:p>
        </w:tc>
        <w:tc>
          <w:tcPr>
            <w:tcW w:w="2600" w:type="pct"/>
          </w:tcPr>
          <w:p w:rsidR="008E495F" w:rsidRPr="000920FE" w:rsidRDefault="008E495F" w:rsidP="00820DB2">
            <w:pPr>
              <w:rPr>
                <w:b/>
              </w:rPr>
            </w:pPr>
            <w:r>
              <w:t>Reoffending rate for court order starts for CRCs and NPS divisions</w:t>
            </w:r>
          </w:p>
        </w:tc>
        <w:tc>
          <w:tcPr>
            <w:tcW w:w="1673" w:type="pct"/>
          </w:tcPr>
          <w:p w:rsidR="008E495F" w:rsidRDefault="008E495F" w:rsidP="00E1651E">
            <w:r>
              <w:t>No</w:t>
            </w:r>
          </w:p>
        </w:tc>
      </w:tr>
      <w:tr w:rsidR="008E495F" w:rsidTr="00D15D28">
        <w:tc>
          <w:tcPr>
            <w:tcW w:w="727" w:type="pct"/>
          </w:tcPr>
          <w:p w:rsidR="008E495F" w:rsidRDefault="008E495F" w:rsidP="00E1651E"/>
        </w:tc>
        <w:tc>
          <w:tcPr>
            <w:tcW w:w="2600" w:type="pct"/>
          </w:tcPr>
          <w:p w:rsidR="008E495F" w:rsidRPr="000920FE" w:rsidRDefault="008E495F" w:rsidP="00E1651E">
            <w:pPr>
              <w:rPr>
                <w:b/>
              </w:rPr>
            </w:pPr>
            <w:r w:rsidRPr="000920FE">
              <w:rPr>
                <w:b/>
              </w:rPr>
              <w:t>For inclusion in the annual publication</w:t>
            </w:r>
            <w:r>
              <w:rPr>
                <w:b/>
              </w:rPr>
              <w:t xml:space="preserve"> (combined cohort)</w:t>
            </w:r>
          </w:p>
        </w:tc>
        <w:tc>
          <w:tcPr>
            <w:tcW w:w="1673" w:type="pct"/>
          </w:tcPr>
          <w:p w:rsidR="008E495F" w:rsidRPr="000920FE" w:rsidRDefault="008E495F" w:rsidP="00E1651E">
            <w:pPr>
              <w:rPr>
                <w:b/>
              </w:rPr>
            </w:pPr>
          </w:p>
        </w:tc>
      </w:tr>
      <w:tr w:rsidR="008E495F" w:rsidTr="00D15D28">
        <w:tc>
          <w:tcPr>
            <w:tcW w:w="727" w:type="pct"/>
          </w:tcPr>
          <w:p w:rsidR="008E495F" w:rsidRDefault="008E495F" w:rsidP="00E1651E">
            <w:r>
              <w:t>8</w:t>
            </w:r>
          </w:p>
        </w:tc>
        <w:tc>
          <w:tcPr>
            <w:tcW w:w="2600" w:type="pct"/>
          </w:tcPr>
          <w:p w:rsidR="008E495F" w:rsidRDefault="008E495F" w:rsidP="00E1651E">
            <w:r>
              <w:t>Reoffending rate for resettlement prisons</w:t>
            </w:r>
          </w:p>
        </w:tc>
        <w:tc>
          <w:tcPr>
            <w:tcW w:w="1673" w:type="pct"/>
          </w:tcPr>
          <w:p w:rsidR="008E495F" w:rsidRDefault="008E495F" w:rsidP="00E1651E">
            <w:r>
              <w:t>No</w:t>
            </w:r>
          </w:p>
        </w:tc>
      </w:tr>
      <w:tr w:rsidR="008E495F" w:rsidTr="00D15D28">
        <w:tc>
          <w:tcPr>
            <w:tcW w:w="727" w:type="pct"/>
          </w:tcPr>
          <w:p w:rsidR="008E495F" w:rsidRDefault="008E495F" w:rsidP="00E1651E">
            <w:r>
              <w:t>9</w:t>
            </w:r>
          </w:p>
        </w:tc>
        <w:tc>
          <w:tcPr>
            <w:tcW w:w="2600" w:type="pct"/>
          </w:tcPr>
          <w:p w:rsidR="008E495F" w:rsidRDefault="008E495F" w:rsidP="00E1651E">
            <w:r>
              <w:t>Reoffending rate for upper tier LA</w:t>
            </w:r>
          </w:p>
        </w:tc>
        <w:tc>
          <w:tcPr>
            <w:tcW w:w="1673" w:type="pct"/>
          </w:tcPr>
          <w:p w:rsidR="008E495F" w:rsidRDefault="008E495F" w:rsidP="00E1651E">
            <w:r>
              <w:t>Yes from 2005</w:t>
            </w:r>
          </w:p>
        </w:tc>
      </w:tr>
      <w:tr w:rsidR="008E495F" w:rsidTr="00D15D28">
        <w:tc>
          <w:tcPr>
            <w:tcW w:w="727" w:type="pct"/>
          </w:tcPr>
          <w:p w:rsidR="008E495F" w:rsidRDefault="008E495F" w:rsidP="00E1651E">
            <w:r>
              <w:t>10</w:t>
            </w:r>
          </w:p>
        </w:tc>
        <w:tc>
          <w:tcPr>
            <w:tcW w:w="2600" w:type="pct"/>
          </w:tcPr>
          <w:p w:rsidR="008E495F" w:rsidRPr="000920FE" w:rsidRDefault="008E495F" w:rsidP="00E1651E">
            <w:pPr>
              <w:rPr>
                <w:b/>
              </w:rPr>
            </w:pPr>
            <w:r>
              <w:t>Reoffending rate for police force area/CSPs</w:t>
            </w:r>
          </w:p>
        </w:tc>
        <w:tc>
          <w:tcPr>
            <w:tcW w:w="1673" w:type="pct"/>
          </w:tcPr>
          <w:p w:rsidR="008E495F" w:rsidRDefault="008E495F" w:rsidP="00E1651E">
            <w:r>
              <w:t>Yes from 2005</w:t>
            </w:r>
          </w:p>
        </w:tc>
      </w:tr>
      <w:tr w:rsidR="008E495F" w:rsidTr="00D15D28">
        <w:tc>
          <w:tcPr>
            <w:tcW w:w="727" w:type="pct"/>
          </w:tcPr>
          <w:p w:rsidR="008E495F" w:rsidRDefault="008E495F" w:rsidP="00E1651E">
            <w:r>
              <w:t>11</w:t>
            </w:r>
          </w:p>
        </w:tc>
        <w:tc>
          <w:tcPr>
            <w:tcW w:w="2600" w:type="pct"/>
          </w:tcPr>
          <w:p w:rsidR="008E495F" w:rsidRDefault="008E495F" w:rsidP="00E1651E">
            <w:r>
              <w:t>Reoffending rate for YOTs</w:t>
            </w:r>
          </w:p>
        </w:tc>
        <w:tc>
          <w:tcPr>
            <w:tcW w:w="1673" w:type="pct"/>
          </w:tcPr>
          <w:p w:rsidR="008E495F" w:rsidRDefault="008E495F" w:rsidP="00E1651E">
            <w:r>
              <w:t>Yes from 2005</w:t>
            </w:r>
          </w:p>
        </w:tc>
      </w:tr>
      <w:tr w:rsidR="008E495F" w:rsidTr="00D15D28">
        <w:tc>
          <w:tcPr>
            <w:tcW w:w="727" w:type="pct"/>
          </w:tcPr>
          <w:p w:rsidR="008E495F" w:rsidRDefault="008E495F" w:rsidP="00E1651E">
            <w:r>
              <w:t>12</w:t>
            </w:r>
          </w:p>
        </w:tc>
        <w:tc>
          <w:tcPr>
            <w:tcW w:w="2600" w:type="pct"/>
          </w:tcPr>
          <w:p w:rsidR="008E495F" w:rsidRDefault="008E495F" w:rsidP="00E1651E">
            <w:r>
              <w:t>Additional tables on SFOs, restricted patients, long term reoffending rates and other topics of interest.</w:t>
            </w:r>
          </w:p>
        </w:tc>
        <w:tc>
          <w:tcPr>
            <w:tcW w:w="1673" w:type="pct"/>
          </w:tcPr>
          <w:p w:rsidR="008E495F" w:rsidRDefault="008E495F" w:rsidP="00E1651E">
            <w:r>
              <w:t>N/A</w:t>
            </w:r>
          </w:p>
        </w:tc>
      </w:tr>
    </w:tbl>
    <w:p w:rsidR="008E495F" w:rsidRDefault="008E495F" w:rsidP="00235411">
      <w:pPr>
        <w:pStyle w:val="Text"/>
        <w:rPr>
          <w:lang w:eastAsia="en-US"/>
        </w:rPr>
      </w:pPr>
    </w:p>
    <w:p w:rsidR="008E495F" w:rsidRDefault="008E495F" w:rsidP="00235411">
      <w:pPr>
        <w:pStyle w:val="Text"/>
        <w:rPr>
          <w:b/>
          <w:szCs w:val="22"/>
          <w:lang w:eastAsia="en-US"/>
        </w:rPr>
      </w:pPr>
    </w:p>
    <w:p w:rsidR="008E495F" w:rsidRPr="00B52FB9" w:rsidRDefault="008E495F" w:rsidP="00235411">
      <w:pPr>
        <w:pStyle w:val="Text"/>
        <w:rPr>
          <w:b/>
          <w:szCs w:val="22"/>
          <w:lang w:eastAsia="en-US"/>
        </w:rPr>
      </w:pPr>
      <w:r w:rsidRPr="00B52FB9">
        <w:rPr>
          <w:b/>
          <w:szCs w:val="22"/>
          <w:lang w:eastAsia="en-US"/>
        </w:rPr>
        <w:t>Table 2 - Current national statistics tables and proposed changes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085"/>
        <w:gridCol w:w="4144"/>
      </w:tblGrid>
      <w:tr w:rsidR="008E495F" w:rsidRPr="00B52FB9" w:rsidTr="00B52FB9">
        <w:trPr>
          <w:trHeight w:val="255"/>
        </w:trPr>
        <w:tc>
          <w:tcPr>
            <w:tcW w:w="2694" w:type="dxa"/>
            <w:noWrap/>
          </w:tcPr>
          <w:p w:rsidR="008E495F" w:rsidRPr="00B52FB9" w:rsidRDefault="008E495F" w:rsidP="00B52FB9">
            <w:pPr>
              <w:rPr>
                <w:b/>
              </w:rPr>
            </w:pPr>
            <w:r w:rsidRPr="00B52FB9">
              <w:rPr>
                <w:b/>
              </w:rPr>
              <w:t>Current table</w:t>
            </w:r>
          </w:p>
        </w:tc>
        <w:tc>
          <w:tcPr>
            <w:tcW w:w="3085" w:type="dxa"/>
            <w:noWrap/>
          </w:tcPr>
          <w:p w:rsidR="008E495F" w:rsidRPr="00B52FB9" w:rsidRDefault="008E495F" w:rsidP="00B52FB9">
            <w:pPr>
              <w:rPr>
                <w:b/>
                <w:bCs/>
              </w:rPr>
            </w:pPr>
            <w:r w:rsidRPr="00B52FB9">
              <w:rPr>
                <w:b/>
                <w:bCs/>
              </w:rPr>
              <w:t>Availability</w:t>
            </w:r>
          </w:p>
        </w:tc>
        <w:tc>
          <w:tcPr>
            <w:tcW w:w="4144" w:type="dxa"/>
            <w:noWrap/>
          </w:tcPr>
          <w:p w:rsidR="008E495F" w:rsidRPr="00B52FB9" w:rsidRDefault="008E495F" w:rsidP="00B52FB9">
            <w:pPr>
              <w:rPr>
                <w:b/>
                <w:bCs/>
              </w:rPr>
            </w:pPr>
            <w:r w:rsidRPr="00B52FB9">
              <w:rPr>
                <w:b/>
                <w:bCs/>
              </w:rPr>
              <w:t>Reason for change</w:t>
            </w:r>
          </w:p>
        </w:tc>
      </w:tr>
      <w:tr w:rsidR="008E495F" w:rsidRPr="00B52FB9" w:rsidTr="00B52FB9">
        <w:trPr>
          <w:trHeight w:val="255"/>
        </w:trPr>
        <w:tc>
          <w:tcPr>
            <w:tcW w:w="2694" w:type="dxa"/>
            <w:noWrap/>
          </w:tcPr>
          <w:p w:rsidR="008E495F" w:rsidRPr="00B52FB9" w:rsidRDefault="008E495F" w:rsidP="00B52FB9">
            <w:r w:rsidRPr="00B52FB9">
              <w:t>Table 1</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rsidRPr="00B52FB9">
              <w:t>Table 2</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3</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4a</w:t>
            </w:r>
          </w:p>
        </w:tc>
        <w:tc>
          <w:tcPr>
            <w:tcW w:w="3085" w:type="dxa"/>
            <w:noWrap/>
          </w:tcPr>
          <w:p w:rsidR="008E495F" w:rsidRPr="00B52FB9" w:rsidRDefault="00820281" w:rsidP="00B52FB9">
            <w:r>
              <w:t>Annual and P</w:t>
            </w:r>
            <w:r w:rsidR="008E495F" w:rsidRPr="00B52FB9">
              <w:t>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rsidRPr="00B52FB9">
              <w:t>Table 5a</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6a</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Table 7a</w:t>
            </w:r>
            <w:r>
              <w:t>,b,c</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rsidRPr="00B52FB9">
              <w:t>No users identified</w:t>
            </w:r>
          </w:p>
        </w:tc>
      </w:tr>
      <w:tr w:rsidR="008E495F" w:rsidRPr="00B52FB9" w:rsidTr="00B52FB9">
        <w:trPr>
          <w:trHeight w:val="255"/>
        </w:trPr>
        <w:tc>
          <w:tcPr>
            <w:tcW w:w="2694" w:type="dxa"/>
            <w:noWrap/>
          </w:tcPr>
          <w:p w:rsidR="008E495F" w:rsidRPr="00B52FB9" w:rsidRDefault="008E495F" w:rsidP="00B52FB9">
            <w:r w:rsidRPr="00B52FB9">
              <w:t>Table 8</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t>N/A</w:t>
            </w:r>
          </w:p>
        </w:tc>
      </w:tr>
      <w:tr w:rsidR="00820281" w:rsidRPr="00B52FB9" w:rsidTr="00B52FB9">
        <w:trPr>
          <w:trHeight w:val="255"/>
        </w:trPr>
        <w:tc>
          <w:tcPr>
            <w:tcW w:w="2694" w:type="dxa"/>
            <w:noWrap/>
          </w:tcPr>
          <w:p w:rsidR="00820281" w:rsidRPr="00B52FB9" w:rsidRDefault="00820281" w:rsidP="00B52FB9">
            <w:r w:rsidRPr="00B52FB9">
              <w:t>Table 9</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10</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11</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12</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rsidRPr="00B52FB9">
              <w:t>Table 13a</w:t>
            </w:r>
            <w:r>
              <w:t>,b,c</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N/A</w:t>
            </w:r>
          </w:p>
        </w:tc>
      </w:tr>
      <w:tr w:rsidR="00820281" w:rsidRPr="00B52FB9" w:rsidTr="00B52FB9">
        <w:trPr>
          <w:trHeight w:val="255"/>
        </w:trPr>
        <w:tc>
          <w:tcPr>
            <w:tcW w:w="2694" w:type="dxa"/>
            <w:noWrap/>
          </w:tcPr>
          <w:p w:rsidR="00820281" w:rsidRPr="00B52FB9" w:rsidRDefault="00820281" w:rsidP="00B52FB9">
            <w:r w:rsidRPr="00B52FB9">
              <w:t>Table 14a</w:t>
            </w:r>
            <w:r>
              <w:t>,b,c</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N/A CSP</w:t>
            </w:r>
          </w:p>
        </w:tc>
      </w:tr>
      <w:tr w:rsidR="00820281" w:rsidRPr="00B52FB9" w:rsidTr="00B52FB9">
        <w:trPr>
          <w:trHeight w:val="255"/>
        </w:trPr>
        <w:tc>
          <w:tcPr>
            <w:tcW w:w="2694" w:type="dxa"/>
            <w:noWrap/>
          </w:tcPr>
          <w:p w:rsidR="00820281" w:rsidRPr="00B52FB9" w:rsidRDefault="00820281" w:rsidP="00B52FB9">
            <w:r>
              <w:t>Table 15</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shrinking cohort/numbers too small</w:t>
            </w:r>
          </w:p>
        </w:tc>
      </w:tr>
      <w:tr w:rsidR="008E495F" w:rsidRPr="00B52FB9" w:rsidTr="00B52FB9">
        <w:trPr>
          <w:trHeight w:val="255"/>
        </w:trPr>
        <w:tc>
          <w:tcPr>
            <w:tcW w:w="2694" w:type="dxa"/>
            <w:noWrap/>
          </w:tcPr>
          <w:p w:rsidR="008E495F" w:rsidRPr="00B52FB9" w:rsidRDefault="008E495F" w:rsidP="00B52FB9">
            <w:r>
              <w:t>Table 16</w:t>
            </w:r>
            <w:r w:rsidRPr="00B52FB9">
              <w:t>a</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t>Table 16</w:t>
            </w:r>
            <w:r w:rsidRPr="00B52FB9">
              <w:t>b</w:t>
            </w:r>
            <w:r>
              <w:t>,b,c</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t>Table 17</w:t>
            </w:r>
            <w:r w:rsidRPr="00B52FB9">
              <w:t>a</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E495F" w:rsidRPr="00B52FB9" w:rsidTr="00B52FB9">
        <w:trPr>
          <w:trHeight w:val="255"/>
        </w:trPr>
        <w:tc>
          <w:tcPr>
            <w:tcW w:w="2694" w:type="dxa"/>
            <w:noWrap/>
          </w:tcPr>
          <w:p w:rsidR="008E495F" w:rsidRPr="00B52FB9" w:rsidRDefault="008E495F" w:rsidP="00B52FB9">
            <w:r>
              <w:t>Table 17</w:t>
            </w:r>
            <w:r w:rsidRPr="00B52FB9">
              <w:t>b</w:t>
            </w:r>
          </w:p>
        </w:tc>
        <w:tc>
          <w:tcPr>
            <w:tcW w:w="3085" w:type="dxa"/>
            <w:noWrap/>
          </w:tcPr>
          <w:p w:rsidR="008E495F" w:rsidRPr="00B52FB9" w:rsidRDefault="008E495F" w:rsidP="00B52FB9">
            <w:r w:rsidRPr="00B52FB9">
              <w:t>Quarterly and Pivot/CSV</w:t>
            </w:r>
          </w:p>
        </w:tc>
        <w:tc>
          <w:tcPr>
            <w:tcW w:w="4144" w:type="dxa"/>
            <w:noWrap/>
          </w:tcPr>
          <w:p w:rsidR="008E495F" w:rsidRPr="00B52FB9" w:rsidRDefault="008E495F" w:rsidP="00B52FB9">
            <w:r w:rsidRPr="00B52FB9">
              <w:t>N/A</w:t>
            </w:r>
          </w:p>
        </w:tc>
      </w:tr>
      <w:tr w:rsidR="00820281" w:rsidRPr="00B52FB9" w:rsidTr="00B52FB9">
        <w:trPr>
          <w:trHeight w:val="255"/>
        </w:trPr>
        <w:tc>
          <w:tcPr>
            <w:tcW w:w="2694" w:type="dxa"/>
            <w:noWrap/>
          </w:tcPr>
          <w:p w:rsidR="00820281" w:rsidRPr="00B52FB9" w:rsidRDefault="00820281" w:rsidP="00B52FB9">
            <w:r>
              <w:t>Table 18</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20281" w:rsidRPr="00B52FB9" w:rsidTr="00B52FB9">
        <w:trPr>
          <w:trHeight w:val="255"/>
        </w:trPr>
        <w:tc>
          <w:tcPr>
            <w:tcW w:w="2694" w:type="dxa"/>
            <w:noWrap/>
          </w:tcPr>
          <w:p w:rsidR="00820281" w:rsidRPr="00B52FB9" w:rsidRDefault="00820281" w:rsidP="00B52FB9">
            <w:r>
              <w:t>Table 19</w:t>
            </w:r>
          </w:p>
        </w:tc>
        <w:tc>
          <w:tcPr>
            <w:tcW w:w="3085" w:type="dxa"/>
            <w:noWrap/>
          </w:tcPr>
          <w:p w:rsidR="00820281" w:rsidRPr="00B52FB9" w:rsidRDefault="00820281" w:rsidP="004C023E">
            <w:r>
              <w:t>Annual and P</w:t>
            </w:r>
            <w:r w:rsidRPr="00B52FB9">
              <w:t>ivot/CSV</w:t>
            </w:r>
          </w:p>
        </w:tc>
        <w:tc>
          <w:tcPr>
            <w:tcW w:w="4144" w:type="dxa"/>
            <w:noWrap/>
          </w:tcPr>
          <w:p w:rsidR="00820281" w:rsidRPr="00B52FB9" w:rsidRDefault="00820281" w:rsidP="00B52FB9">
            <w:r w:rsidRPr="00B52FB9">
              <w:t>Greater flexibility</w:t>
            </w:r>
          </w:p>
        </w:tc>
      </w:tr>
      <w:tr w:rsidR="008E495F" w:rsidRPr="00B52FB9" w:rsidTr="00B52FB9">
        <w:trPr>
          <w:trHeight w:val="255"/>
        </w:trPr>
        <w:tc>
          <w:tcPr>
            <w:tcW w:w="2694" w:type="dxa"/>
            <w:noWrap/>
          </w:tcPr>
          <w:p w:rsidR="008E495F" w:rsidRPr="00B52FB9" w:rsidRDefault="008E495F" w:rsidP="00B52FB9">
            <w:r w:rsidRPr="00B52FB9">
              <w:t>Tab</w:t>
            </w:r>
            <w:r>
              <w:t>le 20</w:t>
            </w:r>
            <w:r w:rsidRPr="00B52FB9">
              <w:t>a</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r w:rsidR="008E495F" w:rsidRPr="00B52FB9" w:rsidTr="00B52FB9">
        <w:trPr>
          <w:trHeight w:val="255"/>
        </w:trPr>
        <w:tc>
          <w:tcPr>
            <w:tcW w:w="2694" w:type="dxa"/>
            <w:noWrap/>
          </w:tcPr>
          <w:p w:rsidR="008E495F" w:rsidRPr="00B52FB9" w:rsidRDefault="008E495F" w:rsidP="00B52FB9">
            <w:r>
              <w:t>Table 20</w:t>
            </w:r>
            <w:r w:rsidRPr="00B52FB9">
              <w:t>b</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r w:rsidR="008E495F" w:rsidRPr="00B52FB9" w:rsidTr="00B52FB9">
        <w:trPr>
          <w:trHeight w:val="255"/>
        </w:trPr>
        <w:tc>
          <w:tcPr>
            <w:tcW w:w="2694" w:type="dxa"/>
            <w:noWrap/>
          </w:tcPr>
          <w:p w:rsidR="008E495F" w:rsidRPr="00B52FB9" w:rsidRDefault="008E495F" w:rsidP="00B52FB9">
            <w:r>
              <w:t>Table 21</w:t>
            </w:r>
          </w:p>
        </w:tc>
        <w:tc>
          <w:tcPr>
            <w:tcW w:w="3085" w:type="dxa"/>
            <w:noWrap/>
          </w:tcPr>
          <w:p w:rsidR="008E495F" w:rsidRPr="00B52FB9" w:rsidRDefault="008E495F" w:rsidP="00D15D28">
            <w:r w:rsidRPr="00B52FB9">
              <w:t>Quarterly and Pivot/CSV</w:t>
            </w:r>
          </w:p>
        </w:tc>
        <w:tc>
          <w:tcPr>
            <w:tcW w:w="4144" w:type="dxa"/>
            <w:noWrap/>
          </w:tcPr>
          <w:p w:rsidR="008E495F" w:rsidRPr="00B52FB9" w:rsidRDefault="008E495F" w:rsidP="00B52FB9">
            <w:r w:rsidRPr="00B52FB9">
              <w:t>Greater flexibility</w:t>
            </w:r>
          </w:p>
        </w:tc>
      </w:tr>
      <w:tr w:rsidR="008E495F" w:rsidRPr="00B52FB9" w:rsidTr="00B52FB9">
        <w:trPr>
          <w:trHeight w:val="255"/>
        </w:trPr>
        <w:tc>
          <w:tcPr>
            <w:tcW w:w="2694" w:type="dxa"/>
            <w:noWrap/>
          </w:tcPr>
          <w:p w:rsidR="008E495F" w:rsidRPr="00B52FB9" w:rsidRDefault="008E495F" w:rsidP="00B52FB9">
            <w:r>
              <w:t>Table 22</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rsidRPr="00B52FB9">
              <w:t>No longer relevant</w:t>
            </w:r>
          </w:p>
        </w:tc>
      </w:tr>
      <w:tr w:rsidR="008E495F" w:rsidRPr="00B52FB9" w:rsidTr="00B52FB9">
        <w:trPr>
          <w:trHeight w:val="255"/>
        </w:trPr>
        <w:tc>
          <w:tcPr>
            <w:tcW w:w="2694" w:type="dxa"/>
            <w:noWrap/>
          </w:tcPr>
          <w:p w:rsidR="008E495F" w:rsidRPr="00B52FB9" w:rsidRDefault="008E495F" w:rsidP="00B52FB9">
            <w:r>
              <w:t>Table 23</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rsidRPr="00B52FB9">
              <w:t>No longer relevant</w:t>
            </w:r>
          </w:p>
        </w:tc>
      </w:tr>
      <w:tr w:rsidR="008E495F" w:rsidRPr="00B52FB9" w:rsidTr="00B52FB9">
        <w:trPr>
          <w:trHeight w:val="255"/>
        </w:trPr>
        <w:tc>
          <w:tcPr>
            <w:tcW w:w="2694" w:type="dxa"/>
            <w:noWrap/>
          </w:tcPr>
          <w:p w:rsidR="008E495F" w:rsidRPr="00B52FB9" w:rsidRDefault="008E495F" w:rsidP="00B52FB9">
            <w:r>
              <w:t>Table 24</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r w:rsidR="008E495F" w:rsidRPr="00B52FB9" w:rsidTr="00B52FB9">
        <w:trPr>
          <w:trHeight w:val="255"/>
        </w:trPr>
        <w:tc>
          <w:tcPr>
            <w:tcW w:w="2694" w:type="dxa"/>
            <w:noWrap/>
          </w:tcPr>
          <w:p w:rsidR="008E495F" w:rsidRPr="00B52FB9" w:rsidRDefault="008E495F" w:rsidP="00B52FB9">
            <w:r>
              <w:t>Table 25</w:t>
            </w:r>
          </w:p>
        </w:tc>
        <w:tc>
          <w:tcPr>
            <w:tcW w:w="3085" w:type="dxa"/>
            <w:noWrap/>
          </w:tcPr>
          <w:p w:rsidR="008E495F" w:rsidRPr="00B52FB9" w:rsidRDefault="008E495F" w:rsidP="00B52FB9">
            <w:r w:rsidRPr="00B52FB9">
              <w:t>Removed</w:t>
            </w:r>
          </w:p>
        </w:tc>
        <w:tc>
          <w:tcPr>
            <w:tcW w:w="4144" w:type="dxa"/>
            <w:noWrap/>
          </w:tcPr>
          <w:p w:rsidR="008E495F" w:rsidRPr="00B52FB9" w:rsidRDefault="008E495F" w:rsidP="00B52FB9">
            <w:r>
              <w:t>No longer relevant</w:t>
            </w:r>
          </w:p>
        </w:tc>
      </w:tr>
    </w:tbl>
    <w:p w:rsidR="008E495F" w:rsidRDefault="008E495F" w:rsidP="00B52FB9">
      <w:pPr>
        <w:pStyle w:val="Text"/>
        <w:spacing w:line="23" w:lineRule="atLeast"/>
        <w:rPr>
          <w:b/>
        </w:rPr>
      </w:pPr>
    </w:p>
    <w:p w:rsidR="008E495F" w:rsidRPr="00B52FB9" w:rsidRDefault="008E495F" w:rsidP="00B52FB9">
      <w:pPr>
        <w:pStyle w:val="Text"/>
        <w:spacing w:line="23" w:lineRule="atLeast"/>
        <w:rPr>
          <w:b/>
        </w:rPr>
      </w:pPr>
      <w:r>
        <w:rPr>
          <w:b/>
        </w:rPr>
        <w:t>Question 5</w:t>
      </w:r>
      <w:r w:rsidRPr="00286825">
        <w:rPr>
          <w:b/>
        </w:rPr>
        <w:t xml:space="preserve"> – Are users content with the proposed removal of existing tables and the use of pivot tables and CSV files (with appropriate disclosure measures) for additional breakdowns of reoffending data?</w:t>
      </w:r>
    </w:p>
    <w:p w:rsidR="008E495F" w:rsidRDefault="008E495F" w:rsidP="00F91F0F">
      <w:pPr>
        <w:pStyle w:val="Text"/>
        <w:spacing w:line="23" w:lineRule="atLeast"/>
        <w:rPr>
          <w:b/>
        </w:rPr>
      </w:pPr>
      <w:r w:rsidRPr="00286825">
        <w:rPr>
          <w:b/>
        </w:rPr>
        <w:t>Q</w:t>
      </w:r>
      <w:r>
        <w:rPr>
          <w:b/>
        </w:rPr>
        <w:t>uestion 6</w:t>
      </w:r>
      <w:r w:rsidRPr="00286825">
        <w:rPr>
          <w:b/>
        </w:rPr>
        <w:t xml:space="preserve"> – Are users content with including certain statistics which show little quarterly change, for example long term reoffending rates for inclusion in an annual publication?</w:t>
      </w:r>
    </w:p>
    <w:p w:rsidR="008E495F" w:rsidRDefault="008E495F" w:rsidP="00235411">
      <w:pPr>
        <w:pStyle w:val="Text"/>
        <w:rPr>
          <w:lang w:eastAsia="en-US"/>
        </w:rPr>
      </w:pPr>
    </w:p>
    <w:p w:rsidR="009C47A3" w:rsidRDefault="009C47A3" w:rsidP="009C47A3">
      <w:pPr>
        <w:pStyle w:val="Heading1"/>
        <w:tabs>
          <w:tab w:val="left" w:pos="284"/>
        </w:tabs>
      </w:pPr>
      <w:bookmarkStart w:id="9" w:name="_Toc425866175"/>
      <w:r>
        <w:lastRenderedPageBreak/>
        <w:t>Questionnaire</w:t>
      </w:r>
      <w:bookmarkEnd w:id="9"/>
    </w:p>
    <w:p w:rsidR="008E495F" w:rsidRDefault="008E495F" w:rsidP="00286825">
      <w:pPr>
        <w:pStyle w:val="Default"/>
        <w:spacing w:after="240"/>
        <w:rPr>
          <w:sz w:val="22"/>
          <w:szCs w:val="22"/>
        </w:rPr>
      </w:pPr>
      <w:r>
        <w:rPr>
          <w:sz w:val="22"/>
          <w:szCs w:val="22"/>
        </w:rPr>
        <w:t xml:space="preserve">We would welcome responses to the following questions set out in this consultation paper. </w:t>
      </w:r>
    </w:p>
    <w:p w:rsidR="008E495F" w:rsidRPr="00286825" w:rsidRDefault="008E495F" w:rsidP="00286825">
      <w:pPr>
        <w:pStyle w:val="Text"/>
        <w:spacing w:line="276" w:lineRule="auto"/>
        <w:rPr>
          <w:b/>
        </w:rPr>
      </w:pPr>
      <w:r>
        <w:rPr>
          <w:b/>
        </w:rPr>
        <w:t>Question 1</w:t>
      </w:r>
      <w:r w:rsidRPr="00286825">
        <w:rPr>
          <w:b/>
        </w:rPr>
        <w:t xml:space="preserve"> – Do users agree with </w:t>
      </w:r>
      <w:r>
        <w:rPr>
          <w:b/>
        </w:rPr>
        <w:t>changing to three month cohorts to measure</w:t>
      </w:r>
      <w:r w:rsidRPr="00286825">
        <w:rPr>
          <w:b/>
        </w:rPr>
        <w:t xml:space="preserve"> </w:t>
      </w:r>
      <w:r>
        <w:rPr>
          <w:b/>
        </w:rPr>
        <w:t xml:space="preserve">all </w:t>
      </w:r>
      <w:r w:rsidRPr="00286825">
        <w:rPr>
          <w:b/>
        </w:rPr>
        <w:t>reoffending</w:t>
      </w:r>
      <w:r>
        <w:rPr>
          <w:b/>
        </w:rPr>
        <w:t xml:space="preserve"> (not just PbR outcomes)</w:t>
      </w:r>
      <w:r w:rsidRPr="00286825">
        <w:rPr>
          <w:b/>
        </w:rPr>
        <w:t xml:space="preserve"> and </w:t>
      </w:r>
      <w:r>
        <w:rPr>
          <w:b/>
        </w:rPr>
        <w:t>the creation of</w:t>
      </w:r>
      <w:r w:rsidRPr="00286825">
        <w:rPr>
          <w:b/>
        </w:rPr>
        <w:t xml:space="preserve"> annual cohort</w:t>
      </w:r>
      <w:r>
        <w:rPr>
          <w:b/>
        </w:rPr>
        <w:t>s, combining</w:t>
      </w:r>
      <w:r w:rsidRPr="00286825">
        <w:rPr>
          <w:b/>
        </w:rPr>
        <w:t xml:space="preserve"> the preceding quarterly cohorts</w:t>
      </w:r>
      <w:r>
        <w:rPr>
          <w:b/>
        </w:rPr>
        <w:t>,</w:t>
      </w:r>
      <w:r w:rsidRPr="00286825">
        <w:rPr>
          <w:b/>
        </w:rPr>
        <w:t xml:space="preserve"> to permit geographical breakdowns at LA level including those used by the Youth Justice Board (YJB) for Youth Offending Teams (YOTs)</w:t>
      </w:r>
    </w:p>
    <w:p w:rsidR="008E495F" w:rsidRPr="00286825" w:rsidRDefault="008E495F" w:rsidP="00772789">
      <w:pPr>
        <w:pStyle w:val="Text"/>
        <w:spacing w:line="23" w:lineRule="atLeast"/>
        <w:rPr>
          <w:b/>
        </w:rPr>
      </w:pPr>
      <w:r>
        <w:rPr>
          <w:b/>
        </w:rPr>
        <w:t>Question 2</w:t>
      </w:r>
      <w:r w:rsidRPr="00286825">
        <w:rPr>
          <w:b/>
        </w:rPr>
        <w:t xml:space="preserve"> – Are users content with the use of OGRS4 for all offender groups for assessing the likelihood of reoffending?</w:t>
      </w:r>
    </w:p>
    <w:p w:rsidR="008E495F" w:rsidRPr="00286825" w:rsidRDefault="008E495F" w:rsidP="00772789">
      <w:pPr>
        <w:pStyle w:val="Text"/>
        <w:spacing w:line="23" w:lineRule="atLeast"/>
        <w:rPr>
          <w:b/>
        </w:rPr>
      </w:pPr>
      <w:r>
        <w:rPr>
          <w:b/>
        </w:rPr>
        <w:t>Question 3 - Does the proposal</w:t>
      </w:r>
      <w:r w:rsidRPr="00286825">
        <w:rPr>
          <w:b/>
        </w:rPr>
        <w:t xml:space="preserve"> </w:t>
      </w:r>
      <w:r>
        <w:rPr>
          <w:b/>
        </w:rPr>
        <w:t xml:space="preserve">for providing </w:t>
      </w:r>
      <w:r w:rsidRPr="00286825">
        <w:rPr>
          <w:b/>
        </w:rPr>
        <w:t>‘interim estimates’</w:t>
      </w:r>
      <w:r>
        <w:rPr>
          <w:b/>
        </w:rPr>
        <w:t xml:space="preserve"> for publication as management information until headline results become available,</w:t>
      </w:r>
      <w:r w:rsidRPr="00286825">
        <w:rPr>
          <w:b/>
        </w:rPr>
        <w:t xml:space="preserve"> cover users’ needs?</w:t>
      </w:r>
    </w:p>
    <w:p w:rsidR="008E495F" w:rsidRPr="00286825" w:rsidRDefault="008E495F" w:rsidP="001E3415">
      <w:pPr>
        <w:pStyle w:val="Text"/>
        <w:spacing w:line="23" w:lineRule="atLeast"/>
        <w:rPr>
          <w:b/>
        </w:rPr>
      </w:pPr>
      <w:r>
        <w:rPr>
          <w:b/>
        </w:rPr>
        <w:t>Question 4</w:t>
      </w:r>
      <w:r w:rsidRPr="00286825">
        <w:rPr>
          <w:b/>
        </w:rPr>
        <w:t xml:space="preserve"> – Do users support the </w:t>
      </w:r>
      <w:r>
        <w:rPr>
          <w:b/>
        </w:rPr>
        <w:t>outline structure for the bulletin including reoffending splits by CRCs</w:t>
      </w:r>
      <w:r w:rsidRPr="00286825">
        <w:rPr>
          <w:b/>
        </w:rPr>
        <w:t xml:space="preserve"> and the NPS</w:t>
      </w:r>
      <w:r>
        <w:rPr>
          <w:b/>
        </w:rPr>
        <w:t xml:space="preserve"> divisions</w:t>
      </w:r>
      <w:r w:rsidRPr="00286825">
        <w:rPr>
          <w:b/>
        </w:rPr>
        <w:t>?</w:t>
      </w:r>
    </w:p>
    <w:p w:rsidR="008E495F" w:rsidRPr="00286825" w:rsidRDefault="008E495F" w:rsidP="00286825">
      <w:pPr>
        <w:pStyle w:val="Text"/>
        <w:spacing w:line="23" w:lineRule="atLeast"/>
        <w:rPr>
          <w:b/>
        </w:rPr>
      </w:pPr>
      <w:r>
        <w:rPr>
          <w:b/>
        </w:rPr>
        <w:t>Question 5</w:t>
      </w:r>
      <w:r w:rsidRPr="00286825">
        <w:rPr>
          <w:b/>
        </w:rPr>
        <w:t xml:space="preserve"> – Are users content with the proposed removal of existing tables and the use of pivot tables and CSV files (with appropriate disclosure measures) for additional breakdowns of reoffending data?</w:t>
      </w:r>
    </w:p>
    <w:p w:rsidR="008E495F" w:rsidRPr="00286825" w:rsidRDefault="008E495F" w:rsidP="00286825">
      <w:pPr>
        <w:pStyle w:val="Text"/>
        <w:spacing w:line="23" w:lineRule="atLeast"/>
        <w:rPr>
          <w:b/>
        </w:rPr>
      </w:pPr>
      <w:r w:rsidRPr="00286825">
        <w:rPr>
          <w:b/>
        </w:rPr>
        <w:t>Q</w:t>
      </w:r>
      <w:r>
        <w:rPr>
          <w:b/>
        </w:rPr>
        <w:t>uestion 6</w:t>
      </w:r>
      <w:r w:rsidRPr="00286825">
        <w:rPr>
          <w:b/>
        </w:rPr>
        <w:t xml:space="preserve"> – Are users content with including certain statistics which show little quarterly change, for example long term reoffending rates for inclusion in an annual publication?</w:t>
      </w: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p>
    <w:p w:rsidR="008E495F" w:rsidRDefault="008E495F" w:rsidP="00286825">
      <w:pPr>
        <w:pStyle w:val="Default"/>
        <w:spacing w:after="158"/>
        <w:rPr>
          <w:sz w:val="22"/>
          <w:szCs w:val="22"/>
        </w:rPr>
      </w:pPr>
      <w:r>
        <w:rPr>
          <w:b/>
          <w:bCs/>
          <w:sz w:val="22"/>
          <w:szCs w:val="22"/>
        </w:rPr>
        <w:t>Thank you for participating in this consultation exercise.</w:t>
      </w:r>
    </w:p>
    <w:p w:rsidR="008E495F" w:rsidRDefault="008E495F" w:rsidP="00286825">
      <w:pPr>
        <w:pStyle w:val="Default"/>
        <w:pageBreakBefore/>
        <w:spacing w:after="788"/>
        <w:rPr>
          <w:color w:val="auto"/>
          <w:sz w:val="28"/>
          <w:szCs w:val="28"/>
        </w:rPr>
      </w:pPr>
      <w:r w:rsidRPr="00E612B7">
        <w:rPr>
          <w:b/>
          <w:bCs/>
          <w:color w:val="auto"/>
          <w:sz w:val="28"/>
          <w:szCs w:val="28"/>
        </w:rPr>
        <w:lastRenderedPageBreak/>
        <w:t xml:space="preserve">About you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63"/>
        <w:gridCol w:w="2460"/>
      </w:tblGrid>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rsidP="00E612B7">
            <w:pPr>
              <w:pStyle w:val="Default"/>
              <w:spacing w:after="240"/>
              <w:rPr>
                <w:sz w:val="22"/>
                <w:szCs w:val="22"/>
              </w:rPr>
            </w:pPr>
            <w:r>
              <w:rPr>
                <w:color w:val="auto"/>
                <w:sz w:val="22"/>
                <w:szCs w:val="22"/>
              </w:rPr>
              <w:t xml:space="preserve">Please use this section to tell us about yourself </w:t>
            </w:r>
          </w:p>
        </w:tc>
      </w:tr>
      <w:tr w:rsidR="008E495F">
        <w:trPr>
          <w:trHeight w:val="525"/>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b/>
                <w:bCs/>
                <w:sz w:val="22"/>
                <w:szCs w:val="22"/>
              </w:rPr>
            </w:pPr>
            <w:r>
              <w:rPr>
                <w:b/>
                <w:bCs/>
                <w:sz w:val="22"/>
                <w:szCs w:val="22"/>
              </w:rPr>
              <w:t>Full name</w:t>
            </w:r>
          </w:p>
        </w:tc>
      </w:tr>
      <w:tr w:rsidR="008E495F">
        <w:trPr>
          <w:trHeight w:val="525"/>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Job title </w:t>
            </w:r>
            <w:r>
              <w:rPr>
                <w:sz w:val="22"/>
                <w:szCs w:val="22"/>
              </w:rPr>
              <w:t xml:space="preserve">or capacity in which you are responding to this consultation exercise (e.g. member of the public etc.) </w:t>
            </w:r>
          </w:p>
        </w:tc>
      </w:tr>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Date </w:t>
            </w:r>
          </w:p>
        </w:tc>
      </w:tr>
      <w:tr w:rsidR="008E495F">
        <w:trPr>
          <w:trHeight w:val="271"/>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Company name/organisation </w:t>
            </w:r>
            <w:r>
              <w:rPr>
                <w:sz w:val="22"/>
                <w:szCs w:val="22"/>
              </w:rPr>
              <w:t xml:space="preserve">(if applicable): </w:t>
            </w:r>
          </w:p>
        </w:tc>
      </w:tr>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Address </w:t>
            </w:r>
          </w:p>
        </w:tc>
      </w:tr>
      <w:tr w:rsidR="008E495F">
        <w:trPr>
          <w:trHeight w:val="152"/>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b/>
                <w:bCs/>
                <w:sz w:val="22"/>
                <w:szCs w:val="22"/>
              </w:rPr>
              <w:t xml:space="preserve">Postcode </w:t>
            </w:r>
          </w:p>
        </w:tc>
      </w:tr>
      <w:tr w:rsidR="008E495F">
        <w:trPr>
          <w:trHeight w:val="399"/>
        </w:trPr>
        <w:tc>
          <w:tcPr>
            <w:tcW w:w="4263" w:type="dxa"/>
            <w:tcBorders>
              <w:top w:val="single" w:sz="8" w:space="0" w:color="000000"/>
              <w:bottom w:val="single" w:sz="8" w:space="0" w:color="000000"/>
              <w:right w:val="single" w:sz="8" w:space="0" w:color="000000"/>
            </w:tcBorders>
            <w:shd w:val="clear" w:color="auto" w:fill="FFFFFF"/>
          </w:tcPr>
          <w:p w:rsidR="008E495F" w:rsidRDefault="008E495F">
            <w:pPr>
              <w:pStyle w:val="Default"/>
              <w:spacing w:after="240"/>
              <w:rPr>
                <w:sz w:val="22"/>
                <w:szCs w:val="22"/>
              </w:rPr>
            </w:pPr>
            <w:r>
              <w:rPr>
                <w:sz w:val="22"/>
                <w:szCs w:val="22"/>
              </w:rPr>
              <w:t xml:space="preserve">If you would like us to acknowledge receipt of your response, please tick this box </w:t>
            </w:r>
          </w:p>
        </w:tc>
        <w:tc>
          <w:tcPr>
            <w:tcW w:w="2459" w:type="dxa"/>
            <w:tcBorders>
              <w:top w:val="single" w:sz="8" w:space="0" w:color="000000"/>
              <w:left w:val="single" w:sz="8" w:space="0" w:color="000000"/>
              <w:bottom w:val="single" w:sz="8" w:space="0" w:color="000000"/>
            </w:tcBorders>
          </w:tcPr>
          <w:p w:rsidR="008E495F" w:rsidRDefault="008E495F">
            <w:pPr>
              <w:pStyle w:val="Default"/>
              <w:spacing w:after="240"/>
              <w:rPr>
                <w:sz w:val="22"/>
                <w:szCs w:val="22"/>
              </w:rPr>
            </w:pPr>
            <w:r>
              <w:rPr>
                <w:sz w:val="22"/>
                <w:szCs w:val="22"/>
              </w:rPr>
              <w:t xml:space="preserve">(please tick box) </w:t>
            </w:r>
          </w:p>
        </w:tc>
      </w:tr>
      <w:tr w:rsidR="008E495F">
        <w:trPr>
          <w:trHeight w:val="399"/>
        </w:trPr>
        <w:tc>
          <w:tcPr>
            <w:tcW w:w="6723" w:type="dxa"/>
            <w:gridSpan w:val="2"/>
            <w:tcBorders>
              <w:top w:val="single" w:sz="8" w:space="0" w:color="000000"/>
              <w:bottom w:val="single" w:sz="8" w:space="0" w:color="000000"/>
            </w:tcBorders>
            <w:shd w:val="clear" w:color="auto" w:fill="FFFFFF"/>
          </w:tcPr>
          <w:p w:rsidR="008E495F" w:rsidRDefault="008E495F">
            <w:pPr>
              <w:pStyle w:val="Default"/>
              <w:spacing w:after="240"/>
              <w:rPr>
                <w:sz w:val="22"/>
                <w:szCs w:val="22"/>
              </w:rPr>
            </w:pPr>
            <w:r>
              <w:rPr>
                <w:sz w:val="22"/>
                <w:szCs w:val="22"/>
              </w:rPr>
              <w:t xml:space="preserve">Address to which the acknowledgement should be sent, if different from above </w:t>
            </w:r>
          </w:p>
        </w:tc>
      </w:tr>
    </w:tbl>
    <w:p w:rsidR="008E495F" w:rsidRDefault="008E495F" w:rsidP="00235411">
      <w:pPr>
        <w:pStyle w:val="Text"/>
        <w:rPr>
          <w:lang w:eastAsia="en-US"/>
        </w:rPr>
      </w:pPr>
    </w:p>
    <w:p w:rsidR="008E495F" w:rsidRDefault="008E495F" w:rsidP="00E612B7">
      <w:pPr>
        <w:pStyle w:val="Default"/>
        <w:spacing w:after="240"/>
        <w:rPr>
          <w:sz w:val="22"/>
          <w:szCs w:val="22"/>
        </w:rPr>
      </w:pPr>
      <w:r>
        <w:rPr>
          <w:b/>
          <w:bCs/>
          <w:sz w:val="22"/>
          <w:szCs w:val="22"/>
        </w:rPr>
        <w:t>If you are a representative of a group</w:t>
      </w:r>
      <w:r>
        <w:rPr>
          <w:sz w:val="22"/>
          <w:szCs w:val="22"/>
        </w:rPr>
        <w:t xml:space="preserve">, please tell us the name of the group and give a summary of the people or organisations that you represent. </w:t>
      </w:r>
    </w:p>
    <w:p w:rsidR="009C47A3" w:rsidRDefault="009C47A3">
      <w:pPr>
        <w:spacing w:line="240" w:lineRule="auto"/>
      </w:pPr>
      <w:bookmarkStart w:id="10" w:name="_Toc239159574"/>
      <w:r>
        <w:br w:type="page"/>
      </w:r>
    </w:p>
    <w:p w:rsidR="009C47A3" w:rsidRPr="009C47A3" w:rsidRDefault="009C47A3" w:rsidP="009C47A3">
      <w:pPr>
        <w:tabs>
          <w:tab w:val="left" w:pos="284"/>
        </w:tabs>
        <w:spacing w:line="720" w:lineRule="auto"/>
        <w:rPr>
          <w:b/>
          <w:sz w:val="28"/>
          <w:szCs w:val="28"/>
        </w:rPr>
      </w:pPr>
      <w:r w:rsidRPr="009C47A3">
        <w:rPr>
          <w:b/>
          <w:sz w:val="28"/>
          <w:szCs w:val="28"/>
        </w:rPr>
        <w:lastRenderedPageBreak/>
        <w:t>The consultation criteria</w:t>
      </w:r>
    </w:p>
    <w:p w:rsidR="009C47A3" w:rsidRDefault="009C47A3" w:rsidP="008F4912">
      <w:pPr>
        <w:tabs>
          <w:tab w:val="left" w:pos="284"/>
        </w:tabs>
      </w:pPr>
    </w:p>
    <w:p w:rsidR="008E495F" w:rsidRDefault="008E495F" w:rsidP="008F4912">
      <w:pPr>
        <w:tabs>
          <w:tab w:val="left" w:pos="284"/>
        </w:tabs>
      </w:pPr>
      <w:r>
        <w:t>The seven consultation criteria are as follows:</w:t>
      </w:r>
    </w:p>
    <w:p w:rsidR="009C47A3" w:rsidRDefault="009C47A3" w:rsidP="008F4912">
      <w:pPr>
        <w:tabs>
          <w:tab w:val="left" w:pos="284"/>
        </w:tabs>
      </w:pPr>
    </w:p>
    <w:p w:rsidR="008E495F" w:rsidRDefault="008E495F" w:rsidP="004F481E">
      <w:pPr>
        <w:pStyle w:val="Numberedtext"/>
        <w:numPr>
          <w:ilvl w:val="0"/>
          <w:numId w:val="1"/>
        </w:numPr>
        <w:tabs>
          <w:tab w:val="left" w:pos="284"/>
        </w:tabs>
      </w:pPr>
      <w:r w:rsidRPr="00655330">
        <w:rPr>
          <w:b/>
          <w:bCs/>
        </w:rPr>
        <w:t>When to consult</w:t>
      </w:r>
      <w:r>
        <w:t xml:space="preserve"> – Formal consultations should take place at a stage where there is scope to influence the policy outcome.</w:t>
      </w:r>
    </w:p>
    <w:p w:rsidR="008E495F" w:rsidRDefault="008E495F" w:rsidP="004F481E">
      <w:pPr>
        <w:pStyle w:val="Numberedtext"/>
        <w:numPr>
          <w:ilvl w:val="0"/>
          <w:numId w:val="1"/>
        </w:numPr>
        <w:tabs>
          <w:tab w:val="left" w:pos="284"/>
        </w:tabs>
      </w:pPr>
      <w:r w:rsidRPr="00655330">
        <w:rPr>
          <w:b/>
          <w:bCs/>
        </w:rPr>
        <w:t>Duration of consultation exercises</w:t>
      </w:r>
      <w:r>
        <w:t xml:space="preserve"> – Consultations should normally last for at least 12 weeks with consideration given to longer timescales where feasible and sensible.</w:t>
      </w:r>
    </w:p>
    <w:p w:rsidR="008E495F" w:rsidRDefault="008E495F" w:rsidP="004F481E">
      <w:pPr>
        <w:pStyle w:val="Numberedtext"/>
        <w:numPr>
          <w:ilvl w:val="0"/>
          <w:numId w:val="1"/>
        </w:numPr>
        <w:tabs>
          <w:tab w:val="left" w:pos="284"/>
        </w:tabs>
      </w:pPr>
      <w:r w:rsidRPr="00655330">
        <w:rPr>
          <w:b/>
          <w:bCs/>
        </w:rPr>
        <w:t>Clarity of scope and impac</w:t>
      </w:r>
      <w:r w:rsidRPr="006236B5">
        <w:rPr>
          <w:b/>
        </w:rPr>
        <w:t>t</w:t>
      </w:r>
      <w:r>
        <w:t xml:space="preserve"> – Consultation documents should be clear about the consultation process, what is being proposed, the scope to influence and the expected costs and benefits of the proposals.</w:t>
      </w:r>
    </w:p>
    <w:p w:rsidR="008E495F" w:rsidRDefault="008E495F" w:rsidP="004F481E">
      <w:pPr>
        <w:pStyle w:val="Numberedtext"/>
        <w:numPr>
          <w:ilvl w:val="0"/>
          <w:numId w:val="1"/>
        </w:numPr>
        <w:tabs>
          <w:tab w:val="left" w:pos="284"/>
        </w:tabs>
      </w:pPr>
      <w:r w:rsidRPr="00655330">
        <w:rPr>
          <w:b/>
          <w:bCs/>
        </w:rPr>
        <w:t>Accessibility of consultation exercises</w:t>
      </w:r>
      <w:r>
        <w:t xml:space="preserve"> – Consultation exercises should be designed to be accessible to, and clearly targeted at, those people the exercise is intended to reach.</w:t>
      </w:r>
    </w:p>
    <w:p w:rsidR="008E495F" w:rsidRDefault="008E495F" w:rsidP="004F481E">
      <w:pPr>
        <w:pStyle w:val="Numberedtext"/>
        <w:numPr>
          <w:ilvl w:val="0"/>
          <w:numId w:val="1"/>
        </w:numPr>
        <w:tabs>
          <w:tab w:val="left" w:pos="284"/>
        </w:tabs>
      </w:pPr>
      <w:r w:rsidRPr="00655330">
        <w:rPr>
          <w:b/>
          <w:bCs/>
        </w:rPr>
        <w:t>The burden of consultation</w:t>
      </w:r>
      <w:r>
        <w:t xml:space="preserve"> – Keeping the burden of consultation to a minimum is essential if consultations are to be effective and if consultees’ buy-in to the process is to be obtained.</w:t>
      </w:r>
    </w:p>
    <w:p w:rsidR="008E495F" w:rsidRDefault="008E495F" w:rsidP="004F481E">
      <w:pPr>
        <w:pStyle w:val="Numberedtext"/>
        <w:numPr>
          <w:ilvl w:val="0"/>
          <w:numId w:val="1"/>
        </w:numPr>
        <w:tabs>
          <w:tab w:val="left" w:pos="284"/>
        </w:tabs>
      </w:pPr>
      <w:r w:rsidRPr="00655330">
        <w:rPr>
          <w:b/>
          <w:bCs/>
        </w:rPr>
        <w:t>Responsiveness of consultation exercise</w:t>
      </w:r>
      <w:r w:rsidRPr="006236B5">
        <w:rPr>
          <w:b/>
        </w:rPr>
        <w:t>s</w:t>
      </w:r>
      <w:r>
        <w:t xml:space="preserve"> – Consultation responses should be analysed carefully and clear feedback should be provided to participants following the consultation.</w:t>
      </w:r>
    </w:p>
    <w:p w:rsidR="008E495F" w:rsidRDefault="008E495F" w:rsidP="004F481E">
      <w:pPr>
        <w:pStyle w:val="Numberedtext"/>
        <w:numPr>
          <w:ilvl w:val="0"/>
          <w:numId w:val="1"/>
        </w:numPr>
        <w:tabs>
          <w:tab w:val="left" w:pos="284"/>
        </w:tabs>
      </w:pPr>
      <w:r w:rsidRPr="00655330">
        <w:rPr>
          <w:b/>
          <w:bCs/>
        </w:rPr>
        <w:t>Capacity to consult</w:t>
      </w:r>
      <w:r>
        <w:t xml:space="preserve"> – Officials running consultations should seek guidance in how to run an effective consultation exercise and share what they have learned from the experience.</w:t>
      </w:r>
    </w:p>
    <w:p w:rsidR="008E495F" w:rsidRPr="007D0A4B" w:rsidRDefault="008E495F" w:rsidP="008F4912">
      <w:pPr>
        <w:tabs>
          <w:tab w:val="left" w:pos="284"/>
        </w:tabs>
        <w:rPr>
          <w:b/>
        </w:rPr>
      </w:pPr>
      <w:r w:rsidRPr="007D0A4B">
        <w:rPr>
          <w:b/>
        </w:rPr>
        <w:t>These criteria must be reproduced within all consultation documents.</w:t>
      </w:r>
    </w:p>
    <w:bookmarkEnd w:id="10"/>
    <w:p w:rsidR="008E495F" w:rsidRDefault="008E495F" w:rsidP="00F22E0D">
      <w:pPr>
        <w:pStyle w:val="Default"/>
        <w:spacing w:after="789"/>
        <w:rPr>
          <w:b/>
          <w:bCs/>
          <w:sz w:val="28"/>
          <w:szCs w:val="28"/>
        </w:rPr>
      </w:pPr>
    </w:p>
    <w:p w:rsidR="008E495F" w:rsidRDefault="008E495F" w:rsidP="00F22E0D">
      <w:pPr>
        <w:pStyle w:val="Default"/>
        <w:spacing w:after="789"/>
        <w:rPr>
          <w:b/>
          <w:bCs/>
          <w:sz w:val="28"/>
          <w:szCs w:val="28"/>
        </w:rPr>
      </w:pPr>
    </w:p>
    <w:p w:rsidR="008E495F" w:rsidRDefault="008E495F" w:rsidP="00F22E0D">
      <w:pPr>
        <w:pStyle w:val="Default"/>
        <w:spacing w:after="789"/>
        <w:rPr>
          <w:sz w:val="28"/>
          <w:szCs w:val="28"/>
        </w:rPr>
      </w:pPr>
      <w:r>
        <w:rPr>
          <w:b/>
          <w:bCs/>
          <w:sz w:val="28"/>
          <w:szCs w:val="28"/>
        </w:rPr>
        <w:br w:type="page"/>
      </w:r>
      <w:r>
        <w:rPr>
          <w:b/>
          <w:bCs/>
          <w:sz w:val="28"/>
          <w:szCs w:val="28"/>
        </w:rPr>
        <w:lastRenderedPageBreak/>
        <w:t xml:space="preserve">Consultation co-ordinator contact details </w:t>
      </w:r>
    </w:p>
    <w:p w:rsidR="008E495F" w:rsidRDefault="008E495F" w:rsidP="00F22E0D">
      <w:pPr>
        <w:pStyle w:val="Default"/>
        <w:spacing w:after="240"/>
        <w:rPr>
          <w:sz w:val="22"/>
          <w:szCs w:val="22"/>
        </w:rPr>
      </w:pPr>
      <w:r>
        <w:rPr>
          <w:b/>
          <w:bCs/>
          <w:sz w:val="22"/>
          <w:szCs w:val="22"/>
        </w:rPr>
        <w:t xml:space="preserve">Responses to the consultation must go to the named contact under the How to Respond section. </w:t>
      </w:r>
    </w:p>
    <w:p w:rsidR="008E495F" w:rsidRDefault="008E495F" w:rsidP="00F22E0D">
      <w:pPr>
        <w:pStyle w:val="Default"/>
        <w:spacing w:after="240"/>
        <w:rPr>
          <w:sz w:val="22"/>
          <w:szCs w:val="22"/>
        </w:rPr>
      </w:pPr>
      <w:r>
        <w:rPr>
          <w:sz w:val="22"/>
          <w:szCs w:val="22"/>
        </w:rPr>
        <w:t xml:space="preserve">However, if you have any complaints or comments about the consultation </w:t>
      </w:r>
      <w:r>
        <w:rPr>
          <w:b/>
          <w:bCs/>
          <w:sz w:val="22"/>
          <w:szCs w:val="22"/>
        </w:rPr>
        <w:t xml:space="preserve">process </w:t>
      </w:r>
      <w:r>
        <w:rPr>
          <w:sz w:val="22"/>
          <w:szCs w:val="22"/>
        </w:rPr>
        <w:t xml:space="preserve">you should contact the Ministry of Justice consultation co-ordinator at consultation@justice.gsi.gov.uk </w:t>
      </w:r>
    </w:p>
    <w:p w:rsidR="008E495F" w:rsidRDefault="008E495F" w:rsidP="00F22E0D">
      <w:pPr>
        <w:pStyle w:val="Default"/>
        <w:spacing w:after="240"/>
        <w:rPr>
          <w:sz w:val="22"/>
          <w:szCs w:val="22"/>
        </w:rPr>
      </w:pPr>
      <w:r>
        <w:rPr>
          <w:sz w:val="22"/>
          <w:szCs w:val="22"/>
        </w:rPr>
        <w:t xml:space="preserve">Alternatively, you may wish to write to the address below: </w:t>
      </w:r>
    </w:p>
    <w:p w:rsidR="008E495F" w:rsidRPr="008F495F" w:rsidRDefault="008E495F" w:rsidP="00F22E0D">
      <w:pPr>
        <w:pStyle w:val="Text"/>
        <w:rPr>
          <w:lang w:eastAsia="en-US"/>
        </w:rPr>
      </w:pPr>
      <w:r>
        <w:rPr>
          <w:b/>
          <w:bCs/>
          <w:szCs w:val="22"/>
        </w:rPr>
        <w:t>Ministry of Justice Consultation Co-ordinator Legal Policy Team, Legal Directorate 6.37, 6</w:t>
      </w:r>
      <w:r>
        <w:rPr>
          <w:b/>
          <w:bCs/>
          <w:sz w:val="14"/>
          <w:szCs w:val="14"/>
        </w:rPr>
        <w:t xml:space="preserve">th </w:t>
      </w:r>
      <w:r>
        <w:rPr>
          <w:b/>
          <w:bCs/>
          <w:szCs w:val="22"/>
        </w:rPr>
        <w:t>Floor 102 Petty France London SW1H 9AJ</w:t>
      </w:r>
    </w:p>
    <w:sectPr w:rsidR="008E495F" w:rsidRPr="008F495F" w:rsidSect="00820F28">
      <w:headerReference w:type="even" r:id="rId13"/>
      <w:headerReference w:type="default" r:id="rId14"/>
      <w:footerReference w:type="even" r:id="rId15"/>
      <w:footerReference w:type="default" r:id="rId16"/>
      <w:pgSz w:w="11906" w:h="16838" w:code="9"/>
      <w:pgMar w:top="2835" w:right="1985" w:bottom="1134" w:left="1985"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60" w:rsidRDefault="00793060">
      <w:r>
        <w:separator/>
      </w:r>
    </w:p>
  </w:endnote>
  <w:endnote w:type="continuationSeparator" w:id="0">
    <w:p w:rsidR="00793060" w:rsidRDefault="0079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60" w:rsidRDefault="00A04964" w:rsidP="007C7960">
    <w:pPr>
      <w:pStyle w:val="Footer"/>
      <w:jc w:val="left"/>
    </w:pPr>
    <w:r>
      <w:fldChar w:fldCharType="begin"/>
    </w:r>
    <w:r>
      <w:instrText xml:space="preserve">PAGE  </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60" w:rsidRDefault="00A04964" w:rsidP="007C7960">
    <w:pPr>
      <w:pStyle w:val="Footer"/>
      <w:jc w:val="right"/>
    </w:pPr>
    <w:r>
      <w:fldChar w:fldCharType="begin"/>
    </w:r>
    <w:r>
      <w:instrText xml:space="preserve">PAGE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60" w:rsidRDefault="00793060">
      <w:r>
        <w:separator/>
      </w:r>
    </w:p>
  </w:footnote>
  <w:footnote w:type="continuationSeparator" w:id="0">
    <w:p w:rsidR="00793060" w:rsidRDefault="0079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64" w:rsidRDefault="00A04964">
    <w:pPr>
      <w:pStyle w:val="Header"/>
    </w:pPr>
    <w:r w:rsidRPr="00A04964">
      <w:rPr>
        <w:noProof/>
      </w:rPr>
      <w:drawing>
        <wp:anchor distT="0" distB="0" distL="114300" distR="114300" simplePos="0" relativeHeight="251658240" behindDoc="0" locked="0" layoutInCell="1" allowOverlap="1">
          <wp:simplePos x="0" y="0"/>
          <wp:positionH relativeFrom="column">
            <wp:posOffset>-1533</wp:posOffset>
          </wp:positionH>
          <wp:positionV relativeFrom="page">
            <wp:posOffset>356839</wp:posOffset>
          </wp:positionV>
          <wp:extent cx="1175385" cy="922655"/>
          <wp:effectExtent l="0" t="0" r="0" b="0"/>
          <wp:wrapNone/>
          <wp:docPr id="1" name="Picture 1" descr="\\wsrv001\users\dminglis\Documents\2015\consultations\MoJ_BLK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rv001\users\dminglis\Documents\2015\consultations\MoJ_BLK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922655"/>
                  </a:xfrm>
                  <a:prstGeom prst="rect">
                    <a:avLst/>
                  </a:prstGeom>
                  <a:noFill/>
                  <a:ln>
                    <a:noFill/>
                  </a:ln>
                </pic:spPr>
              </pic:pic>
            </a:graphicData>
          </a:graphic>
        </wp:anchor>
      </w:drawing>
    </w:r>
  </w:p>
  <w:p w:rsidR="00A04964" w:rsidRDefault="00A049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60" w:rsidRDefault="00793060" w:rsidP="00CA13F7">
    <w:pPr>
      <w:pStyle w:val="Header"/>
      <w:jc w:val="center"/>
    </w:pPr>
    <w:r>
      <w:t>Consultation on reoffending statistics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60" w:rsidRPr="007C7960" w:rsidRDefault="00793060" w:rsidP="00CA13F7">
    <w:pPr>
      <w:pStyle w:val="Header"/>
      <w:jc w:val="center"/>
    </w:pPr>
    <w:r>
      <w:t>Consultation on reoffending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57"/>
    <w:multiLevelType w:val="hybridMultilevel"/>
    <w:tmpl w:val="9CE0C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F495C"/>
    <w:multiLevelType w:val="hybridMultilevel"/>
    <w:tmpl w:val="87924B5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C00B75"/>
    <w:multiLevelType w:val="hybridMultilevel"/>
    <w:tmpl w:val="2272E8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4" w15:restartNumberingAfterBreak="0">
    <w:nsid w:val="1CB8746B"/>
    <w:multiLevelType w:val="hybridMultilevel"/>
    <w:tmpl w:val="DFBE166A"/>
    <w:lvl w:ilvl="0" w:tplc="08090019">
      <w:start w:val="1"/>
      <w:numFmt w:val="lowerLetter"/>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6" w15:restartNumberingAfterBreak="0">
    <w:nsid w:val="2735436D"/>
    <w:multiLevelType w:val="singleLevel"/>
    <w:tmpl w:val="DE3E92F6"/>
    <w:lvl w:ilvl="0">
      <w:start w:val="1"/>
      <w:numFmt w:val="decimal"/>
      <w:pStyle w:val="Textnumbered"/>
      <w:lvlText w:val="%1."/>
      <w:lvlJc w:val="left"/>
      <w:pPr>
        <w:tabs>
          <w:tab w:val="num" w:pos="360"/>
        </w:tabs>
        <w:ind w:left="360" w:hanging="360"/>
      </w:pPr>
      <w:rPr>
        <w:rFonts w:cs="Times New Roman"/>
      </w:rPr>
    </w:lvl>
  </w:abstractNum>
  <w:abstractNum w:abstractNumId="7" w15:restartNumberingAfterBreak="0">
    <w:nsid w:val="28A759ED"/>
    <w:multiLevelType w:val="hybridMultilevel"/>
    <w:tmpl w:val="3978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A7659C"/>
    <w:multiLevelType w:val="hybridMultilevel"/>
    <w:tmpl w:val="A3267A76"/>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96602A"/>
    <w:multiLevelType w:val="hybridMultilevel"/>
    <w:tmpl w:val="CE3E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006B5"/>
    <w:multiLevelType w:val="hybridMultilevel"/>
    <w:tmpl w:val="D70EB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1275A"/>
    <w:multiLevelType w:val="hybridMultilevel"/>
    <w:tmpl w:val="87924B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DB019ED"/>
    <w:multiLevelType w:val="hybridMultilevel"/>
    <w:tmpl w:val="ABB4C006"/>
    <w:lvl w:ilvl="0" w:tplc="08090019">
      <w:start w:val="1"/>
      <w:numFmt w:val="lowerLetter"/>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0E74D4"/>
    <w:multiLevelType w:val="hybridMultilevel"/>
    <w:tmpl w:val="EE2CC7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45C0C01"/>
    <w:multiLevelType w:val="hybridMultilevel"/>
    <w:tmpl w:val="4EE62AA0"/>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F039DD"/>
    <w:multiLevelType w:val="hybridMultilevel"/>
    <w:tmpl w:val="401CEE8A"/>
    <w:lvl w:ilvl="0" w:tplc="08090019">
      <w:start w:val="1"/>
      <w:numFmt w:val="lowerLetter"/>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35571D"/>
    <w:multiLevelType w:val="hybridMultilevel"/>
    <w:tmpl w:val="70F4CBEC"/>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FB40A4"/>
    <w:multiLevelType w:val="multilevel"/>
    <w:tmpl w:val="E3CE03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9EEBC50"/>
    <w:multiLevelType w:val="hybridMultilevel"/>
    <w:tmpl w:val="0061CA4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lvlOverride w:ilvl="0">
      <w:startOverride w:val="1"/>
    </w:lvlOverride>
  </w:num>
  <w:num w:numId="2">
    <w:abstractNumId w:val="3"/>
  </w:num>
  <w:num w:numId="3">
    <w:abstractNumId w:val="5"/>
  </w:num>
  <w:num w:numId="4">
    <w:abstractNumId w:val="6"/>
  </w:num>
  <w:num w:numId="5">
    <w:abstractNumId w:val="14"/>
  </w:num>
  <w:num w:numId="6">
    <w:abstractNumId w:val="8"/>
  </w:num>
  <w:num w:numId="7">
    <w:abstractNumId w:val="16"/>
  </w:num>
  <w:num w:numId="8">
    <w:abstractNumId w:val="9"/>
  </w:num>
  <w:num w:numId="9">
    <w:abstractNumId w:val="0"/>
  </w:num>
  <w:num w:numId="10">
    <w:abstractNumId w:val="7"/>
  </w:num>
  <w:num w:numId="11">
    <w:abstractNumId w:val="10"/>
  </w:num>
  <w:num w:numId="12">
    <w:abstractNumId w:val="17"/>
  </w:num>
  <w:num w:numId="13">
    <w:abstractNumId w:val="15"/>
  </w:num>
  <w:num w:numId="14">
    <w:abstractNumId w:val="18"/>
  </w:num>
  <w:num w:numId="15">
    <w:abstractNumId w:val="4"/>
  </w:num>
  <w:num w:numId="16">
    <w:abstractNumId w:val="1"/>
  </w:num>
  <w:num w:numId="17">
    <w:abstractNumId w:val="11"/>
  </w:num>
  <w:num w:numId="18">
    <w:abstractNumId w:val="13"/>
  </w:num>
  <w:num w:numId="19">
    <w:abstractNumId w:val="2"/>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52FC"/>
    <w:rsid w:val="00002FCC"/>
    <w:rsid w:val="000156F0"/>
    <w:rsid w:val="00030477"/>
    <w:rsid w:val="00037213"/>
    <w:rsid w:val="000538FB"/>
    <w:rsid w:val="00056E4E"/>
    <w:rsid w:val="00057D47"/>
    <w:rsid w:val="00061847"/>
    <w:rsid w:val="00062B50"/>
    <w:rsid w:val="00070745"/>
    <w:rsid w:val="000760D2"/>
    <w:rsid w:val="00081984"/>
    <w:rsid w:val="00083C84"/>
    <w:rsid w:val="0008467E"/>
    <w:rsid w:val="00084C3B"/>
    <w:rsid w:val="00091F1E"/>
    <w:rsid w:val="000920FE"/>
    <w:rsid w:val="000953F5"/>
    <w:rsid w:val="000A0449"/>
    <w:rsid w:val="000A3D76"/>
    <w:rsid w:val="000B77E3"/>
    <w:rsid w:val="000C2D7A"/>
    <w:rsid w:val="000C5321"/>
    <w:rsid w:val="000C6D65"/>
    <w:rsid w:val="000D47EA"/>
    <w:rsid w:val="000D4FF7"/>
    <w:rsid w:val="000E17B9"/>
    <w:rsid w:val="000E5D41"/>
    <w:rsid w:val="000E7458"/>
    <w:rsid w:val="000F4148"/>
    <w:rsid w:val="00103D16"/>
    <w:rsid w:val="00106C80"/>
    <w:rsid w:val="001132D4"/>
    <w:rsid w:val="00126501"/>
    <w:rsid w:val="00130B57"/>
    <w:rsid w:val="00131770"/>
    <w:rsid w:val="001417ED"/>
    <w:rsid w:val="001809F0"/>
    <w:rsid w:val="001826D4"/>
    <w:rsid w:val="001904D6"/>
    <w:rsid w:val="001B0AD0"/>
    <w:rsid w:val="001C2E08"/>
    <w:rsid w:val="001C4C1E"/>
    <w:rsid w:val="001D5167"/>
    <w:rsid w:val="001E3415"/>
    <w:rsid w:val="001E4062"/>
    <w:rsid w:val="001E4604"/>
    <w:rsid w:val="001E607D"/>
    <w:rsid w:val="001E6AAE"/>
    <w:rsid w:val="001E70E2"/>
    <w:rsid w:val="001F7981"/>
    <w:rsid w:val="00200B5E"/>
    <w:rsid w:val="00200D8D"/>
    <w:rsid w:val="0022678B"/>
    <w:rsid w:val="00235411"/>
    <w:rsid w:val="00236363"/>
    <w:rsid w:val="002366A6"/>
    <w:rsid w:val="00260360"/>
    <w:rsid w:val="00267833"/>
    <w:rsid w:val="00270410"/>
    <w:rsid w:val="00277B72"/>
    <w:rsid w:val="0028014F"/>
    <w:rsid w:val="00283C0D"/>
    <w:rsid w:val="00284EAD"/>
    <w:rsid w:val="00286825"/>
    <w:rsid w:val="00291519"/>
    <w:rsid w:val="002A170B"/>
    <w:rsid w:val="002A1A4E"/>
    <w:rsid w:val="002B0CDC"/>
    <w:rsid w:val="002C144A"/>
    <w:rsid w:val="002C173F"/>
    <w:rsid w:val="002D185A"/>
    <w:rsid w:val="002E48BF"/>
    <w:rsid w:val="00317413"/>
    <w:rsid w:val="00321049"/>
    <w:rsid w:val="00322DC9"/>
    <w:rsid w:val="00324053"/>
    <w:rsid w:val="00324875"/>
    <w:rsid w:val="00331A09"/>
    <w:rsid w:val="0033328B"/>
    <w:rsid w:val="003343C8"/>
    <w:rsid w:val="00337A77"/>
    <w:rsid w:val="003545DA"/>
    <w:rsid w:val="003575C7"/>
    <w:rsid w:val="00360E22"/>
    <w:rsid w:val="00362C91"/>
    <w:rsid w:val="003664B8"/>
    <w:rsid w:val="00373CB3"/>
    <w:rsid w:val="00382DFB"/>
    <w:rsid w:val="003839B9"/>
    <w:rsid w:val="003909E1"/>
    <w:rsid w:val="0039142F"/>
    <w:rsid w:val="00397794"/>
    <w:rsid w:val="003A053F"/>
    <w:rsid w:val="003A2A22"/>
    <w:rsid w:val="003B608B"/>
    <w:rsid w:val="003B6613"/>
    <w:rsid w:val="003D1EB7"/>
    <w:rsid w:val="003D1F21"/>
    <w:rsid w:val="003D2018"/>
    <w:rsid w:val="003D3D24"/>
    <w:rsid w:val="003D6758"/>
    <w:rsid w:val="003D7C81"/>
    <w:rsid w:val="003E3D33"/>
    <w:rsid w:val="003E7B3E"/>
    <w:rsid w:val="003F4BFB"/>
    <w:rsid w:val="00400835"/>
    <w:rsid w:val="00400D37"/>
    <w:rsid w:val="00417986"/>
    <w:rsid w:val="00437427"/>
    <w:rsid w:val="0045361E"/>
    <w:rsid w:val="00456AEA"/>
    <w:rsid w:val="004579F0"/>
    <w:rsid w:val="004646CC"/>
    <w:rsid w:val="004662A8"/>
    <w:rsid w:val="0046796A"/>
    <w:rsid w:val="00471B2D"/>
    <w:rsid w:val="00474173"/>
    <w:rsid w:val="00481009"/>
    <w:rsid w:val="004865FE"/>
    <w:rsid w:val="0049748A"/>
    <w:rsid w:val="00497BAA"/>
    <w:rsid w:val="004A705E"/>
    <w:rsid w:val="004B516F"/>
    <w:rsid w:val="004B6BA6"/>
    <w:rsid w:val="004C10A6"/>
    <w:rsid w:val="004C3056"/>
    <w:rsid w:val="004C7174"/>
    <w:rsid w:val="004F051E"/>
    <w:rsid w:val="004F481E"/>
    <w:rsid w:val="00505211"/>
    <w:rsid w:val="00511433"/>
    <w:rsid w:val="00522856"/>
    <w:rsid w:val="00527B12"/>
    <w:rsid w:val="00532CEE"/>
    <w:rsid w:val="00533925"/>
    <w:rsid w:val="005454DD"/>
    <w:rsid w:val="005503EC"/>
    <w:rsid w:val="005577BC"/>
    <w:rsid w:val="00564813"/>
    <w:rsid w:val="00570031"/>
    <w:rsid w:val="0057664D"/>
    <w:rsid w:val="00596752"/>
    <w:rsid w:val="00597CB3"/>
    <w:rsid w:val="005A0327"/>
    <w:rsid w:val="005A1CE0"/>
    <w:rsid w:val="005B1675"/>
    <w:rsid w:val="005B1F36"/>
    <w:rsid w:val="005C0C06"/>
    <w:rsid w:val="005C6D6E"/>
    <w:rsid w:val="005D728B"/>
    <w:rsid w:val="005F5A1A"/>
    <w:rsid w:val="006019DD"/>
    <w:rsid w:val="006052FC"/>
    <w:rsid w:val="00606CCE"/>
    <w:rsid w:val="0061355E"/>
    <w:rsid w:val="006236B5"/>
    <w:rsid w:val="006237CC"/>
    <w:rsid w:val="006351A9"/>
    <w:rsid w:val="00642A95"/>
    <w:rsid w:val="00643BCB"/>
    <w:rsid w:val="00646429"/>
    <w:rsid w:val="00655330"/>
    <w:rsid w:val="006606CF"/>
    <w:rsid w:val="00666F90"/>
    <w:rsid w:val="00683246"/>
    <w:rsid w:val="0068712F"/>
    <w:rsid w:val="00692BF4"/>
    <w:rsid w:val="00692E1D"/>
    <w:rsid w:val="00696177"/>
    <w:rsid w:val="006A43B6"/>
    <w:rsid w:val="006B0890"/>
    <w:rsid w:val="006B14EC"/>
    <w:rsid w:val="006B309A"/>
    <w:rsid w:val="006C11CF"/>
    <w:rsid w:val="006C1A0B"/>
    <w:rsid w:val="006C5338"/>
    <w:rsid w:val="006C535E"/>
    <w:rsid w:val="006C671F"/>
    <w:rsid w:val="006C7CCC"/>
    <w:rsid w:val="006D7EB3"/>
    <w:rsid w:val="006E10F2"/>
    <w:rsid w:val="00700402"/>
    <w:rsid w:val="0070042A"/>
    <w:rsid w:val="007035C6"/>
    <w:rsid w:val="00703C41"/>
    <w:rsid w:val="007153C4"/>
    <w:rsid w:val="00732812"/>
    <w:rsid w:val="007440F7"/>
    <w:rsid w:val="00753133"/>
    <w:rsid w:val="00755F94"/>
    <w:rsid w:val="00772789"/>
    <w:rsid w:val="00776C03"/>
    <w:rsid w:val="00777A51"/>
    <w:rsid w:val="007804A2"/>
    <w:rsid w:val="00792F01"/>
    <w:rsid w:val="00793060"/>
    <w:rsid w:val="00796738"/>
    <w:rsid w:val="007A0679"/>
    <w:rsid w:val="007A68C3"/>
    <w:rsid w:val="007B60C8"/>
    <w:rsid w:val="007B6336"/>
    <w:rsid w:val="007C108A"/>
    <w:rsid w:val="007C7960"/>
    <w:rsid w:val="007D0A4B"/>
    <w:rsid w:val="007F11D3"/>
    <w:rsid w:val="007F144A"/>
    <w:rsid w:val="007F5882"/>
    <w:rsid w:val="007F5DB6"/>
    <w:rsid w:val="008009CA"/>
    <w:rsid w:val="00803938"/>
    <w:rsid w:val="00812C92"/>
    <w:rsid w:val="00820281"/>
    <w:rsid w:val="00820DB2"/>
    <w:rsid w:val="00820F28"/>
    <w:rsid w:val="00841719"/>
    <w:rsid w:val="00842384"/>
    <w:rsid w:val="00842EB3"/>
    <w:rsid w:val="00843D72"/>
    <w:rsid w:val="00855D27"/>
    <w:rsid w:val="00870A12"/>
    <w:rsid w:val="0087288C"/>
    <w:rsid w:val="008746FA"/>
    <w:rsid w:val="00877A38"/>
    <w:rsid w:val="008909A9"/>
    <w:rsid w:val="008A7ADB"/>
    <w:rsid w:val="008B49FE"/>
    <w:rsid w:val="008D0894"/>
    <w:rsid w:val="008E3359"/>
    <w:rsid w:val="008E495F"/>
    <w:rsid w:val="008F0F07"/>
    <w:rsid w:val="008F4912"/>
    <w:rsid w:val="008F495F"/>
    <w:rsid w:val="008F49A9"/>
    <w:rsid w:val="008F4EB4"/>
    <w:rsid w:val="009103CB"/>
    <w:rsid w:val="0092100C"/>
    <w:rsid w:val="00923F2F"/>
    <w:rsid w:val="009264B8"/>
    <w:rsid w:val="00945CD1"/>
    <w:rsid w:val="00950B67"/>
    <w:rsid w:val="0097399B"/>
    <w:rsid w:val="0098053E"/>
    <w:rsid w:val="00991648"/>
    <w:rsid w:val="0099198F"/>
    <w:rsid w:val="009928E8"/>
    <w:rsid w:val="009A386B"/>
    <w:rsid w:val="009A63F3"/>
    <w:rsid w:val="009C3145"/>
    <w:rsid w:val="009C47A3"/>
    <w:rsid w:val="009D2BEE"/>
    <w:rsid w:val="009D4995"/>
    <w:rsid w:val="009E15C3"/>
    <w:rsid w:val="009E5A93"/>
    <w:rsid w:val="009F199C"/>
    <w:rsid w:val="009F7911"/>
    <w:rsid w:val="00A04964"/>
    <w:rsid w:val="00A05A71"/>
    <w:rsid w:val="00A11E30"/>
    <w:rsid w:val="00A23C7A"/>
    <w:rsid w:val="00A26D3A"/>
    <w:rsid w:val="00A26E04"/>
    <w:rsid w:val="00A2741F"/>
    <w:rsid w:val="00A30A60"/>
    <w:rsid w:val="00A320B5"/>
    <w:rsid w:val="00A369FD"/>
    <w:rsid w:val="00A42254"/>
    <w:rsid w:val="00A43513"/>
    <w:rsid w:val="00A53F68"/>
    <w:rsid w:val="00A55102"/>
    <w:rsid w:val="00A65468"/>
    <w:rsid w:val="00A67682"/>
    <w:rsid w:val="00A76F72"/>
    <w:rsid w:val="00A822CD"/>
    <w:rsid w:val="00A8275E"/>
    <w:rsid w:val="00A861B5"/>
    <w:rsid w:val="00A935A0"/>
    <w:rsid w:val="00A94A54"/>
    <w:rsid w:val="00A94BC9"/>
    <w:rsid w:val="00AA2F4C"/>
    <w:rsid w:val="00AB3A1A"/>
    <w:rsid w:val="00AB3FC7"/>
    <w:rsid w:val="00AC3552"/>
    <w:rsid w:val="00AD0E30"/>
    <w:rsid w:val="00AD42F8"/>
    <w:rsid w:val="00AE0D2B"/>
    <w:rsid w:val="00AE25DD"/>
    <w:rsid w:val="00AE7968"/>
    <w:rsid w:val="00AF4810"/>
    <w:rsid w:val="00AF64C2"/>
    <w:rsid w:val="00AF6D94"/>
    <w:rsid w:val="00AF7B67"/>
    <w:rsid w:val="00AF7C9A"/>
    <w:rsid w:val="00B0377E"/>
    <w:rsid w:val="00B0446D"/>
    <w:rsid w:val="00B12FA3"/>
    <w:rsid w:val="00B1620A"/>
    <w:rsid w:val="00B163BA"/>
    <w:rsid w:val="00B16F25"/>
    <w:rsid w:val="00B20A47"/>
    <w:rsid w:val="00B2130B"/>
    <w:rsid w:val="00B279B5"/>
    <w:rsid w:val="00B33785"/>
    <w:rsid w:val="00B34CDC"/>
    <w:rsid w:val="00B35573"/>
    <w:rsid w:val="00B3641D"/>
    <w:rsid w:val="00B41763"/>
    <w:rsid w:val="00B50DC6"/>
    <w:rsid w:val="00B51691"/>
    <w:rsid w:val="00B52FB9"/>
    <w:rsid w:val="00B57663"/>
    <w:rsid w:val="00B62CC7"/>
    <w:rsid w:val="00B66041"/>
    <w:rsid w:val="00B679EC"/>
    <w:rsid w:val="00B7447E"/>
    <w:rsid w:val="00B82BC9"/>
    <w:rsid w:val="00B90711"/>
    <w:rsid w:val="00BA19B9"/>
    <w:rsid w:val="00BA1AB0"/>
    <w:rsid w:val="00BC4695"/>
    <w:rsid w:val="00BC76F2"/>
    <w:rsid w:val="00BE1E5B"/>
    <w:rsid w:val="00BE2A66"/>
    <w:rsid w:val="00BE2C99"/>
    <w:rsid w:val="00BF554D"/>
    <w:rsid w:val="00C104A1"/>
    <w:rsid w:val="00C1533D"/>
    <w:rsid w:val="00C17790"/>
    <w:rsid w:val="00C219AC"/>
    <w:rsid w:val="00C32923"/>
    <w:rsid w:val="00C477AD"/>
    <w:rsid w:val="00C503D3"/>
    <w:rsid w:val="00C52591"/>
    <w:rsid w:val="00C5374A"/>
    <w:rsid w:val="00C678A4"/>
    <w:rsid w:val="00C71B11"/>
    <w:rsid w:val="00C71BF4"/>
    <w:rsid w:val="00C80502"/>
    <w:rsid w:val="00C8094E"/>
    <w:rsid w:val="00C81E85"/>
    <w:rsid w:val="00C82113"/>
    <w:rsid w:val="00C84A17"/>
    <w:rsid w:val="00C86D39"/>
    <w:rsid w:val="00C9438F"/>
    <w:rsid w:val="00CA13F7"/>
    <w:rsid w:val="00CA1B62"/>
    <w:rsid w:val="00CA625A"/>
    <w:rsid w:val="00CC430B"/>
    <w:rsid w:val="00CE2934"/>
    <w:rsid w:val="00D04DE1"/>
    <w:rsid w:val="00D057AD"/>
    <w:rsid w:val="00D120C9"/>
    <w:rsid w:val="00D15127"/>
    <w:rsid w:val="00D154A5"/>
    <w:rsid w:val="00D15D28"/>
    <w:rsid w:val="00D21709"/>
    <w:rsid w:val="00D35BFC"/>
    <w:rsid w:val="00D43E21"/>
    <w:rsid w:val="00D471D5"/>
    <w:rsid w:val="00D54C65"/>
    <w:rsid w:val="00D5666A"/>
    <w:rsid w:val="00D7091A"/>
    <w:rsid w:val="00D73192"/>
    <w:rsid w:val="00D81B12"/>
    <w:rsid w:val="00D90B68"/>
    <w:rsid w:val="00D9327C"/>
    <w:rsid w:val="00DB1CFE"/>
    <w:rsid w:val="00DC277C"/>
    <w:rsid w:val="00DD0963"/>
    <w:rsid w:val="00DD3662"/>
    <w:rsid w:val="00DD661B"/>
    <w:rsid w:val="00DE0C39"/>
    <w:rsid w:val="00DE4475"/>
    <w:rsid w:val="00DE5E0A"/>
    <w:rsid w:val="00E03D68"/>
    <w:rsid w:val="00E135A2"/>
    <w:rsid w:val="00E1401A"/>
    <w:rsid w:val="00E14628"/>
    <w:rsid w:val="00E14AC1"/>
    <w:rsid w:val="00E1651E"/>
    <w:rsid w:val="00E26C3B"/>
    <w:rsid w:val="00E310C8"/>
    <w:rsid w:val="00E34989"/>
    <w:rsid w:val="00E3740A"/>
    <w:rsid w:val="00E37AA8"/>
    <w:rsid w:val="00E47148"/>
    <w:rsid w:val="00E6039D"/>
    <w:rsid w:val="00E612B7"/>
    <w:rsid w:val="00E62991"/>
    <w:rsid w:val="00E65FE5"/>
    <w:rsid w:val="00E661D9"/>
    <w:rsid w:val="00E664DB"/>
    <w:rsid w:val="00E67B4D"/>
    <w:rsid w:val="00E67C10"/>
    <w:rsid w:val="00E76A8C"/>
    <w:rsid w:val="00EA1ED7"/>
    <w:rsid w:val="00EA696A"/>
    <w:rsid w:val="00EA74A9"/>
    <w:rsid w:val="00EA7F97"/>
    <w:rsid w:val="00EB1CE4"/>
    <w:rsid w:val="00EB6697"/>
    <w:rsid w:val="00EC7618"/>
    <w:rsid w:val="00EC7C40"/>
    <w:rsid w:val="00EE0402"/>
    <w:rsid w:val="00EE4C1E"/>
    <w:rsid w:val="00EF04EC"/>
    <w:rsid w:val="00EF35AD"/>
    <w:rsid w:val="00EF4C65"/>
    <w:rsid w:val="00F003A6"/>
    <w:rsid w:val="00F05CEB"/>
    <w:rsid w:val="00F060EF"/>
    <w:rsid w:val="00F11B0C"/>
    <w:rsid w:val="00F22E0D"/>
    <w:rsid w:val="00F2401F"/>
    <w:rsid w:val="00F241E8"/>
    <w:rsid w:val="00F2616E"/>
    <w:rsid w:val="00F26F63"/>
    <w:rsid w:val="00F27B35"/>
    <w:rsid w:val="00F42EB8"/>
    <w:rsid w:val="00F4500C"/>
    <w:rsid w:val="00F45102"/>
    <w:rsid w:val="00F506F1"/>
    <w:rsid w:val="00F563CC"/>
    <w:rsid w:val="00F64366"/>
    <w:rsid w:val="00F71081"/>
    <w:rsid w:val="00F80C5A"/>
    <w:rsid w:val="00F8120E"/>
    <w:rsid w:val="00F91F0F"/>
    <w:rsid w:val="00F94050"/>
    <w:rsid w:val="00F94F04"/>
    <w:rsid w:val="00F97FE7"/>
    <w:rsid w:val="00FA3FB1"/>
    <w:rsid w:val="00FA6A93"/>
    <w:rsid w:val="00FB49EE"/>
    <w:rsid w:val="00FD401D"/>
    <w:rsid w:val="00FE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AF45C984-1549-450D-B971-44A8584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C3"/>
    <w:pPr>
      <w:spacing w:line="280" w:lineRule="exact"/>
    </w:pPr>
    <w:rPr>
      <w:rFonts w:ascii="Arial" w:hAnsi="Arial" w:cs="Arial"/>
    </w:rPr>
  </w:style>
  <w:style w:type="paragraph" w:styleId="Heading1">
    <w:name w:val="heading 1"/>
    <w:basedOn w:val="Normal"/>
    <w:next w:val="Text"/>
    <w:link w:val="Heading1Char"/>
    <w:uiPriority w:val="99"/>
    <w:qFormat/>
    <w:rsid w:val="00D9327C"/>
    <w:pPr>
      <w:keepNext/>
      <w:pageBreakBefore/>
      <w:spacing w:after="851" w:line="240" w:lineRule="auto"/>
      <w:outlineLvl w:val="0"/>
    </w:pPr>
    <w:rPr>
      <w:rFonts w:cs="Times New Roman"/>
      <w:b/>
      <w:sz w:val="28"/>
      <w:szCs w:val="20"/>
    </w:rPr>
  </w:style>
  <w:style w:type="paragraph" w:styleId="Heading2">
    <w:name w:val="heading 2"/>
    <w:basedOn w:val="Heading1"/>
    <w:next w:val="Text"/>
    <w:link w:val="Heading2Char"/>
    <w:uiPriority w:val="99"/>
    <w:qFormat/>
    <w:rsid w:val="00732812"/>
    <w:pPr>
      <w:outlineLvl w:val="1"/>
    </w:pPr>
    <w:rPr>
      <w:b w:val="0"/>
    </w:rPr>
  </w:style>
  <w:style w:type="paragraph" w:styleId="Heading3">
    <w:name w:val="heading 3"/>
    <w:basedOn w:val="Heading1"/>
    <w:next w:val="Text"/>
    <w:link w:val="Heading3Char"/>
    <w:uiPriority w:val="99"/>
    <w:qFormat/>
    <w:rsid w:val="00732812"/>
    <w:pPr>
      <w:outlineLvl w:val="2"/>
    </w:pPr>
    <w:rPr>
      <w:b w:val="0"/>
      <w:sz w:val="24"/>
    </w:rPr>
  </w:style>
  <w:style w:type="paragraph" w:styleId="Heading4">
    <w:name w:val="heading 4"/>
    <w:basedOn w:val="Heading1"/>
    <w:next w:val="Text"/>
    <w:link w:val="Heading4Char"/>
    <w:uiPriority w:val="99"/>
    <w:qFormat/>
    <w:rsid w:val="006351A9"/>
    <w:pPr>
      <w:outlineLvl w:val="3"/>
    </w:pPr>
    <w:rPr>
      <w:b w:val="0"/>
      <w:sz w:val="24"/>
    </w:rPr>
  </w:style>
  <w:style w:type="paragraph" w:styleId="Heading5">
    <w:name w:val="heading 5"/>
    <w:basedOn w:val="Heading1"/>
    <w:next w:val="Text"/>
    <w:link w:val="Heading5Char"/>
    <w:uiPriority w:val="99"/>
    <w:qFormat/>
    <w:rsid w:val="006351A9"/>
    <w:pPr>
      <w:outlineLvl w:val="4"/>
    </w:pPr>
    <w:rPr>
      <w:b w:val="0"/>
      <w:sz w:val="24"/>
    </w:rPr>
  </w:style>
  <w:style w:type="paragraph" w:styleId="Heading6">
    <w:name w:val="heading 6"/>
    <w:basedOn w:val="Heading1"/>
    <w:next w:val="Text"/>
    <w:link w:val="Heading6Char"/>
    <w:uiPriority w:val="99"/>
    <w:qFormat/>
    <w:rsid w:val="006351A9"/>
    <w:pPr>
      <w:spacing w:before="10280" w:after="0"/>
      <w:outlineLvl w:val="5"/>
    </w:pPr>
    <w:rPr>
      <w:b w:val="0"/>
      <w:sz w:val="24"/>
    </w:rPr>
  </w:style>
  <w:style w:type="paragraph" w:styleId="Heading7">
    <w:name w:val="heading 7"/>
    <w:basedOn w:val="Normal"/>
    <w:next w:val="Text"/>
    <w:link w:val="Heading7Char"/>
    <w:uiPriority w:val="99"/>
    <w:qFormat/>
    <w:rsid w:val="005D728B"/>
    <w:pPr>
      <w:keepNext/>
      <w:spacing w:line="240" w:lineRule="auto"/>
      <w:outlineLvl w:val="6"/>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DE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1D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41DE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41DE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1DE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1DE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1DE0"/>
    <w:rPr>
      <w:rFonts w:asciiTheme="minorHAnsi" w:eastAsiaTheme="minorEastAsia" w:hAnsiTheme="minorHAnsi" w:cstheme="minorBidi"/>
      <w:sz w:val="24"/>
      <w:szCs w:val="24"/>
    </w:rPr>
  </w:style>
  <w:style w:type="character" w:customStyle="1" w:styleId="TextChar">
    <w:name w:val="Text Char"/>
    <w:basedOn w:val="DefaultParagraphFont"/>
    <w:link w:val="Text"/>
    <w:uiPriority w:val="99"/>
    <w:locked/>
    <w:rsid w:val="00BE1E5B"/>
    <w:rPr>
      <w:rFonts w:ascii="Arial" w:hAnsi="Arial" w:cs="Times New Roman"/>
      <w:sz w:val="22"/>
      <w:lang w:val="en-GB" w:eastAsia="en-GB" w:bidi="ar-SA"/>
    </w:rPr>
  </w:style>
  <w:style w:type="paragraph" w:styleId="TOC1">
    <w:name w:val="toc 1"/>
    <w:basedOn w:val="Normal"/>
    <w:uiPriority w:val="39"/>
    <w:rsid w:val="00322DC9"/>
    <w:pPr>
      <w:tabs>
        <w:tab w:val="right" w:pos="7655"/>
      </w:tabs>
      <w:spacing w:after="120" w:line="240" w:lineRule="auto"/>
    </w:pPr>
    <w:rPr>
      <w:rFonts w:cs="Times New Roman"/>
      <w:szCs w:val="20"/>
    </w:rPr>
  </w:style>
  <w:style w:type="paragraph" w:customStyle="1" w:styleId="Heading-contents">
    <w:name w:val="Heading - contents"/>
    <w:basedOn w:val="Heading1"/>
    <w:next w:val="Text"/>
    <w:uiPriority w:val="99"/>
    <w:rsid w:val="00130B57"/>
  </w:style>
  <w:style w:type="paragraph" w:customStyle="1" w:styleId="Textnumbered">
    <w:name w:val="Text numbered"/>
    <w:uiPriority w:val="99"/>
    <w:rsid w:val="005D728B"/>
    <w:pPr>
      <w:numPr>
        <w:numId w:val="4"/>
      </w:numPr>
      <w:spacing w:after="240"/>
    </w:pPr>
    <w:rPr>
      <w:rFonts w:ascii="Arial" w:hAnsi="Arial"/>
      <w:szCs w:val="20"/>
    </w:rPr>
  </w:style>
  <w:style w:type="paragraph" w:customStyle="1" w:styleId="Bulletundernumberedtext">
    <w:name w:val="Bullet (under numbered text)"/>
    <w:uiPriority w:val="99"/>
    <w:rsid w:val="00F64366"/>
    <w:pPr>
      <w:numPr>
        <w:numId w:val="2"/>
      </w:numPr>
      <w:spacing w:after="240"/>
    </w:pPr>
    <w:rPr>
      <w:rFonts w:ascii="Arial" w:hAnsi="Arial"/>
      <w:szCs w:val="20"/>
    </w:rPr>
  </w:style>
  <w:style w:type="paragraph" w:styleId="Title">
    <w:name w:val="Title"/>
    <w:basedOn w:val="Normal"/>
    <w:link w:val="TitleChar"/>
    <w:uiPriority w:val="99"/>
    <w:qFormat/>
    <w:rsid w:val="00D73192"/>
    <w:pPr>
      <w:spacing w:before="1800" w:after="120" w:line="240" w:lineRule="auto"/>
      <w:outlineLvl w:val="0"/>
    </w:pPr>
    <w:rPr>
      <w:rFonts w:cs="Times New Roman"/>
      <w:b/>
      <w:sz w:val="36"/>
      <w:szCs w:val="20"/>
    </w:rPr>
  </w:style>
  <w:style w:type="character" w:customStyle="1" w:styleId="TitleChar">
    <w:name w:val="Title Char"/>
    <w:basedOn w:val="DefaultParagraphFont"/>
    <w:link w:val="Title"/>
    <w:uiPriority w:val="10"/>
    <w:rsid w:val="00241DE0"/>
    <w:rPr>
      <w:rFonts w:asciiTheme="majorHAnsi" w:eastAsiaTheme="majorEastAsia" w:hAnsiTheme="majorHAnsi" w:cstheme="majorBidi"/>
      <w:b/>
      <w:bCs/>
      <w:kern w:val="28"/>
      <w:sz w:val="32"/>
      <w:szCs w:val="32"/>
    </w:rPr>
  </w:style>
  <w:style w:type="paragraph" w:customStyle="1" w:styleId="Title-subtitle">
    <w:name w:val="Title - subtitle"/>
    <w:basedOn w:val="Title"/>
    <w:uiPriority w:val="99"/>
    <w:rsid w:val="00D73192"/>
    <w:pPr>
      <w:spacing w:before="100" w:beforeAutospacing="1" w:after="0"/>
    </w:pPr>
    <w:rPr>
      <w:b w:val="0"/>
    </w:rPr>
  </w:style>
  <w:style w:type="paragraph" w:customStyle="1" w:styleId="Bulletundertext">
    <w:name w:val="Bullet (under text)"/>
    <w:uiPriority w:val="99"/>
    <w:rsid w:val="00F64366"/>
    <w:pPr>
      <w:numPr>
        <w:numId w:val="3"/>
      </w:numPr>
      <w:spacing w:after="240"/>
    </w:pPr>
    <w:rPr>
      <w:rFonts w:ascii="Arial" w:hAnsi="Arial"/>
      <w:szCs w:val="20"/>
    </w:rPr>
  </w:style>
  <w:style w:type="paragraph" w:customStyle="1" w:styleId="Sub-heading">
    <w:name w:val="Sub-heading"/>
    <w:next w:val="Text"/>
    <w:uiPriority w:val="99"/>
    <w:rsid w:val="007D0A4B"/>
    <w:pPr>
      <w:keepNext/>
      <w:spacing w:before="120" w:after="120"/>
    </w:pPr>
    <w:rPr>
      <w:rFonts w:ascii="Arial Bold" w:hAnsi="Arial Bold"/>
      <w:b/>
      <w:sz w:val="24"/>
      <w:szCs w:val="20"/>
      <w:lang w:eastAsia="en-US"/>
    </w:rPr>
  </w:style>
  <w:style w:type="paragraph" w:customStyle="1" w:styleId="Covertitle">
    <w:name w:val="Cover title"/>
    <w:uiPriority w:val="99"/>
    <w:rsid w:val="00002FCC"/>
    <w:rPr>
      <w:rFonts w:ascii="Arial" w:hAnsi="Arial"/>
      <w:b/>
      <w:sz w:val="52"/>
      <w:szCs w:val="20"/>
    </w:rPr>
  </w:style>
  <w:style w:type="table" w:styleId="TableGrid">
    <w:name w:val="Table Grid"/>
    <w:basedOn w:val="TableNormal"/>
    <w:uiPriority w:val="99"/>
    <w:rsid w:val="005D728B"/>
    <w:rPr>
      <w:rFonts w:ascii="Arial" w:hAnsi="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rsid w:val="003A053F"/>
    <w:pPr>
      <w:spacing w:line="360" w:lineRule="exact"/>
    </w:pPr>
    <w:rPr>
      <w:rFonts w:ascii="Arial" w:hAnsi="Arial"/>
      <w:sz w:val="24"/>
      <w:szCs w:val="24"/>
    </w:rPr>
  </w:style>
  <w:style w:type="paragraph" w:styleId="Header">
    <w:name w:val="header"/>
    <w:basedOn w:val="Text"/>
    <w:link w:val="HeaderChar"/>
    <w:uiPriority w:val="99"/>
    <w:rsid w:val="007C7960"/>
    <w:rPr>
      <w:b/>
      <w:sz w:val="18"/>
    </w:rPr>
  </w:style>
  <w:style w:type="character" w:customStyle="1" w:styleId="HeaderChar">
    <w:name w:val="Header Char"/>
    <w:basedOn w:val="DefaultParagraphFont"/>
    <w:link w:val="Header"/>
    <w:uiPriority w:val="99"/>
    <w:semiHidden/>
    <w:rsid w:val="00241DE0"/>
    <w:rPr>
      <w:rFonts w:ascii="Arial" w:hAnsi="Arial" w:cs="Arial"/>
    </w:rPr>
  </w:style>
  <w:style w:type="paragraph" w:styleId="Footer">
    <w:name w:val="footer"/>
    <w:basedOn w:val="Text"/>
    <w:link w:val="FooterChar"/>
    <w:uiPriority w:val="99"/>
    <w:rsid w:val="00C81E85"/>
    <w:pPr>
      <w:spacing w:after="0"/>
      <w:jc w:val="center"/>
    </w:pPr>
    <w:rPr>
      <w:sz w:val="18"/>
    </w:rPr>
  </w:style>
  <w:style w:type="character" w:customStyle="1" w:styleId="FooterChar">
    <w:name w:val="Footer Char"/>
    <w:basedOn w:val="DefaultParagraphFont"/>
    <w:link w:val="Footer"/>
    <w:uiPriority w:val="99"/>
    <w:semiHidden/>
    <w:rsid w:val="00241DE0"/>
    <w:rPr>
      <w:rFonts w:ascii="Arial" w:hAnsi="Arial" w:cs="Arial"/>
    </w:rPr>
  </w:style>
  <w:style w:type="paragraph" w:customStyle="1" w:styleId="StyleCovertitleArial26ptNotBold">
    <w:name w:val="Style Cover title + Arial 26 pt Not Bold"/>
    <w:basedOn w:val="Covertitle"/>
    <w:uiPriority w:val="99"/>
    <w:rsid w:val="00322DC9"/>
    <w:rPr>
      <w:b w:val="0"/>
      <w:sz w:val="48"/>
    </w:rPr>
  </w:style>
  <w:style w:type="paragraph" w:customStyle="1" w:styleId="Text">
    <w:name w:val="Text"/>
    <w:link w:val="TextChar"/>
    <w:uiPriority w:val="99"/>
    <w:rsid w:val="00D9327C"/>
    <w:pPr>
      <w:spacing w:after="240"/>
    </w:pPr>
    <w:rPr>
      <w:rFonts w:ascii="Arial" w:hAnsi="Arial"/>
      <w:szCs w:val="20"/>
    </w:rPr>
  </w:style>
  <w:style w:type="paragraph" w:customStyle="1" w:styleId="Textindented">
    <w:name w:val="Text indented"/>
    <w:uiPriority w:val="99"/>
    <w:rsid w:val="00D9327C"/>
    <w:pPr>
      <w:spacing w:after="240"/>
      <w:ind w:left="357"/>
    </w:pPr>
    <w:rPr>
      <w:rFonts w:ascii="Arial" w:hAnsi="Arial"/>
      <w:szCs w:val="20"/>
      <w:lang w:eastAsia="en-US"/>
    </w:rPr>
  </w:style>
  <w:style w:type="paragraph" w:customStyle="1" w:styleId="StyleTopSinglesolidlineAuto05ptLinewidth">
    <w:name w:val="Style Top: (Single solid line Auto  0.5 pt Line width)"/>
    <w:basedOn w:val="Text"/>
    <w:uiPriority w:val="99"/>
    <w:rsid w:val="005D728B"/>
    <w:pPr>
      <w:pBdr>
        <w:top w:val="single" w:sz="4" w:space="1" w:color="auto"/>
      </w:pBdr>
    </w:pPr>
  </w:style>
  <w:style w:type="character" w:styleId="Hyperlink">
    <w:name w:val="Hyperlink"/>
    <w:basedOn w:val="DefaultParagraphFont"/>
    <w:uiPriority w:val="99"/>
    <w:rsid w:val="00BE1E5B"/>
    <w:rPr>
      <w:rFonts w:ascii="Arial" w:hAnsi="Arial" w:cs="Times New Roman"/>
      <w:color w:val="auto"/>
      <w:u w:val="none"/>
    </w:rPr>
  </w:style>
  <w:style w:type="character" w:styleId="CommentReference">
    <w:name w:val="annotation reference"/>
    <w:basedOn w:val="DefaultParagraphFont"/>
    <w:uiPriority w:val="99"/>
    <w:semiHidden/>
    <w:rsid w:val="00324875"/>
    <w:rPr>
      <w:rFonts w:cs="Times New Roman"/>
      <w:sz w:val="16"/>
      <w:szCs w:val="16"/>
    </w:rPr>
  </w:style>
  <w:style w:type="paragraph" w:styleId="CommentText">
    <w:name w:val="annotation text"/>
    <w:basedOn w:val="Normal"/>
    <w:link w:val="CommentTextChar"/>
    <w:uiPriority w:val="99"/>
    <w:semiHidden/>
    <w:rsid w:val="00324875"/>
    <w:rPr>
      <w:sz w:val="20"/>
      <w:szCs w:val="20"/>
    </w:rPr>
  </w:style>
  <w:style w:type="character" w:customStyle="1" w:styleId="CommentTextChar">
    <w:name w:val="Comment Text Char"/>
    <w:basedOn w:val="DefaultParagraphFont"/>
    <w:link w:val="CommentText"/>
    <w:uiPriority w:val="99"/>
    <w:semiHidden/>
    <w:rsid w:val="00241DE0"/>
    <w:rPr>
      <w:rFonts w:ascii="Arial" w:hAnsi="Arial" w:cs="Arial"/>
      <w:sz w:val="20"/>
      <w:szCs w:val="20"/>
    </w:rPr>
  </w:style>
  <w:style w:type="paragraph" w:styleId="CommentSubject">
    <w:name w:val="annotation subject"/>
    <w:basedOn w:val="CommentText"/>
    <w:next w:val="CommentText"/>
    <w:link w:val="CommentSubjectChar"/>
    <w:uiPriority w:val="99"/>
    <w:semiHidden/>
    <w:rsid w:val="00324875"/>
    <w:rPr>
      <w:b/>
      <w:bCs/>
    </w:rPr>
  </w:style>
  <w:style w:type="character" w:customStyle="1" w:styleId="CommentSubjectChar">
    <w:name w:val="Comment Subject Char"/>
    <w:basedOn w:val="CommentTextChar"/>
    <w:link w:val="CommentSubject"/>
    <w:uiPriority w:val="99"/>
    <w:semiHidden/>
    <w:rsid w:val="00241DE0"/>
    <w:rPr>
      <w:rFonts w:ascii="Arial" w:hAnsi="Arial" w:cs="Arial"/>
      <w:b/>
      <w:bCs/>
      <w:sz w:val="20"/>
      <w:szCs w:val="20"/>
    </w:rPr>
  </w:style>
  <w:style w:type="paragraph" w:styleId="BalloonText">
    <w:name w:val="Balloon Text"/>
    <w:basedOn w:val="Normal"/>
    <w:link w:val="BalloonTextChar"/>
    <w:uiPriority w:val="99"/>
    <w:semiHidden/>
    <w:rsid w:val="00324875"/>
    <w:rPr>
      <w:rFonts w:ascii="Tahoma" w:hAnsi="Tahoma" w:cs="Tahoma"/>
      <w:sz w:val="16"/>
      <w:szCs w:val="16"/>
    </w:rPr>
  </w:style>
  <w:style w:type="character" w:customStyle="1" w:styleId="BalloonTextChar">
    <w:name w:val="Balloon Text Char"/>
    <w:basedOn w:val="DefaultParagraphFont"/>
    <w:link w:val="BalloonText"/>
    <w:uiPriority w:val="99"/>
    <w:semiHidden/>
    <w:rsid w:val="00241DE0"/>
    <w:rPr>
      <w:rFonts w:cs="Arial"/>
      <w:sz w:val="0"/>
      <w:szCs w:val="0"/>
    </w:rPr>
  </w:style>
  <w:style w:type="paragraph" w:styleId="FootnoteText">
    <w:name w:val="footnote text"/>
    <w:basedOn w:val="Normal"/>
    <w:link w:val="FootnoteTextChar"/>
    <w:uiPriority w:val="99"/>
    <w:semiHidden/>
    <w:rsid w:val="007F5DB6"/>
    <w:rPr>
      <w:sz w:val="20"/>
      <w:szCs w:val="20"/>
    </w:rPr>
  </w:style>
  <w:style w:type="character" w:customStyle="1" w:styleId="FootnoteTextChar">
    <w:name w:val="Footnote Text Char"/>
    <w:basedOn w:val="DefaultParagraphFont"/>
    <w:link w:val="FootnoteText"/>
    <w:uiPriority w:val="99"/>
    <w:semiHidden/>
    <w:rsid w:val="00241DE0"/>
    <w:rPr>
      <w:rFonts w:ascii="Arial" w:hAnsi="Arial" w:cs="Arial"/>
      <w:sz w:val="20"/>
      <w:szCs w:val="20"/>
    </w:rPr>
  </w:style>
  <w:style w:type="character" w:styleId="FootnoteReference">
    <w:name w:val="footnote reference"/>
    <w:basedOn w:val="DefaultParagraphFont"/>
    <w:uiPriority w:val="99"/>
    <w:semiHidden/>
    <w:rsid w:val="007F5DB6"/>
    <w:rPr>
      <w:rFonts w:cs="Times New Roman"/>
      <w:vertAlign w:val="superscript"/>
    </w:rPr>
  </w:style>
  <w:style w:type="character" w:styleId="FollowedHyperlink">
    <w:name w:val="FollowedHyperlink"/>
    <w:basedOn w:val="DefaultParagraphFont"/>
    <w:uiPriority w:val="99"/>
    <w:rsid w:val="005B1675"/>
    <w:rPr>
      <w:rFonts w:cs="Times New Roman"/>
      <w:color w:val="800080"/>
      <w:u w:val="single"/>
    </w:rPr>
  </w:style>
  <w:style w:type="paragraph" w:customStyle="1" w:styleId="Default">
    <w:name w:val="Default"/>
    <w:uiPriority w:val="99"/>
    <w:rsid w:val="00BC76F2"/>
    <w:pPr>
      <w:autoSpaceDE w:val="0"/>
      <w:autoSpaceDN w:val="0"/>
      <w:adjustRightInd w:val="0"/>
    </w:pPr>
    <w:rPr>
      <w:rFonts w:ascii="Arial" w:hAnsi="Arial" w:cs="Arial"/>
      <w:color w:val="000000"/>
      <w:sz w:val="24"/>
      <w:szCs w:val="24"/>
    </w:rPr>
  </w:style>
  <w:style w:type="paragraph" w:customStyle="1" w:styleId="Numberedtext">
    <w:name w:val="Numbered text"/>
    <w:uiPriority w:val="99"/>
    <w:rsid w:val="008F4912"/>
    <w:pPr>
      <w:tabs>
        <w:tab w:val="num" w:pos="360"/>
      </w:tabs>
      <w:spacing w:after="240" w:line="280" w:lineRule="exact"/>
      <w:ind w:left="360" w:hanging="360"/>
    </w:pPr>
    <w:rPr>
      <w:rFonts w:ascii="Arial" w:hAnsi="Arial"/>
      <w:szCs w:val="20"/>
    </w:rPr>
  </w:style>
  <w:style w:type="paragraph" w:customStyle="1" w:styleId="Normal1">
    <w:name w:val="Normal1"/>
    <w:uiPriority w:val="99"/>
    <w:rsid w:val="00200B5E"/>
    <w:pPr>
      <w:spacing w:line="276" w:lineRule="auto"/>
    </w:pPr>
    <w:rPr>
      <w:rFonts w:ascii="Arial" w:hAnsi="Arial" w:cs="Arial"/>
      <w:color w:val="000000"/>
      <w:szCs w:val="20"/>
    </w:rPr>
  </w:style>
  <w:style w:type="paragraph" w:styleId="NormalWeb">
    <w:name w:val="Normal (Web)"/>
    <w:basedOn w:val="Normal"/>
    <w:uiPriority w:val="99"/>
    <w:rsid w:val="00532CEE"/>
    <w:pPr>
      <w:spacing w:before="100" w:beforeAutospacing="1" w:after="100" w:afterAutospacing="1" w:line="240" w:lineRule="auto"/>
    </w:pPr>
    <w:rPr>
      <w:rFonts w:ascii="Times New Roman" w:hAnsi="Times New Roman" w:cs="Times New Roman"/>
      <w:sz w:val="24"/>
      <w:szCs w:val="24"/>
    </w:rPr>
  </w:style>
  <w:style w:type="paragraph" w:customStyle="1" w:styleId="Bulletundernormaltext">
    <w:name w:val="Bullet (under normal text)"/>
    <w:uiPriority w:val="99"/>
    <w:rsid w:val="00E14628"/>
    <w:pPr>
      <w:tabs>
        <w:tab w:val="left" w:pos="454"/>
      </w:tabs>
    </w:pPr>
    <w:rPr>
      <w:rFonts w:eastAsia="ヒラギノ角ゴ Pro W3"/>
      <w:color w:val="000000"/>
      <w:sz w:val="24"/>
      <w:szCs w:val="20"/>
    </w:rPr>
  </w:style>
  <w:style w:type="paragraph" w:styleId="DocumentMap">
    <w:name w:val="Document Map"/>
    <w:basedOn w:val="Normal"/>
    <w:link w:val="DocumentMapChar"/>
    <w:uiPriority w:val="99"/>
    <w:semiHidden/>
    <w:unhideWhenUsed/>
    <w:rsid w:val="00F003A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0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53119">
      <w:marLeft w:val="0"/>
      <w:marRight w:val="0"/>
      <w:marTop w:val="0"/>
      <w:marBottom w:val="0"/>
      <w:divBdr>
        <w:top w:val="none" w:sz="0" w:space="0" w:color="auto"/>
        <w:left w:val="none" w:sz="0" w:space="0" w:color="auto"/>
        <w:bottom w:val="none" w:sz="0" w:space="0" w:color="auto"/>
        <w:right w:val="none" w:sz="0" w:space="0" w:color="auto"/>
      </w:divBdr>
    </w:div>
    <w:div w:id="1392853120">
      <w:marLeft w:val="0"/>
      <w:marRight w:val="0"/>
      <w:marTop w:val="0"/>
      <w:marBottom w:val="0"/>
      <w:divBdr>
        <w:top w:val="none" w:sz="0" w:space="0" w:color="auto"/>
        <w:left w:val="none" w:sz="0" w:space="0" w:color="auto"/>
        <w:bottom w:val="none" w:sz="0" w:space="0" w:color="auto"/>
        <w:right w:val="none" w:sz="0" w:space="0" w:color="auto"/>
      </w:divBdr>
      <w:divsChild>
        <w:div w:id="1392853128">
          <w:marLeft w:val="0"/>
          <w:marRight w:val="0"/>
          <w:marTop w:val="0"/>
          <w:marBottom w:val="0"/>
          <w:divBdr>
            <w:top w:val="none" w:sz="0" w:space="0" w:color="auto"/>
            <w:left w:val="none" w:sz="0" w:space="0" w:color="auto"/>
            <w:bottom w:val="none" w:sz="0" w:space="0" w:color="auto"/>
            <w:right w:val="none" w:sz="0" w:space="0" w:color="auto"/>
          </w:divBdr>
          <w:divsChild>
            <w:div w:id="1392853140">
              <w:marLeft w:val="0"/>
              <w:marRight w:val="0"/>
              <w:marTop w:val="0"/>
              <w:marBottom w:val="0"/>
              <w:divBdr>
                <w:top w:val="none" w:sz="0" w:space="0" w:color="auto"/>
                <w:left w:val="none" w:sz="0" w:space="0" w:color="auto"/>
                <w:bottom w:val="none" w:sz="0" w:space="0" w:color="auto"/>
                <w:right w:val="none" w:sz="0" w:space="0" w:color="auto"/>
              </w:divBdr>
              <w:divsChild>
                <w:div w:id="1392853130">
                  <w:marLeft w:val="0"/>
                  <w:marRight w:val="0"/>
                  <w:marTop w:val="0"/>
                  <w:marBottom w:val="0"/>
                  <w:divBdr>
                    <w:top w:val="none" w:sz="0" w:space="0" w:color="auto"/>
                    <w:left w:val="none" w:sz="0" w:space="0" w:color="auto"/>
                    <w:bottom w:val="none" w:sz="0" w:space="0" w:color="auto"/>
                    <w:right w:val="none" w:sz="0" w:space="0" w:color="auto"/>
                  </w:divBdr>
                  <w:divsChild>
                    <w:div w:id="1392853129">
                      <w:marLeft w:val="0"/>
                      <w:marRight w:val="0"/>
                      <w:marTop w:val="0"/>
                      <w:marBottom w:val="0"/>
                      <w:divBdr>
                        <w:top w:val="none" w:sz="0" w:space="0" w:color="auto"/>
                        <w:left w:val="none" w:sz="0" w:space="0" w:color="auto"/>
                        <w:bottom w:val="none" w:sz="0" w:space="0" w:color="auto"/>
                        <w:right w:val="none" w:sz="0" w:space="0" w:color="auto"/>
                      </w:divBdr>
                      <w:divsChild>
                        <w:div w:id="1392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3123">
      <w:marLeft w:val="0"/>
      <w:marRight w:val="0"/>
      <w:marTop w:val="0"/>
      <w:marBottom w:val="0"/>
      <w:divBdr>
        <w:top w:val="none" w:sz="0" w:space="0" w:color="auto"/>
        <w:left w:val="none" w:sz="0" w:space="0" w:color="auto"/>
        <w:bottom w:val="none" w:sz="0" w:space="0" w:color="auto"/>
        <w:right w:val="none" w:sz="0" w:space="0" w:color="auto"/>
      </w:divBdr>
    </w:div>
    <w:div w:id="1392853125">
      <w:marLeft w:val="0"/>
      <w:marRight w:val="0"/>
      <w:marTop w:val="0"/>
      <w:marBottom w:val="0"/>
      <w:divBdr>
        <w:top w:val="none" w:sz="0" w:space="0" w:color="auto"/>
        <w:left w:val="none" w:sz="0" w:space="0" w:color="auto"/>
        <w:bottom w:val="none" w:sz="0" w:space="0" w:color="auto"/>
        <w:right w:val="none" w:sz="0" w:space="0" w:color="auto"/>
      </w:divBdr>
    </w:div>
    <w:div w:id="1392853126">
      <w:marLeft w:val="0"/>
      <w:marRight w:val="0"/>
      <w:marTop w:val="0"/>
      <w:marBottom w:val="0"/>
      <w:divBdr>
        <w:top w:val="none" w:sz="0" w:space="0" w:color="auto"/>
        <w:left w:val="none" w:sz="0" w:space="0" w:color="auto"/>
        <w:bottom w:val="none" w:sz="0" w:space="0" w:color="auto"/>
        <w:right w:val="none" w:sz="0" w:space="0" w:color="auto"/>
      </w:divBdr>
      <w:divsChild>
        <w:div w:id="1392853133">
          <w:marLeft w:val="0"/>
          <w:marRight w:val="0"/>
          <w:marTop w:val="0"/>
          <w:marBottom w:val="0"/>
          <w:divBdr>
            <w:top w:val="none" w:sz="0" w:space="0" w:color="auto"/>
            <w:left w:val="none" w:sz="0" w:space="0" w:color="auto"/>
            <w:bottom w:val="none" w:sz="0" w:space="0" w:color="auto"/>
            <w:right w:val="none" w:sz="0" w:space="0" w:color="auto"/>
          </w:divBdr>
          <w:divsChild>
            <w:div w:id="1392853124">
              <w:marLeft w:val="0"/>
              <w:marRight w:val="0"/>
              <w:marTop w:val="0"/>
              <w:marBottom w:val="0"/>
              <w:divBdr>
                <w:top w:val="none" w:sz="0" w:space="0" w:color="auto"/>
                <w:left w:val="none" w:sz="0" w:space="0" w:color="auto"/>
                <w:bottom w:val="none" w:sz="0" w:space="0" w:color="auto"/>
                <w:right w:val="none" w:sz="0" w:space="0" w:color="auto"/>
              </w:divBdr>
              <w:divsChild>
                <w:div w:id="1392853134">
                  <w:marLeft w:val="0"/>
                  <w:marRight w:val="0"/>
                  <w:marTop w:val="0"/>
                  <w:marBottom w:val="0"/>
                  <w:divBdr>
                    <w:top w:val="none" w:sz="0" w:space="0" w:color="auto"/>
                    <w:left w:val="none" w:sz="0" w:space="0" w:color="auto"/>
                    <w:bottom w:val="none" w:sz="0" w:space="0" w:color="auto"/>
                    <w:right w:val="none" w:sz="0" w:space="0" w:color="auto"/>
                  </w:divBdr>
                  <w:divsChild>
                    <w:div w:id="1392853121">
                      <w:marLeft w:val="0"/>
                      <w:marRight w:val="0"/>
                      <w:marTop w:val="0"/>
                      <w:marBottom w:val="0"/>
                      <w:divBdr>
                        <w:top w:val="none" w:sz="0" w:space="0" w:color="auto"/>
                        <w:left w:val="none" w:sz="0" w:space="0" w:color="auto"/>
                        <w:bottom w:val="none" w:sz="0" w:space="0" w:color="auto"/>
                        <w:right w:val="none" w:sz="0" w:space="0" w:color="auto"/>
                      </w:divBdr>
                      <w:divsChild>
                        <w:div w:id="13928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3135">
      <w:marLeft w:val="0"/>
      <w:marRight w:val="0"/>
      <w:marTop w:val="0"/>
      <w:marBottom w:val="0"/>
      <w:divBdr>
        <w:top w:val="none" w:sz="0" w:space="0" w:color="auto"/>
        <w:left w:val="none" w:sz="0" w:space="0" w:color="auto"/>
        <w:bottom w:val="none" w:sz="0" w:space="0" w:color="auto"/>
        <w:right w:val="none" w:sz="0" w:space="0" w:color="auto"/>
      </w:divBdr>
    </w:div>
    <w:div w:id="1392853138">
      <w:marLeft w:val="0"/>
      <w:marRight w:val="0"/>
      <w:marTop w:val="0"/>
      <w:marBottom w:val="0"/>
      <w:divBdr>
        <w:top w:val="none" w:sz="0" w:space="0" w:color="auto"/>
        <w:left w:val="none" w:sz="0" w:space="0" w:color="auto"/>
        <w:bottom w:val="none" w:sz="0" w:space="0" w:color="auto"/>
        <w:right w:val="none" w:sz="0" w:space="0" w:color="auto"/>
      </w:divBdr>
    </w:div>
    <w:div w:id="1392853139">
      <w:marLeft w:val="0"/>
      <w:marRight w:val="0"/>
      <w:marTop w:val="0"/>
      <w:marBottom w:val="0"/>
      <w:divBdr>
        <w:top w:val="none" w:sz="0" w:space="0" w:color="auto"/>
        <w:left w:val="none" w:sz="0" w:space="0" w:color="auto"/>
        <w:bottom w:val="none" w:sz="0" w:space="0" w:color="auto"/>
        <w:right w:val="none" w:sz="0" w:space="0" w:color="auto"/>
      </w:divBdr>
      <w:divsChild>
        <w:div w:id="1392853122">
          <w:marLeft w:val="0"/>
          <w:marRight w:val="0"/>
          <w:marTop w:val="0"/>
          <w:marBottom w:val="0"/>
          <w:divBdr>
            <w:top w:val="none" w:sz="0" w:space="0" w:color="auto"/>
            <w:left w:val="none" w:sz="0" w:space="0" w:color="auto"/>
            <w:bottom w:val="none" w:sz="0" w:space="0" w:color="auto"/>
            <w:right w:val="none" w:sz="0" w:space="0" w:color="auto"/>
          </w:divBdr>
          <w:divsChild>
            <w:div w:id="1392853127">
              <w:marLeft w:val="0"/>
              <w:marRight w:val="0"/>
              <w:marTop w:val="0"/>
              <w:marBottom w:val="0"/>
              <w:divBdr>
                <w:top w:val="none" w:sz="0" w:space="0" w:color="auto"/>
                <w:left w:val="none" w:sz="0" w:space="0" w:color="auto"/>
                <w:bottom w:val="none" w:sz="0" w:space="0" w:color="auto"/>
                <w:right w:val="none" w:sz="0" w:space="0" w:color="auto"/>
              </w:divBdr>
              <w:divsChild>
                <w:div w:id="1392853131">
                  <w:marLeft w:val="0"/>
                  <w:marRight w:val="0"/>
                  <w:marTop w:val="0"/>
                  <w:marBottom w:val="0"/>
                  <w:divBdr>
                    <w:top w:val="none" w:sz="0" w:space="0" w:color="auto"/>
                    <w:left w:val="none" w:sz="0" w:space="0" w:color="auto"/>
                    <w:bottom w:val="none" w:sz="0" w:space="0" w:color="auto"/>
                    <w:right w:val="none" w:sz="0" w:space="0" w:color="auto"/>
                  </w:divBdr>
                  <w:divsChild>
                    <w:div w:id="1392853141">
                      <w:marLeft w:val="0"/>
                      <w:marRight w:val="0"/>
                      <w:marTop w:val="0"/>
                      <w:marBottom w:val="0"/>
                      <w:divBdr>
                        <w:top w:val="none" w:sz="0" w:space="0" w:color="auto"/>
                        <w:left w:val="none" w:sz="0" w:space="0" w:color="auto"/>
                        <w:bottom w:val="none" w:sz="0" w:space="0" w:color="auto"/>
                        <w:right w:val="none" w:sz="0" w:space="0" w:color="auto"/>
                      </w:divBdr>
                      <w:divsChild>
                        <w:div w:id="13928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3142">
      <w:marLeft w:val="0"/>
      <w:marRight w:val="0"/>
      <w:marTop w:val="0"/>
      <w:marBottom w:val="0"/>
      <w:divBdr>
        <w:top w:val="none" w:sz="0" w:space="0" w:color="auto"/>
        <w:left w:val="none" w:sz="0" w:space="0" w:color="auto"/>
        <w:bottom w:val="none" w:sz="0" w:space="0" w:color="auto"/>
        <w:right w:val="none" w:sz="0" w:space="0" w:color="auto"/>
      </w:divBdr>
    </w:div>
    <w:div w:id="139285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reducing-reoffending-and-improving-rehabilitation/supporting-pages/transforming-rehabilitatio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ustice.gov.uk/publications/reoffendingjuvenil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publications/reoffendingofadult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organisations/national-probation-service" TargetMode="External"/><Relationship Id="rId4" Type="http://schemas.openxmlformats.org/officeDocument/2006/relationships/webSettings" Target="webSettings.xml"/><Relationship Id="rId9" Type="http://schemas.openxmlformats.org/officeDocument/2006/relationships/hyperlink" Target="https://www.gov.uk/government/publications/resettlement-priso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Consultation on offender management statistics</vt:lpstr>
    </vt:vector>
  </TitlesOfParts>
  <Company>Ministry of Justice</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offender management statistics</dc:title>
  <dc:subject/>
  <dc:creator>Ministry of Justice</dc:creator>
  <cp:keywords>offender management statistics prison probation licence recall return custody</cp:keywords>
  <dc:description>Consultation on the future publication and presentation of offender management statistics, including licence releases and recalls to custody</dc:description>
  <cp:lastModifiedBy>Dianne Minglis</cp:lastModifiedBy>
  <cp:revision>7</cp:revision>
  <cp:lastPrinted>2015-07-03T09:03:00Z</cp:lastPrinted>
  <dcterms:created xsi:type="dcterms:W3CDTF">2015-07-22T10:33:00Z</dcterms:created>
  <dcterms:modified xsi:type="dcterms:W3CDTF">2015-07-30T09:45:00Z</dcterms:modified>
</cp:coreProperties>
</file>