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2E526" w14:textId="27674EB2" w:rsidR="00B35EEF" w:rsidRDefault="00B35EEF" w:rsidP="00B35EEF">
      <w:bookmarkStart w:id="0" w:name="_GoBack"/>
      <w:bookmarkEnd w:id="0"/>
      <w:r>
        <w:rPr>
          <w:noProof/>
        </w:rPr>
        <w:drawing>
          <wp:inline distT="0" distB="0" distL="0" distR="0" wp14:anchorId="18986E76" wp14:editId="549C0174">
            <wp:extent cx="1343025" cy="1076325"/>
            <wp:effectExtent l="0" t="0" r="0" b="9525"/>
            <wp:docPr id="25"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53D1340" w14:textId="629891A5" w:rsidR="003B5F47" w:rsidRDefault="006E5056" w:rsidP="003B5F47">
      <w:pPr>
        <w:pStyle w:val="TitleText"/>
      </w:pPr>
      <w:r>
        <w:t xml:space="preserve">Removal of selection at wholly selective </w:t>
      </w:r>
      <w:proofErr w:type="spellStart"/>
      <w:r>
        <w:t>academies</w:t>
      </w:r>
      <w:proofErr w:type="gramStart"/>
      <w:r w:rsidR="003F44CF">
        <w:t>:Area</w:t>
      </w:r>
      <w:proofErr w:type="spellEnd"/>
      <w:proofErr w:type="gramEnd"/>
      <w:r w:rsidR="003F44CF">
        <w:t xml:space="preserve"> Ballot</w:t>
      </w:r>
    </w:p>
    <w:p w14:paraId="5BEBD512" w14:textId="73186E44" w:rsidR="003A01C4" w:rsidRPr="003154AC" w:rsidRDefault="00315245" w:rsidP="003B5F47">
      <w:pPr>
        <w:pStyle w:val="TitleText"/>
        <w:rPr>
          <w:sz w:val="44"/>
          <w:szCs w:val="44"/>
        </w:rPr>
      </w:pPr>
      <w:r>
        <w:rPr>
          <w:sz w:val="44"/>
          <w:szCs w:val="44"/>
        </w:rPr>
        <w:lastRenderedPageBreak/>
        <w:t>June</w:t>
      </w:r>
      <w:r w:rsidR="006E5056">
        <w:rPr>
          <w:sz w:val="44"/>
          <w:szCs w:val="44"/>
        </w:rPr>
        <w:t xml:space="preserve"> 201</w:t>
      </w:r>
      <w:r w:rsidR="003B5F47">
        <w:rPr>
          <w:sz w:val="44"/>
          <w:szCs w:val="44"/>
        </w:rPr>
        <w:t>5</w:t>
      </w:r>
    </w:p>
    <w:p w14:paraId="4F3A70E2" w14:textId="66A3858E" w:rsidR="006558CA" w:rsidRDefault="006558CA" w:rsidP="00C75A77">
      <w:pPr>
        <w:pStyle w:val="TOC1"/>
      </w:pPr>
    </w:p>
    <w:p w14:paraId="25D1F5F6" w14:textId="77777777" w:rsidR="006E5056" w:rsidRDefault="006E5056">
      <w:pPr>
        <w:spacing w:after="0" w:line="240" w:lineRule="auto"/>
        <w:rPr>
          <w:rStyle w:val="Hyperlink"/>
          <w:color w:val="auto"/>
          <w:u w:val="none"/>
        </w:rPr>
        <w:sectPr w:rsidR="006E5056" w:rsidSect="006E5056">
          <w:pgSz w:w="11906" w:h="16838"/>
          <w:pgMar w:top="1134" w:right="1274" w:bottom="1134" w:left="1134" w:header="709" w:footer="709" w:gutter="0"/>
          <w:cols w:space="1134"/>
          <w:titlePg/>
          <w:docGrid w:linePitch="360"/>
        </w:sectPr>
      </w:pPr>
    </w:p>
    <w:p w14:paraId="13DFA44E" w14:textId="06371207" w:rsidR="006E5056" w:rsidRPr="00F615EC" w:rsidRDefault="003B5F47" w:rsidP="00222545">
      <w:pPr>
        <w:outlineLvl w:val="0"/>
        <w:rPr>
          <w:b/>
          <w:sz w:val="32"/>
          <w:szCs w:val="32"/>
        </w:rPr>
      </w:pPr>
      <w:r>
        <w:rPr>
          <w:b/>
          <w:sz w:val="32"/>
          <w:szCs w:val="32"/>
        </w:rPr>
        <w:lastRenderedPageBreak/>
        <w:t>[9] [11]</w:t>
      </w:r>
      <w:r>
        <w:rPr>
          <w:rStyle w:val="FootnoteReference"/>
          <w:b/>
          <w:sz w:val="32"/>
          <w:szCs w:val="32"/>
        </w:rPr>
        <w:footnoteReference w:id="1"/>
      </w:r>
      <w:r>
        <w:rPr>
          <w:b/>
          <w:sz w:val="32"/>
          <w:szCs w:val="32"/>
        </w:rPr>
        <w:t xml:space="preserve"> </w:t>
      </w:r>
      <w:r w:rsidR="006E5056" w:rsidRPr="00F615EC">
        <w:rPr>
          <w:b/>
          <w:sz w:val="32"/>
          <w:szCs w:val="32"/>
        </w:rPr>
        <w:t>Removal of selection at wholly selective Academies.</w:t>
      </w:r>
    </w:p>
    <w:p w14:paraId="2850EB1A" w14:textId="77777777" w:rsidR="006E5056" w:rsidRDefault="006E5056" w:rsidP="006E5056">
      <w:pPr>
        <w:pStyle w:val="DeptOutNumbered"/>
      </w:pPr>
      <w:r w:rsidRPr="007B7AFD">
        <w:t>This annex applies to any Academy which was designated as a grammar school under the Education (Grammar School Designation) Order 1998</w:t>
      </w:r>
      <w:r>
        <w:t xml:space="preserve"> – or subsequent designation orders made under section 104 of the School Standards and Framework Act 1998-</w:t>
      </w:r>
      <w:r w:rsidRPr="007B7AFD">
        <w:t xml:space="preserve"> prior to their entering into Academy arrangements with the Secretary of State under section 1 of the Academies Act 2010.</w:t>
      </w:r>
    </w:p>
    <w:p w14:paraId="43580B07" w14:textId="77777777" w:rsidR="006E5056" w:rsidRPr="00FA4E05" w:rsidRDefault="006E5056" w:rsidP="006E5056">
      <w:pPr>
        <w:pStyle w:val="DeptOutNumbered"/>
        <w:numPr>
          <w:ilvl w:val="0"/>
          <w:numId w:val="0"/>
        </w:numPr>
        <w:outlineLvl w:val="0"/>
        <w:rPr>
          <w:b/>
          <w:u w:val="single"/>
        </w:rPr>
      </w:pPr>
      <w:r w:rsidRPr="00FA4E05">
        <w:rPr>
          <w:b/>
          <w:u w:val="single"/>
        </w:rPr>
        <w:t>Proposals by the Academy Trust to remove selection</w:t>
      </w:r>
    </w:p>
    <w:p w14:paraId="23ABE96E" w14:textId="77777777" w:rsidR="006E5056" w:rsidRDefault="006E5056" w:rsidP="006E5056">
      <w:pPr>
        <w:pStyle w:val="DeptOutNumbered"/>
      </w:pPr>
      <w:r>
        <w:t xml:space="preserve">Where an Academy Trust for a wholly selective Academy wishes to remove the Academy’s selective admission arrangements they will follow the process set out below. </w:t>
      </w:r>
    </w:p>
    <w:p w14:paraId="1526EB4B" w14:textId="77777777" w:rsidR="006E5056" w:rsidRDefault="006E5056" w:rsidP="006E5056">
      <w:pPr>
        <w:pStyle w:val="DeptOutNumbered"/>
      </w:pPr>
      <w:r>
        <w:t>The Academy Trust will ballot all parents of registered pupils at the school on the question ‘are you in favour of the Academy removing selection by ability and introducing admission arrangements which admit children of all abilities?’</w:t>
      </w:r>
    </w:p>
    <w:p w14:paraId="111D56EB" w14:textId="77777777" w:rsidR="006E5056" w:rsidRDefault="006E5056" w:rsidP="006E5056">
      <w:pPr>
        <w:pStyle w:val="DeptOutNumbered"/>
      </w:pPr>
      <w:r>
        <w:t xml:space="preserve">If a simple majority of parents vote to remove selection, the Academy will determine admission arrangements that do not provide for selection by ability. </w:t>
      </w:r>
    </w:p>
    <w:p w14:paraId="2D9C3177" w14:textId="77777777" w:rsidR="006E5056" w:rsidRDefault="006E5056" w:rsidP="006E5056">
      <w:pPr>
        <w:pStyle w:val="DeptOutNumbered"/>
      </w:pPr>
      <w:r>
        <w:t>The ballot must allow parents a minimum of five weeks within which to vote. The ballot must be initiated prior to 25 January and the ballot result must be declared by 1 March in the determination year</w:t>
      </w:r>
      <w:r>
        <w:rPr>
          <w:rStyle w:val="FootnoteReference"/>
        </w:rPr>
        <w:footnoteReference w:id="2"/>
      </w:r>
      <w:r>
        <w:t xml:space="preserve">. </w:t>
      </w:r>
    </w:p>
    <w:p w14:paraId="5C226FA1" w14:textId="77777777" w:rsidR="006E5056" w:rsidRDefault="006E5056" w:rsidP="006E5056">
      <w:pPr>
        <w:pStyle w:val="DeptOutNumbered"/>
      </w:pPr>
      <w:r>
        <w:t xml:space="preserve">If a ballot is in favour of the removal of selection, non selective admission arrangements must be determined by </w:t>
      </w:r>
      <w:r>
        <w:lastRenderedPageBreak/>
        <w:t>15 April in the determination year.</w:t>
      </w:r>
    </w:p>
    <w:p w14:paraId="302165AE" w14:textId="77777777" w:rsidR="006E5056" w:rsidRDefault="006E5056" w:rsidP="006E5056">
      <w:pPr>
        <w:pStyle w:val="DeptOutNumbered"/>
      </w:pPr>
      <w:r>
        <w:t xml:space="preserve">If a ballot does not vote in favour of the removal of selection the Academy Trust must retain the Academy’s selective admission arrangements. </w:t>
      </w:r>
    </w:p>
    <w:p w14:paraId="0C469729" w14:textId="77777777" w:rsidR="006E5056" w:rsidRPr="00FA4E05" w:rsidRDefault="006E5056" w:rsidP="006E5056">
      <w:pPr>
        <w:pStyle w:val="DeptOutNumbered"/>
        <w:numPr>
          <w:ilvl w:val="0"/>
          <w:numId w:val="0"/>
        </w:numPr>
        <w:outlineLvl w:val="0"/>
        <w:rPr>
          <w:b/>
          <w:u w:val="single"/>
        </w:rPr>
      </w:pPr>
      <w:r w:rsidRPr="00FA4E05">
        <w:rPr>
          <w:b/>
          <w:u w:val="single"/>
        </w:rPr>
        <w:t xml:space="preserve">Parental Ballots to remove selection. </w:t>
      </w:r>
    </w:p>
    <w:p w14:paraId="0B21B64C" w14:textId="77777777" w:rsidR="006E5056" w:rsidRDefault="006E5056" w:rsidP="006E5056">
      <w:pPr>
        <w:pStyle w:val="DeptOutNumbered"/>
      </w:pPr>
      <w:r>
        <w:t>There are three ways of removing selection at wholly selective Academies via a parental ballot.</w:t>
      </w:r>
    </w:p>
    <w:p w14:paraId="275B3024" w14:textId="77777777" w:rsidR="006E5056" w:rsidRDefault="006E5056" w:rsidP="006E5056">
      <w:pPr>
        <w:pStyle w:val="DeptOutNumbered"/>
      </w:pPr>
      <w:r>
        <w:t xml:space="preserve">The arrangements are changed as result of a </w:t>
      </w:r>
      <w:r w:rsidRPr="007D510E">
        <w:rPr>
          <w:b/>
        </w:rPr>
        <w:t>whole</w:t>
      </w:r>
      <w:r>
        <w:t xml:space="preserve"> </w:t>
      </w:r>
      <w:r w:rsidRPr="001A4253">
        <w:rPr>
          <w:b/>
        </w:rPr>
        <w:t xml:space="preserve">area </w:t>
      </w:r>
      <w:proofErr w:type="gramStart"/>
      <w:r w:rsidRPr="001A4253">
        <w:rPr>
          <w:b/>
        </w:rPr>
        <w:t>ballot</w:t>
      </w:r>
      <w:r>
        <w:rPr>
          <w:b/>
        </w:rPr>
        <w:t xml:space="preserve"> </w:t>
      </w:r>
      <w:proofErr w:type="gramEnd"/>
      <w:r>
        <w:rPr>
          <w:rStyle w:val="FootnoteReference"/>
          <w:b/>
        </w:rPr>
        <w:footnoteReference w:id="3"/>
      </w:r>
      <w:r w:rsidRPr="00EC7F72">
        <w:t>,</w:t>
      </w:r>
      <w:r>
        <w:t xml:space="preserve"> (“area ballot”), the Academy in question is subject to a </w:t>
      </w:r>
      <w:r w:rsidRPr="007E6507">
        <w:rPr>
          <w:b/>
        </w:rPr>
        <w:t>stand alone ballot</w:t>
      </w:r>
      <w:r>
        <w:rPr>
          <w:rStyle w:val="FootnoteReference"/>
        </w:rPr>
        <w:footnoteReference w:id="4"/>
      </w:r>
      <w:r>
        <w:rPr>
          <w:b/>
        </w:rPr>
        <w:t xml:space="preserve"> </w:t>
      </w:r>
      <w:r>
        <w:t xml:space="preserve">or where the school is subject to a </w:t>
      </w:r>
      <w:r w:rsidRPr="00057444">
        <w:rPr>
          <w:b/>
        </w:rPr>
        <w:t>group ballot</w:t>
      </w:r>
      <w:r>
        <w:rPr>
          <w:rStyle w:val="FootnoteReference"/>
        </w:rPr>
        <w:footnoteReference w:id="5"/>
      </w:r>
      <w:r>
        <w:t xml:space="preserve">. </w:t>
      </w:r>
    </w:p>
    <w:p w14:paraId="7052A732" w14:textId="77777777" w:rsidR="006E5056" w:rsidRPr="00DA1757" w:rsidRDefault="006E5056" w:rsidP="006E5056">
      <w:pPr>
        <w:pStyle w:val="DeptOutNumbered"/>
      </w:pPr>
      <w:r>
        <w:t xml:space="preserve">The </w:t>
      </w:r>
      <w:r w:rsidRPr="00057444">
        <w:rPr>
          <w:b/>
        </w:rPr>
        <w:t>moratorium period</w:t>
      </w:r>
      <w:r>
        <w:t xml:space="preserve"> set out in regulation 16 of the Ballots Regulations will apply. That is, w</w:t>
      </w:r>
      <w:r>
        <w:rPr>
          <w:rFonts w:cs="Arial"/>
        </w:rPr>
        <w:t xml:space="preserve">here the result of a ballot is that the grammar schools in a selective area, or the Academy in a stand-alone ballot to which the ballot relates should retain selective admission arrangements, no further ballot shall be held or petition raised within the period of 5 years from the ballot result date. This moratorium does not apply to the procedures in paragraphs 2-7 of this annex. </w:t>
      </w:r>
    </w:p>
    <w:p w14:paraId="2DE52C5D" w14:textId="159406B3" w:rsidR="006E5056" w:rsidRDefault="006E5056" w:rsidP="006E5056">
      <w:pPr>
        <w:pStyle w:val="DeptOutNumbered"/>
      </w:pPr>
      <w:r w:rsidRPr="00126F6C">
        <w:rPr>
          <w:b/>
        </w:rPr>
        <w:t>[</w:t>
      </w:r>
      <w:r>
        <w:t>Name</w:t>
      </w:r>
      <w:r w:rsidRPr="00126F6C">
        <w:rPr>
          <w:b/>
        </w:rPr>
        <w:t xml:space="preserve">] </w:t>
      </w:r>
      <w:r>
        <w:t xml:space="preserve">Academy is subject to </w:t>
      </w:r>
      <w:r w:rsidRPr="00126F6C">
        <w:rPr>
          <w:b/>
        </w:rPr>
        <w:t>[</w:t>
      </w:r>
      <w:r>
        <w:t xml:space="preserve">the result of a whole-area/] ballot </w:t>
      </w:r>
      <w:r w:rsidRPr="00126F6C">
        <w:rPr>
          <w:b/>
        </w:rPr>
        <w:t>[</w:t>
      </w:r>
      <w:r>
        <w:t xml:space="preserve">concerning the grammar schools in </w:t>
      </w:r>
      <w:r w:rsidRPr="00B910FB">
        <w:rPr>
          <w:rFonts w:cs="Arial"/>
          <w:b/>
        </w:rPr>
        <w:t>Bexley</w:t>
      </w:r>
      <w:r>
        <w:rPr>
          <w:rFonts w:cs="Arial"/>
          <w:b/>
        </w:rPr>
        <w:t>/</w:t>
      </w:r>
      <w:r w:rsidRPr="00B910FB">
        <w:rPr>
          <w:rFonts w:cs="Arial"/>
          <w:b/>
        </w:rPr>
        <w:t>Buckinghamshire</w:t>
      </w:r>
      <w:r>
        <w:rPr>
          <w:rFonts w:cs="Arial"/>
          <w:b/>
        </w:rPr>
        <w:t>/</w:t>
      </w:r>
      <w:r w:rsidRPr="00B910FB">
        <w:rPr>
          <w:rFonts w:cs="Arial"/>
          <w:b/>
        </w:rPr>
        <w:t>Kent</w:t>
      </w:r>
      <w:r>
        <w:rPr>
          <w:rFonts w:cs="Arial"/>
          <w:b/>
        </w:rPr>
        <w:t>/</w:t>
      </w:r>
      <w:r w:rsidRPr="00B910FB">
        <w:rPr>
          <w:rFonts w:cs="Arial"/>
          <w:b/>
        </w:rPr>
        <w:t>Lincolnshire</w:t>
      </w:r>
      <w:r>
        <w:rPr>
          <w:rFonts w:cs="Arial"/>
          <w:b/>
        </w:rPr>
        <w:t>/Me</w:t>
      </w:r>
      <w:r w:rsidRPr="00B910FB">
        <w:rPr>
          <w:rFonts w:cs="Arial"/>
          <w:b/>
        </w:rPr>
        <w:t>dway</w:t>
      </w:r>
      <w:r>
        <w:rPr>
          <w:rFonts w:cs="Arial"/>
          <w:b/>
        </w:rPr>
        <w:t>/</w:t>
      </w:r>
      <w:r w:rsidRPr="00B910FB">
        <w:rPr>
          <w:rFonts w:cs="Arial"/>
          <w:b/>
        </w:rPr>
        <w:t>Slough</w:t>
      </w:r>
      <w:r>
        <w:rPr>
          <w:rFonts w:cs="Arial"/>
          <w:b/>
        </w:rPr>
        <w:t>/</w:t>
      </w:r>
      <w:r w:rsidR="003377BE">
        <w:rPr>
          <w:rFonts w:cs="Arial"/>
          <w:b/>
        </w:rPr>
        <w:t xml:space="preserve"> </w:t>
      </w:r>
      <w:r w:rsidRPr="00B910FB">
        <w:rPr>
          <w:rFonts w:cs="Arial"/>
          <w:b/>
        </w:rPr>
        <w:t>Southend</w:t>
      </w:r>
      <w:r>
        <w:rPr>
          <w:rFonts w:cs="Arial"/>
          <w:b/>
        </w:rPr>
        <w:t>/</w:t>
      </w:r>
      <w:r w:rsidRPr="00B910FB">
        <w:rPr>
          <w:rFonts w:cs="Arial"/>
          <w:b/>
        </w:rPr>
        <w:t>T</w:t>
      </w:r>
      <w:r>
        <w:rPr>
          <w:rFonts w:cs="Arial"/>
          <w:b/>
        </w:rPr>
        <w:t>o</w:t>
      </w:r>
      <w:r w:rsidRPr="00B910FB">
        <w:rPr>
          <w:rFonts w:cs="Arial"/>
          <w:b/>
        </w:rPr>
        <w:t>rbay</w:t>
      </w:r>
      <w:r>
        <w:rPr>
          <w:rFonts w:cs="Arial"/>
          <w:b/>
        </w:rPr>
        <w:t>/</w:t>
      </w:r>
      <w:r w:rsidRPr="00B910FB">
        <w:rPr>
          <w:rFonts w:cs="Arial"/>
          <w:b/>
        </w:rPr>
        <w:t>Trafford</w:t>
      </w:r>
      <w:r>
        <w:rPr>
          <w:rFonts w:cs="Arial"/>
          <w:b/>
        </w:rPr>
        <w:t xml:space="preserve">/Sutton and </w:t>
      </w:r>
      <w:proofErr w:type="spellStart"/>
      <w:r>
        <w:rPr>
          <w:rFonts w:cs="Arial"/>
          <w:b/>
        </w:rPr>
        <w:t>Nonsuch</w:t>
      </w:r>
      <w:proofErr w:type="spellEnd"/>
      <w:r>
        <w:rPr>
          <w:rFonts w:cs="Arial"/>
          <w:b/>
        </w:rPr>
        <w:t xml:space="preserve"> </w:t>
      </w:r>
      <w:smartTag w:uri="urn:schemas:contacts" w:element="GivenName">
        <w:r>
          <w:rPr>
            <w:rFonts w:cs="Arial"/>
            <w:b/>
          </w:rPr>
          <w:t>Ward</w:t>
        </w:r>
      </w:smartTag>
      <w:proofErr w:type="gramStart"/>
      <w:r w:rsidRPr="00126F6C">
        <w:rPr>
          <w:b/>
        </w:rPr>
        <w:t>][</w:t>
      </w:r>
      <w:proofErr w:type="gramEnd"/>
      <w:r w:rsidRPr="00126F6C">
        <w:rPr>
          <w:i/>
        </w:rPr>
        <w:t>delete as appropriate for whole area ballots</w:t>
      </w:r>
      <w:r w:rsidRPr="00126F6C">
        <w:rPr>
          <w:b/>
        </w:rPr>
        <w:t>]</w:t>
      </w:r>
      <w:r>
        <w:t xml:space="preserve">. </w:t>
      </w:r>
    </w:p>
    <w:p w14:paraId="4BE3C7B9" w14:textId="77777777" w:rsidR="006E5056" w:rsidRPr="00890C18" w:rsidRDefault="006E5056" w:rsidP="006E5056">
      <w:pPr>
        <w:pStyle w:val="DeptOutNumbered"/>
        <w:numPr>
          <w:ilvl w:val="0"/>
          <w:numId w:val="0"/>
        </w:numPr>
        <w:outlineLvl w:val="0"/>
        <w:rPr>
          <w:b/>
          <w:u w:val="single"/>
        </w:rPr>
      </w:pPr>
      <w:r w:rsidRPr="00890C18">
        <w:rPr>
          <w:b/>
          <w:u w:val="single"/>
        </w:rPr>
        <w:t>Academies subject to</w:t>
      </w:r>
      <w:r>
        <w:rPr>
          <w:b/>
          <w:u w:val="single"/>
        </w:rPr>
        <w:t xml:space="preserve"> the result of</w:t>
      </w:r>
      <w:r w:rsidRPr="00890C18">
        <w:rPr>
          <w:b/>
          <w:u w:val="single"/>
        </w:rPr>
        <w:t xml:space="preserve"> whole area ballots. </w:t>
      </w:r>
    </w:p>
    <w:p w14:paraId="7C71D92C" w14:textId="77777777" w:rsidR="006E5056" w:rsidRDefault="006E5056" w:rsidP="006E5056">
      <w:pPr>
        <w:pStyle w:val="DeptOutNumbered"/>
      </w:pPr>
      <w:r>
        <w:lastRenderedPageBreak/>
        <w:t>Where the Academy is located within the local authority areas set out under regulation 2(1) and schedule 1 to the</w:t>
      </w:r>
      <w:r w:rsidRPr="00DA1757">
        <w:t xml:space="preserve"> </w:t>
      </w:r>
      <w:r>
        <w:t>Ballots Regulations (</w:t>
      </w:r>
      <w:r w:rsidRPr="00B910FB">
        <w:rPr>
          <w:rFonts w:cs="Arial"/>
          <w:b/>
        </w:rPr>
        <w:t>Bexley, Buckinghamshire, Kent, Lincolnshire, Medway, Slough, Southend, Torbay</w:t>
      </w:r>
      <w:r>
        <w:rPr>
          <w:rFonts w:cs="Arial"/>
          <w:b/>
        </w:rPr>
        <w:t>,</w:t>
      </w:r>
      <w:r>
        <w:rPr>
          <w:rFonts w:cs="Arial"/>
        </w:rPr>
        <w:t xml:space="preserve"> </w:t>
      </w:r>
      <w:r w:rsidRPr="00B910FB">
        <w:rPr>
          <w:rFonts w:cs="Arial"/>
          <w:b/>
        </w:rPr>
        <w:t>Trafford</w:t>
      </w:r>
      <w:r>
        <w:rPr>
          <w:rFonts w:cs="Arial"/>
          <w:b/>
        </w:rPr>
        <w:t xml:space="preserve"> or Sutton and Nonsuch Ward</w:t>
      </w:r>
      <w:r>
        <w:rPr>
          <w:rFonts w:cs="Arial"/>
        </w:rPr>
        <w:t xml:space="preserve">) and would thus, prior to becoming an Academy, have been subject to any ballot on selective admission arrangements in that area, if there is a ballot of parents, under the provisions of the Ballot Regulations, within those areas, the Academy must abide by the result of the ballot </w:t>
      </w:r>
      <w:r>
        <w:t>.</w:t>
      </w:r>
    </w:p>
    <w:p w14:paraId="36A56C70" w14:textId="77777777" w:rsidR="006E5056" w:rsidRDefault="006E5056" w:rsidP="006E5056">
      <w:pPr>
        <w:pStyle w:val="DeptOutNumbered"/>
      </w:pPr>
      <w:r>
        <w:t>Where the result of the whole area ballot is to remove selection, the Academy will determine non-selective admission arrangements by the date set out in paragraph 14 of this Annex.</w:t>
      </w:r>
      <w:r w:rsidRPr="00E20780">
        <w:t xml:space="preserve"> </w:t>
      </w:r>
      <w:r>
        <w:t>If the ballot does not vote in favour of removal of selection the Academy Trust must retain the Academy’s selective admission arrangements.</w:t>
      </w:r>
    </w:p>
    <w:p w14:paraId="033DDD7B" w14:textId="77777777" w:rsidR="006E5056" w:rsidRDefault="006E5056" w:rsidP="006E5056">
      <w:pPr>
        <w:rPr>
          <w:rFonts w:cs="Arial"/>
          <w:b/>
          <w:bCs/>
        </w:rPr>
      </w:pPr>
      <w:r w:rsidRPr="00BB0A14">
        <w:rPr>
          <w:rFonts w:cs="Arial"/>
          <w:b/>
          <w:bCs/>
        </w:rPr>
        <w:t>Implementation of decision that a</w:t>
      </w:r>
      <w:r>
        <w:rPr>
          <w:rFonts w:cs="Arial"/>
          <w:b/>
          <w:bCs/>
        </w:rPr>
        <w:t xml:space="preserve">n Academy </w:t>
      </w:r>
      <w:r w:rsidRPr="00BB0A14">
        <w:rPr>
          <w:rFonts w:cs="Arial"/>
          <w:b/>
          <w:bCs/>
        </w:rPr>
        <w:t>should cease to have selective admission arrangements</w:t>
      </w:r>
    </w:p>
    <w:p w14:paraId="30912567" w14:textId="77777777" w:rsidR="006E5056" w:rsidRDefault="006E5056" w:rsidP="006E5056">
      <w:pPr>
        <w:pStyle w:val="DeptOutNumbered"/>
      </w:pPr>
      <w:r>
        <w:t xml:space="preserve">In the case of a successful ballot, the Academy Trust will </w:t>
      </w:r>
      <w:r w:rsidRPr="00BB0A14">
        <w:t xml:space="preserve">secure that their admission arrangements are revised so that the </w:t>
      </w:r>
      <w:r>
        <w:t>Academy</w:t>
      </w:r>
      <w:r w:rsidRPr="00BB0A14">
        <w:t xml:space="preserve"> no longer has selective admission arrangements</w:t>
      </w:r>
      <w:r>
        <w:t>.</w:t>
      </w:r>
    </w:p>
    <w:p w14:paraId="4B54C067" w14:textId="77777777" w:rsidR="006E5056" w:rsidRDefault="006E5056" w:rsidP="00423946">
      <w:pPr>
        <w:pStyle w:val="DeptOutNumbered"/>
        <w:numPr>
          <w:ilvl w:val="1"/>
          <w:numId w:val="11"/>
        </w:numPr>
      </w:pPr>
      <w:r w:rsidRPr="00BB0A14">
        <w:t>where the ballot result date is on or before 31st December</w:t>
      </w:r>
      <w:r w:rsidRPr="005E4D5A">
        <w:t xml:space="preserve"> </w:t>
      </w:r>
      <w:r w:rsidRPr="00BB0A14">
        <w:t xml:space="preserve">in any school year </w:t>
      </w:r>
      <w:r>
        <w:t>– or where the Secretary of State has chosen not to declare a ballot void -</w:t>
      </w:r>
      <w:r w:rsidRPr="00BB0A14">
        <w:t xml:space="preserve">, </w:t>
      </w:r>
      <w:r>
        <w:t>it will determine non selective admission arrangements by the date in paragraph 6 of this annex;</w:t>
      </w:r>
      <w:r w:rsidRPr="00BB0A14">
        <w:t xml:space="preserve"> and</w:t>
      </w:r>
    </w:p>
    <w:p w14:paraId="1CA96FBB" w14:textId="1FAE26B7" w:rsidR="006E5056" w:rsidRPr="00AF1C07" w:rsidRDefault="006E5056" w:rsidP="000A3486">
      <w:pPr>
        <w:pStyle w:val="DeptOutNumbered"/>
        <w:numPr>
          <w:ilvl w:val="1"/>
          <w:numId w:val="11"/>
        </w:numPr>
      </w:pPr>
      <w:r w:rsidRPr="00BB0A14">
        <w:t xml:space="preserve">where the ballot result date is after 31st December in any school year, </w:t>
      </w:r>
      <w:r>
        <w:t xml:space="preserve">it will determine non selective admission arrangements in the following determination year, by the 15 April </w:t>
      </w:r>
    </w:p>
    <w:p w14:paraId="0D253438" w14:textId="77777777" w:rsidR="006E5056" w:rsidRDefault="006E5056" w:rsidP="00D05342">
      <w:pPr>
        <w:pStyle w:val="TableofFigures"/>
        <w:tabs>
          <w:tab w:val="right" w:pos="9488"/>
        </w:tabs>
        <w:rPr>
          <w:rStyle w:val="Hyperlink"/>
          <w:color w:val="auto"/>
          <w:u w:val="none"/>
        </w:rPr>
        <w:sectPr w:rsidR="006E5056" w:rsidSect="00F615EC">
          <w:headerReference w:type="first" r:id="rId15"/>
          <w:footerReference w:type="first" r:id="rId16"/>
          <w:pgSz w:w="11906" w:h="16838" w:code="9"/>
          <w:pgMar w:top="567" w:right="1276" w:bottom="851" w:left="1134" w:header="709" w:footer="709" w:gutter="0"/>
          <w:cols w:space="1134"/>
          <w:titlePg/>
          <w:docGrid w:linePitch="360"/>
        </w:sectPr>
      </w:pPr>
    </w:p>
    <w:p w14:paraId="7649324D" w14:textId="1B15B565" w:rsidR="00B35EEF" w:rsidRDefault="00B35EEF" w:rsidP="00B35EEF">
      <w:r>
        <w:rPr>
          <w:noProof/>
        </w:rPr>
        <w:lastRenderedPageBreak/>
        <w:drawing>
          <wp:inline distT="0" distB="0" distL="0" distR="0" wp14:anchorId="77776BB4" wp14:editId="5C513415">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4"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0843775A" w14:textId="790F2EDB" w:rsidR="003B5F47" w:rsidRPr="003B5F47" w:rsidRDefault="003B5F47" w:rsidP="003B5F47">
      <w:pPr>
        <w:spacing w:before="6000" w:after="120"/>
      </w:pPr>
      <w:r w:rsidRPr="003B5F47">
        <w:t>© Crown copyright 201</w:t>
      </w:r>
      <w:r>
        <w:t>5</w:t>
      </w:r>
    </w:p>
    <w:p w14:paraId="1F465A8A" w14:textId="77777777" w:rsidR="003B5F47" w:rsidRPr="003B5F47" w:rsidRDefault="003B5F47" w:rsidP="003B5F47">
      <w:pPr>
        <w:spacing w:after="160"/>
      </w:pPr>
      <w:r w:rsidRPr="003B5F47">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690C255D" w14:textId="77777777" w:rsidR="003B5F47" w:rsidRPr="003B5F47" w:rsidRDefault="003B5F47" w:rsidP="003B5F47">
      <w:pPr>
        <w:tabs>
          <w:tab w:val="left" w:pos="1418"/>
        </w:tabs>
        <w:spacing w:after="0"/>
        <w:contextualSpacing/>
        <w:rPr>
          <w:szCs w:val="20"/>
        </w:rPr>
      </w:pPr>
      <w:r w:rsidRPr="003B5F47">
        <w:rPr>
          <w:szCs w:val="20"/>
        </w:rPr>
        <w:t xml:space="preserve">To </w:t>
      </w:r>
      <w:proofErr w:type="gramStart"/>
      <w:r w:rsidRPr="003B5F47">
        <w:rPr>
          <w:szCs w:val="20"/>
        </w:rPr>
        <w:t>view  this</w:t>
      </w:r>
      <w:proofErr w:type="gramEnd"/>
      <w:r w:rsidRPr="003B5F47">
        <w:rPr>
          <w:szCs w:val="20"/>
        </w:rPr>
        <w:t xml:space="preserve"> licence:</w:t>
      </w:r>
    </w:p>
    <w:p w14:paraId="12025AB2" w14:textId="77777777" w:rsidR="003B5F47" w:rsidRPr="003B5F47" w:rsidRDefault="003B5F47" w:rsidP="003B5F47">
      <w:pPr>
        <w:tabs>
          <w:tab w:val="left" w:pos="1418"/>
        </w:tabs>
        <w:spacing w:after="160"/>
        <w:ind w:left="284"/>
        <w:contextualSpacing/>
      </w:pPr>
      <w:proofErr w:type="gramStart"/>
      <w:r w:rsidRPr="003B5F47">
        <w:t>visit</w:t>
      </w:r>
      <w:proofErr w:type="gramEnd"/>
      <w:r w:rsidRPr="003B5F47">
        <w:t xml:space="preserve"> </w:t>
      </w:r>
      <w:r w:rsidRPr="003B5F47">
        <w:tab/>
      </w:r>
      <w:hyperlink r:id="rId17" w:tooltip="Visit the national archives licencing information" w:history="1">
        <w:r w:rsidRPr="003B5F47">
          <w:rPr>
            <w:color w:val="0000FF"/>
            <w:u w:val="single"/>
          </w:rPr>
          <w:t>www.nationalarchives.gov.uk/doc/open-government-licence/version/2</w:t>
        </w:r>
      </w:hyperlink>
    </w:p>
    <w:p w14:paraId="7F5E2671" w14:textId="77777777" w:rsidR="003B5F47" w:rsidRPr="003B5F47" w:rsidRDefault="003B5F47" w:rsidP="003B5F47">
      <w:pPr>
        <w:tabs>
          <w:tab w:val="left" w:pos="1418"/>
        </w:tabs>
        <w:spacing w:after="160"/>
        <w:ind w:left="284"/>
        <w:contextualSpacing/>
      </w:pPr>
      <w:proofErr w:type="gramStart"/>
      <w:r w:rsidRPr="003B5F47">
        <w:t>email</w:t>
      </w:r>
      <w:proofErr w:type="gramEnd"/>
      <w:r w:rsidRPr="003B5F47">
        <w:t xml:space="preserve"> </w:t>
      </w:r>
      <w:r w:rsidRPr="003B5F47">
        <w:tab/>
      </w:r>
      <w:hyperlink r:id="rId18" w:tooltip="The National Archives' email address" w:history="1">
        <w:r w:rsidRPr="003B5F47">
          <w:rPr>
            <w:color w:val="0000FF"/>
            <w:u w:val="single"/>
          </w:rPr>
          <w:t>psi@nationalarchives.gsi.gov.uk</w:t>
        </w:r>
      </w:hyperlink>
    </w:p>
    <w:p w14:paraId="59F5BDB4" w14:textId="77777777" w:rsidR="003B5F47" w:rsidRPr="003B5F47" w:rsidRDefault="003B5F47" w:rsidP="003B5F47">
      <w:pPr>
        <w:tabs>
          <w:tab w:val="left" w:pos="1418"/>
        </w:tabs>
        <w:spacing w:after="0"/>
        <w:contextualSpacing/>
        <w:rPr>
          <w:szCs w:val="20"/>
        </w:rPr>
      </w:pPr>
      <w:r w:rsidRPr="003B5F47">
        <w:rPr>
          <w:szCs w:val="20"/>
        </w:rPr>
        <w:t>About this publication:</w:t>
      </w:r>
    </w:p>
    <w:p w14:paraId="437B7796" w14:textId="77777777" w:rsidR="003B5F47" w:rsidRPr="003B5F47" w:rsidRDefault="003B5F47" w:rsidP="003B5F47">
      <w:pPr>
        <w:tabs>
          <w:tab w:val="left" w:pos="1418"/>
        </w:tabs>
        <w:spacing w:after="160"/>
        <w:ind w:left="284"/>
        <w:contextualSpacing/>
      </w:pPr>
      <w:proofErr w:type="gramStart"/>
      <w:r w:rsidRPr="003B5F47">
        <w:t>enquiries</w:t>
      </w:r>
      <w:proofErr w:type="gramEnd"/>
      <w:r w:rsidRPr="003B5F47">
        <w:t xml:space="preserve">  </w:t>
      </w:r>
      <w:r w:rsidRPr="003B5F47">
        <w:tab/>
      </w:r>
      <w:hyperlink r:id="rId19" w:tooltip="Department for Education contact us list" w:history="1">
        <w:r w:rsidRPr="003B5F47">
          <w:rPr>
            <w:color w:val="0000FF"/>
            <w:u w:val="single"/>
          </w:rPr>
          <w:t>www.education.gov.uk/contactus</w:t>
        </w:r>
      </w:hyperlink>
      <w:r w:rsidRPr="003B5F47">
        <w:t xml:space="preserve"> </w:t>
      </w:r>
    </w:p>
    <w:p w14:paraId="72A77D1F" w14:textId="77777777" w:rsidR="003B5F47" w:rsidRPr="003B5F47" w:rsidRDefault="003B5F47" w:rsidP="003B5F47">
      <w:pPr>
        <w:tabs>
          <w:tab w:val="left" w:pos="1418"/>
        </w:tabs>
        <w:spacing w:after="160"/>
        <w:ind w:left="284"/>
        <w:contextualSpacing/>
      </w:pPr>
      <w:proofErr w:type="gramStart"/>
      <w:r w:rsidRPr="003B5F47">
        <w:lastRenderedPageBreak/>
        <w:t>download</w:t>
      </w:r>
      <w:proofErr w:type="gramEnd"/>
      <w:r w:rsidRPr="003B5F47">
        <w:t xml:space="preserve"> </w:t>
      </w:r>
      <w:r w:rsidRPr="003B5F47">
        <w:tab/>
      </w:r>
      <w:hyperlink r:id="rId20" w:tooltip="Link to Gov.uk publications" w:history="1">
        <w:r w:rsidRPr="003B5F47">
          <w:rPr>
            <w:color w:val="0000FF"/>
            <w:u w:val="single"/>
          </w:rPr>
          <w:t>www.gov.uk/government/publications</w:t>
        </w:r>
      </w:hyperlink>
      <w:r w:rsidRPr="003B5F47">
        <w:t xml:space="preserve"> </w:t>
      </w:r>
    </w:p>
    <w:p w14:paraId="75BB09ED" w14:textId="7C466B8A" w:rsidR="001E3581" w:rsidRDefault="001E3581" w:rsidP="003B5F47">
      <w:pPr>
        <w:pStyle w:val="CopyrightBox"/>
      </w:pPr>
      <w:r>
        <w:rPr>
          <w:noProof/>
        </w:rPr>
        <w:drawing>
          <wp:inline distT="0" distB="0" distL="0" distR="0" wp14:anchorId="6698346A" wp14:editId="2E550241">
            <wp:extent cx="344170" cy="273050"/>
            <wp:effectExtent l="0" t="0" r="0" b="0"/>
            <wp:docPr id="3" name="Picture 3" title="Twitter logo"/>
            <wp:cNvGraphicFramePr/>
            <a:graphic xmlns:a="http://schemas.openxmlformats.org/drawingml/2006/main">
              <a:graphicData uri="http://schemas.openxmlformats.org/drawingml/2006/picture">
                <pic:pic xmlns:pic="http://schemas.openxmlformats.org/drawingml/2006/picture">
                  <pic:nvPicPr>
                    <pic:cNvPr id="3" name="Picture 3" title="Twitter 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r>
        <w:t xml:space="preserve"> Follow us on Twitter: @educationgovuk</w:t>
      </w:r>
    </w:p>
    <w:p w14:paraId="2378B36C" w14:textId="68D6CCE9" w:rsidR="001E3581" w:rsidRDefault="001E3581" w:rsidP="001E3581">
      <w:pPr>
        <w:pStyle w:val="CopyrightBox"/>
      </w:pPr>
      <w:r>
        <w:rPr>
          <w:noProof/>
        </w:rPr>
        <w:drawing>
          <wp:inline distT="0" distB="0" distL="0" distR="0" wp14:anchorId="781FC44F" wp14:editId="2AE54A05">
            <wp:extent cx="273050" cy="273050"/>
            <wp:effectExtent l="0" t="0" r="0" b="0"/>
            <wp:docPr id="6" name="Picture 6" title="Facebook logo"/>
            <wp:cNvGraphicFramePr/>
            <a:graphic xmlns:a="http://schemas.openxmlformats.org/drawingml/2006/main">
              <a:graphicData uri="http://schemas.openxmlformats.org/drawingml/2006/picture">
                <pic:pic xmlns:pic="http://schemas.openxmlformats.org/drawingml/2006/picture">
                  <pic:nvPicPr>
                    <pic:cNvPr id="6" name="Picture 6" title="Facebook logo"/>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r>
        <w:t xml:space="preserve">  Like us on Facebook: </w:t>
      </w:r>
      <w:hyperlink r:id="rId23" w:tooltip="DfE's Facebook page" w:history="1">
        <w:r>
          <w:rPr>
            <w:rStyle w:val="Hyperlink"/>
            <w:bCs/>
          </w:rPr>
          <w:t>www.facebook.com/educationgovuk</w:t>
        </w:r>
      </w:hyperlink>
      <w:r>
        <w:rPr>
          <w:rFonts w:cs="Arial"/>
          <w:b/>
          <w:bCs/>
        </w:rPr>
        <w:t xml:space="preserve"> </w:t>
      </w:r>
    </w:p>
    <w:p w14:paraId="49C1EB35" w14:textId="77777777" w:rsidR="001E3581" w:rsidRPr="00BB7C04" w:rsidRDefault="001E3581" w:rsidP="00F3105E">
      <w:pPr>
        <w:pStyle w:val="CopyrightBox"/>
      </w:pPr>
    </w:p>
    <w:sectPr w:rsidR="001E3581" w:rsidRPr="00BB7C04" w:rsidSect="005C657D">
      <w:headerReference w:type="first" r:id="rId24"/>
      <w:footerReference w:type="first" r:id="rId25"/>
      <w:pgSz w:w="11906" w:h="16838"/>
      <w:pgMar w:top="1134" w:right="1274"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9A5BC" w14:textId="77777777" w:rsidR="00222545" w:rsidRDefault="00222545" w:rsidP="005C657D">
      <w:pPr>
        <w:spacing w:after="0" w:line="240" w:lineRule="auto"/>
      </w:pPr>
      <w:r>
        <w:separator/>
      </w:r>
    </w:p>
    <w:p w14:paraId="6857EDEB" w14:textId="77777777" w:rsidR="00222545" w:rsidRDefault="00222545"/>
  </w:endnote>
  <w:endnote w:type="continuationSeparator" w:id="0">
    <w:p w14:paraId="4AA28DCD" w14:textId="77777777" w:rsidR="00222545" w:rsidRDefault="00222545" w:rsidP="005C657D">
      <w:pPr>
        <w:spacing w:after="0" w:line="240" w:lineRule="auto"/>
      </w:pPr>
      <w:r>
        <w:continuationSeparator/>
      </w:r>
    </w:p>
    <w:p w14:paraId="5926DE58" w14:textId="77777777" w:rsidR="00222545" w:rsidRDefault="00222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FBC2" w14:textId="51B89C8B" w:rsidR="00222545" w:rsidRPr="00586474" w:rsidRDefault="00222545" w:rsidP="00586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EEBF1" w14:textId="6EC48293" w:rsidR="00222545" w:rsidRDefault="0022254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3DE6" w14:textId="77777777" w:rsidR="00222545" w:rsidRDefault="00222545" w:rsidP="005C657D">
      <w:pPr>
        <w:spacing w:after="0" w:line="240" w:lineRule="auto"/>
      </w:pPr>
      <w:r>
        <w:separator/>
      </w:r>
    </w:p>
    <w:p w14:paraId="44A482F0" w14:textId="77777777" w:rsidR="00222545" w:rsidRDefault="00222545"/>
  </w:footnote>
  <w:footnote w:type="continuationSeparator" w:id="0">
    <w:p w14:paraId="0F0B5EB7" w14:textId="77777777" w:rsidR="00222545" w:rsidRDefault="00222545" w:rsidP="005C657D">
      <w:pPr>
        <w:spacing w:after="0" w:line="240" w:lineRule="auto"/>
      </w:pPr>
      <w:r>
        <w:continuationSeparator/>
      </w:r>
    </w:p>
    <w:p w14:paraId="423D3EC3" w14:textId="77777777" w:rsidR="00222545" w:rsidRDefault="00222545"/>
  </w:footnote>
  <w:footnote w:id="1">
    <w:p w14:paraId="09BB38F0" w14:textId="154ABBC3" w:rsidR="003B5F47" w:rsidRDefault="003B5F47">
      <w:pPr>
        <w:pStyle w:val="FootnoteText"/>
      </w:pPr>
      <w:r>
        <w:rPr>
          <w:rStyle w:val="FootnoteReference"/>
        </w:rPr>
        <w:footnoteRef/>
      </w:r>
      <w:r>
        <w:t xml:space="preserve"> For single academy trusts</w:t>
      </w:r>
      <w:proofErr w:type="gramStart"/>
      <w:r>
        <w:t>,  number</w:t>
      </w:r>
      <w:proofErr w:type="gramEnd"/>
      <w:r>
        <w:t xml:space="preserve"> this document ‘11’ and insert it at the end of the funding agreement. For multi academy trusts, number it ‘9’ and insert it at the end of the SFA.</w:t>
      </w:r>
    </w:p>
  </w:footnote>
  <w:footnote w:id="2">
    <w:p w14:paraId="2B301F85" w14:textId="77777777" w:rsidR="00222545" w:rsidRDefault="00222545" w:rsidP="006E5056">
      <w:pPr>
        <w:pStyle w:val="FootnoteText"/>
      </w:pPr>
      <w:r>
        <w:rPr>
          <w:rStyle w:val="FootnoteReference"/>
        </w:rPr>
        <w:footnoteRef/>
      </w:r>
      <w:r>
        <w:t xml:space="preserve"> A ‘determination year’ is the </w:t>
      </w:r>
      <w:r w:rsidRPr="004848C2">
        <w:rPr>
          <w:rFonts w:cs="Arial"/>
          <w:szCs w:val="24"/>
        </w:rPr>
        <w:t xml:space="preserve">Academy Financial Year </w:t>
      </w:r>
      <w:r w:rsidRPr="004848C2">
        <w:rPr>
          <w:rStyle w:val="italic1"/>
          <w:rFonts w:cs="Arial"/>
          <w:i w:val="0"/>
          <w:color w:val="000000"/>
          <w:szCs w:val="24"/>
          <w:lang w:val="en"/>
        </w:rPr>
        <w:t>beginning two years before the Academy Financial Year which the admissions arrangements will be for</w:t>
      </w:r>
      <w:r w:rsidRPr="004848C2">
        <w:rPr>
          <w:rFonts w:cs="Arial"/>
          <w:szCs w:val="24"/>
        </w:rPr>
        <w:t xml:space="preserve"> </w:t>
      </w:r>
      <w:r>
        <w:rPr>
          <w:rFonts w:cs="Arial"/>
          <w:szCs w:val="24"/>
        </w:rPr>
        <w:t>e.g. consultation to end in March 2011 and determination to be in April 2011 for admissions in September 2012</w:t>
      </w:r>
    </w:p>
  </w:footnote>
  <w:footnote w:id="3">
    <w:p w14:paraId="7035E8D6" w14:textId="77777777" w:rsidR="00222545" w:rsidRDefault="00222545" w:rsidP="006E5056">
      <w:pPr>
        <w:pStyle w:val="FootnoteText"/>
      </w:pPr>
      <w:r>
        <w:rPr>
          <w:rStyle w:val="FootnoteReference"/>
        </w:rPr>
        <w:footnoteRef/>
      </w:r>
      <w:r>
        <w:t xml:space="preserve"> A “whole area ballot” has the same meaning as an “area ballot” (as defined by regulation 11(2) of the Ballot Regulations: a ballot which relates to all grammar schools within a relevant area.)</w:t>
      </w:r>
    </w:p>
  </w:footnote>
  <w:footnote w:id="4">
    <w:p w14:paraId="5F324A6F" w14:textId="77777777" w:rsidR="00222545" w:rsidRDefault="00222545" w:rsidP="006E5056">
      <w:pPr>
        <w:pStyle w:val="FootnoteText"/>
      </w:pPr>
      <w:r>
        <w:rPr>
          <w:rStyle w:val="FootnoteReference"/>
        </w:rPr>
        <w:footnoteRef/>
      </w:r>
      <w:r>
        <w:t xml:space="preserve"> A “stand alone ballot” is a ballot which relates to a stand alone grammar school as defined in regulation 11(1</w:t>
      </w:r>
      <w:proofErr w:type="gramStart"/>
      <w:r>
        <w:t>)(</w:t>
      </w:r>
      <w:proofErr w:type="gramEnd"/>
      <w:r>
        <w:t>c) of the Ballots Regulations.</w:t>
      </w:r>
    </w:p>
  </w:footnote>
  <w:footnote w:id="5">
    <w:p w14:paraId="275E655C" w14:textId="77777777" w:rsidR="00222545" w:rsidRDefault="00222545" w:rsidP="006E5056">
      <w:pPr>
        <w:pStyle w:val="FootnoteText"/>
      </w:pPr>
      <w:r>
        <w:rPr>
          <w:rStyle w:val="FootnoteReference"/>
        </w:rPr>
        <w:footnoteRef/>
      </w:r>
      <w:r>
        <w:t xml:space="preserve"> A ‘group ballot’ is a ballot which relates to a prescribed group of schools as set out in Schedule 2 to the Education (Grammar School Ballots) Regulations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70D92" w14:textId="77777777" w:rsidR="000A3486" w:rsidRDefault="000A3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6876" w14:textId="77777777" w:rsidR="000A3486" w:rsidRDefault="000A3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DE8BA9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C3637E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834BD82"/>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EEB0D5F"/>
    <w:multiLevelType w:val="multilevel"/>
    <w:tmpl w:val="4B28BF8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0426D66"/>
    <w:multiLevelType w:val="hybridMultilevel"/>
    <w:tmpl w:val="8F4AA02E"/>
    <w:lvl w:ilvl="0" w:tplc="A6C44D1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8" w15:restartNumberingAfterBreak="0">
    <w:nsid w:val="3DA1056B"/>
    <w:multiLevelType w:val="multilevel"/>
    <w:tmpl w:val="86CA9448"/>
    <w:lvl w:ilvl="0">
      <w:start w:val="1"/>
      <w:numFmt w:val="decimal"/>
      <w:lvlText w:val="%1"/>
      <w:lvlJc w:val="left"/>
      <w:pPr>
        <w:tabs>
          <w:tab w:val="num" w:pos="720"/>
        </w:tabs>
        <w:ind w:left="0" w:firstLine="0"/>
      </w:pPr>
      <w:rPr>
        <w:rFonts w:hint="default"/>
      </w:rPr>
    </w:lvl>
    <w:lvl w:ilvl="1">
      <w:start w:val="1"/>
      <w:numFmt w:val="decimal"/>
      <w:pStyle w:val="NumberedList"/>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E09131F"/>
    <w:multiLevelType w:val="multilevel"/>
    <w:tmpl w:val="E25222E8"/>
    <w:lvl w:ilvl="0">
      <w:start w:val="1"/>
      <w:numFmt w:val="bullet"/>
      <w:pStyle w:val="ListParagraph"/>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3"/>
  </w:num>
  <w:num w:numId="3">
    <w:abstractNumId w:val="10"/>
  </w:num>
  <w:num w:numId="4">
    <w:abstractNumId w:val="6"/>
  </w:num>
  <w:num w:numId="5">
    <w:abstractNumId w:val="2"/>
  </w:num>
  <w:num w:numId="6">
    <w:abstractNumId w:val="1"/>
  </w:num>
  <w:num w:numId="7">
    <w:abstractNumId w:val="4"/>
  </w:num>
  <w:num w:numId="8">
    <w:abstractNumId w:val="0"/>
  </w:num>
  <w:num w:numId="9">
    <w:abstractNumId w:val="8"/>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3A6E"/>
    <w:rsid w:val="0002203B"/>
    <w:rsid w:val="00023913"/>
    <w:rsid w:val="00030ABD"/>
    <w:rsid w:val="00031F36"/>
    <w:rsid w:val="000442BD"/>
    <w:rsid w:val="00057100"/>
    <w:rsid w:val="00066B1C"/>
    <w:rsid w:val="00083A73"/>
    <w:rsid w:val="000A10F4"/>
    <w:rsid w:val="000A3486"/>
    <w:rsid w:val="000B3DE0"/>
    <w:rsid w:val="000D1D30"/>
    <w:rsid w:val="000D4433"/>
    <w:rsid w:val="000D5697"/>
    <w:rsid w:val="000E3350"/>
    <w:rsid w:val="000F1A98"/>
    <w:rsid w:val="000F22D0"/>
    <w:rsid w:val="000F73F3"/>
    <w:rsid w:val="00103E77"/>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198A"/>
    <w:rsid w:val="001A3A04"/>
    <w:rsid w:val="001B2AE2"/>
    <w:rsid w:val="001B4452"/>
    <w:rsid w:val="001B5C15"/>
    <w:rsid w:val="001B796F"/>
    <w:rsid w:val="001C5A63"/>
    <w:rsid w:val="001C5EB6"/>
    <w:rsid w:val="001D09EC"/>
    <w:rsid w:val="001D5770"/>
    <w:rsid w:val="001E3581"/>
    <w:rsid w:val="00203EC9"/>
    <w:rsid w:val="00210E6D"/>
    <w:rsid w:val="002113CF"/>
    <w:rsid w:val="00214713"/>
    <w:rsid w:val="00222545"/>
    <w:rsid w:val="0022255C"/>
    <w:rsid w:val="0022489D"/>
    <w:rsid w:val="002262F3"/>
    <w:rsid w:val="00230559"/>
    <w:rsid w:val="002332F8"/>
    <w:rsid w:val="00234F75"/>
    <w:rsid w:val="00240F4B"/>
    <w:rsid w:val="002575C5"/>
    <w:rsid w:val="0027252F"/>
    <w:rsid w:val="002839B5"/>
    <w:rsid w:val="00287788"/>
    <w:rsid w:val="00292DED"/>
    <w:rsid w:val="002A28F7"/>
    <w:rsid w:val="002A3153"/>
    <w:rsid w:val="002C3AA4"/>
    <w:rsid w:val="002D4B69"/>
    <w:rsid w:val="002E463F"/>
    <w:rsid w:val="002E4E9A"/>
    <w:rsid w:val="002E508B"/>
    <w:rsid w:val="002E5F9F"/>
    <w:rsid w:val="002E7849"/>
    <w:rsid w:val="002F15EE"/>
    <w:rsid w:val="002F7128"/>
    <w:rsid w:val="00300F99"/>
    <w:rsid w:val="00315245"/>
    <w:rsid w:val="003154AC"/>
    <w:rsid w:val="00316DD9"/>
    <w:rsid w:val="003233ED"/>
    <w:rsid w:val="00325D84"/>
    <w:rsid w:val="003377BE"/>
    <w:rsid w:val="00361752"/>
    <w:rsid w:val="00361FE6"/>
    <w:rsid w:val="00364B7A"/>
    <w:rsid w:val="00374981"/>
    <w:rsid w:val="003810D8"/>
    <w:rsid w:val="003853A4"/>
    <w:rsid w:val="003A01C4"/>
    <w:rsid w:val="003A1CC2"/>
    <w:rsid w:val="003B5F47"/>
    <w:rsid w:val="003C60B5"/>
    <w:rsid w:val="003D1EFE"/>
    <w:rsid w:val="003E1329"/>
    <w:rsid w:val="003F44CF"/>
    <w:rsid w:val="003F63E0"/>
    <w:rsid w:val="003F751E"/>
    <w:rsid w:val="00421F3D"/>
    <w:rsid w:val="00423946"/>
    <w:rsid w:val="004242C5"/>
    <w:rsid w:val="004339FB"/>
    <w:rsid w:val="00445E79"/>
    <w:rsid w:val="004509BE"/>
    <w:rsid w:val="00470223"/>
    <w:rsid w:val="004726CF"/>
    <w:rsid w:val="004866AD"/>
    <w:rsid w:val="004B19E5"/>
    <w:rsid w:val="004B4394"/>
    <w:rsid w:val="004D13A3"/>
    <w:rsid w:val="004E6CD9"/>
    <w:rsid w:val="004F20E3"/>
    <w:rsid w:val="004F211A"/>
    <w:rsid w:val="004F3159"/>
    <w:rsid w:val="004F4858"/>
    <w:rsid w:val="004F4AEF"/>
    <w:rsid w:val="00536E0B"/>
    <w:rsid w:val="005535E5"/>
    <w:rsid w:val="00560451"/>
    <w:rsid w:val="0056283E"/>
    <w:rsid w:val="00566C31"/>
    <w:rsid w:val="0057250B"/>
    <w:rsid w:val="00574294"/>
    <w:rsid w:val="005749C5"/>
    <w:rsid w:val="0057670A"/>
    <w:rsid w:val="00581D79"/>
    <w:rsid w:val="00586474"/>
    <w:rsid w:val="005905B1"/>
    <w:rsid w:val="005914F1"/>
    <w:rsid w:val="0059494A"/>
    <w:rsid w:val="005A07FF"/>
    <w:rsid w:val="005A7D82"/>
    <w:rsid w:val="005B1536"/>
    <w:rsid w:val="005B2FD4"/>
    <w:rsid w:val="005C0B41"/>
    <w:rsid w:val="005C1770"/>
    <w:rsid w:val="005C6416"/>
    <w:rsid w:val="005C657D"/>
    <w:rsid w:val="005D05CE"/>
    <w:rsid w:val="005D252F"/>
    <w:rsid w:val="005E3379"/>
    <w:rsid w:val="005F107C"/>
    <w:rsid w:val="0060702F"/>
    <w:rsid w:val="006108B3"/>
    <w:rsid w:val="006237FB"/>
    <w:rsid w:val="00626DD2"/>
    <w:rsid w:val="00633E4E"/>
    <w:rsid w:val="00635D57"/>
    <w:rsid w:val="006418B2"/>
    <w:rsid w:val="00642404"/>
    <w:rsid w:val="00647EFA"/>
    <w:rsid w:val="00652973"/>
    <w:rsid w:val="006558CA"/>
    <w:rsid w:val="00657E79"/>
    <w:rsid w:val="006606F5"/>
    <w:rsid w:val="0067185E"/>
    <w:rsid w:val="00671D5B"/>
    <w:rsid w:val="006775FA"/>
    <w:rsid w:val="0068544D"/>
    <w:rsid w:val="00695D08"/>
    <w:rsid w:val="006A27AA"/>
    <w:rsid w:val="006A3602"/>
    <w:rsid w:val="006B1F9F"/>
    <w:rsid w:val="006C382D"/>
    <w:rsid w:val="006D1162"/>
    <w:rsid w:val="006E5056"/>
    <w:rsid w:val="006E7BF6"/>
    <w:rsid w:val="006E7F39"/>
    <w:rsid w:val="006F1F96"/>
    <w:rsid w:val="00700337"/>
    <w:rsid w:val="00700B01"/>
    <w:rsid w:val="00702EBF"/>
    <w:rsid w:val="00713414"/>
    <w:rsid w:val="00730350"/>
    <w:rsid w:val="00730EF3"/>
    <w:rsid w:val="0073516C"/>
    <w:rsid w:val="007403F5"/>
    <w:rsid w:val="007426B3"/>
    <w:rsid w:val="00743353"/>
    <w:rsid w:val="00745C9F"/>
    <w:rsid w:val="00747CD7"/>
    <w:rsid w:val="0075096B"/>
    <w:rsid w:val="00751648"/>
    <w:rsid w:val="00760615"/>
    <w:rsid w:val="0076231A"/>
    <w:rsid w:val="00764D03"/>
    <w:rsid w:val="00774F55"/>
    <w:rsid w:val="00775D8A"/>
    <w:rsid w:val="00776470"/>
    <w:rsid w:val="0077659E"/>
    <w:rsid w:val="00777AD4"/>
    <w:rsid w:val="00780950"/>
    <w:rsid w:val="007809EF"/>
    <w:rsid w:val="00783D2C"/>
    <w:rsid w:val="00794F29"/>
    <w:rsid w:val="007A0750"/>
    <w:rsid w:val="007A2250"/>
    <w:rsid w:val="007A5759"/>
    <w:rsid w:val="007B3CFE"/>
    <w:rsid w:val="007C321D"/>
    <w:rsid w:val="007C41A5"/>
    <w:rsid w:val="007C58BE"/>
    <w:rsid w:val="007C7EEE"/>
    <w:rsid w:val="007D080B"/>
    <w:rsid w:val="007E06DD"/>
    <w:rsid w:val="007F1ACB"/>
    <w:rsid w:val="007F670A"/>
    <w:rsid w:val="007F7235"/>
    <w:rsid w:val="008168A2"/>
    <w:rsid w:val="00816E77"/>
    <w:rsid w:val="00821CD3"/>
    <w:rsid w:val="00827FF1"/>
    <w:rsid w:val="00831263"/>
    <w:rsid w:val="00831DB7"/>
    <w:rsid w:val="00832EBF"/>
    <w:rsid w:val="008366CB"/>
    <w:rsid w:val="00837F3A"/>
    <w:rsid w:val="008419B8"/>
    <w:rsid w:val="008515CE"/>
    <w:rsid w:val="008559B7"/>
    <w:rsid w:val="008620F3"/>
    <w:rsid w:val="00863986"/>
    <w:rsid w:val="00866257"/>
    <w:rsid w:val="00874F24"/>
    <w:rsid w:val="00876230"/>
    <w:rsid w:val="00877D5B"/>
    <w:rsid w:val="00877ECD"/>
    <w:rsid w:val="00886B1E"/>
    <w:rsid w:val="008A460D"/>
    <w:rsid w:val="008A4CD5"/>
    <w:rsid w:val="008A588F"/>
    <w:rsid w:val="008A644A"/>
    <w:rsid w:val="008B05BD"/>
    <w:rsid w:val="008B0C03"/>
    <w:rsid w:val="008B0DD1"/>
    <w:rsid w:val="008B1297"/>
    <w:rsid w:val="008B427B"/>
    <w:rsid w:val="008B6009"/>
    <w:rsid w:val="008C46DC"/>
    <w:rsid w:val="008D15AA"/>
    <w:rsid w:val="008D6968"/>
    <w:rsid w:val="008E3F07"/>
    <w:rsid w:val="008E4B40"/>
    <w:rsid w:val="008E5F36"/>
    <w:rsid w:val="008F2757"/>
    <w:rsid w:val="008F2E4F"/>
    <w:rsid w:val="008F7436"/>
    <w:rsid w:val="009055E4"/>
    <w:rsid w:val="00917E9C"/>
    <w:rsid w:val="0092379D"/>
    <w:rsid w:val="00925160"/>
    <w:rsid w:val="00951C56"/>
    <w:rsid w:val="00955907"/>
    <w:rsid w:val="0095599F"/>
    <w:rsid w:val="00956CF7"/>
    <w:rsid w:val="0096424B"/>
    <w:rsid w:val="009716FA"/>
    <w:rsid w:val="00985088"/>
    <w:rsid w:val="0098648B"/>
    <w:rsid w:val="009B0DAA"/>
    <w:rsid w:val="009B32FA"/>
    <w:rsid w:val="009C73CF"/>
    <w:rsid w:val="009E00AE"/>
    <w:rsid w:val="009E09D3"/>
    <w:rsid w:val="009E6E74"/>
    <w:rsid w:val="00A0665A"/>
    <w:rsid w:val="00A30BA1"/>
    <w:rsid w:val="00A37DEE"/>
    <w:rsid w:val="00A433C3"/>
    <w:rsid w:val="00A50806"/>
    <w:rsid w:val="00A54BB7"/>
    <w:rsid w:val="00A5643A"/>
    <w:rsid w:val="00A5723C"/>
    <w:rsid w:val="00A60D43"/>
    <w:rsid w:val="00A707A4"/>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B05E2"/>
    <w:rsid w:val="00BB7C04"/>
    <w:rsid w:val="00BD1111"/>
    <w:rsid w:val="00BD26B6"/>
    <w:rsid w:val="00BD7DF4"/>
    <w:rsid w:val="00BE01C6"/>
    <w:rsid w:val="00BE4DAC"/>
    <w:rsid w:val="00BF13F8"/>
    <w:rsid w:val="00BF68F1"/>
    <w:rsid w:val="00C01CFF"/>
    <w:rsid w:val="00C15B78"/>
    <w:rsid w:val="00C2207B"/>
    <w:rsid w:val="00C46129"/>
    <w:rsid w:val="00C529E8"/>
    <w:rsid w:val="00C6013F"/>
    <w:rsid w:val="00C63537"/>
    <w:rsid w:val="00C66273"/>
    <w:rsid w:val="00C6636B"/>
    <w:rsid w:val="00C71561"/>
    <w:rsid w:val="00C75A77"/>
    <w:rsid w:val="00C77BAF"/>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64A19"/>
    <w:rsid w:val="00D660A1"/>
    <w:rsid w:val="00D66FFC"/>
    <w:rsid w:val="00D71F30"/>
    <w:rsid w:val="00D736C0"/>
    <w:rsid w:val="00D92274"/>
    <w:rsid w:val="00D94339"/>
    <w:rsid w:val="00D9707F"/>
    <w:rsid w:val="00DA1F8E"/>
    <w:rsid w:val="00DA57A4"/>
    <w:rsid w:val="00DB0D07"/>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66B4F"/>
    <w:rsid w:val="00E741D5"/>
    <w:rsid w:val="00E74474"/>
    <w:rsid w:val="00E87A6A"/>
    <w:rsid w:val="00E9232A"/>
    <w:rsid w:val="00EA4D1B"/>
    <w:rsid w:val="00EB1D11"/>
    <w:rsid w:val="00EB281B"/>
    <w:rsid w:val="00EC1C50"/>
    <w:rsid w:val="00ED3D05"/>
    <w:rsid w:val="00EE5713"/>
    <w:rsid w:val="00EE64AE"/>
    <w:rsid w:val="00EE715F"/>
    <w:rsid w:val="00F06445"/>
    <w:rsid w:val="00F07114"/>
    <w:rsid w:val="00F206A7"/>
    <w:rsid w:val="00F3105E"/>
    <w:rsid w:val="00F31AAB"/>
    <w:rsid w:val="00F41591"/>
    <w:rsid w:val="00F41A63"/>
    <w:rsid w:val="00F45BEB"/>
    <w:rsid w:val="00F54523"/>
    <w:rsid w:val="00F615EC"/>
    <w:rsid w:val="00F84544"/>
    <w:rsid w:val="00F90552"/>
    <w:rsid w:val="00F954FA"/>
    <w:rsid w:val="00F95B1F"/>
    <w:rsid w:val="00FA05B2"/>
    <w:rsid w:val="00FA0889"/>
    <w:rsid w:val="00FA68A7"/>
    <w:rsid w:val="00FC0C51"/>
    <w:rsid w:val="00FC3903"/>
    <w:rsid w:val="00FC6848"/>
    <w:rsid w:val="00FE1B88"/>
    <w:rsid w:val="00FF4AC8"/>
    <w:rsid w:val="00FF733C"/>
    <w:rsid w:val="00FF7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1026">
      <o:colormru v:ext="edit" colors="#104f75,#260859,#004712,#8a2529,#c2a204,#e87d1e"/>
    </o:shapedefaults>
    <o:shapelayout v:ext="edit">
      <o:idmap v:ext="edit" data="1"/>
    </o:shapelayout>
  </w:shapeDefaults>
  <w:decimalSymbol w:val="."/>
  <w:listSeparator w:val=","/>
  <w14:docId w14:val="0E60741D"/>
  <w15:docId w15:val="{2BFB3D63-1534-44C4-84E7-C4FA18D2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4B19E5"/>
    <w:pPr>
      <w:spacing w:after="240" w:line="288" w:lineRule="auto"/>
    </w:pPr>
    <w:rPr>
      <w:sz w:val="24"/>
      <w:szCs w:val="24"/>
    </w:rPr>
  </w:style>
  <w:style w:type="paragraph" w:styleId="Heading1">
    <w:name w:val="heading 1"/>
    <w:basedOn w:val="Normal"/>
    <w:next w:val="Normal"/>
    <w:link w:val="Heading1Char"/>
    <w:qFormat/>
    <w:rsid w:val="00DF5124"/>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E1B88"/>
    <w:rPr>
      <w:rFonts w:ascii="Arial" w:hAnsi="Arial" w:cs="Arial"/>
      <w:b/>
      <w:color w:val="104F75"/>
      <w:sz w:val="36"/>
      <w:szCs w:val="24"/>
      <w:lang w:eastAsia="en-US"/>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9494A"/>
    <w:pPr>
      <w:spacing w:before="2640" w:line="240" w:lineRule="auto"/>
    </w:pPr>
    <w:rPr>
      <w:rFonts w:cs="Arial"/>
      <w:b/>
      <w:color w:val="104F75"/>
      <w:sz w:val="92"/>
      <w:szCs w:val="92"/>
    </w:rPr>
  </w:style>
  <w:style w:type="character" w:customStyle="1" w:styleId="TitleTextChar">
    <w:name w:val="TitleText Char"/>
    <w:link w:val="TitleText"/>
    <w:rsid w:val="0059494A"/>
    <w:rPr>
      <w:rFonts w:cs="Arial"/>
      <w:b/>
      <w:color w:val="104F75"/>
      <w:sz w:val="92"/>
      <w:szCs w:val="92"/>
    </w:rPr>
  </w:style>
  <w:style w:type="paragraph" w:customStyle="1" w:styleId="SubtitleText">
    <w:name w:val="SubtitleText"/>
    <w:basedOn w:val="Normal"/>
    <w:link w:val="SubtitleTextChar"/>
    <w:unhideWhenUsed/>
    <w:qFormat/>
    <w:rsid w:val="00EE715F"/>
    <w:pPr>
      <w:spacing w:after="1520"/>
    </w:pPr>
    <w:rPr>
      <w:rFonts w:cs="Arial"/>
      <w:b/>
      <w:color w:val="104F75"/>
      <w:sz w:val="44"/>
      <w:szCs w:val="44"/>
    </w:rPr>
  </w:style>
  <w:style w:type="character" w:customStyle="1" w:styleId="SubtitleTextChar">
    <w:name w:val="SubtitleText Char"/>
    <w:link w:val="SubtitleText"/>
    <w:rsid w:val="00EE715F"/>
    <w:rPr>
      <w:rFonts w:cs="Arial"/>
      <w:b/>
      <w:color w:val="104F75"/>
      <w:sz w:val="44"/>
      <w:szCs w:val="44"/>
    </w:rPr>
  </w:style>
  <w:style w:type="paragraph" w:customStyle="1" w:styleId="NumberedList">
    <w:name w:val="NumberedList"/>
    <w:basedOn w:val="DfESOutNumbered1"/>
    <w:link w:val="NumberedListChar"/>
    <w:qFormat/>
    <w:rsid w:val="007A0750"/>
    <w:pPr>
      <w:numPr>
        <w:ilvl w:val="1"/>
        <w:numId w:val="9"/>
      </w:numPr>
      <w:tabs>
        <w:tab w:val="clear" w:pos="1440"/>
      </w:tabs>
      <w:ind w:left="0" w:firstLine="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7A0750"/>
    <w:pPr>
      <w:spacing w:before="8040" w:after="120"/>
    </w:pPr>
  </w:style>
  <w:style w:type="character" w:customStyle="1" w:styleId="CopyrightSpacingChar">
    <w:name w:val="CopyrightSpacing Char"/>
    <w:link w:val="CopyrightSpacing"/>
    <w:rsid w:val="007A0750"/>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character" w:customStyle="1" w:styleId="NumberedListChar">
    <w:name w:val="NumberedList Char"/>
    <w:basedOn w:val="DfESOutNumbered1Char"/>
    <w:link w:val="NumberedList"/>
    <w:rsid w:val="007A0750"/>
    <w:rPr>
      <w:sz w:val="24"/>
      <w:szCs w:val="24"/>
    </w:rPr>
  </w:style>
  <w:style w:type="paragraph" w:styleId="ListParagraph">
    <w:name w:val="List Paragraph"/>
    <w:basedOn w:val="Normal"/>
    <w:uiPriority w:val="34"/>
    <w:qFormat/>
    <w:rsid w:val="007A0750"/>
    <w:pPr>
      <w:numPr>
        <w:numId w:val="10"/>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Normal"/>
    <w:link w:val="DfESOutNumberedChar"/>
    <w:rsid w:val="00C63537"/>
    <w:pPr>
      <w:widowControl w:val="0"/>
      <w:numPr>
        <w:numId w:val="4"/>
      </w:numPr>
      <w:overflowPunct w:val="0"/>
      <w:autoSpaceDE w:val="0"/>
      <w:autoSpaceDN w:val="0"/>
      <w:adjustRightInd w:val="0"/>
      <w:textAlignment w:val="baseline"/>
    </w:pPr>
    <w:rPr>
      <w:rFonts w:cs="Arial"/>
      <w:szCs w:val="20"/>
      <w:lang w:eastAsia="en-US"/>
    </w:rPr>
  </w:style>
  <w:style w:type="character" w:customStyle="1" w:styleId="DfESOutNumberedChar">
    <w:name w:val="DfESOutNumbered Char"/>
    <w:basedOn w:val="Heading4Char"/>
    <w:link w:val="DfESOutNumbered"/>
    <w:rsid w:val="00C63537"/>
    <w:rPr>
      <w:rFonts w:cs="Arial"/>
      <w:b w:val="0"/>
      <w:bCs w:val="0"/>
      <w:color w:val="000000" w:themeColor="text1"/>
      <w:sz w:val="24"/>
      <w:szCs w:val="28"/>
      <w:lang w:eastAsia="en-US"/>
    </w:rPr>
  </w:style>
  <w:style w:type="paragraph" w:customStyle="1" w:styleId="DeptBullets">
    <w:name w:val="DeptBullets"/>
    <w:basedOn w:val="Normal"/>
    <w:link w:val="DeptBulletsChar"/>
    <w:rsid w:val="007A0750"/>
    <w:pPr>
      <w:numPr>
        <w:numId w:val="1"/>
      </w:numPr>
      <w:tabs>
        <w:tab w:val="left" w:pos="709"/>
      </w:tabs>
      <w:spacing w:after="160"/>
      <w:ind w:hanging="357"/>
    </w:pPr>
  </w:style>
  <w:style w:type="character" w:customStyle="1" w:styleId="DeptBulletsChar">
    <w:name w:val="DeptBullets Char"/>
    <w:basedOn w:val="Heading4Char"/>
    <w:link w:val="DeptBullets"/>
    <w:rsid w:val="009B0DAA"/>
    <w:rPr>
      <w:b w:val="0"/>
      <w:bCs w:val="0"/>
      <w:color w:val="000000" w:themeColor="text1"/>
      <w:sz w:val="24"/>
      <w:szCs w:val="24"/>
    </w:rPr>
  </w:style>
  <w:style w:type="character" w:styleId="CommentReference">
    <w:name w:val="annotation reference"/>
    <w:basedOn w:val="DefaultParagraphFont"/>
    <w:semiHidden/>
    <w:unhideWhenUsed/>
    <w:rsid w:val="00FC6848"/>
    <w:rPr>
      <w:sz w:val="16"/>
      <w:szCs w:val="16"/>
    </w:rPr>
  </w:style>
  <w:style w:type="paragraph" w:styleId="CommentText">
    <w:name w:val="annotation text"/>
    <w:basedOn w:val="Normal"/>
    <w:link w:val="CommentTextChar"/>
    <w:semiHidden/>
    <w:unhideWhenUsed/>
    <w:rsid w:val="00FC6848"/>
    <w:pPr>
      <w:spacing w:line="240" w:lineRule="auto"/>
    </w:pPr>
    <w:rPr>
      <w:sz w:val="20"/>
      <w:szCs w:val="20"/>
    </w:rPr>
  </w:style>
  <w:style w:type="character" w:customStyle="1" w:styleId="CommentTextChar">
    <w:name w:val="Comment Text Char"/>
    <w:basedOn w:val="DefaultParagraphFont"/>
    <w:link w:val="CommentText"/>
    <w:semiHidden/>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3A01C4"/>
    <w:rPr>
      <w:rFonts w:cs="Arial"/>
      <w:b/>
      <w:bCs/>
      <w:color w:val="104F75"/>
      <w:sz w:val="48"/>
      <w:szCs w:val="48"/>
    </w:rPr>
  </w:style>
  <w:style w:type="character" w:customStyle="1" w:styleId="DateChar">
    <w:name w:val="Date Char"/>
    <w:basedOn w:val="DefaultParagraphFont"/>
    <w:link w:val="Date"/>
    <w:rsid w:val="003A01C4"/>
    <w:rPr>
      <w:rFonts w:cs="Arial"/>
      <w:b/>
      <w:bCs/>
      <w:color w:val="104F75"/>
      <w:sz w:val="48"/>
      <w:szCs w:val="48"/>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7"/>
      </w:numPr>
    </w:pPr>
  </w:style>
  <w:style w:type="character" w:customStyle="1" w:styleId="DfESOutNumbered1Char">
    <w:name w:val="DfESOutNumbered1 Char"/>
    <w:link w:val="DfESOutNumbered1"/>
    <w:rsid w:val="007A0750"/>
    <w:rPr>
      <w:sz w:val="24"/>
      <w:szCs w:val="24"/>
    </w:rPr>
  </w:style>
  <w:style w:type="paragraph" w:styleId="ListBullet2">
    <w:name w:val="List Bullet 2"/>
    <w:basedOn w:val="Normal"/>
    <w:qFormat/>
    <w:rsid w:val="003154AC"/>
    <w:pPr>
      <w:numPr>
        <w:numId w:val="5"/>
      </w:numPr>
      <w:spacing w:after="120"/>
      <w:ind w:left="641" w:hanging="357"/>
    </w:pPr>
  </w:style>
  <w:style w:type="paragraph" w:styleId="ListBullet3">
    <w:name w:val="List Bullet 3"/>
    <w:basedOn w:val="Normal"/>
    <w:qFormat/>
    <w:rsid w:val="003154AC"/>
    <w:pPr>
      <w:numPr>
        <w:numId w:val="6"/>
      </w:numPr>
      <w:spacing w:after="120"/>
      <w:ind w:left="924" w:hanging="357"/>
    </w:pPr>
  </w:style>
  <w:style w:type="paragraph" w:styleId="ListBullet4">
    <w:name w:val="List Bullet 4"/>
    <w:basedOn w:val="Normal"/>
    <w:qFormat/>
    <w:rsid w:val="003154AC"/>
    <w:pPr>
      <w:numPr>
        <w:numId w:val="8"/>
      </w:numPr>
      <w:spacing w:after="120"/>
      <w:ind w:left="1208" w:hanging="357"/>
    </w:pPr>
  </w:style>
  <w:style w:type="paragraph" w:customStyle="1" w:styleId="DeptOutNumbered">
    <w:name w:val="DeptOutNumbered"/>
    <w:basedOn w:val="Normal"/>
    <w:rsid w:val="006E5056"/>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italic1">
    <w:name w:val="italic1"/>
    <w:rsid w:val="006E5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32535967">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9408088">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59679241">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psi@nationalarchives.gsi.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nationalarchives.gov.uk/doc/open-government-licence/version/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acebook.com/educationgovuk" TargetMode="External"/><Relationship Id="rId10" Type="http://schemas.openxmlformats.org/officeDocument/2006/relationships/settings" Target="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IWPContributor xmlns="997afc33-607c-4a50-be01-8845a1308ccc">
      <UserInfo>
        <DisplayName/>
        <AccountId xsi:nil="true"/>
        <AccountType/>
      </UserInfo>
    </IWPContributor>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997afc33-607c-4a50-be01-8845a1308ccc">
      <Terms xmlns="http://schemas.microsoft.com/office/infopath/2007/PartnerControls"/>
    </IWPSiteType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997afc33-607c-4a50-be01-8845a1308ccc">
      <Terms xmlns="http://schemas.microsoft.com/office/infopath/2007/PartnerControls"/>
    </IWPSubjectTaxHTField0>
    <IWPFunctionTaxHTField0 xmlns="997afc33-607c-4a50-be01-8845a1308ccc">
      <Terms xmlns="http://schemas.microsoft.com/office/infopath/2007/PartnerControls"/>
    </IWPFunctionTaxHTField0>
    <Comments xmlns="http://schemas.microsoft.com/sharepoint/v3" xsi:nil="true"/>
    <_dlc_DocId xmlns="b8cb3cbd-ce5c-4a72-9da4-9013f91c5903">Z6JRPTRWTTFX-9-22702</_dlc_DocId>
    <_dlc_DocIdUrl xmlns="b8cb3cbd-ce5c-4a72-9da4-9013f91c5903">
      <Url>http://workplaces/sites/sr/a/_layouts/DocIdRedir.aspx?ID=Z6JRPTRWTTFX-9-22702</Url>
      <Description>Z6JRPTRWTTFX-9-22702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licy briefing" ma:contentTypeID="0x0101007F645D6FBA204A029FECB8BFC6578C39005279853530254253B886E13194843F8A003AA4A7828D8545A79A9356801381234800274B971EFBC325419ADE6E23CE3CD434" ma:contentTypeVersion="9" ma:contentTypeDescription="For departmental policy briefings. Records retained for 10 years." ma:contentTypeScope="" ma:versionID="4d77006a5eabd6348bfa20329730e74d">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6231f2206588de678ea87a0657c8312e"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3812348"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http://schemas.microsoft.com/sharepoint/v3"/>
    <ds:schemaRef ds:uri="http://schemas.microsoft.com/office/infopath/2007/PartnerControls"/>
    <ds:schemaRef ds:uri="997afc33-607c-4a50-be01-8845a1308ccc"/>
    <ds:schemaRef ds:uri="b8cb3cbd-ce5c-4a72-9da4-9013f91c590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320B13B7-617F-421B-8C8C-F12050D5F252}">
  <ds:schemaRefs>
    <ds:schemaRef ds:uri="http://schemas.microsoft.com/sharepoint/events"/>
  </ds:schemaRefs>
</ds:datastoreItem>
</file>

<file path=customXml/itemProps5.xml><?xml version="1.0" encoding="utf-8"?>
<ds:datastoreItem xmlns:ds="http://schemas.openxmlformats.org/officeDocument/2006/customXml" ds:itemID="{8C472E0C-9CC6-4C61-9FA0-8E5BB9D6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065A4C2-80DC-4F76-8457-7C4CC601BF4F}">
  <ds:schemaRefs>
    <ds:schemaRef ds:uri="Microsoft.SharePoint.Taxonomy.ContentTypeSync"/>
  </ds:schemaRefs>
</ds:datastoreItem>
</file>

<file path=customXml/itemProps7.xml><?xml version="1.0" encoding="utf-8"?>
<ds:datastoreItem xmlns:ds="http://schemas.openxmlformats.org/officeDocument/2006/customXml" ds:itemID="{10A52E3E-32BB-422D-B3EA-026882A29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BC08F75B</Template>
  <TotalTime>2</TotalTime>
  <Pages>4</Pages>
  <Words>815</Words>
  <Characters>4652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selective_area_annex_to_single_fa_v4</vt:lpstr>
    </vt:vector>
  </TitlesOfParts>
  <Company>Department for Education</Company>
  <LinksUpToDate>false</LinksUpToDate>
  <CharactersWithSpaces>5457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selective_area_annex_to_single_fa_v4</dc:title>
  <dc:creator>Publishing.TEAM@education.gsi.gov.uk</dc:creator>
  <dc:description>Master-ET-v3.4</dc:description>
  <cp:lastModifiedBy>DELCUETO, Ale</cp:lastModifiedBy>
  <cp:revision>2</cp:revision>
  <cp:lastPrinted>2014-04-02T08:21:00Z</cp:lastPrinted>
  <dcterms:created xsi:type="dcterms:W3CDTF">2015-06-25T07:58:00Z</dcterms:created>
  <dcterms:modified xsi:type="dcterms:W3CDTF">2015-06-25T07:58:00Z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0x0101007F645D6FBA204A029FECB8BFC6578C39005279853530254253B886E13194843F8A003AA4A7828D8545A79A9356801381234800274B971EFBC325419ADE6E23CE3CD434</vt:lpwstr>
  </property>
  <property fmtid="{D5CDD505-2E9C-101B-9397-08002B2CF9AE}" pid="4" name="IWPGroupOOB">
    <vt:lpwstr>Communications Directorate</vt:lpwstr>
  </property>
  <property fmtid="{D5CDD505-2E9C-101B-9397-08002B2CF9AE}" pid="5" name="_dlc_DocIdItemGuid">
    <vt:lpwstr>b8aed33d-864b-43a2-94d3-97f2a4b755ff</vt:lpwstr>
  </property>
  <property fmtid="{D5CDD505-2E9C-101B-9397-08002B2CF9AE}" pid="6" name="IWPOrganisationalUnit">
    <vt:lpwstr>4;#DfE|cc08a6d4-dfde-4d0f-bd85-069ebcef80d5</vt:lpwstr>
  </property>
  <property fmtid="{D5CDD505-2E9C-101B-9397-08002B2CF9AE}" pid="7" name="IWPOwner">
    <vt:lpwstr>2;#DfE|a484111e-5b24-4ad9-9778-c536c8c88985</vt:lpwstr>
  </property>
  <property fmtid="{D5CDD505-2E9C-101B-9397-08002B2CF9AE}" pid="8" name="IWPRightsProtectiveMarking">
    <vt:lpwstr>3;#Official|0884c477-2e62-47ea-b19c-5af6e91124c5</vt:lpwstr>
  </property>
  <property fmtid="{D5CDD505-2E9C-101B-9397-08002B2CF9AE}" pid="9" name="IWPFunction">
    <vt:lpwstr/>
  </property>
</Properties>
</file>