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76" w:rsidRDefault="00C63376">
      <w:pPr>
        <w:pStyle w:val="Heading1"/>
        <w:spacing w:before="0" w:after="120"/>
        <w:rPr>
          <w:color w:val="1F497D" w:themeColor="text2"/>
          <w:sz w:val="36"/>
          <w:szCs w:val="36"/>
        </w:rPr>
      </w:pPr>
      <w:bookmarkStart w:id="0" w:name="_Toc456110838"/>
      <w:bookmarkStart w:id="1" w:name="_GoBack"/>
      <w:bookmarkEnd w:id="1"/>
    </w:p>
    <w:bookmarkEnd w:id="0"/>
    <w:p w:rsidR="00C63376" w:rsidRDefault="009B3DF8">
      <w:pPr>
        <w:pStyle w:val="Heading1"/>
        <w:spacing w:before="0" w:after="0"/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>Early Years Initial Teacher Training places for the 2017 to 2018 academic year -</w:t>
      </w:r>
      <w:r>
        <w:rPr>
          <w:rFonts w:cs="Arial"/>
          <w:b w:val="0"/>
          <w:bCs/>
          <w:color w:val="000000"/>
          <w:sz w:val="28"/>
          <w:szCs w:val="28"/>
        </w:rPr>
        <w:t xml:space="preserve"> </w:t>
      </w:r>
      <w:r>
        <w:rPr>
          <w:color w:val="1F497D" w:themeColor="text2"/>
          <w:sz w:val="36"/>
          <w:szCs w:val="36"/>
        </w:rPr>
        <w:t>request template</w:t>
      </w:r>
    </w:p>
    <w:p w:rsidR="00C63376" w:rsidRDefault="00C633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</w:rPr>
      </w:pPr>
    </w:p>
    <w:p w:rsidR="00C63376" w:rsidRDefault="009B3DF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Provider:</w:t>
      </w:r>
    </w:p>
    <w:p w:rsidR="00C63376" w:rsidRDefault="009B3DF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ab/>
        <w:t xml:space="preserve"> </w:t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  <w:t xml:space="preserve">                              </w:t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</w:p>
    <w:p w:rsidR="00C63376" w:rsidRDefault="009B3DF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Contact Name:</w:t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 xml:space="preserve">                                Contact e-mail:</w:t>
      </w:r>
      <w:r>
        <w:rPr>
          <w:rFonts w:cs="Arial"/>
          <w:b/>
          <w:bCs/>
          <w:color w:val="000000"/>
        </w:rPr>
        <w:tab/>
        <w:t xml:space="preserve"> </w:t>
      </w:r>
    </w:p>
    <w:p w:rsidR="00C63376" w:rsidRDefault="00C6337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C63376" w:rsidRDefault="009B3DF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Contact telephone:</w:t>
      </w:r>
      <w:r>
        <w:rPr>
          <w:rFonts w:cs="Arial"/>
          <w:b/>
          <w:bCs/>
          <w:color w:val="000000"/>
        </w:rPr>
        <w:tab/>
      </w:r>
    </w:p>
    <w:p w:rsidR="00C63376" w:rsidRDefault="00C6337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5"/>
        <w:gridCol w:w="3291"/>
      </w:tblGrid>
      <w:tr w:rsidR="00C63376">
        <w:trPr>
          <w:jc w:val="center"/>
        </w:trPr>
        <w:tc>
          <w:tcPr>
            <w:tcW w:w="3181" w:type="pct"/>
            <w:shd w:val="clear" w:color="auto" w:fill="F2F2F2"/>
            <w:vAlign w:val="center"/>
          </w:tcPr>
          <w:p w:rsidR="00C63376" w:rsidRDefault="009B3D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Route</w:t>
            </w:r>
          </w:p>
        </w:tc>
        <w:tc>
          <w:tcPr>
            <w:tcW w:w="1819" w:type="pct"/>
            <w:shd w:val="clear" w:color="auto" w:fill="F2F2F2"/>
            <w:vAlign w:val="center"/>
          </w:tcPr>
          <w:p w:rsidR="00C63376" w:rsidRDefault="009B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Number of early years initial teacher training places requested </w:t>
            </w:r>
          </w:p>
        </w:tc>
      </w:tr>
      <w:tr w:rsidR="00C63376">
        <w:trPr>
          <w:jc w:val="center"/>
        </w:trPr>
        <w:tc>
          <w:tcPr>
            <w:tcW w:w="3181" w:type="pct"/>
            <w:shd w:val="clear" w:color="auto" w:fill="auto"/>
            <w:vAlign w:val="center"/>
          </w:tcPr>
          <w:p w:rsidR="00C63376" w:rsidRDefault="009B3D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Graduate employment based 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C63376" w:rsidRDefault="00C633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C63376">
        <w:trPr>
          <w:jc w:val="center"/>
        </w:trPr>
        <w:tc>
          <w:tcPr>
            <w:tcW w:w="3181" w:type="pct"/>
            <w:shd w:val="clear" w:color="auto" w:fill="auto"/>
            <w:vAlign w:val="center"/>
          </w:tcPr>
          <w:p w:rsidR="00C63376" w:rsidRDefault="009B3D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Graduate entry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C63376" w:rsidRDefault="00C633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C63376">
        <w:trPr>
          <w:jc w:val="center"/>
        </w:trPr>
        <w:tc>
          <w:tcPr>
            <w:tcW w:w="3181" w:type="pct"/>
            <w:shd w:val="clear" w:color="auto" w:fill="auto"/>
            <w:vAlign w:val="center"/>
          </w:tcPr>
          <w:p w:rsidR="00C63376" w:rsidRDefault="009B3D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School Direct (Early Years)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C63376" w:rsidRDefault="00C633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C63376">
        <w:trPr>
          <w:jc w:val="center"/>
        </w:trPr>
        <w:tc>
          <w:tcPr>
            <w:tcW w:w="3181" w:type="pct"/>
            <w:shd w:val="clear" w:color="auto" w:fill="auto"/>
            <w:vAlign w:val="center"/>
          </w:tcPr>
          <w:p w:rsidR="00C63376" w:rsidRDefault="009B3D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</w:t>
            </w: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 xml:space="preserve">chool Direct (Early Years) Lead Organisations only:  name of selected partner accredited ITT provider(s): 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C63376" w:rsidRDefault="00C633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C63376">
        <w:trPr>
          <w:jc w:val="center"/>
        </w:trPr>
        <w:tc>
          <w:tcPr>
            <w:tcW w:w="3181" w:type="pct"/>
            <w:shd w:val="clear" w:color="auto" w:fill="auto"/>
            <w:vAlign w:val="center"/>
          </w:tcPr>
          <w:p w:rsidR="00C63376" w:rsidRDefault="009B3D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Undergraduate  – Please state start point of early years ITT element within the degree programme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C63376" w:rsidRDefault="00C633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C63376">
        <w:trPr>
          <w:jc w:val="center"/>
        </w:trPr>
        <w:tc>
          <w:tcPr>
            <w:tcW w:w="3181" w:type="pct"/>
            <w:shd w:val="clear" w:color="auto" w:fill="auto"/>
            <w:vAlign w:val="center"/>
          </w:tcPr>
          <w:p w:rsidR="00C63376" w:rsidRDefault="009B3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Year 1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C63376" w:rsidRDefault="00C633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C63376">
        <w:trPr>
          <w:jc w:val="center"/>
        </w:trPr>
        <w:tc>
          <w:tcPr>
            <w:tcW w:w="3181" w:type="pct"/>
            <w:shd w:val="clear" w:color="auto" w:fill="auto"/>
            <w:vAlign w:val="center"/>
          </w:tcPr>
          <w:p w:rsidR="00C63376" w:rsidRDefault="009B3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Year 2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C63376" w:rsidRDefault="00C633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C63376">
        <w:trPr>
          <w:jc w:val="center"/>
        </w:trPr>
        <w:tc>
          <w:tcPr>
            <w:tcW w:w="3181" w:type="pct"/>
            <w:shd w:val="clear" w:color="auto" w:fill="auto"/>
            <w:vAlign w:val="center"/>
          </w:tcPr>
          <w:p w:rsidR="00C63376" w:rsidRDefault="009B3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Year 3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C63376" w:rsidRDefault="00C633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C63376">
        <w:trPr>
          <w:jc w:val="center"/>
        </w:trPr>
        <w:tc>
          <w:tcPr>
            <w:tcW w:w="3181" w:type="pct"/>
            <w:shd w:val="clear" w:color="auto" w:fill="auto"/>
            <w:vAlign w:val="center"/>
          </w:tcPr>
          <w:p w:rsidR="00C63376" w:rsidRDefault="009B3D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Assessment only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C63376" w:rsidRDefault="00C633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C63376">
        <w:trPr>
          <w:trHeight w:val="421"/>
          <w:jc w:val="center"/>
        </w:trPr>
        <w:tc>
          <w:tcPr>
            <w:tcW w:w="3181" w:type="pct"/>
            <w:shd w:val="clear" w:color="auto" w:fill="auto"/>
            <w:vAlign w:val="center"/>
          </w:tcPr>
          <w:p w:rsidR="00C63376" w:rsidRDefault="009B3D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C63376" w:rsidRDefault="00C633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</w:tr>
    </w:tbl>
    <w:p w:rsidR="00C63376" w:rsidRDefault="00C6337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C63376" w:rsidRDefault="009B3DF8">
      <w:pPr>
        <w:spacing w:after="0"/>
        <w:rPr>
          <w:rFonts w:cs="Arial"/>
          <w:bCs/>
          <w:i/>
          <w:color w:val="000000"/>
        </w:rPr>
      </w:pPr>
      <w:r>
        <w:rPr>
          <w:rFonts w:cs="Arial"/>
          <w:color w:val="000000"/>
        </w:rPr>
        <w:t xml:space="preserve">You are invited to provide evidence to support your application for the allocation of </w:t>
      </w:r>
      <w:r>
        <w:rPr>
          <w:rFonts w:cs="Arial"/>
          <w:b/>
          <w:color w:val="000000"/>
        </w:rPr>
        <w:t>early</w:t>
      </w:r>
      <w:r>
        <w:rPr>
          <w:rFonts w:cs="Arial"/>
          <w:b/>
          <w:bCs/>
          <w:color w:val="000000"/>
        </w:rPr>
        <w:t xml:space="preserve"> years initial teacher training </w:t>
      </w:r>
      <w:r>
        <w:rPr>
          <w:rFonts w:cs="Arial"/>
          <w:bCs/>
          <w:color w:val="000000"/>
        </w:rPr>
        <w:t>places below</w:t>
      </w:r>
      <w:r>
        <w:rPr>
          <w:rFonts w:cs="Arial"/>
          <w:bCs/>
          <w:i/>
          <w:color w:val="000000"/>
        </w:rPr>
        <w:t>:</w:t>
      </w:r>
    </w:p>
    <w:p w:rsidR="00C63376" w:rsidRDefault="00C63376">
      <w:pPr>
        <w:spacing w:after="0"/>
        <w:rPr>
          <w:rFonts w:cs="Arial"/>
          <w:bCs/>
          <w:i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6"/>
      </w:tblGrid>
      <w:tr w:rsidR="00C63376">
        <w:trPr>
          <w:trHeight w:val="4999"/>
        </w:trPr>
        <w:tc>
          <w:tcPr>
            <w:tcW w:w="9046" w:type="dxa"/>
          </w:tcPr>
          <w:p w:rsidR="00C63376" w:rsidRDefault="009B3DF8">
            <w:pPr>
              <w:spacing w:after="0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 xml:space="preserve">Please include here information or evidence to support your request for places, e.g. this could be used to </w:t>
            </w:r>
            <w:r>
              <w:rPr>
                <w:rFonts w:cs="Arial"/>
                <w:color w:val="000000"/>
                <w:sz w:val="23"/>
                <w:szCs w:val="23"/>
              </w:rPr>
              <w:t>provide an explanation for any large changes in requests from previous years (max 300 words)</w:t>
            </w:r>
          </w:p>
          <w:p w:rsidR="00C63376" w:rsidRDefault="00C63376">
            <w:pPr>
              <w:spacing w:after="0"/>
              <w:rPr>
                <w:rFonts w:cs="Arial"/>
                <w:bCs/>
                <w:color w:val="000000"/>
              </w:rPr>
            </w:pPr>
          </w:p>
        </w:tc>
      </w:tr>
    </w:tbl>
    <w:p w:rsidR="00C63376" w:rsidRDefault="00C63376">
      <w:pPr>
        <w:pStyle w:val="CopyrightBox"/>
        <w:rPr>
          <w:sz w:val="18"/>
          <w:szCs w:val="18"/>
        </w:rPr>
      </w:pPr>
    </w:p>
    <w:sectPr w:rsidR="00C63376">
      <w:headerReference w:type="default" r:id="rId13"/>
      <w:pgSz w:w="11906" w:h="16838"/>
      <w:pgMar w:top="1134" w:right="180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76" w:rsidRDefault="009B3DF8">
      <w:r>
        <w:separator/>
      </w:r>
    </w:p>
  </w:endnote>
  <w:endnote w:type="continuationSeparator" w:id="0">
    <w:p w:rsidR="00C63376" w:rsidRDefault="009B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76" w:rsidRDefault="009B3DF8">
      <w:r>
        <w:separator/>
      </w:r>
    </w:p>
  </w:footnote>
  <w:footnote w:type="continuationSeparator" w:id="0">
    <w:p w:rsidR="00C63376" w:rsidRDefault="009B3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76" w:rsidRDefault="009B3DF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-67310</wp:posOffset>
          </wp:positionH>
          <wp:positionV relativeFrom="paragraph">
            <wp:posOffset>-220980</wp:posOffset>
          </wp:positionV>
          <wp:extent cx="2239010" cy="820420"/>
          <wp:effectExtent l="0" t="0" r="8890" b="0"/>
          <wp:wrapSquare wrapText="left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010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>
    <w:nsid w:val="364D7252"/>
    <w:multiLevelType w:val="hybridMultilevel"/>
    <w:tmpl w:val="01E2B918"/>
    <w:lvl w:ilvl="0" w:tplc="87149A98">
      <w:start w:val="1"/>
      <w:numFmt w:val="bullet"/>
      <w:pStyle w:val="ListBullet2"/>
      <w:lvlText w:val=""/>
      <w:lvlJc w:val="left"/>
      <w:pPr>
        <w:ind w:left="1497" w:hanging="360"/>
      </w:pPr>
      <w:rPr>
        <w:rFonts w:ascii="Wingdings" w:hAnsi="Wingdings" w:hint="default"/>
        <w:color w:val="104F75"/>
      </w:rPr>
    </w:lvl>
    <w:lvl w:ilvl="1" w:tplc="08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76"/>
    <w:rsid w:val="009B3DF8"/>
    <w:rsid w:val="00C6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 Bullet 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pPr>
      <w:spacing w:after="240" w:line="288" w:lineRule="auto"/>
    </w:pPr>
    <w:rPr>
      <w:rFonts w:ascii="Arial" w:hAnsi="Arial"/>
      <w:sz w:val="24"/>
      <w:szCs w:val="24"/>
    </w:rPr>
  </w:style>
  <w:style w:type="paragraph" w:styleId="Heading1">
    <w:name w:val="heading 1"/>
    <w:aliases w:val="Numbered - 1"/>
    <w:basedOn w:val="Normal"/>
    <w:next w:val="Normal"/>
    <w:link w:val="Heading1Char"/>
    <w:qFormat/>
    <w:pPr>
      <w:keepNext/>
      <w:keepLines/>
      <w:spacing w:before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eptBullets">
    <w:name w:val="DeptBullets"/>
    <w:basedOn w:val="Normal"/>
    <w:pPr>
      <w:numPr>
        <w:numId w:val="1"/>
      </w:numPr>
    </w:pPr>
  </w:style>
  <w:style w:type="paragraph" w:customStyle="1" w:styleId="DeptOutNumbered">
    <w:name w:val="DeptOutNumbered"/>
    <w:basedOn w:val="Normal"/>
    <w:pPr>
      <w:numPr>
        <w:numId w:val="2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pPr>
      <w:numPr>
        <w:numId w:val="4"/>
      </w:numPr>
    </w:pPr>
    <w:rPr>
      <w:rFonts w:cs="Arial"/>
      <w:sz w:val="22"/>
    </w:rPr>
  </w:style>
  <w:style w:type="paragraph" w:customStyle="1" w:styleId="DfESBullets">
    <w:name w:val="DfESBullets"/>
    <w:basedOn w:val="Normal"/>
    <w:pPr>
      <w:numPr>
        <w:numId w:val="5"/>
      </w:numPr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aliases w:val="Numbered - 1 Char"/>
    <w:link w:val="Heading1"/>
    <w:rPr>
      <w:rFonts w:ascii="Arial" w:hAnsi="Arial"/>
      <w:b/>
      <w:kern w:val="28"/>
      <w:sz w:val="24"/>
      <w:lang w:eastAsia="en-US"/>
    </w:rPr>
  </w:style>
  <w:style w:type="paragraph" w:customStyle="1" w:styleId="CopyrightBox">
    <w:name w:val="CopyrightBox"/>
    <w:basedOn w:val="Normal"/>
    <w:link w:val="CopyrightBoxChar"/>
    <w:unhideWhenUsed/>
    <w:qFormat/>
  </w:style>
  <w:style w:type="character" w:customStyle="1" w:styleId="CopyrightBoxChar">
    <w:name w:val="CopyrightBox Char"/>
    <w:link w:val="CopyrightBox"/>
    <w:rPr>
      <w:rFonts w:ascii="Arial" w:hAnsi="Arial"/>
      <w:sz w:val="24"/>
      <w:szCs w:val="24"/>
    </w:rPr>
  </w:style>
  <w:style w:type="paragraph" w:styleId="ListBullet2">
    <w:name w:val="List Bullet 2"/>
    <w:basedOn w:val="Normal"/>
    <w:qFormat/>
    <w:pPr>
      <w:numPr>
        <w:numId w:val="8"/>
      </w:numPr>
      <w:tabs>
        <w:tab w:val="left" w:pos="1134"/>
      </w:tabs>
      <w:spacing w:after="60"/>
      <w:ind w:hanging="357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 Bullet 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pPr>
      <w:spacing w:after="240" w:line="288" w:lineRule="auto"/>
    </w:pPr>
    <w:rPr>
      <w:rFonts w:ascii="Arial" w:hAnsi="Arial"/>
      <w:sz w:val="24"/>
      <w:szCs w:val="24"/>
    </w:rPr>
  </w:style>
  <w:style w:type="paragraph" w:styleId="Heading1">
    <w:name w:val="heading 1"/>
    <w:aliases w:val="Numbered - 1"/>
    <w:basedOn w:val="Normal"/>
    <w:next w:val="Normal"/>
    <w:link w:val="Heading1Char"/>
    <w:qFormat/>
    <w:pPr>
      <w:keepNext/>
      <w:keepLines/>
      <w:spacing w:before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eptBullets">
    <w:name w:val="DeptBullets"/>
    <w:basedOn w:val="Normal"/>
    <w:pPr>
      <w:numPr>
        <w:numId w:val="1"/>
      </w:numPr>
    </w:pPr>
  </w:style>
  <w:style w:type="paragraph" w:customStyle="1" w:styleId="DeptOutNumbered">
    <w:name w:val="DeptOutNumbered"/>
    <w:basedOn w:val="Normal"/>
    <w:pPr>
      <w:numPr>
        <w:numId w:val="2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pPr>
      <w:numPr>
        <w:numId w:val="4"/>
      </w:numPr>
    </w:pPr>
    <w:rPr>
      <w:rFonts w:cs="Arial"/>
      <w:sz w:val="22"/>
    </w:rPr>
  </w:style>
  <w:style w:type="paragraph" w:customStyle="1" w:styleId="DfESBullets">
    <w:name w:val="DfESBullets"/>
    <w:basedOn w:val="Normal"/>
    <w:pPr>
      <w:numPr>
        <w:numId w:val="5"/>
      </w:numPr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aliases w:val="Numbered - 1 Char"/>
    <w:link w:val="Heading1"/>
    <w:rPr>
      <w:rFonts w:ascii="Arial" w:hAnsi="Arial"/>
      <w:b/>
      <w:kern w:val="28"/>
      <w:sz w:val="24"/>
      <w:lang w:eastAsia="en-US"/>
    </w:rPr>
  </w:style>
  <w:style w:type="paragraph" w:customStyle="1" w:styleId="CopyrightBox">
    <w:name w:val="CopyrightBox"/>
    <w:basedOn w:val="Normal"/>
    <w:link w:val="CopyrightBoxChar"/>
    <w:unhideWhenUsed/>
    <w:qFormat/>
  </w:style>
  <w:style w:type="character" w:customStyle="1" w:styleId="CopyrightBoxChar">
    <w:name w:val="CopyrightBox Char"/>
    <w:link w:val="CopyrightBox"/>
    <w:rPr>
      <w:rFonts w:ascii="Arial" w:hAnsi="Arial"/>
      <w:sz w:val="24"/>
      <w:szCs w:val="24"/>
    </w:rPr>
  </w:style>
  <w:style w:type="paragraph" w:styleId="ListBullet2">
    <w:name w:val="List Bullet 2"/>
    <w:basedOn w:val="Normal"/>
    <w:qFormat/>
    <w:pPr>
      <w:numPr>
        <w:numId w:val="8"/>
      </w:numPr>
      <w:tabs>
        <w:tab w:val="left" w:pos="1134"/>
      </w:tabs>
      <w:spacing w:after="60"/>
      <w:ind w:hanging="357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AC05CC0BB0050149917FC9D1781A88A9" ma:contentTypeVersion="9" ma:contentTypeDescription="For programme or project documents. Records retained for 10 years." ma:contentTypeScope="" ma:versionID="9e3c14fae3b660d1224024e3041027ed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52068688-d0ac-4012-ab4f-e358165f2008" targetNamespace="http://schemas.microsoft.com/office/2006/metadata/properties" ma:root="true" ma:fieldsID="397f632e568a2efab436451c5620abeb" ns1:_="" ns2:_="" ns3:_="">
    <xsd:import namespace="http://schemas.microsoft.com/sharepoint/v3"/>
    <xsd:import namespace="b8cb3cbd-ce5c-4a72-9da4-9013f91c5903"/>
    <xsd:import namespace="52068688-d0ac-4012-ab4f-e358165f20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8dc2d6c4-b311-495f-801f-4af518d19f93}" ma:internalName="TaxCatchAll" ma:showField="CatchAllData" ma:web="52068688-d0ac-4012-ab4f-e358165f20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8dc2d6c4-b311-495f-801f-4af518d19f93}" ma:internalName="TaxCatchAllLabel" ma:readOnly="true" ma:showField="CatchAllDataLabel" ma:web="52068688-d0ac-4012-ab4f-e358165f20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68688-d0ac-4012-ab4f-e358165f2008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4</Value>
      <Value>2</Value>
      <Value>1</Value>
    </TaxCatchAll>
    <IWPRightsProtectiveMarkingTaxHTField0 xmlns="52068688-d0ac-4012-ab4f-e358165f200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SiteTypeTaxHTField0 xmlns="52068688-d0ac-4012-ab4f-e358165f2008">
      <Terms xmlns="http://schemas.microsoft.com/office/infopath/2007/PartnerControls"/>
    </IWPSiteTypeTaxHTField0>
    <IWPOwnerTaxHTField0 xmlns="52068688-d0ac-4012-ab4f-e358165f200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8a55f59b-7d94-44dd-a344-986d47acf947</TermId>
        </TermInfo>
      </Terms>
    </IWPOwnerTaxHTField0>
    <IWPContributor xmlns="52068688-d0ac-4012-ab4f-e358165f2008">
      <UserInfo>
        <DisplayName/>
        <AccountId xsi:nil="true"/>
        <AccountType/>
      </UserInfo>
    </IWPContributor>
    <IWPOrganisationalUnitTaxHTField0 xmlns="52068688-d0ac-4012-ab4f-e358165f200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FunctionTaxHTField0 xmlns="52068688-d0ac-4012-ab4f-e358165f2008">
      <Terms xmlns="http://schemas.microsoft.com/office/infopath/2007/PartnerControls"/>
    </IWPFunctionTaxHTField0>
    <Comments xmlns="http://schemas.microsoft.com/sharepoint/v3" xsi:nil="true"/>
    <IWPSubjectTaxHTField0 xmlns="52068688-d0ac-4012-ab4f-e358165f2008">
      <Terms xmlns="http://schemas.microsoft.com/office/infopath/2007/PartnerControls"/>
    </IWPSubjectTaxHTField0>
    <_dlc_DocId xmlns="b8cb3cbd-ce5c-4a72-9da4-9013f91c5903">VUEZP7Q5RQSS-4-20970</_dlc_DocId>
    <_dlc_DocIdUrl xmlns="b8cb3cbd-ce5c-4a72-9da4-9013f91c5903">
      <Url>http://workplaces/sites/taey/_layouts/DocIdRedir.aspx?ID=VUEZP7Q5RQSS-4-20970</Url>
      <Description>VUEZP7Q5RQSS-4-20970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0545F8-265F-4CF6-B25A-185EAC79F4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6F540AB-A170-4BB0-979E-036F774E78C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02625CF-B642-4615-8E95-4E4B7958C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52068688-d0ac-4012-ab4f-e358165f2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11BF8F-F947-48A5-84F6-F9E2BB4F4084}">
  <ds:schemaRefs>
    <ds:schemaRef ds:uri="http://purl.org/dc/elements/1.1/"/>
    <ds:schemaRef ds:uri="http://schemas.microsoft.com/sharepoint/v3"/>
    <ds:schemaRef ds:uri="http://purl.org/dc/terms/"/>
    <ds:schemaRef ds:uri="http://www.w3.org/XML/1998/namespace"/>
    <ds:schemaRef ds:uri="b8cb3cbd-ce5c-4a72-9da4-9013f91c5903"/>
    <ds:schemaRef ds:uri="http://schemas.microsoft.com/office/2006/documentManagement/types"/>
    <ds:schemaRef ds:uri="http://schemas.microsoft.com/office/2006/metadata/properties"/>
    <ds:schemaRef ds:uri="52068688-d0ac-4012-ab4f-e358165f2008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8A362DE-CEB4-4236-B7BD-31735143E6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7D7D7D2E</Template>
  <TotalTime>0</TotalTime>
  <Pages>1</Pages>
  <Words>147</Words>
  <Characters>843</Characters>
  <Application>Microsoft Office Word</Application>
  <DocSecurity>4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years ITT 2017 to 2018 request template</vt:lpstr>
    </vt:vector>
  </TitlesOfParts>
  <Company>DfE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ITT 2017 to 2018 request template</dc:title>
  <dc:creator>BRERETON, Tracy</dc:creator>
  <cp:lastModifiedBy>HOWE, Vikki</cp:lastModifiedBy>
  <cp:revision>2</cp:revision>
  <dcterms:created xsi:type="dcterms:W3CDTF">2016-07-14T11:09:00Z</dcterms:created>
  <dcterms:modified xsi:type="dcterms:W3CDTF">2016-07-14T11:09:00Z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0x0101007F645D6FBA204A029FECB8BFC6578C39005279853530254253B886E13194843F8A003AA4A7828D8545A79A9356801581235000AC05CC0BB0050149917FC9D1781A88A9</vt:lpwstr>
  </property>
  <property fmtid="{D5CDD505-2E9C-101B-9397-08002B2CF9AE}" pid="3" name="IWPOrganisationalUnit">
    <vt:lpwstr>4;#NCTL|50b03fc4-9596-44c0-8ddf-78c55856c7ae</vt:lpwstr>
  </property>
  <property fmtid="{D5CDD505-2E9C-101B-9397-08002B2CF9AE}" pid="4" name="IWPOwner">
    <vt:lpwstr>1;#NCTL|8a55f59b-7d94-44dd-a344-986d47acf947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60ed13d5-a834-4128-bd3e-5c11aa907001</vt:lpwstr>
  </property>
</Properties>
</file>