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CB" w:rsidRDefault="001B79CB" w:rsidP="00E62D85">
      <w:pPr>
        <w:rPr>
          <w:b/>
        </w:rPr>
      </w:pPr>
      <w:r>
        <w:rPr>
          <w:b/>
        </w:rPr>
        <w:t>NHS pension scheme example disclosure note</w:t>
      </w:r>
      <w:r w:rsidR="00D43CE4">
        <w:rPr>
          <w:b/>
        </w:rPr>
        <w:t xml:space="preserve"> </w:t>
      </w:r>
    </w:p>
    <w:p w:rsidR="00D43CE4" w:rsidRDefault="00D43CE4" w:rsidP="00E62D85">
      <w:r>
        <w:t>PENSION COSTS</w:t>
      </w:r>
      <w:bookmarkStart w:id="0" w:name="_GoBack"/>
      <w:bookmarkEnd w:id="0"/>
    </w:p>
    <w:p w:rsidR="00D43CE4" w:rsidRDefault="00D43CE4" w:rsidP="00E62D85">
      <w:r w:rsidRPr="00D43CE4">
        <w:t>Past and present employees are covered by the provisions of the NHS Pensions</w:t>
      </w:r>
      <w:r>
        <w:t xml:space="preserve"> </w:t>
      </w:r>
      <w:r w:rsidRPr="00D43CE4">
        <w:t>Scheme. Details of the benefits payable under these</w:t>
      </w:r>
      <w:r>
        <w:t xml:space="preserve"> provisions can be found on the </w:t>
      </w:r>
      <w:r w:rsidRPr="00D43CE4">
        <w:t>NHS Pensions website at www.nhsbsa.nh</w:t>
      </w:r>
      <w:r>
        <w:t xml:space="preserve">s.uk/pensions. The scheme is an </w:t>
      </w:r>
      <w:r w:rsidRPr="00D43CE4">
        <w:t xml:space="preserve">unfunded, defined benefit scheme that covers </w:t>
      </w:r>
      <w:r>
        <w:t xml:space="preserve">NHS employers, GP practices and </w:t>
      </w:r>
      <w:r w:rsidRPr="00D43CE4">
        <w:t>other bodies, allowed under the direction of the Secretary of State, in England and Wales. The scheme is not designed to be run in a way that would enable NHS bodies to identify their share of the underlying scheme assets and liabilities. Therefore, the scheme is accounted for as if it were a defined contribution scheme: the cost to the NHS Body of participating in the scheme is taken as equal to the contributions payable to the scheme for the accounting period.</w:t>
      </w:r>
    </w:p>
    <w:p w:rsidR="00D43CE4" w:rsidRDefault="00D43CE4" w:rsidP="00E62D85">
      <w:r w:rsidRPr="00D43CE4">
        <w:t xml:space="preserve">In order that the defined benefit obligations recognised in the financial statements do not differ materially from those that would be determined at the reporting date by a formal actuarial valuation, the </w:t>
      </w:r>
      <w:proofErr w:type="spellStart"/>
      <w:r w:rsidRPr="00D43CE4">
        <w:t>FReM</w:t>
      </w:r>
      <w:proofErr w:type="spellEnd"/>
      <w:r w:rsidRPr="00D43CE4">
        <w:t xml:space="preserve"> requires that “the period between formal </w:t>
      </w:r>
      <w:r>
        <w:t>v</w:t>
      </w:r>
      <w:r w:rsidRPr="00D43CE4">
        <w:t>aluations shall be four years, with approximate assessments in intervening years”. An outline of these follows:</w:t>
      </w:r>
    </w:p>
    <w:p w:rsidR="00D43CE4" w:rsidRDefault="00D43CE4" w:rsidP="00D43CE4">
      <w:r>
        <w:t>a) Accounting valuation</w:t>
      </w:r>
    </w:p>
    <w:p w:rsidR="00D43CE4" w:rsidRDefault="00D43CE4" w:rsidP="00D43CE4">
      <w:r>
        <w:t xml:space="preserve">A valuation of the scheme liability is carried out annually by the scheme actuary as at the end of the reporting period. This utilises an actuarial assessment for the previous accounting period in conjunction with updated membership and financial data for the current reporting period, and are accepted as providing suitably robust figures for financial reporting purposes. The valuation of the scheme liability as at 31 March </w:t>
      </w:r>
      <w:proofErr w:type="gramStart"/>
      <w:r>
        <w:t>2015,</w:t>
      </w:r>
      <w:proofErr w:type="gramEnd"/>
      <w:r>
        <w:t xml:space="preserve"> is based on valuation data as 31 March 2014, updated to 31 March 2015 with summary global member and accounting data. In undertaking this actuarial </w:t>
      </w:r>
      <w:r>
        <w:t>a</w:t>
      </w:r>
      <w:r>
        <w:t xml:space="preserve">ssessment, the methodology prescribed in IAS 19, relevant </w:t>
      </w:r>
      <w:proofErr w:type="spellStart"/>
      <w:r>
        <w:t>FReM</w:t>
      </w:r>
      <w:proofErr w:type="spellEnd"/>
      <w:r>
        <w:t xml:space="preserve"> interpretations, and the discount rate prescribed by HM Treasury have also been used.</w:t>
      </w:r>
    </w:p>
    <w:p w:rsidR="00D43CE4" w:rsidRDefault="00D43CE4" w:rsidP="00D43CE4">
      <w:r>
        <w:t>The latest assessment of the liabilities of the scheme is contained in the scheme actuary report, which forms part of the annual NHS Pension Scheme (England and Wales) Pension Accounts, published annually. These accounts can be viewed on the NHS Pensions website. Copies can also be obtained from The Stationery Office.</w:t>
      </w:r>
    </w:p>
    <w:p w:rsidR="00D43CE4" w:rsidRDefault="00D43CE4" w:rsidP="00D43CE4">
      <w:r>
        <w:t>b) Full actuarial (funding) valuation</w:t>
      </w:r>
    </w:p>
    <w:p w:rsidR="00D43CE4" w:rsidRDefault="00D43CE4" w:rsidP="00D43CE4">
      <w:r>
        <w:t>The purpose of this valuation is to assess the level of liability in respect of the benefits due under the scheme (taking into account its recent demographic experience), and to recommend the contribution rates.</w:t>
      </w:r>
    </w:p>
    <w:p w:rsidR="00D43CE4" w:rsidRDefault="00D43CE4" w:rsidP="00D43CE4">
      <w:r>
        <w:t>The last published actuarial valuation undertaken for the NHS Pension Scheme was completed for the year ending 31 March 2012.</w:t>
      </w:r>
    </w:p>
    <w:p w:rsidR="00D43CE4" w:rsidRDefault="00D43CE4" w:rsidP="00D43CE4">
      <w:r>
        <w:lastRenderedPageBreak/>
        <w:t>The Scheme Regulations allow contribution rates to be set by the Secretary of State for Health, with the consent of HM Treasury, and consideration of the advice of the Scheme Actuary and appropriate employee and employer representatives as deemed appropriate.</w:t>
      </w:r>
    </w:p>
    <w:p w:rsidR="00D43CE4" w:rsidRDefault="00D43CE4" w:rsidP="00D43CE4">
      <w:r>
        <w:t>c) Scheme provisions</w:t>
      </w:r>
    </w:p>
    <w:p w:rsidR="00D43CE4" w:rsidRDefault="00D43CE4" w:rsidP="00D43CE4">
      <w:r>
        <w:t>The NHS Pension Scheme provided defined benefits, which are summarised below. This list is an illustrative guide only, and is not intended to detail all the benefits provided by the Scheme or the specific conditions that must be met before these benefits can be obtained:</w:t>
      </w:r>
    </w:p>
    <w:p w:rsidR="00D43CE4" w:rsidRDefault="00D43CE4" w:rsidP="00D43CE4">
      <w:r>
        <w:t>The Scheme is a “final salary” scheme. Annual pensions are normally based on 1/80th for the 1995 section and of the best of the last three years pensionable pay for each year of service, and 1/60th for the 2008 section of reckonable pay per year of membership. Members who are practitioners as defined by the Scheme Regulations have their annual pensions based upon total pensionable earnings over the relevant pensionable service.</w:t>
      </w:r>
    </w:p>
    <w:p w:rsidR="00D43CE4" w:rsidRDefault="00D43CE4" w:rsidP="00D43CE4">
      <w:r>
        <w:t>With effect from 1 April 2008 members can choose to give up some of their annual pension for an additional tax free lump sum, up to a maximum amount permitted under HMRC rules. This new provision is known as “pension commutation”.</w:t>
      </w:r>
    </w:p>
    <w:p w:rsidR="00D43CE4" w:rsidRDefault="00D43CE4" w:rsidP="00D43CE4">
      <w:r>
        <w:t xml:space="preserve">Annual increases are applied to pension payments at rates defined by the Pensions (Increase) Act 1971, and are based on changes in retail prices in the twelve months ending 30 September in the previous calendar year. </w:t>
      </w:r>
      <w:proofErr w:type="gramStart"/>
      <w:r>
        <w:t>From 2011-12 the Consumer Price Index (CPI) has been used and replaced the Retail Prices Index (RPI).</w:t>
      </w:r>
      <w:proofErr w:type="gramEnd"/>
    </w:p>
    <w:p w:rsidR="00D43CE4" w:rsidRDefault="00D43CE4" w:rsidP="00D43CE4">
      <w:r>
        <w:t>Early payment of a pension, with enhancement, is available to members of the scheme who are permanently incapable of fulfilling their duties effectively through illness or infirmity. A death gratuity of twice final year’s pensionable pay for death in service, and five times their annual pension for death after retirement is payable.</w:t>
      </w:r>
    </w:p>
    <w:p w:rsidR="00D43CE4" w:rsidRDefault="00D43CE4" w:rsidP="00D43CE4">
      <w:r>
        <w:t>For early retirements other than those due to ill health the additional pension liabilities are not funded by the scheme. The full amount of the liability for the additional costs is charged to the employer.</w:t>
      </w:r>
    </w:p>
    <w:p w:rsidR="00D43CE4" w:rsidRDefault="00D43CE4" w:rsidP="00D43CE4">
      <w:r>
        <w:t>Members can purchase additional service in the NHS Scheme and contribute to money purchase AVC’s run by the Scheme’s approved providers or by other Free Standing Additional Voluntary Contributions (FSAVC) providers.</w:t>
      </w:r>
    </w:p>
    <w:p w:rsidR="00D43CE4" w:rsidRPr="00D43CE4" w:rsidRDefault="00D43CE4" w:rsidP="00D43CE4">
      <w:r>
        <w:t>[Where the organisation has employees who are members of other schemes, disclosures will be required in respect of them too]</w:t>
      </w:r>
    </w:p>
    <w:sectPr w:rsidR="00D43CE4" w:rsidRPr="00D43CE4" w:rsidSect="00E65B3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E4" w:rsidRDefault="00D43CE4" w:rsidP="00BA3ADD">
      <w:pPr>
        <w:spacing w:after="0" w:line="240" w:lineRule="auto"/>
      </w:pPr>
      <w:r>
        <w:separator/>
      </w:r>
    </w:p>
  </w:endnote>
  <w:endnote w:type="continuationSeparator" w:id="0">
    <w:p w:rsidR="00D43CE4" w:rsidRDefault="00D43CE4"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E4" w:rsidRPr="00C70DF2" w:rsidRDefault="00D43CE4" w:rsidP="00C70DF2">
      <w:pPr>
        <w:spacing w:after="120" w:line="240" w:lineRule="auto"/>
        <w:rPr>
          <w:color w:val="7F7F7F" w:themeColor="text2"/>
        </w:rPr>
      </w:pPr>
      <w:r w:rsidRPr="00C70DF2">
        <w:rPr>
          <w:color w:val="7F7F7F" w:themeColor="text2"/>
        </w:rPr>
        <w:separator/>
      </w:r>
    </w:p>
  </w:footnote>
  <w:footnote w:type="continuationSeparator" w:id="0">
    <w:p w:rsidR="00D43CE4" w:rsidRPr="00C70DF2" w:rsidRDefault="00D43CE4" w:rsidP="00C70DF2">
      <w:pPr>
        <w:spacing w:after="120" w:line="240" w:lineRule="auto"/>
        <w:rPr>
          <w:color w:val="7F7F7F" w:themeColor="text2"/>
        </w:rPr>
      </w:pPr>
      <w:r w:rsidRPr="00C70DF2">
        <w:rPr>
          <w:color w:val="7F7F7F" w:themeColor="text2"/>
        </w:rPr>
        <w:continuationSeparator/>
      </w:r>
    </w:p>
  </w:footnote>
  <w:footnote w:type="continuationNotice" w:id="1">
    <w:p w:rsidR="00D43CE4" w:rsidRDefault="00D43C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4">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E4"/>
    <w:rsid w:val="00003337"/>
    <w:rsid w:val="000078C1"/>
    <w:rsid w:val="0002050B"/>
    <w:rsid w:val="00027EE1"/>
    <w:rsid w:val="0003366C"/>
    <w:rsid w:val="0004067C"/>
    <w:rsid w:val="0004188F"/>
    <w:rsid w:val="00045A24"/>
    <w:rsid w:val="00055484"/>
    <w:rsid w:val="00075B43"/>
    <w:rsid w:val="00081D3B"/>
    <w:rsid w:val="000922B5"/>
    <w:rsid w:val="000A1FC9"/>
    <w:rsid w:val="000A28DF"/>
    <w:rsid w:val="000A74A7"/>
    <w:rsid w:val="000B4F75"/>
    <w:rsid w:val="000B6434"/>
    <w:rsid w:val="000C07D8"/>
    <w:rsid w:val="000C2645"/>
    <w:rsid w:val="000C37CA"/>
    <w:rsid w:val="000D4280"/>
    <w:rsid w:val="000D5C83"/>
    <w:rsid w:val="000E2904"/>
    <w:rsid w:val="000E4D92"/>
    <w:rsid w:val="000F0304"/>
    <w:rsid w:val="000F0B51"/>
    <w:rsid w:val="000F63DA"/>
    <w:rsid w:val="000F68E6"/>
    <w:rsid w:val="00132EE6"/>
    <w:rsid w:val="00134577"/>
    <w:rsid w:val="001408F7"/>
    <w:rsid w:val="00146E46"/>
    <w:rsid w:val="00160DCA"/>
    <w:rsid w:val="0016210E"/>
    <w:rsid w:val="00165F7A"/>
    <w:rsid w:val="00171336"/>
    <w:rsid w:val="00177EA0"/>
    <w:rsid w:val="0019177E"/>
    <w:rsid w:val="00193E70"/>
    <w:rsid w:val="00196037"/>
    <w:rsid w:val="00196B98"/>
    <w:rsid w:val="001A2FCB"/>
    <w:rsid w:val="001A6534"/>
    <w:rsid w:val="001B37CB"/>
    <w:rsid w:val="001B6C61"/>
    <w:rsid w:val="001B79CB"/>
    <w:rsid w:val="001C088F"/>
    <w:rsid w:val="001C4302"/>
    <w:rsid w:val="001D5590"/>
    <w:rsid w:val="001E1DF4"/>
    <w:rsid w:val="001E371E"/>
    <w:rsid w:val="001E5F97"/>
    <w:rsid w:val="001F301C"/>
    <w:rsid w:val="001F38AE"/>
    <w:rsid w:val="001F3CFC"/>
    <w:rsid w:val="001F5E3A"/>
    <w:rsid w:val="00202C34"/>
    <w:rsid w:val="002070F4"/>
    <w:rsid w:val="00210C07"/>
    <w:rsid w:val="002215E0"/>
    <w:rsid w:val="00225EC2"/>
    <w:rsid w:val="0023341A"/>
    <w:rsid w:val="00246075"/>
    <w:rsid w:val="0024623A"/>
    <w:rsid w:val="00252718"/>
    <w:rsid w:val="00265C99"/>
    <w:rsid w:val="00273ADF"/>
    <w:rsid w:val="00274C4E"/>
    <w:rsid w:val="0027754F"/>
    <w:rsid w:val="002858F9"/>
    <w:rsid w:val="00290A28"/>
    <w:rsid w:val="00290E04"/>
    <w:rsid w:val="002A3188"/>
    <w:rsid w:val="002B1AFE"/>
    <w:rsid w:val="002C1D24"/>
    <w:rsid w:val="002D1E75"/>
    <w:rsid w:val="002D2DF1"/>
    <w:rsid w:val="002D46EA"/>
    <w:rsid w:val="002E2247"/>
    <w:rsid w:val="002E246D"/>
    <w:rsid w:val="00302107"/>
    <w:rsid w:val="003207C9"/>
    <w:rsid w:val="00322B0C"/>
    <w:rsid w:val="00327CB8"/>
    <w:rsid w:val="003327DF"/>
    <w:rsid w:val="00333D41"/>
    <w:rsid w:val="00347B7E"/>
    <w:rsid w:val="0035039A"/>
    <w:rsid w:val="0035293F"/>
    <w:rsid w:val="00357F70"/>
    <w:rsid w:val="003747C5"/>
    <w:rsid w:val="00380BF9"/>
    <w:rsid w:val="00385DEA"/>
    <w:rsid w:val="003876CA"/>
    <w:rsid w:val="003A09D2"/>
    <w:rsid w:val="003A1EC2"/>
    <w:rsid w:val="003A7CFD"/>
    <w:rsid w:val="003B1AA4"/>
    <w:rsid w:val="003B7499"/>
    <w:rsid w:val="003B7BF9"/>
    <w:rsid w:val="003C4AFA"/>
    <w:rsid w:val="003C656B"/>
    <w:rsid w:val="003C793F"/>
    <w:rsid w:val="003D59BA"/>
    <w:rsid w:val="003F7EE7"/>
    <w:rsid w:val="00407799"/>
    <w:rsid w:val="0041328F"/>
    <w:rsid w:val="00415F4F"/>
    <w:rsid w:val="00422E95"/>
    <w:rsid w:val="0042334E"/>
    <w:rsid w:val="00430B03"/>
    <w:rsid w:val="00431417"/>
    <w:rsid w:val="0043246A"/>
    <w:rsid w:val="0043384D"/>
    <w:rsid w:val="004357DC"/>
    <w:rsid w:val="0044453C"/>
    <w:rsid w:val="00455DFD"/>
    <w:rsid w:val="00465DC7"/>
    <w:rsid w:val="004716CE"/>
    <w:rsid w:val="004721D9"/>
    <w:rsid w:val="00473295"/>
    <w:rsid w:val="004733A4"/>
    <w:rsid w:val="0047543F"/>
    <w:rsid w:val="00481913"/>
    <w:rsid w:val="004832C2"/>
    <w:rsid w:val="0048351F"/>
    <w:rsid w:val="00485B13"/>
    <w:rsid w:val="004862C0"/>
    <w:rsid w:val="00494844"/>
    <w:rsid w:val="004957DD"/>
    <w:rsid w:val="004B1A8A"/>
    <w:rsid w:val="004B5CE4"/>
    <w:rsid w:val="004C4386"/>
    <w:rsid w:val="004C441A"/>
    <w:rsid w:val="004C49C9"/>
    <w:rsid w:val="004E2AED"/>
    <w:rsid w:val="004E7632"/>
    <w:rsid w:val="004F2646"/>
    <w:rsid w:val="004F39E5"/>
    <w:rsid w:val="004F481C"/>
    <w:rsid w:val="004F4E59"/>
    <w:rsid w:val="004F66C0"/>
    <w:rsid w:val="00503ADE"/>
    <w:rsid w:val="00504F62"/>
    <w:rsid w:val="005073A4"/>
    <w:rsid w:val="00520BF7"/>
    <w:rsid w:val="00523D6D"/>
    <w:rsid w:val="00526D74"/>
    <w:rsid w:val="00533AF8"/>
    <w:rsid w:val="00536407"/>
    <w:rsid w:val="00536B9C"/>
    <w:rsid w:val="00536BE2"/>
    <w:rsid w:val="005418AC"/>
    <w:rsid w:val="00542ACF"/>
    <w:rsid w:val="00545671"/>
    <w:rsid w:val="005567DA"/>
    <w:rsid w:val="00561798"/>
    <w:rsid w:val="005702C1"/>
    <w:rsid w:val="005708E6"/>
    <w:rsid w:val="00571FBE"/>
    <w:rsid w:val="00591934"/>
    <w:rsid w:val="005A2A8D"/>
    <w:rsid w:val="005A427F"/>
    <w:rsid w:val="005A6B4C"/>
    <w:rsid w:val="005A7BA6"/>
    <w:rsid w:val="005B36CD"/>
    <w:rsid w:val="005B5B83"/>
    <w:rsid w:val="005B7DDF"/>
    <w:rsid w:val="005C2E38"/>
    <w:rsid w:val="005C4347"/>
    <w:rsid w:val="005C5E69"/>
    <w:rsid w:val="005C6304"/>
    <w:rsid w:val="005C6753"/>
    <w:rsid w:val="005E5732"/>
    <w:rsid w:val="005F32AA"/>
    <w:rsid w:val="005F36A3"/>
    <w:rsid w:val="005F525A"/>
    <w:rsid w:val="005F61DA"/>
    <w:rsid w:val="00613D26"/>
    <w:rsid w:val="00617C4B"/>
    <w:rsid w:val="006316E5"/>
    <w:rsid w:val="006352E4"/>
    <w:rsid w:val="00635355"/>
    <w:rsid w:val="00641681"/>
    <w:rsid w:val="0064215A"/>
    <w:rsid w:val="00643CC8"/>
    <w:rsid w:val="00644CAE"/>
    <w:rsid w:val="00652555"/>
    <w:rsid w:val="00656F4A"/>
    <w:rsid w:val="006604F9"/>
    <w:rsid w:val="006608B3"/>
    <w:rsid w:val="00664498"/>
    <w:rsid w:val="00665601"/>
    <w:rsid w:val="00667595"/>
    <w:rsid w:val="00667AF0"/>
    <w:rsid w:val="006702B7"/>
    <w:rsid w:val="00673813"/>
    <w:rsid w:val="0067756F"/>
    <w:rsid w:val="0068352D"/>
    <w:rsid w:val="006A19FC"/>
    <w:rsid w:val="006A2579"/>
    <w:rsid w:val="006A282E"/>
    <w:rsid w:val="006C2A55"/>
    <w:rsid w:val="006D1AEB"/>
    <w:rsid w:val="006E081D"/>
    <w:rsid w:val="006E4ABA"/>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F045A"/>
    <w:rsid w:val="0080524D"/>
    <w:rsid w:val="008153BA"/>
    <w:rsid w:val="008202B4"/>
    <w:rsid w:val="00821F66"/>
    <w:rsid w:val="00825B73"/>
    <w:rsid w:val="00856A55"/>
    <w:rsid w:val="008608A4"/>
    <w:rsid w:val="008745D9"/>
    <w:rsid w:val="00893BFC"/>
    <w:rsid w:val="00894F8D"/>
    <w:rsid w:val="008B267E"/>
    <w:rsid w:val="008C37E1"/>
    <w:rsid w:val="008D10A1"/>
    <w:rsid w:val="008D414D"/>
    <w:rsid w:val="008D59E3"/>
    <w:rsid w:val="008D5D40"/>
    <w:rsid w:val="008E19E8"/>
    <w:rsid w:val="008E2E60"/>
    <w:rsid w:val="008E4A2D"/>
    <w:rsid w:val="008E668F"/>
    <w:rsid w:val="008F1716"/>
    <w:rsid w:val="008F7540"/>
    <w:rsid w:val="00900FA4"/>
    <w:rsid w:val="0091659B"/>
    <w:rsid w:val="00936200"/>
    <w:rsid w:val="00947FEB"/>
    <w:rsid w:val="00951A54"/>
    <w:rsid w:val="0095235F"/>
    <w:rsid w:val="00964CD9"/>
    <w:rsid w:val="00966145"/>
    <w:rsid w:val="00967AFC"/>
    <w:rsid w:val="009703E8"/>
    <w:rsid w:val="00971775"/>
    <w:rsid w:val="009754CB"/>
    <w:rsid w:val="00983A7B"/>
    <w:rsid w:val="00992C1B"/>
    <w:rsid w:val="009A6EE6"/>
    <w:rsid w:val="009C365F"/>
    <w:rsid w:val="009C689D"/>
    <w:rsid w:val="009C7561"/>
    <w:rsid w:val="009D29BD"/>
    <w:rsid w:val="009D59A9"/>
    <w:rsid w:val="009D5A7B"/>
    <w:rsid w:val="009E0993"/>
    <w:rsid w:val="009E1C4C"/>
    <w:rsid w:val="009F446D"/>
    <w:rsid w:val="00A01C91"/>
    <w:rsid w:val="00A025BC"/>
    <w:rsid w:val="00A10BF8"/>
    <w:rsid w:val="00A14299"/>
    <w:rsid w:val="00A226BC"/>
    <w:rsid w:val="00A23DF0"/>
    <w:rsid w:val="00A34B29"/>
    <w:rsid w:val="00A405F0"/>
    <w:rsid w:val="00A46692"/>
    <w:rsid w:val="00A46D6E"/>
    <w:rsid w:val="00A63FF8"/>
    <w:rsid w:val="00A673DE"/>
    <w:rsid w:val="00A7067A"/>
    <w:rsid w:val="00A75D05"/>
    <w:rsid w:val="00A81BF3"/>
    <w:rsid w:val="00A903A0"/>
    <w:rsid w:val="00A92C1F"/>
    <w:rsid w:val="00A95D75"/>
    <w:rsid w:val="00AA21BF"/>
    <w:rsid w:val="00AC3F63"/>
    <w:rsid w:val="00AD15BD"/>
    <w:rsid w:val="00AE2FEC"/>
    <w:rsid w:val="00AE5EE3"/>
    <w:rsid w:val="00AF3807"/>
    <w:rsid w:val="00AF6453"/>
    <w:rsid w:val="00B039DE"/>
    <w:rsid w:val="00B0551D"/>
    <w:rsid w:val="00B13691"/>
    <w:rsid w:val="00B225C4"/>
    <w:rsid w:val="00B22CB0"/>
    <w:rsid w:val="00B26E6A"/>
    <w:rsid w:val="00B30E92"/>
    <w:rsid w:val="00B36B86"/>
    <w:rsid w:val="00B40BCB"/>
    <w:rsid w:val="00B41209"/>
    <w:rsid w:val="00B41964"/>
    <w:rsid w:val="00B426DC"/>
    <w:rsid w:val="00B465C5"/>
    <w:rsid w:val="00B46A99"/>
    <w:rsid w:val="00B57FBE"/>
    <w:rsid w:val="00B62844"/>
    <w:rsid w:val="00B64A60"/>
    <w:rsid w:val="00B6540C"/>
    <w:rsid w:val="00B65732"/>
    <w:rsid w:val="00B66C62"/>
    <w:rsid w:val="00B7412D"/>
    <w:rsid w:val="00B75749"/>
    <w:rsid w:val="00B75F24"/>
    <w:rsid w:val="00B7619B"/>
    <w:rsid w:val="00B92D87"/>
    <w:rsid w:val="00B967E6"/>
    <w:rsid w:val="00BA1C68"/>
    <w:rsid w:val="00BA37DC"/>
    <w:rsid w:val="00BA3ADD"/>
    <w:rsid w:val="00BA52C9"/>
    <w:rsid w:val="00BA6D02"/>
    <w:rsid w:val="00BB073D"/>
    <w:rsid w:val="00BB1514"/>
    <w:rsid w:val="00BC2BDA"/>
    <w:rsid w:val="00BC3E2E"/>
    <w:rsid w:val="00BD6606"/>
    <w:rsid w:val="00BF2D2E"/>
    <w:rsid w:val="00C15473"/>
    <w:rsid w:val="00C21570"/>
    <w:rsid w:val="00C22656"/>
    <w:rsid w:val="00C232DD"/>
    <w:rsid w:val="00C263A7"/>
    <w:rsid w:val="00C36C83"/>
    <w:rsid w:val="00C41E3F"/>
    <w:rsid w:val="00C426D9"/>
    <w:rsid w:val="00C44CFD"/>
    <w:rsid w:val="00C45BFD"/>
    <w:rsid w:val="00C66625"/>
    <w:rsid w:val="00C70DF2"/>
    <w:rsid w:val="00C76CA2"/>
    <w:rsid w:val="00C932AE"/>
    <w:rsid w:val="00C94739"/>
    <w:rsid w:val="00C94E0B"/>
    <w:rsid w:val="00CA1CD2"/>
    <w:rsid w:val="00CA32DB"/>
    <w:rsid w:val="00CA6D62"/>
    <w:rsid w:val="00CB75D1"/>
    <w:rsid w:val="00CE3B41"/>
    <w:rsid w:val="00CE43DB"/>
    <w:rsid w:val="00CE4856"/>
    <w:rsid w:val="00CF6F72"/>
    <w:rsid w:val="00D22920"/>
    <w:rsid w:val="00D264DF"/>
    <w:rsid w:val="00D32002"/>
    <w:rsid w:val="00D40352"/>
    <w:rsid w:val="00D410FD"/>
    <w:rsid w:val="00D43CE4"/>
    <w:rsid w:val="00D60FAB"/>
    <w:rsid w:val="00D62688"/>
    <w:rsid w:val="00D6482A"/>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A57"/>
    <w:rsid w:val="00E22734"/>
    <w:rsid w:val="00E27CF0"/>
    <w:rsid w:val="00E34DCF"/>
    <w:rsid w:val="00E35C33"/>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3330"/>
    <w:rsid w:val="00F41341"/>
    <w:rsid w:val="00F42401"/>
    <w:rsid w:val="00F42DB3"/>
    <w:rsid w:val="00F435CC"/>
    <w:rsid w:val="00F45253"/>
    <w:rsid w:val="00F45B60"/>
    <w:rsid w:val="00F6141B"/>
    <w:rsid w:val="00F65071"/>
    <w:rsid w:val="00F66288"/>
    <w:rsid w:val="00F7162D"/>
    <w:rsid w:val="00F72D31"/>
    <w:rsid w:val="00F74984"/>
    <w:rsid w:val="00FA4B7E"/>
    <w:rsid w:val="00FA6716"/>
    <w:rsid w:val="00FB7158"/>
    <w:rsid w:val="00FC4E79"/>
    <w:rsid w:val="00FC63A4"/>
    <w:rsid w:val="00FC6DCB"/>
    <w:rsid w:val="00FD174D"/>
    <w:rsid w:val="00FE1C9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8608A4"/>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49"/>
    <w:unhideWhenUsed/>
    <w:rsid w:val="00860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unhideWhenUsed="1" w:qFormat="1"/>
    <w:lsdException w:name="heading 5" w:uiPriority="4" w:unhideWhenUsed="1"/>
    <w:lsdException w:name="heading 6" w:uiPriority="4" w:unhideWhenUsed="1"/>
    <w:lsdException w:name="heading 7" w:uiPriority="4" w:unhideWhenUsed="1"/>
    <w:lsdException w:name="heading 8" w:uiPriority="4" w:unhideWhenUsed="1"/>
    <w:lsdException w:name="heading 9" w:uiPriority="4"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19" w:unhideWhenUsed="1"/>
    <w:lsdException w:name="annotation text" w:unhideWhenUsed="1"/>
    <w:lsdException w:name="header" w:unhideWhenUsed="1"/>
    <w:lsdException w:name="footer" w:unhideWhenUsed="1"/>
    <w:lsdException w:name="caption" w:uiPriority="19" w:unhideWhenUsed="1" w:qFormat="1"/>
    <w:lsdException w:name="table of figures" w:unhideWhenUsed="1"/>
    <w:lsdException w:name="footnote reference" w:uiPriority="19" w:unhideWhenUsed="1"/>
    <w:lsdException w:name="annotation reference" w:unhideWhenUsed="1"/>
    <w:lsdException w:name="endnote reference" w:unhideWhenUsed="1"/>
    <w:lsdException w:name="endnote text" w:unhideWhenUsed="1"/>
    <w:lsdException w:name="Closing" w:unhideWhenUsed="1"/>
    <w:lsdException w:name="Default Paragraph Font" w:unhideWhenUsed="1"/>
    <w:lsdException w:name="Subtitle" w:qFormat="1"/>
    <w:lsdException w:name="Date" w:unhideWhenUsed="1"/>
    <w:lsdException w:name="Hyperlink" w:unhideWhenUsed="1"/>
    <w:lsdException w:name="FollowedHyperlink" w:unhideWhenUsed="1"/>
    <w:lsdException w:name="Strong" w:uiPriority="49"/>
    <w:lsdException w:name="Emphasis" w:uiPriority="49"/>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9"/>
    <w:lsdException w:name="Quote" w:uiPriority="49"/>
    <w:lsdException w:name="Intense Quote" w:uiPriority="4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uiPriority="49"/>
    <w:lsdException w:name="TOC Heading" w:unhideWhenUsed="1" w:qFormat="1"/>
  </w:latentStyles>
  <w:style w:type="paragraph" w:default="1" w:styleId="Normal">
    <w:name w:val="Normal"/>
    <w:aliases w:val="~BodyText"/>
    <w:qFormat/>
    <w:rsid w:val="008608A4"/>
    <w:pPr>
      <w:spacing w:line="276" w:lineRule="auto"/>
    </w:pPr>
  </w:style>
  <w:style w:type="paragraph" w:styleId="Heading1">
    <w:name w:val="heading 1"/>
    <w:aliases w:val="~SectionHeading"/>
    <w:basedOn w:val="SecHeadNonToc"/>
    <w:next w:val="Normal"/>
    <w:link w:val="Heading1Char"/>
    <w:uiPriority w:val="1"/>
    <w:qFormat/>
    <w:rsid w:val="008608A4"/>
    <w:pPr>
      <w:pageBreakBefore w:val="0"/>
      <w:spacing w:before="240"/>
      <w:outlineLvl w:val="0"/>
    </w:pPr>
  </w:style>
  <w:style w:type="paragraph" w:styleId="Heading2">
    <w:name w:val="heading 2"/>
    <w:aliases w:val="~SubHeading"/>
    <w:basedOn w:val="ExecSumSubHead"/>
    <w:next w:val="Normal"/>
    <w:link w:val="Heading2Char"/>
    <w:uiPriority w:val="2"/>
    <w:qFormat/>
    <w:rsid w:val="008608A4"/>
    <w:pPr>
      <w:outlineLvl w:val="1"/>
    </w:pPr>
  </w:style>
  <w:style w:type="paragraph" w:styleId="Heading3">
    <w:name w:val="heading 3"/>
    <w:aliases w:val="~MinorSubHeading"/>
    <w:basedOn w:val="Heading2"/>
    <w:next w:val="Normal"/>
    <w:link w:val="Heading3Char"/>
    <w:uiPriority w:val="3"/>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GridTableLight">
    <w:name w:val="Grid Table Light"/>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sz w:val="20"/>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8608A4"/>
    <w:rPr>
      <w:color w:val="000000" w:themeColor="text1"/>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uiPriority w:val="19"/>
    <w:rsid w:val="008608A4"/>
    <w:rPr>
      <w:rFonts w:asciiTheme="minorHAnsi" w:hAnsiTheme="minorHAnsi"/>
      <w:vertAlign w:val="superscript"/>
    </w:rPr>
  </w:style>
  <w:style w:type="paragraph" w:styleId="FootnoteText">
    <w:name w:val="footnote text"/>
    <w:aliases w:val="~FootnoteText"/>
    <w:basedOn w:val="NoSpacing"/>
    <w:uiPriority w:val="19"/>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uiPriority w:val="2"/>
    <w:rsid w:val="008608A4"/>
    <w:rPr>
      <w:rFonts w:asciiTheme="majorHAnsi" w:hAnsiTheme="majorHAnsi"/>
      <w:b/>
    </w:rPr>
  </w:style>
  <w:style w:type="character" w:customStyle="1" w:styleId="Heading3Char">
    <w:name w:val="Heading 3 Char"/>
    <w:aliases w:val="~MinorSubHeading Char"/>
    <w:basedOn w:val="DefaultParagraphFont"/>
    <w:link w:val="Heading3"/>
    <w:uiPriority w:val="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8608A4"/>
    <w:rPr>
      <w:color w:val="0072C6" w:themeColor="accent1"/>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8608A4"/>
    <w:pPr>
      <w:tabs>
        <w:tab w:val="left" w:pos="425"/>
        <w:tab w:val="right" w:leader="dot" w:pos="9015"/>
      </w:tabs>
      <w:spacing w:before="200"/>
      <w:ind w:right="425"/>
    </w:pPr>
    <w:rPr>
      <w:rFonts w:asciiTheme="majorHAnsi" w:hAnsiTheme="majorHAnsi"/>
      <w:noProof/>
      <w:sz w:val="22"/>
      <w:lang w:eastAsia="en-GB"/>
    </w:rPr>
  </w:style>
  <w:style w:type="paragraph" w:styleId="TOC2">
    <w:name w:val="toc 2"/>
    <w:aliases w:val="~SubHeadings"/>
    <w:basedOn w:val="TOC1"/>
    <w:next w:val="Normal"/>
    <w:uiPriority w:val="39"/>
    <w:unhideWhenUsed/>
    <w:rsid w:val="008608A4"/>
    <w:pPr>
      <w:spacing w:before="40" w:after="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after="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rPr>
      <w:rFonts w:ascii="Arial" w:hAnsi="Arial"/>
    </w:r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after="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uiPriority w:val="49"/>
    <w:unhideWhenUsed/>
    <w:rsid w:val="0086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71AB-B88E-4D9E-AFF0-0DBC9DB8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921C72DE</Template>
  <TotalTime>8</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Shirtliff</dc:creator>
  <cp:lastModifiedBy>Eleanor Shirtliff</cp:lastModifiedBy>
  <cp:revision>2</cp:revision>
  <cp:lastPrinted>2014-05-12T12:17:00Z</cp:lastPrinted>
  <dcterms:created xsi:type="dcterms:W3CDTF">2015-05-05T13:59:00Z</dcterms:created>
  <dcterms:modified xsi:type="dcterms:W3CDTF">2015-05-05T14:07:00Z</dcterms:modified>
</cp:coreProperties>
</file>