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7" w:type="dxa"/>
        <w:jc w:val="center"/>
        <w:tblInd w:w="-633" w:type="dxa"/>
        <w:tblLayout w:type="fixed"/>
        <w:tblLook w:val="0000" w:firstRow="0" w:lastRow="0" w:firstColumn="0" w:lastColumn="0" w:noHBand="0" w:noVBand="0"/>
      </w:tblPr>
      <w:tblGrid>
        <w:gridCol w:w="10097"/>
      </w:tblGrid>
      <w:tr w:rsidR="00634378" w:rsidTr="00634378">
        <w:trPr>
          <w:cantSplit/>
          <w:trHeight w:val="2977"/>
          <w:jc w:val="center"/>
        </w:trPr>
        <w:tc>
          <w:tcPr>
            <w:tcW w:w="10097" w:type="dxa"/>
          </w:tcPr>
          <w:tbl>
            <w:tblPr>
              <w:tblW w:w="97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093"/>
              <w:gridCol w:w="4053"/>
              <w:gridCol w:w="3595"/>
            </w:tblGrid>
            <w:tr w:rsidR="007A00D9" w:rsidTr="00E828CD">
              <w:trPr>
                <w:trHeight w:hRule="exact" w:val="2259"/>
                <w:jc w:val="center"/>
              </w:trPr>
              <w:tc>
                <w:tcPr>
                  <w:tcW w:w="2093" w:type="dxa"/>
                </w:tcPr>
                <w:p w:rsidR="007A00D9" w:rsidRDefault="007A00D9" w:rsidP="00BB5153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sz w:val="18"/>
                    </w:rPr>
                  </w:pPr>
                  <w:bookmarkStart w:id="0" w:name="_GoBack"/>
                  <w:r>
                    <w:rPr>
                      <w:noProof/>
                      <w:sz w:val="18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67E70300" wp14:editId="246AF82F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18415</wp:posOffset>
                        </wp:positionV>
                        <wp:extent cx="1262380" cy="1144905"/>
                        <wp:effectExtent l="0" t="0" r="0" b="0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2380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4053" w:type="dxa"/>
                  <w:vAlign w:val="bottom"/>
                </w:tcPr>
                <w:p w:rsidR="007A00D9" w:rsidRDefault="007A00D9" w:rsidP="00BB5153">
                  <w:pPr>
                    <w:tabs>
                      <w:tab w:val="left" w:pos="5670"/>
                      <w:tab w:val="left" w:pos="7088"/>
                    </w:tabs>
                    <w:spacing w:after="240"/>
                    <w:jc w:val="center"/>
                    <w:rPr>
                      <w:noProof/>
                      <w:sz w:val="18"/>
                      <w:lang w:eastAsia="en-GB"/>
                    </w:rPr>
                  </w:pPr>
                </w:p>
              </w:tc>
              <w:tc>
                <w:tcPr>
                  <w:tcW w:w="3595" w:type="dxa"/>
                </w:tcPr>
                <w:p w:rsidR="00E828CD" w:rsidRDefault="00E828CD" w:rsidP="00E828CD">
                  <w:pPr>
                    <w:jc w:val="righ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Veterinary Medicines Directorate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Woodham Lane, New Haw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Addlestone, Surrey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KT15 3LS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United Kingdom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+44 (0)1932 336911</w:t>
                  </w:r>
                </w:p>
                <w:p w:rsidR="00E828CD" w:rsidRDefault="00E828CD" w:rsidP="00E828CD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+44 (0)1932 336618</w:t>
                  </w:r>
                </w:p>
                <w:p w:rsidR="007A00D9" w:rsidRDefault="00E828CD" w:rsidP="00E828CD">
                  <w:pPr>
                    <w:tabs>
                      <w:tab w:val="left" w:pos="5670"/>
                      <w:tab w:val="left" w:pos="7088"/>
                    </w:tabs>
                    <w:spacing w:after="240"/>
                    <w:rPr>
                      <w:sz w:val="18"/>
                    </w:rPr>
                  </w:pPr>
                  <w:r>
                    <w:rPr>
                      <w:sz w:val="20"/>
                    </w:rPr>
                    <w:t>Search for VMD on GOV.UK</w:t>
                  </w:r>
                </w:p>
              </w:tc>
            </w:tr>
          </w:tbl>
          <w:p w:rsidR="00634378" w:rsidRDefault="00634378" w:rsidP="00323A85">
            <w:pPr>
              <w:jc w:val="center"/>
              <w:rPr>
                <w:rFonts w:cs="Arial"/>
                <w:b/>
              </w:rPr>
            </w:pPr>
          </w:p>
          <w:p w:rsidR="00FC092B" w:rsidRDefault="00634378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APPLICATION FOR</w:t>
            </w:r>
            <w:r w:rsidR="00FC092B">
              <w:rPr>
                <w:rFonts w:cs="Arial"/>
                <w:b/>
              </w:rPr>
              <w:t xml:space="preserve"> THE </w:t>
            </w:r>
            <w:r w:rsidR="00196FB3">
              <w:rPr>
                <w:rFonts w:cs="Arial"/>
                <w:b/>
              </w:rPr>
              <w:t xml:space="preserve">RENEWAL OF A </w:t>
            </w:r>
          </w:p>
          <w:p w:rsidR="00634378" w:rsidRDefault="00FC092B" w:rsidP="00323A8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VETERINARY HOMEOPATHIC REMEDY</w:t>
            </w:r>
            <w:r w:rsidR="00196FB3">
              <w:rPr>
                <w:rFonts w:cs="Arial"/>
                <w:b/>
              </w:rPr>
              <w:t xml:space="preserve"> REGISTRATION</w:t>
            </w: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  <w:i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156497" wp14:editId="1EC0B333">
                      <wp:simplePos x="0" y="0"/>
                      <wp:positionH relativeFrom="column">
                        <wp:posOffset>157977</wp:posOffset>
                      </wp:positionH>
                      <wp:positionV relativeFrom="paragraph">
                        <wp:posOffset>1766</wp:posOffset>
                      </wp:positionV>
                      <wp:extent cx="6074410" cy="1152939"/>
                      <wp:effectExtent l="57150" t="38100" r="78740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4410" cy="11529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4378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An incomplete application form may delay the application process.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34378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If submitting in hard-copy, please use block capitals.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34378" w:rsidRPr="003C24C3" w:rsidRDefault="00634378" w:rsidP="003C24C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Further guidance about this application type is available in Veterinary Medicines Guidance Note (VMGN) No.</w:t>
                                  </w:r>
                                  <w:r w:rsidR="00FC092B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7</w:t>
                                  </w:r>
                                  <w:r w:rsidRPr="003C24C3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entitled ‘</w:t>
                                  </w:r>
                                  <w:r w:rsidR="00FC092B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Guidance on the Homeopathic Registration Scheme’.</w:t>
                                  </w:r>
                                </w:p>
                                <w:p w:rsidR="00634378" w:rsidRPr="00A732CA" w:rsidRDefault="00634378" w:rsidP="003C24C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left:0;text-align:left;margin-left:12.45pt;margin-top:.15pt;width:478.3pt;height:9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634378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An incomplete application form may delay the application process.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34378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If submitting in hard-copy, please use block capitals.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34378" w:rsidRPr="003C24C3" w:rsidRDefault="00634378" w:rsidP="003C24C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Further guidance about this application type is available in Veterinary Medicines Guidance Note (VMGN) No.</w:t>
                            </w:r>
                            <w:r w:rsidR="00FC092B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7</w:t>
                            </w:r>
                            <w:r w:rsidRPr="003C24C3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entitled ‘</w:t>
                            </w:r>
                            <w:r w:rsidR="00FC092B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Guidance on the Homeopathic Registration Scheme’.</w:t>
                            </w:r>
                          </w:p>
                          <w:p w:rsidR="00634378" w:rsidRPr="00A732CA" w:rsidRDefault="00634378" w:rsidP="003C24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pBdr>
                <w:bottom w:val="single" w:sz="6" w:space="1" w:color="auto"/>
              </w:pBd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</w:p>
          <w:p w:rsidR="00634378" w:rsidRDefault="00634378" w:rsidP="00C060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SECTION 1 – ADMINISTRATIVE DETAILS</w:t>
            </w:r>
          </w:p>
          <w:p w:rsidR="00634378" w:rsidRPr="00BA51A7" w:rsidRDefault="00634378" w:rsidP="00BA51A7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CD0BD9" w:rsidRPr="008B33A9" w:rsidRDefault="00CD0BD9" w:rsidP="00CD0BD9">
      <w:pPr>
        <w:jc w:val="left"/>
        <w:rPr>
          <w:b/>
        </w:rPr>
      </w:pPr>
      <w:r w:rsidRPr="008B33A9">
        <w:rPr>
          <w:b/>
        </w:rPr>
        <w:t>1.</w:t>
      </w:r>
      <w:r w:rsidRPr="008B33A9">
        <w:rPr>
          <w:b/>
        </w:rPr>
        <w:tab/>
      </w:r>
      <w:r w:rsidR="00323A85" w:rsidRPr="008B33A9">
        <w:rPr>
          <w:b/>
        </w:rPr>
        <w:t>Product Name</w:t>
      </w:r>
      <w:r w:rsidRPr="008B33A9">
        <w:rPr>
          <w:b/>
        </w:rPr>
        <w:t>:</w:t>
      </w:r>
      <w:r w:rsidR="00323A85" w:rsidRPr="008B33A9">
        <w:rPr>
          <w:b/>
        </w:rPr>
        <w:t xml:space="preserve"> </w:t>
      </w:r>
      <w:r w:rsidRPr="008B33A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B33A9">
        <w:rPr>
          <w:b/>
        </w:rPr>
        <w:instrText xml:space="preserve"> FORMTEXT </w:instrText>
      </w:r>
      <w:r w:rsidRPr="008B33A9">
        <w:rPr>
          <w:b/>
        </w:rPr>
      </w:r>
      <w:r w:rsidRPr="008B33A9">
        <w:rPr>
          <w:b/>
        </w:rPr>
        <w:fldChar w:fldCharType="separate"/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  <w:noProof/>
        </w:rPr>
        <w:t> </w:t>
      </w:r>
      <w:r w:rsidRPr="008B33A9">
        <w:rPr>
          <w:b/>
        </w:rPr>
        <w:fldChar w:fldCharType="end"/>
      </w:r>
      <w:bookmarkEnd w:id="1"/>
    </w:p>
    <w:p w:rsidR="0008066E" w:rsidRDefault="00CD0BD9" w:rsidP="00CD0BD9">
      <w:pPr>
        <w:jc w:val="left"/>
        <w:rPr>
          <w:b/>
        </w:rPr>
      </w:pPr>
      <w:r w:rsidRPr="008B33A9">
        <w:rPr>
          <w:b/>
        </w:rPr>
        <w:tab/>
      </w:r>
    </w:p>
    <w:p w:rsidR="00FC092B" w:rsidRPr="008B33A9" w:rsidRDefault="00FC092B" w:rsidP="00CD0BD9">
      <w:pPr>
        <w:jc w:val="left"/>
        <w:rPr>
          <w:b/>
        </w:rPr>
      </w:pPr>
    </w:p>
    <w:p w:rsidR="0008066E" w:rsidRPr="008B33A9" w:rsidRDefault="00E614AB" w:rsidP="00323A85">
      <w:pPr>
        <w:autoSpaceDE w:val="0"/>
        <w:autoSpaceDN w:val="0"/>
        <w:adjustRightInd w:val="0"/>
        <w:rPr>
          <w:b/>
        </w:rPr>
      </w:pPr>
      <w:r w:rsidRPr="008B33A9">
        <w:rPr>
          <w:rFonts w:cs="Arial"/>
          <w:b/>
        </w:rPr>
        <w:t>2.</w:t>
      </w:r>
      <w:r w:rsidRPr="008B33A9">
        <w:rPr>
          <w:rFonts w:cs="Arial"/>
          <w:b/>
        </w:rPr>
        <w:tab/>
      </w:r>
      <w:proofErr w:type="spellStart"/>
      <w:r w:rsidR="00E7012A">
        <w:rPr>
          <w:rFonts w:cs="Arial"/>
          <w:b/>
        </w:rPr>
        <w:t>Vh</w:t>
      </w:r>
      <w:proofErr w:type="spellEnd"/>
      <w:r w:rsidR="00E7012A">
        <w:rPr>
          <w:rFonts w:cs="Arial"/>
          <w:b/>
        </w:rPr>
        <w:t xml:space="preserve"> No.</w:t>
      </w:r>
      <w:r w:rsidR="00323A85" w:rsidRPr="008B33A9">
        <w:rPr>
          <w:rFonts w:cs="Arial"/>
          <w:b/>
        </w:rPr>
        <w:t xml:space="preserve"> </w:t>
      </w:r>
      <w:r w:rsidR="0008066E" w:rsidRPr="008B33A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8066E" w:rsidRPr="008B33A9">
        <w:rPr>
          <w:b/>
        </w:rPr>
        <w:instrText xml:space="preserve"> FORMTEXT </w:instrText>
      </w:r>
      <w:r w:rsidR="0008066E" w:rsidRPr="008B33A9">
        <w:rPr>
          <w:b/>
        </w:rPr>
      </w:r>
      <w:r w:rsidR="0008066E" w:rsidRPr="008B33A9">
        <w:rPr>
          <w:b/>
        </w:rPr>
        <w:fldChar w:fldCharType="separate"/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  <w:noProof/>
        </w:rPr>
        <w:t> </w:t>
      </w:r>
      <w:r w:rsidR="0008066E" w:rsidRPr="008B33A9">
        <w:rPr>
          <w:b/>
        </w:rPr>
        <w:fldChar w:fldCharType="end"/>
      </w:r>
    </w:p>
    <w:p w:rsidR="0008066E" w:rsidRDefault="0008066E" w:rsidP="0008066E">
      <w:pPr>
        <w:jc w:val="left"/>
        <w:rPr>
          <w:b/>
        </w:rPr>
      </w:pPr>
      <w:r w:rsidRPr="008B33A9">
        <w:rPr>
          <w:b/>
        </w:rPr>
        <w:tab/>
      </w:r>
    </w:p>
    <w:p w:rsidR="00FC092B" w:rsidRPr="008B33A9" w:rsidRDefault="00FC092B" w:rsidP="0008066E">
      <w:pPr>
        <w:jc w:val="left"/>
        <w:rPr>
          <w:b/>
        </w:rPr>
      </w:pPr>
    </w:p>
    <w:p w:rsidR="00CD0BD9" w:rsidRPr="008B33A9" w:rsidRDefault="00E01C93" w:rsidP="00E01C93">
      <w:pPr>
        <w:ind w:right="-566"/>
        <w:jc w:val="left"/>
        <w:rPr>
          <w:b/>
        </w:rPr>
      </w:pPr>
      <w:r>
        <w:rPr>
          <w:b/>
        </w:rPr>
        <w:t>3</w:t>
      </w:r>
      <w:r w:rsidR="00CD0BD9" w:rsidRPr="008B33A9">
        <w:rPr>
          <w:b/>
        </w:rPr>
        <w:t>.</w:t>
      </w:r>
      <w:r w:rsidR="00CD0BD9">
        <w:tab/>
      </w:r>
      <w:r w:rsidR="002D6EBF">
        <w:rPr>
          <w:b/>
        </w:rPr>
        <w:t xml:space="preserve">Name and Address of </w:t>
      </w:r>
      <w:r w:rsidR="00CD02F8">
        <w:rPr>
          <w:b/>
        </w:rPr>
        <w:t>Registration</w:t>
      </w:r>
      <w:r>
        <w:rPr>
          <w:b/>
        </w:rPr>
        <w:t xml:space="preserve"> Holder</w:t>
      </w:r>
      <w:r w:rsidR="002D6EBF">
        <w:rPr>
          <w:b/>
        </w:rPr>
        <w:t>:</w:t>
      </w:r>
    </w:p>
    <w:p w:rsidR="00CD0BD9" w:rsidRDefault="00CD0BD9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="002D6EBF">
        <w:t xml:space="preserve">Company </w:t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23A85" w:rsidRDefault="00323A85" w:rsidP="00CD0BD9">
      <w:pPr>
        <w:jc w:val="left"/>
      </w:pPr>
    </w:p>
    <w:p w:rsidR="00323A85" w:rsidRDefault="00323A85" w:rsidP="00CD0BD9">
      <w:pPr>
        <w:jc w:val="left"/>
      </w:pPr>
      <w:r>
        <w:tab/>
      </w:r>
      <w:r w:rsidRPr="008B33A9">
        <w:t>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B33A9" w:rsidRDefault="008B33A9" w:rsidP="005115EF"/>
    <w:p w:rsidR="00FC092B" w:rsidRDefault="00FC092B" w:rsidP="005115E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4</w:t>
      </w:r>
      <w:r w:rsidR="002D6EBF" w:rsidRPr="008B33A9">
        <w:rPr>
          <w:b/>
        </w:rPr>
        <w:t>.</w:t>
      </w:r>
      <w:r w:rsidR="002D6EBF">
        <w:tab/>
      </w:r>
      <w:r w:rsidR="002D6EBF">
        <w:rPr>
          <w:b/>
        </w:rPr>
        <w:t>Contact Details for this Application: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Name: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Pr="008B33A9">
        <w:t>Email Address: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2D6EBF"/>
    <w:p w:rsidR="00FC092B" w:rsidRDefault="00FC092B" w:rsidP="002D6EBF"/>
    <w:p w:rsidR="002D6EBF" w:rsidRPr="008B33A9" w:rsidRDefault="00E01C93" w:rsidP="002D6EBF">
      <w:pPr>
        <w:jc w:val="left"/>
        <w:rPr>
          <w:b/>
        </w:rPr>
      </w:pPr>
      <w:r>
        <w:rPr>
          <w:b/>
        </w:rPr>
        <w:t>5</w:t>
      </w:r>
      <w:r w:rsidR="002D6EBF" w:rsidRPr="008B33A9">
        <w:rPr>
          <w:b/>
        </w:rPr>
        <w:t>.</w:t>
      </w:r>
      <w:r w:rsidR="002D6EBF">
        <w:tab/>
      </w:r>
      <w:r w:rsidR="002D6EBF" w:rsidRPr="002D6EBF">
        <w:rPr>
          <w:b/>
        </w:rPr>
        <w:t>Invoice Details:</w:t>
      </w:r>
      <w:r w:rsidR="002D6EBF">
        <w:rPr>
          <w:b/>
        </w:rPr>
        <w:t xml:space="preserve"> </w:t>
      </w:r>
      <w:r w:rsidRPr="00E01C93">
        <w:t>E</w:t>
      </w:r>
      <w:r w:rsidR="002D6EBF" w:rsidRPr="00E01C93">
        <w:t>m</w:t>
      </w:r>
      <w:r w:rsidR="002D6EBF" w:rsidRPr="002D6EBF">
        <w:t>ail address of where the invoice should be sent to.</w:t>
      </w:r>
    </w:p>
    <w:p w:rsidR="002D6EBF" w:rsidRDefault="002D6EBF" w:rsidP="002D6EBF">
      <w:pPr>
        <w:jc w:val="left"/>
      </w:pPr>
    </w:p>
    <w:p w:rsidR="002D6EBF" w:rsidRDefault="002D6EBF" w:rsidP="002D6EBF">
      <w:pPr>
        <w:jc w:val="left"/>
      </w:pPr>
      <w:r>
        <w:tab/>
      </w:r>
      <w:r w:rsidR="00E01C93"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6EBF" w:rsidRDefault="002D6EBF" w:rsidP="005115EF"/>
    <w:p w:rsidR="00FC092B" w:rsidRDefault="00FC092B" w:rsidP="005115EF"/>
    <w:p w:rsidR="00E01C93" w:rsidRPr="008B33A9" w:rsidRDefault="00E01C93" w:rsidP="00E01C93">
      <w:pPr>
        <w:ind w:left="720" w:hanging="720"/>
        <w:jc w:val="left"/>
        <w:rPr>
          <w:b/>
        </w:rPr>
      </w:pPr>
      <w:r>
        <w:rPr>
          <w:b/>
        </w:rPr>
        <w:t>6</w:t>
      </w:r>
      <w:r w:rsidRPr="008B33A9">
        <w:rPr>
          <w:b/>
        </w:rPr>
        <w:t>.</w:t>
      </w:r>
      <w:r>
        <w:tab/>
      </w:r>
      <w:r w:rsidRPr="00E01C93">
        <w:rPr>
          <w:b/>
        </w:rPr>
        <w:t>e-Issuing</w:t>
      </w:r>
      <w:r w:rsidRPr="002D6EBF">
        <w:rPr>
          <w:b/>
        </w:rPr>
        <w:t xml:space="preserve"> Details:</w:t>
      </w:r>
      <w:r>
        <w:rPr>
          <w:b/>
        </w:rPr>
        <w:t xml:space="preserve"> </w:t>
      </w:r>
      <w:r>
        <w:t>E</w:t>
      </w:r>
      <w:r w:rsidRPr="002D6EBF">
        <w:t xml:space="preserve">mail address of where the </w:t>
      </w:r>
      <w:r w:rsidR="00CD02F8">
        <w:t>registration</w:t>
      </w:r>
      <w:r>
        <w:t xml:space="preserve"> documentation should </w:t>
      </w:r>
      <w:r w:rsidRPr="002D6EBF">
        <w:t>be sent to</w:t>
      </w:r>
      <w:r>
        <w:t xml:space="preserve"> (if different from 4 above)</w:t>
      </w:r>
      <w:r w:rsidRPr="002D6EBF">
        <w:t>.</w:t>
      </w:r>
    </w:p>
    <w:p w:rsidR="00E01C93" w:rsidRDefault="00E01C93" w:rsidP="00E01C93">
      <w:pPr>
        <w:jc w:val="left"/>
      </w:pPr>
    </w:p>
    <w:p w:rsidR="00E01C93" w:rsidRDefault="00E01C93" w:rsidP="00E01C93">
      <w:pPr>
        <w:jc w:val="left"/>
      </w:pPr>
      <w:r>
        <w:lastRenderedPageBreak/>
        <w:tab/>
        <w:t>Email Address</w:t>
      </w:r>
      <w:r w:rsidRPr="008B33A9">
        <w:t>: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509C" w:rsidRDefault="00A5509C" w:rsidP="00E01C93">
      <w:pPr>
        <w:tabs>
          <w:tab w:val="left" w:pos="3431"/>
        </w:tabs>
      </w:pPr>
    </w:p>
    <w:p w:rsidR="00E7012A" w:rsidRDefault="00E7012A" w:rsidP="00E7012A">
      <w:pPr>
        <w:tabs>
          <w:tab w:val="left" w:pos="3431"/>
        </w:tabs>
        <w:rPr>
          <w:b/>
        </w:rPr>
      </w:pPr>
    </w:p>
    <w:p w:rsidR="00E7012A" w:rsidRPr="00D352A0" w:rsidRDefault="00E7012A" w:rsidP="00E7012A">
      <w:pPr>
        <w:tabs>
          <w:tab w:val="left" w:pos="3431"/>
        </w:tabs>
        <w:rPr>
          <w:b/>
        </w:rPr>
      </w:pPr>
      <w:r w:rsidRPr="00D352A0">
        <w:rPr>
          <w:b/>
        </w:rPr>
        <w:t xml:space="preserve">SECTION 2 – </w:t>
      </w:r>
      <w:r w:rsidR="00CD02F8">
        <w:rPr>
          <w:b/>
        </w:rPr>
        <w:t>REGISTRATION</w:t>
      </w:r>
      <w:r>
        <w:rPr>
          <w:b/>
        </w:rPr>
        <w:t xml:space="preserve"> DATES</w:t>
      </w:r>
    </w:p>
    <w:p w:rsidR="00E7012A" w:rsidRDefault="00E7012A" w:rsidP="00E7012A">
      <w:pPr>
        <w:tabs>
          <w:tab w:val="left" w:pos="3431"/>
        </w:tabs>
      </w:pPr>
    </w:p>
    <w:p w:rsidR="00E7012A" w:rsidRPr="008B33A9" w:rsidRDefault="00E7012A" w:rsidP="00E7012A">
      <w:pPr>
        <w:jc w:val="left"/>
        <w:rPr>
          <w:b/>
        </w:rPr>
      </w:pPr>
      <w:r>
        <w:rPr>
          <w:b/>
        </w:rPr>
        <w:t>7</w:t>
      </w:r>
      <w:r w:rsidRPr="008B33A9">
        <w:rPr>
          <w:b/>
        </w:rPr>
        <w:t>.</w:t>
      </w:r>
      <w:r w:rsidRPr="008B33A9">
        <w:rPr>
          <w:b/>
        </w:rPr>
        <w:tab/>
      </w:r>
      <w:r w:rsidRPr="00075909">
        <w:t xml:space="preserve">Please state the date the </w:t>
      </w:r>
      <w:r w:rsidR="00CD02F8">
        <w:t>registration</w:t>
      </w:r>
      <w:r w:rsidRPr="00075909">
        <w:t xml:space="preserve"> was first approved / issued: </w:t>
      </w:r>
      <w:r w:rsidRPr="00075909">
        <w:fldChar w:fldCharType="begin">
          <w:ffData>
            <w:name w:val="Text1"/>
            <w:enabled/>
            <w:calcOnExit w:val="0"/>
            <w:textInput/>
          </w:ffData>
        </w:fldChar>
      </w:r>
      <w:r w:rsidRPr="00075909">
        <w:instrText xml:space="preserve"> FORMTEXT </w:instrText>
      </w:r>
      <w:r w:rsidRPr="00075909">
        <w:fldChar w:fldCharType="separate"/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fldChar w:fldCharType="end"/>
      </w:r>
    </w:p>
    <w:p w:rsidR="00E7012A" w:rsidRDefault="00E7012A" w:rsidP="00E7012A">
      <w:pPr>
        <w:tabs>
          <w:tab w:val="left" w:pos="3431"/>
        </w:tabs>
      </w:pPr>
    </w:p>
    <w:p w:rsidR="00E7012A" w:rsidRPr="008B33A9" w:rsidRDefault="00E7012A" w:rsidP="00E7012A">
      <w:pPr>
        <w:jc w:val="left"/>
        <w:rPr>
          <w:b/>
        </w:rPr>
      </w:pPr>
      <w:r>
        <w:rPr>
          <w:b/>
        </w:rPr>
        <w:t>8</w:t>
      </w:r>
      <w:r w:rsidRPr="008B33A9">
        <w:rPr>
          <w:b/>
        </w:rPr>
        <w:t>.</w:t>
      </w:r>
      <w:r w:rsidRPr="008B33A9">
        <w:rPr>
          <w:b/>
        </w:rPr>
        <w:tab/>
      </w:r>
      <w:r w:rsidRPr="00075909">
        <w:t xml:space="preserve">Please state the date the </w:t>
      </w:r>
      <w:r w:rsidR="00CD02F8">
        <w:t>registration</w:t>
      </w:r>
      <w:r w:rsidRPr="00075909">
        <w:t xml:space="preserve"> is due for renewal: </w:t>
      </w:r>
      <w:r w:rsidRPr="00075909">
        <w:fldChar w:fldCharType="begin">
          <w:ffData>
            <w:name w:val="Text1"/>
            <w:enabled/>
            <w:calcOnExit w:val="0"/>
            <w:textInput/>
          </w:ffData>
        </w:fldChar>
      </w:r>
      <w:r w:rsidRPr="00075909">
        <w:instrText xml:space="preserve"> FORMTEXT </w:instrText>
      </w:r>
      <w:r w:rsidRPr="00075909">
        <w:fldChar w:fldCharType="separate"/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rPr>
          <w:noProof/>
        </w:rPr>
        <w:t> </w:t>
      </w:r>
      <w:r w:rsidRPr="00075909">
        <w:fldChar w:fldCharType="end"/>
      </w:r>
    </w:p>
    <w:p w:rsidR="00A5509C" w:rsidRDefault="00A5509C" w:rsidP="00E01C93">
      <w:pPr>
        <w:tabs>
          <w:tab w:val="left" w:pos="3431"/>
        </w:tabs>
      </w:pPr>
    </w:p>
    <w:p w:rsidR="00FC092B" w:rsidRDefault="00FC092B" w:rsidP="00E01C93">
      <w:pPr>
        <w:tabs>
          <w:tab w:val="left" w:pos="3431"/>
        </w:tabs>
      </w:pPr>
    </w:p>
    <w:p w:rsidR="00E7012A" w:rsidRDefault="00E7012A" w:rsidP="00E7012A">
      <w:pPr>
        <w:tabs>
          <w:tab w:val="left" w:pos="3431"/>
        </w:tabs>
        <w:rPr>
          <w:b/>
        </w:rPr>
      </w:pPr>
      <w:r w:rsidRPr="00D352A0">
        <w:rPr>
          <w:b/>
        </w:rPr>
        <w:t xml:space="preserve">SECTION 3 – </w:t>
      </w:r>
      <w:r>
        <w:rPr>
          <w:b/>
        </w:rPr>
        <w:t>ADDITIONAL INFORMATION</w:t>
      </w:r>
    </w:p>
    <w:p w:rsidR="00E7012A" w:rsidRDefault="00E7012A" w:rsidP="00E7012A">
      <w:pPr>
        <w:tabs>
          <w:tab w:val="left" w:pos="3431"/>
        </w:tabs>
        <w:rPr>
          <w:b/>
        </w:rPr>
      </w:pPr>
    </w:p>
    <w:p w:rsidR="00E7012A" w:rsidRPr="00B25852" w:rsidRDefault="00E7012A" w:rsidP="00E7012A">
      <w:pPr>
        <w:tabs>
          <w:tab w:val="left" w:pos="709"/>
        </w:tabs>
        <w:ind w:left="705" w:hanging="705"/>
      </w:pPr>
      <w:r>
        <w:rPr>
          <w:b/>
        </w:rPr>
        <w:t xml:space="preserve">9. </w:t>
      </w:r>
      <w:r>
        <w:rPr>
          <w:b/>
        </w:rPr>
        <w:tab/>
      </w:r>
      <w:r w:rsidRPr="00B25852">
        <w:t xml:space="preserve">Applicants </w:t>
      </w:r>
      <w:r>
        <w:t>should confirm below that they have read and complied with the requirements set out in Annex 1. If not, applicants should provide justification for any missing data or non-compliance as without this the application will not be validated.</w:t>
      </w: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  <w:gridCol w:w="222"/>
      </w:tblGrid>
      <w:tr w:rsidR="00E7012A" w:rsidTr="00872BB8">
        <w:tc>
          <w:tcPr>
            <w:tcW w:w="9131" w:type="dxa"/>
          </w:tcPr>
          <w:p w:rsidR="00E7012A" w:rsidRDefault="00E7012A" w:rsidP="00872BB8">
            <w:pPr>
              <w:jc w:val="left"/>
            </w:pPr>
          </w:p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9351"/>
            </w:tblGrid>
            <w:tr w:rsidR="00E7012A" w:rsidTr="00872BB8">
              <w:tc>
                <w:tcPr>
                  <w:tcW w:w="9351" w:type="dxa"/>
                </w:tcPr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  <w:p w:rsidR="00E7012A" w:rsidRDefault="00E7012A" w:rsidP="00872BB8">
                  <w:pPr>
                    <w:jc w:val="left"/>
                  </w:pPr>
                </w:p>
              </w:tc>
            </w:tr>
          </w:tbl>
          <w:p w:rsidR="00E7012A" w:rsidRDefault="00E7012A" w:rsidP="00872BB8">
            <w:pPr>
              <w:jc w:val="left"/>
            </w:pPr>
          </w:p>
          <w:p w:rsidR="00E7012A" w:rsidRDefault="00E7012A" w:rsidP="00872BB8">
            <w:pPr>
              <w:jc w:val="left"/>
            </w:pPr>
          </w:p>
          <w:p w:rsidR="00E7012A" w:rsidRDefault="00E7012A" w:rsidP="00E7012A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SECTION 4 – DECLARATION</w:t>
            </w:r>
          </w:p>
          <w:p w:rsidR="00E7012A" w:rsidRDefault="00E7012A" w:rsidP="00872BB8">
            <w:pPr>
              <w:jc w:val="left"/>
            </w:pPr>
          </w:p>
        </w:tc>
        <w:tc>
          <w:tcPr>
            <w:tcW w:w="221" w:type="dxa"/>
          </w:tcPr>
          <w:p w:rsidR="00E7012A" w:rsidRDefault="00E7012A" w:rsidP="00872BB8">
            <w:pPr>
              <w:tabs>
                <w:tab w:val="left" w:pos="3431"/>
              </w:tabs>
            </w:pPr>
          </w:p>
        </w:tc>
        <w:tc>
          <w:tcPr>
            <w:tcW w:w="236" w:type="dxa"/>
          </w:tcPr>
          <w:p w:rsidR="00E7012A" w:rsidRDefault="00E7012A" w:rsidP="00872BB8">
            <w:pPr>
              <w:tabs>
                <w:tab w:val="left" w:pos="3431"/>
              </w:tabs>
            </w:pPr>
          </w:p>
        </w:tc>
      </w:tr>
    </w:tbl>
    <w:p w:rsidR="00E01C93" w:rsidRDefault="00E01C93" w:rsidP="00E01C93"/>
    <w:tbl>
      <w:tblPr>
        <w:tblW w:w="9492" w:type="dxa"/>
        <w:jc w:val="center"/>
        <w:tblInd w:w="10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993"/>
        <w:gridCol w:w="2469"/>
        <w:gridCol w:w="360"/>
      </w:tblGrid>
      <w:tr w:rsidR="00E01C93" w:rsidTr="00CD02F8">
        <w:trPr>
          <w:trHeight w:val="1082"/>
          <w:jc w:val="center"/>
        </w:trPr>
        <w:tc>
          <w:tcPr>
            <w:tcW w:w="94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93" w:rsidRDefault="00E01C93" w:rsidP="00313292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 apply for the application </w:t>
            </w:r>
            <w:r>
              <w:rPr>
                <w:sz w:val="20"/>
              </w:rPr>
              <w:t xml:space="preserve">as </w:t>
            </w:r>
            <w:r>
              <w:rPr>
                <w:sz w:val="20"/>
                <w:lang w:val="en-US"/>
              </w:rPr>
              <w:t xml:space="preserve">described above.  I confirm that the information given in support of this application is correct at the time of </w:t>
            </w:r>
            <w:r w:rsidR="00D352A0">
              <w:rPr>
                <w:sz w:val="20"/>
                <w:lang w:val="en-US"/>
              </w:rPr>
              <w:t>submission</w:t>
            </w:r>
            <w:r>
              <w:rPr>
                <w:sz w:val="20"/>
                <w:lang w:val="en-US"/>
              </w:rPr>
              <w:t>.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b/>
                <w:bCs/>
                <w:i/>
                <w:iCs/>
                <w:sz w:val="16"/>
                <w:lang w:val="en-US"/>
              </w:rPr>
            </w:pPr>
          </w:p>
        </w:tc>
      </w:tr>
      <w:tr w:rsidR="00E01C93" w:rsidTr="00CD02F8">
        <w:trPr>
          <w:trHeight w:val="405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Signature </w:t>
            </w:r>
            <w:r>
              <w:rPr>
                <w:sz w:val="20"/>
                <w:lang w:val="en-US"/>
              </w:rPr>
              <w:tab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Job Title</w:t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lang w:val="en-US"/>
              </w:rPr>
              <w:instrText xml:space="preserve"> FORMTEXT </w:instrText>
            </w:r>
            <w:r>
              <w:rPr>
                <w:b/>
                <w:bCs/>
                <w:sz w:val="20"/>
                <w:lang w:val="en-US"/>
              </w:rPr>
            </w:r>
            <w:r>
              <w:rPr>
                <w:b/>
                <w:bCs/>
                <w:sz w:val="20"/>
                <w:lang w:val="en-US"/>
              </w:rPr>
              <w:fldChar w:fldCharType="separate"/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noProof/>
                <w:sz w:val="20"/>
                <w:lang w:val="en-US"/>
              </w:rPr>
              <w:t> </w:t>
            </w:r>
            <w:r>
              <w:rPr>
                <w:b/>
                <w:bCs/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rPr>
                <w:b/>
                <w:bCs/>
                <w:sz w:val="20"/>
                <w:lang w:val="en-US"/>
              </w:rPr>
            </w:pPr>
          </w:p>
        </w:tc>
      </w:tr>
      <w:tr w:rsidR="00E01C93" w:rsidTr="00CD02F8">
        <w:trPr>
          <w:trHeight w:val="170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18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sz w:val="16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C93" w:rsidRDefault="00E01C93" w:rsidP="00313292">
            <w:pPr>
              <w:tabs>
                <w:tab w:val="left" w:pos="4197"/>
              </w:tabs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b/>
                <w:bCs/>
                <w:sz w:val="16"/>
                <w:lang w:val="en-US"/>
              </w:rPr>
            </w:pPr>
          </w:p>
        </w:tc>
      </w:tr>
      <w:tr w:rsidR="00E01C93" w:rsidTr="00CD02F8">
        <w:trPr>
          <w:trHeight w:val="40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772"/>
                <w:tab w:val="left" w:pos="5112"/>
                <w:tab w:val="left" w:pos="6552"/>
              </w:tabs>
              <w:autoSpaceDE w:val="0"/>
              <w:autoSpaceDN w:val="0"/>
              <w:adjustRightInd w:val="0"/>
              <w:ind w:left="7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Name in</w:t>
            </w:r>
          </w:p>
          <w:p w:rsidR="00E01C93" w:rsidRDefault="00E01C93" w:rsidP="00313292">
            <w:pPr>
              <w:pStyle w:val="Heading4"/>
              <w:ind w:left="72"/>
            </w:pPr>
            <w:r>
              <w:t xml:space="preserve">BLOCK LETTERS </w:t>
            </w:r>
            <w: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2592"/>
                <w:tab w:val="left" w:pos="3132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Date</w:t>
            </w:r>
            <w:r>
              <w:rPr>
                <w:sz w:val="20"/>
                <w:lang w:val="en-US"/>
              </w:rPr>
              <w:tab/>
            </w:r>
            <w:r>
              <w:rPr>
                <w:sz w:val="20"/>
                <w:lang w:val="en-US"/>
              </w:rPr>
              <w:br/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tabs>
                <w:tab w:val="left" w:pos="3837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en-US"/>
              </w:rPr>
              <w:instrText xml:space="preserve"> FORMTEXT </w:instrText>
            </w:r>
            <w:r>
              <w:rPr>
                <w:sz w:val="20"/>
                <w:lang w:val="en-US"/>
              </w:rPr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fldChar w:fldCharType="end"/>
            </w: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1C93" w:rsidRDefault="00E01C93" w:rsidP="00313292">
            <w:pPr>
              <w:rPr>
                <w:sz w:val="20"/>
                <w:lang w:val="en-US"/>
              </w:rPr>
            </w:pPr>
          </w:p>
          <w:p w:rsidR="00E01C93" w:rsidRDefault="00E01C93" w:rsidP="00313292">
            <w:pPr>
              <w:tabs>
                <w:tab w:val="left" w:pos="1857"/>
                <w:tab w:val="left" w:pos="3117"/>
                <w:tab w:val="left" w:pos="6552"/>
              </w:tabs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E01C93" w:rsidTr="00CD02F8">
        <w:trPr>
          <w:trHeight w:val="791"/>
          <w:jc w:val="center"/>
        </w:trPr>
        <w:tc>
          <w:tcPr>
            <w:tcW w:w="94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3" w:rsidRDefault="00E01C93" w:rsidP="00313292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ind w:left="612"/>
              <w:rPr>
                <w:b/>
                <w:bCs/>
                <w:sz w:val="16"/>
                <w:lang w:val="en-US"/>
              </w:rPr>
            </w:pPr>
          </w:p>
          <w:p w:rsidR="00E01C93" w:rsidRPr="00E01C93" w:rsidRDefault="00E01C93" w:rsidP="00E01C93">
            <w:pPr>
              <w:tabs>
                <w:tab w:val="left" w:pos="2772"/>
                <w:tab w:val="left" w:pos="5292"/>
                <w:tab w:val="left" w:pos="6552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E01C93">
              <w:rPr>
                <w:b/>
                <w:sz w:val="20"/>
                <w:lang w:val="en-US"/>
              </w:rPr>
              <w:t xml:space="preserve">If any information provided in this application is later found to be false or incorrect, the Secretary of State may suspend or revoke the </w:t>
            </w:r>
            <w:r w:rsidRPr="00E01C93">
              <w:rPr>
                <w:b/>
                <w:sz w:val="20"/>
              </w:rPr>
              <w:t>authorisation</w:t>
            </w:r>
            <w:r w:rsidRPr="00E01C93">
              <w:rPr>
                <w:b/>
                <w:sz w:val="20"/>
                <w:lang w:val="en-US"/>
              </w:rPr>
              <w:t>.</w:t>
            </w:r>
          </w:p>
        </w:tc>
      </w:tr>
    </w:tbl>
    <w:p w:rsidR="00E01C93" w:rsidRDefault="00E01C93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E7012A" w:rsidRDefault="00E7012A" w:rsidP="00634378"/>
    <w:p w:rsidR="00CD02F8" w:rsidRDefault="00CD02F8" w:rsidP="00634378"/>
    <w:p w:rsidR="00CD02F8" w:rsidRDefault="00CD02F8" w:rsidP="00634378"/>
    <w:p w:rsidR="00CD02F8" w:rsidRDefault="00CD02F8" w:rsidP="00634378"/>
    <w:p w:rsidR="00CD02F8" w:rsidRDefault="00CD02F8" w:rsidP="00634378"/>
    <w:p w:rsidR="00E7012A" w:rsidRDefault="00E7012A" w:rsidP="00634378"/>
    <w:p w:rsidR="00E7012A" w:rsidRDefault="00E7012A" w:rsidP="00634378"/>
    <w:p w:rsidR="00E7012A" w:rsidRPr="00F66F61" w:rsidRDefault="00E7012A" w:rsidP="00E7012A">
      <w:pPr>
        <w:pStyle w:val="BodyText"/>
        <w:ind w:right="-483"/>
        <w:jc w:val="right"/>
        <w:rPr>
          <w:rFonts w:cs="Arial"/>
          <w:b/>
        </w:rPr>
      </w:pPr>
      <w:r w:rsidRPr="00F66F61">
        <w:rPr>
          <w:rFonts w:cs="Arial"/>
          <w:b/>
        </w:rPr>
        <w:t>ANNEX 1</w:t>
      </w:r>
    </w:p>
    <w:p w:rsidR="00E7012A" w:rsidRPr="00F66F61" w:rsidRDefault="00E7012A" w:rsidP="00E7012A">
      <w:pPr>
        <w:pStyle w:val="BodyText"/>
        <w:ind w:right="-483"/>
        <w:jc w:val="center"/>
        <w:rPr>
          <w:rFonts w:cs="Arial"/>
          <w:b/>
          <w:u w:val="single"/>
        </w:rPr>
      </w:pPr>
    </w:p>
    <w:p w:rsidR="00E7012A" w:rsidRDefault="00E7012A" w:rsidP="00E7012A">
      <w:pPr>
        <w:pStyle w:val="BodyText"/>
        <w:ind w:right="261"/>
        <w:rPr>
          <w:rFonts w:cs="Arial"/>
        </w:rPr>
      </w:pPr>
      <w:r>
        <w:rPr>
          <w:rFonts w:cs="Arial"/>
        </w:rPr>
        <w:t xml:space="preserve">Before completing the renewal application form please check your registration documents to ensure that the VMD has been informed of all changes in particulars relating to this product. </w:t>
      </w:r>
    </w:p>
    <w:p w:rsidR="00E7012A" w:rsidRDefault="00E7012A" w:rsidP="00E7012A">
      <w:pPr>
        <w:pStyle w:val="BodyText"/>
        <w:ind w:right="261"/>
        <w:rPr>
          <w:rFonts w:cs="Arial"/>
        </w:rPr>
      </w:pPr>
      <w:r>
        <w:rPr>
          <w:rFonts w:cs="Arial"/>
        </w:rPr>
        <w:t>Please send one copy of your renewal application form and the following information to the VMD at least six month prior to the date of renewal.</w:t>
      </w:r>
    </w:p>
    <w:p w:rsidR="00E7012A" w:rsidRDefault="00E7012A" w:rsidP="00E7012A">
      <w:pPr>
        <w:pStyle w:val="BodyText"/>
        <w:ind w:right="261"/>
        <w:rPr>
          <w:rFonts w:cs="Arial"/>
        </w:rPr>
      </w:pPr>
    </w:p>
    <w:p w:rsidR="00E7012A" w:rsidRPr="00F66F61" w:rsidRDefault="00E7012A" w:rsidP="00E7012A">
      <w:pPr>
        <w:pStyle w:val="BodyText"/>
        <w:ind w:right="-483"/>
        <w:rPr>
          <w:rFonts w:cs="Arial"/>
          <w:b/>
          <w:u w:val="single"/>
        </w:rPr>
      </w:pPr>
      <w:r w:rsidRPr="00F66F61">
        <w:rPr>
          <w:rFonts w:cs="Arial"/>
          <w:b/>
          <w:u w:val="single"/>
        </w:rPr>
        <w:t>Administrative requirements</w:t>
      </w:r>
    </w:p>
    <w:p w:rsidR="00E7012A" w:rsidRPr="00F66F61" w:rsidRDefault="00E7012A" w:rsidP="00E7012A">
      <w:pPr>
        <w:pStyle w:val="BodyText"/>
        <w:numPr>
          <w:ilvl w:val="0"/>
          <w:numId w:val="7"/>
        </w:numPr>
        <w:spacing w:after="0"/>
        <w:ind w:right="-483" w:hanging="720"/>
        <w:rPr>
          <w:rFonts w:cs="Arial"/>
        </w:rPr>
      </w:pPr>
      <w:r w:rsidRPr="00F66F61">
        <w:rPr>
          <w:rFonts w:cs="Arial"/>
        </w:rPr>
        <w:t>An</w:t>
      </w:r>
      <w:r w:rsidRPr="00F66F61">
        <w:rPr>
          <w:rFonts w:cs="Arial"/>
          <w:b/>
        </w:rPr>
        <w:t xml:space="preserve"> </w:t>
      </w:r>
      <w:r w:rsidRPr="00F66F61">
        <w:rPr>
          <w:rFonts w:cs="Arial"/>
        </w:rPr>
        <w:t>application form</w:t>
      </w:r>
    </w:p>
    <w:p w:rsidR="00E7012A" w:rsidRPr="00F66F61" w:rsidRDefault="00E7012A" w:rsidP="00E7012A">
      <w:pPr>
        <w:pStyle w:val="BodyText"/>
        <w:spacing w:after="0"/>
        <w:ind w:right="-483"/>
        <w:rPr>
          <w:rFonts w:cs="Arial"/>
        </w:rPr>
      </w:pPr>
    </w:p>
    <w:p w:rsidR="00E7012A" w:rsidRPr="00F66F61" w:rsidRDefault="00E7012A" w:rsidP="00E7012A">
      <w:pPr>
        <w:pStyle w:val="ListBullet"/>
        <w:numPr>
          <w:ilvl w:val="0"/>
          <w:numId w:val="7"/>
        </w:numPr>
        <w:ind w:right="-483" w:hanging="720"/>
        <w:jc w:val="both"/>
        <w:rPr>
          <w:rFonts w:ascii="Arial" w:hAnsi="Arial" w:cs="Arial"/>
          <w:b/>
          <w:i/>
          <w:sz w:val="24"/>
        </w:rPr>
      </w:pPr>
      <w:r w:rsidRPr="00F66F61">
        <w:rPr>
          <w:rFonts w:ascii="Arial" w:hAnsi="Arial" w:cs="Arial"/>
          <w:sz w:val="24"/>
        </w:rPr>
        <w:t>Colour mock-ups of the current labels and package leaflet (if app</w:t>
      </w:r>
      <w:smartTag w:uri="urn:schemas-microsoft-com:office:smarttags" w:element="PersonName">
        <w:r w:rsidRPr="00F66F61">
          <w:rPr>
            <w:rFonts w:ascii="Arial" w:hAnsi="Arial" w:cs="Arial"/>
            <w:sz w:val="24"/>
          </w:rPr>
          <w:t>lica</w:t>
        </w:r>
      </w:smartTag>
      <w:r w:rsidRPr="00F66F61">
        <w:rPr>
          <w:rFonts w:ascii="Arial" w:hAnsi="Arial" w:cs="Arial"/>
          <w:sz w:val="24"/>
        </w:rPr>
        <w:t xml:space="preserve">ble); </w:t>
      </w:r>
      <w:r w:rsidRPr="00F66F61">
        <w:rPr>
          <w:rFonts w:ascii="Arial" w:hAnsi="Arial" w:cs="Arial"/>
          <w:i/>
          <w:sz w:val="24"/>
        </w:rPr>
        <w:t>these must be submitted electronically. Failure to do so will result in your application being deferred at validation.</w:t>
      </w:r>
    </w:p>
    <w:p w:rsidR="00E7012A" w:rsidRPr="00F66F61" w:rsidRDefault="00E7012A" w:rsidP="00E7012A">
      <w:pPr>
        <w:pStyle w:val="ListBullet"/>
        <w:ind w:left="0" w:right="-483" w:hanging="72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Bullet"/>
        <w:numPr>
          <w:ilvl w:val="0"/>
          <w:numId w:val="6"/>
        </w:numPr>
        <w:ind w:right="-483" w:hanging="720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Any data that has been requested as a condition on a previous application, e.g. variation.</w:t>
      </w:r>
    </w:p>
    <w:p w:rsidR="00E7012A" w:rsidRPr="00F66F61" w:rsidRDefault="00E7012A" w:rsidP="00E7012A">
      <w:pPr>
        <w:pStyle w:val="ListBullet"/>
        <w:ind w:left="0" w:right="-483" w:hanging="72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Bullet"/>
        <w:numPr>
          <w:ilvl w:val="0"/>
          <w:numId w:val="6"/>
        </w:numPr>
        <w:ind w:right="-483" w:hanging="720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Any other data that is necessary to bring the Veterinary Homeopathic Registration in line with Directive 2001/82/EC as amended.</w:t>
      </w:r>
    </w:p>
    <w:p w:rsidR="00E7012A" w:rsidRPr="00F66F61" w:rsidRDefault="00E7012A" w:rsidP="00E7012A">
      <w:pPr>
        <w:pStyle w:val="ListBullet"/>
        <w:ind w:left="0" w:right="-483" w:hanging="72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Bullet"/>
        <w:numPr>
          <w:ilvl w:val="0"/>
          <w:numId w:val="6"/>
        </w:numPr>
        <w:ind w:right="-482" w:hanging="720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Details of all variations</w:t>
      </w:r>
      <w:r w:rsidRPr="00F66F61">
        <w:rPr>
          <w:rFonts w:ascii="Arial" w:hAnsi="Arial" w:cs="Arial"/>
          <w:b/>
          <w:sz w:val="24"/>
        </w:rPr>
        <w:t xml:space="preserve"> </w:t>
      </w:r>
      <w:r w:rsidRPr="00F66F61">
        <w:rPr>
          <w:rFonts w:ascii="Arial" w:hAnsi="Arial" w:cs="Arial"/>
          <w:sz w:val="24"/>
        </w:rPr>
        <w:t xml:space="preserve">applied for in the last five years including: </w:t>
      </w:r>
    </w:p>
    <w:p w:rsidR="00E7012A" w:rsidRPr="00F66F61" w:rsidRDefault="00E7012A" w:rsidP="00E7012A">
      <w:pPr>
        <w:pStyle w:val="ListBullet"/>
        <w:ind w:left="0" w:right="-482" w:firstLine="36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Bullet"/>
        <w:numPr>
          <w:ilvl w:val="0"/>
          <w:numId w:val="3"/>
        </w:numPr>
        <w:ind w:right="-482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The date of app</w:t>
      </w:r>
      <w:smartTag w:uri="urn:schemas-microsoft-com:office:smarttags" w:element="PersonName">
        <w:r w:rsidRPr="00F66F61">
          <w:rPr>
            <w:rFonts w:ascii="Arial" w:hAnsi="Arial" w:cs="Arial"/>
            <w:sz w:val="24"/>
          </w:rPr>
          <w:t>lica</w:t>
        </w:r>
      </w:smartTag>
      <w:r w:rsidRPr="00F66F61">
        <w:rPr>
          <w:rFonts w:ascii="Arial" w:hAnsi="Arial" w:cs="Arial"/>
          <w:sz w:val="24"/>
        </w:rPr>
        <w:t>tion.</w:t>
      </w:r>
    </w:p>
    <w:p w:rsidR="00E7012A" w:rsidRPr="00F66F61" w:rsidRDefault="00E7012A" w:rsidP="00E7012A">
      <w:pPr>
        <w:pStyle w:val="ListBullet"/>
        <w:numPr>
          <w:ilvl w:val="0"/>
          <w:numId w:val="3"/>
        </w:numPr>
        <w:ind w:right="-482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The nature of the app</w:t>
      </w:r>
      <w:smartTag w:uri="urn:schemas-microsoft-com:office:smarttags" w:element="PersonName">
        <w:r w:rsidRPr="00F66F61">
          <w:rPr>
            <w:rFonts w:ascii="Arial" w:hAnsi="Arial" w:cs="Arial"/>
            <w:sz w:val="24"/>
          </w:rPr>
          <w:t>lica</w:t>
        </w:r>
      </w:smartTag>
      <w:r w:rsidRPr="00F66F61">
        <w:rPr>
          <w:rFonts w:ascii="Arial" w:hAnsi="Arial" w:cs="Arial"/>
          <w:sz w:val="24"/>
        </w:rPr>
        <w:t xml:space="preserve">tion. </w:t>
      </w:r>
    </w:p>
    <w:p w:rsidR="00E7012A" w:rsidRPr="00F66F61" w:rsidRDefault="00E7012A" w:rsidP="00E7012A">
      <w:pPr>
        <w:pStyle w:val="ListBullet"/>
        <w:numPr>
          <w:ilvl w:val="0"/>
          <w:numId w:val="3"/>
        </w:numPr>
        <w:ind w:right="-482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sz w:val="24"/>
        </w:rPr>
        <w:t>The date of approval or refusal.</w:t>
      </w:r>
    </w:p>
    <w:p w:rsidR="00E7012A" w:rsidRDefault="00E7012A" w:rsidP="00E7012A">
      <w:pPr>
        <w:pStyle w:val="ListBullet"/>
        <w:ind w:left="360" w:right="-482" w:firstLine="0"/>
        <w:jc w:val="both"/>
        <w:rPr>
          <w:rFonts w:ascii="Arial" w:hAnsi="Arial" w:cs="Arial"/>
          <w:sz w:val="24"/>
        </w:rPr>
      </w:pPr>
    </w:p>
    <w:p w:rsidR="00E7012A" w:rsidRDefault="00E7012A" w:rsidP="00E7012A">
      <w:pPr>
        <w:pStyle w:val="ListBullet"/>
        <w:ind w:left="360" w:right="-482" w:firstLine="0"/>
        <w:jc w:val="both"/>
        <w:rPr>
          <w:rFonts w:ascii="Arial" w:hAnsi="Arial" w:cs="Arial"/>
          <w:sz w:val="24"/>
        </w:rPr>
      </w:pPr>
    </w:p>
    <w:p w:rsidR="00E7012A" w:rsidRDefault="00E7012A" w:rsidP="00E7012A">
      <w:pPr>
        <w:pStyle w:val="ListBullet"/>
        <w:numPr>
          <w:ilvl w:val="0"/>
          <w:numId w:val="9"/>
        </w:numPr>
        <w:ind w:left="426" w:right="261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Confirmation that no other applications are currently underway on this product: </w:t>
      </w:r>
    </w:p>
    <w:p w:rsidR="00E7012A" w:rsidRPr="009341FD" w:rsidRDefault="00E7012A" w:rsidP="00E7012A">
      <w:pPr>
        <w:ind w:right="261"/>
        <w:rPr>
          <w:rFonts w:cs="Arial"/>
          <w:b/>
          <w:u w:val="single"/>
        </w:rPr>
      </w:pPr>
    </w:p>
    <w:p w:rsidR="00E7012A" w:rsidRPr="0006293D" w:rsidRDefault="00E7012A" w:rsidP="00E7012A">
      <w:pPr>
        <w:ind w:left="426" w:right="261"/>
        <w:rPr>
          <w:rFonts w:cs="Arial"/>
        </w:rPr>
      </w:pPr>
      <w:r w:rsidRPr="0006293D">
        <w:rPr>
          <w:rFonts w:cs="Arial"/>
        </w:rPr>
        <w:t xml:space="preserve">Changes to a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cannot be made during the renewal process; in order to ensure a</w:t>
      </w:r>
      <w:r>
        <w:rPr>
          <w:rFonts w:cs="Arial"/>
        </w:rPr>
        <w:t xml:space="preserve"> registration</w:t>
      </w:r>
      <w:r w:rsidRPr="0006293D">
        <w:rPr>
          <w:rFonts w:cs="Arial"/>
        </w:rPr>
        <w:t xml:space="preserve"> is as up-to-date as possible; any changes to the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must be made by way of a variation(s), which must be submitted and approved </w:t>
      </w:r>
      <w:r w:rsidRPr="0006293D">
        <w:rPr>
          <w:rFonts w:cs="Arial"/>
          <w:u w:val="single"/>
        </w:rPr>
        <w:t>prior</w:t>
      </w:r>
      <w:r w:rsidRPr="0006293D">
        <w:rPr>
          <w:rFonts w:cs="Arial"/>
        </w:rPr>
        <w:t xml:space="preserve"> to the submission of the renewal application. Therefore, it is the applicant’s responsibility to ensure that this is done in time for the renewal to be submitted and approved before the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ceases to be valid.</w:t>
      </w:r>
    </w:p>
    <w:p w:rsidR="00E7012A" w:rsidRPr="0006293D" w:rsidRDefault="00E7012A" w:rsidP="00E7012A">
      <w:pPr>
        <w:ind w:right="261"/>
        <w:rPr>
          <w:rFonts w:cs="Arial"/>
        </w:rPr>
      </w:pPr>
    </w:p>
    <w:p w:rsidR="00E7012A" w:rsidRPr="0006293D" w:rsidRDefault="00E7012A" w:rsidP="00E7012A">
      <w:pPr>
        <w:ind w:left="426" w:right="261"/>
        <w:rPr>
          <w:rFonts w:cs="Arial"/>
        </w:rPr>
      </w:pPr>
      <w:r w:rsidRPr="0006293D">
        <w:rPr>
          <w:rFonts w:cs="Arial"/>
        </w:rPr>
        <w:t xml:space="preserve">If any changes are identified during the renewal procedure, the renewal may be granted subject to a condition(s), i.e. the applicant may be asked to submit a variation following the conclusion of the renewal procedure in order to change the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accordingly, which may be charged for and processed as per normal procedures.</w:t>
      </w:r>
    </w:p>
    <w:p w:rsidR="00E7012A" w:rsidRPr="0006293D" w:rsidRDefault="00E7012A" w:rsidP="00E7012A">
      <w:pPr>
        <w:ind w:right="261"/>
        <w:rPr>
          <w:rFonts w:cs="Arial"/>
        </w:rPr>
      </w:pPr>
    </w:p>
    <w:p w:rsidR="00E7012A" w:rsidRPr="0006293D" w:rsidRDefault="00E7012A" w:rsidP="00E7012A">
      <w:pPr>
        <w:ind w:left="426" w:right="261"/>
        <w:rPr>
          <w:rFonts w:cs="Arial"/>
        </w:rPr>
      </w:pPr>
      <w:r w:rsidRPr="0006293D">
        <w:rPr>
          <w:rFonts w:cs="Arial"/>
        </w:rPr>
        <w:t xml:space="preserve">Please note </w:t>
      </w:r>
      <w:r>
        <w:rPr>
          <w:rFonts w:cs="Arial"/>
        </w:rPr>
        <w:t xml:space="preserve">that </w:t>
      </w:r>
      <w:r w:rsidRPr="0006293D">
        <w:rPr>
          <w:rFonts w:cs="Arial"/>
        </w:rPr>
        <w:t xml:space="preserve">a renewal application </w:t>
      </w:r>
      <w:r w:rsidRPr="0006293D">
        <w:rPr>
          <w:rFonts w:cs="Arial"/>
          <w:u w:val="single"/>
        </w:rPr>
        <w:t>will not</w:t>
      </w:r>
      <w:r w:rsidRPr="0006293D">
        <w:rPr>
          <w:rFonts w:cs="Arial"/>
        </w:rPr>
        <w:t xml:space="preserve"> be accepted while the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is subject to on</w:t>
      </w:r>
      <w:r>
        <w:rPr>
          <w:rFonts w:cs="Arial"/>
        </w:rPr>
        <w:t>-</w:t>
      </w:r>
      <w:r w:rsidRPr="0006293D">
        <w:rPr>
          <w:rFonts w:cs="Arial"/>
        </w:rPr>
        <w:t>going variation procedures</w:t>
      </w:r>
      <w:r>
        <w:rPr>
          <w:rFonts w:cs="Arial"/>
        </w:rPr>
        <w:t xml:space="preserve"> (including Type IA procedures)</w:t>
      </w:r>
      <w:r w:rsidRPr="0006293D">
        <w:rPr>
          <w:rFonts w:cs="Arial"/>
        </w:rPr>
        <w:t xml:space="preserve">, and variation applications </w:t>
      </w:r>
      <w:r w:rsidRPr="0006293D">
        <w:rPr>
          <w:rFonts w:cs="Arial"/>
          <w:u w:val="single"/>
        </w:rPr>
        <w:t>will not</w:t>
      </w:r>
      <w:r w:rsidRPr="0006293D">
        <w:rPr>
          <w:rFonts w:cs="Arial"/>
        </w:rPr>
        <w:t xml:space="preserve"> be accepted while the </w:t>
      </w:r>
      <w:r>
        <w:rPr>
          <w:rFonts w:cs="Arial"/>
        </w:rPr>
        <w:t>registration</w:t>
      </w:r>
      <w:r w:rsidRPr="0006293D">
        <w:rPr>
          <w:rFonts w:cs="Arial"/>
        </w:rPr>
        <w:t xml:space="preserve"> is subject to a current renewal procedure.</w:t>
      </w:r>
    </w:p>
    <w:p w:rsidR="00E7012A" w:rsidRPr="00F66F61" w:rsidRDefault="00E7012A" w:rsidP="00E7012A">
      <w:pPr>
        <w:pStyle w:val="ListBullet"/>
        <w:ind w:left="360" w:right="-482" w:firstLine="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b/>
          <w:bCs/>
          <w:sz w:val="24"/>
          <w:u w:val="single"/>
        </w:rPr>
      </w:pPr>
      <w:r w:rsidRPr="00F66F61">
        <w:rPr>
          <w:rFonts w:ascii="Arial" w:hAnsi="Arial" w:cs="Arial"/>
          <w:b/>
          <w:bCs/>
          <w:sz w:val="24"/>
          <w:u w:val="single"/>
        </w:rPr>
        <w:t>Pharmacovigilance requirements</w:t>
      </w: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b/>
          <w:bCs/>
          <w:sz w:val="24"/>
        </w:rPr>
      </w:pPr>
    </w:p>
    <w:p w:rsidR="00E7012A" w:rsidRPr="00F66F61" w:rsidRDefault="00E7012A" w:rsidP="00E7012A">
      <w:pPr>
        <w:numPr>
          <w:ilvl w:val="0"/>
          <w:numId w:val="4"/>
        </w:numPr>
        <w:ind w:right="-448"/>
        <w:rPr>
          <w:rFonts w:cs="Arial"/>
        </w:rPr>
      </w:pPr>
      <w:r w:rsidRPr="00F66F61">
        <w:rPr>
          <w:rFonts w:cs="Arial"/>
        </w:rPr>
        <w:t xml:space="preserve">A Periodic Safety Update Report.  For further information about what is required, please see Section 6 of Part I of </w:t>
      </w:r>
      <w:hyperlink r:id="rId10" w:history="1">
        <w:r w:rsidRPr="00F66F61">
          <w:rPr>
            <w:rStyle w:val="Hyperlink"/>
            <w:rFonts w:cs="Arial"/>
          </w:rPr>
          <w:t>Volume 9b</w:t>
        </w:r>
      </w:hyperlink>
      <w:r w:rsidRPr="00F66F61">
        <w:rPr>
          <w:rFonts w:cs="Arial"/>
        </w:rPr>
        <w:t xml:space="preserve"> or contact </w:t>
      </w:r>
      <w:proofErr w:type="spellStart"/>
      <w:r w:rsidRPr="00F66F61">
        <w:rPr>
          <w:rFonts w:cs="Arial"/>
        </w:rPr>
        <w:t>Reena</w:t>
      </w:r>
      <w:proofErr w:type="spellEnd"/>
      <w:r w:rsidRPr="00F66F61">
        <w:rPr>
          <w:rFonts w:cs="Arial"/>
        </w:rPr>
        <w:t xml:space="preserve"> Agrawal on 01932 338430, or via email at: </w:t>
      </w:r>
      <w:hyperlink r:id="rId11" w:history="1">
        <w:r w:rsidRPr="00F66F61">
          <w:rPr>
            <w:rStyle w:val="Hyperlink"/>
            <w:rFonts w:cs="Arial"/>
          </w:rPr>
          <w:t>r.agrawal@vmd.defra.gsi.gov.uk</w:t>
        </w:r>
      </w:hyperlink>
      <w:r w:rsidRPr="00F66F61">
        <w:rPr>
          <w:rFonts w:cs="Arial"/>
        </w:rPr>
        <w:t xml:space="preserve"> .  </w:t>
      </w:r>
      <w:proofErr w:type="spellStart"/>
      <w:r w:rsidRPr="00F66F61">
        <w:rPr>
          <w:rFonts w:cs="Arial"/>
        </w:rPr>
        <w:t>Reena</w:t>
      </w:r>
      <w:proofErr w:type="spellEnd"/>
      <w:r w:rsidRPr="00F66F61">
        <w:rPr>
          <w:rFonts w:cs="Arial"/>
        </w:rPr>
        <w:t xml:space="preserve"> works in the </w:t>
      </w:r>
      <w:r>
        <w:rPr>
          <w:rFonts w:cs="Arial"/>
        </w:rPr>
        <w:t>Pharmacovigilance team</w:t>
      </w:r>
      <w:r w:rsidRPr="00F66F61">
        <w:rPr>
          <w:rFonts w:cs="Arial"/>
        </w:rPr>
        <w:t xml:space="preserve"> at the VMD.</w:t>
      </w: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b/>
          <w:bCs/>
          <w:sz w:val="24"/>
          <w:u w:val="single"/>
        </w:rPr>
      </w:pP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sz w:val="24"/>
        </w:rPr>
      </w:pPr>
      <w:r w:rsidRPr="00F66F61">
        <w:rPr>
          <w:rFonts w:ascii="Arial" w:hAnsi="Arial" w:cs="Arial"/>
          <w:b/>
          <w:bCs/>
          <w:sz w:val="24"/>
          <w:u w:val="single"/>
        </w:rPr>
        <w:t>Quality requirements</w:t>
      </w: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ListParagraph"/>
        <w:numPr>
          <w:ilvl w:val="0"/>
          <w:numId w:val="5"/>
        </w:numPr>
        <w:ind w:right="-48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66F61">
        <w:rPr>
          <w:rFonts w:ascii="Arial" w:hAnsi="Arial" w:cs="Arial"/>
          <w:sz w:val="24"/>
          <w:szCs w:val="24"/>
        </w:rPr>
        <w:t>The applicant should provide a declaration stating that all aspects of the manufacture and control of the remedy remain unchanged.</w:t>
      </w:r>
    </w:p>
    <w:p w:rsidR="00E7012A" w:rsidRPr="00F66F61" w:rsidRDefault="00E7012A" w:rsidP="00E7012A">
      <w:pPr>
        <w:pStyle w:val="ListParagraph"/>
        <w:ind w:left="0" w:right="-483"/>
        <w:contextualSpacing/>
        <w:jc w:val="both"/>
        <w:rPr>
          <w:rFonts w:ascii="Arial" w:hAnsi="Arial" w:cs="Arial"/>
          <w:sz w:val="24"/>
          <w:szCs w:val="24"/>
        </w:rPr>
      </w:pPr>
    </w:p>
    <w:p w:rsidR="00E7012A" w:rsidRPr="00F66F61" w:rsidRDefault="00E7012A" w:rsidP="00E7012A">
      <w:pPr>
        <w:pStyle w:val="ListParagraph"/>
        <w:numPr>
          <w:ilvl w:val="0"/>
          <w:numId w:val="5"/>
        </w:numPr>
        <w:ind w:right="-48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66F61">
        <w:rPr>
          <w:rFonts w:ascii="Arial" w:hAnsi="Arial" w:cs="Arial"/>
          <w:sz w:val="24"/>
          <w:szCs w:val="24"/>
        </w:rPr>
        <w:t>A list of sites should be provided, covering all suppliers and manufacturing, assembly, control and release sites.</w:t>
      </w:r>
    </w:p>
    <w:p w:rsidR="00E7012A" w:rsidRPr="00F66F61" w:rsidRDefault="00E7012A" w:rsidP="00E7012A">
      <w:pPr>
        <w:pStyle w:val="ListParagraph"/>
        <w:rPr>
          <w:rFonts w:ascii="Arial" w:hAnsi="Arial" w:cs="Arial"/>
          <w:sz w:val="24"/>
          <w:szCs w:val="24"/>
        </w:rPr>
      </w:pPr>
    </w:p>
    <w:p w:rsidR="00E7012A" w:rsidRPr="00F66F61" w:rsidRDefault="00E7012A" w:rsidP="00E7012A">
      <w:pPr>
        <w:pStyle w:val="ListParagraph"/>
        <w:numPr>
          <w:ilvl w:val="0"/>
          <w:numId w:val="5"/>
        </w:numPr>
        <w:ind w:right="-48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66F61">
        <w:rPr>
          <w:rFonts w:ascii="Arial" w:hAnsi="Arial" w:cs="Arial"/>
          <w:sz w:val="24"/>
          <w:szCs w:val="24"/>
        </w:rPr>
        <w:t>For the suppliers of the homeopathic materials, a declaration should be provided by the manufacturer of the remedy that confirms that the suppliers of the homeopathic materials operate in accordance with the requirements of GMP for starting materials.</w:t>
      </w:r>
    </w:p>
    <w:p w:rsidR="00E7012A" w:rsidRPr="00F66F61" w:rsidRDefault="00E7012A" w:rsidP="00E7012A">
      <w:pPr>
        <w:pStyle w:val="ListParagraph"/>
        <w:rPr>
          <w:rFonts w:ascii="Arial" w:hAnsi="Arial" w:cs="Arial"/>
          <w:sz w:val="24"/>
          <w:szCs w:val="24"/>
        </w:rPr>
      </w:pPr>
    </w:p>
    <w:p w:rsidR="00E7012A" w:rsidRPr="00F66F61" w:rsidRDefault="00E7012A" w:rsidP="00E7012A">
      <w:pPr>
        <w:pStyle w:val="ListParagraph"/>
        <w:numPr>
          <w:ilvl w:val="0"/>
          <w:numId w:val="5"/>
        </w:numPr>
        <w:ind w:right="-48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66F61">
        <w:rPr>
          <w:rFonts w:ascii="Arial" w:hAnsi="Arial" w:cs="Arial"/>
          <w:sz w:val="24"/>
          <w:szCs w:val="24"/>
        </w:rPr>
        <w:t>For the sites of manufacturer, assembly, control and release of the remedy, manufacturing authorisations and GMP certificates should be provided.</w:t>
      </w:r>
    </w:p>
    <w:p w:rsidR="00E7012A" w:rsidRPr="00F66F61" w:rsidRDefault="00E7012A" w:rsidP="00E7012A">
      <w:pPr>
        <w:pStyle w:val="ListParagraph"/>
        <w:rPr>
          <w:rFonts w:ascii="Arial" w:hAnsi="Arial" w:cs="Arial"/>
          <w:sz w:val="24"/>
          <w:szCs w:val="24"/>
        </w:rPr>
      </w:pPr>
    </w:p>
    <w:p w:rsidR="00E7012A" w:rsidRPr="00F66F61" w:rsidRDefault="00E7012A" w:rsidP="00E7012A">
      <w:pPr>
        <w:pStyle w:val="ListParagraph"/>
        <w:numPr>
          <w:ilvl w:val="0"/>
          <w:numId w:val="5"/>
        </w:numPr>
        <w:ind w:right="-483" w:hanging="720"/>
        <w:contextualSpacing/>
        <w:jc w:val="both"/>
        <w:rPr>
          <w:rFonts w:ascii="Arial" w:hAnsi="Arial" w:cs="Arial"/>
          <w:sz w:val="24"/>
          <w:szCs w:val="24"/>
        </w:rPr>
      </w:pPr>
      <w:r w:rsidRPr="00F66F61">
        <w:rPr>
          <w:rFonts w:ascii="Arial" w:hAnsi="Arial" w:cs="Arial"/>
          <w:sz w:val="24"/>
          <w:szCs w:val="24"/>
          <w:lang w:eastAsia="en-GB"/>
        </w:rPr>
        <w:t>A declaration of the current TSE status with updated EDQM certificates of suitability, if appropriate (compliance with the actual version of the TSE</w:t>
      </w:r>
      <w:r w:rsidRPr="00F66F61">
        <w:rPr>
          <w:rFonts w:ascii="Arial" w:hAnsi="Arial" w:cs="Arial"/>
          <w:sz w:val="24"/>
          <w:szCs w:val="24"/>
          <w:lang w:val="en-US"/>
        </w:rPr>
        <w:t xml:space="preserve"> guideline). See </w:t>
      </w:r>
      <w:hyperlink r:id="rId12" w:history="1">
        <w:r w:rsidRPr="00F66F61">
          <w:rPr>
            <w:rStyle w:val="Hyperlink"/>
            <w:rFonts w:ascii="Arial" w:hAnsi="Arial" w:cs="Arial"/>
            <w:sz w:val="24"/>
            <w:szCs w:val="24"/>
            <w:lang w:val="en-US"/>
          </w:rPr>
          <w:t>http://www.vmd.gov.uk/General/AppsPage/format.pdf</w:t>
        </w:r>
      </w:hyperlink>
      <w:r w:rsidRPr="00F66F61">
        <w:rPr>
          <w:rFonts w:ascii="Arial" w:hAnsi="Arial" w:cs="Arial"/>
          <w:sz w:val="24"/>
          <w:szCs w:val="24"/>
          <w:lang w:val="en-US"/>
        </w:rPr>
        <w:t xml:space="preserve"> and </w:t>
      </w:r>
      <w:hyperlink r:id="rId13" w:history="1">
        <w:r w:rsidRPr="00F66F61">
          <w:rPr>
            <w:rStyle w:val="Hyperlink"/>
            <w:rFonts w:ascii="Arial" w:hAnsi="Arial" w:cs="Arial"/>
            <w:sz w:val="24"/>
            <w:szCs w:val="24"/>
          </w:rPr>
          <w:t>http://www.vmd.gov.uk/General/AppsPage/notes.pdf</w:t>
        </w:r>
      </w:hyperlink>
    </w:p>
    <w:p w:rsidR="00E7012A" w:rsidRPr="00F66F61" w:rsidRDefault="00E7012A" w:rsidP="00E7012A">
      <w:pPr>
        <w:ind w:hanging="720"/>
        <w:rPr>
          <w:rFonts w:cs="Arial"/>
        </w:rPr>
      </w:pP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rPr>
          <w:rFonts w:cs="Arial"/>
          <w:b/>
          <w:u w:val="single"/>
        </w:rPr>
      </w:pPr>
      <w:r w:rsidRPr="00F66F61">
        <w:rPr>
          <w:rFonts w:cs="Arial"/>
          <w:b/>
          <w:u w:val="single"/>
        </w:rPr>
        <w:t xml:space="preserve">Safety Requirements </w:t>
      </w:r>
    </w:p>
    <w:p w:rsidR="00E7012A" w:rsidRPr="00F66F61" w:rsidRDefault="00E7012A" w:rsidP="00E7012A">
      <w:pPr>
        <w:rPr>
          <w:rFonts w:cs="Arial"/>
          <w:b/>
          <w:u w:val="single"/>
        </w:rPr>
      </w:pPr>
    </w:p>
    <w:p w:rsidR="00E7012A" w:rsidRPr="00F66F61" w:rsidRDefault="00E7012A" w:rsidP="00E7012A">
      <w:pPr>
        <w:ind w:right="-450"/>
        <w:rPr>
          <w:rFonts w:cs="Arial"/>
        </w:rPr>
      </w:pPr>
      <w:r w:rsidRPr="00F66F61">
        <w:rPr>
          <w:rFonts w:cs="Arial"/>
        </w:rPr>
        <w:t xml:space="preserve">The safety of the remedy for people handling/administering the homeopathic remedy should be reviewed talking into account </w:t>
      </w:r>
      <w:r w:rsidRPr="00F66F61">
        <w:rPr>
          <w:rFonts w:cs="Arial"/>
          <w:lang w:eastAsia="en-GB"/>
        </w:rPr>
        <w:t xml:space="preserve">any relevant information that has come to light in the reporting period, e.g. appropriate and sufficient warnings on the product literature in relation to any human adverse reactions.  </w:t>
      </w:r>
    </w:p>
    <w:p w:rsidR="00E7012A" w:rsidRPr="00F66F61" w:rsidRDefault="00E7012A" w:rsidP="00E7012A">
      <w:pPr>
        <w:pStyle w:val="ListBullet"/>
        <w:ind w:left="0" w:right="-483" w:firstLine="0"/>
        <w:jc w:val="both"/>
        <w:rPr>
          <w:rFonts w:ascii="Arial" w:hAnsi="Arial" w:cs="Arial"/>
          <w:sz w:val="24"/>
        </w:rPr>
      </w:pPr>
    </w:p>
    <w:p w:rsidR="00E7012A" w:rsidRPr="00F66F61" w:rsidRDefault="00E7012A" w:rsidP="00E7012A">
      <w:pPr>
        <w:pStyle w:val="BodyText"/>
        <w:ind w:right="-483"/>
        <w:jc w:val="center"/>
        <w:rPr>
          <w:rFonts w:cs="Arial"/>
          <w:b/>
          <w:u w:val="single"/>
        </w:rPr>
      </w:pPr>
    </w:p>
    <w:p w:rsidR="00E7012A" w:rsidRPr="002162FC" w:rsidRDefault="00E7012A" w:rsidP="00E7012A"/>
    <w:p w:rsidR="00E7012A" w:rsidRDefault="00E7012A" w:rsidP="00634378"/>
    <w:p w:rsidR="00E7012A" w:rsidRDefault="00E7012A" w:rsidP="00634378"/>
    <w:p w:rsidR="00E7012A" w:rsidRDefault="00E7012A" w:rsidP="00634378"/>
    <w:sectPr w:rsidR="00E7012A" w:rsidSect="00C92FF8">
      <w:footerReference w:type="default" r:id="rId14"/>
      <w:pgSz w:w="11906" w:h="16838"/>
      <w:pgMar w:top="709" w:right="1138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C9" w:rsidRDefault="004500C9" w:rsidP="00BA51A7">
      <w:r>
        <w:separator/>
      </w:r>
    </w:p>
  </w:endnote>
  <w:endnote w:type="continuationSeparator" w:id="0">
    <w:p w:rsidR="004500C9" w:rsidRDefault="004500C9" w:rsidP="00BA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9" w:rsidRPr="008A2EE2" w:rsidRDefault="00E01C93" w:rsidP="00E01C9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Author: </w:t>
    </w:r>
    <w:r w:rsidR="008E203B">
      <w:rPr>
        <w:rFonts w:ascii="Arial" w:hAnsi="Arial" w:cs="Arial"/>
        <w:sz w:val="16"/>
        <w:szCs w:val="16"/>
      </w:rPr>
      <w:t>Iain Jenkins</w:t>
    </w:r>
    <w:r w:rsidR="008E203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B33A9" w:rsidRPr="008A2EE2">
      <w:rPr>
        <w:rFonts w:ascii="Arial" w:hAnsi="Arial" w:cs="Arial"/>
        <w:sz w:val="16"/>
        <w:szCs w:val="16"/>
      </w:rPr>
      <w:t>VMD/L4/Authorisations/0</w:t>
    </w:r>
    <w:r w:rsidR="00196FB3">
      <w:rPr>
        <w:rFonts w:ascii="Arial" w:hAnsi="Arial" w:cs="Arial"/>
        <w:sz w:val="16"/>
        <w:szCs w:val="16"/>
      </w:rPr>
      <w:t>43</w:t>
    </w:r>
    <w:r w:rsidR="008B33A9" w:rsidRPr="008A2EE2">
      <w:rPr>
        <w:rFonts w:ascii="Arial" w:hAnsi="Arial" w:cs="Arial"/>
        <w:sz w:val="16"/>
        <w:szCs w:val="16"/>
      </w:rPr>
      <w:t>/C - #</w:t>
    </w:r>
    <w:r w:rsidR="008E203B">
      <w:rPr>
        <w:rFonts w:ascii="Arial" w:hAnsi="Arial" w:cs="Arial"/>
        <w:sz w:val="16"/>
        <w:szCs w:val="16"/>
      </w:rPr>
      <w:t>6</w:t>
    </w:r>
    <w:r w:rsidR="00196FB3">
      <w:rPr>
        <w:rFonts w:ascii="Arial" w:hAnsi="Arial" w:cs="Arial"/>
        <w:sz w:val="16"/>
        <w:szCs w:val="16"/>
      </w:rPr>
      <w:t>34027</w:t>
    </w:r>
    <w:r w:rsidR="008A2EE2" w:rsidRPr="008A2EE2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Issued</w:t>
    </w:r>
    <w:r w:rsidR="00C92FF8">
      <w:rPr>
        <w:rFonts w:ascii="Arial" w:hAnsi="Arial" w:cs="Arial"/>
        <w:sz w:val="16"/>
        <w:szCs w:val="16"/>
      </w:rPr>
      <w:t xml:space="preserve">. </w:t>
    </w:r>
    <w:r w:rsidR="008E203B">
      <w:rPr>
        <w:rFonts w:ascii="Arial" w:hAnsi="Arial" w:cs="Arial"/>
        <w:sz w:val="16"/>
        <w:szCs w:val="16"/>
      </w:rPr>
      <w:t>2</w:t>
    </w:r>
    <w:r w:rsidR="00196FB3">
      <w:rPr>
        <w:rFonts w:ascii="Arial" w:hAnsi="Arial" w:cs="Arial"/>
        <w:sz w:val="16"/>
        <w:szCs w:val="16"/>
      </w:rPr>
      <w:t>1</w:t>
    </w:r>
    <w:r w:rsidR="008E203B">
      <w:rPr>
        <w:rFonts w:ascii="Arial" w:hAnsi="Arial" w:cs="Arial"/>
        <w:sz w:val="16"/>
        <w:szCs w:val="16"/>
      </w:rPr>
      <w:t>/05/2014</w:t>
    </w:r>
  </w:p>
  <w:p w:rsidR="00BA51A7" w:rsidRDefault="00BA5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C9" w:rsidRDefault="004500C9" w:rsidP="00BA51A7">
      <w:r>
        <w:separator/>
      </w:r>
    </w:p>
  </w:footnote>
  <w:footnote w:type="continuationSeparator" w:id="0">
    <w:p w:rsidR="004500C9" w:rsidRDefault="004500C9" w:rsidP="00BA5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DFD"/>
    <w:multiLevelType w:val="hybridMultilevel"/>
    <w:tmpl w:val="CFD0F02C"/>
    <w:lvl w:ilvl="0" w:tplc="D17AEBA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4614D"/>
    <w:multiLevelType w:val="hybridMultilevel"/>
    <w:tmpl w:val="A9244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33EE3"/>
    <w:multiLevelType w:val="hybridMultilevel"/>
    <w:tmpl w:val="8BB4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A34"/>
    <w:multiLevelType w:val="hybridMultilevel"/>
    <w:tmpl w:val="087C011C"/>
    <w:lvl w:ilvl="0" w:tplc="CF266A2E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6F368D"/>
    <w:multiLevelType w:val="hybridMultilevel"/>
    <w:tmpl w:val="E6F29508"/>
    <w:lvl w:ilvl="0" w:tplc="08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F2A56"/>
    <w:multiLevelType w:val="hybridMultilevel"/>
    <w:tmpl w:val="1D4C5368"/>
    <w:lvl w:ilvl="0" w:tplc="9A2C14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033C9F"/>
    <w:multiLevelType w:val="hybridMultilevel"/>
    <w:tmpl w:val="0818DB56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7225483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755D52A5"/>
    <w:multiLevelType w:val="hybridMultilevel"/>
    <w:tmpl w:val="B400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9"/>
    <w:rsid w:val="000033C7"/>
    <w:rsid w:val="00010ECF"/>
    <w:rsid w:val="00064364"/>
    <w:rsid w:val="0007450F"/>
    <w:rsid w:val="0008066E"/>
    <w:rsid w:val="000A4B7C"/>
    <w:rsid w:val="000C7646"/>
    <w:rsid w:val="000D0EB9"/>
    <w:rsid w:val="000D56EF"/>
    <w:rsid w:val="000D5C8D"/>
    <w:rsid w:val="00104E89"/>
    <w:rsid w:val="0013312E"/>
    <w:rsid w:val="00141401"/>
    <w:rsid w:val="00153FB7"/>
    <w:rsid w:val="001760A5"/>
    <w:rsid w:val="00196FB3"/>
    <w:rsid w:val="001B38A6"/>
    <w:rsid w:val="001C5C33"/>
    <w:rsid w:val="00247643"/>
    <w:rsid w:val="002728AB"/>
    <w:rsid w:val="00280AA3"/>
    <w:rsid w:val="00297B27"/>
    <w:rsid w:val="002D6EBF"/>
    <w:rsid w:val="002D6F0F"/>
    <w:rsid w:val="002E4F7A"/>
    <w:rsid w:val="002F56F4"/>
    <w:rsid w:val="00304E5C"/>
    <w:rsid w:val="0032073E"/>
    <w:rsid w:val="00323A85"/>
    <w:rsid w:val="00323B93"/>
    <w:rsid w:val="00357C55"/>
    <w:rsid w:val="0038109B"/>
    <w:rsid w:val="00395F33"/>
    <w:rsid w:val="003B7D29"/>
    <w:rsid w:val="003C24C3"/>
    <w:rsid w:val="003C768C"/>
    <w:rsid w:val="003E61E1"/>
    <w:rsid w:val="003F3F8E"/>
    <w:rsid w:val="00407F36"/>
    <w:rsid w:val="00413ED1"/>
    <w:rsid w:val="004225D1"/>
    <w:rsid w:val="004500C9"/>
    <w:rsid w:val="00454087"/>
    <w:rsid w:val="0045647C"/>
    <w:rsid w:val="0048626E"/>
    <w:rsid w:val="004A0A88"/>
    <w:rsid w:val="004A3F81"/>
    <w:rsid w:val="004B0000"/>
    <w:rsid w:val="004B4849"/>
    <w:rsid w:val="004C5F99"/>
    <w:rsid w:val="004E5880"/>
    <w:rsid w:val="004F2921"/>
    <w:rsid w:val="005115EF"/>
    <w:rsid w:val="0052148A"/>
    <w:rsid w:val="00577AE0"/>
    <w:rsid w:val="005A4571"/>
    <w:rsid w:val="005B2391"/>
    <w:rsid w:val="005E20AA"/>
    <w:rsid w:val="006057E3"/>
    <w:rsid w:val="00621799"/>
    <w:rsid w:val="00634378"/>
    <w:rsid w:val="00640B59"/>
    <w:rsid w:val="006410C8"/>
    <w:rsid w:val="006418AE"/>
    <w:rsid w:val="006446E6"/>
    <w:rsid w:val="0066749E"/>
    <w:rsid w:val="0067715F"/>
    <w:rsid w:val="006808F1"/>
    <w:rsid w:val="0069767B"/>
    <w:rsid w:val="006B03A0"/>
    <w:rsid w:val="006D7733"/>
    <w:rsid w:val="006E2FC9"/>
    <w:rsid w:val="00740273"/>
    <w:rsid w:val="00741BC4"/>
    <w:rsid w:val="00756429"/>
    <w:rsid w:val="007866AA"/>
    <w:rsid w:val="007A00D9"/>
    <w:rsid w:val="007C3F92"/>
    <w:rsid w:val="007C55CA"/>
    <w:rsid w:val="007F66D1"/>
    <w:rsid w:val="00800DEA"/>
    <w:rsid w:val="00871939"/>
    <w:rsid w:val="008A0EB6"/>
    <w:rsid w:val="008A2EE2"/>
    <w:rsid w:val="008A7CA1"/>
    <w:rsid w:val="008B33A9"/>
    <w:rsid w:val="008C08B8"/>
    <w:rsid w:val="008C20C5"/>
    <w:rsid w:val="008E203B"/>
    <w:rsid w:val="00957008"/>
    <w:rsid w:val="00966638"/>
    <w:rsid w:val="00972E93"/>
    <w:rsid w:val="009965CF"/>
    <w:rsid w:val="009A62C1"/>
    <w:rsid w:val="009A7519"/>
    <w:rsid w:val="00A03BA6"/>
    <w:rsid w:val="00A3798C"/>
    <w:rsid w:val="00A5509C"/>
    <w:rsid w:val="00A6152D"/>
    <w:rsid w:val="00AB5A35"/>
    <w:rsid w:val="00AD73E0"/>
    <w:rsid w:val="00B047A2"/>
    <w:rsid w:val="00B3197B"/>
    <w:rsid w:val="00B54C68"/>
    <w:rsid w:val="00B54EC9"/>
    <w:rsid w:val="00B577F1"/>
    <w:rsid w:val="00B60B01"/>
    <w:rsid w:val="00B62344"/>
    <w:rsid w:val="00BA51A7"/>
    <w:rsid w:val="00BB3D94"/>
    <w:rsid w:val="00BD1B02"/>
    <w:rsid w:val="00C0603E"/>
    <w:rsid w:val="00C3044B"/>
    <w:rsid w:val="00C46D48"/>
    <w:rsid w:val="00C54DF1"/>
    <w:rsid w:val="00C92FF8"/>
    <w:rsid w:val="00CA68BF"/>
    <w:rsid w:val="00CB4496"/>
    <w:rsid w:val="00CD02F8"/>
    <w:rsid w:val="00CD0BD9"/>
    <w:rsid w:val="00D07076"/>
    <w:rsid w:val="00D352A0"/>
    <w:rsid w:val="00D956E6"/>
    <w:rsid w:val="00D971B0"/>
    <w:rsid w:val="00E01C93"/>
    <w:rsid w:val="00E614AB"/>
    <w:rsid w:val="00E7012A"/>
    <w:rsid w:val="00E819FD"/>
    <w:rsid w:val="00E828CD"/>
    <w:rsid w:val="00E864D8"/>
    <w:rsid w:val="00E94A7A"/>
    <w:rsid w:val="00E97EAB"/>
    <w:rsid w:val="00EA2A5E"/>
    <w:rsid w:val="00EC698B"/>
    <w:rsid w:val="00F27CFD"/>
    <w:rsid w:val="00F73AA5"/>
    <w:rsid w:val="00F77CEA"/>
    <w:rsid w:val="00FC092B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character" w:styleId="Hyperlink">
    <w:name w:val="Hyperlink"/>
    <w:unhideWhenUsed/>
    <w:rsid w:val="003C24C3"/>
    <w:rPr>
      <w:color w:val="0000FF"/>
      <w:u w:val="single"/>
    </w:rPr>
  </w:style>
  <w:style w:type="paragraph" w:styleId="ListBullet">
    <w:name w:val="List Bullet"/>
    <w:basedOn w:val="Normal"/>
    <w:rsid w:val="00E7012A"/>
    <w:pPr>
      <w:ind w:left="283" w:hanging="283"/>
      <w:jc w:val="left"/>
    </w:pPr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E7012A"/>
    <w:pPr>
      <w:ind w:left="72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D9"/>
    <w:pPr>
      <w:jc w:val="both"/>
    </w:pPr>
    <w:rPr>
      <w:rFonts w:ascii="Arial" w:hAnsi="Arial"/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D0BD9"/>
    <w:pPr>
      <w:keepNext/>
      <w:tabs>
        <w:tab w:val="left" w:pos="2772"/>
        <w:tab w:val="left" w:pos="5112"/>
        <w:tab w:val="left" w:pos="6552"/>
      </w:tabs>
      <w:autoSpaceDE w:val="0"/>
      <w:autoSpaceDN w:val="0"/>
      <w:adjustRightInd w:val="0"/>
      <w:ind w:left="612"/>
      <w:jc w:val="left"/>
      <w:outlineLvl w:val="3"/>
    </w:pPr>
    <w:rPr>
      <w:rFonts w:cs="Arial"/>
      <w:b/>
      <w:bCs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CD0BD9"/>
    <w:pPr>
      <w:tabs>
        <w:tab w:val="left" w:pos="1332"/>
        <w:tab w:val="left" w:pos="2772"/>
        <w:tab w:val="left" w:pos="5292"/>
        <w:tab w:val="left" w:pos="6552"/>
      </w:tabs>
      <w:autoSpaceDE w:val="0"/>
      <w:autoSpaceDN w:val="0"/>
      <w:adjustRightInd w:val="0"/>
      <w:ind w:left="1332" w:hanging="1332"/>
      <w:jc w:val="left"/>
    </w:pPr>
    <w:rPr>
      <w:rFonts w:cs="Arial"/>
      <w:b/>
      <w:bCs/>
      <w:sz w:val="20"/>
      <w:lang w:val="en-US"/>
    </w:rPr>
  </w:style>
  <w:style w:type="table" w:styleId="TableGrid">
    <w:name w:val="Table Grid"/>
    <w:basedOn w:val="TableNormal"/>
    <w:rsid w:val="000C764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14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115EF"/>
    <w:pPr>
      <w:spacing w:after="120"/>
    </w:pPr>
  </w:style>
  <w:style w:type="paragraph" w:styleId="Footer">
    <w:name w:val="footer"/>
    <w:basedOn w:val="Normal"/>
    <w:link w:val="FooterChar"/>
    <w:uiPriority w:val="99"/>
    <w:rsid w:val="002728AB"/>
    <w:pPr>
      <w:tabs>
        <w:tab w:val="center" w:pos="4819"/>
        <w:tab w:val="right" w:pos="9071"/>
      </w:tabs>
      <w:jc w:val="left"/>
    </w:pPr>
    <w:rPr>
      <w:rFonts w:ascii="Times New Roman" w:hAnsi="Times New Roman"/>
      <w:lang w:val="de-DE" w:eastAsia="de-DE"/>
    </w:rPr>
  </w:style>
  <w:style w:type="character" w:styleId="CommentReference">
    <w:name w:val="annotation reference"/>
    <w:rsid w:val="00E819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9FD"/>
    <w:rPr>
      <w:sz w:val="20"/>
    </w:rPr>
  </w:style>
  <w:style w:type="character" w:customStyle="1" w:styleId="CommentTextChar">
    <w:name w:val="Comment Text Char"/>
    <w:link w:val="CommentText"/>
    <w:rsid w:val="00E819F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19FD"/>
    <w:rPr>
      <w:b/>
      <w:bCs/>
    </w:rPr>
  </w:style>
  <w:style w:type="character" w:customStyle="1" w:styleId="CommentSubjectChar">
    <w:name w:val="Comment Subject Char"/>
    <w:link w:val="CommentSubject"/>
    <w:rsid w:val="00E819FD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rsid w:val="00BA51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A51A7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BA51A7"/>
    <w:rPr>
      <w:sz w:val="24"/>
      <w:lang w:val="de-DE" w:eastAsia="de-DE"/>
    </w:rPr>
  </w:style>
  <w:style w:type="paragraph" w:customStyle="1" w:styleId="Normal10pt">
    <w:name w:val="Normal + 10 pt"/>
    <w:basedOn w:val="Normal"/>
    <w:rsid w:val="00323A85"/>
    <w:pPr>
      <w:jc w:val="left"/>
    </w:pPr>
    <w:rPr>
      <w:rFonts w:ascii="Times New Roman" w:hAnsi="Times New Roman"/>
      <w:sz w:val="20"/>
    </w:rPr>
  </w:style>
  <w:style w:type="character" w:customStyle="1" w:styleId="Heading4Char">
    <w:name w:val="Heading 4 Char"/>
    <w:link w:val="Heading4"/>
    <w:rsid w:val="00E01C93"/>
    <w:rPr>
      <w:rFonts w:ascii="Arial" w:hAnsi="Arial" w:cs="Arial"/>
      <w:b/>
      <w:bCs/>
      <w:sz w:val="16"/>
      <w:lang w:val="en-US" w:eastAsia="en-US"/>
    </w:rPr>
  </w:style>
  <w:style w:type="character" w:styleId="Hyperlink">
    <w:name w:val="Hyperlink"/>
    <w:unhideWhenUsed/>
    <w:rsid w:val="003C24C3"/>
    <w:rPr>
      <w:color w:val="0000FF"/>
      <w:u w:val="single"/>
    </w:rPr>
  </w:style>
  <w:style w:type="paragraph" w:styleId="ListBullet">
    <w:name w:val="List Bullet"/>
    <w:basedOn w:val="Normal"/>
    <w:rsid w:val="00E7012A"/>
    <w:pPr>
      <w:ind w:left="283" w:hanging="283"/>
      <w:jc w:val="left"/>
    </w:pPr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34"/>
    <w:qFormat/>
    <w:rsid w:val="00E7012A"/>
    <w:pPr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md.gov.uk/General/AppsPage/not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md.gov.uk/General/AppsPage/forma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agrawal@vmd.defra.gsi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health/files/eudralex/vol-9/vol_9b_2011-1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9532-A40D-4EEC-8AAD-2044AADD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Autogenous Vaccine Authorisation - Variation Application Form</vt:lpstr>
    </vt:vector>
  </TitlesOfParts>
  <Company>VMD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Autogenous Vaccine Authorisation - Variation Application Form</dc:title>
  <dc:subject/>
  <dc:creator>VMD</dc:creator>
  <cp:keywords/>
  <cp:lastModifiedBy>Shilling, Natalie</cp:lastModifiedBy>
  <cp:revision>5</cp:revision>
  <dcterms:created xsi:type="dcterms:W3CDTF">2014-05-21T12:45:00Z</dcterms:created>
  <dcterms:modified xsi:type="dcterms:W3CDTF">2015-04-27T10:44:00Z</dcterms:modified>
</cp:coreProperties>
</file>