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123"/>
        <w:gridCol w:w="1619"/>
        <w:gridCol w:w="2410"/>
        <w:gridCol w:w="106"/>
        <w:gridCol w:w="1980"/>
        <w:gridCol w:w="2252"/>
      </w:tblGrid>
      <w:tr w:rsidR="00B50649" w:rsidRPr="00B8191D" w14:paraId="24D9B6C6" w14:textId="77777777" w:rsidTr="003167C9">
        <w:trPr>
          <w:trHeight w:hRule="exact" w:val="2562"/>
        </w:trPr>
        <w:tc>
          <w:tcPr>
            <w:tcW w:w="6152" w:type="dxa"/>
            <w:gridSpan w:val="3"/>
            <w:tcBorders>
              <w:top w:val="single" w:sz="4" w:space="0" w:color="auto"/>
              <w:bottom w:val="single" w:sz="4" w:space="0" w:color="auto"/>
            </w:tcBorders>
            <w:shd w:val="clear" w:color="auto" w:fill="auto"/>
          </w:tcPr>
          <w:p w14:paraId="7817C79A" w14:textId="77777777" w:rsidR="00DA5ADE" w:rsidRPr="00B8191D" w:rsidRDefault="00495404" w:rsidP="007F492A">
            <w:pPr>
              <w:pStyle w:val="IAHeadLabel0"/>
              <w:spacing w:before="50"/>
              <w:ind w:left="34"/>
              <w:rPr>
                <w:rFonts w:cstheme="majorBidi"/>
                <w:i/>
                <w:iCs/>
              </w:rPr>
            </w:pPr>
            <w:bookmarkStart w:id="0" w:name="_GoBack"/>
            <w:bookmarkEnd w:id="0"/>
            <w:r w:rsidRPr="00B8191D">
              <w:t>Title</w:t>
            </w:r>
            <w:r w:rsidR="00463490" w:rsidRPr="00B8191D">
              <w:t>:</w:t>
            </w:r>
            <w:r w:rsidR="00DA5ADE" w:rsidRPr="00B8191D">
              <w:t xml:space="preserve"> </w:t>
            </w:r>
          </w:p>
          <w:p w14:paraId="43515362" w14:textId="4602D977" w:rsidR="0095640C" w:rsidRPr="000D0ADA" w:rsidRDefault="000D0ADA" w:rsidP="007F492A">
            <w:pPr>
              <w:pStyle w:val="IAHeadTitle"/>
              <w:ind w:left="34"/>
              <w:rPr>
                <w:rFonts w:cstheme="majorBidi"/>
                <w:b w:val="0"/>
                <w:i/>
                <w:iCs/>
                <w:sz w:val="20"/>
                <w:szCs w:val="22"/>
              </w:rPr>
            </w:pPr>
            <w:r w:rsidRPr="000D0ADA">
              <w:rPr>
                <w:b w:val="0"/>
                <w:sz w:val="20"/>
                <w:szCs w:val="22"/>
              </w:rPr>
              <w:t>The balance of payments between TV platforms and Public Service Broadcasters</w:t>
            </w:r>
            <w:r w:rsidR="00962652">
              <w:rPr>
                <w:b w:val="0"/>
                <w:sz w:val="20"/>
                <w:szCs w:val="22"/>
              </w:rPr>
              <w:t xml:space="preserve"> and the future of Electronic Programme Guides</w:t>
            </w:r>
          </w:p>
          <w:p w14:paraId="21F8BAEF" w14:textId="6390D331" w:rsidR="000D0ADA" w:rsidRDefault="00962652" w:rsidP="007F492A">
            <w:pPr>
              <w:pStyle w:val="IAHeadTitle"/>
              <w:tabs>
                <w:tab w:val="left" w:pos="1380"/>
              </w:tabs>
              <w:ind w:left="34"/>
              <w:rPr>
                <w:rFonts w:cstheme="majorBidi"/>
                <w:i/>
                <w:iCs/>
                <w:sz w:val="20"/>
                <w:szCs w:val="20"/>
              </w:rPr>
            </w:pPr>
            <w:r>
              <w:rPr>
                <w:sz w:val="20"/>
                <w:szCs w:val="20"/>
              </w:rPr>
              <w:tab/>
            </w:r>
          </w:p>
          <w:p w14:paraId="5E281E9E" w14:textId="77777777" w:rsidR="0095640C" w:rsidRPr="000D0ADA" w:rsidRDefault="00D50283" w:rsidP="007F492A">
            <w:pPr>
              <w:pStyle w:val="IAHeadTitle"/>
              <w:ind w:left="34"/>
              <w:rPr>
                <w:rFonts w:cstheme="majorBidi"/>
                <w:b w:val="0"/>
                <w:i/>
                <w:iCs/>
                <w:color w:val="000000"/>
                <w:szCs w:val="22"/>
                <w:lang w:eastAsia="en-US"/>
              </w:rPr>
            </w:pPr>
            <w:r w:rsidRPr="00B8191D">
              <w:rPr>
                <w:sz w:val="20"/>
                <w:szCs w:val="20"/>
              </w:rPr>
              <w:t xml:space="preserve">IA No: </w:t>
            </w:r>
            <w:bookmarkStart w:id="1" w:name="IANo"/>
            <w:r w:rsidR="00290335" w:rsidRPr="00B8191D">
              <w:rPr>
                <w:rStyle w:val="IANoChar"/>
                <w:rFonts w:cs="Arial"/>
                <w:sz w:val="20"/>
                <w:szCs w:val="20"/>
              </w:rPr>
              <w:fldChar w:fldCharType="begin">
                <w:ffData>
                  <w:name w:val="IANo"/>
                  <w:enabled/>
                  <w:calcOnExit w:val="0"/>
                  <w:textInput>
                    <w:maxLength w:val="20"/>
                  </w:textInput>
                </w:ffData>
              </w:fldChar>
            </w:r>
            <w:r w:rsidR="00290335" w:rsidRPr="00B8191D">
              <w:rPr>
                <w:rStyle w:val="IANoChar"/>
                <w:rFonts w:cs="Arial"/>
                <w:sz w:val="20"/>
                <w:szCs w:val="20"/>
              </w:rPr>
              <w:instrText xml:space="preserve"> FORMTEXT </w:instrText>
            </w:r>
            <w:r w:rsidR="00290335" w:rsidRPr="00B8191D">
              <w:rPr>
                <w:rStyle w:val="IANoChar"/>
                <w:rFonts w:cs="Arial"/>
                <w:sz w:val="20"/>
                <w:szCs w:val="20"/>
              </w:rPr>
            </w:r>
            <w:r w:rsidR="00290335" w:rsidRPr="00B8191D">
              <w:rPr>
                <w:rStyle w:val="IANoChar"/>
                <w:rFonts w:cs="Arial"/>
                <w:sz w:val="20"/>
                <w:szCs w:val="20"/>
              </w:rPr>
              <w:fldChar w:fldCharType="separate"/>
            </w:r>
            <w:r w:rsidR="00ED5998" w:rsidRPr="00B8191D">
              <w:rPr>
                <w:rStyle w:val="IANoChar"/>
                <w:rFonts w:cs="Arial"/>
                <w:noProof/>
                <w:sz w:val="20"/>
                <w:szCs w:val="20"/>
              </w:rPr>
              <w:t> </w:t>
            </w:r>
            <w:r w:rsidR="00ED5998" w:rsidRPr="00B8191D">
              <w:rPr>
                <w:rStyle w:val="IANoChar"/>
                <w:rFonts w:cs="Arial"/>
                <w:noProof/>
                <w:sz w:val="20"/>
                <w:szCs w:val="20"/>
              </w:rPr>
              <w:t> </w:t>
            </w:r>
            <w:r w:rsidR="00ED5998" w:rsidRPr="00B8191D">
              <w:rPr>
                <w:rStyle w:val="IANoChar"/>
                <w:rFonts w:cs="Arial"/>
                <w:noProof/>
                <w:sz w:val="20"/>
                <w:szCs w:val="20"/>
              </w:rPr>
              <w:t> </w:t>
            </w:r>
            <w:r w:rsidR="00ED5998" w:rsidRPr="00B8191D">
              <w:rPr>
                <w:rStyle w:val="IANoChar"/>
                <w:rFonts w:cs="Arial"/>
                <w:noProof/>
                <w:sz w:val="20"/>
                <w:szCs w:val="20"/>
              </w:rPr>
              <w:t> </w:t>
            </w:r>
            <w:r w:rsidR="00ED5998" w:rsidRPr="00B8191D">
              <w:rPr>
                <w:rStyle w:val="IANoChar"/>
                <w:rFonts w:cs="Arial"/>
                <w:noProof/>
                <w:sz w:val="20"/>
                <w:szCs w:val="20"/>
              </w:rPr>
              <w:t> </w:t>
            </w:r>
            <w:r w:rsidR="00290335" w:rsidRPr="00B8191D">
              <w:rPr>
                <w:rStyle w:val="IANoChar"/>
                <w:rFonts w:cs="Arial"/>
                <w:sz w:val="20"/>
                <w:szCs w:val="20"/>
              </w:rPr>
              <w:fldChar w:fldCharType="end"/>
            </w:r>
            <w:bookmarkEnd w:id="1"/>
          </w:p>
          <w:p w14:paraId="442B6B4A" w14:textId="77777777" w:rsidR="00495404" w:rsidRPr="00B8191D" w:rsidRDefault="00495404" w:rsidP="007F492A">
            <w:pPr>
              <w:pStyle w:val="IAHeadLabel"/>
              <w:ind w:left="34"/>
              <w:rPr>
                <w:rFonts w:cstheme="majorBidi"/>
                <w:i/>
                <w:iCs/>
              </w:rPr>
            </w:pPr>
            <w:r w:rsidRPr="00B8191D">
              <w:t>Lead department or agency:</w:t>
            </w:r>
          </w:p>
          <w:p w14:paraId="50BFD232" w14:textId="77777777" w:rsidR="001D5EC9" w:rsidRPr="00B8191D" w:rsidRDefault="008C40AC" w:rsidP="007F492A">
            <w:pPr>
              <w:pStyle w:val="IALeadDept"/>
              <w:ind w:left="34"/>
            </w:pPr>
            <w:r w:rsidRPr="00B8191D">
              <w:t>Department for Culture, Media and Sport</w:t>
            </w:r>
          </w:p>
          <w:p w14:paraId="69EF999C" w14:textId="77777777" w:rsidR="00AE4439" w:rsidRPr="00B8191D" w:rsidRDefault="00495404" w:rsidP="007F492A">
            <w:pPr>
              <w:pStyle w:val="IATableLabel"/>
              <w:spacing w:after="0"/>
              <w:ind w:left="34"/>
              <w:rPr>
                <w:rFonts w:cstheme="majorBidi"/>
                <w:i/>
                <w:iCs/>
              </w:rPr>
            </w:pPr>
            <w:r w:rsidRPr="00B8191D">
              <w:t>Other departments or agencies:</w:t>
            </w:r>
            <w:r w:rsidR="00DF2F4B" w:rsidRPr="00B8191D">
              <w:t xml:space="preserve"> </w:t>
            </w:r>
          </w:p>
          <w:p w14:paraId="27E4E085" w14:textId="77777777" w:rsidR="00B93466" w:rsidRPr="00B8191D" w:rsidRDefault="00E14F8C" w:rsidP="007F492A">
            <w:pPr>
              <w:pStyle w:val="IAOtherDepts"/>
              <w:tabs>
                <w:tab w:val="left" w:pos="601"/>
              </w:tabs>
              <w:ind w:left="34"/>
              <w:rPr>
                <w:rFonts w:cstheme="majorBidi"/>
                <w:i/>
                <w:iCs/>
              </w:rPr>
            </w:pPr>
            <w:r>
              <w:t>N/A</w:t>
            </w:r>
          </w:p>
        </w:tc>
        <w:tc>
          <w:tcPr>
            <w:tcW w:w="4338" w:type="dxa"/>
            <w:gridSpan w:val="3"/>
            <w:tcBorders>
              <w:top w:val="single" w:sz="4" w:space="0" w:color="auto"/>
              <w:bottom w:val="single" w:sz="4" w:space="0" w:color="auto"/>
            </w:tcBorders>
            <w:shd w:val="clear" w:color="auto" w:fill="auto"/>
          </w:tcPr>
          <w:tbl>
            <w:tblPr>
              <w:tblW w:w="4083"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3"/>
            </w:tblGrid>
            <w:tr w:rsidR="00B50649" w:rsidRPr="00B8191D" w14:paraId="3FDC16E9" w14:textId="77777777" w:rsidTr="007F492A">
              <w:trPr>
                <w:trHeight w:hRule="exact" w:val="539"/>
              </w:trPr>
              <w:tc>
                <w:tcPr>
                  <w:tcW w:w="4083" w:type="dxa"/>
                  <w:shd w:val="clear" w:color="auto" w:fill="333333"/>
                  <w:vAlign w:val="center"/>
                </w:tcPr>
                <w:p w14:paraId="128628E8" w14:textId="77777777" w:rsidR="00B50649" w:rsidRPr="00B8191D" w:rsidRDefault="002874C0" w:rsidP="001A074F">
                  <w:pPr>
                    <w:pStyle w:val="Title"/>
                  </w:pPr>
                  <w:r w:rsidRPr="00B8191D">
                    <w:t>Impact A</w:t>
                  </w:r>
                  <w:r w:rsidR="00BC3157" w:rsidRPr="00B8191D">
                    <w:t>s</w:t>
                  </w:r>
                  <w:r w:rsidR="00B50649" w:rsidRPr="00B8191D">
                    <w:t>sessment (IA)</w:t>
                  </w:r>
                </w:p>
              </w:tc>
            </w:tr>
            <w:tr w:rsidR="00B50649" w:rsidRPr="00B8191D" w14:paraId="1C1E6669" w14:textId="77777777" w:rsidTr="007F492A">
              <w:tc>
                <w:tcPr>
                  <w:tcW w:w="4083" w:type="dxa"/>
                  <w:shd w:val="clear" w:color="auto" w:fill="auto"/>
                </w:tcPr>
                <w:p w14:paraId="7967BF2F" w14:textId="07E1D5E8" w:rsidR="001F69E9" w:rsidRPr="00B8191D" w:rsidRDefault="00B50649" w:rsidP="000D0ADA">
                  <w:pPr>
                    <w:pStyle w:val="IATableLabel"/>
                  </w:pPr>
                  <w:r w:rsidRPr="00B8191D">
                    <w:t>Date:</w:t>
                  </w:r>
                  <w:r w:rsidR="0047343A">
                    <w:t xml:space="preserve"> </w:t>
                  </w:r>
                  <w:r w:rsidR="0047343A" w:rsidRPr="0047343A">
                    <w:rPr>
                      <w:b w:val="0"/>
                    </w:rPr>
                    <w:t>26/03/2015</w:t>
                  </w:r>
                </w:p>
              </w:tc>
            </w:tr>
            <w:tr w:rsidR="00B50649" w:rsidRPr="00B8191D" w14:paraId="5040DED7" w14:textId="77777777" w:rsidTr="007F492A">
              <w:tc>
                <w:tcPr>
                  <w:tcW w:w="4083" w:type="dxa"/>
                  <w:shd w:val="clear" w:color="auto" w:fill="auto"/>
                </w:tcPr>
                <w:p w14:paraId="554B9931" w14:textId="77777777" w:rsidR="00B50649" w:rsidRPr="00B8191D" w:rsidRDefault="00941D69" w:rsidP="001A074F">
                  <w:pPr>
                    <w:pStyle w:val="IATableLabel"/>
                  </w:pPr>
                  <w:bookmarkStart w:id="2" w:name="Stage"/>
                  <w:r w:rsidRPr="00B8191D">
                    <w:t xml:space="preserve">Stage: </w:t>
                  </w:r>
                  <w:r w:rsidRPr="00B8191D">
                    <w:rPr>
                      <w:rStyle w:val="IAStageChar"/>
                      <w:sz w:val="20"/>
                    </w:rPr>
                    <w:fldChar w:fldCharType="begin"/>
                  </w:r>
                  <w:r w:rsidRPr="00B8191D">
                    <w:rPr>
                      <w:rStyle w:val="IAStageChar"/>
                      <w:sz w:val="20"/>
                    </w:rPr>
                    <w:instrText xml:space="preserve"> DOCPROPERTY  Stage </w:instrText>
                  </w:r>
                  <w:r w:rsidRPr="00B8191D">
                    <w:rPr>
                      <w:rStyle w:val="IAStageChar"/>
                      <w:sz w:val="20"/>
                    </w:rPr>
                    <w:fldChar w:fldCharType="separate"/>
                  </w:r>
                  <w:r w:rsidR="00ED5998" w:rsidRPr="00B8191D">
                    <w:rPr>
                      <w:rStyle w:val="IAStageChar"/>
                      <w:sz w:val="20"/>
                    </w:rPr>
                    <w:t>Consultation</w:t>
                  </w:r>
                  <w:r w:rsidRPr="00B8191D">
                    <w:rPr>
                      <w:rStyle w:val="IAStageChar"/>
                      <w:sz w:val="20"/>
                    </w:rPr>
                    <w:fldChar w:fldCharType="end"/>
                  </w:r>
                  <w:bookmarkEnd w:id="2"/>
                </w:p>
              </w:tc>
            </w:tr>
            <w:tr w:rsidR="00B50649" w:rsidRPr="00B8191D" w14:paraId="368B3253" w14:textId="77777777" w:rsidTr="007F492A">
              <w:tc>
                <w:tcPr>
                  <w:tcW w:w="4083" w:type="dxa"/>
                  <w:shd w:val="clear" w:color="auto" w:fill="auto"/>
                </w:tcPr>
                <w:p w14:paraId="63B1C97A" w14:textId="77777777" w:rsidR="00B50649" w:rsidRPr="00B8191D" w:rsidRDefault="0071686F" w:rsidP="001A074F">
                  <w:pPr>
                    <w:pStyle w:val="IATableLabel"/>
                  </w:pPr>
                  <w:r w:rsidRPr="00B8191D">
                    <w:t xml:space="preserve">Source </w:t>
                  </w:r>
                  <w:r w:rsidR="006A56C1" w:rsidRPr="00B8191D">
                    <w:t xml:space="preserve">of </w:t>
                  </w:r>
                  <w:r w:rsidRPr="00B8191D">
                    <w:t>intervention:</w:t>
                  </w:r>
                  <w:r w:rsidR="00B50649" w:rsidRPr="00B8191D">
                    <w:t xml:space="preserve"> </w:t>
                  </w:r>
                  <w:bookmarkStart w:id="3" w:name="IAInterSource"/>
                  <w:r w:rsidR="00290335" w:rsidRPr="00B8191D">
                    <w:rPr>
                      <w:rStyle w:val="IASOIChar"/>
                      <w:sz w:val="20"/>
                    </w:rPr>
                    <w:fldChar w:fldCharType="begin">
                      <w:ffData>
                        <w:name w:val="IAInterSource"/>
                        <w:enabled/>
                        <w:calcOnExit w:val="0"/>
                        <w:ddList>
                          <w:listEntry w:val="Domestic"/>
                          <w:listEntry w:val="EU"/>
                          <w:listEntry w:val="International"/>
                        </w:ddList>
                      </w:ffData>
                    </w:fldChar>
                  </w:r>
                  <w:r w:rsidR="00290335" w:rsidRPr="00B8191D">
                    <w:rPr>
                      <w:rStyle w:val="IASOIChar"/>
                      <w:sz w:val="20"/>
                    </w:rPr>
                    <w:instrText xml:space="preserve"> FORMDROPDOWN </w:instrText>
                  </w:r>
                  <w:r w:rsidR="00FD2A43">
                    <w:rPr>
                      <w:rStyle w:val="IASOIChar"/>
                      <w:sz w:val="20"/>
                    </w:rPr>
                  </w:r>
                  <w:r w:rsidR="00FD2A43">
                    <w:rPr>
                      <w:rStyle w:val="IASOIChar"/>
                      <w:sz w:val="20"/>
                    </w:rPr>
                    <w:fldChar w:fldCharType="separate"/>
                  </w:r>
                  <w:r w:rsidR="00290335" w:rsidRPr="00B8191D">
                    <w:rPr>
                      <w:rStyle w:val="IASOIChar"/>
                      <w:sz w:val="20"/>
                    </w:rPr>
                    <w:fldChar w:fldCharType="end"/>
                  </w:r>
                  <w:bookmarkEnd w:id="3"/>
                </w:p>
              </w:tc>
            </w:tr>
            <w:tr w:rsidR="00052F44" w:rsidRPr="00B8191D" w14:paraId="189232C7" w14:textId="77777777" w:rsidTr="007F492A">
              <w:tc>
                <w:tcPr>
                  <w:tcW w:w="4083" w:type="dxa"/>
                  <w:shd w:val="clear" w:color="auto" w:fill="auto"/>
                </w:tcPr>
                <w:p w14:paraId="15166E4D" w14:textId="77777777" w:rsidR="00052F44" w:rsidRPr="00B8191D" w:rsidRDefault="00052F44" w:rsidP="001A074F">
                  <w:pPr>
                    <w:pStyle w:val="IATableLabel"/>
                    <w:rPr>
                      <w:b w:val="0"/>
                    </w:rPr>
                  </w:pPr>
                  <w:r w:rsidRPr="00B8191D">
                    <w:t xml:space="preserve">Type of measure: </w:t>
                  </w:r>
                  <w:bookmarkStart w:id="4" w:name="IAMeasureType"/>
                  <w:r w:rsidR="00290335" w:rsidRPr="00B8191D">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B8191D">
                    <w:rPr>
                      <w:rStyle w:val="IATOMChar"/>
                      <w:sz w:val="20"/>
                    </w:rPr>
                    <w:instrText xml:space="preserve"> FORMDROPDOWN </w:instrText>
                  </w:r>
                  <w:r w:rsidR="00FD2A43">
                    <w:rPr>
                      <w:rStyle w:val="IATOMChar"/>
                      <w:sz w:val="20"/>
                    </w:rPr>
                  </w:r>
                  <w:r w:rsidR="00FD2A43">
                    <w:rPr>
                      <w:rStyle w:val="IATOMChar"/>
                      <w:sz w:val="20"/>
                    </w:rPr>
                    <w:fldChar w:fldCharType="separate"/>
                  </w:r>
                  <w:r w:rsidR="00290335" w:rsidRPr="00B8191D">
                    <w:rPr>
                      <w:rStyle w:val="IATOMChar"/>
                      <w:sz w:val="20"/>
                    </w:rPr>
                    <w:fldChar w:fldCharType="end"/>
                  </w:r>
                  <w:bookmarkEnd w:id="4"/>
                </w:p>
              </w:tc>
            </w:tr>
            <w:tr w:rsidR="00B50649" w:rsidRPr="00B8191D" w14:paraId="37544306" w14:textId="77777777" w:rsidTr="007F492A">
              <w:trPr>
                <w:trHeight w:val="1115"/>
              </w:trPr>
              <w:tc>
                <w:tcPr>
                  <w:tcW w:w="4083" w:type="dxa"/>
                  <w:shd w:val="clear" w:color="auto" w:fill="auto"/>
                </w:tcPr>
                <w:p w14:paraId="3BB2B59D" w14:textId="76DCA67A" w:rsidR="00023080" w:rsidRPr="00524925" w:rsidRDefault="00773719" w:rsidP="00DA5ADE">
                  <w:pPr>
                    <w:ind w:left="113" w:right="113"/>
                    <w:rPr>
                      <w:rStyle w:val="IACOEChar"/>
                      <w:b w:val="0"/>
                      <w:sz w:val="20"/>
                      <w:szCs w:val="20"/>
                    </w:rPr>
                  </w:pPr>
                  <w:r w:rsidRPr="004C7F58">
                    <w:rPr>
                      <w:rStyle w:val="IATableLabelCharChar"/>
                      <w:sz w:val="20"/>
                      <w:szCs w:val="20"/>
                    </w:rPr>
                    <w:t>Contact for enquiries:</w:t>
                  </w:r>
                  <w:r w:rsidRPr="007F492A">
                    <w:rPr>
                      <w:sz w:val="20"/>
                      <w:szCs w:val="20"/>
                    </w:rPr>
                    <w:t xml:space="preserve"> </w:t>
                  </w:r>
                  <w:r w:rsidR="002B6497" w:rsidRPr="007F492A">
                    <w:rPr>
                      <w:sz w:val="20"/>
                      <w:szCs w:val="20"/>
                    </w:rPr>
                    <w:t>Katharina Ribbe</w:t>
                  </w:r>
                  <w:r w:rsidR="006A3C3C" w:rsidRPr="00524925">
                    <w:rPr>
                      <w:rStyle w:val="IACOEChar"/>
                      <w:b w:val="0"/>
                      <w:sz w:val="20"/>
                      <w:szCs w:val="20"/>
                    </w:rPr>
                    <w:t>@culture.gsi.gov.uk</w:t>
                  </w:r>
                </w:p>
                <w:p w14:paraId="51EE2026" w14:textId="2BF583D6" w:rsidR="006A3C3C" w:rsidRPr="00B8191D" w:rsidRDefault="00DA5ADE" w:rsidP="001A074F">
                  <w:pPr>
                    <w:ind w:left="113" w:right="113"/>
                  </w:pPr>
                  <w:r w:rsidRPr="00001058">
                    <w:rPr>
                      <w:rStyle w:val="IACOEChar"/>
                      <w:b w:val="0"/>
                      <w:sz w:val="20"/>
                      <w:szCs w:val="20"/>
                    </w:rPr>
                    <w:t xml:space="preserve">020 7211 </w:t>
                  </w:r>
                  <w:r w:rsidR="00B66225">
                    <w:rPr>
                      <w:rStyle w:val="IACOEChar"/>
                      <w:b w:val="0"/>
                      <w:sz w:val="20"/>
                      <w:szCs w:val="20"/>
                    </w:rPr>
                    <w:t>2161</w:t>
                  </w:r>
                </w:p>
              </w:tc>
            </w:tr>
            <w:tr w:rsidR="000C1D45" w:rsidRPr="00B8191D" w14:paraId="1A0FB050" w14:textId="77777777" w:rsidTr="007F492A">
              <w:trPr>
                <w:trHeight w:val="1115"/>
              </w:trPr>
              <w:tc>
                <w:tcPr>
                  <w:tcW w:w="4083" w:type="dxa"/>
                  <w:shd w:val="clear" w:color="auto" w:fill="auto"/>
                </w:tcPr>
                <w:p w14:paraId="369C0244" w14:textId="77777777" w:rsidR="000C1D45" w:rsidRPr="00B8191D" w:rsidRDefault="000C1D45" w:rsidP="00A32793">
                  <w:pPr>
                    <w:pStyle w:val="IATableLines"/>
                    <w:rPr>
                      <w:b/>
                      <w:color w:val="000000"/>
                      <w:sz w:val="20"/>
                    </w:rPr>
                  </w:pPr>
                </w:p>
              </w:tc>
            </w:tr>
            <w:tr w:rsidR="000C1D45" w:rsidRPr="00B8191D" w14:paraId="7CC1CE87" w14:textId="77777777" w:rsidTr="007F492A">
              <w:trPr>
                <w:trHeight w:val="1115"/>
              </w:trPr>
              <w:tc>
                <w:tcPr>
                  <w:tcW w:w="4083" w:type="dxa"/>
                  <w:shd w:val="clear" w:color="auto" w:fill="auto"/>
                </w:tcPr>
                <w:p w14:paraId="66EBBD15" w14:textId="77777777" w:rsidR="000C1D45" w:rsidRPr="00B8191D" w:rsidRDefault="000C1D45" w:rsidP="00A32793">
                  <w:pPr>
                    <w:pStyle w:val="IATableLines"/>
                    <w:rPr>
                      <w:b/>
                      <w:color w:val="000000"/>
                      <w:sz w:val="20"/>
                    </w:rPr>
                  </w:pPr>
                </w:p>
              </w:tc>
            </w:tr>
            <w:tr w:rsidR="000C1D45" w:rsidRPr="00B8191D" w14:paraId="20848BB4" w14:textId="77777777" w:rsidTr="007F492A">
              <w:trPr>
                <w:trHeight w:val="1115"/>
              </w:trPr>
              <w:tc>
                <w:tcPr>
                  <w:tcW w:w="4083" w:type="dxa"/>
                  <w:shd w:val="clear" w:color="auto" w:fill="auto"/>
                </w:tcPr>
                <w:p w14:paraId="321D1392" w14:textId="77777777" w:rsidR="000C1D45" w:rsidRPr="00B8191D" w:rsidRDefault="000C1D45" w:rsidP="00A32793">
                  <w:pPr>
                    <w:pStyle w:val="IATableLines"/>
                    <w:rPr>
                      <w:b/>
                      <w:color w:val="000000"/>
                      <w:sz w:val="20"/>
                    </w:rPr>
                  </w:pPr>
                </w:p>
              </w:tc>
            </w:tr>
            <w:tr w:rsidR="000C1D45" w:rsidRPr="00B8191D" w14:paraId="73EF53E5" w14:textId="77777777" w:rsidTr="007F492A">
              <w:trPr>
                <w:trHeight w:val="1115"/>
              </w:trPr>
              <w:tc>
                <w:tcPr>
                  <w:tcW w:w="4083" w:type="dxa"/>
                  <w:shd w:val="clear" w:color="auto" w:fill="auto"/>
                </w:tcPr>
                <w:p w14:paraId="17F02CB1" w14:textId="77777777" w:rsidR="000C1D45" w:rsidRPr="00B8191D" w:rsidRDefault="000C1D45" w:rsidP="00A32793">
                  <w:pPr>
                    <w:pStyle w:val="IATableLines"/>
                    <w:rPr>
                      <w:b/>
                      <w:color w:val="000000"/>
                      <w:sz w:val="20"/>
                    </w:rPr>
                  </w:pPr>
                </w:p>
              </w:tc>
            </w:tr>
            <w:tr w:rsidR="000C1D45" w:rsidRPr="00B8191D" w14:paraId="2464F92B" w14:textId="77777777" w:rsidTr="007F492A">
              <w:trPr>
                <w:trHeight w:val="1115"/>
              </w:trPr>
              <w:tc>
                <w:tcPr>
                  <w:tcW w:w="4083" w:type="dxa"/>
                  <w:shd w:val="clear" w:color="auto" w:fill="auto"/>
                </w:tcPr>
                <w:p w14:paraId="3F7270FA" w14:textId="77777777" w:rsidR="000C1D45" w:rsidRPr="00B8191D" w:rsidRDefault="000C1D45" w:rsidP="00A32793">
                  <w:pPr>
                    <w:pStyle w:val="IATableLines"/>
                    <w:rPr>
                      <w:b/>
                      <w:color w:val="000000"/>
                      <w:sz w:val="20"/>
                    </w:rPr>
                  </w:pPr>
                </w:p>
              </w:tc>
            </w:tr>
            <w:tr w:rsidR="000C1D45" w:rsidRPr="00B8191D" w14:paraId="32347980" w14:textId="77777777" w:rsidTr="007F492A">
              <w:trPr>
                <w:trHeight w:val="1115"/>
              </w:trPr>
              <w:tc>
                <w:tcPr>
                  <w:tcW w:w="4083" w:type="dxa"/>
                  <w:shd w:val="clear" w:color="auto" w:fill="auto"/>
                </w:tcPr>
                <w:p w14:paraId="50B7B200" w14:textId="77777777" w:rsidR="000C1D45" w:rsidRPr="00B8191D" w:rsidRDefault="000C1D45" w:rsidP="00A32793">
                  <w:pPr>
                    <w:pStyle w:val="IATableLines"/>
                    <w:rPr>
                      <w:b/>
                      <w:color w:val="000000"/>
                      <w:sz w:val="20"/>
                    </w:rPr>
                  </w:pPr>
                </w:p>
              </w:tc>
            </w:tr>
          </w:tbl>
          <w:p w14:paraId="2225F2A0" w14:textId="77777777" w:rsidR="00B50649" w:rsidRPr="00B8191D" w:rsidRDefault="00B50649"/>
        </w:tc>
      </w:tr>
      <w:tr w:rsidR="000C1D45" w:rsidRPr="00B8191D" w14:paraId="379602ED" w14:textId="77777777" w:rsidTr="003167C9">
        <w:trPr>
          <w:trHeight w:hRule="exact" w:val="410"/>
        </w:trPr>
        <w:tc>
          <w:tcPr>
            <w:tcW w:w="6152" w:type="dxa"/>
            <w:gridSpan w:val="3"/>
            <w:tcBorders>
              <w:top w:val="single" w:sz="4" w:space="0" w:color="auto"/>
              <w:left w:val="nil"/>
              <w:bottom w:val="single" w:sz="4" w:space="0" w:color="auto"/>
              <w:right w:val="single" w:sz="4" w:space="0" w:color="auto"/>
            </w:tcBorders>
            <w:shd w:val="clear" w:color="auto" w:fill="auto"/>
          </w:tcPr>
          <w:p w14:paraId="4F458AD1" w14:textId="77777777" w:rsidR="000C1D45" w:rsidRPr="00B8191D" w:rsidRDefault="000C1D45" w:rsidP="000C1D45">
            <w:pPr>
              <w:pStyle w:val="Heading1"/>
              <w:spacing w:before="60"/>
              <w:rPr>
                <w:sz w:val="28"/>
                <w:szCs w:val="28"/>
              </w:rPr>
            </w:pPr>
            <w:r w:rsidRPr="00B8191D">
              <w:rPr>
                <w:sz w:val="28"/>
                <w:szCs w:val="28"/>
              </w:rPr>
              <w:t xml:space="preserve">Summary: Intervention and Options </w:t>
            </w:r>
          </w:p>
          <w:p w14:paraId="39EB594E" w14:textId="77777777" w:rsidR="000C1D45" w:rsidRPr="00B8191D" w:rsidRDefault="000C1D45" w:rsidP="0078273E">
            <w:pPr>
              <w:pStyle w:val="IAHeadLabel0"/>
              <w:spacing w:before="50"/>
              <w:ind w:left="113"/>
              <w:rPr>
                <w:sz w:val="28"/>
                <w:szCs w:val="28"/>
              </w:rPr>
            </w:pPr>
          </w:p>
        </w:tc>
        <w:tc>
          <w:tcPr>
            <w:tcW w:w="433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4CDD5F6" w14:textId="6B28661A" w:rsidR="000C1D45" w:rsidRPr="00B8191D" w:rsidRDefault="000C1D45" w:rsidP="0047343A">
            <w:pPr>
              <w:pStyle w:val="Title"/>
              <w:rPr>
                <w:b/>
                <w:color w:val="auto"/>
                <w:sz w:val="24"/>
                <w:szCs w:val="24"/>
              </w:rPr>
            </w:pPr>
            <w:r w:rsidRPr="00B8191D">
              <w:rPr>
                <w:b/>
                <w:color w:val="auto"/>
                <w:sz w:val="24"/>
                <w:szCs w:val="24"/>
              </w:rPr>
              <w:t>RPC</w:t>
            </w:r>
            <w:r w:rsidR="00EC6B93" w:rsidRPr="00B8191D">
              <w:rPr>
                <w:b/>
                <w:color w:val="auto"/>
                <w:sz w:val="24"/>
                <w:szCs w:val="24"/>
              </w:rPr>
              <w:t xml:space="preserve"> Opinion</w:t>
            </w:r>
            <w:r w:rsidRPr="00B8191D">
              <w:rPr>
                <w:b/>
                <w:color w:val="auto"/>
                <w:sz w:val="24"/>
                <w:szCs w:val="24"/>
              </w:rPr>
              <w:t xml:space="preserve">: </w:t>
            </w:r>
            <w:r w:rsidR="0047343A">
              <w:rPr>
                <w:b/>
                <w:color w:val="auto"/>
                <w:sz w:val="24"/>
                <w:szCs w:val="24"/>
              </w:rPr>
              <w:t>GREEN</w:t>
            </w:r>
          </w:p>
        </w:tc>
      </w:tr>
      <w:tr w:rsidR="00372A69" w:rsidRPr="00B8191D" w14:paraId="0CFA368B" w14:textId="77777777" w:rsidTr="003167C9">
        <w:trPr>
          <w:trHeight w:hRule="exact" w:val="90"/>
        </w:trPr>
        <w:tc>
          <w:tcPr>
            <w:tcW w:w="10490" w:type="dxa"/>
            <w:gridSpan w:val="6"/>
            <w:tcBorders>
              <w:top w:val="single" w:sz="4" w:space="0" w:color="auto"/>
              <w:left w:val="nil"/>
              <w:bottom w:val="nil"/>
              <w:right w:val="single" w:sz="4" w:space="0" w:color="auto"/>
            </w:tcBorders>
            <w:shd w:val="clear" w:color="auto" w:fill="auto"/>
          </w:tcPr>
          <w:p w14:paraId="10FB1FA8" w14:textId="77777777" w:rsidR="00372A69" w:rsidRPr="00B8191D" w:rsidRDefault="00372A69" w:rsidP="00372A69"/>
        </w:tc>
      </w:tr>
      <w:tr w:rsidR="00372A69" w:rsidRPr="00B8191D" w14:paraId="244C782D" w14:textId="77777777" w:rsidTr="003167C9">
        <w:tblPrEx>
          <w:tblBorders>
            <w:insideV w:val="none" w:sz="0" w:space="0" w:color="auto"/>
          </w:tblBorders>
          <w:shd w:val="clear" w:color="auto" w:fill="E0E0E0"/>
          <w:tblCellMar>
            <w:left w:w="0" w:type="dxa"/>
            <w:right w:w="0" w:type="dxa"/>
          </w:tblCellMar>
        </w:tblPrEx>
        <w:trPr>
          <w:trHeight w:hRule="exact" w:val="312"/>
        </w:trPr>
        <w:tc>
          <w:tcPr>
            <w:tcW w:w="10490" w:type="dxa"/>
            <w:gridSpan w:val="6"/>
            <w:tcBorders>
              <w:top w:val="single" w:sz="4" w:space="0" w:color="auto"/>
              <w:bottom w:val="nil"/>
              <w:right w:val="single" w:sz="4" w:space="0" w:color="auto"/>
            </w:tcBorders>
            <w:shd w:val="clear" w:color="auto" w:fill="E0E0E0"/>
          </w:tcPr>
          <w:p w14:paraId="760B230C" w14:textId="77777777" w:rsidR="00372A69" w:rsidRPr="00B8191D" w:rsidRDefault="00372A69" w:rsidP="00B814DD">
            <w:pPr>
              <w:pStyle w:val="IATableLabel"/>
              <w:ind w:left="0"/>
              <w:jc w:val="center"/>
            </w:pPr>
            <w:bookmarkStart w:id="5" w:name="CostText"/>
            <w:r w:rsidRPr="00B8191D">
              <w:t>Cost of Preferred (or more likely) Option</w:t>
            </w:r>
            <w:bookmarkEnd w:id="5"/>
          </w:p>
        </w:tc>
      </w:tr>
      <w:tr w:rsidR="00372A69" w:rsidRPr="00B8191D" w14:paraId="32967C10" w14:textId="77777777" w:rsidTr="003167C9">
        <w:tblPrEx>
          <w:tblBorders>
            <w:insideV w:val="none" w:sz="0" w:space="0" w:color="auto"/>
          </w:tblBorders>
          <w:shd w:val="clear" w:color="auto" w:fill="E0E0E0"/>
          <w:tblCellMar>
            <w:left w:w="0" w:type="dxa"/>
            <w:right w:w="0" w:type="dxa"/>
          </w:tblCellMar>
        </w:tblPrEx>
        <w:trPr>
          <w:trHeight w:hRule="exact" w:val="615"/>
        </w:trPr>
        <w:tc>
          <w:tcPr>
            <w:tcW w:w="2123" w:type="dxa"/>
            <w:tcBorders>
              <w:top w:val="single" w:sz="4" w:space="0" w:color="auto"/>
              <w:bottom w:val="nil"/>
              <w:right w:val="single" w:sz="4" w:space="0" w:color="auto"/>
            </w:tcBorders>
            <w:shd w:val="clear" w:color="auto" w:fill="E0E0E0"/>
            <w:vAlign w:val="center"/>
          </w:tcPr>
          <w:p w14:paraId="24AB10B8" w14:textId="77777777" w:rsidR="00372A69" w:rsidRPr="00B8191D" w:rsidRDefault="00372A69" w:rsidP="006A0557">
            <w:pPr>
              <w:pStyle w:val="IATableLabel"/>
              <w:spacing w:before="0" w:after="0"/>
            </w:pPr>
            <w:r w:rsidRPr="00B8191D">
              <w:t>Total Net Present Value</w:t>
            </w:r>
          </w:p>
        </w:tc>
        <w:tc>
          <w:tcPr>
            <w:tcW w:w="1619" w:type="dxa"/>
            <w:tcBorders>
              <w:top w:val="single" w:sz="4" w:space="0" w:color="auto"/>
              <w:bottom w:val="nil"/>
              <w:right w:val="single" w:sz="4" w:space="0" w:color="auto"/>
            </w:tcBorders>
            <w:shd w:val="clear" w:color="auto" w:fill="E0E0E0"/>
            <w:vAlign w:val="center"/>
          </w:tcPr>
          <w:p w14:paraId="51AD296D" w14:textId="77777777" w:rsidR="00372A69" w:rsidRPr="00B8191D" w:rsidRDefault="00372A69" w:rsidP="006A0557">
            <w:pPr>
              <w:pStyle w:val="IATableLabel"/>
              <w:spacing w:before="0" w:after="0"/>
            </w:pPr>
            <w:r w:rsidRPr="00B8191D">
              <w:t>Business Net Present Value</w:t>
            </w:r>
          </w:p>
        </w:tc>
        <w:tc>
          <w:tcPr>
            <w:tcW w:w="2516" w:type="dxa"/>
            <w:gridSpan w:val="2"/>
            <w:tcBorders>
              <w:top w:val="single" w:sz="4" w:space="0" w:color="auto"/>
              <w:bottom w:val="nil"/>
              <w:right w:val="single" w:sz="4" w:space="0" w:color="auto"/>
            </w:tcBorders>
            <w:shd w:val="clear" w:color="auto" w:fill="E0E0E0"/>
            <w:vAlign w:val="center"/>
          </w:tcPr>
          <w:p w14:paraId="7B1B187B" w14:textId="77777777" w:rsidR="00372A69" w:rsidRPr="00B8191D" w:rsidRDefault="00372A69" w:rsidP="006A0557">
            <w:pPr>
              <w:pStyle w:val="IATableLabel"/>
              <w:spacing w:before="0" w:after="0"/>
            </w:pPr>
            <w:r w:rsidRPr="00B8191D">
              <w:t xml:space="preserve">Net cost </w:t>
            </w:r>
            <w:r w:rsidR="00332B05" w:rsidRPr="00B8191D">
              <w:t xml:space="preserve">to business </w:t>
            </w:r>
            <w:r w:rsidRPr="00B8191D">
              <w:t>per year</w:t>
            </w:r>
            <w:r w:rsidR="006656EC" w:rsidRPr="00B8191D">
              <w:t xml:space="preserve"> </w:t>
            </w:r>
            <w:r w:rsidR="006656EC" w:rsidRPr="00B8191D">
              <w:rPr>
                <w:b w:val="0"/>
              </w:rPr>
              <w:t>(</w:t>
            </w:r>
            <w:r w:rsidR="00332B05" w:rsidRPr="00B8191D">
              <w:rPr>
                <w:b w:val="0"/>
                <w:sz w:val="16"/>
                <w:szCs w:val="16"/>
              </w:rPr>
              <w:t>EANCB</w:t>
            </w:r>
            <w:r w:rsidR="00332B05" w:rsidRPr="00B8191D">
              <w:rPr>
                <w:b w:val="0"/>
              </w:rPr>
              <w:t xml:space="preserve"> </w:t>
            </w:r>
            <w:r w:rsidR="006656EC" w:rsidRPr="00B8191D">
              <w:rPr>
                <w:b w:val="0"/>
                <w:sz w:val="16"/>
                <w:szCs w:val="16"/>
              </w:rPr>
              <w:t>on 2009 prices)</w:t>
            </w:r>
          </w:p>
        </w:tc>
        <w:tc>
          <w:tcPr>
            <w:tcW w:w="1980" w:type="dxa"/>
            <w:tcBorders>
              <w:top w:val="single" w:sz="4" w:space="0" w:color="auto"/>
              <w:left w:val="single" w:sz="4" w:space="0" w:color="auto"/>
              <w:bottom w:val="nil"/>
              <w:right w:val="nil"/>
            </w:tcBorders>
            <w:shd w:val="clear" w:color="auto" w:fill="E0E0E0"/>
            <w:vAlign w:val="center"/>
          </w:tcPr>
          <w:p w14:paraId="59871760" w14:textId="77777777" w:rsidR="00372A69" w:rsidRPr="00B8191D" w:rsidRDefault="00372A69" w:rsidP="006A0557">
            <w:pPr>
              <w:pStyle w:val="IATableLabel"/>
              <w:spacing w:before="0" w:after="0"/>
            </w:pPr>
            <w:r w:rsidRPr="00B8191D">
              <w:t>In scope of On</w:t>
            </w:r>
            <w:r w:rsidR="00290335" w:rsidRPr="00B8191D">
              <w:t>e</w:t>
            </w:r>
            <w:r w:rsidRPr="00B8191D">
              <w:t>-In, One-Out?</w:t>
            </w:r>
          </w:p>
        </w:tc>
        <w:tc>
          <w:tcPr>
            <w:tcW w:w="2252" w:type="dxa"/>
            <w:tcBorders>
              <w:top w:val="single" w:sz="4" w:space="0" w:color="auto"/>
              <w:left w:val="nil"/>
              <w:bottom w:val="nil"/>
              <w:right w:val="single" w:sz="4" w:space="0" w:color="auto"/>
            </w:tcBorders>
            <w:shd w:val="clear" w:color="auto" w:fill="E0E0E0"/>
            <w:vAlign w:val="center"/>
          </w:tcPr>
          <w:p w14:paraId="2E989EE9" w14:textId="77777777" w:rsidR="00372A69" w:rsidRPr="00B8191D" w:rsidRDefault="00372A69" w:rsidP="006A0557">
            <w:pPr>
              <w:pStyle w:val="IATableLabel"/>
              <w:spacing w:before="0" w:after="0"/>
              <w:ind w:left="0"/>
            </w:pPr>
            <w:r w:rsidRPr="00B8191D">
              <w:t>Measure qualifies as</w:t>
            </w:r>
          </w:p>
          <w:p w14:paraId="30150CBD" w14:textId="77777777" w:rsidR="00463490" w:rsidRPr="00B8191D" w:rsidRDefault="00463490" w:rsidP="006A0557">
            <w:pPr>
              <w:pStyle w:val="IATableLabel"/>
              <w:spacing w:before="0" w:after="0"/>
              <w:ind w:left="0"/>
            </w:pPr>
          </w:p>
        </w:tc>
      </w:tr>
      <w:tr w:rsidR="00372A69" w:rsidRPr="00B8191D" w14:paraId="0679C31D" w14:textId="77777777" w:rsidTr="003167C9">
        <w:tblPrEx>
          <w:tblBorders>
            <w:insideV w:val="none" w:sz="0" w:space="0" w:color="auto"/>
          </w:tblBorders>
          <w:shd w:val="clear" w:color="auto" w:fill="E0E0E0"/>
          <w:tblCellMar>
            <w:left w:w="0" w:type="dxa"/>
            <w:right w:w="0" w:type="dxa"/>
          </w:tblCellMar>
        </w:tblPrEx>
        <w:trPr>
          <w:trHeight w:hRule="exact" w:val="340"/>
        </w:trPr>
        <w:tc>
          <w:tcPr>
            <w:tcW w:w="2123" w:type="dxa"/>
            <w:tcBorders>
              <w:top w:val="nil"/>
              <w:bottom w:val="single" w:sz="4" w:space="0" w:color="auto"/>
              <w:right w:val="single" w:sz="4" w:space="0" w:color="auto"/>
            </w:tcBorders>
            <w:shd w:val="clear" w:color="auto" w:fill="E0E0E0"/>
            <w:vAlign w:val="center"/>
          </w:tcPr>
          <w:p w14:paraId="52223DA4" w14:textId="77777777" w:rsidR="00372A69" w:rsidRPr="00B8191D" w:rsidRDefault="00E761FF" w:rsidP="008369A3">
            <w:pPr>
              <w:pStyle w:val="IAIIOTNPV"/>
            </w:pPr>
            <w:r>
              <w:t>N/A</w:t>
            </w:r>
          </w:p>
        </w:tc>
        <w:tc>
          <w:tcPr>
            <w:tcW w:w="1619" w:type="dxa"/>
            <w:tcBorders>
              <w:top w:val="nil"/>
              <w:bottom w:val="single" w:sz="4" w:space="0" w:color="auto"/>
              <w:right w:val="single" w:sz="4" w:space="0" w:color="auto"/>
            </w:tcBorders>
            <w:shd w:val="clear" w:color="auto" w:fill="E0E0E0"/>
            <w:vAlign w:val="center"/>
          </w:tcPr>
          <w:p w14:paraId="06A38F87" w14:textId="77777777" w:rsidR="00372A69" w:rsidRPr="00B8191D" w:rsidRDefault="00E761FF" w:rsidP="008369A3">
            <w:pPr>
              <w:pStyle w:val="IAIOBNPV"/>
            </w:pPr>
            <w:r>
              <w:t>N/A</w:t>
            </w:r>
          </w:p>
        </w:tc>
        <w:tc>
          <w:tcPr>
            <w:tcW w:w="2516" w:type="dxa"/>
            <w:gridSpan w:val="2"/>
            <w:tcBorders>
              <w:top w:val="nil"/>
              <w:bottom w:val="single" w:sz="4" w:space="0" w:color="auto"/>
              <w:right w:val="single" w:sz="4" w:space="0" w:color="auto"/>
            </w:tcBorders>
            <w:shd w:val="clear" w:color="auto" w:fill="E0E0E0"/>
            <w:vAlign w:val="center"/>
          </w:tcPr>
          <w:p w14:paraId="4BC5E471" w14:textId="77777777" w:rsidR="00372A69" w:rsidRPr="00B8191D" w:rsidRDefault="00E761FF" w:rsidP="008369A3">
            <w:pPr>
              <w:pStyle w:val="IAIONCTBPY"/>
            </w:pPr>
            <w:r>
              <w:t>N/A</w:t>
            </w:r>
          </w:p>
        </w:tc>
        <w:tc>
          <w:tcPr>
            <w:tcW w:w="1980" w:type="dxa"/>
            <w:tcBorders>
              <w:top w:val="nil"/>
              <w:left w:val="single" w:sz="4" w:space="0" w:color="auto"/>
              <w:bottom w:val="single" w:sz="4" w:space="0" w:color="auto"/>
              <w:right w:val="single" w:sz="4" w:space="0" w:color="auto"/>
            </w:tcBorders>
            <w:shd w:val="clear" w:color="auto" w:fill="E0E0E0"/>
            <w:vAlign w:val="center"/>
          </w:tcPr>
          <w:p w14:paraId="01D997F3" w14:textId="77777777" w:rsidR="00372A69" w:rsidRPr="00B8191D" w:rsidRDefault="009704CF" w:rsidP="008369A3">
            <w:pPr>
              <w:pStyle w:val="IAIOInScopeInOut"/>
            </w:pPr>
            <w:r w:rsidRPr="00B8191D">
              <w:t>N/A</w:t>
            </w:r>
          </w:p>
        </w:tc>
        <w:tc>
          <w:tcPr>
            <w:tcW w:w="2252" w:type="dxa"/>
            <w:tcBorders>
              <w:top w:val="nil"/>
              <w:left w:val="single" w:sz="4" w:space="0" w:color="auto"/>
              <w:bottom w:val="single" w:sz="4" w:space="0" w:color="auto"/>
              <w:right w:val="single" w:sz="4" w:space="0" w:color="auto"/>
            </w:tcBorders>
            <w:shd w:val="clear" w:color="auto" w:fill="E0E0E0"/>
            <w:vAlign w:val="center"/>
          </w:tcPr>
          <w:p w14:paraId="13A6F10A" w14:textId="77777777" w:rsidR="00372A69" w:rsidRPr="00B8191D" w:rsidRDefault="009704CF" w:rsidP="008369A3">
            <w:pPr>
              <w:pStyle w:val="IAIOPrefMQ"/>
            </w:pPr>
            <w:r w:rsidRPr="00B8191D">
              <w:t>N/A</w:t>
            </w:r>
          </w:p>
        </w:tc>
      </w:tr>
      <w:tr w:rsidR="007208D9" w:rsidRPr="00B8191D" w14:paraId="0EA4CB95" w14:textId="77777777" w:rsidTr="003167C9">
        <w:tblPrEx>
          <w:tblCellMar>
            <w:left w:w="0" w:type="dxa"/>
            <w:right w:w="0" w:type="dxa"/>
          </w:tblCellMar>
        </w:tblPrEx>
        <w:trPr>
          <w:trHeight w:hRule="exact" w:val="2770"/>
        </w:trPr>
        <w:tc>
          <w:tcPr>
            <w:tcW w:w="10490" w:type="dxa"/>
            <w:gridSpan w:val="6"/>
            <w:tcBorders>
              <w:top w:val="single" w:sz="4" w:space="0" w:color="auto"/>
              <w:left w:val="single" w:sz="4" w:space="0" w:color="auto"/>
              <w:bottom w:val="single" w:sz="4" w:space="0" w:color="auto"/>
              <w:right w:val="single" w:sz="4" w:space="0" w:color="auto"/>
            </w:tcBorders>
          </w:tcPr>
          <w:p w14:paraId="083ED5AD" w14:textId="77777777" w:rsidR="007208D9" w:rsidRPr="00B8191D" w:rsidRDefault="00661DBF" w:rsidP="00E761FF">
            <w:pPr>
              <w:pStyle w:val="IAIOQ1"/>
              <w:ind w:left="0"/>
            </w:pPr>
            <w:bookmarkStart w:id="6" w:name="Summary1"/>
            <w:r w:rsidRPr="00B8191D">
              <w:t>What is the problem under consideration? Why is government intervention necessary?</w:t>
            </w:r>
            <w:bookmarkEnd w:id="6"/>
          </w:p>
          <w:p w14:paraId="6D9812C7" w14:textId="77777777" w:rsidR="00C76F2A" w:rsidRPr="0096712E" w:rsidRDefault="00C76F2A" w:rsidP="00D36227">
            <w:pPr>
              <w:rPr>
                <w:rFonts w:cs="Arial"/>
                <w:b/>
                <w:sz w:val="20"/>
                <w:szCs w:val="22"/>
                <w:lang w:eastAsia="en-GB"/>
              </w:rPr>
            </w:pPr>
          </w:p>
          <w:p w14:paraId="152B3EA5" w14:textId="546B7566" w:rsidR="00C76F2A" w:rsidRPr="0096712E" w:rsidRDefault="00F81DB7" w:rsidP="00D36227">
            <w:pPr>
              <w:rPr>
                <w:rFonts w:cs="Arial"/>
                <w:sz w:val="20"/>
                <w:szCs w:val="20"/>
                <w:lang w:eastAsia="en-GB"/>
              </w:rPr>
            </w:pPr>
            <w:r w:rsidRPr="000147E1">
              <w:rPr>
                <w:rFonts w:cs="Arial"/>
                <w:sz w:val="20"/>
                <w:szCs w:val="20"/>
              </w:rPr>
              <w:t>A complex regulatory framework currently governs the relationship between public service broadcasters and platforms</w:t>
            </w:r>
            <w:r w:rsidR="0096712E" w:rsidRPr="000147E1">
              <w:rPr>
                <w:rFonts w:cs="Arial"/>
                <w:sz w:val="20"/>
                <w:szCs w:val="20"/>
              </w:rPr>
              <w:t>.  </w:t>
            </w:r>
            <w:r w:rsidR="0096712E" w:rsidRPr="000147E1">
              <w:rPr>
                <w:rFonts w:eastAsiaTheme="minorHAnsi" w:cs="Arial"/>
                <w:sz w:val="20"/>
                <w:szCs w:val="20"/>
              </w:rPr>
              <w:t xml:space="preserve">We need </w:t>
            </w:r>
            <w:r w:rsidR="0096712E" w:rsidRPr="000147E1">
              <w:rPr>
                <w:rFonts w:cs="Arial"/>
                <w:sz w:val="20"/>
                <w:szCs w:val="20"/>
              </w:rPr>
              <w:t>to consider whether the existing framework is still necessary, and whether regulation is now acting as a constraint on content providers and television companies to deliver the best possible outcome for audiences.</w:t>
            </w:r>
          </w:p>
          <w:p w14:paraId="54831732" w14:textId="1895B137" w:rsidR="00C76F2A" w:rsidRDefault="00C76F2A" w:rsidP="00D36227">
            <w:pPr>
              <w:rPr>
                <w:rFonts w:cs="Arial"/>
                <w:sz w:val="20"/>
                <w:szCs w:val="22"/>
                <w:lang w:eastAsia="en-GB"/>
              </w:rPr>
            </w:pPr>
            <w:r>
              <w:rPr>
                <w:rFonts w:cs="Arial"/>
                <w:sz w:val="20"/>
                <w:szCs w:val="22"/>
                <w:lang w:eastAsia="en-GB"/>
              </w:rPr>
              <w:t>This consultation addresses several inter</w:t>
            </w:r>
            <w:r w:rsidR="007152CF">
              <w:rPr>
                <w:rFonts w:cs="Arial"/>
                <w:sz w:val="20"/>
                <w:szCs w:val="22"/>
                <w:lang w:eastAsia="en-GB"/>
              </w:rPr>
              <w:t>related</w:t>
            </w:r>
            <w:r>
              <w:rPr>
                <w:rFonts w:cs="Arial"/>
                <w:sz w:val="20"/>
                <w:szCs w:val="22"/>
                <w:lang w:eastAsia="en-GB"/>
              </w:rPr>
              <w:t xml:space="preserve"> aspects of the relationship between PSBs and TV platforms: </w:t>
            </w:r>
          </w:p>
          <w:p w14:paraId="441DC224" w14:textId="77777777" w:rsidR="008C40AC" w:rsidRDefault="00C76F2A" w:rsidP="002B6497">
            <w:pPr>
              <w:pStyle w:val="ListParagraph"/>
              <w:numPr>
                <w:ilvl w:val="0"/>
                <w:numId w:val="8"/>
              </w:numPr>
              <w:ind w:left="426" w:hanging="437"/>
              <w:rPr>
                <w:sz w:val="20"/>
                <w:szCs w:val="22"/>
                <w:lang w:eastAsia="en-GB"/>
              </w:rPr>
            </w:pPr>
            <w:r>
              <w:rPr>
                <w:sz w:val="20"/>
                <w:szCs w:val="22"/>
                <w:lang w:eastAsia="en-GB"/>
              </w:rPr>
              <w:t xml:space="preserve">The need </w:t>
            </w:r>
            <w:r w:rsidR="00D36227" w:rsidRPr="00C76F2A">
              <w:rPr>
                <w:sz w:val="20"/>
                <w:szCs w:val="22"/>
                <w:lang w:eastAsia="en-GB"/>
              </w:rPr>
              <w:t>to abolish Section 73 of the Copyrights, Desig</w:t>
            </w:r>
            <w:r w:rsidR="00E761FF" w:rsidRPr="00C76F2A">
              <w:rPr>
                <w:sz w:val="20"/>
                <w:szCs w:val="22"/>
                <w:lang w:eastAsia="en-GB"/>
              </w:rPr>
              <w:t>ns and Patents Act 1988 (CDPA).</w:t>
            </w:r>
          </w:p>
          <w:p w14:paraId="44ADA4E9" w14:textId="77777777" w:rsidR="00C76F2A" w:rsidRDefault="00C76F2A" w:rsidP="002B6497">
            <w:pPr>
              <w:pStyle w:val="ListParagraph"/>
              <w:numPr>
                <w:ilvl w:val="0"/>
                <w:numId w:val="8"/>
              </w:numPr>
              <w:ind w:left="426" w:hanging="437"/>
              <w:rPr>
                <w:sz w:val="20"/>
                <w:szCs w:val="22"/>
                <w:lang w:eastAsia="en-GB"/>
              </w:rPr>
            </w:pPr>
            <w:r>
              <w:rPr>
                <w:sz w:val="20"/>
                <w:szCs w:val="22"/>
                <w:lang w:eastAsia="en-GB"/>
              </w:rPr>
              <w:t>The future of ‘must offer’ and ‘must carry’ obligations.</w:t>
            </w:r>
          </w:p>
          <w:p w14:paraId="549C6392" w14:textId="1CE81301" w:rsidR="008A66EB" w:rsidRPr="000147E1" w:rsidRDefault="00C76F2A" w:rsidP="002B6497">
            <w:pPr>
              <w:pStyle w:val="ListParagraph"/>
              <w:numPr>
                <w:ilvl w:val="0"/>
                <w:numId w:val="8"/>
              </w:numPr>
              <w:ind w:left="426" w:hanging="437"/>
              <w:rPr>
                <w:sz w:val="20"/>
                <w:szCs w:val="22"/>
                <w:lang w:eastAsia="en-GB"/>
              </w:rPr>
            </w:pPr>
            <w:r>
              <w:rPr>
                <w:sz w:val="20"/>
                <w:szCs w:val="22"/>
                <w:lang w:eastAsia="en-GB"/>
              </w:rPr>
              <w:t xml:space="preserve">The future regulation or deregulation of the Electronic Programme Guides (EPG) regime. </w:t>
            </w:r>
            <w:r w:rsidR="008A66EB">
              <w:rPr>
                <w:sz w:val="20"/>
                <w:szCs w:val="22"/>
                <w:lang w:eastAsia="en-GB"/>
              </w:rPr>
              <w:t>These regulations and their impact are all interlinked.</w:t>
            </w:r>
          </w:p>
        </w:tc>
      </w:tr>
    </w:tbl>
    <w:p w14:paraId="6322CA0D" w14:textId="77777777" w:rsidR="007208D9" w:rsidRPr="00B8191D" w:rsidRDefault="007208D9" w:rsidP="007208D9">
      <w:pPr>
        <w:pStyle w:val="IASpacer"/>
      </w:pPr>
    </w:p>
    <w:tbl>
      <w:tblPr>
        <w:tblW w:w="5135"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91"/>
      </w:tblGrid>
      <w:tr w:rsidR="007208D9" w:rsidRPr="00B8191D" w14:paraId="42ABC979" w14:textId="77777777" w:rsidTr="00F81DB7">
        <w:trPr>
          <w:trHeight w:hRule="exact" w:val="2740"/>
        </w:trPr>
        <w:tc>
          <w:tcPr>
            <w:tcW w:w="10490" w:type="dxa"/>
          </w:tcPr>
          <w:p w14:paraId="48AE3408" w14:textId="77777777" w:rsidR="007208D9" w:rsidRPr="00B8191D" w:rsidRDefault="00661DBF" w:rsidP="00E761FF">
            <w:pPr>
              <w:pStyle w:val="IAIOQ2"/>
              <w:ind w:left="0"/>
            </w:pPr>
            <w:bookmarkStart w:id="7" w:name="Summary2"/>
            <w:r w:rsidRPr="00B8191D">
              <w:t>What are the policy objectives and the intended effects?</w:t>
            </w:r>
            <w:bookmarkEnd w:id="7"/>
          </w:p>
          <w:p w14:paraId="5E0EF28B" w14:textId="15484AE6" w:rsidR="00D36227" w:rsidRPr="00D36227" w:rsidRDefault="003167C9" w:rsidP="00D36227">
            <w:pPr>
              <w:ind w:right="84"/>
              <w:jc w:val="both"/>
              <w:rPr>
                <w:rFonts w:cs="Arial"/>
                <w:sz w:val="20"/>
                <w:szCs w:val="22"/>
                <w:lang w:eastAsia="en-GB"/>
              </w:rPr>
            </w:pPr>
            <w:r>
              <w:rPr>
                <w:rFonts w:cs="Arial"/>
                <w:sz w:val="20"/>
                <w:szCs w:val="22"/>
                <w:lang w:eastAsia="en-GB"/>
              </w:rPr>
              <w:t xml:space="preserve">The Government wants </w:t>
            </w:r>
            <w:r w:rsidR="00D36227" w:rsidRPr="00D36227">
              <w:rPr>
                <w:rFonts w:cs="Arial"/>
                <w:sz w:val="20"/>
                <w:szCs w:val="22"/>
                <w:lang w:eastAsia="en-GB"/>
              </w:rPr>
              <w:t xml:space="preserve">to </w:t>
            </w:r>
            <w:r>
              <w:rPr>
                <w:rFonts w:cs="Arial"/>
                <w:sz w:val="20"/>
                <w:szCs w:val="22"/>
                <w:lang w:eastAsia="en-GB"/>
              </w:rPr>
              <w:t xml:space="preserve">review the scope to </w:t>
            </w:r>
            <w:r w:rsidR="00D36227" w:rsidRPr="00D36227">
              <w:rPr>
                <w:rFonts w:cs="Arial"/>
                <w:sz w:val="20"/>
                <w:szCs w:val="22"/>
                <w:lang w:eastAsia="en-GB"/>
              </w:rPr>
              <w:t xml:space="preserve">deregulate </w:t>
            </w:r>
            <w:r>
              <w:rPr>
                <w:rFonts w:cs="Arial"/>
                <w:sz w:val="20"/>
                <w:szCs w:val="22"/>
                <w:lang w:eastAsia="en-GB"/>
              </w:rPr>
              <w:t xml:space="preserve">current rules that govern aspects of the commercial relationships </w:t>
            </w:r>
            <w:r w:rsidR="00DA6448">
              <w:rPr>
                <w:rFonts w:cs="Arial"/>
                <w:sz w:val="20"/>
                <w:szCs w:val="22"/>
                <w:lang w:eastAsia="en-GB"/>
              </w:rPr>
              <w:t xml:space="preserve">between </w:t>
            </w:r>
            <w:r>
              <w:rPr>
                <w:rFonts w:cs="Arial"/>
                <w:sz w:val="20"/>
                <w:szCs w:val="22"/>
                <w:lang w:eastAsia="en-GB"/>
              </w:rPr>
              <w:t xml:space="preserve">platform providers: e.g. Virgin and Sky </w:t>
            </w:r>
            <w:r w:rsidR="00D36227" w:rsidRPr="00D36227">
              <w:rPr>
                <w:rFonts w:cs="Arial"/>
                <w:sz w:val="20"/>
                <w:szCs w:val="22"/>
                <w:lang w:eastAsia="en-GB"/>
              </w:rPr>
              <w:t xml:space="preserve">and </w:t>
            </w:r>
            <w:r>
              <w:rPr>
                <w:rFonts w:cs="Arial"/>
                <w:sz w:val="20"/>
                <w:szCs w:val="22"/>
                <w:lang w:eastAsia="en-GB"/>
              </w:rPr>
              <w:t xml:space="preserve">commercial PSBs: Channel 3 licensees (ITV, STV and UTV), </w:t>
            </w:r>
            <w:r w:rsidR="00D36227" w:rsidRPr="00D36227">
              <w:rPr>
                <w:rFonts w:cs="Arial"/>
                <w:sz w:val="20"/>
                <w:szCs w:val="22"/>
                <w:lang w:eastAsia="en-GB"/>
              </w:rPr>
              <w:t>Channel 4, Channel 5</w:t>
            </w:r>
            <w:r w:rsidR="002B6497">
              <w:rPr>
                <w:rFonts w:cs="Arial"/>
                <w:sz w:val="20"/>
                <w:szCs w:val="22"/>
                <w:lang w:eastAsia="en-GB"/>
              </w:rPr>
              <w:t>.</w:t>
            </w:r>
            <w:r>
              <w:rPr>
                <w:rFonts w:cs="Arial"/>
                <w:sz w:val="20"/>
                <w:szCs w:val="22"/>
                <w:lang w:eastAsia="en-GB"/>
              </w:rPr>
              <w:t xml:space="preserve">The Government believes that removing </w:t>
            </w:r>
            <w:r w:rsidR="00B66225">
              <w:rPr>
                <w:rFonts w:cs="Arial"/>
                <w:sz w:val="20"/>
                <w:szCs w:val="22"/>
                <w:lang w:eastAsia="en-GB"/>
              </w:rPr>
              <w:t>rules, which affect commercial negotiations between the parties,</w:t>
            </w:r>
            <w:r w:rsidR="00D36227" w:rsidRPr="00D36227">
              <w:rPr>
                <w:rFonts w:cs="Arial"/>
                <w:sz w:val="20"/>
                <w:szCs w:val="22"/>
                <w:lang w:eastAsia="en-GB"/>
              </w:rPr>
              <w:t xml:space="preserve"> </w:t>
            </w:r>
            <w:r w:rsidR="00A65093">
              <w:rPr>
                <w:rFonts w:cs="Arial"/>
                <w:sz w:val="20"/>
                <w:szCs w:val="22"/>
                <w:lang w:eastAsia="en-GB"/>
              </w:rPr>
              <w:t>could</w:t>
            </w:r>
            <w:r w:rsidR="00D36227" w:rsidRPr="00D36227">
              <w:rPr>
                <w:rFonts w:cs="Arial"/>
                <w:sz w:val="20"/>
                <w:szCs w:val="22"/>
                <w:lang w:eastAsia="en-GB"/>
              </w:rPr>
              <w:t xml:space="preserve"> lead to a more efficient outcome, and potentially allow PSBs </w:t>
            </w:r>
            <w:r>
              <w:rPr>
                <w:rFonts w:cs="Arial"/>
                <w:sz w:val="20"/>
                <w:szCs w:val="22"/>
                <w:lang w:eastAsia="en-GB"/>
              </w:rPr>
              <w:t xml:space="preserve">as content providers </w:t>
            </w:r>
            <w:r w:rsidR="00D36227" w:rsidRPr="00D36227">
              <w:rPr>
                <w:rFonts w:cs="Arial"/>
                <w:sz w:val="20"/>
                <w:szCs w:val="22"/>
                <w:lang w:eastAsia="en-GB"/>
              </w:rPr>
              <w:t>to invest additional funds in</w:t>
            </w:r>
            <w:r w:rsidR="00E761FF">
              <w:rPr>
                <w:rFonts w:cs="Arial"/>
                <w:sz w:val="20"/>
                <w:szCs w:val="22"/>
                <w:lang w:eastAsia="en-GB"/>
              </w:rPr>
              <w:t xml:space="preserve"> UK originated</w:t>
            </w:r>
            <w:r w:rsidR="00D36227" w:rsidRPr="00D36227">
              <w:rPr>
                <w:rFonts w:cs="Arial"/>
                <w:sz w:val="20"/>
                <w:szCs w:val="22"/>
                <w:lang w:eastAsia="en-GB"/>
              </w:rPr>
              <w:t xml:space="preserve"> content. </w:t>
            </w:r>
          </w:p>
          <w:p w14:paraId="7E7B9DF4" w14:textId="77777777" w:rsidR="00D36227" w:rsidRPr="00D36227" w:rsidRDefault="00D36227" w:rsidP="00D36227">
            <w:pPr>
              <w:ind w:right="84"/>
              <w:jc w:val="both"/>
              <w:rPr>
                <w:rFonts w:cs="Arial"/>
                <w:sz w:val="20"/>
                <w:szCs w:val="22"/>
                <w:lang w:eastAsia="en-GB"/>
              </w:rPr>
            </w:pPr>
          </w:p>
          <w:p w14:paraId="67678336" w14:textId="1408D881" w:rsidR="00D36227" w:rsidRPr="00D36227" w:rsidRDefault="003167C9" w:rsidP="00D36227">
            <w:pPr>
              <w:ind w:right="84"/>
              <w:jc w:val="both"/>
              <w:rPr>
                <w:rFonts w:cs="Arial"/>
                <w:sz w:val="20"/>
                <w:szCs w:val="22"/>
                <w:lang w:eastAsia="en-GB"/>
              </w:rPr>
            </w:pPr>
            <w:r>
              <w:rPr>
                <w:rFonts w:cs="Arial"/>
                <w:sz w:val="20"/>
                <w:szCs w:val="22"/>
                <w:lang w:eastAsia="en-GB"/>
              </w:rPr>
              <w:t>However, the G</w:t>
            </w:r>
            <w:r w:rsidR="00D36227" w:rsidRPr="00D36227">
              <w:rPr>
                <w:rFonts w:cs="Arial"/>
                <w:sz w:val="20"/>
                <w:szCs w:val="22"/>
                <w:lang w:eastAsia="en-GB"/>
              </w:rPr>
              <w:t>overnment is mindful that any deregulation in this area needs to take account</w:t>
            </w:r>
            <w:r w:rsidR="00DA6448">
              <w:rPr>
                <w:rFonts w:cs="Arial"/>
                <w:sz w:val="20"/>
                <w:szCs w:val="22"/>
                <w:lang w:eastAsia="en-GB"/>
              </w:rPr>
              <w:t xml:space="preserve"> of</w:t>
            </w:r>
            <w:r w:rsidR="00D36227" w:rsidRPr="00D36227">
              <w:rPr>
                <w:rFonts w:cs="Arial"/>
                <w:sz w:val="20"/>
                <w:szCs w:val="22"/>
                <w:lang w:eastAsia="en-GB"/>
              </w:rPr>
              <w:t xml:space="preserve"> </w:t>
            </w:r>
            <w:r w:rsidR="00996C13">
              <w:rPr>
                <w:rFonts w:cs="Arial"/>
                <w:sz w:val="20"/>
                <w:szCs w:val="22"/>
                <w:lang w:eastAsia="en-GB"/>
              </w:rPr>
              <w:t xml:space="preserve">the complex relationships between the parties and the different </w:t>
            </w:r>
            <w:r w:rsidR="00B66225">
              <w:rPr>
                <w:rFonts w:cs="Arial"/>
                <w:sz w:val="20"/>
                <w:szCs w:val="22"/>
                <w:lang w:eastAsia="en-GB"/>
              </w:rPr>
              <w:t xml:space="preserve">status </w:t>
            </w:r>
            <w:r w:rsidR="00B66225" w:rsidRPr="00D36227">
              <w:rPr>
                <w:rFonts w:cs="Arial"/>
                <w:sz w:val="20"/>
                <w:szCs w:val="22"/>
                <w:lang w:eastAsia="en-GB"/>
              </w:rPr>
              <w:t>of</w:t>
            </w:r>
            <w:r w:rsidR="00D36227" w:rsidRPr="00D36227">
              <w:rPr>
                <w:rFonts w:cs="Arial"/>
                <w:sz w:val="20"/>
                <w:szCs w:val="22"/>
                <w:lang w:eastAsia="en-GB"/>
              </w:rPr>
              <w:t xml:space="preserve"> the BBC. These measures </w:t>
            </w:r>
            <w:r w:rsidR="00996C13">
              <w:rPr>
                <w:rFonts w:cs="Arial"/>
                <w:sz w:val="20"/>
                <w:szCs w:val="22"/>
                <w:lang w:eastAsia="en-GB"/>
              </w:rPr>
              <w:t xml:space="preserve">do not cover the </w:t>
            </w:r>
            <w:r w:rsidR="00B66225">
              <w:rPr>
                <w:rFonts w:cs="Arial"/>
                <w:sz w:val="20"/>
                <w:szCs w:val="22"/>
                <w:lang w:eastAsia="en-GB"/>
              </w:rPr>
              <w:t xml:space="preserve">equivalent </w:t>
            </w:r>
            <w:r w:rsidR="00B66225" w:rsidRPr="00D36227">
              <w:rPr>
                <w:rFonts w:cs="Arial"/>
                <w:sz w:val="20"/>
                <w:szCs w:val="22"/>
                <w:lang w:eastAsia="en-GB"/>
              </w:rPr>
              <w:t>obligations</w:t>
            </w:r>
            <w:r w:rsidR="00D36227" w:rsidRPr="00D36227">
              <w:rPr>
                <w:rFonts w:cs="Arial"/>
                <w:sz w:val="20"/>
                <w:szCs w:val="22"/>
                <w:lang w:eastAsia="en-GB"/>
              </w:rPr>
              <w:t xml:space="preserve"> </w:t>
            </w:r>
            <w:r w:rsidR="00996C13">
              <w:rPr>
                <w:rFonts w:cs="Arial"/>
                <w:sz w:val="20"/>
                <w:szCs w:val="22"/>
                <w:lang w:eastAsia="en-GB"/>
              </w:rPr>
              <w:t xml:space="preserve">on the BBC to offer its services as widely as possible under its Charter and Agreement or the Must Carry obligations as they apply to the BBC and BBC services. </w:t>
            </w:r>
          </w:p>
          <w:p w14:paraId="0921AC47" w14:textId="77777777" w:rsidR="00DD7D41" w:rsidRPr="0091073D" w:rsidRDefault="00DD7D41" w:rsidP="005C477E">
            <w:pPr>
              <w:pStyle w:val="IATableLines"/>
              <w:ind w:left="0"/>
              <w:rPr>
                <w:sz w:val="20"/>
              </w:rPr>
            </w:pPr>
          </w:p>
          <w:p w14:paraId="6BDAC45B" w14:textId="5A5CED19" w:rsidR="005C477E" w:rsidRPr="00B8191D" w:rsidRDefault="005C477E" w:rsidP="00996C13">
            <w:pPr>
              <w:pStyle w:val="IATableLines"/>
              <w:ind w:left="0"/>
            </w:pPr>
          </w:p>
        </w:tc>
      </w:tr>
    </w:tbl>
    <w:p w14:paraId="535D0EE2" w14:textId="77777777" w:rsidR="007208D9" w:rsidRPr="00B8191D" w:rsidRDefault="007208D9" w:rsidP="007208D9">
      <w:pPr>
        <w:pStyle w:val="IASpacer"/>
      </w:pPr>
    </w:p>
    <w:tbl>
      <w:tblPr>
        <w:tblW w:w="5135"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91"/>
      </w:tblGrid>
      <w:tr w:rsidR="00686F5E" w:rsidRPr="00B8191D" w14:paraId="15532FB0" w14:textId="77777777" w:rsidTr="003167C9">
        <w:trPr>
          <w:trHeight w:hRule="exact" w:val="2411"/>
        </w:trPr>
        <w:tc>
          <w:tcPr>
            <w:tcW w:w="10490" w:type="dxa"/>
          </w:tcPr>
          <w:p w14:paraId="3410CB78" w14:textId="77777777" w:rsidR="00686F5E" w:rsidRPr="00B8191D" w:rsidRDefault="00686F5E" w:rsidP="00E761FF">
            <w:pPr>
              <w:pStyle w:val="IAIOQ3"/>
              <w:ind w:left="0"/>
            </w:pPr>
            <w:bookmarkStart w:id="8" w:name="IAIOQ3"/>
            <w:bookmarkStart w:id="9" w:name="Summary3"/>
            <w:r w:rsidRPr="00B8191D">
              <w:t>What policy options have been considered</w:t>
            </w:r>
            <w:r w:rsidR="005D6EA8" w:rsidRPr="00B8191D">
              <w:t>, including any alternatives to regulation</w:t>
            </w:r>
            <w:r w:rsidRPr="00B8191D">
              <w:t>?</w:t>
            </w:r>
            <w:bookmarkEnd w:id="8"/>
          </w:p>
          <w:p w14:paraId="51D5BFC1" w14:textId="47438194" w:rsidR="002B6497" w:rsidRDefault="005861F4" w:rsidP="002B6497">
            <w:pPr>
              <w:pStyle w:val="IATableLines"/>
              <w:ind w:left="0"/>
              <w:rPr>
                <w:noProof/>
                <w:sz w:val="20"/>
              </w:rPr>
            </w:pPr>
            <w:r>
              <w:rPr>
                <w:noProof/>
                <w:sz w:val="20"/>
              </w:rPr>
              <w:t xml:space="preserve">The </w:t>
            </w:r>
            <w:r w:rsidR="002B6497">
              <w:rPr>
                <w:noProof/>
                <w:sz w:val="20"/>
              </w:rPr>
              <w:t>G</w:t>
            </w:r>
            <w:r>
              <w:rPr>
                <w:noProof/>
                <w:sz w:val="20"/>
              </w:rPr>
              <w:t xml:space="preserve">overnment </w:t>
            </w:r>
            <w:r w:rsidR="00DA6448">
              <w:rPr>
                <w:noProof/>
                <w:sz w:val="20"/>
              </w:rPr>
              <w:t>is</w:t>
            </w:r>
            <w:r w:rsidR="002B6497">
              <w:rPr>
                <w:noProof/>
                <w:sz w:val="20"/>
              </w:rPr>
              <w:t xml:space="preserve"> publish</w:t>
            </w:r>
            <w:r w:rsidR="00DA6448">
              <w:rPr>
                <w:noProof/>
                <w:sz w:val="20"/>
              </w:rPr>
              <w:t>ing</w:t>
            </w:r>
            <w:r w:rsidR="002B6497">
              <w:rPr>
                <w:noProof/>
                <w:sz w:val="20"/>
              </w:rPr>
              <w:t xml:space="preserve"> </w:t>
            </w:r>
            <w:r>
              <w:rPr>
                <w:noProof/>
                <w:sz w:val="20"/>
              </w:rPr>
              <w:t>an open consultation cover</w:t>
            </w:r>
            <w:r w:rsidR="002B6497">
              <w:rPr>
                <w:noProof/>
                <w:sz w:val="20"/>
              </w:rPr>
              <w:t>ing</w:t>
            </w:r>
            <w:r>
              <w:rPr>
                <w:noProof/>
                <w:sz w:val="20"/>
              </w:rPr>
              <w:t xml:space="preserve"> three issue</w:t>
            </w:r>
            <w:r w:rsidR="00DA6448">
              <w:rPr>
                <w:noProof/>
                <w:sz w:val="20"/>
              </w:rPr>
              <w:t>s</w:t>
            </w:r>
            <w:r w:rsidR="002B6497">
              <w:rPr>
                <w:noProof/>
                <w:sz w:val="20"/>
              </w:rPr>
              <w:t xml:space="preserve">. </w:t>
            </w:r>
            <w:r>
              <w:rPr>
                <w:noProof/>
                <w:sz w:val="20"/>
              </w:rPr>
              <w:t xml:space="preserve"> </w:t>
            </w:r>
            <w:r w:rsidR="002B6497">
              <w:rPr>
                <w:noProof/>
                <w:sz w:val="20"/>
              </w:rPr>
              <w:t>F</w:t>
            </w:r>
            <w:r>
              <w:rPr>
                <w:noProof/>
                <w:sz w:val="20"/>
              </w:rPr>
              <w:t xml:space="preserve">inal policy proposals will </w:t>
            </w:r>
            <w:r w:rsidR="002B6497">
              <w:rPr>
                <w:noProof/>
                <w:sz w:val="20"/>
              </w:rPr>
              <w:t xml:space="preserve">be informed by the views expressed. </w:t>
            </w:r>
            <w:r>
              <w:rPr>
                <w:noProof/>
                <w:sz w:val="20"/>
              </w:rPr>
              <w:t>Government does not consider the Do Nothing option viable</w:t>
            </w:r>
            <w:r w:rsidR="002B6497">
              <w:rPr>
                <w:noProof/>
                <w:sz w:val="20"/>
              </w:rPr>
              <w:t xml:space="preserve"> as the </w:t>
            </w:r>
            <w:r w:rsidR="002B6497" w:rsidRPr="00C76F2A">
              <w:rPr>
                <w:sz w:val="20"/>
                <w:szCs w:val="22"/>
                <w:lang w:eastAsia="en-GB"/>
              </w:rPr>
              <w:t>Section 73 of the Copyrights, Designs and Patents Act 1988 (CDPA</w:t>
            </w:r>
            <w:r w:rsidR="002B6497">
              <w:rPr>
                <w:sz w:val="20"/>
                <w:szCs w:val="22"/>
                <w:lang w:eastAsia="en-GB"/>
              </w:rPr>
              <w:t xml:space="preserve">) is </w:t>
            </w:r>
            <w:r w:rsidR="00DA6448">
              <w:rPr>
                <w:sz w:val="20"/>
                <w:szCs w:val="22"/>
                <w:lang w:eastAsia="en-GB"/>
              </w:rPr>
              <w:t xml:space="preserve">considered </w:t>
            </w:r>
            <w:r w:rsidR="002B6497">
              <w:rPr>
                <w:sz w:val="20"/>
                <w:szCs w:val="22"/>
                <w:lang w:eastAsia="en-GB"/>
              </w:rPr>
              <w:t>obsolete and needs to be repealed.</w:t>
            </w:r>
            <w:r>
              <w:rPr>
                <w:noProof/>
                <w:sz w:val="20"/>
              </w:rPr>
              <w:t xml:space="preserve"> </w:t>
            </w:r>
            <w:r w:rsidR="002B6497">
              <w:rPr>
                <w:noProof/>
                <w:sz w:val="20"/>
              </w:rPr>
              <w:t>The options are:</w:t>
            </w:r>
          </w:p>
          <w:p w14:paraId="1832329E" w14:textId="46B754EA" w:rsidR="005861F4" w:rsidRDefault="002B6497" w:rsidP="002B6497">
            <w:pPr>
              <w:pStyle w:val="IATableLines"/>
              <w:ind w:left="0"/>
              <w:rPr>
                <w:noProof/>
                <w:sz w:val="20"/>
              </w:rPr>
            </w:pPr>
            <w:r>
              <w:rPr>
                <w:noProof/>
                <w:sz w:val="20"/>
              </w:rPr>
              <w:t>O</w:t>
            </w:r>
            <w:r w:rsidR="005861F4">
              <w:rPr>
                <w:noProof/>
                <w:sz w:val="20"/>
              </w:rPr>
              <w:t xml:space="preserve">ption 1 – Remove S73. This will form part of </w:t>
            </w:r>
            <w:r w:rsidR="0094069E">
              <w:rPr>
                <w:noProof/>
                <w:sz w:val="20"/>
              </w:rPr>
              <w:t>any final policy. The Government</w:t>
            </w:r>
            <w:r w:rsidR="005861F4">
              <w:rPr>
                <w:noProof/>
                <w:sz w:val="20"/>
              </w:rPr>
              <w:t xml:space="preserve"> considers that removal of S73 alone will have a negligible impact.</w:t>
            </w:r>
          </w:p>
          <w:p w14:paraId="58CCA446" w14:textId="0AFF985E" w:rsidR="00E761FF" w:rsidRDefault="00E761FF" w:rsidP="00E761FF">
            <w:pPr>
              <w:pStyle w:val="IATableLines"/>
              <w:ind w:left="0"/>
              <w:rPr>
                <w:noProof/>
                <w:sz w:val="20"/>
              </w:rPr>
            </w:pPr>
            <w:r>
              <w:rPr>
                <w:noProof/>
                <w:sz w:val="20"/>
              </w:rPr>
              <w:t>Option 2</w:t>
            </w:r>
            <w:r w:rsidR="00157964">
              <w:rPr>
                <w:noProof/>
                <w:sz w:val="20"/>
              </w:rPr>
              <w:t>a) and 2b)</w:t>
            </w:r>
            <w:r>
              <w:rPr>
                <w:noProof/>
                <w:sz w:val="20"/>
              </w:rPr>
              <w:t xml:space="preserve"> – </w:t>
            </w:r>
            <w:r w:rsidR="005861F4">
              <w:rPr>
                <w:noProof/>
                <w:sz w:val="20"/>
              </w:rPr>
              <w:t xml:space="preserve">Changes to must offer and must carry obligations. </w:t>
            </w:r>
            <w:r>
              <w:rPr>
                <w:noProof/>
                <w:sz w:val="20"/>
              </w:rPr>
              <w:t xml:space="preserve"> </w:t>
            </w:r>
          </w:p>
          <w:p w14:paraId="3DC6F935" w14:textId="03CEEF8C" w:rsidR="00E14F8C" w:rsidRPr="00E761FF" w:rsidRDefault="00E14F8C" w:rsidP="00DA6448">
            <w:pPr>
              <w:pStyle w:val="IATableLines"/>
              <w:ind w:left="0"/>
              <w:rPr>
                <w:noProof/>
                <w:sz w:val="20"/>
              </w:rPr>
            </w:pPr>
            <w:r>
              <w:rPr>
                <w:noProof/>
                <w:sz w:val="20"/>
              </w:rPr>
              <w:t>Option 3</w:t>
            </w:r>
            <w:r w:rsidR="005861F4">
              <w:rPr>
                <w:noProof/>
                <w:sz w:val="20"/>
              </w:rPr>
              <w:t>a) and  3b) – Changes to the regime covering EPGs</w:t>
            </w:r>
            <w:r w:rsidR="00DA6448">
              <w:rPr>
                <w:noProof/>
                <w:sz w:val="20"/>
              </w:rPr>
              <w:t>, either</w:t>
            </w:r>
            <w:r w:rsidR="005861F4">
              <w:rPr>
                <w:noProof/>
                <w:sz w:val="20"/>
              </w:rPr>
              <w:t xml:space="preserve"> extension of regulation to new technologies to the abolition of the EPG prominance regime. </w:t>
            </w:r>
          </w:p>
        </w:tc>
      </w:tr>
    </w:tbl>
    <w:p w14:paraId="335926B7" w14:textId="77777777" w:rsidR="00686F5E" w:rsidRPr="00B8191D" w:rsidRDefault="00686F5E">
      <w:pPr>
        <w:pStyle w:val="IASpacer2"/>
      </w:pPr>
    </w:p>
    <w:tbl>
      <w:tblPr>
        <w:tblW w:w="5140" w:type="pct"/>
        <w:tblInd w:w="-142" w:type="dxa"/>
        <w:tblCellMar>
          <w:left w:w="0" w:type="dxa"/>
          <w:right w:w="0" w:type="dxa"/>
        </w:tblCellMar>
        <w:tblLook w:val="01E0" w:firstRow="1" w:lastRow="1" w:firstColumn="1" w:lastColumn="1" w:noHBand="0" w:noVBand="0"/>
      </w:tblPr>
      <w:tblGrid>
        <w:gridCol w:w="5487"/>
        <w:gridCol w:w="965"/>
        <w:gridCol w:w="969"/>
        <w:gridCol w:w="967"/>
        <w:gridCol w:w="1081"/>
        <w:gridCol w:w="1022"/>
      </w:tblGrid>
      <w:tr w:rsidR="00720FFE" w:rsidRPr="00B8191D" w14:paraId="6C5F9FA9" w14:textId="77777777" w:rsidTr="003167C9">
        <w:trPr>
          <w:gridAfter w:val="1"/>
          <w:wAfter w:w="487" w:type="pct"/>
        </w:trPr>
        <w:tc>
          <w:tcPr>
            <w:tcW w:w="4513" w:type="pct"/>
            <w:gridSpan w:val="5"/>
          </w:tcPr>
          <w:p w14:paraId="7E2F01A9" w14:textId="77777777" w:rsidR="00720FFE" w:rsidRPr="00B8191D" w:rsidRDefault="00720FFE" w:rsidP="00E14F8C">
            <w:pPr>
              <w:pStyle w:val="IATableLabel"/>
              <w:ind w:left="0"/>
              <w:rPr>
                <w:b w:val="0"/>
                <w:sz w:val="22"/>
                <w:szCs w:val="22"/>
              </w:rPr>
            </w:pPr>
            <w:r w:rsidRPr="00B8191D">
              <w:t xml:space="preserve">Will the policy be reviewed?  </w:t>
            </w:r>
            <w:r w:rsidRPr="00B8191D">
              <w:rPr>
                <w:b w:val="0"/>
                <w:sz w:val="22"/>
                <w:szCs w:val="22"/>
              </w:rPr>
              <w:t xml:space="preserve">It </w:t>
            </w:r>
            <w:bookmarkStart w:id="10" w:name="IAPolicyReview"/>
            <w:r w:rsidR="00BB249D" w:rsidRPr="00B8191D">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B8191D">
              <w:rPr>
                <w:rStyle w:val="IAIOPolicyReviewChar"/>
              </w:rPr>
              <w:instrText xml:space="preserve"> FORMDROPDOWN </w:instrText>
            </w:r>
            <w:r w:rsidR="00FD2A43">
              <w:rPr>
                <w:rStyle w:val="IAIOPolicyReviewChar"/>
              </w:rPr>
            </w:r>
            <w:r w:rsidR="00FD2A43">
              <w:rPr>
                <w:rStyle w:val="IAIOPolicyReviewChar"/>
              </w:rPr>
              <w:fldChar w:fldCharType="separate"/>
            </w:r>
            <w:r w:rsidR="00BB249D" w:rsidRPr="00B8191D">
              <w:rPr>
                <w:rStyle w:val="IAIOPolicyReviewChar"/>
              </w:rPr>
              <w:fldChar w:fldCharType="end"/>
            </w:r>
            <w:bookmarkEnd w:id="10"/>
            <w:r w:rsidRPr="00B8191D">
              <w:rPr>
                <w:b w:val="0"/>
                <w:sz w:val="22"/>
                <w:szCs w:val="22"/>
              </w:rPr>
              <w:t xml:space="preserve"> be reviewed.</w:t>
            </w:r>
            <w:r w:rsidRPr="00B8191D">
              <w:rPr>
                <w:sz w:val="22"/>
                <w:szCs w:val="22"/>
              </w:rPr>
              <w:t xml:space="preserve"> </w:t>
            </w:r>
            <w:r w:rsidRPr="00B8191D">
              <w:t xml:space="preserve"> If applicable, set review date:  </w:t>
            </w:r>
          </w:p>
        </w:tc>
      </w:tr>
      <w:tr w:rsidR="006656EC" w:rsidRPr="00B8191D" w14:paraId="7508B286" w14:textId="77777777" w:rsidTr="0031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hRule="exact" w:val="340"/>
        </w:trPr>
        <w:tc>
          <w:tcPr>
            <w:tcW w:w="3537" w:type="pct"/>
            <w:gridSpan w:val="3"/>
            <w:shd w:val="clear" w:color="auto" w:fill="E0E0E0"/>
            <w:vAlign w:val="center"/>
          </w:tcPr>
          <w:p w14:paraId="2B7D0C8F" w14:textId="77777777" w:rsidR="006656EC" w:rsidRPr="00B8191D" w:rsidRDefault="006656EC" w:rsidP="006A0557">
            <w:pPr>
              <w:pStyle w:val="IATableText"/>
              <w:spacing w:before="0" w:after="0"/>
              <w:rPr>
                <w:sz w:val="20"/>
              </w:rPr>
            </w:pPr>
            <w:bookmarkStart w:id="11" w:name="Summary4"/>
            <w:bookmarkEnd w:id="9"/>
            <w:r w:rsidRPr="00B8191D">
              <w:rPr>
                <w:iCs/>
                <w:sz w:val="20"/>
              </w:rPr>
              <w:t>Does implementation go beyond minimum EU requirements?</w:t>
            </w:r>
          </w:p>
        </w:tc>
        <w:tc>
          <w:tcPr>
            <w:tcW w:w="1463" w:type="pct"/>
            <w:gridSpan w:val="3"/>
            <w:tcBorders>
              <w:bottom w:val="single" w:sz="4" w:space="0" w:color="auto"/>
            </w:tcBorders>
            <w:shd w:val="clear" w:color="auto" w:fill="E0E0E0"/>
            <w:vAlign w:val="center"/>
          </w:tcPr>
          <w:p w14:paraId="77578EA8" w14:textId="77777777" w:rsidR="006656EC" w:rsidRPr="00B8191D" w:rsidRDefault="006D3AA6" w:rsidP="00F91F5A">
            <w:pPr>
              <w:pStyle w:val="IAIOCheckEU"/>
            </w:pPr>
            <w:r w:rsidRPr="00B8191D">
              <w:t>N/A</w:t>
            </w:r>
          </w:p>
        </w:tc>
      </w:tr>
      <w:tr w:rsidR="006656EC" w:rsidRPr="00B8191D" w14:paraId="6247AB48" w14:textId="77777777" w:rsidTr="0031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460"/>
        </w:trPr>
        <w:tc>
          <w:tcPr>
            <w:tcW w:w="2615" w:type="pct"/>
            <w:shd w:val="clear" w:color="auto" w:fill="E0E0E0"/>
            <w:vAlign w:val="center"/>
          </w:tcPr>
          <w:p w14:paraId="69B5A34E" w14:textId="77777777" w:rsidR="006656EC" w:rsidRPr="00B8191D" w:rsidRDefault="006656EC" w:rsidP="006A0557">
            <w:pPr>
              <w:pStyle w:val="IATableText"/>
              <w:spacing w:before="0" w:after="0"/>
              <w:rPr>
                <w:sz w:val="20"/>
              </w:rPr>
            </w:pPr>
            <w:r w:rsidRPr="00B8191D">
              <w:rPr>
                <w:rFonts w:cs="Arial"/>
                <w:sz w:val="20"/>
              </w:rPr>
              <w:t>Are any of these organisations in scope? If Micros not exempted set out reason in Evidence Base.</w:t>
            </w:r>
          </w:p>
        </w:tc>
        <w:tc>
          <w:tcPr>
            <w:tcW w:w="460" w:type="pct"/>
            <w:shd w:val="clear" w:color="auto" w:fill="E0E0E0"/>
            <w:vAlign w:val="center"/>
          </w:tcPr>
          <w:p w14:paraId="7846E570" w14:textId="77777777" w:rsidR="006656EC" w:rsidRPr="00B8191D" w:rsidRDefault="006656EC" w:rsidP="006A0557">
            <w:pPr>
              <w:pStyle w:val="IATableLines"/>
              <w:rPr>
                <w:b/>
                <w:color w:val="000000"/>
                <w:sz w:val="20"/>
              </w:rPr>
            </w:pPr>
            <w:r w:rsidRPr="00B8191D">
              <w:rPr>
                <w:b/>
                <w:color w:val="000000"/>
                <w:sz w:val="20"/>
              </w:rPr>
              <w:t>Micro</w:t>
            </w:r>
            <w:bookmarkStart w:id="12" w:name="IACheckMicro"/>
            <w:r w:rsidR="00586D82" w:rsidRPr="00B8191D">
              <w:rPr>
                <w:rStyle w:val="IAIOCheckMicroChar"/>
                <w:b w:val="0"/>
                <w:sz w:val="20"/>
              </w:rPr>
              <w:fldChar w:fldCharType="begin">
                <w:ffData>
                  <w:name w:val="IACheckMicro"/>
                  <w:enabled/>
                  <w:calcOnExit w:val="0"/>
                  <w:ddList>
                    <w:result w:val="1"/>
                    <w:listEntry w:val="Yes/No"/>
                    <w:listEntry w:val="Yes"/>
                    <w:listEntry w:val="No"/>
                  </w:ddList>
                </w:ffData>
              </w:fldChar>
            </w:r>
            <w:r w:rsidR="00586D82" w:rsidRPr="00B8191D">
              <w:rPr>
                <w:rStyle w:val="IAIOCheckMicroChar"/>
                <w:b w:val="0"/>
                <w:sz w:val="20"/>
              </w:rPr>
              <w:instrText xml:space="preserve"> FORMDROPDOWN </w:instrText>
            </w:r>
            <w:r w:rsidR="00FD2A43">
              <w:rPr>
                <w:rStyle w:val="IAIOCheckMicroChar"/>
                <w:b w:val="0"/>
                <w:sz w:val="20"/>
              </w:rPr>
            </w:r>
            <w:r w:rsidR="00FD2A43">
              <w:rPr>
                <w:rStyle w:val="IAIOCheckMicroChar"/>
                <w:b w:val="0"/>
                <w:sz w:val="20"/>
              </w:rPr>
              <w:fldChar w:fldCharType="separate"/>
            </w:r>
            <w:r w:rsidR="00586D82" w:rsidRPr="00B8191D">
              <w:rPr>
                <w:rStyle w:val="IAIOCheckMicroChar"/>
                <w:b w:val="0"/>
                <w:sz w:val="20"/>
              </w:rPr>
              <w:fldChar w:fldCharType="end"/>
            </w:r>
            <w:bookmarkEnd w:id="12"/>
          </w:p>
        </w:tc>
        <w:tc>
          <w:tcPr>
            <w:tcW w:w="462" w:type="pct"/>
            <w:shd w:val="clear" w:color="auto" w:fill="E0E0E0"/>
            <w:vAlign w:val="center"/>
          </w:tcPr>
          <w:p w14:paraId="52DCEE6D" w14:textId="77777777" w:rsidR="00586D82" w:rsidRPr="00B8191D" w:rsidRDefault="006656EC" w:rsidP="006A0557">
            <w:pPr>
              <w:pStyle w:val="IATableLines"/>
              <w:rPr>
                <w:b/>
                <w:color w:val="000000"/>
                <w:sz w:val="20"/>
              </w:rPr>
            </w:pPr>
            <w:r w:rsidRPr="00B8191D">
              <w:rPr>
                <w:b/>
                <w:color w:val="000000"/>
                <w:sz w:val="20"/>
              </w:rPr>
              <w:t>&lt; 20</w:t>
            </w:r>
          </w:p>
          <w:p w14:paraId="00B3A571" w14:textId="77777777" w:rsidR="006656EC" w:rsidRPr="00B8191D" w:rsidRDefault="00BB249D" w:rsidP="00D478C9">
            <w:pPr>
              <w:pStyle w:val="IAIOCheck20"/>
              <w:rPr>
                <w:b/>
                <w:color w:val="000000"/>
              </w:rPr>
            </w:pPr>
            <w:r w:rsidRPr="00B8191D">
              <w:rPr>
                <w:b/>
                <w:color w:val="000000"/>
              </w:rPr>
              <w:t xml:space="preserve"> </w:t>
            </w:r>
            <w:bookmarkStart w:id="13" w:name="IACheck20"/>
            <w:r w:rsidR="00072272" w:rsidRPr="00B8191D">
              <w:fldChar w:fldCharType="begin">
                <w:ffData>
                  <w:name w:val="IACheck20"/>
                  <w:enabled/>
                  <w:calcOnExit w:val="0"/>
                  <w:ddList>
                    <w:result w:val="1"/>
                    <w:listEntry w:val="Yes/No"/>
                    <w:listEntry w:val="Yes"/>
                    <w:listEntry w:val="No"/>
                  </w:ddList>
                </w:ffData>
              </w:fldChar>
            </w:r>
            <w:r w:rsidR="00072272" w:rsidRPr="00B8191D">
              <w:instrText xml:space="preserve"> FORMDROPDOWN </w:instrText>
            </w:r>
            <w:r w:rsidR="00FD2A43">
              <w:fldChar w:fldCharType="separate"/>
            </w:r>
            <w:r w:rsidR="00072272" w:rsidRPr="00B8191D">
              <w:fldChar w:fldCharType="end"/>
            </w:r>
            <w:bookmarkEnd w:id="13"/>
          </w:p>
        </w:tc>
        <w:tc>
          <w:tcPr>
            <w:tcW w:w="461" w:type="pct"/>
            <w:shd w:val="clear" w:color="auto" w:fill="E0E0E0"/>
            <w:vAlign w:val="center"/>
          </w:tcPr>
          <w:p w14:paraId="06DE8B5D" w14:textId="77777777" w:rsidR="006656EC" w:rsidRPr="00B8191D" w:rsidRDefault="006656EC" w:rsidP="006A0557">
            <w:pPr>
              <w:pStyle w:val="IATableLines"/>
              <w:rPr>
                <w:b/>
                <w:color w:val="000000"/>
                <w:sz w:val="20"/>
              </w:rPr>
            </w:pPr>
            <w:r w:rsidRPr="00B8191D">
              <w:rPr>
                <w:b/>
                <w:color w:val="000000"/>
                <w:sz w:val="20"/>
              </w:rPr>
              <w:t>Small</w:t>
            </w:r>
            <w:bookmarkStart w:id="14" w:name="IACheckSmall"/>
            <w:r w:rsidR="00072272" w:rsidRPr="00B8191D">
              <w:rPr>
                <w:rStyle w:val="IAIOCheckSmallChar"/>
                <w:b w:val="0"/>
                <w:sz w:val="20"/>
              </w:rPr>
              <w:fldChar w:fldCharType="begin">
                <w:ffData>
                  <w:name w:val="IACheckSmall"/>
                  <w:enabled/>
                  <w:calcOnExit w:val="0"/>
                  <w:ddList>
                    <w:result w:val="1"/>
                    <w:listEntry w:val="Yes/No"/>
                    <w:listEntry w:val="Yes"/>
                    <w:listEntry w:val="No"/>
                  </w:ddList>
                </w:ffData>
              </w:fldChar>
            </w:r>
            <w:r w:rsidR="00072272" w:rsidRPr="00B8191D">
              <w:rPr>
                <w:rStyle w:val="IAIOCheckSmallChar"/>
                <w:b w:val="0"/>
                <w:sz w:val="20"/>
              </w:rPr>
              <w:instrText xml:space="preserve"> FORMDROPDOWN </w:instrText>
            </w:r>
            <w:r w:rsidR="00FD2A43">
              <w:rPr>
                <w:rStyle w:val="IAIOCheckSmallChar"/>
                <w:b w:val="0"/>
                <w:sz w:val="20"/>
              </w:rPr>
            </w:r>
            <w:r w:rsidR="00FD2A43">
              <w:rPr>
                <w:rStyle w:val="IAIOCheckSmallChar"/>
                <w:b w:val="0"/>
                <w:sz w:val="20"/>
              </w:rPr>
              <w:fldChar w:fldCharType="separate"/>
            </w:r>
            <w:r w:rsidR="00072272" w:rsidRPr="00B8191D">
              <w:rPr>
                <w:rStyle w:val="IAIOCheckSmallChar"/>
                <w:b w:val="0"/>
                <w:sz w:val="20"/>
              </w:rPr>
              <w:fldChar w:fldCharType="end"/>
            </w:r>
            <w:bookmarkEnd w:id="14"/>
          </w:p>
        </w:tc>
        <w:tc>
          <w:tcPr>
            <w:tcW w:w="515" w:type="pct"/>
            <w:shd w:val="clear" w:color="auto" w:fill="E0E0E0"/>
            <w:vAlign w:val="center"/>
          </w:tcPr>
          <w:p w14:paraId="229521D1" w14:textId="77777777" w:rsidR="006656EC" w:rsidRPr="00B8191D" w:rsidRDefault="006656EC" w:rsidP="006A0557">
            <w:pPr>
              <w:pStyle w:val="IATableLines"/>
              <w:rPr>
                <w:b/>
                <w:color w:val="000000"/>
                <w:sz w:val="20"/>
              </w:rPr>
            </w:pPr>
            <w:r w:rsidRPr="00B8191D">
              <w:rPr>
                <w:b/>
                <w:color w:val="000000"/>
                <w:sz w:val="20"/>
              </w:rPr>
              <w:t>Medium</w:t>
            </w:r>
            <w:bookmarkStart w:id="15" w:name="IACheckMedium"/>
            <w:r w:rsidR="00072272" w:rsidRPr="00B8191D">
              <w:rPr>
                <w:rStyle w:val="IAIOCheckMediumChar"/>
                <w:b w:val="0"/>
                <w:sz w:val="20"/>
              </w:rPr>
              <w:fldChar w:fldCharType="begin">
                <w:ffData>
                  <w:name w:val="IACheckMedium"/>
                  <w:enabled/>
                  <w:calcOnExit w:val="0"/>
                  <w:ddList>
                    <w:result w:val="1"/>
                    <w:listEntry w:val="Yes/No"/>
                    <w:listEntry w:val="Yes"/>
                    <w:listEntry w:val="No"/>
                  </w:ddList>
                </w:ffData>
              </w:fldChar>
            </w:r>
            <w:r w:rsidR="00072272" w:rsidRPr="00B8191D">
              <w:rPr>
                <w:rStyle w:val="IAIOCheckMediumChar"/>
                <w:b w:val="0"/>
                <w:sz w:val="20"/>
              </w:rPr>
              <w:instrText xml:space="preserve"> FORMDROPDOWN </w:instrText>
            </w:r>
            <w:r w:rsidR="00FD2A43">
              <w:rPr>
                <w:rStyle w:val="IAIOCheckMediumChar"/>
                <w:b w:val="0"/>
                <w:sz w:val="20"/>
              </w:rPr>
            </w:r>
            <w:r w:rsidR="00FD2A43">
              <w:rPr>
                <w:rStyle w:val="IAIOCheckMediumChar"/>
                <w:b w:val="0"/>
                <w:sz w:val="20"/>
              </w:rPr>
              <w:fldChar w:fldCharType="separate"/>
            </w:r>
            <w:r w:rsidR="00072272" w:rsidRPr="00B8191D">
              <w:rPr>
                <w:rStyle w:val="IAIOCheckMediumChar"/>
                <w:b w:val="0"/>
                <w:sz w:val="20"/>
              </w:rPr>
              <w:fldChar w:fldCharType="end"/>
            </w:r>
            <w:bookmarkEnd w:id="15"/>
          </w:p>
        </w:tc>
        <w:tc>
          <w:tcPr>
            <w:tcW w:w="487" w:type="pct"/>
            <w:shd w:val="clear" w:color="auto" w:fill="E0E0E0"/>
            <w:vAlign w:val="center"/>
          </w:tcPr>
          <w:p w14:paraId="4E3F024A" w14:textId="77777777" w:rsidR="006656EC" w:rsidRPr="00B8191D" w:rsidRDefault="006656EC" w:rsidP="006A0557">
            <w:pPr>
              <w:pStyle w:val="IATableLines"/>
              <w:rPr>
                <w:b/>
                <w:color w:val="000000"/>
                <w:sz w:val="20"/>
              </w:rPr>
            </w:pPr>
            <w:r w:rsidRPr="00B8191D">
              <w:rPr>
                <w:b/>
                <w:color w:val="000000"/>
                <w:sz w:val="20"/>
              </w:rPr>
              <w:t>Large</w:t>
            </w:r>
            <w:bookmarkStart w:id="16" w:name="IACheckLarge"/>
            <w:r w:rsidR="00072272" w:rsidRPr="00B8191D">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B8191D">
              <w:rPr>
                <w:rStyle w:val="IAIOCheckLargeChar"/>
                <w:b w:val="0"/>
                <w:sz w:val="20"/>
              </w:rPr>
              <w:instrText xml:space="preserve"> FORMDROPDOWN </w:instrText>
            </w:r>
            <w:r w:rsidR="00FD2A43">
              <w:rPr>
                <w:rStyle w:val="IAIOCheckLargeChar"/>
                <w:b w:val="0"/>
                <w:sz w:val="20"/>
              </w:rPr>
            </w:r>
            <w:r w:rsidR="00FD2A43">
              <w:rPr>
                <w:rStyle w:val="IAIOCheckLargeChar"/>
                <w:b w:val="0"/>
                <w:sz w:val="20"/>
              </w:rPr>
              <w:fldChar w:fldCharType="separate"/>
            </w:r>
            <w:r w:rsidR="00072272" w:rsidRPr="00B8191D">
              <w:rPr>
                <w:rStyle w:val="IAIOCheckLargeChar"/>
                <w:b w:val="0"/>
                <w:sz w:val="20"/>
              </w:rPr>
              <w:fldChar w:fldCharType="end"/>
            </w:r>
            <w:bookmarkEnd w:id="16"/>
          </w:p>
        </w:tc>
      </w:tr>
      <w:tr w:rsidR="00817638" w:rsidRPr="00B8191D" w14:paraId="318675F9" w14:textId="77777777" w:rsidTr="0031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3537"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282DBF2" w14:textId="77777777" w:rsidR="00817638" w:rsidRPr="00B8191D" w:rsidRDefault="00817638" w:rsidP="006A0557">
            <w:pPr>
              <w:pStyle w:val="IATableText"/>
              <w:spacing w:before="0" w:after="0"/>
              <w:rPr>
                <w:rFonts w:eastAsia="Times New Roman"/>
                <w:sz w:val="16"/>
                <w:szCs w:val="16"/>
              </w:rPr>
            </w:pPr>
            <w:r w:rsidRPr="00B8191D">
              <w:rPr>
                <w:rFonts w:cs="Arial"/>
                <w:sz w:val="20"/>
              </w:rPr>
              <w:t>What is the CO</w:t>
            </w:r>
            <w:r w:rsidRPr="00B8191D">
              <w:rPr>
                <w:rFonts w:cs="Arial"/>
                <w:sz w:val="20"/>
                <w:vertAlign w:val="subscript"/>
              </w:rPr>
              <w:t>2</w:t>
            </w:r>
            <w:r w:rsidRPr="00B8191D">
              <w:rPr>
                <w:rFonts w:cs="Arial"/>
                <w:sz w:val="20"/>
              </w:rPr>
              <w:t xml:space="preserve"> equivalent change in greenhouse gas emissions? </w:t>
            </w:r>
            <w:r w:rsidRPr="00B8191D">
              <w:rPr>
                <w:rFonts w:cs="Arial"/>
                <w:sz w:val="20"/>
              </w:rPr>
              <w:br/>
              <w:t xml:space="preserve">(Million tonnes </w:t>
            </w:r>
            <w:r w:rsidR="00FC07D5" w:rsidRPr="00B8191D">
              <w:rPr>
                <w:rFonts w:cs="Arial"/>
                <w:sz w:val="20"/>
              </w:rPr>
              <w:t>CO</w:t>
            </w:r>
            <w:r w:rsidR="00FC07D5" w:rsidRPr="00B8191D">
              <w:rPr>
                <w:rFonts w:cs="Arial"/>
                <w:sz w:val="20"/>
                <w:vertAlign w:val="subscript"/>
              </w:rPr>
              <w:t>2</w:t>
            </w:r>
            <w:r w:rsidRPr="00B8191D">
              <w:rPr>
                <w:rFonts w:cs="Arial"/>
                <w:sz w:val="20"/>
              </w:rPr>
              <w:t xml:space="preserve"> equivalent)</w:t>
            </w:r>
            <w:r w:rsidRPr="00B8191D">
              <w:rPr>
                <w:spacing w:val="0"/>
                <w:sz w:val="18"/>
              </w:rPr>
              <w:t xml:space="preserve">  </w:t>
            </w:r>
          </w:p>
        </w:tc>
        <w:tc>
          <w:tcPr>
            <w:tcW w:w="976" w:type="pct"/>
            <w:gridSpan w:val="2"/>
            <w:tcBorders>
              <w:top w:val="single" w:sz="4" w:space="0" w:color="auto"/>
              <w:left w:val="single" w:sz="4" w:space="0" w:color="auto"/>
              <w:bottom w:val="single" w:sz="4" w:space="0" w:color="auto"/>
              <w:right w:val="single" w:sz="4" w:space="0" w:color="auto"/>
            </w:tcBorders>
            <w:shd w:val="clear" w:color="auto" w:fill="E0E0E0"/>
          </w:tcPr>
          <w:p w14:paraId="213CB73F" w14:textId="77777777" w:rsidR="00817638" w:rsidRPr="00B8191D" w:rsidRDefault="00817638" w:rsidP="00661DBF">
            <w:pPr>
              <w:pStyle w:val="IATableLabel"/>
            </w:pPr>
            <w:r w:rsidRPr="00B8191D">
              <w:t xml:space="preserve">Traded:   </w:t>
            </w:r>
            <w:r w:rsidRPr="00B8191D">
              <w:br/>
            </w:r>
            <w:bookmarkStart w:id="17" w:name="IACO2Traded"/>
            <w:r w:rsidRPr="00B8191D">
              <w:rPr>
                <w:rStyle w:val="IAIOCO2TradedChar"/>
                <w:sz w:val="20"/>
              </w:rPr>
              <w:fldChar w:fldCharType="begin">
                <w:ffData>
                  <w:name w:val="IACO2Traded"/>
                  <w:enabled/>
                  <w:calcOnExit w:val="0"/>
                  <w:textInput>
                    <w:maxLength w:val="8"/>
                  </w:textInput>
                </w:ffData>
              </w:fldChar>
            </w:r>
            <w:r w:rsidRPr="00B8191D">
              <w:rPr>
                <w:rStyle w:val="IAIOCO2TradedChar"/>
                <w:sz w:val="20"/>
              </w:rPr>
              <w:instrText xml:space="preserve"> FORMTEXT </w:instrText>
            </w:r>
            <w:r w:rsidRPr="00B8191D">
              <w:rPr>
                <w:rStyle w:val="IAIOCO2TradedChar"/>
                <w:sz w:val="20"/>
              </w:rPr>
            </w:r>
            <w:r w:rsidRPr="00B8191D">
              <w:rPr>
                <w:rStyle w:val="IAIOCO2TradedChar"/>
                <w:sz w:val="20"/>
              </w:rPr>
              <w:fldChar w:fldCharType="separate"/>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Pr="00B8191D">
              <w:rPr>
                <w:rStyle w:val="IAIOCO2TradedChar"/>
                <w:sz w:val="20"/>
              </w:rPr>
              <w:fldChar w:fldCharType="end"/>
            </w:r>
            <w:bookmarkEnd w:id="17"/>
          </w:p>
        </w:tc>
        <w:tc>
          <w:tcPr>
            <w:tcW w:w="487" w:type="pct"/>
            <w:tcBorders>
              <w:top w:val="single" w:sz="4" w:space="0" w:color="auto"/>
              <w:left w:val="single" w:sz="4" w:space="0" w:color="auto"/>
              <w:bottom w:val="single" w:sz="4" w:space="0" w:color="auto"/>
              <w:right w:val="single" w:sz="4" w:space="0" w:color="auto"/>
            </w:tcBorders>
            <w:shd w:val="clear" w:color="auto" w:fill="E0E0E0"/>
          </w:tcPr>
          <w:p w14:paraId="314EA7C1" w14:textId="77777777" w:rsidR="00817638" w:rsidRPr="00B8191D" w:rsidRDefault="00817638" w:rsidP="00661DBF">
            <w:pPr>
              <w:pStyle w:val="IATableLabel"/>
            </w:pPr>
            <w:r w:rsidRPr="00B8191D">
              <w:t xml:space="preserve">Non-traded:   </w:t>
            </w:r>
            <w:r w:rsidRPr="00B8191D">
              <w:br/>
            </w:r>
            <w:bookmarkStart w:id="18" w:name="IACO2NonTraded"/>
            <w:r w:rsidR="008155E3" w:rsidRPr="00B8191D">
              <w:rPr>
                <w:rStyle w:val="IAIOCO2TradedChar"/>
                <w:sz w:val="20"/>
              </w:rPr>
              <w:fldChar w:fldCharType="begin">
                <w:ffData>
                  <w:name w:val="IACO2NonTraded"/>
                  <w:enabled/>
                  <w:calcOnExit w:val="0"/>
                  <w:textInput>
                    <w:maxLength w:val="8"/>
                  </w:textInput>
                </w:ffData>
              </w:fldChar>
            </w:r>
            <w:r w:rsidR="008155E3" w:rsidRPr="00B8191D">
              <w:rPr>
                <w:rStyle w:val="IAIOCO2TradedChar"/>
                <w:sz w:val="20"/>
              </w:rPr>
              <w:instrText xml:space="preserve"> FORMTEXT </w:instrText>
            </w:r>
            <w:r w:rsidR="008155E3" w:rsidRPr="00B8191D">
              <w:rPr>
                <w:rStyle w:val="IAIOCO2TradedChar"/>
                <w:sz w:val="20"/>
              </w:rPr>
            </w:r>
            <w:r w:rsidR="008155E3" w:rsidRPr="00B8191D">
              <w:rPr>
                <w:rStyle w:val="IAIOCO2TradedChar"/>
                <w:sz w:val="20"/>
              </w:rPr>
              <w:fldChar w:fldCharType="separate"/>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00ED5998" w:rsidRPr="00B8191D">
              <w:rPr>
                <w:rStyle w:val="IAIOCO2TradedChar"/>
                <w:noProof/>
                <w:sz w:val="20"/>
              </w:rPr>
              <w:t> </w:t>
            </w:r>
            <w:r w:rsidR="008155E3" w:rsidRPr="00B8191D">
              <w:rPr>
                <w:rStyle w:val="IAIOCO2TradedChar"/>
                <w:sz w:val="20"/>
              </w:rPr>
              <w:fldChar w:fldCharType="end"/>
            </w:r>
            <w:bookmarkEnd w:id="18"/>
          </w:p>
        </w:tc>
      </w:tr>
    </w:tbl>
    <w:p w14:paraId="0E68A9A7" w14:textId="77777777" w:rsidR="00661DBF" w:rsidRPr="00B8191D" w:rsidRDefault="00661DBF">
      <w:pPr>
        <w:pStyle w:val="IASign-off"/>
        <w:rPr>
          <w:sz w:val="20"/>
        </w:rPr>
      </w:pPr>
      <w:bookmarkStart w:id="19" w:name="SignOfftext"/>
      <w:bookmarkEnd w:id="11"/>
      <w:r w:rsidRPr="00B8191D">
        <w:rPr>
          <w:sz w:val="20"/>
        </w:rPr>
        <w:t>I have read the Impact Assessment and I am satisfied that, given the available evidence, it represents a reasonable view of the likely costs, benefits and impact of the leading options.</w:t>
      </w:r>
    </w:p>
    <w:tbl>
      <w:tblPr>
        <w:tblW w:w="5090" w:type="pct"/>
        <w:tblInd w:w="-142" w:type="dxa"/>
        <w:tblLayout w:type="fixed"/>
        <w:tblCellMar>
          <w:left w:w="0" w:type="dxa"/>
          <w:right w:w="0" w:type="dxa"/>
        </w:tblCellMar>
        <w:tblLook w:val="0000" w:firstRow="0" w:lastRow="0" w:firstColumn="0" w:lastColumn="0" w:noHBand="0" w:noVBand="0"/>
      </w:tblPr>
      <w:tblGrid>
        <w:gridCol w:w="4958"/>
        <w:gridCol w:w="2701"/>
        <w:gridCol w:w="706"/>
        <w:gridCol w:w="2024"/>
      </w:tblGrid>
      <w:tr w:rsidR="00661DBF" w:rsidRPr="00B8191D" w14:paraId="12EC9A6D" w14:textId="77777777" w:rsidTr="00E14F8C">
        <w:trPr>
          <w:cantSplit/>
          <w:trHeight w:hRule="exact" w:val="767"/>
        </w:trPr>
        <w:tc>
          <w:tcPr>
            <w:tcW w:w="2386" w:type="pct"/>
            <w:vAlign w:val="bottom"/>
          </w:tcPr>
          <w:p w14:paraId="60411720" w14:textId="78482999" w:rsidR="00661DBF" w:rsidRPr="00B8191D" w:rsidRDefault="00661DBF" w:rsidP="004707C7">
            <w:pPr>
              <w:pStyle w:val="IASignature"/>
              <w:tabs>
                <w:tab w:val="clear" w:pos="6804"/>
                <w:tab w:val="left" w:leader="dot" w:pos="7380"/>
              </w:tabs>
            </w:pPr>
            <w:r w:rsidRPr="00B8191D">
              <w:t xml:space="preserve">Signed </w:t>
            </w:r>
            <w:r w:rsidR="00E14F8C">
              <w:t xml:space="preserve">by the </w:t>
            </w:r>
            <w:r w:rsidR="004707C7">
              <w:t xml:space="preserve">Minister </w:t>
            </w:r>
            <w:r w:rsidRPr="00B8191D">
              <w:t>:</w:t>
            </w:r>
          </w:p>
        </w:tc>
        <w:tc>
          <w:tcPr>
            <w:tcW w:w="1300" w:type="pct"/>
            <w:tcBorders>
              <w:bottom w:val="dashSmallGap" w:sz="4" w:space="0" w:color="auto"/>
            </w:tcBorders>
            <w:vAlign w:val="bottom"/>
          </w:tcPr>
          <w:p w14:paraId="3C210DF4" w14:textId="43A95B2C" w:rsidR="00661DBF" w:rsidRPr="00B8191D" w:rsidRDefault="009F3A5C" w:rsidP="001500BE">
            <w:pPr>
              <w:pStyle w:val="IAIOtextSign"/>
            </w:pPr>
            <w:r>
              <w:rPr>
                <w:noProof/>
                <w:lang w:eastAsia="en-GB"/>
              </w:rPr>
              <w:drawing>
                <wp:inline distT="0" distB="0" distL="0" distR="0" wp14:anchorId="531B84F2" wp14:editId="4B2A7FA8">
                  <wp:extent cx="1206500" cy="3601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8286" t="50338" b="1"/>
                          <a:stretch/>
                        </pic:blipFill>
                        <pic:spPr bwMode="auto">
                          <a:xfrm>
                            <a:off x="0" y="0"/>
                            <a:ext cx="1219441" cy="3639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0" w:type="pct"/>
            <w:vAlign w:val="bottom"/>
          </w:tcPr>
          <w:p w14:paraId="5B210F9F" w14:textId="77777777" w:rsidR="00661DBF" w:rsidRPr="00B8191D" w:rsidRDefault="00661DBF" w:rsidP="001500BE">
            <w:pPr>
              <w:pStyle w:val="IASignature"/>
              <w:tabs>
                <w:tab w:val="clear" w:pos="6804"/>
                <w:tab w:val="left" w:leader="dot" w:pos="7380"/>
              </w:tabs>
            </w:pPr>
            <w:r w:rsidRPr="00B8191D">
              <w:t> Date:</w:t>
            </w:r>
          </w:p>
        </w:tc>
        <w:tc>
          <w:tcPr>
            <w:tcW w:w="974" w:type="pct"/>
            <w:tcBorders>
              <w:bottom w:val="dashSmallGap" w:sz="4" w:space="0" w:color="auto"/>
            </w:tcBorders>
            <w:vAlign w:val="bottom"/>
          </w:tcPr>
          <w:p w14:paraId="1E6139A1" w14:textId="3E4E0ADF" w:rsidR="00661DBF" w:rsidRPr="00B8191D" w:rsidRDefault="00287B55" w:rsidP="001500BE">
            <w:pPr>
              <w:pStyle w:val="IAIOSigDate"/>
            </w:pPr>
            <w:bookmarkStart w:id="20" w:name="SigDate"/>
            <w:r>
              <w:t>04/02/2015</w:t>
            </w:r>
            <w:r w:rsidR="00661DBF" w:rsidRPr="00B8191D">
              <w:fldChar w:fldCharType="begin">
                <w:ffData>
                  <w:name w:val="SigDate"/>
                  <w:enabled/>
                  <w:calcOnExit w:val="0"/>
                  <w:textInput/>
                </w:ffData>
              </w:fldChar>
            </w:r>
            <w:r w:rsidR="00661DBF" w:rsidRPr="00B8191D">
              <w:instrText xml:space="preserve"> FORMTEXT </w:instrText>
            </w:r>
            <w:r w:rsidR="00661DBF" w:rsidRPr="00B8191D">
              <w:fldChar w:fldCharType="separate"/>
            </w:r>
            <w:r w:rsidR="00ED5998" w:rsidRPr="00B8191D">
              <w:rPr>
                <w:noProof/>
              </w:rPr>
              <w:t> </w:t>
            </w:r>
            <w:r w:rsidR="00ED5998" w:rsidRPr="00B8191D">
              <w:rPr>
                <w:noProof/>
              </w:rPr>
              <w:t> </w:t>
            </w:r>
            <w:r w:rsidR="00ED5998" w:rsidRPr="00B8191D">
              <w:rPr>
                <w:noProof/>
              </w:rPr>
              <w:t> </w:t>
            </w:r>
            <w:r w:rsidR="00ED5998" w:rsidRPr="00B8191D">
              <w:rPr>
                <w:noProof/>
              </w:rPr>
              <w:t> </w:t>
            </w:r>
            <w:r w:rsidR="00ED5998" w:rsidRPr="00B8191D">
              <w:rPr>
                <w:noProof/>
              </w:rPr>
              <w:t> </w:t>
            </w:r>
            <w:r w:rsidR="00661DBF" w:rsidRPr="00B8191D">
              <w:fldChar w:fldCharType="end"/>
            </w:r>
            <w:bookmarkEnd w:id="20"/>
          </w:p>
        </w:tc>
      </w:tr>
      <w:bookmarkEnd w:id="19"/>
    </w:tbl>
    <w:p w14:paraId="19ECFF46" w14:textId="77777777" w:rsidR="00F1328C" w:rsidRPr="00B8191D" w:rsidRDefault="00F1328C" w:rsidP="005A3880">
      <w:pPr>
        <w:pStyle w:val="Heading1"/>
        <w:spacing w:before="0"/>
        <w:sectPr w:rsidR="00F1328C" w:rsidRPr="00B8191D" w:rsidSect="005A3880">
          <w:headerReference w:type="default" r:id="rId9"/>
          <w:footerReference w:type="default" r:id="rId10"/>
          <w:footnotePr>
            <w:numRestart w:val="eachSect"/>
          </w:footnotePr>
          <w:type w:val="continuous"/>
          <w:pgSz w:w="11907" w:h="16840" w:code="9"/>
          <w:pgMar w:top="680" w:right="851" w:bottom="680" w:left="851" w:header="284" w:footer="284" w:gutter="0"/>
          <w:cols w:space="708"/>
          <w:docGrid w:linePitch="360"/>
        </w:sectPr>
      </w:pPr>
    </w:p>
    <w:p w14:paraId="3409D255" w14:textId="77777777" w:rsidR="001844B6" w:rsidRPr="00B8191D" w:rsidRDefault="001844B6" w:rsidP="001A074F">
      <w:pPr>
        <w:pStyle w:val="Heading1"/>
        <w:spacing w:before="0"/>
      </w:pPr>
      <w:r w:rsidRPr="00B8191D">
        <w:lastRenderedPageBreak/>
        <w:t>Summary: Analysis &amp; Evidence</w:t>
      </w:r>
      <w:r w:rsidRPr="00B8191D">
        <w:tab/>
      </w:r>
      <w:r w:rsidR="00DA5ADE" w:rsidRPr="00B8191D">
        <w:t xml:space="preserve">Option </w:t>
      </w:r>
      <w:r w:rsidR="00B814DD" w:rsidRPr="00B8191D">
        <w:t>1</w:t>
      </w:r>
    </w:p>
    <w:p w14:paraId="77D6DFAA" w14:textId="3C585C3D" w:rsidR="001844B6" w:rsidRPr="00B8191D" w:rsidRDefault="001844B6" w:rsidP="001A074F">
      <w:pPr>
        <w:pStyle w:val="IAHeadLabel"/>
        <w:spacing w:before="50"/>
        <w:rPr>
          <w:color w:val="auto"/>
        </w:rPr>
      </w:pPr>
      <w:r w:rsidRPr="00B8191D">
        <w:rPr>
          <w:color w:val="auto"/>
        </w:rPr>
        <w:t xml:space="preserve">Description:  </w:t>
      </w:r>
      <w:r w:rsidR="00967991">
        <w:rPr>
          <w:rStyle w:val="IAPODescriptionCharChar"/>
          <w:b/>
          <w:color w:val="auto"/>
        </w:rPr>
        <w:t>Remove Section 73</w:t>
      </w:r>
    </w:p>
    <w:p w14:paraId="094F8654" w14:textId="77777777" w:rsidR="001844B6" w:rsidRPr="00B8191D" w:rsidRDefault="001844B6" w:rsidP="001A074F">
      <w:pPr>
        <w:pStyle w:val="IAHeadLabel"/>
        <w:spacing w:before="50"/>
        <w:rPr>
          <w:color w:val="auto"/>
        </w:rPr>
      </w:pPr>
      <w:r w:rsidRPr="00B8191D">
        <w:rPr>
          <w:color w:val="auto"/>
        </w:rPr>
        <w:t>FULL ECONOMIC ASSESSMENT</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284"/>
        <w:gridCol w:w="1468"/>
        <w:gridCol w:w="1835"/>
        <w:gridCol w:w="1862"/>
        <w:gridCol w:w="2719"/>
      </w:tblGrid>
      <w:tr w:rsidR="001844B6" w:rsidRPr="00B8191D" w14:paraId="1AD9F80E" w14:textId="77777777" w:rsidTr="001A074F">
        <w:trPr>
          <w:trHeight w:hRule="exact" w:val="312"/>
        </w:trPr>
        <w:tc>
          <w:tcPr>
            <w:tcW w:w="1464" w:type="dxa"/>
            <w:vMerge w:val="restart"/>
            <w:shd w:val="clear" w:color="auto" w:fill="auto"/>
          </w:tcPr>
          <w:p w14:paraId="4AE10ADF" w14:textId="4CEFB776" w:rsidR="001844B6" w:rsidRPr="00B8191D" w:rsidRDefault="001844B6" w:rsidP="000C327F">
            <w:pPr>
              <w:pStyle w:val="POPBY"/>
              <w:ind w:left="0" w:right="0"/>
            </w:pPr>
            <w:r w:rsidRPr="00B8191D">
              <w:t>Price</w:t>
            </w:r>
            <w:r w:rsidR="001A074F" w:rsidRPr="00B8191D">
              <w:t xml:space="preserve"> </w:t>
            </w:r>
            <w:r w:rsidRPr="00B8191D">
              <w:t xml:space="preserve">Base </w:t>
            </w:r>
            <w:r w:rsidR="001A074F" w:rsidRPr="00B8191D">
              <w:t>Y</w:t>
            </w:r>
            <w:r w:rsidRPr="00B8191D">
              <w:t xml:space="preserve">ear  </w:t>
            </w:r>
            <w:r w:rsidR="008E7831" w:rsidRPr="00B8191D">
              <w:rPr>
                <w:b w:val="0"/>
              </w:rPr>
              <w:t>201</w:t>
            </w:r>
            <w:r w:rsidR="00790039">
              <w:rPr>
                <w:b w:val="0"/>
              </w:rPr>
              <w:t>5</w:t>
            </w:r>
          </w:p>
        </w:tc>
        <w:tc>
          <w:tcPr>
            <w:tcW w:w="1284" w:type="dxa"/>
            <w:vMerge w:val="restart"/>
            <w:shd w:val="clear" w:color="auto" w:fill="auto"/>
          </w:tcPr>
          <w:p w14:paraId="366AFC5B" w14:textId="77777777" w:rsidR="001844B6" w:rsidRPr="00B8191D" w:rsidRDefault="001844B6" w:rsidP="008C40AC">
            <w:pPr>
              <w:pStyle w:val="POPVBY"/>
              <w:ind w:right="0"/>
            </w:pPr>
            <w:r w:rsidRPr="00B8191D">
              <w:t xml:space="preserve">PV Base Year </w:t>
            </w:r>
            <w:r w:rsidR="001A074F" w:rsidRPr="00B8191D">
              <w:rPr>
                <w:b w:val="0"/>
              </w:rPr>
              <w:t>2</w:t>
            </w:r>
            <w:r w:rsidR="008E7831" w:rsidRPr="00B8191D">
              <w:rPr>
                <w:b w:val="0"/>
              </w:rPr>
              <w:t>01</w:t>
            </w:r>
            <w:r w:rsidR="000D0ADA">
              <w:rPr>
                <w:b w:val="0"/>
              </w:rPr>
              <w:t>5</w:t>
            </w:r>
          </w:p>
        </w:tc>
        <w:tc>
          <w:tcPr>
            <w:tcW w:w="1468" w:type="dxa"/>
            <w:vMerge w:val="restart"/>
            <w:tcBorders>
              <w:right w:val="single" w:sz="12" w:space="0" w:color="auto"/>
            </w:tcBorders>
            <w:shd w:val="clear" w:color="auto" w:fill="auto"/>
          </w:tcPr>
          <w:p w14:paraId="416005C0" w14:textId="77777777" w:rsidR="001844B6" w:rsidRPr="00B8191D" w:rsidRDefault="001844B6" w:rsidP="001A074F">
            <w:pPr>
              <w:pStyle w:val="POTPY"/>
              <w:ind w:right="0"/>
            </w:pPr>
            <w:r w:rsidRPr="00B8191D">
              <w:t xml:space="preserve">Time Period Years  </w:t>
            </w:r>
            <w:r w:rsidR="008E7831" w:rsidRPr="00B8191D">
              <w:rPr>
                <w:b w:val="0"/>
              </w:rPr>
              <w:t>10</w:t>
            </w:r>
          </w:p>
        </w:tc>
        <w:tc>
          <w:tcPr>
            <w:tcW w:w="6416" w:type="dxa"/>
            <w:gridSpan w:val="3"/>
            <w:tcBorders>
              <w:top w:val="single" w:sz="12" w:space="0" w:color="auto"/>
              <w:left w:val="single" w:sz="12" w:space="0" w:color="auto"/>
              <w:bottom w:val="single" w:sz="4" w:space="0" w:color="auto"/>
              <w:right w:val="single" w:sz="12" w:space="0" w:color="auto"/>
            </w:tcBorders>
            <w:shd w:val="clear" w:color="auto" w:fill="FFFFFF"/>
          </w:tcPr>
          <w:p w14:paraId="1BC976A9" w14:textId="77777777" w:rsidR="001844B6" w:rsidRPr="00B8191D" w:rsidRDefault="001844B6" w:rsidP="001A074F">
            <w:pPr>
              <w:pStyle w:val="IATableLabel"/>
              <w:ind w:right="0"/>
              <w:jc w:val="center"/>
            </w:pPr>
            <w:r w:rsidRPr="00B8191D">
              <w:t>Net Benefit (Present Value (PV)) (£m)</w:t>
            </w:r>
          </w:p>
        </w:tc>
      </w:tr>
      <w:tr w:rsidR="001844B6" w:rsidRPr="00B8191D" w14:paraId="6FE41AE7" w14:textId="77777777" w:rsidTr="001A074F">
        <w:trPr>
          <w:trHeight w:hRule="exact" w:val="340"/>
        </w:trPr>
        <w:tc>
          <w:tcPr>
            <w:tcW w:w="1464" w:type="dxa"/>
            <w:vMerge/>
            <w:shd w:val="clear" w:color="auto" w:fill="auto"/>
          </w:tcPr>
          <w:p w14:paraId="370DEF94" w14:textId="77777777" w:rsidR="001844B6" w:rsidRPr="00B8191D" w:rsidRDefault="001844B6" w:rsidP="001A074F">
            <w:pPr>
              <w:pStyle w:val="IATableNotes"/>
              <w:ind w:left="0" w:right="0"/>
              <w:rPr>
                <w:b/>
                <w:sz w:val="20"/>
              </w:rPr>
            </w:pPr>
          </w:p>
        </w:tc>
        <w:tc>
          <w:tcPr>
            <w:tcW w:w="1284" w:type="dxa"/>
            <w:vMerge/>
            <w:shd w:val="clear" w:color="auto" w:fill="auto"/>
          </w:tcPr>
          <w:p w14:paraId="2CACC6FA" w14:textId="77777777" w:rsidR="001844B6" w:rsidRPr="00B8191D" w:rsidRDefault="001844B6" w:rsidP="001A074F">
            <w:pPr>
              <w:pStyle w:val="IATableNotes"/>
              <w:ind w:left="0" w:right="0"/>
              <w:rPr>
                <w:b/>
                <w:sz w:val="20"/>
              </w:rPr>
            </w:pPr>
          </w:p>
        </w:tc>
        <w:tc>
          <w:tcPr>
            <w:tcW w:w="1468" w:type="dxa"/>
            <w:vMerge/>
            <w:tcBorders>
              <w:right w:val="single" w:sz="12" w:space="0" w:color="auto"/>
            </w:tcBorders>
            <w:shd w:val="clear" w:color="auto" w:fill="auto"/>
          </w:tcPr>
          <w:p w14:paraId="7B5A1FDC" w14:textId="77777777" w:rsidR="001844B6" w:rsidRPr="00B8191D" w:rsidRDefault="001844B6" w:rsidP="001A074F">
            <w:pPr>
              <w:pStyle w:val="IATableNotes"/>
              <w:ind w:left="0" w:right="0"/>
              <w:rPr>
                <w:b/>
                <w:sz w:val="20"/>
              </w:rPr>
            </w:pPr>
          </w:p>
        </w:tc>
        <w:tc>
          <w:tcPr>
            <w:tcW w:w="1835" w:type="dxa"/>
            <w:tcBorders>
              <w:top w:val="single" w:sz="4" w:space="0" w:color="auto"/>
              <w:left w:val="single" w:sz="12" w:space="0" w:color="auto"/>
              <w:bottom w:val="single" w:sz="12" w:space="0" w:color="auto"/>
              <w:right w:val="single" w:sz="4" w:space="0" w:color="auto"/>
            </w:tcBorders>
            <w:shd w:val="clear" w:color="auto" w:fill="auto"/>
          </w:tcPr>
          <w:p w14:paraId="4B854038" w14:textId="06144CED" w:rsidR="001844B6" w:rsidRPr="00B8191D" w:rsidRDefault="001844B6" w:rsidP="008C40AC">
            <w:pPr>
              <w:pStyle w:val="IATableLabel"/>
              <w:ind w:right="0"/>
              <w:rPr>
                <w:bCs/>
              </w:rPr>
            </w:pPr>
            <w:r w:rsidRPr="00B8191D">
              <w:t xml:space="preserve">Low: </w:t>
            </w:r>
            <w:r w:rsidR="00A84D12">
              <w:t>0</w:t>
            </w:r>
          </w:p>
        </w:tc>
        <w:tc>
          <w:tcPr>
            <w:tcW w:w="1862" w:type="dxa"/>
            <w:tcBorders>
              <w:top w:val="single" w:sz="4" w:space="0" w:color="auto"/>
              <w:left w:val="single" w:sz="4" w:space="0" w:color="auto"/>
              <w:bottom w:val="single" w:sz="12" w:space="0" w:color="auto"/>
              <w:right w:val="single" w:sz="12" w:space="0" w:color="auto"/>
            </w:tcBorders>
            <w:shd w:val="clear" w:color="auto" w:fill="auto"/>
          </w:tcPr>
          <w:p w14:paraId="51FD8394" w14:textId="3E72407B" w:rsidR="001844B6" w:rsidRPr="00B8191D" w:rsidRDefault="001844B6" w:rsidP="000D0ADA">
            <w:pPr>
              <w:pStyle w:val="IATableLabel"/>
              <w:ind w:right="0"/>
              <w:rPr>
                <w:rFonts w:cs="Arial"/>
                <w:bCs/>
                <w:szCs w:val="18"/>
              </w:rPr>
            </w:pPr>
            <w:r w:rsidRPr="00B8191D">
              <w:t xml:space="preserve">High: </w:t>
            </w:r>
            <w:r w:rsidR="00A84D12">
              <w:t>0</w:t>
            </w:r>
          </w:p>
        </w:tc>
        <w:tc>
          <w:tcPr>
            <w:tcW w:w="2719" w:type="dxa"/>
            <w:tcBorders>
              <w:top w:val="single" w:sz="12" w:space="0" w:color="auto"/>
              <w:left w:val="single" w:sz="12" w:space="0" w:color="auto"/>
              <w:bottom w:val="single" w:sz="12" w:space="0" w:color="auto"/>
              <w:right w:val="single" w:sz="12" w:space="0" w:color="auto"/>
            </w:tcBorders>
            <w:shd w:val="clear" w:color="auto" w:fill="FFFFFF"/>
          </w:tcPr>
          <w:p w14:paraId="05AD9970" w14:textId="402088F9" w:rsidR="001844B6" w:rsidRPr="00B8191D" w:rsidRDefault="001844B6" w:rsidP="000D0ADA">
            <w:pPr>
              <w:pStyle w:val="IATableLabel"/>
              <w:ind w:right="0"/>
              <w:rPr>
                <w:szCs w:val="18"/>
              </w:rPr>
            </w:pPr>
            <w:r w:rsidRPr="00B8191D">
              <w:t xml:space="preserve">Best Estimate: </w:t>
            </w:r>
            <w:r w:rsidR="00A84D12">
              <w:t>0</w:t>
            </w:r>
          </w:p>
        </w:tc>
      </w:tr>
    </w:tbl>
    <w:p w14:paraId="1CE8F91F" w14:textId="77777777" w:rsidR="001844B6" w:rsidRPr="00B8191D" w:rsidRDefault="001844B6" w:rsidP="001A074F">
      <w:pPr>
        <w:pStyle w:val="IASpacer"/>
        <w:spacing w:line="240" w:lineRule="auto"/>
      </w:pPr>
    </w:p>
    <w:tbl>
      <w:tblPr>
        <w:tblW w:w="5194"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63"/>
        <w:gridCol w:w="1949"/>
        <w:gridCol w:w="790"/>
        <w:gridCol w:w="2865"/>
        <w:gridCol w:w="1776"/>
        <w:gridCol w:w="989"/>
      </w:tblGrid>
      <w:tr w:rsidR="001844B6" w:rsidRPr="00B8191D" w14:paraId="442DC5BF" w14:textId="77777777" w:rsidTr="001A074F">
        <w:trPr>
          <w:trHeight w:hRule="exact" w:val="567"/>
        </w:trPr>
        <w:tc>
          <w:tcPr>
            <w:tcW w:w="2263" w:type="dxa"/>
            <w:shd w:val="clear" w:color="auto" w:fill="FFFFFF"/>
          </w:tcPr>
          <w:p w14:paraId="30A9CEA3" w14:textId="77777777" w:rsidR="001844B6" w:rsidRPr="00B8191D" w:rsidRDefault="001844B6" w:rsidP="001A074F">
            <w:pPr>
              <w:pStyle w:val="IATableLabel"/>
              <w:rPr>
                <w:sz w:val="24"/>
                <w:szCs w:val="24"/>
              </w:rPr>
            </w:pPr>
            <w:r w:rsidRPr="00B8191D">
              <w:rPr>
                <w:sz w:val="24"/>
                <w:szCs w:val="24"/>
              </w:rPr>
              <w:t>COSTS (£m)</w:t>
            </w:r>
          </w:p>
        </w:tc>
        <w:tc>
          <w:tcPr>
            <w:tcW w:w="2739" w:type="dxa"/>
            <w:gridSpan w:val="2"/>
            <w:tcBorders>
              <w:top w:val="single" w:sz="12" w:space="0" w:color="auto"/>
              <w:bottom w:val="single" w:sz="6" w:space="0" w:color="auto"/>
            </w:tcBorders>
            <w:shd w:val="clear" w:color="auto" w:fill="auto"/>
          </w:tcPr>
          <w:p w14:paraId="7D691BC7" w14:textId="77777777" w:rsidR="001844B6" w:rsidRPr="00B8191D" w:rsidRDefault="001844B6" w:rsidP="001A074F">
            <w:pPr>
              <w:pStyle w:val="IATableLabel"/>
              <w:tabs>
                <w:tab w:val="right" w:pos="1800"/>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445B95F5" w14:textId="77777777" w:rsidR="001844B6" w:rsidRPr="00B8191D" w:rsidRDefault="001844B6" w:rsidP="001A074F">
            <w:pPr>
              <w:pStyle w:val="IATableLabel"/>
              <w:jc w:val="right"/>
            </w:pPr>
            <w:r w:rsidRPr="00B8191D">
              <w:br/>
            </w:r>
          </w:p>
        </w:tc>
        <w:tc>
          <w:tcPr>
            <w:tcW w:w="2865" w:type="dxa"/>
            <w:tcBorders>
              <w:bottom w:val="single" w:sz="6" w:space="0" w:color="auto"/>
              <w:right w:val="single" w:sz="12" w:space="0" w:color="auto"/>
            </w:tcBorders>
            <w:shd w:val="clear" w:color="auto" w:fill="auto"/>
          </w:tcPr>
          <w:p w14:paraId="0894AACE" w14:textId="77777777" w:rsidR="001844B6" w:rsidRPr="00B8191D" w:rsidRDefault="001844B6" w:rsidP="001A074F">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4A69494C" w14:textId="77777777" w:rsidR="001844B6" w:rsidRPr="00B8191D" w:rsidRDefault="001844B6" w:rsidP="001A074F">
            <w:pPr>
              <w:pStyle w:val="IATableLabel"/>
              <w:jc w:val="right"/>
            </w:pPr>
            <w:r w:rsidRPr="00B8191D">
              <w:t>Total Cost</w:t>
            </w:r>
            <w:r w:rsidRPr="00B8191D">
              <w:rPr>
                <w:b w:val="0"/>
                <w:sz w:val="18"/>
                <w:szCs w:val="18"/>
              </w:rPr>
              <w:t xml:space="preserve"> </w:t>
            </w:r>
            <w:r w:rsidRPr="00B8191D">
              <w:rPr>
                <w:b w:val="0"/>
                <w:sz w:val="18"/>
                <w:szCs w:val="18"/>
              </w:rPr>
              <w:br/>
              <w:t>(Present Value)</w:t>
            </w:r>
          </w:p>
        </w:tc>
      </w:tr>
      <w:tr w:rsidR="001844B6" w:rsidRPr="00B8191D" w14:paraId="53987C45" w14:textId="77777777" w:rsidTr="001A074F">
        <w:trPr>
          <w:trHeight w:hRule="exact" w:val="348"/>
        </w:trPr>
        <w:tc>
          <w:tcPr>
            <w:tcW w:w="2263" w:type="dxa"/>
            <w:tcBorders>
              <w:top w:val="single" w:sz="6" w:space="0" w:color="auto"/>
              <w:bottom w:val="single" w:sz="6" w:space="0" w:color="auto"/>
            </w:tcBorders>
            <w:shd w:val="clear" w:color="auto" w:fill="auto"/>
            <w:vAlign w:val="center"/>
          </w:tcPr>
          <w:p w14:paraId="2B0801C3" w14:textId="77777777" w:rsidR="001844B6" w:rsidRPr="00B8191D" w:rsidRDefault="001844B6" w:rsidP="001A074F">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6D38535B" w14:textId="3B338D94" w:rsidR="001844B6" w:rsidRPr="00B8191D" w:rsidRDefault="00A84D12" w:rsidP="001A074F">
            <w:pPr>
              <w:pStyle w:val="POTTCostsLow"/>
              <w:rPr>
                <w:sz w:val="20"/>
              </w:rPr>
            </w:pPr>
            <w:r>
              <w:rPr>
                <w:sz w:val="20"/>
              </w:rPr>
              <w:t>0</w:t>
            </w:r>
          </w:p>
        </w:tc>
        <w:tc>
          <w:tcPr>
            <w:tcW w:w="790" w:type="dxa"/>
            <w:vMerge w:val="restart"/>
            <w:tcBorders>
              <w:top w:val="single" w:sz="6" w:space="0" w:color="auto"/>
            </w:tcBorders>
            <w:shd w:val="clear" w:color="auto" w:fill="auto"/>
            <w:vAlign w:val="center"/>
          </w:tcPr>
          <w:p w14:paraId="24E2A8C5" w14:textId="77777777" w:rsidR="001844B6" w:rsidRPr="00B8191D" w:rsidRDefault="001844B6" w:rsidP="001A074F">
            <w:pPr>
              <w:pStyle w:val="POTTCostsYear"/>
              <w:rPr>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267157D2" w14:textId="63B4776F" w:rsidR="001844B6" w:rsidRPr="00B8191D" w:rsidRDefault="00A84D12" w:rsidP="001A074F">
            <w:pPr>
              <w:pStyle w:val="POAACostsLow"/>
              <w:rPr>
                <w:sz w:val="20"/>
              </w:rPr>
            </w:pPr>
            <w:r>
              <w:rPr>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6542ED5A" w14:textId="221AC7F0" w:rsidR="001844B6" w:rsidRPr="00B8191D" w:rsidRDefault="00A84D12" w:rsidP="001A074F">
            <w:pPr>
              <w:pStyle w:val="POTCCostsLow"/>
              <w:rPr>
                <w:sz w:val="20"/>
              </w:rPr>
            </w:pPr>
            <w:r>
              <w:rPr>
                <w:sz w:val="20"/>
              </w:rPr>
              <w:t>0</w:t>
            </w:r>
          </w:p>
        </w:tc>
      </w:tr>
      <w:tr w:rsidR="001844B6" w:rsidRPr="00B8191D" w14:paraId="0A49D6E3" w14:textId="77777777" w:rsidTr="001A074F">
        <w:trPr>
          <w:trHeight w:hRule="exact" w:val="348"/>
        </w:trPr>
        <w:tc>
          <w:tcPr>
            <w:tcW w:w="2263" w:type="dxa"/>
            <w:tcBorders>
              <w:top w:val="single" w:sz="6" w:space="0" w:color="auto"/>
              <w:bottom w:val="single" w:sz="12" w:space="0" w:color="auto"/>
            </w:tcBorders>
            <w:shd w:val="clear" w:color="auto" w:fill="auto"/>
            <w:vAlign w:val="center"/>
          </w:tcPr>
          <w:p w14:paraId="1BE45675" w14:textId="77777777" w:rsidR="001844B6" w:rsidRPr="00B8191D" w:rsidRDefault="001844B6" w:rsidP="001A074F">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21D595DB" w14:textId="43CB276E" w:rsidR="001844B6" w:rsidRPr="00B8191D" w:rsidRDefault="00A84D12" w:rsidP="001A074F">
            <w:pPr>
              <w:pStyle w:val="POTTCostsHigh"/>
              <w:rPr>
                <w:sz w:val="20"/>
              </w:rPr>
            </w:pPr>
            <w:r>
              <w:rPr>
                <w:sz w:val="20"/>
              </w:rPr>
              <w:t>0</w:t>
            </w:r>
          </w:p>
        </w:tc>
        <w:tc>
          <w:tcPr>
            <w:tcW w:w="790" w:type="dxa"/>
            <w:vMerge/>
            <w:shd w:val="clear" w:color="auto" w:fill="FFFFFF"/>
            <w:vAlign w:val="center"/>
          </w:tcPr>
          <w:p w14:paraId="19E2B3C0" w14:textId="77777777" w:rsidR="001844B6" w:rsidRPr="00B8191D" w:rsidRDefault="001844B6" w:rsidP="001A074F">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29168147" w14:textId="23365280" w:rsidR="001844B6" w:rsidRPr="00B8191D" w:rsidRDefault="00A84D12" w:rsidP="001A074F">
            <w:pPr>
              <w:pStyle w:val="POAACostsHigh"/>
              <w:rPr>
                <w:sz w:val="20"/>
              </w:rPr>
            </w:pPr>
            <w:r>
              <w:rPr>
                <w:sz w:val="20"/>
              </w:rPr>
              <w:t>2</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5F6A40EE" w14:textId="558AE92A" w:rsidR="001844B6" w:rsidRPr="00B8191D" w:rsidRDefault="00967991" w:rsidP="001A074F">
            <w:pPr>
              <w:pStyle w:val="POTCCostsHigh"/>
              <w:rPr>
                <w:sz w:val="20"/>
              </w:rPr>
            </w:pPr>
            <w:r>
              <w:rPr>
                <w:sz w:val="20"/>
              </w:rPr>
              <w:t>17.2</w:t>
            </w:r>
          </w:p>
        </w:tc>
      </w:tr>
      <w:tr w:rsidR="001844B6" w:rsidRPr="00B8191D" w14:paraId="28408FA7" w14:textId="77777777" w:rsidTr="001A074F">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4DC56F92" w14:textId="77777777" w:rsidR="001844B6" w:rsidRPr="00B8191D" w:rsidRDefault="001844B6" w:rsidP="001A074F">
            <w:pPr>
              <w:pStyle w:val="IATableLabel"/>
            </w:pPr>
            <w:r w:rsidRPr="00B8191D">
              <w:t>Best Estimate</w:t>
            </w:r>
          </w:p>
          <w:p w14:paraId="2A561B38" w14:textId="77777777" w:rsidR="001844B6" w:rsidRPr="00B8191D" w:rsidRDefault="001844B6" w:rsidP="001A074F">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5EEB64" w14:textId="1D56BA50" w:rsidR="001844B6" w:rsidRPr="00B8191D" w:rsidRDefault="00A84D12" w:rsidP="001A074F">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08793013" w14:textId="77777777" w:rsidR="001844B6" w:rsidRPr="00B8191D" w:rsidRDefault="001844B6" w:rsidP="001A074F">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C360D17" w14:textId="7607BE41" w:rsidR="001844B6" w:rsidRPr="00B8191D" w:rsidRDefault="00A84D12" w:rsidP="001A074F">
            <w:pPr>
              <w:pStyle w:val="POAACostsBest"/>
              <w:rPr>
                <w:sz w:val="20"/>
              </w:rPr>
            </w:pPr>
            <w:r>
              <w:rPr>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30A0EA12" w14:textId="7875137B" w:rsidR="001844B6" w:rsidRPr="00B8191D" w:rsidRDefault="00A84D12" w:rsidP="001A074F">
            <w:pPr>
              <w:pStyle w:val="POTCCostsBest"/>
              <w:rPr>
                <w:sz w:val="20"/>
              </w:rPr>
            </w:pPr>
            <w:r>
              <w:rPr>
                <w:sz w:val="20"/>
              </w:rPr>
              <w:t>0</w:t>
            </w:r>
          </w:p>
        </w:tc>
      </w:tr>
      <w:tr w:rsidR="001844B6" w:rsidRPr="00B8191D" w14:paraId="2CB01EF1" w14:textId="77777777" w:rsidTr="000147E1">
        <w:trPr>
          <w:trHeight w:hRule="exact" w:val="2439"/>
        </w:trPr>
        <w:tc>
          <w:tcPr>
            <w:tcW w:w="10632" w:type="dxa"/>
            <w:gridSpan w:val="6"/>
            <w:tcBorders>
              <w:bottom w:val="single" w:sz="6" w:space="0" w:color="auto"/>
            </w:tcBorders>
            <w:shd w:val="clear" w:color="auto" w:fill="auto"/>
          </w:tcPr>
          <w:p w14:paraId="4FD3CEB6" w14:textId="77777777" w:rsidR="001844B6" w:rsidRPr="00B8191D" w:rsidRDefault="001844B6" w:rsidP="00F7181D">
            <w:pPr>
              <w:pStyle w:val="IAPOQ1"/>
              <w:jc w:val="both"/>
              <w:rPr>
                <w:szCs w:val="22"/>
              </w:rPr>
            </w:pPr>
            <w:r w:rsidRPr="00B8191D">
              <w:t xml:space="preserve">Description and scale of key monetised costs by ‘main affected groups’ </w:t>
            </w:r>
          </w:p>
          <w:p w14:paraId="0BADFC2E" w14:textId="17AA4649" w:rsidR="00967991" w:rsidRPr="00967991" w:rsidRDefault="00E47121" w:rsidP="004707C7">
            <w:pPr>
              <w:pStyle w:val="IAPOA1"/>
              <w:jc w:val="both"/>
              <w:rPr>
                <w:sz w:val="20"/>
              </w:rPr>
            </w:pPr>
            <w:r>
              <w:rPr>
                <w:sz w:val="20"/>
              </w:rPr>
              <w:t>T</w:t>
            </w:r>
            <w:r w:rsidR="0094069E">
              <w:rPr>
                <w:sz w:val="20"/>
              </w:rPr>
              <w:t>he Government</w:t>
            </w:r>
            <w:r w:rsidR="00967991">
              <w:rPr>
                <w:sz w:val="20"/>
              </w:rPr>
              <w:t xml:space="preserve">’s </w:t>
            </w:r>
            <w:r w:rsidR="002B6497">
              <w:rPr>
                <w:sz w:val="20"/>
              </w:rPr>
              <w:t xml:space="preserve">preliminary view is that </w:t>
            </w:r>
            <w:r w:rsidR="00967991">
              <w:rPr>
                <w:sz w:val="20"/>
              </w:rPr>
              <w:t>is th</w:t>
            </w:r>
            <w:r>
              <w:rPr>
                <w:sz w:val="20"/>
              </w:rPr>
              <w:t>at re</w:t>
            </w:r>
            <w:r w:rsidR="002B6497">
              <w:rPr>
                <w:sz w:val="20"/>
              </w:rPr>
              <w:t>peal</w:t>
            </w:r>
            <w:r>
              <w:rPr>
                <w:sz w:val="20"/>
              </w:rPr>
              <w:t xml:space="preserve"> of </w:t>
            </w:r>
            <w:r w:rsidR="002B6497" w:rsidRPr="00C76F2A">
              <w:rPr>
                <w:sz w:val="20"/>
                <w:szCs w:val="22"/>
                <w:lang w:eastAsia="en-GB"/>
              </w:rPr>
              <w:t>Section 73 of the Copyrights, Designs and Patents Act 1988 (CDPA</w:t>
            </w:r>
            <w:r w:rsidR="002B6497">
              <w:rPr>
                <w:sz w:val="20"/>
                <w:szCs w:val="22"/>
                <w:lang w:eastAsia="en-GB"/>
              </w:rPr>
              <w:t>)</w:t>
            </w:r>
            <w:r w:rsidR="002B6497">
              <w:rPr>
                <w:sz w:val="20"/>
              </w:rPr>
              <w:t xml:space="preserve"> </w:t>
            </w:r>
            <w:r w:rsidR="00926E54">
              <w:rPr>
                <w:sz w:val="20"/>
              </w:rPr>
              <w:t>will not</w:t>
            </w:r>
            <w:r>
              <w:rPr>
                <w:sz w:val="20"/>
              </w:rPr>
              <w:t xml:space="preserve"> </w:t>
            </w:r>
            <w:r w:rsidR="00524925">
              <w:rPr>
                <w:sz w:val="20"/>
              </w:rPr>
              <w:t>make any mater</w:t>
            </w:r>
            <w:r w:rsidR="00926E54">
              <w:rPr>
                <w:sz w:val="20"/>
              </w:rPr>
              <w:t>ial difference to the</w:t>
            </w:r>
            <w:r w:rsidR="00524925">
              <w:rPr>
                <w:sz w:val="20"/>
              </w:rPr>
              <w:t xml:space="preserve"> commercial </w:t>
            </w:r>
            <w:r w:rsidR="009F2A16">
              <w:rPr>
                <w:sz w:val="20"/>
              </w:rPr>
              <w:t>balance between cable platforms and PSBs</w:t>
            </w:r>
            <w:r w:rsidR="00B219F4">
              <w:rPr>
                <w:sz w:val="20"/>
              </w:rPr>
              <w:t xml:space="preserve"> and that </w:t>
            </w:r>
            <w:r w:rsidR="00524925">
              <w:rPr>
                <w:sz w:val="20"/>
              </w:rPr>
              <w:t xml:space="preserve">the most </w:t>
            </w:r>
            <w:r w:rsidR="0051711D">
              <w:rPr>
                <w:sz w:val="20"/>
              </w:rPr>
              <w:t xml:space="preserve">likely </w:t>
            </w:r>
            <w:r w:rsidR="00524925">
              <w:rPr>
                <w:sz w:val="20"/>
              </w:rPr>
              <w:t xml:space="preserve">scenario is </w:t>
            </w:r>
            <w:r w:rsidR="009F2A16">
              <w:rPr>
                <w:sz w:val="20"/>
              </w:rPr>
              <w:t>a</w:t>
            </w:r>
            <w:r w:rsidR="00967991">
              <w:rPr>
                <w:sz w:val="20"/>
              </w:rPr>
              <w:t xml:space="preserve"> continuation of the status quo</w:t>
            </w:r>
            <w:r w:rsidR="00524925">
              <w:rPr>
                <w:sz w:val="20"/>
              </w:rPr>
              <w:t xml:space="preserve"> in the short and medium term.</w:t>
            </w:r>
            <w:r w:rsidR="00F81DB7">
              <w:rPr>
                <w:sz w:val="20"/>
              </w:rPr>
              <w:t xml:space="preserve"> </w:t>
            </w:r>
            <w:r w:rsidR="009F2A16">
              <w:rPr>
                <w:sz w:val="20"/>
              </w:rPr>
              <w:t>However,</w:t>
            </w:r>
            <w:r w:rsidR="00967991">
              <w:rPr>
                <w:sz w:val="20"/>
              </w:rPr>
              <w:t xml:space="preserve"> </w:t>
            </w:r>
            <w:r w:rsidR="009F2A16">
              <w:rPr>
                <w:sz w:val="20"/>
              </w:rPr>
              <w:t>it</w:t>
            </w:r>
            <w:r w:rsidR="00967991">
              <w:rPr>
                <w:sz w:val="20"/>
              </w:rPr>
              <w:t xml:space="preserve"> could theoretically lead to a shift of funds from </w:t>
            </w:r>
            <w:r w:rsidR="00F57A44">
              <w:rPr>
                <w:sz w:val="20"/>
              </w:rPr>
              <w:t>cable</w:t>
            </w:r>
            <w:r w:rsidR="00967991">
              <w:rPr>
                <w:sz w:val="20"/>
              </w:rPr>
              <w:t xml:space="preserve"> platforms on cable to </w:t>
            </w:r>
            <w:r w:rsidR="00F57A44">
              <w:rPr>
                <w:sz w:val="20"/>
              </w:rPr>
              <w:t xml:space="preserve">commercial </w:t>
            </w:r>
            <w:r w:rsidR="00967991">
              <w:rPr>
                <w:sz w:val="20"/>
              </w:rPr>
              <w:t>PSBs</w:t>
            </w:r>
            <w:r w:rsidR="009F2A16">
              <w:rPr>
                <w:sz w:val="20"/>
              </w:rPr>
              <w:t xml:space="preserve"> with an upper estimate of a cost to platforms of £2m p.a</w:t>
            </w:r>
            <w:r w:rsidR="00967991">
              <w:rPr>
                <w:sz w:val="20"/>
              </w:rPr>
              <w:t>.</w:t>
            </w:r>
            <w:r w:rsidR="00B20668">
              <w:rPr>
                <w:sz w:val="20"/>
              </w:rPr>
              <w:t xml:space="preserve"> This </w:t>
            </w:r>
            <w:r w:rsidR="0051711D">
              <w:rPr>
                <w:sz w:val="20"/>
              </w:rPr>
              <w:t xml:space="preserve">would be </w:t>
            </w:r>
            <w:r w:rsidR="00B20668">
              <w:rPr>
                <w:sz w:val="20"/>
              </w:rPr>
              <w:t xml:space="preserve">a transfer from </w:t>
            </w:r>
            <w:r w:rsidR="00F57A44">
              <w:rPr>
                <w:sz w:val="20"/>
              </w:rPr>
              <w:t>cable</w:t>
            </w:r>
            <w:r w:rsidR="00B20668">
              <w:rPr>
                <w:sz w:val="20"/>
              </w:rPr>
              <w:t xml:space="preserve"> platforms to</w:t>
            </w:r>
            <w:r w:rsidR="00F57A44">
              <w:rPr>
                <w:sz w:val="20"/>
              </w:rPr>
              <w:t xml:space="preserve"> commercial</w:t>
            </w:r>
            <w:r w:rsidR="00B20668">
              <w:rPr>
                <w:sz w:val="20"/>
              </w:rPr>
              <w:t xml:space="preserve"> PSBs so is exactly matched by the benefit to PSBs below.</w:t>
            </w:r>
            <w:r w:rsidR="00967991">
              <w:rPr>
                <w:sz w:val="20"/>
              </w:rPr>
              <w:t xml:space="preserve"> </w:t>
            </w:r>
            <w:r w:rsidR="00524925">
              <w:rPr>
                <w:sz w:val="20"/>
              </w:rPr>
              <w:t xml:space="preserve">The effect could in some scenarios be affected </w:t>
            </w:r>
            <w:r w:rsidR="00524925" w:rsidRPr="00B66225">
              <w:rPr>
                <w:sz w:val="20"/>
              </w:rPr>
              <w:t xml:space="preserve">where </w:t>
            </w:r>
            <w:r w:rsidR="00770F9C" w:rsidRPr="00B66225">
              <w:rPr>
                <w:sz w:val="20"/>
              </w:rPr>
              <w:t xml:space="preserve">accompanied by other changes in policy, as per the other options discussed in this document. </w:t>
            </w:r>
            <w:r w:rsidR="00F57A44">
              <w:rPr>
                <w:sz w:val="20"/>
              </w:rPr>
              <w:t xml:space="preserve">The BBC </w:t>
            </w:r>
            <w:r w:rsidR="004707C7">
              <w:rPr>
                <w:sz w:val="20"/>
              </w:rPr>
              <w:t xml:space="preserve">and S4C are </w:t>
            </w:r>
            <w:r w:rsidR="00F57A44">
              <w:rPr>
                <w:sz w:val="20"/>
              </w:rPr>
              <w:t xml:space="preserve">not within </w:t>
            </w:r>
            <w:r w:rsidR="00926E54">
              <w:rPr>
                <w:sz w:val="20"/>
              </w:rPr>
              <w:t xml:space="preserve">the </w:t>
            </w:r>
            <w:r w:rsidR="00F57A44">
              <w:rPr>
                <w:sz w:val="20"/>
              </w:rPr>
              <w:t>scope of the proposal, which means that all potential transfers are between businesses with</w:t>
            </w:r>
            <w:r w:rsidR="00926E54">
              <w:rPr>
                <w:sz w:val="20"/>
              </w:rPr>
              <w:t>,</w:t>
            </w:r>
            <w:r w:rsidR="00F57A44">
              <w:rPr>
                <w:sz w:val="20"/>
              </w:rPr>
              <w:t xml:space="preserve"> no net impact either way on business</w:t>
            </w:r>
            <w:r w:rsidR="00926E54">
              <w:rPr>
                <w:sz w:val="20"/>
              </w:rPr>
              <w:t xml:space="preserve"> as a whole</w:t>
            </w:r>
            <w:r w:rsidR="00F57A44">
              <w:rPr>
                <w:sz w:val="20"/>
              </w:rPr>
              <w:t xml:space="preserve">. </w:t>
            </w:r>
            <w:r w:rsidR="00770F9C" w:rsidRPr="00B66225">
              <w:rPr>
                <w:sz w:val="20"/>
              </w:rPr>
              <w:t xml:space="preserve"> </w:t>
            </w:r>
          </w:p>
        </w:tc>
      </w:tr>
      <w:tr w:rsidR="001844B6" w:rsidRPr="00B8191D" w14:paraId="7E95826A" w14:textId="77777777" w:rsidTr="000147E1">
        <w:trPr>
          <w:trHeight w:hRule="exact" w:val="978"/>
        </w:trPr>
        <w:tc>
          <w:tcPr>
            <w:tcW w:w="10632" w:type="dxa"/>
            <w:gridSpan w:val="6"/>
            <w:tcBorders>
              <w:top w:val="single" w:sz="6" w:space="0" w:color="auto"/>
              <w:bottom w:val="single" w:sz="12" w:space="0" w:color="auto"/>
            </w:tcBorders>
            <w:shd w:val="clear" w:color="auto" w:fill="auto"/>
          </w:tcPr>
          <w:p w14:paraId="7B9FE029" w14:textId="77777777" w:rsidR="001844B6" w:rsidRPr="00B8191D" w:rsidRDefault="001844B6" w:rsidP="00F7181D">
            <w:pPr>
              <w:pStyle w:val="IAPOQ2"/>
              <w:jc w:val="both"/>
              <w:rPr>
                <w:szCs w:val="22"/>
              </w:rPr>
            </w:pPr>
            <w:r w:rsidRPr="00B8191D">
              <w:t xml:space="preserve">Other key non-monetised costs by ‘main affected groups’ </w:t>
            </w:r>
          </w:p>
          <w:p w14:paraId="0818BD06" w14:textId="77777777" w:rsidR="001844B6" w:rsidRDefault="001844B6" w:rsidP="00F32C2A">
            <w:pPr>
              <w:pStyle w:val="IAPOA2"/>
              <w:jc w:val="both"/>
              <w:rPr>
                <w:szCs w:val="22"/>
              </w:rPr>
            </w:pPr>
          </w:p>
          <w:p w14:paraId="3F677237" w14:textId="381846B4" w:rsidR="00967991" w:rsidRPr="00967991" w:rsidRDefault="00967991" w:rsidP="00F32C2A">
            <w:pPr>
              <w:pStyle w:val="IAPOA2"/>
              <w:jc w:val="both"/>
              <w:rPr>
                <w:sz w:val="20"/>
                <w:szCs w:val="22"/>
              </w:rPr>
            </w:pPr>
            <w:r>
              <w:rPr>
                <w:sz w:val="20"/>
                <w:szCs w:val="22"/>
              </w:rPr>
              <w:t>N/A</w:t>
            </w:r>
          </w:p>
        </w:tc>
      </w:tr>
      <w:tr w:rsidR="001844B6" w:rsidRPr="00B8191D" w14:paraId="355B7E06" w14:textId="77777777" w:rsidTr="001A074F">
        <w:trPr>
          <w:trHeight w:hRule="exact" w:val="567"/>
        </w:trPr>
        <w:tc>
          <w:tcPr>
            <w:tcW w:w="2263" w:type="dxa"/>
            <w:shd w:val="clear" w:color="auto" w:fill="FFFFFF"/>
          </w:tcPr>
          <w:p w14:paraId="48B925ED" w14:textId="77777777" w:rsidR="001844B6" w:rsidRPr="00B8191D" w:rsidRDefault="001844B6" w:rsidP="001A074F">
            <w:pPr>
              <w:pStyle w:val="IATableLabel"/>
              <w:rPr>
                <w:sz w:val="24"/>
                <w:szCs w:val="24"/>
              </w:rPr>
            </w:pPr>
            <w:r w:rsidRPr="00B8191D">
              <w:rPr>
                <w:sz w:val="24"/>
                <w:szCs w:val="24"/>
              </w:rPr>
              <w:t>BENEFITS (£m)</w:t>
            </w:r>
          </w:p>
        </w:tc>
        <w:tc>
          <w:tcPr>
            <w:tcW w:w="2739" w:type="dxa"/>
            <w:gridSpan w:val="2"/>
            <w:tcBorders>
              <w:top w:val="single" w:sz="12" w:space="0" w:color="auto"/>
              <w:bottom w:val="single" w:sz="6" w:space="0" w:color="auto"/>
            </w:tcBorders>
            <w:shd w:val="clear" w:color="auto" w:fill="auto"/>
          </w:tcPr>
          <w:p w14:paraId="01F0D409" w14:textId="77777777" w:rsidR="001844B6" w:rsidRPr="00B8191D" w:rsidRDefault="001844B6" w:rsidP="001A074F">
            <w:pPr>
              <w:pStyle w:val="IATableLabel"/>
              <w:tabs>
                <w:tab w:val="right" w:pos="1797"/>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0F031612" w14:textId="77777777" w:rsidR="001844B6" w:rsidRPr="00B8191D" w:rsidRDefault="001844B6" w:rsidP="001A074F">
            <w:pPr>
              <w:pStyle w:val="IATableLabel"/>
              <w:jc w:val="right"/>
            </w:pPr>
            <w:r w:rsidRPr="00B8191D">
              <w:br/>
            </w:r>
          </w:p>
        </w:tc>
        <w:tc>
          <w:tcPr>
            <w:tcW w:w="2865" w:type="dxa"/>
            <w:tcBorders>
              <w:bottom w:val="single" w:sz="6" w:space="0" w:color="auto"/>
              <w:right w:val="single" w:sz="12" w:space="0" w:color="auto"/>
            </w:tcBorders>
            <w:shd w:val="clear" w:color="auto" w:fill="auto"/>
          </w:tcPr>
          <w:p w14:paraId="047257E2" w14:textId="77777777" w:rsidR="001844B6" w:rsidRPr="00B8191D" w:rsidRDefault="001844B6" w:rsidP="001A074F">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31A22B14" w14:textId="77777777" w:rsidR="001844B6" w:rsidRPr="00B8191D" w:rsidRDefault="001844B6" w:rsidP="001A074F">
            <w:pPr>
              <w:pStyle w:val="IATableLabel"/>
              <w:jc w:val="right"/>
            </w:pPr>
            <w:r w:rsidRPr="00B8191D">
              <w:t>Total Benefit</w:t>
            </w:r>
            <w:r w:rsidRPr="00B8191D">
              <w:rPr>
                <w:b w:val="0"/>
                <w:sz w:val="18"/>
                <w:szCs w:val="18"/>
              </w:rPr>
              <w:t xml:space="preserve"> </w:t>
            </w:r>
            <w:r w:rsidRPr="00B8191D">
              <w:rPr>
                <w:b w:val="0"/>
                <w:sz w:val="18"/>
                <w:szCs w:val="18"/>
              </w:rPr>
              <w:br/>
              <w:t>(Present Value)</w:t>
            </w:r>
          </w:p>
        </w:tc>
      </w:tr>
      <w:tr w:rsidR="00C2173A" w:rsidRPr="00B8191D" w14:paraId="070C68FB" w14:textId="77777777" w:rsidTr="001A074F">
        <w:trPr>
          <w:trHeight w:hRule="exact" w:val="348"/>
        </w:trPr>
        <w:tc>
          <w:tcPr>
            <w:tcW w:w="2263" w:type="dxa"/>
            <w:tcBorders>
              <w:top w:val="single" w:sz="6" w:space="0" w:color="auto"/>
              <w:bottom w:val="single" w:sz="6" w:space="0" w:color="auto"/>
            </w:tcBorders>
            <w:shd w:val="clear" w:color="auto" w:fill="auto"/>
            <w:vAlign w:val="center"/>
          </w:tcPr>
          <w:p w14:paraId="11FE8B44" w14:textId="77777777" w:rsidR="00C2173A" w:rsidRPr="00B8191D" w:rsidRDefault="00C2173A" w:rsidP="001A074F">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6D31766F" w14:textId="3E7958F5" w:rsidR="00C2173A" w:rsidRPr="00B8191D" w:rsidRDefault="00A84D12" w:rsidP="00961442">
            <w:pPr>
              <w:pStyle w:val="POTTCostsLow"/>
              <w:rPr>
                <w:sz w:val="20"/>
              </w:rPr>
            </w:pPr>
            <w:r>
              <w:rPr>
                <w:sz w:val="20"/>
              </w:rPr>
              <w:t>0</w:t>
            </w:r>
          </w:p>
        </w:tc>
        <w:tc>
          <w:tcPr>
            <w:tcW w:w="790" w:type="dxa"/>
            <w:vMerge w:val="restart"/>
            <w:tcBorders>
              <w:top w:val="single" w:sz="6" w:space="0" w:color="auto"/>
            </w:tcBorders>
            <w:shd w:val="clear" w:color="auto" w:fill="auto"/>
            <w:vAlign w:val="center"/>
          </w:tcPr>
          <w:p w14:paraId="1D996C26" w14:textId="77777777" w:rsidR="00C2173A" w:rsidRPr="00B8191D" w:rsidRDefault="00C2173A" w:rsidP="001A074F">
            <w:pPr>
              <w:pStyle w:val="IATableText"/>
              <w:jc w:val="center"/>
              <w:rPr>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21D6AFF8" w14:textId="4EF71959" w:rsidR="00C2173A" w:rsidRPr="00B8191D" w:rsidRDefault="00A84D12" w:rsidP="001A074F">
            <w:pPr>
              <w:pStyle w:val="POAABenLow"/>
              <w:rPr>
                <w:sz w:val="20"/>
              </w:rPr>
            </w:pPr>
            <w:r>
              <w:rPr>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44297F7B" w14:textId="14B6A1D3" w:rsidR="00C2173A" w:rsidRPr="00B8191D" w:rsidRDefault="00A84D12" w:rsidP="001A074F">
            <w:pPr>
              <w:pStyle w:val="POTBBenLow"/>
              <w:rPr>
                <w:sz w:val="20"/>
              </w:rPr>
            </w:pPr>
            <w:r>
              <w:rPr>
                <w:sz w:val="20"/>
              </w:rPr>
              <w:t>0</w:t>
            </w:r>
          </w:p>
        </w:tc>
      </w:tr>
      <w:tr w:rsidR="00C2173A" w:rsidRPr="00B8191D" w14:paraId="7DB3DF83" w14:textId="77777777" w:rsidTr="001A074F">
        <w:trPr>
          <w:trHeight w:hRule="exact" w:val="348"/>
        </w:trPr>
        <w:tc>
          <w:tcPr>
            <w:tcW w:w="2263" w:type="dxa"/>
            <w:tcBorders>
              <w:top w:val="single" w:sz="6" w:space="0" w:color="auto"/>
              <w:bottom w:val="single" w:sz="12" w:space="0" w:color="auto"/>
            </w:tcBorders>
            <w:shd w:val="clear" w:color="auto" w:fill="auto"/>
            <w:vAlign w:val="center"/>
          </w:tcPr>
          <w:p w14:paraId="022409C1" w14:textId="77777777" w:rsidR="00C2173A" w:rsidRPr="00B8191D" w:rsidRDefault="00C2173A" w:rsidP="001A074F">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3B96D6CE" w14:textId="505691D5" w:rsidR="00C2173A" w:rsidRPr="00B8191D" w:rsidRDefault="00A84D12" w:rsidP="00961442">
            <w:pPr>
              <w:pStyle w:val="POTTCostsHigh"/>
              <w:rPr>
                <w:sz w:val="20"/>
              </w:rPr>
            </w:pPr>
            <w:r>
              <w:rPr>
                <w:sz w:val="20"/>
              </w:rPr>
              <w:t>0</w:t>
            </w:r>
          </w:p>
        </w:tc>
        <w:tc>
          <w:tcPr>
            <w:tcW w:w="790" w:type="dxa"/>
            <w:vMerge/>
            <w:shd w:val="clear" w:color="auto" w:fill="FFFFFF"/>
            <w:vAlign w:val="center"/>
          </w:tcPr>
          <w:p w14:paraId="24BB5E54" w14:textId="77777777" w:rsidR="00C2173A" w:rsidRPr="00B8191D" w:rsidRDefault="00C2173A" w:rsidP="001A074F">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431E7D8E" w14:textId="78944026" w:rsidR="00C2173A" w:rsidRPr="00B8191D" w:rsidRDefault="00A84D12" w:rsidP="001A074F">
            <w:pPr>
              <w:pStyle w:val="POAABenHigh"/>
              <w:rPr>
                <w:sz w:val="20"/>
              </w:rPr>
            </w:pPr>
            <w:r>
              <w:rPr>
                <w:sz w:val="20"/>
              </w:rPr>
              <w:t>2</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03C37D8B" w14:textId="4D1FC262" w:rsidR="00C2173A" w:rsidRPr="00B8191D" w:rsidRDefault="00967991" w:rsidP="001A074F">
            <w:pPr>
              <w:pStyle w:val="POTBBenHigh"/>
              <w:rPr>
                <w:sz w:val="20"/>
              </w:rPr>
            </w:pPr>
            <w:r>
              <w:rPr>
                <w:sz w:val="20"/>
              </w:rPr>
              <w:t>17.2</w:t>
            </w:r>
          </w:p>
        </w:tc>
      </w:tr>
      <w:tr w:rsidR="00C2173A" w:rsidRPr="00B8191D" w14:paraId="0C555FF9" w14:textId="77777777" w:rsidTr="001A074F">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78929042" w14:textId="77777777" w:rsidR="00C2173A" w:rsidRPr="00B8191D" w:rsidRDefault="00C2173A" w:rsidP="001A074F">
            <w:pPr>
              <w:pStyle w:val="IATableLabel"/>
            </w:pPr>
            <w:r w:rsidRPr="00B8191D">
              <w:t>Best Estimate</w:t>
            </w:r>
          </w:p>
          <w:p w14:paraId="29B534EE" w14:textId="77777777" w:rsidR="00C2173A" w:rsidRPr="00B8191D" w:rsidRDefault="00C2173A" w:rsidP="001A074F">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7BC592B" w14:textId="242588A0" w:rsidR="00C2173A" w:rsidRPr="00B8191D" w:rsidRDefault="00A84D12" w:rsidP="00961442">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7FB57DC4" w14:textId="77777777" w:rsidR="00C2173A" w:rsidRPr="00B8191D" w:rsidRDefault="00C2173A" w:rsidP="001A074F">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0A6BC6A" w14:textId="6A6DE352" w:rsidR="00C2173A" w:rsidRPr="00B8191D" w:rsidRDefault="00A84D12" w:rsidP="001A074F">
            <w:pPr>
              <w:pStyle w:val="POAABenBest"/>
              <w:rPr>
                <w:sz w:val="20"/>
              </w:rPr>
            </w:pPr>
            <w:r>
              <w:rPr>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47972438" w14:textId="0091FD0C" w:rsidR="00C2173A" w:rsidRPr="00B8191D" w:rsidRDefault="00967991" w:rsidP="001A074F">
            <w:pPr>
              <w:pStyle w:val="POTBBenBest"/>
              <w:rPr>
                <w:sz w:val="20"/>
              </w:rPr>
            </w:pPr>
            <w:r>
              <w:rPr>
                <w:sz w:val="20"/>
              </w:rPr>
              <w:t>0</w:t>
            </w:r>
          </w:p>
        </w:tc>
      </w:tr>
      <w:tr w:rsidR="00C2173A" w:rsidRPr="00B8191D" w14:paraId="0BA333D5" w14:textId="77777777" w:rsidTr="000147E1">
        <w:trPr>
          <w:trHeight w:hRule="exact" w:val="1518"/>
        </w:trPr>
        <w:tc>
          <w:tcPr>
            <w:tcW w:w="10632" w:type="dxa"/>
            <w:gridSpan w:val="6"/>
            <w:shd w:val="clear" w:color="auto" w:fill="auto"/>
          </w:tcPr>
          <w:p w14:paraId="424F8EF3" w14:textId="77777777" w:rsidR="00C2173A" w:rsidRPr="00B8191D" w:rsidRDefault="00C2173A" w:rsidP="001A074F">
            <w:pPr>
              <w:pStyle w:val="IPPOQ3"/>
              <w:rPr>
                <w:szCs w:val="22"/>
              </w:rPr>
            </w:pPr>
            <w:r w:rsidRPr="00B8191D">
              <w:t xml:space="preserve">Description and scale of key monetised benefits by ‘main affected groups’ </w:t>
            </w:r>
          </w:p>
          <w:p w14:paraId="1641CD8F" w14:textId="77777777" w:rsidR="00C2173A" w:rsidRDefault="00C2173A" w:rsidP="003C7943">
            <w:pPr>
              <w:pStyle w:val="IAPOA3"/>
            </w:pPr>
          </w:p>
          <w:p w14:paraId="012BE2AA" w14:textId="406E642E" w:rsidR="00967991" w:rsidRPr="00967991" w:rsidRDefault="00F57A44" w:rsidP="00F57A44">
            <w:pPr>
              <w:pStyle w:val="IAPOA3"/>
              <w:rPr>
                <w:sz w:val="20"/>
              </w:rPr>
            </w:pPr>
            <w:r>
              <w:rPr>
                <w:sz w:val="20"/>
              </w:rPr>
              <w:t xml:space="preserve">As above, the Department expects there to be a continuation of the status quo in the short and medium term. However, the upper estimate of a £2m p.a. cost to cable platforms would be exactly balanced by a £2m p.a. benefit to commercial PSBs. In all scenarios the net impact on business is zero. </w:t>
            </w:r>
          </w:p>
        </w:tc>
      </w:tr>
      <w:tr w:rsidR="00C2173A" w:rsidRPr="00B8191D" w14:paraId="51FC9767" w14:textId="77777777" w:rsidTr="00F81DB7">
        <w:trPr>
          <w:trHeight w:hRule="exact" w:val="1269"/>
        </w:trPr>
        <w:tc>
          <w:tcPr>
            <w:tcW w:w="10632" w:type="dxa"/>
            <w:gridSpan w:val="6"/>
            <w:shd w:val="clear" w:color="auto" w:fill="auto"/>
          </w:tcPr>
          <w:p w14:paraId="0F081BF8" w14:textId="77777777" w:rsidR="00C2173A" w:rsidRPr="00B8191D" w:rsidRDefault="00C2173A" w:rsidP="001A074F">
            <w:pPr>
              <w:pStyle w:val="IAPOQ4"/>
              <w:rPr>
                <w:szCs w:val="22"/>
              </w:rPr>
            </w:pPr>
            <w:r w:rsidRPr="00B8191D">
              <w:t xml:space="preserve">Other key non-monetised benefits by ‘main affected groups’ </w:t>
            </w:r>
          </w:p>
          <w:p w14:paraId="4525B0CE" w14:textId="6606080F" w:rsidR="00967991" w:rsidRPr="00967991" w:rsidRDefault="00224694" w:rsidP="000D0ADA">
            <w:pPr>
              <w:pStyle w:val="IAPOA4"/>
              <w:rPr>
                <w:sz w:val="20"/>
              </w:rPr>
            </w:pPr>
            <w:r>
              <w:rPr>
                <w:sz w:val="20"/>
              </w:rPr>
              <w:t>Should there be an increase in payments to commercial PSBs this may result in an increase in investment in original UK content (as PSBs spend proportionally more on UK original content than pay channels). However, the best estimate for this option is zero changes to payments.</w:t>
            </w:r>
          </w:p>
        </w:tc>
      </w:tr>
      <w:tr w:rsidR="00C2173A" w:rsidRPr="00B8191D" w14:paraId="256BDC7C" w14:textId="77777777" w:rsidTr="001A074F">
        <w:trPr>
          <w:trHeight w:hRule="exact" w:val="346"/>
        </w:trPr>
        <w:tc>
          <w:tcPr>
            <w:tcW w:w="9643" w:type="dxa"/>
            <w:gridSpan w:val="5"/>
            <w:tcBorders>
              <w:top w:val="single" w:sz="6" w:space="0" w:color="auto"/>
              <w:bottom w:val="nil"/>
            </w:tcBorders>
            <w:shd w:val="clear" w:color="auto" w:fill="auto"/>
          </w:tcPr>
          <w:p w14:paraId="6249345D" w14:textId="77777777" w:rsidR="00C2173A" w:rsidRPr="00B8191D" w:rsidRDefault="00C2173A" w:rsidP="001A074F">
            <w:pPr>
              <w:pStyle w:val="IATableLabel"/>
              <w:tabs>
                <w:tab w:val="left" w:pos="7655"/>
              </w:tabs>
            </w:pPr>
            <w:r w:rsidRPr="00B8191D">
              <w:rPr>
                <w:rStyle w:val="IAPOQ5Char"/>
                <w:b/>
              </w:rPr>
              <w:t>Key assumptions/sensitivities/risks</w:t>
            </w:r>
            <w:r w:rsidRPr="00B8191D">
              <w:tab/>
              <w:t>Discount rate (%)</w:t>
            </w:r>
          </w:p>
          <w:p w14:paraId="2D6ACDD8" w14:textId="77777777" w:rsidR="00C2173A" w:rsidRPr="00B8191D" w:rsidRDefault="00C2173A" w:rsidP="001A074F">
            <w:pPr>
              <w:pStyle w:val="IATableLabel"/>
            </w:pPr>
          </w:p>
        </w:tc>
        <w:tc>
          <w:tcPr>
            <w:tcW w:w="989" w:type="dxa"/>
            <w:tcBorders>
              <w:top w:val="single" w:sz="6" w:space="0" w:color="auto"/>
              <w:bottom w:val="single" w:sz="4" w:space="0" w:color="auto"/>
            </w:tcBorders>
            <w:shd w:val="clear" w:color="auto" w:fill="auto"/>
          </w:tcPr>
          <w:p w14:paraId="7567AD2F" w14:textId="77777777" w:rsidR="00C2173A" w:rsidRPr="00B8191D" w:rsidRDefault="00C2173A" w:rsidP="001A074F">
            <w:pPr>
              <w:pStyle w:val="IAPODisRate"/>
            </w:pPr>
            <w:r w:rsidRPr="00B8191D">
              <w:t>3.50%</w:t>
            </w:r>
          </w:p>
        </w:tc>
      </w:tr>
      <w:tr w:rsidR="00C2173A" w:rsidRPr="00B8191D" w14:paraId="46740EDD" w14:textId="77777777" w:rsidTr="00CE1815">
        <w:trPr>
          <w:trHeight w:hRule="exact" w:val="1398"/>
        </w:trPr>
        <w:tc>
          <w:tcPr>
            <w:tcW w:w="10632" w:type="dxa"/>
            <w:gridSpan w:val="6"/>
            <w:tcBorders>
              <w:top w:val="nil"/>
              <w:bottom w:val="single" w:sz="12" w:space="0" w:color="auto"/>
            </w:tcBorders>
            <w:shd w:val="clear" w:color="auto" w:fill="auto"/>
          </w:tcPr>
          <w:p w14:paraId="7BA56370" w14:textId="77777777" w:rsidR="00C2173A" w:rsidRDefault="00C2173A" w:rsidP="005F796A">
            <w:pPr>
              <w:pStyle w:val="IAPOA5"/>
            </w:pPr>
          </w:p>
          <w:p w14:paraId="42AB1158" w14:textId="12467D7C" w:rsidR="00613A62" w:rsidRDefault="00613A62" w:rsidP="00613A62">
            <w:pPr>
              <w:pStyle w:val="IAPOA5"/>
              <w:rPr>
                <w:sz w:val="20"/>
              </w:rPr>
            </w:pPr>
            <w:r>
              <w:rPr>
                <w:sz w:val="20"/>
              </w:rPr>
              <w:t>Information on copyright payments between commercial PSBs and cable operators are not available but our understanding is that zero payments are currently made and this is the most likely scenario going forward. The upper estimate is an illustrative estimate based on the relative significance of this measure compared to changes to must offer and must carry (options 2a and 2b below) which have more data on which to estimate impacts.</w:t>
            </w:r>
          </w:p>
          <w:p w14:paraId="35F656FE" w14:textId="0CEA6728" w:rsidR="00967991" w:rsidRPr="00967991" w:rsidRDefault="00967991" w:rsidP="00613A62">
            <w:pPr>
              <w:pStyle w:val="IAPOA5"/>
              <w:rPr>
                <w:sz w:val="20"/>
              </w:rPr>
            </w:pPr>
          </w:p>
        </w:tc>
      </w:tr>
    </w:tbl>
    <w:p w14:paraId="6D6AFDCA" w14:textId="77777777" w:rsidR="001844B6" w:rsidRPr="00B8191D" w:rsidRDefault="001844B6" w:rsidP="001A074F">
      <w:pPr>
        <w:pStyle w:val="IASpacer"/>
        <w:spacing w:line="240" w:lineRule="auto"/>
      </w:pPr>
    </w:p>
    <w:p w14:paraId="3C970F7E" w14:textId="77777777" w:rsidR="001844B6" w:rsidRPr="00B8191D" w:rsidRDefault="00F63895" w:rsidP="001A074F">
      <w:pPr>
        <w:pStyle w:val="IAHeadLabel"/>
        <w:spacing w:before="50"/>
      </w:pPr>
      <w:r w:rsidRPr="00B8191D">
        <w:t xml:space="preserve">BUSINESS </w:t>
      </w:r>
      <w:r w:rsidR="00055E80" w:rsidRPr="00B8191D">
        <w:t>ASSESSMENT (Option</w:t>
      </w:r>
      <w:r w:rsidR="0087254D" w:rsidRPr="00B8191D">
        <w:t xml:space="preserve"> </w:t>
      </w:r>
      <w:r w:rsidR="00A315B2" w:rsidRPr="00B8191D">
        <w:t>1</w:t>
      </w:r>
      <w:r w:rsidR="001844B6" w:rsidRPr="00B8191D">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B8191D" w14:paraId="5A828F19" w14:textId="77777777" w:rsidTr="005A3880">
        <w:trPr>
          <w:trHeight w:hRule="exact" w:val="312"/>
        </w:trPr>
        <w:tc>
          <w:tcPr>
            <w:tcW w:w="6125" w:type="dxa"/>
            <w:gridSpan w:val="3"/>
            <w:tcBorders>
              <w:top w:val="single" w:sz="4" w:space="0" w:color="auto"/>
              <w:bottom w:val="nil"/>
              <w:right w:val="single" w:sz="4" w:space="0" w:color="auto"/>
            </w:tcBorders>
          </w:tcPr>
          <w:p w14:paraId="0A3A17D6" w14:textId="77777777" w:rsidR="001844B6" w:rsidRPr="00B8191D" w:rsidRDefault="001844B6" w:rsidP="001A074F">
            <w:pPr>
              <w:pStyle w:val="IATableLabel"/>
            </w:pPr>
            <w:r w:rsidRPr="00B8191D">
              <w:t xml:space="preserve">Direct impact on business (Equivalent Annual) £m: </w:t>
            </w:r>
          </w:p>
        </w:tc>
        <w:tc>
          <w:tcPr>
            <w:tcW w:w="1980" w:type="dxa"/>
            <w:tcBorders>
              <w:top w:val="single" w:sz="4" w:space="0" w:color="auto"/>
              <w:left w:val="single" w:sz="4" w:space="0" w:color="auto"/>
              <w:bottom w:val="nil"/>
              <w:right w:val="nil"/>
            </w:tcBorders>
          </w:tcPr>
          <w:p w14:paraId="71B13605" w14:textId="77777777" w:rsidR="001844B6" w:rsidRPr="00B8191D" w:rsidRDefault="001844B6" w:rsidP="001A074F">
            <w:pPr>
              <w:pStyle w:val="IATableLabel"/>
            </w:pPr>
            <w:r w:rsidRPr="00B8191D">
              <w:t>In sc</w:t>
            </w:r>
            <w:r w:rsidR="00A27C7E" w:rsidRPr="00B8191D">
              <w:t>ope of OIT</w:t>
            </w:r>
            <w:r w:rsidRPr="00B8191D">
              <w:t>O?</w:t>
            </w:r>
          </w:p>
        </w:tc>
        <w:tc>
          <w:tcPr>
            <w:tcW w:w="2110" w:type="dxa"/>
            <w:tcBorders>
              <w:top w:val="single" w:sz="4" w:space="0" w:color="auto"/>
              <w:left w:val="nil"/>
              <w:bottom w:val="nil"/>
              <w:right w:val="single" w:sz="4" w:space="0" w:color="auto"/>
            </w:tcBorders>
            <w:shd w:val="clear" w:color="auto" w:fill="auto"/>
          </w:tcPr>
          <w:p w14:paraId="36725062" w14:textId="77777777" w:rsidR="001844B6" w:rsidRPr="00B8191D" w:rsidRDefault="001844B6" w:rsidP="001A074F">
            <w:pPr>
              <w:pStyle w:val="IATableLabel"/>
              <w:ind w:left="0"/>
            </w:pPr>
            <w:r w:rsidRPr="00B8191D">
              <w:t xml:space="preserve">  Measure qualifies as</w:t>
            </w:r>
          </w:p>
        </w:tc>
      </w:tr>
      <w:tr w:rsidR="001844B6" w:rsidRPr="00B8191D" w14:paraId="09C53EF8" w14:textId="77777777" w:rsidTr="005A3880">
        <w:trPr>
          <w:trHeight w:hRule="exact" w:val="340"/>
        </w:trPr>
        <w:tc>
          <w:tcPr>
            <w:tcW w:w="1990" w:type="dxa"/>
            <w:tcBorders>
              <w:top w:val="nil"/>
              <w:bottom w:val="single" w:sz="4" w:space="0" w:color="auto"/>
              <w:right w:val="single" w:sz="4" w:space="0" w:color="auto"/>
            </w:tcBorders>
            <w:shd w:val="clear" w:color="auto" w:fill="FFFFFF"/>
          </w:tcPr>
          <w:p w14:paraId="5DB8A791" w14:textId="654AB3D4" w:rsidR="001844B6" w:rsidRPr="00B8191D" w:rsidRDefault="001844B6" w:rsidP="000D0ADA">
            <w:pPr>
              <w:pStyle w:val="IATableLabel"/>
            </w:pPr>
            <w:r w:rsidRPr="00B8191D">
              <w:t xml:space="preserve">Costs: </w:t>
            </w:r>
            <w:r w:rsidR="00967991">
              <w:t>0</w:t>
            </w:r>
          </w:p>
        </w:tc>
        <w:tc>
          <w:tcPr>
            <w:tcW w:w="2155" w:type="dxa"/>
            <w:tcBorders>
              <w:top w:val="nil"/>
              <w:bottom w:val="single" w:sz="4" w:space="0" w:color="auto"/>
              <w:right w:val="single" w:sz="4" w:space="0" w:color="auto"/>
            </w:tcBorders>
            <w:shd w:val="clear" w:color="auto" w:fill="FFFFFF"/>
          </w:tcPr>
          <w:p w14:paraId="10015EB0" w14:textId="7DE1BFC7" w:rsidR="001844B6" w:rsidRPr="00B8191D" w:rsidRDefault="001844B6" w:rsidP="001A074F">
            <w:pPr>
              <w:pStyle w:val="IATableLabel"/>
            </w:pPr>
            <w:r w:rsidRPr="00B8191D">
              <w:t xml:space="preserve">Benefits: </w:t>
            </w:r>
            <w:r w:rsidR="00967991">
              <w:t>0</w:t>
            </w:r>
          </w:p>
        </w:tc>
        <w:tc>
          <w:tcPr>
            <w:tcW w:w="1980" w:type="dxa"/>
            <w:tcBorders>
              <w:top w:val="nil"/>
              <w:bottom w:val="single" w:sz="4" w:space="0" w:color="auto"/>
              <w:right w:val="single" w:sz="4" w:space="0" w:color="auto"/>
            </w:tcBorders>
            <w:shd w:val="clear" w:color="auto" w:fill="FFFFFF"/>
          </w:tcPr>
          <w:p w14:paraId="1F9A46D4" w14:textId="5887277C" w:rsidR="001844B6" w:rsidRPr="00B8191D" w:rsidRDefault="001844B6" w:rsidP="00F95911">
            <w:pPr>
              <w:pStyle w:val="IATableLabel"/>
            </w:pPr>
            <w:r w:rsidRPr="00B8191D">
              <w:t xml:space="preserve">Net: </w:t>
            </w:r>
            <w:r w:rsidR="00967991">
              <w:t>0</w:t>
            </w:r>
          </w:p>
        </w:tc>
        <w:tc>
          <w:tcPr>
            <w:tcW w:w="1980" w:type="dxa"/>
            <w:tcBorders>
              <w:top w:val="nil"/>
              <w:left w:val="single" w:sz="4" w:space="0" w:color="auto"/>
              <w:bottom w:val="single" w:sz="4" w:space="0" w:color="auto"/>
              <w:right w:val="single" w:sz="4" w:space="0" w:color="auto"/>
            </w:tcBorders>
            <w:shd w:val="clear" w:color="auto" w:fill="FFFFFF"/>
          </w:tcPr>
          <w:p w14:paraId="7C9BF207" w14:textId="540292FE" w:rsidR="001844B6" w:rsidRPr="00B8191D" w:rsidRDefault="00967991" w:rsidP="001A074F">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14:paraId="05A0ED88" w14:textId="01CDF70A" w:rsidR="001844B6" w:rsidRPr="00B8191D" w:rsidRDefault="00967991" w:rsidP="001A074F">
            <w:pPr>
              <w:pStyle w:val="IAPODIMQ"/>
            </w:pPr>
            <w:r>
              <w:t>OUT</w:t>
            </w:r>
          </w:p>
        </w:tc>
      </w:tr>
    </w:tbl>
    <w:p w14:paraId="6F0D6B49" w14:textId="77777777" w:rsidR="00854B58" w:rsidRPr="00B8191D" w:rsidRDefault="00854B58" w:rsidP="001A074F">
      <w:pPr>
        <w:sectPr w:rsidR="00854B58" w:rsidRPr="00B8191D" w:rsidSect="00F1328C">
          <w:footnotePr>
            <w:numRestart w:val="eachSect"/>
          </w:footnotePr>
          <w:pgSz w:w="11907" w:h="16840" w:code="9"/>
          <w:pgMar w:top="680" w:right="851" w:bottom="680" w:left="851" w:header="284" w:footer="284" w:gutter="0"/>
          <w:cols w:space="708"/>
          <w:docGrid w:linePitch="360"/>
        </w:sectPr>
      </w:pPr>
    </w:p>
    <w:p w14:paraId="70D9BC63" w14:textId="46C38D10" w:rsidR="00242F61" w:rsidRPr="00B8191D" w:rsidRDefault="00242F61" w:rsidP="001A074F">
      <w:pPr>
        <w:pStyle w:val="Heading1"/>
        <w:spacing w:before="0"/>
      </w:pPr>
      <w:r w:rsidRPr="00B8191D">
        <w:lastRenderedPageBreak/>
        <w:t>Summary: Analysis &amp; Evidence</w:t>
      </w:r>
      <w:r w:rsidRPr="00B8191D">
        <w:tab/>
      </w:r>
      <w:r w:rsidR="00DA5ADE" w:rsidRPr="00B8191D">
        <w:t xml:space="preserve">Option </w:t>
      </w:r>
      <w:r w:rsidR="00B814DD" w:rsidRPr="00B8191D">
        <w:t>2</w:t>
      </w:r>
      <w:r w:rsidR="00967991">
        <w:t>a)</w:t>
      </w:r>
    </w:p>
    <w:p w14:paraId="6C1D1F51" w14:textId="23EFC512" w:rsidR="00242F61" w:rsidRPr="00B8191D" w:rsidRDefault="00242F61" w:rsidP="001A074F">
      <w:pPr>
        <w:pStyle w:val="IAHeadLabel"/>
        <w:spacing w:before="50"/>
      </w:pPr>
      <w:r w:rsidRPr="00B8191D">
        <w:t>Description:</w:t>
      </w:r>
      <w:r w:rsidR="0017046B" w:rsidRPr="00B8191D">
        <w:t xml:space="preserve"> </w:t>
      </w:r>
      <w:r w:rsidR="00967991">
        <w:t>Remove Must Offer and Must Carry</w:t>
      </w:r>
    </w:p>
    <w:p w14:paraId="34476249" w14:textId="77777777" w:rsidR="00242F61" w:rsidRPr="00B8191D" w:rsidRDefault="00242F61" w:rsidP="001A074F">
      <w:pPr>
        <w:pStyle w:val="IAHeadLabel"/>
        <w:spacing w:before="50"/>
      </w:pPr>
      <w:r w:rsidRPr="00B8191D">
        <w:t>FULL ECONOMIC ASSESSMENT</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284"/>
        <w:gridCol w:w="1468"/>
        <w:gridCol w:w="1835"/>
        <w:gridCol w:w="1862"/>
        <w:gridCol w:w="2719"/>
      </w:tblGrid>
      <w:tr w:rsidR="00242F61" w:rsidRPr="00B8191D" w14:paraId="74B7E2FF" w14:textId="77777777" w:rsidTr="001A074F">
        <w:trPr>
          <w:trHeight w:hRule="exact" w:val="312"/>
        </w:trPr>
        <w:tc>
          <w:tcPr>
            <w:tcW w:w="1464" w:type="dxa"/>
            <w:vMerge w:val="restart"/>
            <w:shd w:val="clear" w:color="auto" w:fill="auto"/>
          </w:tcPr>
          <w:p w14:paraId="319247BD" w14:textId="67AA34F8" w:rsidR="00242F61" w:rsidRPr="00B8191D" w:rsidRDefault="00242F61" w:rsidP="00434A91">
            <w:pPr>
              <w:pStyle w:val="POPBY"/>
              <w:ind w:right="0"/>
            </w:pPr>
            <w:r w:rsidRPr="00B8191D">
              <w:t xml:space="preserve">Price Base Year  </w:t>
            </w:r>
            <w:r w:rsidRPr="00B8191D">
              <w:rPr>
                <w:b w:val="0"/>
              </w:rPr>
              <w:t>201</w:t>
            </w:r>
            <w:r w:rsidR="00790039">
              <w:rPr>
                <w:b w:val="0"/>
              </w:rPr>
              <w:t>5</w:t>
            </w:r>
          </w:p>
        </w:tc>
        <w:tc>
          <w:tcPr>
            <w:tcW w:w="1284" w:type="dxa"/>
            <w:vMerge w:val="restart"/>
            <w:shd w:val="clear" w:color="auto" w:fill="auto"/>
          </w:tcPr>
          <w:p w14:paraId="53D6E07F" w14:textId="77777777" w:rsidR="00242F61" w:rsidRPr="00B8191D" w:rsidRDefault="00242F61" w:rsidP="001A074F">
            <w:pPr>
              <w:pStyle w:val="POPVBY"/>
              <w:ind w:right="0"/>
            </w:pPr>
            <w:r w:rsidRPr="00B8191D">
              <w:t xml:space="preserve">PV Base Year  </w:t>
            </w:r>
            <w:r w:rsidR="000D0ADA">
              <w:rPr>
                <w:b w:val="0"/>
              </w:rPr>
              <w:t>2015</w:t>
            </w:r>
          </w:p>
        </w:tc>
        <w:tc>
          <w:tcPr>
            <w:tcW w:w="1468" w:type="dxa"/>
            <w:vMerge w:val="restart"/>
            <w:tcBorders>
              <w:right w:val="single" w:sz="12" w:space="0" w:color="auto"/>
            </w:tcBorders>
            <w:shd w:val="clear" w:color="auto" w:fill="auto"/>
          </w:tcPr>
          <w:p w14:paraId="756F42DF" w14:textId="77777777" w:rsidR="00242F61" w:rsidRPr="00B8191D" w:rsidRDefault="00242F61" w:rsidP="001A074F">
            <w:pPr>
              <w:pStyle w:val="POTPY"/>
              <w:ind w:right="0"/>
            </w:pPr>
            <w:r w:rsidRPr="00B8191D">
              <w:t xml:space="preserve">Time Period Years  </w:t>
            </w:r>
            <w:r w:rsidRPr="00B8191D">
              <w:rPr>
                <w:b w:val="0"/>
              </w:rPr>
              <w:t>10</w:t>
            </w:r>
          </w:p>
        </w:tc>
        <w:tc>
          <w:tcPr>
            <w:tcW w:w="6416" w:type="dxa"/>
            <w:gridSpan w:val="3"/>
            <w:tcBorders>
              <w:top w:val="single" w:sz="12" w:space="0" w:color="auto"/>
              <w:left w:val="single" w:sz="12" w:space="0" w:color="auto"/>
              <w:bottom w:val="single" w:sz="4" w:space="0" w:color="auto"/>
              <w:right w:val="single" w:sz="12" w:space="0" w:color="auto"/>
            </w:tcBorders>
            <w:shd w:val="clear" w:color="auto" w:fill="FFFFFF"/>
          </w:tcPr>
          <w:p w14:paraId="486563F1" w14:textId="77777777" w:rsidR="00242F61" w:rsidRPr="00B8191D" w:rsidRDefault="00242F61" w:rsidP="001A074F">
            <w:pPr>
              <w:pStyle w:val="IATableLabel"/>
              <w:ind w:right="0"/>
              <w:jc w:val="center"/>
            </w:pPr>
            <w:r w:rsidRPr="00B8191D">
              <w:t>Net Benefit (Present Value (PV)) (£m)</w:t>
            </w:r>
          </w:p>
        </w:tc>
      </w:tr>
      <w:tr w:rsidR="00242F61" w:rsidRPr="00B8191D" w14:paraId="6515712F" w14:textId="77777777" w:rsidTr="001A074F">
        <w:trPr>
          <w:trHeight w:hRule="exact" w:val="340"/>
        </w:trPr>
        <w:tc>
          <w:tcPr>
            <w:tcW w:w="1464" w:type="dxa"/>
            <w:vMerge/>
            <w:shd w:val="clear" w:color="auto" w:fill="auto"/>
          </w:tcPr>
          <w:p w14:paraId="4D8C57A8" w14:textId="77777777" w:rsidR="00242F61" w:rsidRPr="00B8191D" w:rsidRDefault="00242F61" w:rsidP="001A074F">
            <w:pPr>
              <w:pStyle w:val="IATableNotes"/>
              <w:ind w:left="0" w:right="0"/>
              <w:rPr>
                <w:b/>
                <w:sz w:val="20"/>
              </w:rPr>
            </w:pPr>
          </w:p>
        </w:tc>
        <w:tc>
          <w:tcPr>
            <w:tcW w:w="1284" w:type="dxa"/>
            <w:vMerge/>
            <w:shd w:val="clear" w:color="auto" w:fill="auto"/>
          </w:tcPr>
          <w:p w14:paraId="1C0BAE29" w14:textId="77777777" w:rsidR="00242F61" w:rsidRPr="00B8191D" w:rsidRDefault="00242F61" w:rsidP="001A074F">
            <w:pPr>
              <w:pStyle w:val="IATableNotes"/>
              <w:ind w:left="0" w:right="0"/>
              <w:rPr>
                <w:b/>
                <w:sz w:val="20"/>
              </w:rPr>
            </w:pPr>
          </w:p>
        </w:tc>
        <w:tc>
          <w:tcPr>
            <w:tcW w:w="1468" w:type="dxa"/>
            <w:vMerge/>
            <w:tcBorders>
              <w:right w:val="single" w:sz="12" w:space="0" w:color="auto"/>
            </w:tcBorders>
            <w:shd w:val="clear" w:color="auto" w:fill="auto"/>
          </w:tcPr>
          <w:p w14:paraId="0725247A" w14:textId="77777777" w:rsidR="00242F61" w:rsidRPr="00B8191D" w:rsidRDefault="00242F61" w:rsidP="001A074F">
            <w:pPr>
              <w:pStyle w:val="IATableNotes"/>
              <w:ind w:left="0" w:right="0"/>
              <w:rPr>
                <w:b/>
                <w:sz w:val="20"/>
              </w:rPr>
            </w:pPr>
          </w:p>
        </w:tc>
        <w:tc>
          <w:tcPr>
            <w:tcW w:w="1835" w:type="dxa"/>
            <w:tcBorders>
              <w:top w:val="single" w:sz="4" w:space="0" w:color="auto"/>
              <w:left w:val="single" w:sz="12" w:space="0" w:color="auto"/>
              <w:bottom w:val="single" w:sz="12" w:space="0" w:color="auto"/>
              <w:right w:val="single" w:sz="4" w:space="0" w:color="auto"/>
            </w:tcBorders>
            <w:shd w:val="clear" w:color="auto" w:fill="auto"/>
          </w:tcPr>
          <w:p w14:paraId="36F51E09" w14:textId="4068010E" w:rsidR="00242F61" w:rsidRPr="00B8191D" w:rsidRDefault="00242F61" w:rsidP="000D0ADA">
            <w:pPr>
              <w:pStyle w:val="IATableLabel"/>
              <w:ind w:right="0"/>
              <w:rPr>
                <w:bCs/>
              </w:rPr>
            </w:pPr>
            <w:r w:rsidRPr="00B8191D">
              <w:t xml:space="preserve">Low: </w:t>
            </w:r>
            <w:r w:rsidR="00967991">
              <w:t>0</w:t>
            </w:r>
          </w:p>
        </w:tc>
        <w:tc>
          <w:tcPr>
            <w:tcW w:w="1862" w:type="dxa"/>
            <w:tcBorders>
              <w:top w:val="single" w:sz="4" w:space="0" w:color="auto"/>
              <w:left w:val="single" w:sz="4" w:space="0" w:color="auto"/>
              <w:bottom w:val="single" w:sz="12" w:space="0" w:color="auto"/>
              <w:right w:val="single" w:sz="12" w:space="0" w:color="auto"/>
            </w:tcBorders>
            <w:shd w:val="clear" w:color="auto" w:fill="auto"/>
          </w:tcPr>
          <w:p w14:paraId="748DFE35" w14:textId="70FD54CB" w:rsidR="00242F61" w:rsidRPr="00B8191D" w:rsidRDefault="00242F61" w:rsidP="000D0ADA">
            <w:pPr>
              <w:pStyle w:val="IATableLabel"/>
              <w:ind w:right="0"/>
              <w:rPr>
                <w:rFonts w:cs="Arial"/>
                <w:bCs/>
                <w:szCs w:val="18"/>
              </w:rPr>
            </w:pPr>
            <w:r w:rsidRPr="00B8191D">
              <w:t xml:space="preserve">High: </w:t>
            </w:r>
            <w:r w:rsidR="00967991">
              <w:t>0</w:t>
            </w:r>
          </w:p>
        </w:tc>
        <w:tc>
          <w:tcPr>
            <w:tcW w:w="2719" w:type="dxa"/>
            <w:tcBorders>
              <w:top w:val="single" w:sz="12" w:space="0" w:color="auto"/>
              <w:left w:val="single" w:sz="12" w:space="0" w:color="auto"/>
              <w:bottom w:val="single" w:sz="12" w:space="0" w:color="auto"/>
              <w:right w:val="single" w:sz="12" w:space="0" w:color="auto"/>
            </w:tcBorders>
            <w:shd w:val="clear" w:color="auto" w:fill="FFFFFF"/>
          </w:tcPr>
          <w:p w14:paraId="065E2747" w14:textId="41AAE05D" w:rsidR="00242F61" w:rsidRPr="00B8191D" w:rsidRDefault="00242F61" w:rsidP="000D0ADA">
            <w:pPr>
              <w:pStyle w:val="IATableLabel"/>
              <w:ind w:right="0"/>
              <w:rPr>
                <w:szCs w:val="18"/>
              </w:rPr>
            </w:pPr>
            <w:r w:rsidRPr="00B8191D">
              <w:t xml:space="preserve">Best Estimate: </w:t>
            </w:r>
            <w:r w:rsidR="00967991">
              <w:t>0</w:t>
            </w:r>
          </w:p>
        </w:tc>
      </w:tr>
    </w:tbl>
    <w:p w14:paraId="02A4003B" w14:textId="77777777" w:rsidR="00242F61" w:rsidRPr="00B8191D" w:rsidRDefault="00242F61" w:rsidP="001A074F">
      <w:pPr>
        <w:pStyle w:val="IASpacer"/>
        <w:spacing w:line="240" w:lineRule="auto"/>
      </w:pPr>
    </w:p>
    <w:tbl>
      <w:tblPr>
        <w:tblW w:w="5194"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63"/>
        <w:gridCol w:w="1949"/>
        <w:gridCol w:w="790"/>
        <w:gridCol w:w="2865"/>
        <w:gridCol w:w="1776"/>
        <w:gridCol w:w="989"/>
      </w:tblGrid>
      <w:tr w:rsidR="00242F61" w:rsidRPr="00B8191D" w14:paraId="11F553DA" w14:textId="77777777" w:rsidTr="001A074F">
        <w:trPr>
          <w:trHeight w:hRule="exact" w:val="567"/>
        </w:trPr>
        <w:tc>
          <w:tcPr>
            <w:tcW w:w="2263" w:type="dxa"/>
            <w:shd w:val="clear" w:color="auto" w:fill="FFFFFF"/>
          </w:tcPr>
          <w:p w14:paraId="68A976FA" w14:textId="77777777" w:rsidR="00242F61" w:rsidRPr="00B8191D" w:rsidRDefault="00242F61" w:rsidP="001A074F">
            <w:pPr>
              <w:pStyle w:val="IATableLabel"/>
              <w:rPr>
                <w:sz w:val="24"/>
                <w:szCs w:val="24"/>
              </w:rPr>
            </w:pPr>
            <w:r w:rsidRPr="00B8191D">
              <w:rPr>
                <w:sz w:val="24"/>
                <w:szCs w:val="24"/>
              </w:rPr>
              <w:t>COSTS (£m)</w:t>
            </w:r>
          </w:p>
        </w:tc>
        <w:tc>
          <w:tcPr>
            <w:tcW w:w="2739" w:type="dxa"/>
            <w:gridSpan w:val="2"/>
            <w:tcBorders>
              <w:top w:val="single" w:sz="12" w:space="0" w:color="auto"/>
              <w:bottom w:val="single" w:sz="6" w:space="0" w:color="auto"/>
            </w:tcBorders>
            <w:shd w:val="clear" w:color="auto" w:fill="auto"/>
          </w:tcPr>
          <w:p w14:paraId="484640B8" w14:textId="77777777" w:rsidR="00242F61" w:rsidRPr="00B8191D" w:rsidRDefault="00242F61" w:rsidP="001A074F">
            <w:pPr>
              <w:pStyle w:val="IATableLabel"/>
              <w:tabs>
                <w:tab w:val="right" w:pos="1800"/>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4A2DB2E7" w14:textId="77777777" w:rsidR="00242F61" w:rsidRPr="00B8191D" w:rsidRDefault="00242F61" w:rsidP="001A074F">
            <w:pPr>
              <w:pStyle w:val="IATableLabel"/>
              <w:jc w:val="right"/>
            </w:pPr>
            <w:r w:rsidRPr="00B8191D">
              <w:br/>
            </w:r>
          </w:p>
        </w:tc>
        <w:tc>
          <w:tcPr>
            <w:tcW w:w="2865" w:type="dxa"/>
            <w:tcBorders>
              <w:bottom w:val="single" w:sz="6" w:space="0" w:color="auto"/>
              <w:right w:val="single" w:sz="12" w:space="0" w:color="auto"/>
            </w:tcBorders>
            <w:shd w:val="clear" w:color="auto" w:fill="auto"/>
          </w:tcPr>
          <w:p w14:paraId="56351C83" w14:textId="77777777" w:rsidR="00242F61" w:rsidRPr="00B8191D" w:rsidRDefault="00242F61" w:rsidP="001A074F">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4E93AA33" w14:textId="77777777" w:rsidR="00242F61" w:rsidRPr="00B8191D" w:rsidRDefault="00242F61" w:rsidP="001A074F">
            <w:pPr>
              <w:pStyle w:val="IATableLabel"/>
              <w:jc w:val="right"/>
            </w:pPr>
            <w:r w:rsidRPr="00B8191D">
              <w:t>Total Cost</w:t>
            </w:r>
            <w:r w:rsidRPr="00B8191D">
              <w:rPr>
                <w:b w:val="0"/>
                <w:sz w:val="18"/>
                <w:szCs w:val="18"/>
              </w:rPr>
              <w:t xml:space="preserve"> </w:t>
            </w:r>
            <w:r w:rsidRPr="00B8191D">
              <w:rPr>
                <w:b w:val="0"/>
                <w:sz w:val="18"/>
                <w:szCs w:val="18"/>
              </w:rPr>
              <w:br/>
              <w:t>(Present Value)</w:t>
            </w:r>
          </w:p>
        </w:tc>
      </w:tr>
      <w:tr w:rsidR="00242F61" w:rsidRPr="00B8191D" w14:paraId="0AFBD996" w14:textId="77777777" w:rsidTr="001A074F">
        <w:trPr>
          <w:trHeight w:hRule="exact" w:val="348"/>
        </w:trPr>
        <w:tc>
          <w:tcPr>
            <w:tcW w:w="2263" w:type="dxa"/>
            <w:tcBorders>
              <w:top w:val="single" w:sz="6" w:space="0" w:color="auto"/>
              <w:bottom w:val="single" w:sz="6" w:space="0" w:color="auto"/>
            </w:tcBorders>
            <w:shd w:val="clear" w:color="auto" w:fill="auto"/>
            <w:vAlign w:val="center"/>
          </w:tcPr>
          <w:p w14:paraId="0B9E8633" w14:textId="77777777" w:rsidR="00242F61" w:rsidRPr="00B8191D" w:rsidRDefault="00242F61" w:rsidP="001A074F">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5B8F0840" w14:textId="6CCE0548" w:rsidR="00242F61" w:rsidRPr="00B8191D" w:rsidRDefault="0094069E" w:rsidP="001A074F">
            <w:pPr>
              <w:pStyle w:val="POTTCostsLow"/>
              <w:rPr>
                <w:sz w:val="20"/>
              </w:rPr>
            </w:pPr>
            <w:r>
              <w:rPr>
                <w:sz w:val="20"/>
              </w:rPr>
              <w:t>N/A</w:t>
            </w:r>
          </w:p>
        </w:tc>
        <w:tc>
          <w:tcPr>
            <w:tcW w:w="790" w:type="dxa"/>
            <w:vMerge w:val="restart"/>
            <w:tcBorders>
              <w:top w:val="single" w:sz="6" w:space="0" w:color="auto"/>
            </w:tcBorders>
            <w:shd w:val="clear" w:color="auto" w:fill="auto"/>
            <w:vAlign w:val="center"/>
          </w:tcPr>
          <w:p w14:paraId="193C6228" w14:textId="77777777" w:rsidR="00242F61" w:rsidRPr="00B8191D" w:rsidRDefault="00242F61" w:rsidP="001A074F">
            <w:pPr>
              <w:pStyle w:val="POTTCostsYear"/>
              <w:rPr>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3C8E6961" w14:textId="36FFD1AB" w:rsidR="00242F61" w:rsidRPr="00B8191D" w:rsidRDefault="0094069E" w:rsidP="001A074F">
            <w:pPr>
              <w:pStyle w:val="POAACostsLow"/>
              <w:rPr>
                <w:sz w:val="20"/>
              </w:rPr>
            </w:pPr>
            <w:r>
              <w:rPr>
                <w:sz w:val="20"/>
              </w:rPr>
              <w:t>N/A</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3E6D87B4" w14:textId="267B1D5F" w:rsidR="00242F61" w:rsidRPr="00B8191D" w:rsidRDefault="0094069E" w:rsidP="001A074F">
            <w:pPr>
              <w:pStyle w:val="POTCCostsLow"/>
              <w:rPr>
                <w:sz w:val="20"/>
              </w:rPr>
            </w:pPr>
            <w:r>
              <w:rPr>
                <w:sz w:val="20"/>
              </w:rPr>
              <w:t>N/A</w:t>
            </w:r>
          </w:p>
        </w:tc>
      </w:tr>
      <w:tr w:rsidR="00242F61" w:rsidRPr="00B8191D" w14:paraId="0FEE3261" w14:textId="77777777" w:rsidTr="001A074F">
        <w:trPr>
          <w:trHeight w:hRule="exact" w:val="348"/>
        </w:trPr>
        <w:tc>
          <w:tcPr>
            <w:tcW w:w="2263" w:type="dxa"/>
            <w:tcBorders>
              <w:top w:val="single" w:sz="6" w:space="0" w:color="auto"/>
              <w:bottom w:val="single" w:sz="12" w:space="0" w:color="auto"/>
            </w:tcBorders>
            <w:shd w:val="clear" w:color="auto" w:fill="auto"/>
            <w:vAlign w:val="center"/>
          </w:tcPr>
          <w:p w14:paraId="7AD7171F" w14:textId="77777777" w:rsidR="00242F61" w:rsidRPr="00B8191D" w:rsidRDefault="00242F61" w:rsidP="001A074F">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289EF2FB" w14:textId="3CB24FA8" w:rsidR="00242F61" w:rsidRPr="00B8191D" w:rsidRDefault="0094069E" w:rsidP="001A074F">
            <w:pPr>
              <w:pStyle w:val="POTTCostsHigh"/>
              <w:rPr>
                <w:sz w:val="20"/>
              </w:rPr>
            </w:pPr>
            <w:r>
              <w:rPr>
                <w:sz w:val="20"/>
              </w:rPr>
              <w:t>N/A</w:t>
            </w:r>
          </w:p>
        </w:tc>
        <w:tc>
          <w:tcPr>
            <w:tcW w:w="790" w:type="dxa"/>
            <w:vMerge/>
            <w:shd w:val="clear" w:color="auto" w:fill="FFFFFF"/>
            <w:vAlign w:val="center"/>
          </w:tcPr>
          <w:p w14:paraId="74DC3E41" w14:textId="77777777" w:rsidR="00242F61" w:rsidRPr="00B8191D" w:rsidRDefault="00242F61" w:rsidP="001A074F">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404D30DC" w14:textId="0F1B543B" w:rsidR="00242F61" w:rsidRPr="00B8191D" w:rsidRDefault="0094069E" w:rsidP="001A074F">
            <w:pPr>
              <w:pStyle w:val="POAACostsHigh"/>
              <w:rPr>
                <w:sz w:val="20"/>
              </w:rPr>
            </w:pPr>
            <w:r>
              <w:rPr>
                <w:sz w:val="20"/>
              </w:rPr>
              <w:t>N/A</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6C583B77" w14:textId="5C22995B" w:rsidR="00242F61" w:rsidRPr="00B8191D" w:rsidRDefault="0094069E" w:rsidP="001A074F">
            <w:pPr>
              <w:pStyle w:val="POTCCostsHigh"/>
              <w:rPr>
                <w:sz w:val="20"/>
              </w:rPr>
            </w:pPr>
            <w:r>
              <w:rPr>
                <w:sz w:val="20"/>
              </w:rPr>
              <w:t>N/A</w:t>
            </w:r>
          </w:p>
        </w:tc>
      </w:tr>
      <w:tr w:rsidR="00242F61" w:rsidRPr="00B8191D" w14:paraId="7A84A138" w14:textId="77777777" w:rsidTr="001A074F">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400F6750" w14:textId="77777777" w:rsidR="00242F61" w:rsidRPr="00B8191D" w:rsidRDefault="00242F61" w:rsidP="001A074F">
            <w:pPr>
              <w:pStyle w:val="IATableLabel"/>
            </w:pPr>
            <w:r w:rsidRPr="00B8191D">
              <w:t>Best Estimate</w:t>
            </w:r>
          </w:p>
          <w:p w14:paraId="29FB4B1F" w14:textId="77777777" w:rsidR="00242F61" w:rsidRPr="00B8191D" w:rsidRDefault="00242F61" w:rsidP="001A074F">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87D9CAF" w14:textId="13880311" w:rsidR="00242F61" w:rsidRPr="00B8191D" w:rsidRDefault="00967991" w:rsidP="001A074F">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75F0B6CB" w14:textId="77777777" w:rsidR="00242F61" w:rsidRPr="00B8191D" w:rsidRDefault="00242F61" w:rsidP="001A074F">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EA1860E" w14:textId="011B60F4" w:rsidR="00242F61" w:rsidRPr="00B8191D" w:rsidRDefault="00967991" w:rsidP="001A074F">
            <w:pPr>
              <w:pStyle w:val="POAACostsBest"/>
              <w:rPr>
                <w:sz w:val="20"/>
              </w:rPr>
            </w:pPr>
            <w:r>
              <w:rPr>
                <w:sz w:val="20"/>
              </w:rPr>
              <w:t>42</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05A087C1" w14:textId="2ACFB2A1" w:rsidR="00242F61" w:rsidRPr="00B8191D" w:rsidRDefault="00BF637E" w:rsidP="001A074F">
            <w:pPr>
              <w:pStyle w:val="POTCCostsBest"/>
              <w:rPr>
                <w:sz w:val="20"/>
              </w:rPr>
            </w:pPr>
            <w:r>
              <w:rPr>
                <w:sz w:val="20"/>
              </w:rPr>
              <w:t>364</w:t>
            </w:r>
          </w:p>
        </w:tc>
      </w:tr>
      <w:tr w:rsidR="00242F61" w:rsidRPr="00B8191D" w14:paraId="723F3F12" w14:textId="77777777" w:rsidTr="00F81DB7">
        <w:trPr>
          <w:trHeight w:hRule="exact" w:val="2170"/>
        </w:trPr>
        <w:tc>
          <w:tcPr>
            <w:tcW w:w="10632" w:type="dxa"/>
            <w:gridSpan w:val="6"/>
            <w:tcBorders>
              <w:bottom w:val="single" w:sz="6" w:space="0" w:color="auto"/>
            </w:tcBorders>
            <w:shd w:val="clear" w:color="auto" w:fill="auto"/>
          </w:tcPr>
          <w:p w14:paraId="4D29E4B1" w14:textId="77777777" w:rsidR="00242F61" w:rsidRPr="00B8191D" w:rsidRDefault="00242F61" w:rsidP="001A074F">
            <w:pPr>
              <w:pStyle w:val="IAPOQ1"/>
              <w:rPr>
                <w:szCs w:val="22"/>
              </w:rPr>
            </w:pPr>
            <w:r w:rsidRPr="00B8191D">
              <w:t xml:space="preserve">Description and scale of key monetised costs by ‘main affected groups’ </w:t>
            </w:r>
          </w:p>
          <w:p w14:paraId="5B37442C" w14:textId="10807FC2" w:rsidR="0091073D" w:rsidRPr="0091073D" w:rsidRDefault="00281D91" w:rsidP="00926E54">
            <w:pPr>
              <w:pStyle w:val="IAPOA1"/>
              <w:rPr>
                <w:sz w:val="20"/>
              </w:rPr>
            </w:pPr>
            <w:r>
              <w:rPr>
                <w:sz w:val="20"/>
              </w:rPr>
              <w:t xml:space="preserve">Removing </w:t>
            </w:r>
            <w:r w:rsidR="00926E54">
              <w:rPr>
                <w:sz w:val="20"/>
              </w:rPr>
              <w:t>‘</w:t>
            </w:r>
            <w:r>
              <w:rPr>
                <w:sz w:val="20"/>
              </w:rPr>
              <w:t>must offer</w:t>
            </w:r>
            <w:r w:rsidR="00926E54">
              <w:rPr>
                <w:sz w:val="20"/>
              </w:rPr>
              <w:t>’</w:t>
            </w:r>
            <w:r>
              <w:rPr>
                <w:sz w:val="20"/>
              </w:rPr>
              <w:t xml:space="preserve"> and </w:t>
            </w:r>
            <w:r w:rsidR="00926E54">
              <w:rPr>
                <w:sz w:val="20"/>
              </w:rPr>
              <w:t>‘</w:t>
            </w:r>
            <w:r>
              <w:rPr>
                <w:sz w:val="20"/>
              </w:rPr>
              <w:t>must carry</w:t>
            </w:r>
            <w:r w:rsidR="00926E54">
              <w:rPr>
                <w:sz w:val="20"/>
              </w:rPr>
              <w:t>’</w:t>
            </w:r>
            <w:r>
              <w:rPr>
                <w:sz w:val="20"/>
              </w:rPr>
              <w:t xml:space="preserve"> is likely to result in an adjustment to the payments between TV platforms and commercial PSBs</w:t>
            </w:r>
            <w:r w:rsidR="007F7A23">
              <w:rPr>
                <w:sz w:val="20"/>
              </w:rPr>
              <w:t xml:space="preserve"> for carriage of content</w:t>
            </w:r>
            <w:r>
              <w:rPr>
                <w:sz w:val="20"/>
              </w:rPr>
              <w:t>. Our central estimate is that this would be a £42m p.a. flow from TV platforms to commercial PSBs</w:t>
            </w:r>
            <w:r w:rsidR="00926E54">
              <w:rPr>
                <w:sz w:val="20"/>
              </w:rPr>
              <w:t>,</w:t>
            </w:r>
            <w:r>
              <w:rPr>
                <w:sz w:val="20"/>
              </w:rPr>
              <w:t xml:space="preserve"> based on an independent analysis of possible negotiating outcomes. However, it should be note</w:t>
            </w:r>
            <w:r w:rsidR="00926E54">
              <w:rPr>
                <w:sz w:val="20"/>
              </w:rPr>
              <w:t>d that there is a broad range to</w:t>
            </w:r>
            <w:r>
              <w:rPr>
                <w:sz w:val="20"/>
              </w:rPr>
              <w:t xml:space="preserve"> these estimates</w:t>
            </w:r>
            <w:r w:rsidR="0094069E">
              <w:rPr>
                <w:sz w:val="20"/>
              </w:rPr>
              <w:t xml:space="preserve"> from a £190m flow in favour of PSBs</w:t>
            </w:r>
            <w:r w:rsidR="0086713F">
              <w:rPr>
                <w:sz w:val="20"/>
              </w:rPr>
              <w:t xml:space="preserve"> to a £110m flow in favour of platforms</w:t>
            </w:r>
            <w:r w:rsidR="007F7A23">
              <w:rPr>
                <w:sz w:val="20"/>
              </w:rPr>
              <w:t>.</w:t>
            </w:r>
          </w:p>
        </w:tc>
      </w:tr>
      <w:tr w:rsidR="00242F61" w:rsidRPr="00B8191D" w14:paraId="4F574500" w14:textId="77777777" w:rsidTr="0091073D">
        <w:trPr>
          <w:trHeight w:hRule="exact" w:val="1687"/>
        </w:trPr>
        <w:tc>
          <w:tcPr>
            <w:tcW w:w="10632" w:type="dxa"/>
            <w:gridSpan w:val="6"/>
            <w:tcBorders>
              <w:top w:val="single" w:sz="6" w:space="0" w:color="auto"/>
              <w:bottom w:val="single" w:sz="12" w:space="0" w:color="auto"/>
            </w:tcBorders>
            <w:shd w:val="clear" w:color="auto" w:fill="auto"/>
          </w:tcPr>
          <w:p w14:paraId="7F6395BD" w14:textId="77777777" w:rsidR="00242F61" w:rsidRPr="00B8191D" w:rsidRDefault="00242F61" w:rsidP="001A074F">
            <w:pPr>
              <w:pStyle w:val="IAPOQ2"/>
              <w:rPr>
                <w:szCs w:val="22"/>
              </w:rPr>
            </w:pPr>
            <w:r w:rsidRPr="00B8191D">
              <w:t xml:space="preserve">Other key non-monetised costs by ‘main affected groups’ </w:t>
            </w:r>
          </w:p>
          <w:p w14:paraId="2A746BC6" w14:textId="13A40EB9" w:rsidR="00DE5AC5" w:rsidRPr="00B66225" w:rsidRDefault="0091763B" w:rsidP="000D0ADA">
            <w:pPr>
              <w:pStyle w:val="IAPOA2"/>
              <w:rPr>
                <w:sz w:val="20"/>
              </w:rPr>
            </w:pPr>
            <w:r>
              <w:rPr>
                <w:sz w:val="20"/>
              </w:rPr>
              <w:t xml:space="preserve">Allowing free negotiations </w:t>
            </w:r>
            <w:r w:rsidR="0086713F">
              <w:rPr>
                <w:sz w:val="20"/>
              </w:rPr>
              <w:t>could create in theory</w:t>
            </w:r>
            <w:r>
              <w:rPr>
                <w:sz w:val="20"/>
              </w:rPr>
              <w:t xml:space="preserve"> a risk that a deal for carrying PSB channels by platform operators will not be reached and the channel will be taken off that platform for a period of time</w:t>
            </w:r>
            <w:r w:rsidR="0086713F">
              <w:rPr>
                <w:sz w:val="20"/>
              </w:rPr>
              <w:t>, though a regulatory back stop could prevent this</w:t>
            </w:r>
            <w:r>
              <w:rPr>
                <w:sz w:val="20"/>
              </w:rPr>
              <w:t>. This would mean consumers would either not be able to access the content or would need to “toggle” their set to a different source (such as Freeview) to access the PSB content. This impact has not been quantified yet and we are seeking further information through the consultation to estimate the impact.</w:t>
            </w:r>
          </w:p>
        </w:tc>
      </w:tr>
      <w:tr w:rsidR="00242F61" w:rsidRPr="00B8191D" w14:paraId="69398DDD" w14:textId="77777777" w:rsidTr="001A074F">
        <w:trPr>
          <w:trHeight w:hRule="exact" w:val="567"/>
        </w:trPr>
        <w:tc>
          <w:tcPr>
            <w:tcW w:w="2263" w:type="dxa"/>
            <w:shd w:val="clear" w:color="auto" w:fill="FFFFFF"/>
          </w:tcPr>
          <w:p w14:paraId="61FEE212" w14:textId="77777777" w:rsidR="00242F61" w:rsidRPr="00B8191D" w:rsidRDefault="00242F61" w:rsidP="001A074F">
            <w:pPr>
              <w:pStyle w:val="IATableLabel"/>
              <w:rPr>
                <w:sz w:val="24"/>
                <w:szCs w:val="24"/>
              </w:rPr>
            </w:pPr>
            <w:r w:rsidRPr="00B8191D">
              <w:rPr>
                <w:sz w:val="24"/>
                <w:szCs w:val="24"/>
              </w:rPr>
              <w:t>BENEFITS (£m)</w:t>
            </w:r>
          </w:p>
        </w:tc>
        <w:tc>
          <w:tcPr>
            <w:tcW w:w="2739" w:type="dxa"/>
            <w:gridSpan w:val="2"/>
            <w:tcBorders>
              <w:top w:val="single" w:sz="12" w:space="0" w:color="auto"/>
              <w:bottom w:val="single" w:sz="6" w:space="0" w:color="auto"/>
            </w:tcBorders>
            <w:shd w:val="clear" w:color="auto" w:fill="auto"/>
          </w:tcPr>
          <w:p w14:paraId="0A33BAE9" w14:textId="77777777" w:rsidR="00242F61" w:rsidRPr="00B8191D" w:rsidRDefault="00242F61" w:rsidP="001A074F">
            <w:pPr>
              <w:pStyle w:val="IATableLabel"/>
              <w:tabs>
                <w:tab w:val="right" w:pos="1797"/>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7D964579" w14:textId="77777777" w:rsidR="00242F61" w:rsidRPr="00B8191D" w:rsidRDefault="00242F61" w:rsidP="001A074F">
            <w:pPr>
              <w:pStyle w:val="IATableLabel"/>
              <w:jc w:val="right"/>
            </w:pPr>
            <w:r w:rsidRPr="00B8191D">
              <w:br/>
            </w:r>
          </w:p>
        </w:tc>
        <w:tc>
          <w:tcPr>
            <w:tcW w:w="2865" w:type="dxa"/>
            <w:tcBorders>
              <w:bottom w:val="single" w:sz="6" w:space="0" w:color="auto"/>
              <w:right w:val="single" w:sz="12" w:space="0" w:color="auto"/>
            </w:tcBorders>
            <w:shd w:val="clear" w:color="auto" w:fill="auto"/>
          </w:tcPr>
          <w:p w14:paraId="08F42214" w14:textId="77777777" w:rsidR="00242F61" w:rsidRPr="00B8191D" w:rsidRDefault="00242F61" w:rsidP="001A074F">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18CC1B21" w14:textId="77777777" w:rsidR="00242F61" w:rsidRPr="00B8191D" w:rsidRDefault="00242F61" w:rsidP="001A074F">
            <w:pPr>
              <w:pStyle w:val="IATableLabel"/>
              <w:jc w:val="right"/>
            </w:pPr>
            <w:r w:rsidRPr="00B8191D">
              <w:t>Total Benefit</w:t>
            </w:r>
            <w:r w:rsidRPr="00B8191D">
              <w:rPr>
                <w:b w:val="0"/>
                <w:sz w:val="18"/>
                <w:szCs w:val="18"/>
              </w:rPr>
              <w:t xml:space="preserve"> </w:t>
            </w:r>
            <w:r w:rsidRPr="00B8191D">
              <w:rPr>
                <w:b w:val="0"/>
                <w:sz w:val="18"/>
                <w:szCs w:val="18"/>
              </w:rPr>
              <w:br/>
              <w:t>(Present Value)</w:t>
            </w:r>
          </w:p>
        </w:tc>
      </w:tr>
      <w:tr w:rsidR="007B770D" w:rsidRPr="00B8191D" w14:paraId="735D8C3A" w14:textId="77777777" w:rsidTr="001A074F">
        <w:trPr>
          <w:trHeight w:hRule="exact" w:val="348"/>
        </w:trPr>
        <w:tc>
          <w:tcPr>
            <w:tcW w:w="2263" w:type="dxa"/>
            <w:tcBorders>
              <w:top w:val="single" w:sz="6" w:space="0" w:color="auto"/>
              <w:bottom w:val="single" w:sz="6" w:space="0" w:color="auto"/>
            </w:tcBorders>
            <w:shd w:val="clear" w:color="auto" w:fill="auto"/>
            <w:vAlign w:val="center"/>
          </w:tcPr>
          <w:p w14:paraId="60043F0F" w14:textId="77777777" w:rsidR="007B770D" w:rsidRPr="00B8191D" w:rsidRDefault="007B770D" w:rsidP="001A074F">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1DF4123F" w14:textId="57F3ABAD" w:rsidR="007B770D" w:rsidRPr="00B8191D" w:rsidRDefault="0094069E" w:rsidP="001A074F">
            <w:pPr>
              <w:pStyle w:val="POTTCostsLow"/>
              <w:rPr>
                <w:sz w:val="20"/>
              </w:rPr>
            </w:pPr>
            <w:r>
              <w:rPr>
                <w:sz w:val="20"/>
              </w:rPr>
              <w:t>N/A</w:t>
            </w:r>
          </w:p>
        </w:tc>
        <w:tc>
          <w:tcPr>
            <w:tcW w:w="790" w:type="dxa"/>
            <w:vMerge w:val="restart"/>
            <w:tcBorders>
              <w:top w:val="single" w:sz="6" w:space="0" w:color="auto"/>
            </w:tcBorders>
            <w:shd w:val="clear" w:color="auto" w:fill="auto"/>
            <w:vAlign w:val="center"/>
          </w:tcPr>
          <w:p w14:paraId="376CAEAA" w14:textId="77777777" w:rsidR="007B770D" w:rsidRPr="00B8191D" w:rsidRDefault="007B770D" w:rsidP="001A074F">
            <w:pPr>
              <w:pStyle w:val="IATableText"/>
              <w:jc w:val="center"/>
              <w:rPr>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5F7576F0" w14:textId="377D4443" w:rsidR="007B770D" w:rsidRPr="00B8191D" w:rsidRDefault="0094069E" w:rsidP="001A074F">
            <w:pPr>
              <w:pStyle w:val="POTBBenLow"/>
              <w:rPr>
                <w:b w:val="0"/>
                <w:sz w:val="20"/>
              </w:rPr>
            </w:pPr>
            <w:r>
              <w:rPr>
                <w:b w:val="0"/>
                <w:sz w:val="20"/>
              </w:rPr>
              <w:t>N/A</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3860C475" w14:textId="07714336" w:rsidR="007B770D" w:rsidRPr="00B8191D" w:rsidRDefault="0094069E" w:rsidP="001A074F">
            <w:pPr>
              <w:pStyle w:val="POTBBenLow"/>
              <w:rPr>
                <w:sz w:val="20"/>
              </w:rPr>
            </w:pPr>
            <w:r>
              <w:rPr>
                <w:sz w:val="20"/>
              </w:rPr>
              <w:t>N/A</w:t>
            </w:r>
          </w:p>
        </w:tc>
      </w:tr>
      <w:tr w:rsidR="007B770D" w:rsidRPr="00B8191D" w14:paraId="5485D05C" w14:textId="77777777" w:rsidTr="001A074F">
        <w:trPr>
          <w:trHeight w:hRule="exact" w:val="348"/>
        </w:trPr>
        <w:tc>
          <w:tcPr>
            <w:tcW w:w="2263" w:type="dxa"/>
            <w:tcBorders>
              <w:top w:val="single" w:sz="6" w:space="0" w:color="auto"/>
              <w:bottom w:val="single" w:sz="12" w:space="0" w:color="auto"/>
            </w:tcBorders>
            <w:shd w:val="clear" w:color="auto" w:fill="auto"/>
            <w:vAlign w:val="center"/>
          </w:tcPr>
          <w:p w14:paraId="66D97119" w14:textId="77777777" w:rsidR="007B770D" w:rsidRPr="00B8191D" w:rsidRDefault="007B770D" w:rsidP="001A074F">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3ED4B8CE" w14:textId="45871C33" w:rsidR="007B770D" w:rsidRPr="00B8191D" w:rsidRDefault="0094069E" w:rsidP="001A074F">
            <w:pPr>
              <w:pStyle w:val="POTTCostsHigh"/>
              <w:rPr>
                <w:sz w:val="20"/>
              </w:rPr>
            </w:pPr>
            <w:r>
              <w:rPr>
                <w:sz w:val="20"/>
              </w:rPr>
              <w:t>N/A</w:t>
            </w:r>
          </w:p>
        </w:tc>
        <w:tc>
          <w:tcPr>
            <w:tcW w:w="790" w:type="dxa"/>
            <w:vMerge/>
            <w:shd w:val="clear" w:color="auto" w:fill="FFFFFF"/>
            <w:vAlign w:val="center"/>
          </w:tcPr>
          <w:p w14:paraId="01C27FD2" w14:textId="77777777" w:rsidR="007B770D" w:rsidRPr="00B8191D" w:rsidRDefault="007B770D" w:rsidP="001A074F">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DAE4B9F" w14:textId="1D2D5807" w:rsidR="007B770D" w:rsidRPr="00B8191D" w:rsidRDefault="0094069E" w:rsidP="001A074F">
            <w:pPr>
              <w:pStyle w:val="POTBBenHigh"/>
              <w:rPr>
                <w:b w:val="0"/>
                <w:sz w:val="20"/>
              </w:rPr>
            </w:pPr>
            <w:r>
              <w:rPr>
                <w:b w:val="0"/>
                <w:sz w:val="20"/>
              </w:rPr>
              <w:t>N/A</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4297CC4F" w14:textId="7C443774" w:rsidR="007B770D" w:rsidRPr="00B8191D" w:rsidRDefault="0094069E" w:rsidP="001A074F">
            <w:pPr>
              <w:pStyle w:val="POTBBenHigh"/>
              <w:rPr>
                <w:sz w:val="20"/>
              </w:rPr>
            </w:pPr>
            <w:r>
              <w:rPr>
                <w:sz w:val="20"/>
              </w:rPr>
              <w:t>N/A</w:t>
            </w:r>
          </w:p>
        </w:tc>
      </w:tr>
      <w:tr w:rsidR="007B770D" w:rsidRPr="00B8191D" w14:paraId="6627FDCD" w14:textId="77777777" w:rsidTr="001A074F">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2C973536" w14:textId="77777777" w:rsidR="007B770D" w:rsidRPr="00B8191D" w:rsidRDefault="007B770D" w:rsidP="001A074F">
            <w:pPr>
              <w:pStyle w:val="IATableLabel"/>
            </w:pPr>
            <w:r w:rsidRPr="00B8191D">
              <w:t>Best Estimate</w:t>
            </w:r>
          </w:p>
          <w:p w14:paraId="3FE11FA6" w14:textId="77777777" w:rsidR="007B770D" w:rsidRPr="00B8191D" w:rsidRDefault="007B770D" w:rsidP="001A074F">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8804A3" w14:textId="0D4309C2" w:rsidR="007B770D" w:rsidRPr="00B8191D" w:rsidRDefault="00967991" w:rsidP="001A074F">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0F26B92F" w14:textId="77777777" w:rsidR="007B770D" w:rsidRPr="00B8191D" w:rsidRDefault="007B770D" w:rsidP="001A074F">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5B9AFCFD" w14:textId="6AFCB40D" w:rsidR="007B770D" w:rsidRPr="00B8191D" w:rsidRDefault="00967991" w:rsidP="001A074F">
            <w:pPr>
              <w:pStyle w:val="POTBBenBest"/>
              <w:rPr>
                <w:b w:val="0"/>
                <w:sz w:val="20"/>
              </w:rPr>
            </w:pPr>
            <w:r>
              <w:rPr>
                <w:b w:val="0"/>
                <w:sz w:val="20"/>
              </w:rPr>
              <w:t>42</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63E86999" w14:textId="6645367F" w:rsidR="007B770D" w:rsidRPr="00B8191D" w:rsidRDefault="00BF637E" w:rsidP="001A074F">
            <w:pPr>
              <w:pStyle w:val="POTBBenBest"/>
              <w:rPr>
                <w:sz w:val="20"/>
              </w:rPr>
            </w:pPr>
            <w:r>
              <w:rPr>
                <w:sz w:val="20"/>
              </w:rPr>
              <w:t>364</w:t>
            </w:r>
          </w:p>
        </w:tc>
      </w:tr>
      <w:tr w:rsidR="007B770D" w:rsidRPr="00B8191D" w14:paraId="6FD5E8C0" w14:textId="77777777" w:rsidTr="0091073D">
        <w:trPr>
          <w:trHeight w:hRule="exact" w:val="1792"/>
        </w:trPr>
        <w:tc>
          <w:tcPr>
            <w:tcW w:w="10632" w:type="dxa"/>
            <w:gridSpan w:val="6"/>
            <w:shd w:val="clear" w:color="auto" w:fill="auto"/>
          </w:tcPr>
          <w:p w14:paraId="27409EE8" w14:textId="77777777" w:rsidR="007B770D" w:rsidRPr="00B8191D" w:rsidRDefault="007B770D" w:rsidP="001A074F">
            <w:pPr>
              <w:pStyle w:val="IPPOQ3"/>
              <w:rPr>
                <w:szCs w:val="22"/>
              </w:rPr>
            </w:pPr>
            <w:r w:rsidRPr="00B8191D">
              <w:t xml:space="preserve">Description and scale of key monetised benefits by ‘main affected groups’ </w:t>
            </w:r>
          </w:p>
          <w:p w14:paraId="751CE04D" w14:textId="524400F8" w:rsidR="0091073D" w:rsidRPr="0091073D" w:rsidRDefault="0091763B" w:rsidP="0086713F">
            <w:pPr>
              <w:pStyle w:val="IAPOA3"/>
              <w:rPr>
                <w:sz w:val="20"/>
              </w:rPr>
            </w:pPr>
            <w:r>
              <w:rPr>
                <w:sz w:val="20"/>
              </w:rPr>
              <w:t>In the central scenario the estimated cost of £42m p.a. to TV platforms is exactly matched by a gain to commercial PSBs. Depending on the final outcome of negotiations this benefit could potentially flow in t</w:t>
            </w:r>
            <w:r w:rsidR="0086713F">
              <w:rPr>
                <w:sz w:val="20"/>
              </w:rPr>
              <w:t xml:space="preserve">he opposite direction with </w:t>
            </w:r>
            <w:r>
              <w:rPr>
                <w:sz w:val="20"/>
              </w:rPr>
              <w:t>benefit</w:t>
            </w:r>
            <w:r w:rsidR="0086713F">
              <w:rPr>
                <w:sz w:val="20"/>
              </w:rPr>
              <w:t>s</w:t>
            </w:r>
            <w:r>
              <w:rPr>
                <w:sz w:val="20"/>
              </w:rPr>
              <w:t xml:space="preserve"> accruing to TV platforms and a cost accruing to commercial PSBs. </w:t>
            </w:r>
            <w:r w:rsidR="0086713F">
              <w:rPr>
                <w:sz w:val="20"/>
              </w:rPr>
              <w:t>The range of potential impacts exactly mirrors the range set out in the cost section above and t</w:t>
            </w:r>
            <w:r>
              <w:rPr>
                <w:sz w:val="20"/>
              </w:rPr>
              <w:t>he net impact on business in all scenarios is zero.</w:t>
            </w:r>
          </w:p>
        </w:tc>
      </w:tr>
      <w:tr w:rsidR="007B770D" w:rsidRPr="00B8191D" w14:paraId="03A9E644" w14:textId="77777777" w:rsidTr="00F760E0">
        <w:trPr>
          <w:trHeight w:hRule="exact" w:val="1250"/>
        </w:trPr>
        <w:tc>
          <w:tcPr>
            <w:tcW w:w="10632" w:type="dxa"/>
            <w:gridSpan w:val="6"/>
            <w:shd w:val="clear" w:color="auto" w:fill="auto"/>
          </w:tcPr>
          <w:p w14:paraId="7C4EF479" w14:textId="77777777" w:rsidR="007B770D" w:rsidRPr="00B8191D" w:rsidRDefault="007B770D" w:rsidP="001A074F">
            <w:pPr>
              <w:pStyle w:val="IAPOQ4"/>
              <w:rPr>
                <w:szCs w:val="22"/>
              </w:rPr>
            </w:pPr>
            <w:r w:rsidRPr="00B8191D">
              <w:t xml:space="preserve">Other key non-monetised benefits by ‘main affected groups’ </w:t>
            </w:r>
          </w:p>
          <w:p w14:paraId="04BDE293" w14:textId="0CF33373" w:rsidR="00876ED2" w:rsidRPr="00B8191D" w:rsidRDefault="00224694" w:rsidP="00224694">
            <w:pPr>
              <w:pStyle w:val="IAPOA4"/>
            </w:pPr>
            <w:r>
              <w:rPr>
                <w:sz w:val="20"/>
              </w:rPr>
              <w:t xml:space="preserve">Should there be an increase in payments to commercial PSBs this may result in an increase in investment in original UK content (as PSBs spend proportionally more on UK original content than pay channels). </w:t>
            </w:r>
          </w:p>
        </w:tc>
      </w:tr>
      <w:tr w:rsidR="007B770D" w:rsidRPr="00B8191D" w14:paraId="1904CF00" w14:textId="77777777" w:rsidTr="001A074F">
        <w:trPr>
          <w:trHeight w:hRule="exact" w:val="346"/>
        </w:trPr>
        <w:tc>
          <w:tcPr>
            <w:tcW w:w="9643" w:type="dxa"/>
            <w:gridSpan w:val="5"/>
            <w:tcBorders>
              <w:top w:val="single" w:sz="6" w:space="0" w:color="auto"/>
              <w:bottom w:val="nil"/>
            </w:tcBorders>
            <w:shd w:val="clear" w:color="auto" w:fill="auto"/>
          </w:tcPr>
          <w:p w14:paraId="27F36F69" w14:textId="77777777" w:rsidR="007B770D" w:rsidRPr="00B8191D" w:rsidRDefault="007B770D" w:rsidP="001A074F">
            <w:pPr>
              <w:pStyle w:val="IATableLabel"/>
              <w:tabs>
                <w:tab w:val="left" w:pos="7655"/>
              </w:tabs>
            </w:pPr>
            <w:r w:rsidRPr="00B8191D">
              <w:rPr>
                <w:rStyle w:val="IAPOQ5Char"/>
                <w:b/>
              </w:rPr>
              <w:t>Key assumptions/sensitivities/risks</w:t>
            </w:r>
            <w:r w:rsidRPr="00B8191D">
              <w:tab/>
              <w:t>Discount rate (%)</w:t>
            </w:r>
          </w:p>
          <w:p w14:paraId="4105C52B" w14:textId="77777777" w:rsidR="007B770D" w:rsidRPr="00B8191D" w:rsidRDefault="007B770D" w:rsidP="001A074F">
            <w:pPr>
              <w:pStyle w:val="IATableLabel"/>
            </w:pPr>
          </w:p>
        </w:tc>
        <w:tc>
          <w:tcPr>
            <w:tcW w:w="989" w:type="dxa"/>
            <w:tcBorders>
              <w:top w:val="single" w:sz="6" w:space="0" w:color="auto"/>
              <w:bottom w:val="single" w:sz="4" w:space="0" w:color="auto"/>
            </w:tcBorders>
            <w:shd w:val="clear" w:color="auto" w:fill="auto"/>
          </w:tcPr>
          <w:p w14:paraId="1569DB0A" w14:textId="77777777" w:rsidR="007B770D" w:rsidRPr="00B8191D" w:rsidRDefault="007B770D" w:rsidP="001A074F">
            <w:pPr>
              <w:pStyle w:val="IAPODisRate"/>
            </w:pPr>
            <w:r w:rsidRPr="00B8191D">
              <w:t>3.50%</w:t>
            </w:r>
          </w:p>
        </w:tc>
      </w:tr>
      <w:tr w:rsidR="007B770D" w:rsidRPr="00B8191D" w14:paraId="7412C60D" w14:textId="77777777" w:rsidTr="00876ED2">
        <w:trPr>
          <w:trHeight w:hRule="exact" w:val="1513"/>
        </w:trPr>
        <w:tc>
          <w:tcPr>
            <w:tcW w:w="10632" w:type="dxa"/>
            <w:gridSpan w:val="6"/>
            <w:tcBorders>
              <w:top w:val="nil"/>
              <w:bottom w:val="single" w:sz="12" w:space="0" w:color="auto"/>
            </w:tcBorders>
            <w:shd w:val="clear" w:color="auto" w:fill="auto"/>
          </w:tcPr>
          <w:p w14:paraId="4CE0C29C" w14:textId="77777777" w:rsidR="007B770D" w:rsidRDefault="007B770D" w:rsidP="005F796A">
            <w:pPr>
              <w:pStyle w:val="IAPOA5"/>
            </w:pPr>
          </w:p>
          <w:p w14:paraId="6885E799" w14:textId="41970D25" w:rsidR="0091073D" w:rsidRPr="0091073D" w:rsidRDefault="0091073D" w:rsidP="00224694">
            <w:pPr>
              <w:pStyle w:val="IAPOA5"/>
              <w:rPr>
                <w:sz w:val="20"/>
              </w:rPr>
            </w:pPr>
            <w:r>
              <w:rPr>
                <w:sz w:val="20"/>
              </w:rPr>
              <w:t xml:space="preserve">The key assumption underlying these estimates is that the carriage of commercial PSBs by TV platforms is </w:t>
            </w:r>
            <w:r w:rsidR="00524925">
              <w:rPr>
                <w:sz w:val="20"/>
              </w:rPr>
              <w:t xml:space="preserve">a </w:t>
            </w:r>
            <w:r>
              <w:rPr>
                <w:sz w:val="20"/>
              </w:rPr>
              <w:t xml:space="preserve">beneficial </w:t>
            </w:r>
            <w:r w:rsidR="00524925">
              <w:rPr>
                <w:sz w:val="20"/>
              </w:rPr>
              <w:t xml:space="preserve">arrangement </w:t>
            </w:r>
            <w:r>
              <w:rPr>
                <w:sz w:val="20"/>
              </w:rPr>
              <w:t xml:space="preserve">to both sides, and that </w:t>
            </w:r>
            <w:r w:rsidR="00F760E0">
              <w:rPr>
                <w:sz w:val="20"/>
              </w:rPr>
              <w:t xml:space="preserve">any net transfer would </w:t>
            </w:r>
            <w:r w:rsidR="00524925">
              <w:rPr>
                <w:sz w:val="20"/>
              </w:rPr>
              <w:t xml:space="preserve">ultimately reflect </w:t>
            </w:r>
            <w:r w:rsidR="00F760E0">
              <w:rPr>
                <w:sz w:val="20"/>
              </w:rPr>
              <w:t xml:space="preserve">this mutual benefit. A corollary of this assumption is that negotiations will be successful as neither side </w:t>
            </w:r>
            <w:r w:rsidR="00224694">
              <w:rPr>
                <w:sz w:val="20"/>
              </w:rPr>
              <w:t>w</w:t>
            </w:r>
            <w:r w:rsidR="00F760E0">
              <w:rPr>
                <w:sz w:val="20"/>
              </w:rPr>
              <w:t>ould profit from a breakdown</w:t>
            </w:r>
            <w:r w:rsidR="00224694">
              <w:rPr>
                <w:sz w:val="20"/>
              </w:rPr>
              <w:t>. However, the risk of this happening is highlighted and more evidence is sought on this through the consultation process.</w:t>
            </w:r>
            <w:r w:rsidR="00524925">
              <w:rPr>
                <w:sz w:val="20"/>
              </w:rPr>
              <w:t xml:space="preserve"> </w:t>
            </w:r>
          </w:p>
        </w:tc>
      </w:tr>
    </w:tbl>
    <w:p w14:paraId="0F44C907" w14:textId="77777777" w:rsidR="00242F61" w:rsidRPr="00B8191D" w:rsidRDefault="00242F61" w:rsidP="001A074F">
      <w:pPr>
        <w:pStyle w:val="IASpacer"/>
        <w:spacing w:line="240" w:lineRule="auto"/>
        <w:rPr>
          <w:b/>
        </w:rPr>
      </w:pPr>
    </w:p>
    <w:p w14:paraId="5CE0BF06" w14:textId="024166D5" w:rsidR="00242F61" w:rsidRPr="00B8191D" w:rsidRDefault="00242F61" w:rsidP="001A074F">
      <w:pPr>
        <w:pStyle w:val="IAHeadLabel"/>
        <w:spacing w:before="50"/>
      </w:pPr>
      <w:r w:rsidRPr="00B8191D">
        <w:t>BUSINESS A</w:t>
      </w:r>
      <w:r w:rsidR="008776D8" w:rsidRPr="00B8191D">
        <w:t>SSESSMENT (Option</w:t>
      </w:r>
      <w:r w:rsidRPr="00B8191D">
        <w:t xml:space="preserve"> </w:t>
      </w:r>
      <w:r w:rsidR="00E14F8C">
        <w:t>2</w:t>
      </w:r>
      <w:r w:rsidR="0094069E">
        <w:t>a</w:t>
      </w:r>
      <w:r w:rsidRPr="00B8191D">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242F61" w:rsidRPr="00B8191D" w14:paraId="6BF6DD42" w14:textId="77777777" w:rsidTr="001500BE">
        <w:trPr>
          <w:trHeight w:hRule="exact" w:val="312"/>
        </w:trPr>
        <w:tc>
          <w:tcPr>
            <w:tcW w:w="6125" w:type="dxa"/>
            <w:gridSpan w:val="3"/>
            <w:tcBorders>
              <w:top w:val="single" w:sz="4" w:space="0" w:color="auto"/>
              <w:bottom w:val="nil"/>
              <w:right w:val="single" w:sz="4" w:space="0" w:color="auto"/>
            </w:tcBorders>
          </w:tcPr>
          <w:p w14:paraId="350D2CD6" w14:textId="77777777" w:rsidR="00242F61" w:rsidRPr="00B8191D" w:rsidRDefault="00242F61" w:rsidP="001A074F">
            <w:pPr>
              <w:pStyle w:val="IATableLabel"/>
            </w:pPr>
            <w:r w:rsidRPr="00B8191D">
              <w:t xml:space="preserve">Direct impact on business (Equivalent Annual) £m: </w:t>
            </w:r>
          </w:p>
        </w:tc>
        <w:tc>
          <w:tcPr>
            <w:tcW w:w="1980" w:type="dxa"/>
            <w:tcBorders>
              <w:top w:val="single" w:sz="4" w:space="0" w:color="auto"/>
              <w:left w:val="single" w:sz="4" w:space="0" w:color="auto"/>
              <w:bottom w:val="nil"/>
              <w:right w:val="nil"/>
            </w:tcBorders>
          </w:tcPr>
          <w:p w14:paraId="557DD78C" w14:textId="77777777" w:rsidR="00242F61" w:rsidRPr="00B8191D" w:rsidRDefault="00A27C7E" w:rsidP="001A074F">
            <w:pPr>
              <w:pStyle w:val="IATableLabel"/>
            </w:pPr>
            <w:r w:rsidRPr="00B8191D">
              <w:t>In scope of OIT</w:t>
            </w:r>
            <w:r w:rsidR="00242F61" w:rsidRPr="00B8191D">
              <w:t>O?</w:t>
            </w:r>
          </w:p>
        </w:tc>
        <w:tc>
          <w:tcPr>
            <w:tcW w:w="2110" w:type="dxa"/>
            <w:tcBorders>
              <w:top w:val="single" w:sz="4" w:space="0" w:color="auto"/>
              <w:left w:val="nil"/>
              <w:bottom w:val="nil"/>
              <w:right w:val="single" w:sz="4" w:space="0" w:color="auto"/>
            </w:tcBorders>
            <w:shd w:val="clear" w:color="auto" w:fill="auto"/>
          </w:tcPr>
          <w:p w14:paraId="57C2EC7A" w14:textId="77777777" w:rsidR="00242F61" w:rsidRPr="00B8191D" w:rsidRDefault="00242F61" w:rsidP="001A074F">
            <w:pPr>
              <w:pStyle w:val="IATableLabel"/>
              <w:ind w:left="0"/>
            </w:pPr>
            <w:r w:rsidRPr="00B8191D">
              <w:t xml:space="preserve">  Measure qualifies as</w:t>
            </w:r>
          </w:p>
        </w:tc>
      </w:tr>
      <w:tr w:rsidR="00242F61" w:rsidRPr="00B8191D" w14:paraId="2E520757" w14:textId="77777777" w:rsidTr="001500BE">
        <w:trPr>
          <w:trHeight w:hRule="exact" w:val="340"/>
        </w:trPr>
        <w:tc>
          <w:tcPr>
            <w:tcW w:w="1990" w:type="dxa"/>
            <w:tcBorders>
              <w:top w:val="nil"/>
              <w:bottom w:val="single" w:sz="4" w:space="0" w:color="auto"/>
              <w:right w:val="single" w:sz="4" w:space="0" w:color="auto"/>
            </w:tcBorders>
            <w:shd w:val="clear" w:color="auto" w:fill="FFFFFF"/>
          </w:tcPr>
          <w:p w14:paraId="78931E1D" w14:textId="5AE019EF" w:rsidR="00242F61" w:rsidRPr="00B8191D" w:rsidRDefault="00242F61" w:rsidP="000D0ADA">
            <w:pPr>
              <w:pStyle w:val="IATableLabel"/>
            </w:pPr>
            <w:r w:rsidRPr="00B8191D">
              <w:t xml:space="preserve">Costs: </w:t>
            </w:r>
            <w:r w:rsidR="00BF637E">
              <w:t>3</w:t>
            </w:r>
            <w:r w:rsidR="00224694">
              <w:t>3.3</w:t>
            </w:r>
          </w:p>
        </w:tc>
        <w:tc>
          <w:tcPr>
            <w:tcW w:w="2155" w:type="dxa"/>
            <w:tcBorders>
              <w:top w:val="nil"/>
              <w:bottom w:val="single" w:sz="4" w:space="0" w:color="auto"/>
              <w:right w:val="single" w:sz="4" w:space="0" w:color="auto"/>
            </w:tcBorders>
            <w:shd w:val="clear" w:color="auto" w:fill="FFFFFF"/>
          </w:tcPr>
          <w:p w14:paraId="3EF74987" w14:textId="624FC954" w:rsidR="00242F61" w:rsidRPr="00B8191D" w:rsidRDefault="00242F61" w:rsidP="000D0ADA">
            <w:pPr>
              <w:pStyle w:val="IATableLabel"/>
            </w:pPr>
            <w:r w:rsidRPr="00B8191D">
              <w:t xml:space="preserve">Benefits: </w:t>
            </w:r>
            <w:r w:rsidR="00BF637E">
              <w:t>3</w:t>
            </w:r>
            <w:r w:rsidR="00224694">
              <w:t>3.3</w:t>
            </w:r>
          </w:p>
        </w:tc>
        <w:tc>
          <w:tcPr>
            <w:tcW w:w="1980" w:type="dxa"/>
            <w:tcBorders>
              <w:top w:val="nil"/>
              <w:bottom w:val="single" w:sz="4" w:space="0" w:color="auto"/>
              <w:right w:val="single" w:sz="4" w:space="0" w:color="auto"/>
            </w:tcBorders>
            <w:shd w:val="clear" w:color="auto" w:fill="FFFFFF"/>
          </w:tcPr>
          <w:p w14:paraId="2FCC97C9" w14:textId="5FDF5206" w:rsidR="00242F61" w:rsidRPr="00B8191D" w:rsidRDefault="00242F61" w:rsidP="000D0ADA">
            <w:pPr>
              <w:pStyle w:val="IATableLabel"/>
            </w:pPr>
            <w:r w:rsidRPr="00B8191D">
              <w:t xml:space="preserve">Net: </w:t>
            </w:r>
            <w:r w:rsidR="0091073D">
              <w:t>0</w:t>
            </w:r>
          </w:p>
        </w:tc>
        <w:tc>
          <w:tcPr>
            <w:tcW w:w="1980" w:type="dxa"/>
            <w:tcBorders>
              <w:top w:val="nil"/>
              <w:left w:val="single" w:sz="4" w:space="0" w:color="auto"/>
              <w:bottom w:val="single" w:sz="4" w:space="0" w:color="auto"/>
              <w:right w:val="single" w:sz="4" w:space="0" w:color="auto"/>
            </w:tcBorders>
            <w:shd w:val="clear" w:color="auto" w:fill="FFFFFF"/>
          </w:tcPr>
          <w:p w14:paraId="56E7C865" w14:textId="155A9DBA" w:rsidR="00242F61" w:rsidRPr="00B8191D" w:rsidRDefault="0091073D" w:rsidP="001A074F">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14:paraId="14FFA462" w14:textId="5061B17A" w:rsidR="00242F61" w:rsidRPr="00B8191D" w:rsidRDefault="0091073D" w:rsidP="001A074F">
            <w:pPr>
              <w:pStyle w:val="IAPODIMQ"/>
            </w:pPr>
            <w:r>
              <w:t>OUT</w:t>
            </w:r>
          </w:p>
        </w:tc>
      </w:tr>
    </w:tbl>
    <w:p w14:paraId="1BF04FE0" w14:textId="77777777" w:rsidR="00242F61" w:rsidRPr="00B8191D" w:rsidRDefault="00242F61" w:rsidP="001A074F">
      <w:pPr>
        <w:sectPr w:rsidR="00242F61" w:rsidRPr="00B8191D" w:rsidSect="00F1328C">
          <w:footnotePr>
            <w:numRestart w:val="eachSect"/>
          </w:footnotePr>
          <w:pgSz w:w="11907" w:h="16840" w:code="9"/>
          <w:pgMar w:top="680" w:right="851" w:bottom="680" w:left="851" w:header="284" w:footer="284" w:gutter="0"/>
          <w:cols w:space="708"/>
          <w:docGrid w:linePitch="360"/>
        </w:sectPr>
      </w:pPr>
    </w:p>
    <w:p w14:paraId="6D3511D9" w14:textId="13DC092A" w:rsidR="000C327F" w:rsidRPr="00B8191D" w:rsidRDefault="000C327F" w:rsidP="000C327F">
      <w:pPr>
        <w:pStyle w:val="Heading1"/>
        <w:spacing w:before="0"/>
      </w:pPr>
      <w:bookmarkStart w:id="21" w:name="EvidenceHead"/>
      <w:r w:rsidRPr="00B8191D">
        <w:lastRenderedPageBreak/>
        <w:t>Summary: Analysis &amp; Evidence</w:t>
      </w:r>
      <w:r w:rsidRPr="00B8191D">
        <w:tab/>
        <w:t xml:space="preserve">Option </w:t>
      </w:r>
      <w:r w:rsidR="00F760E0">
        <w:t>2b</w:t>
      </w:r>
      <w:r w:rsidR="009A331A">
        <w:t>)</w:t>
      </w:r>
    </w:p>
    <w:p w14:paraId="27FAAAFE" w14:textId="2A0B3414" w:rsidR="000C327F" w:rsidRPr="00B8191D" w:rsidRDefault="000C327F" w:rsidP="000C327F">
      <w:pPr>
        <w:pStyle w:val="IAHeadLabel"/>
        <w:spacing w:before="50"/>
      </w:pPr>
      <w:r w:rsidRPr="00B8191D">
        <w:t>Description:</w:t>
      </w:r>
      <w:r w:rsidR="00F760E0">
        <w:t xml:space="preserve"> Amend Must Offer and Must Carry</w:t>
      </w:r>
      <w:r w:rsidR="00524925">
        <w:t xml:space="preserve"> </w:t>
      </w:r>
      <w:r w:rsidRPr="00B8191D">
        <w:rPr>
          <w:rStyle w:val="IAPODescriptionCharChar"/>
        </w:rPr>
        <w:fldChar w:fldCharType="begin">
          <w:ffData>
            <w:name w:val="Text70"/>
            <w:enabled/>
            <w:calcOnExit w:val="0"/>
            <w:textInput>
              <w:maxLength w:val="230"/>
            </w:textInput>
          </w:ffData>
        </w:fldChar>
      </w:r>
      <w:r w:rsidRPr="00B8191D">
        <w:rPr>
          <w:rStyle w:val="IAPODescriptionCharChar"/>
        </w:rPr>
        <w:instrText xml:space="preserve"> FORMTEXT </w:instrText>
      </w:r>
      <w:r w:rsidRPr="00B8191D">
        <w:rPr>
          <w:rStyle w:val="IAPODescriptionCharChar"/>
        </w:rPr>
      </w:r>
      <w:r w:rsidRPr="00B8191D">
        <w:rPr>
          <w:rStyle w:val="IAPODescriptionCharChar"/>
        </w:rPr>
        <w:fldChar w:fldCharType="separate"/>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rPr>
        <w:fldChar w:fldCharType="end"/>
      </w:r>
    </w:p>
    <w:p w14:paraId="567EA12C" w14:textId="77777777" w:rsidR="000C327F" w:rsidRPr="00B8191D" w:rsidRDefault="000C327F" w:rsidP="000C327F">
      <w:pPr>
        <w:pStyle w:val="IAHeadLabel"/>
        <w:spacing w:before="50"/>
      </w:pPr>
      <w:r w:rsidRPr="00B8191D">
        <w:t>FULL ECONOMIC ASSESSMENT</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284"/>
        <w:gridCol w:w="1468"/>
        <w:gridCol w:w="1835"/>
        <w:gridCol w:w="1862"/>
        <w:gridCol w:w="2719"/>
      </w:tblGrid>
      <w:tr w:rsidR="000C327F" w:rsidRPr="00B8191D" w14:paraId="056A6F84" w14:textId="77777777" w:rsidTr="00434A91">
        <w:trPr>
          <w:trHeight w:hRule="exact" w:val="312"/>
        </w:trPr>
        <w:tc>
          <w:tcPr>
            <w:tcW w:w="1464" w:type="dxa"/>
            <w:vMerge w:val="restart"/>
            <w:shd w:val="clear" w:color="auto" w:fill="auto"/>
          </w:tcPr>
          <w:p w14:paraId="52F9F916" w14:textId="70B3A404" w:rsidR="000C327F" w:rsidRPr="00B8191D" w:rsidRDefault="000C327F" w:rsidP="00434A91">
            <w:pPr>
              <w:pStyle w:val="POPBY"/>
              <w:ind w:right="0"/>
            </w:pPr>
            <w:r w:rsidRPr="00B8191D">
              <w:t xml:space="preserve">Price Base Year </w:t>
            </w:r>
            <w:r w:rsidRPr="00B8191D">
              <w:rPr>
                <w:b w:val="0"/>
              </w:rPr>
              <w:t>201</w:t>
            </w:r>
            <w:r w:rsidR="00434A91" w:rsidRPr="00B8191D">
              <w:rPr>
                <w:b w:val="0"/>
              </w:rPr>
              <w:t>3</w:t>
            </w:r>
          </w:p>
        </w:tc>
        <w:tc>
          <w:tcPr>
            <w:tcW w:w="1284" w:type="dxa"/>
            <w:vMerge w:val="restart"/>
            <w:shd w:val="clear" w:color="auto" w:fill="auto"/>
          </w:tcPr>
          <w:p w14:paraId="5AD5B49B" w14:textId="36A82B8F" w:rsidR="000C327F" w:rsidRPr="00B8191D" w:rsidRDefault="000C327F" w:rsidP="00434A91">
            <w:pPr>
              <w:pStyle w:val="POPVBY"/>
              <w:ind w:right="0"/>
            </w:pPr>
            <w:r w:rsidRPr="00B8191D">
              <w:t xml:space="preserve">PV Base Year </w:t>
            </w:r>
            <w:r w:rsidR="000D0ADA">
              <w:rPr>
                <w:b w:val="0"/>
              </w:rPr>
              <w:t>2015</w:t>
            </w:r>
          </w:p>
        </w:tc>
        <w:tc>
          <w:tcPr>
            <w:tcW w:w="1468" w:type="dxa"/>
            <w:vMerge w:val="restart"/>
            <w:tcBorders>
              <w:right w:val="single" w:sz="12" w:space="0" w:color="auto"/>
            </w:tcBorders>
            <w:shd w:val="clear" w:color="auto" w:fill="auto"/>
          </w:tcPr>
          <w:p w14:paraId="537E8290" w14:textId="06197F13" w:rsidR="000C327F" w:rsidRPr="00B8191D" w:rsidRDefault="000C327F" w:rsidP="00434A91">
            <w:pPr>
              <w:pStyle w:val="POTPY"/>
              <w:ind w:right="0"/>
            </w:pPr>
            <w:r w:rsidRPr="00B8191D">
              <w:t xml:space="preserve">Time Period </w:t>
            </w:r>
            <w:r w:rsidR="00B66225" w:rsidRPr="00B8191D">
              <w:t>Years 10</w:t>
            </w:r>
          </w:p>
        </w:tc>
        <w:tc>
          <w:tcPr>
            <w:tcW w:w="6416" w:type="dxa"/>
            <w:gridSpan w:val="3"/>
            <w:tcBorders>
              <w:top w:val="single" w:sz="12" w:space="0" w:color="auto"/>
              <w:left w:val="single" w:sz="12" w:space="0" w:color="auto"/>
              <w:bottom w:val="single" w:sz="4" w:space="0" w:color="auto"/>
              <w:right w:val="single" w:sz="12" w:space="0" w:color="auto"/>
            </w:tcBorders>
            <w:shd w:val="clear" w:color="auto" w:fill="FFFFFF"/>
          </w:tcPr>
          <w:p w14:paraId="3763A980" w14:textId="77777777" w:rsidR="000C327F" w:rsidRPr="00B8191D" w:rsidRDefault="000C327F" w:rsidP="00434A91">
            <w:pPr>
              <w:pStyle w:val="IATableLabel"/>
              <w:ind w:right="0"/>
              <w:jc w:val="center"/>
            </w:pPr>
            <w:r w:rsidRPr="00B8191D">
              <w:t>Net Benefit (Present Value (PV)) (£m)</w:t>
            </w:r>
          </w:p>
        </w:tc>
      </w:tr>
      <w:tr w:rsidR="000C327F" w:rsidRPr="00B8191D" w14:paraId="41FBE584" w14:textId="77777777" w:rsidTr="00434A91">
        <w:trPr>
          <w:trHeight w:hRule="exact" w:val="340"/>
        </w:trPr>
        <w:tc>
          <w:tcPr>
            <w:tcW w:w="1464" w:type="dxa"/>
            <w:vMerge/>
            <w:shd w:val="clear" w:color="auto" w:fill="auto"/>
          </w:tcPr>
          <w:p w14:paraId="5F44D086" w14:textId="77777777" w:rsidR="000C327F" w:rsidRPr="00B8191D" w:rsidRDefault="000C327F" w:rsidP="00434A91">
            <w:pPr>
              <w:pStyle w:val="IATableNotes"/>
              <w:ind w:left="0" w:right="0"/>
              <w:rPr>
                <w:b/>
                <w:sz w:val="20"/>
              </w:rPr>
            </w:pPr>
          </w:p>
        </w:tc>
        <w:tc>
          <w:tcPr>
            <w:tcW w:w="1284" w:type="dxa"/>
            <w:vMerge/>
            <w:shd w:val="clear" w:color="auto" w:fill="auto"/>
          </w:tcPr>
          <w:p w14:paraId="6E00A002" w14:textId="77777777" w:rsidR="000C327F" w:rsidRPr="00B8191D" w:rsidRDefault="000C327F" w:rsidP="00434A91">
            <w:pPr>
              <w:pStyle w:val="IATableNotes"/>
              <w:ind w:left="0" w:right="0"/>
              <w:rPr>
                <w:b/>
                <w:sz w:val="20"/>
              </w:rPr>
            </w:pPr>
          </w:p>
        </w:tc>
        <w:tc>
          <w:tcPr>
            <w:tcW w:w="1468" w:type="dxa"/>
            <w:vMerge/>
            <w:tcBorders>
              <w:right w:val="single" w:sz="12" w:space="0" w:color="auto"/>
            </w:tcBorders>
            <w:shd w:val="clear" w:color="auto" w:fill="auto"/>
          </w:tcPr>
          <w:p w14:paraId="29076C2E" w14:textId="77777777" w:rsidR="000C327F" w:rsidRPr="00B8191D" w:rsidRDefault="000C327F" w:rsidP="00434A91">
            <w:pPr>
              <w:pStyle w:val="IATableNotes"/>
              <w:ind w:left="0" w:right="0"/>
              <w:rPr>
                <w:b/>
                <w:sz w:val="20"/>
              </w:rPr>
            </w:pPr>
          </w:p>
        </w:tc>
        <w:tc>
          <w:tcPr>
            <w:tcW w:w="1835" w:type="dxa"/>
            <w:tcBorders>
              <w:top w:val="single" w:sz="4" w:space="0" w:color="auto"/>
              <w:left w:val="single" w:sz="12" w:space="0" w:color="auto"/>
              <w:bottom w:val="single" w:sz="12" w:space="0" w:color="auto"/>
              <w:right w:val="single" w:sz="4" w:space="0" w:color="auto"/>
            </w:tcBorders>
            <w:shd w:val="clear" w:color="auto" w:fill="auto"/>
          </w:tcPr>
          <w:p w14:paraId="1CCDF981" w14:textId="0AD9B517" w:rsidR="000C327F" w:rsidRPr="00B8191D" w:rsidRDefault="000C327F" w:rsidP="000D0ADA">
            <w:pPr>
              <w:pStyle w:val="IATableLabel"/>
              <w:ind w:right="0"/>
              <w:rPr>
                <w:bCs/>
              </w:rPr>
            </w:pPr>
            <w:r w:rsidRPr="00B8191D">
              <w:t xml:space="preserve">Low: </w:t>
            </w:r>
            <w:r w:rsidR="00F760E0">
              <w:t>-0.2</w:t>
            </w:r>
            <w:r w:rsidR="00224694">
              <w:t>4</w:t>
            </w:r>
          </w:p>
        </w:tc>
        <w:tc>
          <w:tcPr>
            <w:tcW w:w="1862" w:type="dxa"/>
            <w:tcBorders>
              <w:top w:val="single" w:sz="4" w:space="0" w:color="auto"/>
              <w:left w:val="single" w:sz="4" w:space="0" w:color="auto"/>
              <w:bottom w:val="single" w:sz="12" w:space="0" w:color="auto"/>
              <w:right w:val="single" w:sz="12" w:space="0" w:color="auto"/>
            </w:tcBorders>
            <w:shd w:val="clear" w:color="auto" w:fill="auto"/>
          </w:tcPr>
          <w:p w14:paraId="24E986B5" w14:textId="5D04F451" w:rsidR="000C327F" w:rsidRPr="00B8191D" w:rsidRDefault="000C327F" w:rsidP="000D0ADA">
            <w:pPr>
              <w:pStyle w:val="IATableLabel"/>
              <w:ind w:right="0"/>
              <w:rPr>
                <w:rFonts w:cs="Arial"/>
                <w:bCs/>
                <w:szCs w:val="18"/>
              </w:rPr>
            </w:pPr>
            <w:r w:rsidRPr="00B8191D">
              <w:t xml:space="preserve">High: </w:t>
            </w:r>
            <w:r w:rsidR="00BF637E">
              <w:t>-0.2</w:t>
            </w:r>
            <w:r w:rsidR="00224694">
              <w:t>4</w:t>
            </w:r>
          </w:p>
        </w:tc>
        <w:tc>
          <w:tcPr>
            <w:tcW w:w="2719" w:type="dxa"/>
            <w:tcBorders>
              <w:top w:val="single" w:sz="12" w:space="0" w:color="auto"/>
              <w:left w:val="single" w:sz="12" w:space="0" w:color="auto"/>
              <w:bottom w:val="single" w:sz="12" w:space="0" w:color="auto"/>
              <w:right w:val="single" w:sz="12" w:space="0" w:color="auto"/>
            </w:tcBorders>
            <w:shd w:val="clear" w:color="auto" w:fill="FFFFFF"/>
          </w:tcPr>
          <w:p w14:paraId="2DE1941D" w14:textId="221DB3C6" w:rsidR="000C327F" w:rsidRPr="00B8191D" w:rsidRDefault="000C327F" w:rsidP="000D0ADA">
            <w:pPr>
              <w:pStyle w:val="IATableLabel"/>
              <w:ind w:right="0"/>
              <w:rPr>
                <w:szCs w:val="18"/>
              </w:rPr>
            </w:pPr>
            <w:r w:rsidRPr="00B8191D">
              <w:t>Best Estimate:</w:t>
            </w:r>
            <w:r w:rsidR="00BF637E">
              <w:t xml:space="preserve"> -0.2</w:t>
            </w:r>
            <w:r w:rsidR="00224694">
              <w:t>4</w:t>
            </w:r>
          </w:p>
        </w:tc>
      </w:tr>
    </w:tbl>
    <w:p w14:paraId="77A0CFA4" w14:textId="77777777" w:rsidR="000C327F" w:rsidRPr="00B8191D" w:rsidRDefault="000C327F" w:rsidP="000C327F">
      <w:pPr>
        <w:pStyle w:val="IASpacer"/>
        <w:spacing w:line="240" w:lineRule="auto"/>
      </w:pPr>
    </w:p>
    <w:tbl>
      <w:tblPr>
        <w:tblW w:w="5194"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63"/>
        <w:gridCol w:w="1949"/>
        <w:gridCol w:w="790"/>
        <w:gridCol w:w="2865"/>
        <w:gridCol w:w="1776"/>
        <w:gridCol w:w="989"/>
      </w:tblGrid>
      <w:tr w:rsidR="000C327F" w:rsidRPr="00B8191D" w14:paraId="1F2857CA" w14:textId="77777777" w:rsidTr="00434A91">
        <w:trPr>
          <w:trHeight w:hRule="exact" w:val="567"/>
        </w:trPr>
        <w:tc>
          <w:tcPr>
            <w:tcW w:w="2263" w:type="dxa"/>
            <w:shd w:val="clear" w:color="auto" w:fill="FFFFFF"/>
          </w:tcPr>
          <w:p w14:paraId="6F4ACCD9" w14:textId="77777777" w:rsidR="000C327F" w:rsidRPr="00B8191D" w:rsidRDefault="000C327F" w:rsidP="00434A91">
            <w:pPr>
              <w:pStyle w:val="IATableLabel"/>
              <w:rPr>
                <w:sz w:val="24"/>
                <w:szCs w:val="24"/>
              </w:rPr>
            </w:pPr>
            <w:r w:rsidRPr="00B8191D">
              <w:rPr>
                <w:sz w:val="24"/>
                <w:szCs w:val="24"/>
              </w:rPr>
              <w:t>COSTS (£m)</w:t>
            </w:r>
          </w:p>
        </w:tc>
        <w:tc>
          <w:tcPr>
            <w:tcW w:w="2739" w:type="dxa"/>
            <w:gridSpan w:val="2"/>
            <w:tcBorders>
              <w:top w:val="single" w:sz="12" w:space="0" w:color="auto"/>
              <w:bottom w:val="single" w:sz="6" w:space="0" w:color="auto"/>
            </w:tcBorders>
            <w:shd w:val="clear" w:color="auto" w:fill="auto"/>
          </w:tcPr>
          <w:p w14:paraId="23A18DDB" w14:textId="77777777" w:rsidR="000C327F" w:rsidRPr="00B8191D" w:rsidRDefault="000C327F" w:rsidP="00434A91">
            <w:pPr>
              <w:pStyle w:val="IATableLabel"/>
              <w:tabs>
                <w:tab w:val="right" w:pos="1800"/>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07CBC921" w14:textId="77777777" w:rsidR="000C327F" w:rsidRPr="00B8191D" w:rsidRDefault="000C327F" w:rsidP="00434A91">
            <w:pPr>
              <w:pStyle w:val="IATableLabel"/>
              <w:jc w:val="right"/>
            </w:pPr>
            <w:r w:rsidRPr="00B8191D">
              <w:br/>
            </w:r>
          </w:p>
        </w:tc>
        <w:tc>
          <w:tcPr>
            <w:tcW w:w="2865" w:type="dxa"/>
            <w:tcBorders>
              <w:bottom w:val="single" w:sz="6" w:space="0" w:color="auto"/>
              <w:right w:val="single" w:sz="12" w:space="0" w:color="auto"/>
            </w:tcBorders>
            <w:shd w:val="clear" w:color="auto" w:fill="auto"/>
          </w:tcPr>
          <w:p w14:paraId="2FEF9DCD" w14:textId="77777777" w:rsidR="000C327F" w:rsidRPr="00B8191D" w:rsidRDefault="000C327F" w:rsidP="00434A91">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16859EC3" w14:textId="77777777" w:rsidR="000C327F" w:rsidRPr="00B8191D" w:rsidRDefault="000C327F" w:rsidP="00434A91">
            <w:pPr>
              <w:pStyle w:val="IATableLabel"/>
              <w:jc w:val="right"/>
            </w:pPr>
            <w:r w:rsidRPr="00B8191D">
              <w:t>Total Cost</w:t>
            </w:r>
            <w:r w:rsidRPr="00B8191D">
              <w:rPr>
                <w:b w:val="0"/>
                <w:sz w:val="18"/>
                <w:szCs w:val="18"/>
              </w:rPr>
              <w:t xml:space="preserve"> </w:t>
            </w:r>
            <w:r w:rsidRPr="00B8191D">
              <w:rPr>
                <w:b w:val="0"/>
                <w:sz w:val="18"/>
                <w:szCs w:val="18"/>
              </w:rPr>
              <w:br/>
              <w:t>(Present Value)</w:t>
            </w:r>
          </w:p>
        </w:tc>
      </w:tr>
      <w:tr w:rsidR="000C327F" w:rsidRPr="00B8191D" w14:paraId="6616C9B7" w14:textId="77777777" w:rsidTr="00434A91">
        <w:trPr>
          <w:trHeight w:hRule="exact" w:val="348"/>
        </w:trPr>
        <w:tc>
          <w:tcPr>
            <w:tcW w:w="2263" w:type="dxa"/>
            <w:tcBorders>
              <w:top w:val="single" w:sz="6" w:space="0" w:color="auto"/>
              <w:bottom w:val="single" w:sz="6" w:space="0" w:color="auto"/>
            </w:tcBorders>
            <w:shd w:val="clear" w:color="auto" w:fill="auto"/>
            <w:vAlign w:val="center"/>
          </w:tcPr>
          <w:p w14:paraId="69BC95A8" w14:textId="77777777" w:rsidR="000C327F" w:rsidRPr="00B8191D" w:rsidRDefault="000C327F" w:rsidP="00434A91">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02C62D7E" w14:textId="7043FA6B" w:rsidR="000C327F" w:rsidRPr="00B8191D" w:rsidRDefault="0094069E" w:rsidP="00434A91">
            <w:pPr>
              <w:pStyle w:val="POTTCostsLow"/>
              <w:rPr>
                <w:sz w:val="20"/>
              </w:rPr>
            </w:pPr>
            <w:r>
              <w:rPr>
                <w:sz w:val="20"/>
              </w:rPr>
              <w:t>N/A</w:t>
            </w:r>
          </w:p>
        </w:tc>
        <w:tc>
          <w:tcPr>
            <w:tcW w:w="790" w:type="dxa"/>
            <w:vMerge w:val="restart"/>
            <w:tcBorders>
              <w:top w:val="single" w:sz="6" w:space="0" w:color="auto"/>
            </w:tcBorders>
            <w:shd w:val="clear" w:color="auto" w:fill="auto"/>
            <w:vAlign w:val="center"/>
          </w:tcPr>
          <w:p w14:paraId="07CBFDFD" w14:textId="77777777" w:rsidR="000C327F" w:rsidRPr="00B8191D" w:rsidRDefault="000C327F" w:rsidP="00434A91">
            <w:pPr>
              <w:pStyle w:val="POTTCostsYear"/>
              <w:rPr>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37DB83C4" w14:textId="42DEE619" w:rsidR="000C327F" w:rsidRPr="00B8191D" w:rsidRDefault="0094069E" w:rsidP="00434A91">
            <w:pPr>
              <w:pStyle w:val="POAACostsLow"/>
              <w:rPr>
                <w:sz w:val="20"/>
              </w:rPr>
            </w:pPr>
            <w:r>
              <w:rPr>
                <w:sz w:val="20"/>
              </w:rPr>
              <w:t>N/A</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7B5AD127" w14:textId="182B0CF8" w:rsidR="000C327F" w:rsidRPr="00B8191D" w:rsidRDefault="0094069E" w:rsidP="00434A91">
            <w:pPr>
              <w:pStyle w:val="POTCCostsLow"/>
              <w:rPr>
                <w:sz w:val="20"/>
              </w:rPr>
            </w:pPr>
            <w:r>
              <w:rPr>
                <w:sz w:val="20"/>
              </w:rPr>
              <w:t>N/A</w:t>
            </w:r>
          </w:p>
        </w:tc>
      </w:tr>
      <w:tr w:rsidR="000C327F" w:rsidRPr="00B8191D" w14:paraId="0DE40A22" w14:textId="77777777" w:rsidTr="00434A91">
        <w:trPr>
          <w:trHeight w:hRule="exact" w:val="348"/>
        </w:trPr>
        <w:tc>
          <w:tcPr>
            <w:tcW w:w="2263" w:type="dxa"/>
            <w:tcBorders>
              <w:top w:val="single" w:sz="6" w:space="0" w:color="auto"/>
              <w:bottom w:val="single" w:sz="12" w:space="0" w:color="auto"/>
            </w:tcBorders>
            <w:shd w:val="clear" w:color="auto" w:fill="auto"/>
            <w:vAlign w:val="center"/>
          </w:tcPr>
          <w:p w14:paraId="134557C3" w14:textId="77777777" w:rsidR="000C327F" w:rsidRPr="00B8191D" w:rsidRDefault="000C327F" w:rsidP="00434A91">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664484FE" w14:textId="1CC9B1C3" w:rsidR="000C327F" w:rsidRPr="00B8191D" w:rsidRDefault="0094069E" w:rsidP="00434A91">
            <w:pPr>
              <w:pStyle w:val="POTTCostsHigh"/>
              <w:rPr>
                <w:sz w:val="20"/>
              </w:rPr>
            </w:pPr>
            <w:r>
              <w:rPr>
                <w:sz w:val="20"/>
              </w:rPr>
              <w:t>N/A</w:t>
            </w:r>
          </w:p>
        </w:tc>
        <w:tc>
          <w:tcPr>
            <w:tcW w:w="790" w:type="dxa"/>
            <w:vMerge/>
            <w:shd w:val="clear" w:color="auto" w:fill="FFFFFF"/>
            <w:vAlign w:val="center"/>
          </w:tcPr>
          <w:p w14:paraId="6DAEE41B" w14:textId="77777777" w:rsidR="000C327F" w:rsidRPr="00B8191D" w:rsidRDefault="000C327F" w:rsidP="00434A9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6971C5DC" w14:textId="59573E85" w:rsidR="000C327F" w:rsidRPr="00B8191D" w:rsidRDefault="0094069E" w:rsidP="00224694">
            <w:pPr>
              <w:pStyle w:val="POAACostsHigh"/>
              <w:rPr>
                <w:sz w:val="20"/>
              </w:rPr>
            </w:pPr>
            <w:r>
              <w:rPr>
                <w:sz w:val="20"/>
              </w:rPr>
              <w:t>N/A</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4CC0720C" w14:textId="2A3F1740" w:rsidR="000C327F" w:rsidRPr="00B8191D" w:rsidRDefault="0094069E" w:rsidP="00224694">
            <w:pPr>
              <w:pStyle w:val="POTCCostsHigh"/>
              <w:rPr>
                <w:sz w:val="20"/>
              </w:rPr>
            </w:pPr>
            <w:r>
              <w:rPr>
                <w:sz w:val="20"/>
              </w:rPr>
              <w:t>N/A</w:t>
            </w:r>
          </w:p>
        </w:tc>
      </w:tr>
      <w:tr w:rsidR="000C327F" w:rsidRPr="00B8191D" w14:paraId="38F88288" w14:textId="77777777" w:rsidTr="00434A91">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006570AE" w14:textId="77777777" w:rsidR="000C327F" w:rsidRPr="00B8191D" w:rsidRDefault="000C327F" w:rsidP="00434A91">
            <w:pPr>
              <w:pStyle w:val="IATableLabel"/>
            </w:pPr>
            <w:r w:rsidRPr="00B8191D">
              <w:t>Best Estimate</w:t>
            </w:r>
          </w:p>
          <w:p w14:paraId="4EA06AC6" w14:textId="77777777" w:rsidR="000C327F" w:rsidRPr="00B8191D" w:rsidRDefault="000C327F" w:rsidP="00434A91">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B2D042C" w14:textId="7F706AD9" w:rsidR="000C327F" w:rsidRPr="00B8191D" w:rsidRDefault="00F760E0" w:rsidP="00434A91">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0905F6D6" w14:textId="77777777" w:rsidR="000C327F" w:rsidRPr="00B8191D" w:rsidRDefault="000C327F" w:rsidP="00434A9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44DB241E" w14:textId="701ABEFF" w:rsidR="000C327F" w:rsidRPr="00B8191D" w:rsidRDefault="00F760E0" w:rsidP="00434A91">
            <w:pPr>
              <w:pStyle w:val="POAACostsBest"/>
              <w:rPr>
                <w:sz w:val="20"/>
              </w:rPr>
            </w:pPr>
            <w:r>
              <w:rPr>
                <w:sz w:val="20"/>
              </w:rPr>
              <w:t>31.</w:t>
            </w:r>
            <w:r w:rsidR="00224694">
              <w:rPr>
                <w:sz w:val="20"/>
              </w:rPr>
              <w:t>7</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26056B77" w14:textId="4D1E2DDA" w:rsidR="000C327F" w:rsidRPr="00B8191D" w:rsidRDefault="005243D8" w:rsidP="00434A91">
            <w:pPr>
              <w:pStyle w:val="POTCCostsBest"/>
              <w:rPr>
                <w:sz w:val="20"/>
              </w:rPr>
            </w:pPr>
            <w:r>
              <w:rPr>
                <w:sz w:val="20"/>
              </w:rPr>
              <w:t>273.</w:t>
            </w:r>
            <w:r w:rsidR="00224694">
              <w:rPr>
                <w:sz w:val="20"/>
              </w:rPr>
              <w:t>1</w:t>
            </w:r>
          </w:p>
        </w:tc>
      </w:tr>
      <w:tr w:rsidR="000C327F" w:rsidRPr="00B8191D" w14:paraId="16F3D2BA" w14:textId="77777777" w:rsidTr="00BF637E">
        <w:trPr>
          <w:trHeight w:hRule="exact" w:val="2439"/>
        </w:trPr>
        <w:tc>
          <w:tcPr>
            <w:tcW w:w="10632" w:type="dxa"/>
            <w:gridSpan w:val="6"/>
            <w:tcBorders>
              <w:bottom w:val="single" w:sz="6" w:space="0" w:color="auto"/>
            </w:tcBorders>
            <w:shd w:val="clear" w:color="auto" w:fill="auto"/>
          </w:tcPr>
          <w:p w14:paraId="2337861C" w14:textId="4D4C063E" w:rsidR="000C327F" w:rsidRPr="0086713F" w:rsidRDefault="000C327F" w:rsidP="0086713F">
            <w:pPr>
              <w:pStyle w:val="IAPOQ1"/>
              <w:rPr>
                <w:szCs w:val="22"/>
              </w:rPr>
            </w:pPr>
            <w:r w:rsidRPr="00B8191D">
              <w:t xml:space="preserve">Description and scale of key monetised costs by ‘main affected groups’ </w:t>
            </w:r>
          </w:p>
          <w:p w14:paraId="61E871E6" w14:textId="3AFD94C7" w:rsidR="00BF637E" w:rsidRDefault="00BF637E" w:rsidP="005E657C">
            <w:pPr>
              <w:pStyle w:val="IAPOA1"/>
              <w:rPr>
                <w:sz w:val="20"/>
              </w:rPr>
            </w:pPr>
            <w:r>
              <w:rPr>
                <w:sz w:val="20"/>
              </w:rPr>
              <w:t xml:space="preserve">As in the case of Option </w:t>
            </w:r>
            <w:r w:rsidR="00B66225">
              <w:rPr>
                <w:sz w:val="20"/>
              </w:rPr>
              <w:t>2a any</w:t>
            </w:r>
            <w:r w:rsidR="005243D8">
              <w:rPr>
                <w:sz w:val="20"/>
              </w:rPr>
              <w:t xml:space="preserve"> </w:t>
            </w:r>
            <w:r w:rsidR="003F3B9B">
              <w:rPr>
                <w:sz w:val="20"/>
              </w:rPr>
              <w:t xml:space="preserve">additional </w:t>
            </w:r>
            <w:r w:rsidR="005243D8">
              <w:rPr>
                <w:sz w:val="20"/>
              </w:rPr>
              <w:t>cost</w:t>
            </w:r>
            <w:r w:rsidR="003F3B9B">
              <w:rPr>
                <w:sz w:val="20"/>
              </w:rPr>
              <w:t>s</w:t>
            </w:r>
            <w:r w:rsidR="005243D8">
              <w:rPr>
                <w:sz w:val="20"/>
              </w:rPr>
              <w:t xml:space="preserve"> accruing to one side in negotiation would accrue to the other side as benefits. While it is again impossible to predict negotiation outcomes with a high degree of precision, outcomes are assumed to be closer to the status quo of zero net transfers in a process underpinned by statute.</w:t>
            </w:r>
            <w:r w:rsidR="003F3B9B">
              <w:rPr>
                <w:sz w:val="20"/>
              </w:rPr>
              <w:t xml:space="preserve"> The central estimate is again for payments to occur from TV platforms</w:t>
            </w:r>
            <w:r w:rsidR="0086713F">
              <w:rPr>
                <w:sz w:val="20"/>
              </w:rPr>
              <w:t xml:space="preserve"> to PSBs at</w:t>
            </w:r>
            <w:r w:rsidR="003F3B9B">
              <w:rPr>
                <w:sz w:val="20"/>
              </w:rPr>
              <w:t xml:space="preserve"> £32m p.a.</w:t>
            </w:r>
            <w:r w:rsidR="0086713F">
              <w:rPr>
                <w:sz w:val="20"/>
              </w:rPr>
              <w:t xml:space="preserve"> This transfer could, however, range from £20m to £40m.</w:t>
            </w:r>
          </w:p>
          <w:p w14:paraId="4B543975" w14:textId="77777777" w:rsidR="005243D8" w:rsidRDefault="005243D8" w:rsidP="005E657C">
            <w:pPr>
              <w:pStyle w:val="IAPOA1"/>
              <w:rPr>
                <w:sz w:val="20"/>
              </w:rPr>
            </w:pPr>
          </w:p>
          <w:p w14:paraId="14F1AFD9" w14:textId="7C711FA8" w:rsidR="005243D8" w:rsidRPr="00BF637E" w:rsidRDefault="005243D8" w:rsidP="005E657C">
            <w:pPr>
              <w:pStyle w:val="IAPOA1"/>
              <w:rPr>
                <w:sz w:val="20"/>
              </w:rPr>
            </w:pPr>
            <w:r>
              <w:rPr>
                <w:sz w:val="20"/>
              </w:rPr>
              <w:t xml:space="preserve">The discrepancy between costs and benefits under this option results from a small increase in costs to Ofcom due to the need to adjudicate negotiations between TV platforms and commercial PSBs. </w:t>
            </w:r>
            <w:r w:rsidR="003F3B9B">
              <w:rPr>
                <w:sz w:val="20"/>
              </w:rPr>
              <w:t>The net impact on business is zero.</w:t>
            </w:r>
          </w:p>
        </w:tc>
      </w:tr>
      <w:tr w:rsidR="000C327F" w:rsidRPr="00B8191D" w14:paraId="4C65F037" w14:textId="77777777" w:rsidTr="00BF637E">
        <w:trPr>
          <w:trHeight w:hRule="exact" w:val="1679"/>
        </w:trPr>
        <w:tc>
          <w:tcPr>
            <w:tcW w:w="10632" w:type="dxa"/>
            <w:gridSpan w:val="6"/>
            <w:tcBorders>
              <w:top w:val="single" w:sz="6" w:space="0" w:color="auto"/>
              <w:bottom w:val="single" w:sz="12" w:space="0" w:color="auto"/>
            </w:tcBorders>
            <w:shd w:val="clear" w:color="auto" w:fill="auto"/>
          </w:tcPr>
          <w:p w14:paraId="22E7FA92" w14:textId="77777777" w:rsidR="000C327F" w:rsidRPr="00B8191D" w:rsidRDefault="000C327F" w:rsidP="00434A91">
            <w:pPr>
              <w:pStyle w:val="IAPOQ2"/>
              <w:rPr>
                <w:szCs w:val="22"/>
              </w:rPr>
            </w:pPr>
            <w:r w:rsidRPr="00B8191D">
              <w:t xml:space="preserve">Other key non-monetised costs by ‘main affected groups’ </w:t>
            </w:r>
          </w:p>
          <w:p w14:paraId="38847414" w14:textId="77777777" w:rsidR="007F48BB" w:rsidRPr="00B8191D" w:rsidRDefault="007F48BB" w:rsidP="000D0ADA">
            <w:pPr>
              <w:pStyle w:val="IAPOA2"/>
              <w:rPr>
                <w:szCs w:val="22"/>
              </w:rPr>
            </w:pPr>
          </w:p>
        </w:tc>
      </w:tr>
      <w:tr w:rsidR="000C327F" w:rsidRPr="00B8191D" w14:paraId="53D0E584" w14:textId="77777777" w:rsidTr="00434A91">
        <w:trPr>
          <w:trHeight w:hRule="exact" w:val="567"/>
        </w:trPr>
        <w:tc>
          <w:tcPr>
            <w:tcW w:w="2263" w:type="dxa"/>
            <w:shd w:val="clear" w:color="auto" w:fill="FFFFFF"/>
          </w:tcPr>
          <w:p w14:paraId="7DBD5CB9" w14:textId="77777777" w:rsidR="000C327F" w:rsidRPr="00B8191D" w:rsidRDefault="000C327F" w:rsidP="00434A91">
            <w:pPr>
              <w:pStyle w:val="IATableLabel"/>
              <w:rPr>
                <w:sz w:val="24"/>
                <w:szCs w:val="24"/>
              </w:rPr>
            </w:pPr>
            <w:r w:rsidRPr="00B8191D">
              <w:rPr>
                <w:sz w:val="24"/>
                <w:szCs w:val="24"/>
              </w:rPr>
              <w:t>BENEFITS (£m)</w:t>
            </w:r>
          </w:p>
        </w:tc>
        <w:tc>
          <w:tcPr>
            <w:tcW w:w="2739" w:type="dxa"/>
            <w:gridSpan w:val="2"/>
            <w:tcBorders>
              <w:top w:val="single" w:sz="12" w:space="0" w:color="auto"/>
              <w:bottom w:val="single" w:sz="6" w:space="0" w:color="auto"/>
            </w:tcBorders>
            <w:shd w:val="clear" w:color="auto" w:fill="auto"/>
          </w:tcPr>
          <w:p w14:paraId="649B10E1" w14:textId="77777777" w:rsidR="000C327F" w:rsidRPr="00B8191D" w:rsidRDefault="000C327F" w:rsidP="00434A91">
            <w:pPr>
              <w:pStyle w:val="IATableLabel"/>
              <w:tabs>
                <w:tab w:val="right" w:pos="1797"/>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2BE36254" w14:textId="77777777" w:rsidR="000C327F" w:rsidRPr="00B8191D" w:rsidRDefault="000C327F" w:rsidP="00434A91">
            <w:pPr>
              <w:pStyle w:val="IATableLabel"/>
              <w:jc w:val="right"/>
            </w:pPr>
            <w:r w:rsidRPr="00B8191D">
              <w:br/>
            </w:r>
          </w:p>
        </w:tc>
        <w:tc>
          <w:tcPr>
            <w:tcW w:w="2865" w:type="dxa"/>
            <w:tcBorders>
              <w:bottom w:val="single" w:sz="6" w:space="0" w:color="auto"/>
              <w:right w:val="single" w:sz="12" w:space="0" w:color="auto"/>
            </w:tcBorders>
            <w:shd w:val="clear" w:color="auto" w:fill="auto"/>
          </w:tcPr>
          <w:p w14:paraId="4D3FFB25" w14:textId="77777777" w:rsidR="000C327F" w:rsidRPr="00B8191D" w:rsidRDefault="000C327F" w:rsidP="00434A91">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2A9290FC" w14:textId="77777777" w:rsidR="000C327F" w:rsidRPr="00B8191D" w:rsidRDefault="000C327F" w:rsidP="00434A91">
            <w:pPr>
              <w:pStyle w:val="IATableLabel"/>
              <w:jc w:val="right"/>
            </w:pPr>
            <w:r w:rsidRPr="00B8191D">
              <w:t>Total Benefit</w:t>
            </w:r>
            <w:r w:rsidRPr="00B8191D">
              <w:rPr>
                <w:b w:val="0"/>
                <w:sz w:val="18"/>
                <w:szCs w:val="18"/>
              </w:rPr>
              <w:t xml:space="preserve"> </w:t>
            </w:r>
            <w:r w:rsidRPr="00B8191D">
              <w:rPr>
                <w:b w:val="0"/>
                <w:sz w:val="18"/>
                <w:szCs w:val="18"/>
              </w:rPr>
              <w:br/>
              <w:t>(Present Value)</w:t>
            </w:r>
          </w:p>
        </w:tc>
      </w:tr>
      <w:tr w:rsidR="000C327F" w:rsidRPr="00B8191D" w14:paraId="5906D6B2" w14:textId="77777777" w:rsidTr="00434A91">
        <w:trPr>
          <w:trHeight w:hRule="exact" w:val="348"/>
        </w:trPr>
        <w:tc>
          <w:tcPr>
            <w:tcW w:w="2263" w:type="dxa"/>
            <w:tcBorders>
              <w:top w:val="single" w:sz="6" w:space="0" w:color="auto"/>
              <w:bottom w:val="single" w:sz="6" w:space="0" w:color="auto"/>
            </w:tcBorders>
            <w:shd w:val="clear" w:color="auto" w:fill="auto"/>
            <w:vAlign w:val="center"/>
          </w:tcPr>
          <w:p w14:paraId="1001EE38" w14:textId="77777777" w:rsidR="000C327F" w:rsidRPr="00B8191D" w:rsidRDefault="000C327F" w:rsidP="00434A91">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351C9816" w14:textId="2F3C6322" w:rsidR="000C327F" w:rsidRPr="00B8191D" w:rsidRDefault="0094069E" w:rsidP="00434A91">
            <w:pPr>
              <w:pStyle w:val="POTTCostsLow"/>
              <w:rPr>
                <w:sz w:val="20"/>
              </w:rPr>
            </w:pPr>
            <w:r>
              <w:rPr>
                <w:sz w:val="20"/>
              </w:rPr>
              <w:t>N/A</w:t>
            </w:r>
          </w:p>
        </w:tc>
        <w:tc>
          <w:tcPr>
            <w:tcW w:w="790" w:type="dxa"/>
            <w:vMerge w:val="restart"/>
            <w:tcBorders>
              <w:top w:val="single" w:sz="6" w:space="0" w:color="auto"/>
            </w:tcBorders>
            <w:shd w:val="clear" w:color="auto" w:fill="auto"/>
            <w:vAlign w:val="center"/>
          </w:tcPr>
          <w:p w14:paraId="2503513F" w14:textId="77777777" w:rsidR="000C327F" w:rsidRPr="00B8191D" w:rsidRDefault="000C327F" w:rsidP="00434A91">
            <w:pPr>
              <w:pStyle w:val="IATableText"/>
              <w:jc w:val="center"/>
              <w:rPr>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0B509BC8" w14:textId="2D14848B" w:rsidR="000C327F" w:rsidRPr="00B8191D" w:rsidRDefault="0094069E" w:rsidP="00434A91">
            <w:pPr>
              <w:pStyle w:val="POTBBenLow"/>
              <w:rPr>
                <w:b w:val="0"/>
                <w:sz w:val="20"/>
              </w:rPr>
            </w:pPr>
            <w:r>
              <w:rPr>
                <w:b w:val="0"/>
                <w:sz w:val="20"/>
              </w:rPr>
              <w:t>N/A</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2E74FC7B" w14:textId="52F261F3" w:rsidR="000C327F" w:rsidRPr="00B8191D" w:rsidRDefault="0094069E" w:rsidP="00434A91">
            <w:pPr>
              <w:pStyle w:val="POTBBenLow"/>
              <w:rPr>
                <w:sz w:val="20"/>
              </w:rPr>
            </w:pPr>
            <w:r>
              <w:rPr>
                <w:sz w:val="20"/>
              </w:rPr>
              <w:t>N/A</w:t>
            </w:r>
          </w:p>
        </w:tc>
      </w:tr>
      <w:tr w:rsidR="000C327F" w:rsidRPr="00B8191D" w14:paraId="0201781C" w14:textId="77777777" w:rsidTr="00434A91">
        <w:trPr>
          <w:trHeight w:hRule="exact" w:val="348"/>
        </w:trPr>
        <w:tc>
          <w:tcPr>
            <w:tcW w:w="2263" w:type="dxa"/>
            <w:tcBorders>
              <w:top w:val="single" w:sz="6" w:space="0" w:color="auto"/>
              <w:bottom w:val="single" w:sz="12" w:space="0" w:color="auto"/>
            </w:tcBorders>
            <w:shd w:val="clear" w:color="auto" w:fill="auto"/>
            <w:vAlign w:val="center"/>
          </w:tcPr>
          <w:p w14:paraId="76674699" w14:textId="77777777" w:rsidR="000C327F" w:rsidRPr="00B8191D" w:rsidRDefault="000C327F" w:rsidP="00434A91">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730C56E9" w14:textId="2087AB2F" w:rsidR="000C327F" w:rsidRPr="00B8191D" w:rsidRDefault="0094069E" w:rsidP="00434A91">
            <w:pPr>
              <w:pStyle w:val="POTTCostsHigh"/>
              <w:rPr>
                <w:sz w:val="20"/>
              </w:rPr>
            </w:pPr>
            <w:r>
              <w:rPr>
                <w:sz w:val="20"/>
              </w:rPr>
              <w:t>N/A</w:t>
            </w:r>
          </w:p>
        </w:tc>
        <w:tc>
          <w:tcPr>
            <w:tcW w:w="790" w:type="dxa"/>
            <w:vMerge/>
            <w:shd w:val="clear" w:color="auto" w:fill="FFFFFF"/>
            <w:vAlign w:val="center"/>
          </w:tcPr>
          <w:p w14:paraId="3B6F283F" w14:textId="77777777" w:rsidR="000C327F" w:rsidRPr="00B8191D" w:rsidRDefault="000C327F" w:rsidP="00434A9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3267DF9D" w14:textId="0B52FBBF" w:rsidR="000C327F" w:rsidRPr="00B8191D" w:rsidRDefault="0094069E" w:rsidP="00434A91">
            <w:pPr>
              <w:pStyle w:val="POTBBenHigh"/>
              <w:rPr>
                <w:b w:val="0"/>
                <w:sz w:val="20"/>
              </w:rPr>
            </w:pPr>
            <w:r>
              <w:rPr>
                <w:b w:val="0"/>
                <w:sz w:val="20"/>
              </w:rPr>
              <w:t>N/A</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55FA64FF" w14:textId="27301235" w:rsidR="000C327F" w:rsidRPr="00B8191D" w:rsidRDefault="0094069E" w:rsidP="00434A91">
            <w:pPr>
              <w:pStyle w:val="POTBBenHigh"/>
              <w:rPr>
                <w:sz w:val="20"/>
              </w:rPr>
            </w:pPr>
            <w:r>
              <w:rPr>
                <w:sz w:val="20"/>
              </w:rPr>
              <w:t>N/A</w:t>
            </w:r>
          </w:p>
        </w:tc>
      </w:tr>
      <w:tr w:rsidR="000C327F" w:rsidRPr="00B8191D" w14:paraId="7DFC518C" w14:textId="77777777" w:rsidTr="00434A91">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0D698C1D" w14:textId="77777777" w:rsidR="000C327F" w:rsidRPr="00B8191D" w:rsidRDefault="000C327F" w:rsidP="00434A91">
            <w:pPr>
              <w:pStyle w:val="IATableLabel"/>
            </w:pPr>
            <w:r w:rsidRPr="00B8191D">
              <w:t>Best Estimate</w:t>
            </w:r>
          </w:p>
          <w:p w14:paraId="2530E205" w14:textId="77777777" w:rsidR="000C327F" w:rsidRPr="00B8191D" w:rsidRDefault="000C327F" w:rsidP="00434A91">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5BAE1C" w14:textId="46E35505" w:rsidR="000C327F" w:rsidRPr="00B8191D" w:rsidRDefault="00F760E0" w:rsidP="00434A91">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14:paraId="5B334F46" w14:textId="77777777" w:rsidR="000C327F" w:rsidRPr="00B8191D" w:rsidRDefault="000C327F" w:rsidP="00434A9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5A7507DF" w14:textId="545FD48C" w:rsidR="000C327F" w:rsidRPr="00B8191D" w:rsidRDefault="005243D8" w:rsidP="00434A91">
            <w:pPr>
              <w:pStyle w:val="POTBBenBest"/>
              <w:rPr>
                <w:b w:val="0"/>
                <w:sz w:val="20"/>
              </w:rPr>
            </w:pPr>
            <w:r>
              <w:rPr>
                <w:b w:val="0"/>
                <w:sz w:val="20"/>
              </w:rPr>
              <w:t>31.7</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56BBCEE0" w14:textId="448289A1" w:rsidR="000C327F" w:rsidRPr="00B8191D" w:rsidRDefault="005243D8" w:rsidP="00434A91">
            <w:pPr>
              <w:pStyle w:val="POTBBenBest"/>
              <w:rPr>
                <w:sz w:val="20"/>
              </w:rPr>
            </w:pPr>
            <w:r>
              <w:rPr>
                <w:sz w:val="20"/>
              </w:rPr>
              <w:t>27</w:t>
            </w:r>
            <w:r w:rsidR="00224694">
              <w:rPr>
                <w:sz w:val="20"/>
              </w:rPr>
              <w:t>2.9</w:t>
            </w:r>
          </w:p>
        </w:tc>
      </w:tr>
      <w:tr w:rsidR="000C327F" w:rsidRPr="00B8191D" w14:paraId="025EC5E2" w14:textId="77777777" w:rsidTr="000F646D">
        <w:trPr>
          <w:trHeight w:hRule="exact" w:val="1526"/>
        </w:trPr>
        <w:tc>
          <w:tcPr>
            <w:tcW w:w="10632" w:type="dxa"/>
            <w:gridSpan w:val="6"/>
            <w:shd w:val="clear" w:color="auto" w:fill="auto"/>
          </w:tcPr>
          <w:p w14:paraId="53412CFE" w14:textId="2481B3EE" w:rsidR="000C327F" w:rsidRDefault="000C327F" w:rsidP="0086713F">
            <w:pPr>
              <w:pStyle w:val="IPPOQ3"/>
            </w:pPr>
            <w:r w:rsidRPr="00B8191D">
              <w:t xml:space="preserve">Description and scale of key monetised benefits by ‘main affected groups’ </w:t>
            </w:r>
          </w:p>
          <w:p w14:paraId="20088839" w14:textId="4FB25B6E" w:rsidR="005243D8" w:rsidRPr="0086713F" w:rsidRDefault="005243D8" w:rsidP="0086713F">
            <w:pPr>
              <w:pStyle w:val="IPPOQ3"/>
              <w:rPr>
                <w:b w:val="0"/>
                <w:szCs w:val="22"/>
              </w:rPr>
            </w:pPr>
            <w:r w:rsidRPr="0086713F">
              <w:rPr>
                <w:b w:val="0"/>
              </w:rPr>
              <w:t xml:space="preserve">Similar to Option 2a) any costs to one side in transfers between TV platforms and commercial PSBs will accrue as benefits to the other side. </w:t>
            </w:r>
            <w:r w:rsidR="003F3B9B" w:rsidRPr="0086713F">
              <w:rPr>
                <w:b w:val="0"/>
              </w:rPr>
              <w:t>The central estimate is for PSBs to benefit by £32m p.a.</w:t>
            </w:r>
            <w:r w:rsidR="0086713F" w:rsidRPr="0086713F">
              <w:rPr>
                <w:b w:val="0"/>
              </w:rPr>
              <w:t xml:space="preserve"> This transfer could, however, range from £20m to £40m.</w:t>
            </w:r>
          </w:p>
        </w:tc>
      </w:tr>
      <w:tr w:rsidR="000C327F" w:rsidRPr="00B8191D" w14:paraId="73B0CF47" w14:textId="77777777" w:rsidTr="00381795">
        <w:trPr>
          <w:trHeight w:hRule="exact" w:val="1687"/>
        </w:trPr>
        <w:tc>
          <w:tcPr>
            <w:tcW w:w="10632" w:type="dxa"/>
            <w:gridSpan w:val="6"/>
            <w:shd w:val="clear" w:color="auto" w:fill="auto"/>
          </w:tcPr>
          <w:p w14:paraId="08DA140B" w14:textId="77777777" w:rsidR="000C327F" w:rsidRPr="00B8191D" w:rsidRDefault="000C327F" w:rsidP="00434A91">
            <w:pPr>
              <w:pStyle w:val="IAPOQ4"/>
              <w:rPr>
                <w:szCs w:val="22"/>
              </w:rPr>
            </w:pPr>
            <w:r w:rsidRPr="00B8191D">
              <w:t xml:space="preserve">Other key non-monetised benefits by ‘main affected groups’ </w:t>
            </w:r>
          </w:p>
          <w:p w14:paraId="313FB288" w14:textId="2B286C9D" w:rsidR="00E848F4" w:rsidRPr="00B8191D" w:rsidRDefault="003F3B9B" w:rsidP="00434A91">
            <w:pPr>
              <w:pStyle w:val="IAPOA4"/>
            </w:pPr>
            <w:r>
              <w:rPr>
                <w:sz w:val="20"/>
              </w:rPr>
              <w:t>Should there be an increase in payments to commercial PSBs this may result in an increase in investment in original UK content (as PSBs spend proportionally more on UK original content than pay channels).</w:t>
            </w:r>
          </w:p>
        </w:tc>
      </w:tr>
      <w:tr w:rsidR="000C327F" w:rsidRPr="00B8191D" w14:paraId="7FFDF510" w14:textId="77777777" w:rsidTr="00434A91">
        <w:trPr>
          <w:trHeight w:hRule="exact" w:val="346"/>
        </w:trPr>
        <w:tc>
          <w:tcPr>
            <w:tcW w:w="9643" w:type="dxa"/>
            <w:gridSpan w:val="5"/>
            <w:tcBorders>
              <w:top w:val="single" w:sz="6" w:space="0" w:color="auto"/>
              <w:bottom w:val="nil"/>
            </w:tcBorders>
            <w:shd w:val="clear" w:color="auto" w:fill="auto"/>
          </w:tcPr>
          <w:p w14:paraId="610CDD7A" w14:textId="77777777" w:rsidR="000C327F" w:rsidRPr="00B8191D" w:rsidRDefault="000C327F" w:rsidP="00434A91">
            <w:pPr>
              <w:pStyle w:val="IATableLabel"/>
              <w:tabs>
                <w:tab w:val="left" w:pos="7655"/>
              </w:tabs>
            </w:pPr>
            <w:r w:rsidRPr="00B8191D">
              <w:rPr>
                <w:rStyle w:val="IAPOQ5Char"/>
                <w:b/>
              </w:rPr>
              <w:t>Key assumptions/sensitivities/risks</w:t>
            </w:r>
            <w:r w:rsidRPr="00B8191D">
              <w:tab/>
              <w:t>Discount rate (%)</w:t>
            </w:r>
          </w:p>
          <w:p w14:paraId="45996B29" w14:textId="77777777" w:rsidR="000C327F" w:rsidRPr="00B8191D" w:rsidRDefault="000C327F" w:rsidP="00434A91">
            <w:pPr>
              <w:pStyle w:val="IATableLabel"/>
            </w:pPr>
          </w:p>
        </w:tc>
        <w:tc>
          <w:tcPr>
            <w:tcW w:w="989" w:type="dxa"/>
            <w:tcBorders>
              <w:top w:val="single" w:sz="6" w:space="0" w:color="auto"/>
              <w:bottom w:val="single" w:sz="4" w:space="0" w:color="auto"/>
            </w:tcBorders>
            <w:shd w:val="clear" w:color="auto" w:fill="auto"/>
          </w:tcPr>
          <w:p w14:paraId="29B0D591" w14:textId="77777777" w:rsidR="000C327F" w:rsidRPr="00B8191D" w:rsidRDefault="000C327F" w:rsidP="00434A91">
            <w:pPr>
              <w:pStyle w:val="IAPODisRate"/>
            </w:pPr>
            <w:r w:rsidRPr="00B8191D">
              <w:t>3.50%</w:t>
            </w:r>
          </w:p>
        </w:tc>
      </w:tr>
      <w:tr w:rsidR="000C327F" w:rsidRPr="00B8191D" w14:paraId="7E524A2B" w14:textId="77777777" w:rsidTr="00381795">
        <w:trPr>
          <w:trHeight w:hRule="exact" w:val="1200"/>
        </w:trPr>
        <w:tc>
          <w:tcPr>
            <w:tcW w:w="10632" w:type="dxa"/>
            <w:gridSpan w:val="6"/>
            <w:tcBorders>
              <w:top w:val="nil"/>
              <w:bottom w:val="single" w:sz="12" w:space="0" w:color="auto"/>
            </w:tcBorders>
            <w:shd w:val="clear" w:color="auto" w:fill="auto"/>
          </w:tcPr>
          <w:p w14:paraId="11ED88A6" w14:textId="77777777" w:rsidR="003F3B9B" w:rsidRDefault="003F3B9B" w:rsidP="003F3B9B">
            <w:pPr>
              <w:pStyle w:val="IAPOA5"/>
              <w:rPr>
                <w:sz w:val="20"/>
              </w:rPr>
            </w:pPr>
          </w:p>
          <w:p w14:paraId="4CAF5B67" w14:textId="575C7B28" w:rsidR="000C327F" w:rsidRPr="00B8191D" w:rsidRDefault="003F3B9B" w:rsidP="003F3B9B">
            <w:pPr>
              <w:pStyle w:val="IAPOA5"/>
            </w:pPr>
            <w:r w:rsidRPr="00F81DB7">
              <w:rPr>
                <w:sz w:val="20"/>
              </w:rPr>
              <w:t xml:space="preserve">The risk of </w:t>
            </w:r>
            <w:r>
              <w:rPr>
                <w:sz w:val="20"/>
              </w:rPr>
              <w:t>negotiations failing in Option 2a) is negated by underpinning them by appointing Ofcom to adjudicate disputes over negotiations.</w:t>
            </w:r>
          </w:p>
        </w:tc>
      </w:tr>
    </w:tbl>
    <w:p w14:paraId="35F445F6" w14:textId="77777777" w:rsidR="000C327F" w:rsidRPr="00B8191D" w:rsidRDefault="000C327F" w:rsidP="000C327F">
      <w:pPr>
        <w:pStyle w:val="IASpacer"/>
        <w:spacing w:line="240" w:lineRule="auto"/>
        <w:rPr>
          <w:b/>
        </w:rPr>
      </w:pPr>
    </w:p>
    <w:p w14:paraId="772CCF65" w14:textId="28037F26" w:rsidR="000C327F" w:rsidRPr="00B8191D" w:rsidRDefault="000C327F" w:rsidP="000C327F">
      <w:pPr>
        <w:pStyle w:val="IAHeadLabel"/>
        <w:spacing w:before="50"/>
      </w:pPr>
      <w:r w:rsidRPr="00B8191D">
        <w:t xml:space="preserve">BUSINESS ASSESSMENT (Option </w:t>
      </w:r>
      <w:r w:rsidR="0094069E">
        <w:t>2b</w:t>
      </w:r>
      <w:r w:rsidRPr="00B8191D">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0C327F" w:rsidRPr="00B8191D" w14:paraId="626EAC2C" w14:textId="77777777" w:rsidTr="00434A91">
        <w:trPr>
          <w:trHeight w:hRule="exact" w:val="312"/>
        </w:trPr>
        <w:tc>
          <w:tcPr>
            <w:tcW w:w="6125" w:type="dxa"/>
            <w:gridSpan w:val="3"/>
            <w:tcBorders>
              <w:top w:val="single" w:sz="4" w:space="0" w:color="auto"/>
              <w:bottom w:val="nil"/>
              <w:right w:val="single" w:sz="4" w:space="0" w:color="auto"/>
            </w:tcBorders>
          </w:tcPr>
          <w:p w14:paraId="0D1D5E84" w14:textId="77777777" w:rsidR="000C327F" w:rsidRPr="00B8191D" w:rsidRDefault="000C327F" w:rsidP="00434A91">
            <w:pPr>
              <w:pStyle w:val="IATableLabel"/>
            </w:pPr>
            <w:r w:rsidRPr="00B8191D">
              <w:t xml:space="preserve">Direct impact on business (Equivalent Annual) £m: </w:t>
            </w:r>
          </w:p>
        </w:tc>
        <w:tc>
          <w:tcPr>
            <w:tcW w:w="1980" w:type="dxa"/>
            <w:tcBorders>
              <w:top w:val="single" w:sz="4" w:space="0" w:color="auto"/>
              <w:left w:val="single" w:sz="4" w:space="0" w:color="auto"/>
              <w:bottom w:val="nil"/>
              <w:right w:val="nil"/>
            </w:tcBorders>
          </w:tcPr>
          <w:p w14:paraId="3ABF9524" w14:textId="77777777" w:rsidR="000C327F" w:rsidRPr="00B8191D" w:rsidRDefault="00A27C7E" w:rsidP="00434A91">
            <w:pPr>
              <w:pStyle w:val="IATableLabel"/>
            </w:pPr>
            <w:r w:rsidRPr="00B8191D">
              <w:t>In scope of OIT</w:t>
            </w:r>
            <w:r w:rsidR="000C327F" w:rsidRPr="00B8191D">
              <w:t>O?</w:t>
            </w:r>
          </w:p>
        </w:tc>
        <w:tc>
          <w:tcPr>
            <w:tcW w:w="2110" w:type="dxa"/>
            <w:tcBorders>
              <w:top w:val="single" w:sz="4" w:space="0" w:color="auto"/>
              <w:left w:val="nil"/>
              <w:bottom w:val="nil"/>
              <w:right w:val="single" w:sz="4" w:space="0" w:color="auto"/>
            </w:tcBorders>
            <w:shd w:val="clear" w:color="auto" w:fill="auto"/>
          </w:tcPr>
          <w:p w14:paraId="62C95FD7" w14:textId="77777777" w:rsidR="000C327F" w:rsidRPr="00B8191D" w:rsidRDefault="000C327F" w:rsidP="00434A91">
            <w:pPr>
              <w:pStyle w:val="IATableLabel"/>
              <w:ind w:left="0"/>
            </w:pPr>
            <w:r w:rsidRPr="00B8191D">
              <w:t xml:space="preserve">  Measure qualifies as</w:t>
            </w:r>
          </w:p>
        </w:tc>
      </w:tr>
      <w:tr w:rsidR="000C327F" w:rsidRPr="00B8191D" w14:paraId="667EE3C2" w14:textId="77777777" w:rsidTr="00434A91">
        <w:trPr>
          <w:trHeight w:hRule="exact" w:val="340"/>
        </w:trPr>
        <w:tc>
          <w:tcPr>
            <w:tcW w:w="1990" w:type="dxa"/>
            <w:tcBorders>
              <w:top w:val="nil"/>
              <w:bottom w:val="single" w:sz="4" w:space="0" w:color="auto"/>
              <w:right w:val="single" w:sz="4" w:space="0" w:color="auto"/>
            </w:tcBorders>
            <w:shd w:val="clear" w:color="auto" w:fill="FFFFFF"/>
          </w:tcPr>
          <w:p w14:paraId="4ACFF17F" w14:textId="5EE6BE20" w:rsidR="000C327F" w:rsidRPr="00B8191D" w:rsidRDefault="000C327F" w:rsidP="000D0ADA">
            <w:pPr>
              <w:pStyle w:val="IATableLabel"/>
            </w:pPr>
            <w:r w:rsidRPr="00B8191D">
              <w:t xml:space="preserve">Costs: </w:t>
            </w:r>
            <w:r w:rsidR="00BF637E">
              <w:t>2</w:t>
            </w:r>
            <w:r w:rsidR="00224694">
              <w:t>4.9</w:t>
            </w:r>
          </w:p>
        </w:tc>
        <w:tc>
          <w:tcPr>
            <w:tcW w:w="2155" w:type="dxa"/>
            <w:tcBorders>
              <w:top w:val="nil"/>
              <w:bottom w:val="single" w:sz="4" w:space="0" w:color="auto"/>
              <w:right w:val="single" w:sz="4" w:space="0" w:color="auto"/>
            </w:tcBorders>
            <w:shd w:val="clear" w:color="auto" w:fill="FFFFFF"/>
          </w:tcPr>
          <w:p w14:paraId="267062FD" w14:textId="5518CD41" w:rsidR="000C327F" w:rsidRPr="00B8191D" w:rsidRDefault="000C327F" w:rsidP="000D0ADA">
            <w:pPr>
              <w:pStyle w:val="IATableLabel"/>
            </w:pPr>
            <w:r w:rsidRPr="00B8191D">
              <w:t xml:space="preserve">Benefits: </w:t>
            </w:r>
            <w:r w:rsidR="00BF637E">
              <w:t>2</w:t>
            </w:r>
            <w:r w:rsidR="00224694">
              <w:t>4.9</w:t>
            </w:r>
          </w:p>
        </w:tc>
        <w:tc>
          <w:tcPr>
            <w:tcW w:w="1980" w:type="dxa"/>
            <w:tcBorders>
              <w:top w:val="nil"/>
              <w:bottom w:val="single" w:sz="4" w:space="0" w:color="auto"/>
              <w:right w:val="single" w:sz="4" w:space="0" w:color="auto"/>
            </w:tcBorders>
            <w:shd w:val="clear" w:color="auto" w:fill="FFFFFF"/>
          </w:tcPr>
          <w:p w14:paraId="4092532F" w14:textId="5A3CE20F" w:rsidR="000C327F" w:rsidRPr="00B8191D" w:rsidRDefault="000C327F" w:rsidP="000D0ADA">
            <w:pPr>
              <w:pStyle w:val="IATableLabel"/>
            </w:pPr>
            <w:r w:rsidRPr="00B8191D">
              <w:t xml:space="preserve">Net: </w:t>
            </w:r>
            <w:r w:rsidR="00F760E0">
              <w:t>0</w:t>
            </w:r>
          </w:p>
        </w:tc>
        <w:tc>
          <w:tcPr>
            <w:tcW w:w="1980" w:type="dxa"/>
            <w:tcBorders>
              <w:top w:val="nil"/>
              <w:left w:val="single" w:sz="4" w:space="0" w:color="auto"/>
              <w:bottom w:val="single" w:sz="4" w:space="0" w:color="auto"/>
              <w:right w:val="single" w:sz="4" w:space="0" w:color="auto"/>
            </w:tcBorders>
            <w:shd w:val="clear" w:color="auto" w:fill="FFFFFF"/>
          </w:tcPr>
          <w:p w14:paraId="488E12A8" w14:textId="6CB9480A" w:rsidR="000C327F" w:rsidRPr="00B8191D" w:rsidRDefault="00F760E0" w:rsidP="00434A91">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14:paraId="0D6E960B" w14:textId="1B0DABBC" w:rsidR="000C327F" w:rsidRPr="00B8191D" w:rsidRDefault="00F760E0" w:rsidP="00434A91">
            <w:pPr>
              <w:pStyle w:val="IAPODIMQ"/>
            </w:pPr>
            <w:r>
              <w:t>IN</w:t>
            </w:r>
          </w:p>
        </w:tc>
      </w:tr>
    </w:tbl>
    <w:p w14:paraId="2CF4796C" w14:textId="77777777" w:rsidR="000C327F" w:rsidRPr="00B8191D" w:rsidRDefault="000C327F" w:rsidP="000C327F">
      <w:pPr>
        <w:sectPr w:rsidR="000C327F" w:rsidRPr="00B8191D" w:rsidSect="00F1328C">
          <w:footnotePr>
            <w:numRestart w:val="eachSect"/>
          </w:footnotePr>
          <w:pgSz w:w="11907" w:h="16840" w:code="9"/>
          <w:pgMar w:top="680" w:right="851" w:bottom="680" w:left="851" w:header="284" w:footer="284" w:gutter="0"/>
          <w:cols w:space="708"/>
          <w:docGrid w:linePitch="360"/>
        </w:sectPr>
      </w:pPr>
    </w:p>
    <w:p w14:paraId="39E2E5F2" w14:textId="0762FDED" w:rsidR="009A331A" w:rsidRPr="00B8191D" w:rsidRDefault="009A331A" w:rsidP="009A331A">
      <w:pPr>
        <w:pStyle w:val="Heading1"/>
        <w:spacing w:before="0"/>
      </w:pPr>
      <w:r w:rsidRPr="00B8191D">
        <w:lastRenderedPageBreak/>
        <w:t>Summary: Analysis &amp; Evidence</w:t>
      </w:r>
      <w:r w:rsidRPr="00B8191D">
        <w:tab/>
        <w:t xml:space="preserve">Option </w:t>
      </w:r>
      <w:r w:rsidR="00B30F40">
        <w:t>3a</w:t>
      </w:r>
      <w:r>
        <w:t>)</w:t>
      </w:r>
    </w:p>
    <w:p w14:paraId="509C5A37" w14:textId="3AF26070" w:rsidR="009A331A" w:rsidRPr="00B8191D" w:rsidRDefault="009A331A" w:rsidP="009A331A">
      <w:pPr>
        <w:pStyle w:val="IAHeadLabel"/>
        <w:spacing w:before="50"/>
      </w:pPr>
      <w:r w:rsidRPr="00B8191D">
        <w:t xml:space="preserve">Description: </w:t>
      </w:r>
      <w:r w:rsidR="00B30F40">
        <w:t>Extend EPG regulations</w:t>
      </w:r>
      <w:r w:rsidRPr="00B8191D">
        <w:rPr>
          <w:rStyle w:val="IAPODescriptionCharChar"/>
        </w:rPr>
        <w:fldChar w:fldCharType="begin">
          <w:ffData>
            <w:name w:val="Text70"/>
            <w:enabled/>
            <w:calcOnExit w:val="0"/>
            <w:textInput>
              <w:maxLength w:val="230"/>
            </w:textInput>
          </w:ffData>
        </w:fldChar>
      </w:r>
      <w:r w:rsidRPr="00B8191D">
        <w:rPr>
          <w:rStyle w:val="IAPODescriptionCharChar"/>
        </w:rPr>
        <w:instrText xml:space="preserve"> FORMTEXT </w:instrText>
      </w:r>
      <w:r w:rsidRPr="00B8191D">
        <w:rPr>
          <w:rStyle w:val="IAPODescriptionCharChar"/>
        </w:rPr>
      </w:r>
      <w:r w:rsidRPr="00B8191D">
        <w:rPr>
          <w:rStyle w:val="IAPODescriptionCharChar"/>
        </w:rPr>
        <w:fldChar w:fldCharType="separate"/>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rPr>
        <w:fldChar w:fldCharType="end"/>
      </w:r>
    </w:p>
    <w:p w14:paraId="193DE000" w14:textId="77777777" w:rsidR="009A331A" w:rsidRPr="00B8191D" w:rsidRDefault="009A331A" w:rsidP="009A331A">
      <w:pPr>
        <w:pStyle w:val="IAHeadLabel"/>
        <w:spacing w:before="50"/>
      </w:pPr>
      <w:r w:rsidRPr="00B8191D">
        <w:t>FULL ECONOMIC ASSESSMENT</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284"/>
        <w:gridCol w:w="1468"/>
        <w:gridCol w:w="1835"/>
        <w:gridCol w:w="1862"/>
        <w:gridCol w:w="2719"/>
      </w:tblGrid>
      <w:tr w:rsidR="009A331A" w:rsidRPr="00B8191D" w14:paraId="3F08AA7D" w14:textId="77777777" w:rsidTr="007D2BF8">
        <w:trPr>
          <w:trHeight w:hRule="exact" w:val="312"/>
        </w:trPr>
        <w:tc>
          <w:tcPr>
            <w:tcW w:w="1464" w:type="dxa"/>
            <w:vMerge w:val="restart"/>
            <w:shd w:val="clear" w:color="auto" w:fill="auto"/>
          </w:tcPr>
          <w:p w14:paraId="75C728AD" w14:textId="78F73C1C" w:rsidR="009A331A" w:rsidRPr="00B8191D" w:rsidRDefault="009A331A" w:rsidP="007D2BF8">
            <w:pPr>
              <w:pStyle w:val="POPBY"/>
              <w:ind w:right="0"/>
            </w:pPr>
            <w:r w:rsidRPr="00B8191D">
              <w:t xml:space="preserve">Price Base Year  </w:t>
            </w:r>
            <w:r w:rsidR="00B30F40">
              <w:rPr>
                <w:b w:val="0"/>
              </w:rPr>
              <w:t>2015</w:t>
            </w:r>
          </w:p>
        </w:tc>
        <w:tc>
          <w:tcPr>
            <w:tcW w:w="1284" w:type="dxa"/>
            <w:vMerge w:val="restart"/>
            <w:shd w:val="clear" w:color="auto" w:fill="auto"/>
          </w:tcPr>
          <w:p w14:paraId="74707C64" w14:textId="77777777" w:rsidR="009A331A" w:rsidRPr="00B8191D" w:rsidRDefault="009A331A" w:rsidP="007D2BF8">
            <w:pPr>
              <w:pStyle w:val="POPVBY"/>
              <w:ind w:right="0"/>
            </w:pPr>
            <w:r w:rsidRPr="00B8191D">
              <w:t xml:space="preserve">PV Base Year  </w:t>
            </w:r>
            <w:r>
              <w:rPr>
                <w:b w:val="0"/>
              </w:rPr>
              <w:t>2015</w:t>
            </w:r>
          </w:p>
        </w:tc>
        <w:tc>
          <w:tcPr>
            <w:tcW w:w="1468" w:type="dxa"/>
            <w:vMerge w:val="restart"/>
            <w:tcBorders>
              <w:right w:val="single" w:sz="12" w:space="0" w:color="auto"/>
            </w:tcBorders>
            <w:shd w:val="clear" w:color="auto" w:fill="auto"/>
          </w:tcPr>
          <w:p w14:paraId="1A60F8CC" w14:textId="77777777" w:rsidR="009A331A" w:rsidRPr="00B8191D" w:rsidRDefault="009A331A" w:rsidP="007D2BF8">
            <w:pPr>
              <w:pStyle w:val="POTPY"/>
              <w:ind w:right="0"/>
            </w:pPr>
            <w:r w:rsidRPr="00B8191D">
              <w:t xml:space="preserve">Time Period Years  </w:t>
            </w:r>
            <w:r w:rsidRPr="00B8191D">
              <w:rPr>
                <w:b w:val="0"/>
              </w:rPr>
              <w:t>10</w:t>
            </w:r>
          </w:p>
        </w:tc>
        <w:tc>
          <w:tcPr>
            <w:tcW w:w="6416" w:type="dxa"/>
            <w:gridSpan w:val="3"/>
            <w:tcBorders>
              <w:top w:val="single" w:sz="12" w:space="0" w:color="auto"/>
              <w:left w:val="single" w:sz="12" w:space="0" w:color="auto"/>
              <w:bottom w:val="single" w:sz="4" w:space="0" w:color="auto"/>
              <w:right w:val="single" w:sz="12" w:space="0" w:color="auto"/>
            </w:tcBorders>
            <w:shd w:val="clear" w:color="auto" w:fill="FFFFFF"/>
          </w:tcPr>
          <w:p w14:paraId="15357650" w14:textId="77777777" w:rsidR="009A331A" w:rsidRPr="00B8191D" w:rsidRDefault="009A331A" w:rsidP="007D2BF8">
            <w:pPr>
              <w:pStyle w:val="IATableLabel"/>
              <w:ind w:right="0"/>
              <w:jc w:val="center"/>
            </w:pPr>
            <w:r w:rsidRPr="00B8191D">
              <w:t>Net Benefit (Present Value (PV)) (£m)</w:t>
            </w:r>
          </w:p>
        </w:tc>
      </w:tr>
      <w:tr w:rsidR="009A331A" w:rsidRPr="00B8191D" w14:paraId="69E9E157" w14:textId="77777777" w:rsidTr="007D2BF8">
        <w:trPr>
          <w:trHeight w:hRule="exact" w:val="340"/>
        </w:trPr>
        <w:tc>
          <w:tcPr>
            <w:tcW w:w="1464" w:type="dxa"/>
            <w:vMerge/>
            <w:shd w:val="clear" w:color="auto" w:fill="auto"/>
          </w:tcPr>
          <w:p w14:paraId="4A814591" w14:textId="77777777" w:rsidR="009A331A" w:rsidRPr="00B8191D" w:rsidRDefault="009A331A" w:rsidP="007D2BF8">
            <w:pPr>
              <w:pStyle w:val="IATableNotes"/>
              <w:ind w:left="0" w:right="0"/>
              <w:rPr>
                <w:b/>
                <w:sz w:val="20"/>
              </w:rPr>
            </w:pPr>
          </w:p>
        </w:tc>
        <w:tc>
          <w:tcPr>
            <w:tcW w:w="1284" w:type="dxa"/>
            <w:vMerge/>
            <w:shd w:val="clear" w:color="auto" w:fill="auto"/>
          </w:tcPr>
          <w:p w14:paraId="5C56A271" w14:textId="77777777" w:rsidR="009A331A" w:rsidRPr="00B8191D" w:rsidRDefault="009A331A" w:rsidP="007D2BF8">
            <w:pPr>
              <w:pStyle w:val="IATableNotes"/>
              <w:ind w:left="0" w:right="0"/>
              <w:rPr>
                <w:b/>
                <w:sz w:val="20"/>
              </w:rPr>
            </w:pPr>
          </w:p>
        </w:tc>
        <w:tc>
          <w:tcPr>
            <w:tcW w:w="1468" w:type="dxa"/>
            <w:vMerge/>
            <w:tcBorders>
              <w:right w:val="single" w:sz="12" w:space="0" w:color="auto"/>
            </w:tcBorders>
            <w:shd w:val="clear" w:color="auto" w:fill="auto"/>
          </w:tcPr>
          <w:p w14:paraId="02A2AFEE" w14:textId="77777777" w:rsidR="009A331A" w:rsidRPr="00B8191D" w:rsidRDefault="009A331A" w:rsidP="007D2BF8">
            <w:pPr>
              <w:pStyle w:val="IATableNotes"/>
              <w:ind w:left="0" w:right="0"/>
              <w:rPr>
                <w:b/>
                <w:sz w:val="20"/>
              </w:rPr>
            </w:pPr>
          </w:p>
        </w:tc>
        <w:tc>
          <w:tcPr>
            <w:tcW w:w="1835" w:type="dxa"/>
            <w:tcBorders>
              <w:top w:val="single" w:sz="4" w:space="0" w:color="auto"/>
              <w:left w:val="single" w:sz="12" w:space="0" w:color="auto"/>
              <w:bottom w:val="single" w:sz="12" w:space="0" w:color="auto"/>
              <w:right w:val="single" w:sz="4" w:space="0" w:color="auto"/>
            </w:tcBorders>
            <w:shd w:val="clear" w:color="auto" w:fill="auto"/>
          </w:tcPr>
          <w:p w14:paraId="36440000" w14:textId="3FC9FD40" w:rsidR="009A331A" w:rsidRPr="00B8191D" w:rsidRDefault="009A331A" w:rsidP="007D2BF8">
            <w:pPr>
              <w:pStyle w:val="IATableLabel"/>
              <w:ind w:right="0"/>
              <w:rPr>
                <w:bCs/>
              </w:rPr>
            </w:pPr>
            <w:r w:rsidRPr="00B8191D">
              <w:t xml:space="preserve">Low: </w:t>
            </w:r>
            <w:r w:rsidR="00B30F40">
              <w:t>0</w:t>
            </w:r>
          </w:p>
        </w:tc>
        <w:tc>
          <w:tcPr>
            <w:tcW w:w="1862" w:type="dxa"/>
            <w:tcBorders>
              <w:top w:val="single" w:sz="4" w:space="0" w:color="auto"/>
              <w:left w:val="single" w:sz="4" w:space="0" w:color="auto"/>
              <w:bottom w:val="single" w:sz="12" w:space="0" w:color="auto"/>
              <w:right w:val="single" w:sz="12" w:space="0" w:color="auto"/>
            </w:tcBorders>
            <w:shd w:val="clear" w:color="auto" w:fill="auto"/>
          </w:tcPr>
          <w:p w14:paraId="69C0BEDD" w14:textId="1CA347E9" w:rsidR="009A331A" w:rsidRPr="00B8191D" w:rsidRDefault="009A331A" w:rsidP="007D2BF8">
            <w:pPr>
              <w:pStyle w:val="IATableLabel"/>
              <w:ind w:right="0"/>
              <w:rPr>
                <w:rFonts w:cs="Arial"/>
                <w:bCs/>
                <w:szCs w:val="18"/>
              </w:rPr>
            </w:pPr>
            <w:r w:rsidRPr="00B8191D">
              <w:t xml:space="preserve">High: </w:t>
            </w:r>
            <w:r w:rsidR="00B30F40">
              <w:t>0</w:t>
            </w:r>
          </w:p>
        </w:tc>
        <w:tc>
          <w:tcPr>
            <w:tcW w:w="2719" w:type="dxa"/>
            <w:tcBorders>
              <w:top w:val="single" w:sz="12" w:space="0" w:color="auto"/>
              <w:left w:val="single" w:sz="12" w:space="0" w:color="auto"/>
              <w:bottom w:val="single" w:sz="12" w:space="0" w:color="auto"/>
              <w:right w:val="single" w:sz="12" w:space="0" w:color="auto"/>
            </w:tcBorders>
            <w:shd w:val="clear" w:color="auto" w:fill="FFFFFF"/>
          </w:tcPr>
          <w:p w14:paraId="22672457" w14:textId="3F0A6E4A" w:rsidR="009A331A" w:rsidRPr="00B8191D" w:rsidRDefault="009A331A" w:rsidP="007D2BF8">
            <w:pPr>
              <w:pStyle w:val="IATableLabel"/>
              <w:ind w:right="0"/>
              <w:rPr>
                <w:szCs w:val="18"/>
              </w:rPr>
            </w:pPr>
            <w:r w:rsidRPr="00B8191D">
              <w:t>Best Estimate:</w:t>
            </w:r>
            <w:r w:rsidR="00B30F40">
              <w:t xml:space="preserve"> 0 </w:t>
            </w:r>
          </w:p>
        </w:tc>
      </w:tr>
    </w:tbl>
    <w:p w14:paraId="4C76A83D" w14:textId="77777777" w:rsidR="009A331A" w:rsidRPr="00B8191D" w:rsidRDefault="009A331A" w:rsidP="009A331A">
      <w:pPr>
        <w:pStyle w:val="IASpacer"/>
        <w:spacing w:line="240" w:lineRule="auto"/>
      </w:pPr>
    </w:p>
    <w:tbl>
      <w:tblPr>
        <w:tblW w:w="5194"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63"/>
        <w:gridCol w:w="1949"/>
        <w:gridCol w:w="790"/>
        <w:gridCol w:w="2865"/>
        <w:gridCol w:w="1776"/>
        <w:gridCol w:w="989"/>
      </w:tblGrid>
      <w:tr w:rsidR="009A331A" w:rsidRPr="00B8191D" w14:paraId="3CB9B3B8" w14:textId="77777777" w:rsidTr="007D2BF8">
        <w:trPr>
          <w:trHeight w:hRule="exact" w:val="567"/>
        </w:trPr>
        <w:tc>
          <w:tcPr>
            <w:tcW w:w="2263" w:type="dxa"/>
            <w:shd w:val="clear" w:color="auto" w:fill="FFFFFF"/>
          </w:tcPr>
          <w:p w14:paraId="7F20F9A2" w14:textId="77777777" w:rsidR="009A331A" w:rsidRPr="00B8191D" w:rsidRDefault="009A331A" w:rsidP="007D2BF8">
            <w:pPr>
              <w:pStyle w:val="IATableLabel"/>
              <w:rPr>
                <w:sz w:val="24"/>
                <w:szCs w:val="24"/>
              </w:rPr>
            </w:pPr>
            <w:r w:rsidRPr="00B8191D">
              <w:rPr>
                <w:sz w:val="24"/>
                <w:szCs w:val="24"/>
              </w:rPr>
              <w:t>COSTS (£m)</w:t>
            </w:r>
          </w:p>
        </w:tc>
        <w:tc>
          <w:tcPr>
            <w:tcW w:w="2739" w:type="dxa"/>
            <w:gridSpan w:val="2"/>
            <w:tcBorders>
              <w:top w:val="single" w:sz="12" w:space="0" w:color="auto"/>
              <w:bottom w:val="single" w:sz="6" w:space="0" w:color="auto"/>
            </w:tcBorders>
            <w:shd w:val="clear" w:color="auto" w:fill="auto"/>
          </w:tcPr>
          <w:p w14:paraId="2F15B503" w14:textId="77777777" w:rsidR="009A331A" w:rsidRPr="00B8191D" w:rsidRDefault="009A331A" w:rsidP="007D2BF8">
            <w:pPr>
              <w:pStyle w:val="IATableLabel"/>
              <w:tabs>
                <w:tab w:val="right" w:pos="1800"/>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6ECE02FD" w14:textId="77777777" w:rsidR="009A331A" w:rsidRPr="00B8191D" w:rsidRDefault="009A331A" w:rsidP="007D2BF8">
            <w:pPr>
              <w:pStyle w:val="IATableLabel"/>
              <w:jc w:val="right"/>
            </w:pPr>
            <w:r w:rsidRPr="00B8191D">
              <w:br/>
            </w:r>
          </w:p>
        </w:tc>
        <w:tc>
          <w:tcPr>
            <w:tcW w:w="2865" w:type="dxa"/>
            <w:tcBorders>
              <w:bottom w:val="single" w:sz="6" w:space="0" w:color="auto"/>
              <w:right w:val="single" w:sz="12" w:space="0" w:color="auto"/>
            </w:tcBorders>
            <w:shd w:val="clear" w:color="auto" w:fill="auto"/>
          </w:tcPr>
          <w:p w14:paraId="70558803" w14:textId="77777777" w:rsidR="009A331A" w:rsidRPr="00B8191D" w:rsidRDefault="009A331A" w:rsidP="007D2BF8">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1C4FCEB5" w14:textId="77777777" w:rsidR="009A331A" w:rsidRPr="00B8191D" w:rsidRDefault="009A331A" w:rsidP="007D2BF8">
            <w:pPr>
              <w:pStyle w:val="IATableLabel"/>
              <w:jc w:val="right"/>
            </w:pPr>
            <w:r w:rsidRPr="00B8191D">
              <w:t>Total Cost</w:t>
            </w:r>
            <w:r w:rsidRPr="00B8191D">
              <w:rPr>
                <w:b w:val="0"/>
                <w:sz w:val="18"/>
                <w:szCs w:val="18"/>
              </w:rPr>
              <w:t xml:space="preserve"> </w:t>
            </w:r>
            <w:r w:rsidRPr="00B8191D">
              <w:rPr>
                <w:b w:val="0"/>
                <w:sz w:val="18"/>
                <w:szCs w:val="18"/>
              </w:rPr>
              <w:br/>
              <w:t>(Present Value)</w:t>
            </w:r>
          </w:p>
        </w:tc>
      </w:tr>
      <w:tr w:rsidR="009A331A" w:rsidRPr="00B8191D" w14:paraId="327494A2" w14:textId="77777777" w:rsidTr="007D2BF8">
        <w:trPr>
          <w:trHeight w:hRule="exact" w:val="348"/>
        </w:trPr>
        <w:tc>
          <w:tcPr>
            <w:tcW w:w="2263" w:type="dxa"/>
            <w:tcBorders>
              <w:top w:val="single" w:sz="6" w:space="0" w:color="auto"/>
              <w:bottom w:val="single" w:sz="6" w:space="0" w:color="auto"/>
            </w:tcBorders>
            <w:shd w:val="clear" w:color="auto" w:fill="auto"/>
            <w:vAlign w:val="center"/>
          </w:tcPr>
          <w:p w14:paraId="3B307C00" w14:textId="77777777" w:rsidR="009A331A" w:rsidRPr="00B8191D" w:rsidRDefault="009A331A" w:rsidP="007D2BF8">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4E11E3E4" w14:textId="33872B94" w:rsidR="009A331A" w:rsidRPr="00B8191D" w:rsidRDefault="003E5FE2" w:rsidP="007D2BF8">
            <w:pPr>
              <w:pStyle w:val="POTTCostsLow"/>
              <w:rPr>
                <w:sz w:val="20"/>
              </w:rPr>
            </w:pPr>
            <w:r>
              <w:rPr>
                <w:sz w:val="20"/>
              </w:rPr>
              <w:t>21.1</w:t>
            </w:r>
          </w:p>
        </w:tc>
        <w:tc>
          <w:tcPr>
            <w:tcW w:w="790" w:type="dxa"/>
            <w:vMerge w:val="restart"/>
            <w:tcBorders>
              <w:top w:val="single" w:sz="6" w:space="0" w:color="auto"/>
            </w:tcBorders>
            <w:shd w:val="clear" w:color="auto" w:fill="auto"/>
            <w:vAlign w:val="center"/>
          </w:tcPr>
          <w:p w14:paraId="1F607E24" w14:textId="01420E7F" w:rsidR="009A331A" w:rsidRPr="00B8191D" w:rsidRDefault="003E5FE2" w:rsidP="007D2BF8">
            <w:pPr>
              <w:pStyle w:val="POTTCostsYear"/>
              <w:rPr>
                <w:sz w:val="20"/>
                <w:szCs w:val="20"/>
              </w:rPr>
            </w:pPr>
            <w:r>
              <w:rPr>
                <w:sz w:val="20"/>
                <w:szCs w:val="20"/>
              </w:rPr>
              <w:t>1</w:t>
            </w:r>
          </w:p>
        </w:tc>
        <w:tc>
          <w:tcPr>
            <w:tcW w:w="2865" w:type="dxa"/>
            <w:tcBorders>
              <w:top w:val="single" w:sz="6" w:space="0" w:color="auto"/>
              <w:bottom w:val="single" w:sz="6" w:space="0" w:color="auto"/>
              <w:right w:val="single" w:sz="12" w:space="0" w:color="auto"/>
            </w:tcBorders>
            <w:shd w:val="clear" w:color="auto" w:fill="auto"/>
            <w:vAlign w:val="center"/>
          </w:tcPr>
          <w:p w14:paraId="53D3FC86" w14:textId="7C23D85E" w:rsidR="009A331A" w:rsidRPr="00B8191D" w:rsidRDefault="003E5FE2" w:rsidP="007D2BF8">
            <w:pPr>
              <w:pStyle w:val="POAACostsLow"/>
              <w:rPr>
                <w:sz w:val="20"/>
              </w:rPr>
            </w:pPr>
            <w:r>
              <w:rPr>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068B8B88" w14:textId="06309745" w:rsidR="009A331A" w:rsidRPr="00B8191D" w:rsidRDefault="00B30F40" w:rsidP="007D2BF8">
            <w:pPr>
              <w:pStyle w:val="POTCCostsLow"/>
              <w:rPr>
                <w:sz w:val="20"/>
              </w:rPr>
            </w:pPr>
            <w:r>
              <w:rPr>
                <w:sz w:val="20"/>
              </w:rPr>
              <w:t>2</w:t>
            </w:r>
            <w:r w:rsidR="003E5FE2">
              <w:rPr>
                <w:sz w:val="20"/>
              </w:rPr>
              <w:t>1.1</w:t>
            </w:r>
          </w:p>
        </w:tc>
      </w:tr>
      <w:tr w:rsidR="009A331A" w:rsidRPr="00B8191D" w14:paraId="0C96B1DE" w14:textId="77777777" w:rsidTr="007D2BF8">
        <w:trPr>
          <w:trHeight w:hRule="exact" w:val="348"/>
        </w:trPr>
        <w:tc>
          <w:tcPr>
            <w:tcW w:w="2263" w:type="dxa"/>
            <w:tcBorders>
              <w:top w:val="single" w:sz="6" w:space="0" w:color="auto"/>
              <w:bottom w:val="single" w:sz="12" w:space="0" w:color="auto"/>
            </w:tcBorders>
            <w:shd w:val="clear" w:color="auto" w:fill="auto"/>
            <w:vAlign w:val="center"/>
          </w:tcPr>
          <w:p w14:paraId="3D76D57B" w14:textId="77777777" w:rsidR="009A331A" w:rsidRPr="00B8191D" w:rsidRDefault="009A331A" w:rsidP="007D2BF8">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12E8A63B" w14:textId="1127F521" w:rsidR="009A331A" w:rsidRPr="00B8191D" w:rsidRDefault="003E5FE2" w:rsidP="007D2BF8">
            <w:pPr>
              <w:pStyle w:val="POTTCostsHigh"/>
              <w:rPr>
                <w:sz w:val="20"/>
              </w:rPr>
            </w:pPr>
            <w:r>
              <w:rPr>
                <w:sz w:val="20"/>
              </w:rPr>
              <w:t>100.4</w:t>
            </w:r>
          </w:p>
        </w:tc>
        <w:tc>
          <w:tcPr>
            <w:tcW w:w="790" w:type="dxa"/>
            <w:vMerge/>
            <w:shd w:val="clear" w:color="auto" w:fill="FFFFFF"/>
            <w:vAlign w:val="center"/>
          </w:tcPr>
          <w:p w14:paraId="023DD10C" w14:textId="77777777" w:rsidR="009A331A" w:rsidRPr="00B8191D" w:rsidRDefault="009A331A" w:rsidP="007D2BF8">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88961E6" w14:textId="44F3BC45" w:rsidR="009A331A" w:rsidRPr="00B8191D" w:rsidRDefault="003E5FE2" w:rsidP="007D2BF8">
            <w:pPr>
              <w:pStyle w:val="POAACostsHigh"/>
              <w:rPr>
                <w:sz w:val="20"/>
              </w:rPr>
            </w:pPr>
            <w:r>
              <w:rPr>
                <w:sz w:val="20"/>
              </w:rPr>
              <w:t>0</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697D724C" w14:textId="558A6F44" w:rsidR="009A331A" w:rsidRPr="00B8191D" w:rsidRDefault="003E5FE2" w:rsidP="007D2BF8">
            <w:pPr>
              <w:pStyle w:val="POTCCostsHigh"/>
              <w:rPr>
                <w:sz w:val="20"/>
              </w:rPr>
            </w:pPr>
            <w:r>
              <w:rPr>
                <w:sz w:val="20"/>
              </w:rPr>
              <w:t>100.4</w:t>
            </w:r>
          </w:p>
        </w:tc>
      </w:tr>
      <w:tr w:rsidR="009A331A" w:rsidRPr="00B8191D" w14:paraId="378E0565" w14:textId="77777777" w:rsidTr="007D2BF8">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0C32467A" w14:textId="77777777" w:rsidR="009A331A" w:rsidRPr="00B8191D" w:rsidRDefault="009A331A" w:rsidP="007D2BF8">
            <w:pPr>
              <w:pStyle w:val="IATableLabel"/>
            </w:pPr>
            <w:r w:rsidRPr="00B8191D">
              <w:t>Best Estimate</w:t>
            </w:r>
          </w:p>
          <w:p w14:paraId="7FC66BF7" w14:textId="77777777" w:rsidR="009A331A" w:rsidRPr="00B8191D" w:rsidRDefault="009A331A" w:rsidP="007D2BF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A28E507" w14:textId="3ADB797E" w:rsidR="009A331A" w:rsidRPr="00B8191D" w:rsidRDefault="003E5FE2" w:rsidP="007D2BF8">
            <w:pPr>
              <w:pStyle w:val="POTTCostsBest"/>
              <w:rPr>
                <w:sz w:val="20"/>
              </w:rPr>
            </w:pPr>
            <w:r>
              <w:rPr>
                <w:sz w:val="20"/>
              </w:rPr>
              <w:t>60.8</w:t>
            </w:r>
          </w:p>
        </w:tc>
        <w:tc>
          <w:tcPr>
            <w:tcW w:w="790" w:type="dxa"/>
            <w:vMerge/>
            <w:tcBorders>
              <w:left w:val="single" w:sz="12" w:space="0" w:color="auto"/>
              <w:right w:val="single" w:sz="12" w:space="0" w:color="auto"/>
            </w:tcBorders>
            <w:shd w:val="clear" w:color="auto" w:fill="FFFFFF"/>
            <w:vAlign w:val="center"/>
          </w:tcPr>
          <w:p w14:paraId="0DE738F4" w14:textId="77777777" w:rsidR="009A331A" w:rsidRPr="00B8191D" w:rsidRDefault="009A331A" w:rsidP="007D2BF8">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A80A268" w14:textId="10D09EEF" w:rsidR="009A331A" w:rsidRPr="00B8191D" w:rsidRDefault="003E5FE2" w:rsidP="007D2BF8">
            <w:pPr>
              <w:pStyle w:val="POAACostsBest"/>
              <w:rPr>
                <w:sz w:val="20"/>
              </w:rPr>
            </w:pPr>
            <w:r>
              <w:rPr>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33E371B5" w14:textId="2E6DE73B" w:rsidR="009A331A" w:rsidRPr="00B8191D" w:rsidRDefault="003E5FE2" w:rsidP="007D2BF8">
            <w:pPr>
              <w:pStyle w:val="POTCCostsBest"/>
              <w:rPr>
                <w:sz w:val="20"/>
              </w:rPr>
            </w:pPr>
            <w:r>
              <w:rPr>
                <w:sz w:val="20"/>
              </w:rPr>
              <w:t>60.8</w:t>
            </w:r>
          </w:p>
        </w:tc>
      </w:tr>
      <w:tr w:rsidR="009A331A" w:rsidRPr="00B8191D" w14:paraId="3B9D1953" w14:textId="77777777" w:rsidTr="00B30F40">
        <w:trPr>
          <w:trHeight w:hRule="exact" w:val="2297"/>
        </w:trPr>
        <w:tc>
          <w:tcPr>
            <w:tcW w:w="10632" w:type="dxa"/>
            <w:gridSpan w:val="6"/>
            <w:tcBorders>
              <w:bottom w:val="single" w:sz="6" w:space="0" w:color="auto"/>
            </w:tcBorders>
            <w:shd w:val="clear" w:color="auto" w:fill="auto"/>
          </w:tcPr>
          <w:p w14:paraId="5E71C8F5" w14:textId="77777777" w:rsidR="009A331A" w:rsidRPr="00B8191D" w:rsidRDefault="009A331A" w:rsidP="007D2BF8">
            <w:pPr>
              <w:pStyle w:val="IAPOQ1"/>
              <w:rPr>
                <w:szCs w:val="22"/>
              </w:rPr>
            </w:pPr>
            <w:r w:rsidRPr="00B8191D">
              <w:t xml:space="preserve">Description and scale of key monetised costs by ‘main affected groups’ </w:t>
            </w:r>
          </w:p>
          <w:p w14:paraId="213B5803" w14:textId="77777777" w:rsidR="009A331A" w:rsidRDefault="009A331A" w:rsidP="007D2BF8">
            <w:pPr>
              <w:pStyle w:val="IAPOA1"/>
            </w:pPr>
          </w:p>
          <w:p w14:paraId="2E8E741C" w14:textId="4F9D1ECA" w:rsidR="006D06D8" w:rsidRPr="00F81DB7" w:rsidRDefault="006D06D8" w:rsidP="007D2BF8">
            <w:pPr>
              <w:pStyle w:val="IAPOA1"/>
              <w:rPr>
                <w:sz w:val="20"/>
              </w:rPr>
            </w:pPr>
            <w:r w:rsidRPr="00F81DB7">
              <w:rPr>
                <w:sz w:val="20"/>
              </w:rPr>
              <w:t xml:space="preserve">By extending the EPG regime </w:t>
            </w:r>
            <w:r>
              <w:rPr>
                <w:sz w:val="20"/>
              </w:rPr>
              <w:t xml:space="preserve">PSBs will be guaranteed prominence in new and alternative channel / content discovery systems. This is effectively transferring an asset to PSBs from businesses that could have attempted to monetise prominence in those systems (which could be platform operators but could also be TV manufacturers or other businesses). The current value of that asset is estimated at £21m. However, as uptake of alternative systems increases the value of this asset is expected to increase and could be as high as £100m in 10 years time. The transfer would take place in year one of the </w:t>
            </w:r>
            <w:r w:rsidR="00F81DB7">
              <w:rPr>
                <w:sz w:val="20"/>
              </w:rPr>
              <w:t>regulations</w:t>
            </w:r>
            <w:r>
              <w:rPr>
                <w:sz w:val="20"/>
              </w:rPr>
              <w:t xml:space="preserve"> coming into force but for the central estimate we take a mid-point of the potential 10 year range of values to reflect that the asset is expected to increase in value.</w:t>
            </w:r>
          </w:p>
          <w:p w14:paraId="4E3753F7" w14:textId="3FC04924" w:rsidR="00B30F40" w:rsidRPr="00B30F40" w:rsidRDefault="00B30F40" w:rsidP="0064255D">
            <w:pPr>
              <w:pStyle w:val="IAPOA1"/>
              <w:rPr>
                <w:sz w:val="20"/>
              </w:rPr>
            </w:pPr>
          </w:p>
        </w:tc>
      </w:tr>
      <w:tr w:rsidR="009A331A" w:rsidRPr="00B8191D" w14:paraId="59B92A9E" w14:textId="77777777" w:rsidTr="00B30F40">
        <w:trPr>
          <w:trHeight w:hRule="exact" w:val="1677"/>
        </w:trPr>
        <w:tc>
          <w:tcPr>
            <w:tcW w:w="10632" w:type="dxa"/>
            <w:gridSpan w:val="6"/>
            <w:tcBorders>
              <w:top w:val="single" w:sz="6" w:space="0" w:color="auto"/>
              <w:bottom w:val="single" w:sz="12" w:space="0" w:color="auto"/>
            </w:tcBorders>
            <w:shd w:val="clear" w:color="auto" w:fill="auto"/>
          </w:tcPr>
          <w:p w14:paraId="14E162E4" w14:textId="77777777" w:rsidR="009A331A" w:rsidRPr="00B8191D" w:rsidRDefault="009A331A" w:rsidP="007D2BF8">
            <w:pPr>
              <w:pStyle w:val="IAPOQ2"/>
              <w:rPr>
                <w:szCs w:val="22"/>
              </w:rPr>
            </w:pPr>
            <w:r w:rsidRPr="00B8191D">
              <w:t xml:space="preserve">Other key non-monetised costs by ‘main affected groups’ </w:t>
            </w:r>
          </w:p>
          <w:p w14:paraId="259B8139" w14:textId="4FF78CDB" w:rsidR="009A331A" w:rsidRPr="00F81DB7" w:rsidRDefault="00131260" w:rsidP="007D2BF8">
            <w:pPr>
              <w:pStyle w:val="IAPOA2"/>
              <w:rPr>
                <w:sz w:val="20"/>
                <w:szCs w:val="22"/>
              </w:rPr>
            </w:pPr>
            <w:r>
              <w:rPr>
                <w:sz w:val="20"/>
                <w:szCs w:val="22"/>
              </w:rPr>
              <w:t>Extending the EPG regulations may impose some costs on, for example, smart TV manufacturers who produce their systems for a global market and may need to adjust these for specific UK requirements. The Department is seeking further information on this through the consultation process.</w:t>
            </w:r>
          </w:p>
        </w:tc>
      </w:tr>
      <w:tr w:rsidR="009A331A" w:rsidRPr="00B8191D" w14:paraId="731D5F85" w14:textId="77777777" w:rsidTr="007D2BF8">
        <w:trPr>
          <w:trHeight w:hRule="exact" w:val="567"/>
        </w:trPr>
        <w:tc>
          <w:tcPr>
            <w:tcW w:w="2263" w:type="dxa"/>
            <w:shd w:val="clear" w:color="auto" w:fill="FFFFFF"/>
          </w:tcPr>
          <w:p w14:paraId="2FA4D11B" w14:textId="77777777" w:rsidR="009A331A" w:rsidRPr="00B8191D" w:rsidRDefault="009A331A" w:rsidP="007D2BF8">
            <w:pPr>
              <w:pStyle w:val="IATableLabel"/>
              <w:rPr>
                <w:sz w:val="24"/>
                <w:szCs w:val="24"/>
              </w:rPr>
            </w:pPr>
            <w:r w:rsidRPr="00B8191D">
              <w:rPr>
                <w:sz w:val="24"/>
                <w:szCs w:val="24"/>
              </w:rPr>
              <w:t>BENEFITS (£m)</w:t>
            </w:r>
          </w:p>
        </w:tc>
        <w:tc>
          <w:tcPr>
            <w:tcW w:w="2739" w:type="dxa"/>
            <w:gridSpan w:val="2"/>
            <w:tcBorders>
              <w:top w:val="single" w:sz="12" w:space="0" w:color="auto"/>
              <w:bottom w:val="single" w:sz="6" w:space="0" w:color="auto"/>
            </w:tcBorders>
            <w:shd w:val="clear" w:color="auto" w:fill="auto"/>
          </w:tcPr>
          <w:p w14:paraId="60F6CD40" w14:textId="77777777" w:rsidR="009A331A" w:rsidRPr="00B8191D" w:rsidRDefault="009A331A" w:rsidP="007D2BF8">
            <w:pPr>
              <w:pStyle w:val="IATableLabel"/>
              <w:tabs>
                <w:tab w:val="right" w:pos="1797"/>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772D0549" w14:textId="77777777" w:rsidR="009A331A" w:rsidRPr="00B8191D" w:rsidRDefault="009A331A" w:rsidP="007D2BF8">
            <w:pPr>
              <w:pStyle w:val="IATableLabel"/>
              <w:jc w:val="right"/>
            </w:pPr>
            <w:r w:rsidRPr="00B8191D">
              <w:br/>
            </w:r>
          </w:p>
        </w:tc>
        <w:tc>
          <w:tcPr>
            <w:tcW w:w="2865" w:type="dxa"/>
            <w:tcBorders>
              <w:bottom w:val="single" w:sz="6" w:space="0" w:color="auto"/>
              <w:right w:val="single" w:sz="12" w:space="0" w:color="auto"/>
            </w:tcBorders>
            <w:shd w:val="clear" w:color="auto" w:fill="auto"/>
          </w:tcPr>
          <w:p w14:paraId="1530B716" w14:textId="77777777" w:rsidR="009A331A" w:rsidRPr="00B8191D" w:rsidRDefault="009A331A" w:rsidP="007D2BF8">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08EC7A52" w14:textId="77777777" w:rsidR="009A331A" w:rsidRPr="00B8191D" w:rsidRDefault="009A331A" w:rsidP="007D2BF8">
            <w:pPr>
              <w:pStyle w:val="IATableLabel"/>
              <w:jc w:val="right"/>
            </w:pPr>
            <w:r w:rsidRPr="00B8191D">
              <w:t>Total Benefit</w:t>
            </w:r>
            <w:r w:rsidRPr="00B8191D">
              <w:rPr>
                <w:b w:val="0"/>
                <w:sz w:val="18"/>
                <w:szCs w:val="18"/>
              </w:rPr>
              <w:t xml:space="preserve"> </w:t>
            </w:r>
            <w:r w:rsidRPr="00B8191D">
              <w:rPr>
                <w:b w:val="0"/>
                <w:sz w:val="18"/>
                <w:szCs w:val="18"/>
              </w:rPr>
              <w:br/>
              <w:t>(Present Value)</w:t>
            </w:r>
          </w:p>
        </w:tc>
      </w:tr>
      <w:tr w:rsidR="009A331A" w:rsidRPr="00B8191D" w14:paraId="73A2BEC5" w14:textId="77777777" w:rsidTr="007D2BF8">
        <w:trPr>
          <w:trHeight w:hRule="exact" w:val="348"/>
        </w:trPr>
        <w:tc>
          <w:tcPr>
            <w:tcW w:w="2263" w:type="dxa"/>
            <w:tcBorders>
              <w:top w:val="single" w:sz="6" w:space="0" w:color="auto"/>
              <w:bottom w:val="single" w:sz="6" w:space="0" w:color="auto"/>
            </w:tcBorders>
            <w:shd w:val="clear" w:color="auto" w:fill="auto"/>
            <w:vAlign w:val="center"/>
          </w:tcPr>
          <w:p w14:paraId="48E67950" w14:textId="77777777" w:rsidR="009A331A" w:rsidRPr="00B8191D" w:rsidRDefault="009A331A" w:rsidP="007D2BF8">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4CC8BF9D" w14:textId="4EC2B4C8" w:rsidR="009A331A" w:rsidRPr="00B8191D" w:rsidRDefault="003E5FE2" w:rsidP="007D2BF8">
            <w:pPr>
              <w:pStyle w:val="POTTCostsLow"/>
              <w:rPr>
                <w:sz w:val="20"/>
              </w:rPr>
            </w:pPr>
            <w:r>
              <w:rPr>
                <w:sz w:val="20"/>
              </w:rPr>
              <w:t>21.1</w:t>
            </w:r>
          </w:p>
        </w:tc>
        <w:tc>
          <w:tcPr>
            <w:tcW w:w="790" w:type="dxa"/>
            <w:vMerge w:val="restart"/>
            <w:tcBorders>
              <w:top w:val="single" w:sz="6" w:space="0" w:color="auto"/>
            </w:tcBorders>
            <w:shd w:val="clear" w:color="auto" w:fill="auto"/>
            <w:vAlign w:val="center"/>
          </w:tcPr>
          <w:p w14:paraId="4C6BC3CC" w14:textId="3E419889" w:rsidR="009A331A" w:rsidRPr="00B8191D" w:rsidRDefault="003E5FE2" w:rsidP="007D2BF8">
            <w:pPr>
              <w:pStyle w:val="IATableText"/>
              <w:jc w:val="center"/>
              <w:rPr>
                <w:sz w:val="20"/>
              </w:rPr>
            </w:pPr>
            <w:r>
              <w:rPr>
                <w:sz w:val="20"/>
              </w:rPr>
              <w:t>1</w:t>
            </w:r>
          </w:p>
        </w:tc>
        <w:tc>
          <w:tcPr>
            <w:tcW w:w="2865" w:type="dxa"/>
            <w:tcBorders>
              <w:top w:val="single" w:sz="6" w:space="0" w:color="auto"/>
              <w:bottom w:val="single" w:sz="6" w:space="0" w:color="auto"/>
              <w:right w:val="single" w:sz="12" w:space="0" w:color="auto"/>
            </w:tcBorders>
            <w:shd w:val="clear" w:color="auto" w:fill="auto"/>
            <w:vAlign w:val="center"/>
          </w:tcPr>
          <w:p w14:paraId="5D435A2D" w14:textId="1E9E3A2B" w:rsidR="009A331A" w:rsidRPr="00B8191D" w:rsidRDefault="003E5FE2" w:rsidP="007D2BF8">
            <w:pPr>
              <w:pStyle w:val="POTBBenLow"/>
              <w:rPr>
                <w:b w:val="0"/>
                <w:sz w:val="20"/>
              </w:rPr>
            </w:pPr>
            <w:r>
              <w:rPr>
                <w:b w:val="0"/>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7BE74DDB" w14:textId="372A5179" w:rsidR="009A331A" w:rsidRPr="00B8191D" w:rsidRDefault="00B30F40" w:rsidP="007D2BF8">
            <w:pPr>
              <w:pStyle w:val="POTBBenLow"/>
              <w:rPr>
                <w:sz w:val="20"/>
              </w:rPr>
            </w:pPr>
            <w:r>
              <w:rPr>
                <w:sz w:val="20"/>
              </w:rPr>
              <w:t>2</w:t>
            </w:r>
            <w:r w:rsidR="003E5FE2">
              <w:rPr>
                <w:sz w:val="20"/>
              </w:rPr>
              <w:t>1.1</w:t>
            </w:r>
          </w:p>
        </w:tc>
      </w:tr>
      <w:tr w:rsidR="009A331A" w:rsidRPr="00B8191D" w14:paraId="35621AA2" w14:textId="77777777" w:rsidTr="007D2BF8">
        <w:trPr>
          <w:trHeight w:hRule="exact" w:val="348"/>
        </w:trPr>
        <w:tc>
          <w:tcPr>
            <w:tcW w:w="2263" w:type="dxa"/>
            <w:tcBorders>
              <w:top w:val="single" w:sz="6" w:space="0" w:color="auto"/>
              <w:bottom w:val="single" w:sz="12" w:space="0" w:color="auto"/>
            </w:tcBorders>
            <w:shd w:val="clear" w:color="auto" w:fill="auto"/>
            <w:vAlign w:val="center"/>
          </w:tcPr>
          <w:p w14:paraId="457D8147" w14:textId="77777777" w:rsidR="009A331A" w:rsidRPr="00B8191D" w:rsidRDefault="009A331A" w:rsidP="007D2BF8">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7AD5686A" w14:textId="6D845E3B" w:rsidR="009A331A" w:rsidRPr="00B8191D" w:rsidRDefault="003E5FE2" w:rsidP="007D2BF8">
            <w:pPr>
              <w:pStyle w:val="POTTCostsHigh"/>
              <w:rPr>
                <w:sz w:val="20"/>
              </w:rPr>
            </w:pPr>
            <w:r>
              <w:rPr>
                <w:sz w:val="20"/>
              </w:rPr>
              <w:t>100.4</w:t>
            </w:r>
          </w:p>
        </w:tc>
        <w:tc>
          <w:tcPr>
            <w:tcW w:w="790" w:type="dxa"/>
            <w:vMerge/>
            <w:shd w:val="clear" w:color="auto" w:fill="FFFFFF"/>
            <w:vAlign w:val="center"/>
          </w:tcPr>
          <w:p w14:paraId="6813B2BA" w14:textId="77777777" w:rsidR="009A331A" w:rsidRPr="00B8191D" w:rsidRDefault="009A331A" w:rsidP="007D2BF8">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56BC6C1A" w14:textId="0A1FDE05" w:rsidR="009A331A" w:rsidRPr="00B8191D" w:rsidRDefault="003E5FE2" w:rsidP="003E5FE2">
            <w:pPr>
              <w:pStyle w:val="POTBBenHigh"/>
              <w:rPr>
                <w:b w:val="0"/>
                <w:sz w:val="20"/>
              </w:rPr>
            </w:pPr>
            <w:r>
              <w:rPr>
                <w:b w:val="0"/>
                <w:sz w:val="20"/>
              </w:rPr>
              <w:t>0</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158BF5D1" w14:textId="03951E8B" w:rsidR="009A331A" w:rsidRPr="00B8191D" w:rsidRDefault="003E5FE2" w:rsidP="007D2BF8">
            <w:pPr>
              <w:pStyle w:val="POTBBenHigh"/>
              <w:rPr>
                <w:sz w:val="20"/>
              </w:rPr>
            </w:pPr>
            <w:r>
              <w:rPr>
                <w:sz w:val="20"/>
              </w:rPr>
              <w:t>100.4</w:t>
            </w:r>
          </w:p>
        </w:tc>
      </w:tr>
      <w:tr w:rsidR="009A331A" w:rsidRPr="00B8191D" w14:paraId="57FCDE18" w14:textId="77777777" w:rsidTr="007D2BF8">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0FA48C2D" w14:textId="77777777" w:rsidR="009A331A" w:rsidRPr="00B8191D" w:rsidRDefault="009A331A" w:rsidP="007D2BF8">
            <w:pPr>
              <w:pStyle w:val="IATableLabel"/>
            </w:pPr>
            <w:r w:rsidRPr="00B8191D">
              <w:t>Best Estimate</w:t>
            </w:r>
          </w:p>
          <w:p w14:paraId="36A24D3A" w14:textId="77777777" w:rsidR="009A331A" w:rsidRPr="00B8191D" w:rsidRDefault="009A331A" w:rsidP="007D2BF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B796A5D" w14:textId="0AC15ADE" w:rsidR="009A331A" w:rsidRPr="00B8191D" w:rsidRDefault="003E5FE2" w:rsidP="007D2BF8">
            <w:pPr>
              <w:pStyle w:val="POTTCostsBest"/>
              <w:rPr>
                <w:sz w:val="20"/>
              </w:rPr>
            </w:pPr>
            <w:r>
              <w:rPr>
                <w:sz w:val="20"/>
              </w:rPr>
              <w:t>60.8</w:t>
            </w:r>
          </w:p>
        </w:tc>
        <w:tc>
          <w:tcPr>
            <w:tcW w:w="790" w:type="dxa"/>
            <w:vMerge/>
            <w:tcBorders>
              <w:left w:val="single" w:sz="12" w:space="0" w:color="auto"/>
              <w:right w:val="single" w:sz="12" w:space="0" w:color="auto"/>
            </w:tcBorders>
            <w:shd w:val="clear" w:color="auto" w:fill="FFFFFF"/>
            <w:vAlign w:val="center"/>
          </w:tcPr>
          <w:p w14:paraId="4BF21F6B" w14:textId="77777777" w:rsidR="009A331A" w:rsidRPr="00B8191D" w:rsidRDefault="009A331A" w:rsidP="007D2BF8">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2AC171A" w14:textId="36C7BC1C" w:rsidR="009A331A" w:rsidRPr="00B8191D" w:rsidRDefault="003E5FE2" w:rsidP="007D2BF8">
            <w:pPr>
              <w:pStyle w:val="POTBBenBest"/>
              <w:rPr>
                <w:b w:val="0"/>
                <w:sz w:val="20"/>
              </w:rPr>
            </w:pPr>
            <w:r>
              <w:rPr>
                <w:b w:val="0"/>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3EFF0202" w14:textId="27884043" w:rsidR="009A331A" w:rsidRPr="00B8191D" w:rsidRDefault="003E5FE2" w:rsidP="007D2BF8">
            <w:pPr>
              <w:pStyle w:val="POTBBenBest"/>
              <w:rPr>
                <w:sz w:val="20"/>
              </w:rPr>
            </w:pPr>
            <w:r>
              <w:rPr>
                <w:sz w:val="20"/>
              </w:rPr>
              <w:t>60.8</w:t>
            </w:r>
          </w:p>
        </w:tc>
      </w:tr>
      <w:tr w:rsidR="009A331A" w:rsidRPr="00B8191D" w14:paraId="143B8FBE" w14:textId="77777777" w:rsidTr="00B30F40">
        <w:trPr>
          <w:trHeight w:hRule="exact" w:val="1809"/>
        </w:trPr>
        <w:tc>
          <w:tcPr>
            <w:tcW w:w="10632" w:type="dxa"/>
            <w:gridSpan w:val="6"/>
            <w:shd w:val="clear" w:color="auto" w:fill="auto"/>
          </w:tcPr>
          <w:p w14:paraId="1AE1109E" w14:textId="77777777" w:rsidR="009A331A" w:rsidRPr="00B8191D" w:rsidRDefault="009A331A" w:rsidP="007D2BF8">
            <w:pPr>
              <w:pStyle w:val="IPPOQ3"/>
              <w:rPr>
                <w:szCs w:val="22"/>
              </w:rPr>
            </w:pPr>
            <w:r w:rsidRPr="00B8191D">
              <w:t xml:space="preserve">Description and scale of key monetised benefits by ‘main affected groups’ </w:t>
            </w:r>
          </w:p>
          <w:p w14:paraId="7359A41E" w14:textId="77777777" w:rsidR="009A331A" w:rsidRDefault="009A331A" w:rsidP="007D2BF8">
            <w:pPr>
              <w:pStyle w:val="IAPOA3"/>
            </w:pPr>
          </w:p>
          <w:p w14:paraId="47474554" w14:textId="04831F94" w:rsidR="00B30F40" w:rsidRPr="00B30F40" w:rsidRDefault="00F546F7" w:rsidP="00F546F7">
            <w:pPr>
              <w:pStyle w:val="IAPOA3"/>
              <w:rPr>
                <w:sz w:val="20"/>
              </w:rPr>
            </w:pPr>
            <w:r>
              <w:rPr>
                <w:sz w:val="20"/>
              </w:rPr>
              <w:t xml:space="preserve">As a result of this asset transfer PSBs benefit to exactly balance the costs above, i.e. they gain an asset worth £21m </w:t>
            </w:r>
            <w:r w:rsidR="00F81DB7">
              <w:rPr>
                <w:sz w:val="20"/>
              </w:rPr>
              <w:t>now, which</w:t>
            </w:r>
            <w:r>
              <w:rPr>
                <w:sz w:val="20"/>
              </w:rPr>
              <w:t xml:space="preserve"> could rise up to £100m over the next 10 years. The BBC is within scope of this change and will capture approximately </w:t>
            </w:r>
            <w:r w:rsidR="00131260">
              <w:rPr>
                <w:sz w:val="20"/>
              </w:rPr>
              <w:t>£8m to £40m of the asset value, making this option a net cost to business.</w:t>
            </w:r>
          </w:p>
        </w:tc>
      </w:tr>
      <w:tr w:rsidR="009A331A" w:rsidRPr="00B8191D" w14:paraId="13A30150" w14:textId="77777777" w:rsidTr="00B30F40">
        <w:trPr>
          <w:trHeight w:hRule="exact" w:val="1538"/>
        </w:trPr>
        <w:tc>
          <w:tcPr>
            <w:tcW w:w="10632" w:type="dxa"/>
            <w:gridSpan w:val="6"/>
            <w:shd w:val="clear" w:color="auto" w:fill="auto"/>
          </w:tcPr>
          <w:p w14:paraId="4C0638E6" w14:textId="77777777" w:rsidR="009A331A" w:rsidRPr="00B8191D" w:rsidRDefault="009A331A" w:rsidP="007D2BF8">
            <w:pPr>
              <w:pStyle w:val="IAPOQ4"/>
              <w:rPr>
                <w:szCs w:val="22"/>
              </w:rPr>
            </w:pPr>
            <w:r w:rsidRPr="00B8191D">
              <w:t xml:space="preserve">Other key non-monetised benefits by ‘main affected groups’ </w:t>
            </w:r>
          </w:p>
          <w:p w14:paraId="25C1B755" w14:textId="15F203F5" w:rsidR="009A331A" w:rsidRPr="00B8191D" w:rsidRDefault="00131260" w:rsidP="007D2BF8">
            <w:pPr>
              <w:pStyle w:val="IAPOA4"/>
            </w:pPr>
            <w:r w:rsidRPr="00F81DB7">
              <w:rPr>
                <w:sz w:val="20"/>
              </w:rPr>
              <w:t xml:space="preserve">Securing </w:t>
            </w:r>
            <w:r w:rsidR="002E7CDB">
              <w:rPr>
                <w:sz w:val="20"/>
              </w:rPr>
              <w:t>prominence will</w:t>
            </w:r>
            <w:r>
              <w:rPr>
                <w:sz w:val="20"/>
              </w:rPr>
              <w:t xml:space="preserve"> help commercial PSBs maintain their advertising revenue</w:t>
            </w:r>
            <w:r w:rsidR="002E7CDB">
              <w:rPr>
                <w:sz w:val="20"/>
              </w:rPr>
              <w:t xml:space="preserve"> as viewers switch to alternative systems in the future. This may result in an increase in investment in original UK content (as PSBs spend proportionally more on UK original content than pay channels), or at least a lesser decline than might be expected should commercial PSB revenue fall.</w:t>
            </w:r>
          </w:p>
        </w:tc>
      </w:tr>
      <w:tr w:rsidR="009A331A" w:rsidRPr="00B8191D" w14:paraId="6C044FD8" w14:textId="77777777" w:rsidTr="007D2BF8">
        <w:trPr>
          <w:trHeight w:hRule="exact" w:val="346"/>
        </w:trPr>
        <w:tc>
          <w:tcPr>
            <w:tcW w:w="9643" w:type="dxa"/>
            <w:gridSpan w:val="5"/>
            <w:tcBorders>
              <w:top w:val="single" w:sz="6" w:space="0" w:color="auto"/>
              <w:bottom w:val="nil"/>
            </w:tcBorders>
            <w:shd w:val="clear" w:color="auto" w:fill="auto"/>
          </w:tcPr>
          <w:p w14:paraId="6F760DD6" w14:textId="77777777" w:rsidR="009A331A" w:rsidRPr="00B8191D" w:rsidRDefault="009A331A" w:rsidP="007D2BF8">
            <w:pPr>
              <w:pStyle w:val="IATableLabel"/>
              <w:tabs>
                <w:tab w:val="left" w:pos="7655"/>
              </w:tabs>
            </w:pPr>
            <w:r w:rsidRPr="00B8191D">
              <w:rPr>
                <w:rStyle w:val="IAPOQ5Char"/>
                <w:b/>
              </w:rPr>
              <w:t>Key assumptions/sensitivities/risks</w:t>
            </w:r>
            <w:r w:rsidRPr="00B8191D">
              <w:tab/>
              <w:t>Discount rate (%)</w:t>
            </w:r>
          </w:p>
          <w:p w14:paraId="1EFDB84A" w14:textId="77777777" w:rsidR="009A331A" w:rsidRPr="00B8191D" w:rsidRDefault="009A331A" w:rsidP="007D2BF8">
            <w:pPr>
              <w:pStyle w:val="IATableLabel"/>
            </w:pPr>
          </w:p>
        </w:tc>
        <w:tc>
          <w:tcPr>
            <w:tcW w:w="989" w:type="dxa"/>
            <w:tcBorders>
              <w:top w:val="single" w:sz="6" w:space="0" w:color="auto"/>
              <w:bottom w:val="single" w:sz="4" w:space="0" w:color="auto"/>
            </w:tcBorders>
            <w:shd w:val="clear" w:color="auto" w:fill="auto"/>
          </w:tcPr>
          <w:p w14:paraId="0693B7F1" w14:textId="77777777" w:rsidR="009A331A" w:rsidRPr="00B8191D" w:rsidRDefault="009A331A" w:rsidP="007D2BF8">
            <w:pPr>
              <w:pStyle w:val="IAPODisRate"/>
            </w:pPr>
            <w:r w:rsidRPr="00B8191D">
              <w:t>3.50%</w:t>
            </w:r>
          </w:p>
        </w:tc>
      </w:tr>
      <w:tr w:rsidR="009A331A" w:rsidRPr="00B8191D" w14:paraId="259581DF" w14:textId="77777777" w:rsidTr="00F81DB7">
        <w:trPr>
          <w:trHeight w:hRule="exact" w:val="1091"/>
        </w:trPr>
        <w:tc>
          <w:tcPr>
            <w:tcW w:w="10632" w:type="dxa"/>
            <w:gridSpan w:val="6"/>
            <w:tcBorders>
              <w:top w:val="nil"/>
              <w:bottom w:val="single" w:sz="12" w:space="0" w:color="auto"/>
            </w:tcBorders>
            <w:shd w:val="clear" w:color="auto" w:fill="auto"/>
          </w:tcPr>
          <w:p w14:paraId="507762FB" w14:textId="775727E2" w:rsidR="009A331A" w:rsidRPr="00F81DB7" w:rsidRDefault="002E7CDB" w:rsidP="007D2BF8">
            <w:pPr>
              <w:pStyle w:val="IAPOA5"/>
              <w:rPr>
                <w:sz w:val="20"/>
              </w:rPr>
            </w:pPr>
            <w:r w:rsidRPr="00F81DB7">
              <w:rPr>
                <w:sz w:val="20"/>
              </w:rPr>
              <w:t>This analysis i</w:t>
            </w:r>
            <w:r>
              <w:rPr>
                <w:sz w:val="20"/>
              </w:rPr>
              <w:t xml:space="preserve">s based on underlying </w:t>
            </w:r>
            <w:r w:rsidR="00DA6448">
              <w:rPr>
                <w:sz w:val="20"/>
              </w:rPr>
              <w:t>data from the secondary market for Sky EPG slots. It is assumed that these values are scalable to other platforms based on viewer numbers. The take up of new ways of accessing content, such as through smart TVs, is at a relatively low level at the moment, and assumptions around future take-up are by their nature speculative but informed by the best evidence available.</w:t>
            </w:r>
          </w:p>
          <w:p w14:paraId="7C78139E" w14:textId="0EB22131" w:rsidR="00B30F40" w:rsidRPr="00B30F40" w:rsidRDefault="00B30F40" w:rsidP="007D2BF8">
            <w:pPr>
              <w:pStyle w:val="IAPOA5"/>
              <w:rPr>
                <w:sz w:val="20"/>
              </w:rPr>
            </w:pPr>
          </w:p>
        </w:tc>
      </w:tr>
    </w:tbl>
    <w:p w14:paraId="73A40A05" w14:textId="77777777" w:rsidR="009A331A" w:rsidRPr="00B8191D" w:rsidRDefault="009A331A" w:rsidP="009A331A">
      <w:pPr>
        <w:pStyle w:val="IASpacer"/>
        <w:spacing w:line="240" w:lineRule="auto"/>
        <w:rPr>
          <w:b/>
        </w:rPr>
      </w:pPr>
    </w:p>
    <w:p w14:paraId="772162FD" w14:textId="29D0F5EE" w:rsidR="009A331A" w:rsidRPr="00B8191D" w:rsidRDefault="009A331A" w:rsidP="009A331A">
      <w:pPr>
        <w:pStyle w:val="IAHeadLabel"/>
        <w:spacing w:before="50"/>
      </w:pPr>
      <w:r w:rsidRPr="00B8191D">
        <w:t xml:space="preserve">BUSINESS ASSESSMENT (Option </w:t>
      </w:r>
      <w:r w:rsidR="00B30F40">
        <w:t>3a</w:t>
      </w:r>
      <w:r w:rsidRPr="00B8191D">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9A331A" w:rsidRPr="00B8191D" w14:paraId="5096B177" w14:textId="77777777" w:rsidTr="007D2BF8">
        <w:trPr>
          <w:trHeight w:hRule="exact" w:val="312"/>
        </w:trPr>
        <w:tc>
          <w:tcPr>
            <w:tcW w:w="6125" w:type="dxa"/>
            <w:gridSpan w:val="3"/>
            <w:tcBorders>
              <w:top w:val="single" w:sz="4" w:space="0" w:color="auto"/>
              <w:bottom w:val="nil"/>
              <w:right w:val="single" w:sz="4" w:space="0" w:color="auto"/>
            </w:tcBorders>
          </w:tcPr>
          <w:p w14:paraId="56DF89CE" w14:textId="77777777" w:rsidR="009A331A" w:rsidRPr="00B8191D" w:rsidRDefault="009A331A" w:rsidP="007D2BF8">
            <w:pPr>
              <w:pStyle w:val="IATableLabel"/>
            </w:pPr>
            <w:r w:rsidRPr="00B8191D">
              <w:t xml:space="preserve">Direct impact on business (Equivalent Annual) £m: </w:t>
            </w:r>
          </w:p>
        </w:tc>
        <w:tc>
          <w:tcPr>
            <w:tcW w:w="1980" w:type="dxa"/>
            <w:tcBorders>
              <w:top w:val="single" w:sz="4" w:space="0" w:color="auto"/>
              <w:left w:val="single" w:sz="4" w:space="0" w:color="auto"/>
              <w:bottom w:val="nil"/>
              <w:right w:val="nil"/>
            </w:tcBorders>
          </w:tcPr>
          <w:p w14:paraId="58B69474" w14:textId="77777777" w:rsidR="009A331A" w:rsidRPr="00B8191D" w:rsidRDefault="009A331A" w:rsidP="007D2BF8">
            <w:pPr>
              <w:pStyle w:val="IATableLabel"/>
            </w:pPr>
            <w:r w:rsidRPr="00B8191D">
              <w:t>In scope of OITO?</w:t>
            </w:r>
          </w:p>
        </w:tc>
        <w:tc>
          <w:tcPr>
            <w:tcW w:w="2110" w:type="dxa"/>
            <w:tcBorders>
              <w:top w:val="single" w:sz="4" w:space="0" w:color="auto"/>
              <w:left w:val="nil"/>
              <w:bottom w:val="nil"/>
              <w:right w:val="single" w:sz="4" w:space="0" w:color="auto"/>
            </w:tcBorders>
            <w:shd w:val="clear" w:color="auto" w:fill="auto"/>
          </w:tcPr>
          <w:p w14:paraId="6F6A0034" w14:textId="77777777" w:rsidR="009A331A" w:rsidRPr="00B8191D" w:rsidRDefault="009A331A" w:rsidP="007D2BF8">
            <w:pPr>
              <w:pStyle w:val="IATableLabel"/>
              <w:ind w:left="0"/>
            </w:pPr>
            <w:r w:rsidRPr="00B8191D">
              <w:t xml:space="preserve">  Measure qualifies as</w:t>
            </w:r>
          </w:p>
        </w:tc>
      </w:tr>
      <w:tr w:rsidR="009A331A" w:rsidRPr="00B8191D" w14:paraId="0DB5EBC0" w14:textId="77777777" w:rsidTr="007D2BF8">
        <w:trPr>
          <w:trHeight w:hRule="exact" w:val="340"/>
        </w:trPr>
        <w:tc>
          <w:tcPr>
            <w:tcW w:w="1990" w:type="dxa"/>
            <w:tcBorders>
              <w:top w:val="nil"/>
              <w:bottom w:val="single" w:sz="4" w:space="0" w:color="auto"/>
              <w:right w:val="single" w:sz="4" w:space="0" w:color="auto"/>
            </w:tcBorders>
            <w:shd w:val="clear" w:color="auto" w:fill="FFFFFF"/>
          </w:tcPr>
          <w:p w14:paraId="402315B2" w14:textId="62B00EB8" w:rsidR="009A331A" w:rsidRPr="00B8191D" w:rsidRDefault="009A331A" w:rsidP="007D2BF8">
            <w:pPr>
              <w:pStyle w:val="IATableLabel"/>
            </w:pPr>
            <w:r w:rsidRPr="00B8191D">
              <w:t xml:space="preserve">Costs: </w:t>
            </w:r>
            <w:r w:rsidR="003E5FE2">
              <w:t>5.6</w:t>
            </w:r>
          </w:p>
        </w:tc>
        <w:tc>
          <w:tcPr>
            <w:tcW w:w="2155" w:type="dxa"/>
            <w:tcBorders>
              <w:top w:val="nil"/>
              <w:bottom w:val="single" w:sz="4" w:space="0" w:color="auto"/>
              <w:right w:val="single" w:sz="4" w:space="0" w:color="auto"/>
            </w:tcBorders>
            <w:shd w:val="clear" w:color="auto" w:fill="FFFFFF"/>
          </w:tcPr>
          <w:p w14:paraId="1D0423FC" w14:textId="17319258" w:rsidR="009A331A" w:rsidRPr="00B8191D" w:rsidRDefault="009A331A" w:rsidP="007D2BF8">
            <w:pPr>
              <w:pStyle w:val="IATableLabel"/>
            </w:pPr>
            <w:r w:rsidRPr="00B8191D">
              <w:t xml:space="preserve">Benefits: </w:t>
            </w:r>
            <w:r w:rsidR="003E5FE2">
              <w:t>3.3</w:t>
            </w:r>
          </w:p>
        </w:tc>
        <w:tc>
          <w:tcPr>
            <w:tcW w:w="1980" w:type="dxa"/>
            <w:tcBorders>
              <w:top w:val="nil"/>
              <w:bottom w:val="single" w:sz="4" w:space="0" w:color="auto"/>
              <w:right w:val="single" w:sz="4" w:space="0" w:color="auto"/>
            </w:tcBorders>
            <w:shd w:val="clear" w:color="auto" w:fill="FFFFFF"/>
          </w:tcPr>
          <w:p w14:paraId="42E5379D" w14:textId="6FD3D751" w:rsidR="009A331A" w:rsidRPr="00B8191D" w:rsidRDefault="009A331A" w:rsidP="007D2BF8">
            <w:pPr>
              <w:pStyle w:val="IATableLabel"/>
            </w:pPr>
            <w:r w:rsidRPr="00B8191D">
              <w:t xml:space="preserve">Net: </w:t>
            </w:r>
            <w:r w:rsidR="00475B99">
              <w:t>-</w:t>
            </w:r>
            <w:r w:rsidR="003E57B1">
              <w:t>2</w:t>
            </w:r>
            <w:r w:rsidR="003E5FE2">
              <w:t>.2</w:t>
            </w:r>
          </w:p>
        </w:tc>
        <w:tc>
          <w:tcPr>
            <w:tcW w:w="1980" w:type="dxa"/>
            <w:tcBorders>
              <w:top w:val="nil"/>
              <w:left w:val="single" w:sz="4" w:space="0" w:color="auto"/>
              <w:bottom w:val="single" w:sz="4" w:space="0" w:color="auto"/>
              <w:right w:val="single" w:sz="4" w:space="0" w:color="auto"/>
            </w:tcBorders>
            <w:shd w:val="clear" w:color="auto" w:fill="FFFFFF"/>
          </w:tcPr>
          <w:p w14:paraId="6E935D4C" w14:textId="162E6F11" w:rsidR="009A331A" w:rsidRPr="00B8191D" w:rsidRDefault="003E57B1" w:rsidP="007D2BF8">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14:paraId="266F0F97" w14:textId="0E679A86" w:rsidR="009A331A" w:rsidRPr="00B8191D" w:rsidRDefault="003E57B1" w:rsidP="007D2BF8">
            <w:pPr>
              <w:pStyle w:val="IAPODIMQ"/>
            </w:pPr>
            <w:r>
              <w:t>IN</w:t>
            </w:r>
          </w:p>
        </w:tc>
      </w:tr>
    </w:tbl>
    <w:p w14:paraId="1721DAB4" w14:textId="77777777" w:rsidR="009A331A" w:rsidRPr="00B8191D" w:rsidRDefault="009A331A" w:rsidP="009A331A">
      <w:pPr>
        <w:sectPr w:rsidR="009A331A" w:rsidRPr="00B8191D" w:rsidSect="00F1328C">
          <w:footnotePr>
            <w:numRestart w:val="eachSect"/>
          </w:footnotePr>
          <w:pgSz w:w="11907" w:h="16840" w:code="9"/>
          <w:pgMar w:top="680" w:right="851" w:bottom="680" w:left="851" w:header="284" w:footer="284" w:gutter="0"/>
          <w:cols w:space="708"/>
          <w:docGrid w:linePitch="360"/>
        </w:sectPr>
      </w:pPr>
    </w:p>
    <w:p w14:paraId="08CFD67A" w14:textId="04E66B85" w:rsidR="000D0ADA" w:rsidRPr="00B8191D" w:rsidRDefault="000D0ADA" w:rsidP="000D0ADA">
      <w:pPr>
        <w:pStyle w:val="Heading1"/>
        <w:spacing w:before="0"/>
      </w:pPr>
      <w:r w:rsidRPr="00B8191D">
        <w:lastRenderedPageBreak/>
        <w:t>Summary: Analysis &amp; Evidence</w:t>
      </w:r>
      <w:r w:rsidRPr="00B8191D">
        <w:tab/>
        <w:t xml:space="preserve">Option </w:t>
      </w:r>
      <w:r w:rsidR="003E57B1">
        <w:t>3b)</w:t>
      </w:r>
    </w:p>
    <w:p w14:paraId="2863CACE" w14:textId="0964CECA" w:rsidR="000D0ADA" w:rsidRPr="00B8191D" w:rsidRDefault="000D0ADA" w:rsidP="000D0ADA">
      <w:pPr>
        <w:pStyle w:val="IAHeadLabel"/>
        <w:spacing w:before="50"/>
      </w:pPr>
      <w:r w:rsidRPr="00B8191D">
        <w:t xml:space="preserve">Description: </w:t>
      </w:r>
      <w:r w:rsidR="003E57B1">
        <w:t>Remove the EPG Prominence Regime</w:t>
      </w:r>
      <w:r w:rsidRPr="00B8191D">
        <w:rPr>
          <w:rStyle w:val="IAPODescriptionCharChar"/>
        </w:rPr>
        <w:fldChar w:fldCharType="begin">
          <w:ffData>
            <w:name w:val="Text70"/>
            <w:enabled/>
            <w:calcOnExit w:val="0"/>
            <w:textInput>
              <w:maxLength w:val="230"/>
            </w:textInput>
          </w:ffData>
        </w:fldChar>
      </w:r>
      <w:r w:rsidRPr="00B8191D">
        <w:rPr>
          <w:rStyle w:val="IAPODescriptionCharChar"/>
        </w:rPr>
        <w:instrText xml:space="preserve"> FORMTEXT </w:instrText>
      </w:r>
      <w:r w:rsidRPr="00B8191D">
        <w:rPr>
          <w:rStyle w:val="IAPODescriptionCharChar"/>
        </w:rPr>
      </w:r>
      <w:r w:rsidRPr="00B8191D">
        <w:rPr>
          <w:rStyle w:val="IAPODescriptionCharChar"/>
        </w:rPr>
        <w:fldChar w:fldCharType="separate"/>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noProof/>
        </w:rPr>
        <w:t> </w:t>
      </w:r>
      <w:r w:rsidRPr="00B8191D">
        <w:rPr>
          <w:rStyle w:val="IAPODescriptionCharChar"/>
        </w:rPr>
        <w:fldChar w:fldCharType="end"/>
      </w:r>
    </w:p>
    <w:p w14:paraId="17681B6D" w14:textId="77777777" w:rsidR="000D0ADA" w:rsidRPr="00B8191D" w:rsidRDefault="000D0ADA" w:rsidP="000D0ADA">
      <w:pPr>
        <w:pStyle w:val="IAHeadLabel"/>
        <w:spacing w:before="50"/>
      </w:pPr>
      <w:r w:rsidRPr="00B8191D">
        <w:t>FULL ECONOMIC ASSESSMENT</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284"/>
        <w:gridCol w:w="1468"/>
        <w:gridCol w:w="1835"/>
        <w:gridCol w:w="1862"/>
        <w:gridCol w:w="2719"/>
      </w:tblGrid>
      <w:tr w:rsidR="000D0ADA" w:rsidRPr="00B8191D" w14:paraId="5EE8503A" w14:textId="77777777" w:rsidTr="007D2BF8">
        <w:trPr>
          <w:trHeight w:hRule="exact" w:val="312"/>
        </w:trPr>
        <w:tc>
          <w:tcPr>
            <w:tcW w:w="1464" w:type="dxa"/>
            <w:vMerge w:val="restart"/>
            <w:shd w:val="clear" w:color="auto" w:fill="auto"/>
          </w:tcPr>
          <w:p w14:paraId="0FF0EF3B" w14:textId="55D6F6CB" w:rsidR="000D0ADA" w:rsidRPr="00B8191D" w:rsidRDefault="000D0ADA" w:rsidP="007D2BF8">
            <w:pPr>
              <w:pStyle w:val="POPBY"/>
              <w:ind w:right="0"/>
            </w:pPr>
            <w:r w:rsidRPr="00B8191D">
              <w:t xml:space="preserve">Price Base Year  </w:t>
            </w:r>
            <w:r w:rsidR="003E57B1">
              <w:rPr>
                <w:b w:val="0"/>
              </w:rPr>
              <w:t>2015</w:t>
            </w:r>
          </w:p>
        </w:tc>
        <w:tc>
          <w:tcPr>
            <w:tcW w:w="1284" w:type="dxa"/>
            <w:vMerge w:val="restart"/>
            <w:shd w:val="clear" w:color="auto" w:fill="auto"/>
          </w:tcPr>
          <w:p w14:paraId="29165A9D" w14:textId="77777777" w:rsidR="000D0ADA" w:rsidRPr="00B8191D" w:rsidRDefault="000D0ADA" w:rsidP="007D2BF8">
            <w:pPr>
              <w:pStyle w:val="POPVBY"/>
              <w:ind w:right="0"/>
            </w:pPr>
            <w:r w:rsidRPr="00B8191D">
              <w:t xml:space="preserve">PV Base Year  </w:t>
            </w:r>
            <w:r>
              <w:rPr>
                <w:b w:val="0"/>
              </w:rPr>
              <w:t>2015</w:t>
            </w:r>
          </w:p>
        </w:tc>
        <w:tc>
          <w:tcPr>
            <w:tcW w:w="1468" w:type="dxa"/>
            <w:vMerge w:val="restart"/>
            <w:tcBorders>
              <w:right w:val="single" w:sz="12" w:space="0" w:color="auto"/>
            </w:tcBorders>
            <w:shd w:val="clear" w:color="auto" w:fill="auto"/>
          </w:tcPr>
          <w:p w14:paraId="599F0B01" w14:textId="77777777" w:rsidR="000D0ADA" w:rsidRPr="00B8191D" w:rsidRDefault="000D0ADA" w:rsidP="007D2BF8">
            <w:pPr>
              <w:pStyle w:val="POTPY"/>
              <w:ind w:right="0"/>
            </w:pPr>
            <w:r w:rsidRPr="00B8191D">
              <w:t xml:space="preserve">Time Period Years  </w:t>
            </w:r>
            <w:r w:rsidRPr="00B8191D">
              <w:rPr>
                <w:b w:val="0"/>
              </w:rPr>
              <w:t>10</w:t>
            </w:r>
          </w:p>
        </w:tc>
        <w:tc>
          <w:tcPr>
            <w:tcW w:w="6416" w:type="dxa"/>
            <w:gridSpan w:val="3"/>
            <w:tcBorders>
              <w:top w:val="single" w:sz="12" w:space="0" w:color="auto"/>
              <w:left w:val="single" w:sz="12" w:space="0" w:color="auto"/>
              <w:bottom w:val="single" w:sz="4" w:space="0" w:color="auto"/>
              <w:right w:val="single" w:sz="12" w:space="0" w:color="auto"/>
            </w:tcBorders>
            <w:shd w:val="clear" w:color="auto" w:fill="FFFFFF"/>
          </w:tcPr>
          <w:p w14:paraId="45761AA0" w14:textId="77777777" w:rsidR="000D0ADA" w:rsidRPr="00B8191D" w:rsidRDefault="000D0ADA" w:rsidP="007D2BF8">
            <w:pPr>
              <w:pStyle w:val="IATableLabel"/>
              <w:ind w:right="0"/>
              <w:jc w:val="center"/>
            </w:pPr>
            <w:r w:rsidRPr="00B8191D">
              <w:t>Net Benefit (Present Value (PV)) (£m)</w:t>
            </w:r>
          </w:p>
        </w:tc>
      </w:tr>
      <w:tr w:rsidR="000D0ADA" w:rsidRPr="00B8191D" w14:paraId="067B8E02" w14:textId="77777777" w:rsidTr="007D2BF8">
        <w:trPr>
          <w:trHeight w:hRule="exact" w:val="340"/>
        </w:trPr>
        <w:tc>
          <w:tcPr>
            <w:tcW w:w="1464" w:type="dxa"/>
            <w:vMerge/>
            <w:shd w:val="clear" w:color="auto" w:fill="auto"/>
          </w:tcPr>
          <w:p w14:paraId="115AB4B0" w14:textId="77777777" w:rsidR="000D0ADA" w:rsidRPr="00B8191D" w:rsidRDefault="000D0ADA" w:rsidP="007D2BF8">
            <w:pPr>
              <w:pStyle w:val="IATableNotes"/>
              <w:ind w:left="0" w:right="0"/>
              <w:rPr>
                <w:b/>
                <w:sz w:val="20"/>
              </w:rPr>
            </w:pPr>
          </w:p>
        </w:tc>
        <w:tc>
          <w:tcPr>
            <w:tcW w:w="1284" w:type="dxa"/>
            <w:vMerge/>
            <w:shd w:val="clear" w:color="auto" w:fill="auto"/>
          </w:tcPr>
          <w:p w14:paraId="5FD281D4" w14:textId="77777777" w:rsidR="000D0ADA" w:rsidRPr="00B8191D" w:rsidRDefault="000D0ADA" w:rsidP="007D2BF8">
            <w:pPr>
              <w:pStyle w:val="IATableNotes"/>
              <w:ind w:left="0" w:right="0"/>
              <w:rPr>
                <w:b/>
                <w:sz w:val="20"/>
              </w:rPr>
            </w:pPr>
          </w:p>
        </w:tc>
        <w:tc>
          <w:tcPr>
            <w:tcW w:w="1468" w:type="dxa"/>
            <w:vMerge/>
            <w:tcBorders>
              <w:right w:val="single" w:sz="12" w:space="0" w:color="auto"/>
            </w:tcBorders>
            <w:shd w:val="clear" w:color="auto" w:fill="auto"/>
          </w:tcPr>
          <w:p w14:paraId="29CB7D34" w14:textId="77777777" w:rsidR="000D0ADA" w:rsidRPr="00B8191D" w:rsidRDefault="000D0ADA" w:rsidP="007D2BF8">
            <w:pPr>
              <w:pStyle w:val="IATableNotes"/>
              <w:ind w:left="0" w:right="0"/>
              <w:rPr>
                <w:b/>
                <w:sz w:val="20"/>
              </w:rPr>
            </w:pPr>
          </w:p>
        </w:tc>
        <w:tc>
          <w:tcPr>
            <w:tcW w:w="1835" w:type="dxa"/>
            <w:tcBorders>
              <w:top w:val="single" w:sz="4" w:space="0" w:color="auto"/>
              <w:left w:val="single" w:sz="12" w:space="0" w:color="auto"/>
              <w:bottom w:val="single" w:sz="12" w:space="0" w:color="auto"/>
              <w:right w:val="single" w:sz="4" w:space="0" w:color="auto"/>
            </w:tcBorders>
            <w:shd w:val="clear" w:color="auto" w:fill="auto"/>
          </w:tcPr>
          <w:p w14:paraId="7E8F0FE6" w14:textId="7B5DDAC5" w:rsidR="000D0ADA" w:rsidRPr="00B8191D" w:rsidRDefault="000D0ADA" w:rsidP="007D2BF8">
            <w:pPr>
              <w:pStyle w:val="IATableLabel"/>
              <w:ind w:right="0"/>
              <w:rPr>
                <w:bCs/>
              </w:rPr>
            </w:pPr>
            <w:r w:rsidRPr="00B8191D">
              <w:t xml:space="preserve">Low: </w:t>
            </w:r>
            <w:r w:rsidR="003E57B1">
              <w:t>0</w:t>
            </w:r>
          </w:p>
        </w:tc>
        <w:tc>
          <w:tcPr>
            <w:tcW w:w="1862" w:type="dxa"/>
            <w:tcBorders>
              <w:top w:val="single" w:sz="4" w:space="0" w:color="auto"/>
              <w:left w:val="single" w:sz="4" w:space="0" w:color="auto"/>
              <w:bottom w:val="single" w:sz="12" w:space="0" w:color="auto"/>
              <w:right w:val="single" w:sz="12" w:space="0" w:color="auto"/>
            </w:tcBorders>
            <w:shd w:val="clear" w:color="auto" w:fill="auto"/>
          </w:tcPr>
          <w:p w14:paraId="5161ECDB" w14:textId="5A9EAB08" w:rsidR="000D0ADA" w:rsidRPr="00B8191D" w:rsidRDefault="000D0ADA" w:rsidP="007D2BF8">
            <w:pPr>
              <w:pStyle w:val="IATableLabel"/>
              <w:ind w:right="0"/>
              <w:rPr>
                <w:rFonts w:cs="Arial"/>
                <w:bCs/>
                <w:szCs w:val="18"/>
              </w:rPr>
            </w:pPr>
            <w:r w:rsidRPr="00B8191D">
              <w:t xml:space="preserve">High: </w:t>
            </w:r>
            <w:r w:rsidR="003E57B1">
              <w:t>0</w:t>
            </w:r>
          </w:p>
        </w:tc>
        <w:tc>
          <w:tcPr>
            <w:tcW w:w="2719" w:type="dxa"/>
            <w:tcBorders>
              <w:top w:val="single" w:sz="12" w:space="0" w:color="auto"/>
              <w:left w:val="single" w:sz="12" w:space="0" w:color="auto"/>
              <w:bottom w:val="single" w:sz="12" w:space="0" w:color="auto"/>
              <w:right w:val="single" w:sz="12" w:space="0" w:color="auto"/>
            </w:tcBorders>
            <w:shd w:val="clear" w:color="auto" w:fill="FFFFFF"/>
          </w:tcPr>
          <w:p w14:paraId="34C8629A" w14:textId="1414284D" w:rsidR="000D0ADA" w:rsidRPr="00B8191D" w:rsidRDefault="000D0ADA" w:rsidP="007D2BF8">
            <w:pPr>
              <w:pStyle w:val="IATableLabel"/>
              <w:ind w:right="0"/>
              <w:rPr>
                <w:szCs w:val="18"/>
              </w:rPr>
            </w:pPr>
            <w:r w:rsidRPr="00B8191D">
              <w:t>Best Estimate:</w:t>
            </w:r>
            <w:r w:rsidR="003E57B1">
              <w:t xml:space="preserve"> 0</w:t>
            </w:r>
          </w:p>
        </w:tc>
      </w:tr>
    </w:tbl>
    <w:p w14:paraId="4D0390F5" w14:textId="77777777" w:rsidR="000D0ADA" w:rsidRPr="00B8191D" w:rsidRDefault="000D0ADA" w:rsidP="000D0ADA">
      <w:pPr>
        <w:pStyle w:val="IASpacer"/>
        <w:spacing w:line="240" w:lineRule="auto"/>
      </w:pPr>
    </w:p>
    <w:tbl>
      <w:tblPr>
        <w:tblW w:w="5194"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63"/>
        <w:gridCol w:w="1949"/>
        <w:gridCol w:w="790"/>
        <w:gridCol w:w="2865"/>
        <w:gridCol w:w="1776"/>
        <w:gridCol w:w="989"/>
      </w:tblGrid>
      <w:tr w:rsidR="000D0ADA" w:rsidRPr="00B8191D" w14:paraId="6C914861" w14:textId="77777777" w:rsidTr="007D2BF8">
        <w:trPr>
          <w:trHeight w:hRule="exact" w:val="567"/>
        </w:trPr>
        <w:tc>
          <w:tcPr>
            <w:tcW w:w="2263" w:type="dxa"/>
            <w:shd w:val="clear" w:color="auto" w:fill="FFFFFF"/>
          </w:tcPr>
          <w:p w14:paraId="1CDCE39E" w14:textId="77777777" w:rsidR="000D0ADA" w:rsidRPr="00B8191D" w:rsidRDefault="000D0ADA" w:rsidP="007D2BF8">
            <w:pPr>
              <w:pStyle w:val="IATableLabel"/>
              <w:rPr>
                <w:sz w:val="24"/>
                <w:szCs w:val="24"/>
              </w:rPr>
            </w:pPr>
            <w:r w:rsidRPr="00B8191D">
              <w:rPr>
                <w:sz w:val="24"/>
                <w:szCs w:val="24"/>
              </w:rPr>
              <w:t>COSTS (£m)</w:t>
            </w:r>
          </w:p>
        </w:tc>
        <w:tc>
          <w:tcPr>
            <w:tcW w:w="2739" w:type="dxa"/>
            <w:gridSpan w:val="2"/>
            <w:tcBorders>
              <w:top w:val="single" w:sz="12" w:space="0" w:color="auto"/>
              <w:bottom w:val="single" w:sz="6" w:space="0" w:color="auto"/>
            </w:tcBorders>
            <w:shd w:val="clear" w:color="auto" w:fill="auto"/>
          </w:tcPr>
          <w:p w14:paraId="6114EB5B" w14:textId="77777777" w:rsidR="000D0ADA" w:rsidRPr="00B8191D" w:rsidRDefault="000D0ADA" w:rsidP="007D2BF8">
            <w:pPr>
              <w:pStyle w:val="IATableLabel"/>
              <w:tabs>
                <w:tab w:val="right" w:pos="1800"/>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7A95DC6B" w14:textId="77777777" w:rsidR="000D0ADA" w:rsidRPr="00B8191D" w:rsidRDefault="000D0ADA" w:rsidP="007D2BF8">
            <w:pPr>
              <w:pStyle w:val="IATableLabel"/>
              <w:jc w:val="right"/>
            </w:pPr>
            <w:r w:rsidRPr="00B8191D">
              <w:br/>
            </w:r>
          </w:p>
        </w:tc>
        <w:tc>
          <w:tcPr>
            <w:tcW w:w="2865" w:type="dxa"/>
            <w:tcBorders>
              <w:bottom w:val="single" w:sz="6" w:space="0" w:color="auto"/>
              <w:right w:val="single" w:sz="12" w:space="0" w:color="auto"/>
            </w:tcBorders>
            <w:shd w:val="clear" w:color="auto" w:fill="auto"/>
          </w:tcPr>
          <w:p w14:paraId="6235F752" w14:textId="77777777" w:rsidR="000D0ADA" w:rsidRPr="00B8191D" w:rsidRDefault="000D0ADA" w:rsidP="007D2BF8">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4B5DE7C5" w14:textId="77777777" w:rsidR="000D0ADA" w:rsidRPr="00B8191D" w:rsidRDefault="000D0ADA" w:rsidP="007D2BF8">
            <w:pPr>
              <w:pStyle w:val="IATableLabel"/>
              <w:jc w:val="right"/>
            </w:pPr>
            <w:r w:rsidRPr="00B8191D">
              <w:t>Total Cost</w:t>
            </w:r>
            <w:r w:rsidRPr="00B8191D">
              <w:rPr>
                <w:b w:val="0"/>
                <w:sz w:val="18"/>
                <w:szCs w:val="18"/>
              </w:rPr>
              <w:t xml:space="preserve"> </w:t>
            </w:r>
            <w:r w:rsidRPr="00B8191D">
              <w:rPr>
                <w:b w:val="0"/>
                <w:sz w:val="18"/>
                <w:szCs w:val="18"/>
              </w:rPr>
              <w:br/>
              <w:t>(Present Value)</w:t>
            </w:r>
          </w:p>
        </w:tc>
      </w:tr>
      <w:tr w:rsidR="000D0ADA" w:rsidRPr="00B8191D" w14:paraId="65F05F99" w14:textId="77777777" w:rsidTr="007D2BF8">
        <w:trPr>
          <w:trHeight w:hRule="exact" w:val="348"/>
        </w:trPr>
        <w:tc>
          <w:tcPr>
            <w:tcW w:w="2263" w:type="dxa"/>
            <w:tcBorders>
              <w:top w:val="single" w:sz="6" w:space="0" w:color="auto"/>
              <w:bottom w:val="single" w:sz="6" w:space="0" w:color="auto"/>
            </w:tcBorders>
            <w:shd w:val="clear" w:color="auto" w:fill="auto"/>
            <w:vAlign w:val="center"/>
          </w:tcPr>
          <w:p w14:paraId="1C92ACF3" w14:textId="77777777" w:rsidR="000D0ADA" w:rsidRPr="00B8191D" w:rsidRDefault="000D0ADA" w:rsidP="007D2BF8">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4201958F" w14:textId="63C80A37" w:rsidR="000D0ADA" w:rsidRPr="00B8191D" w:rsidRDefault="003E5FE2" w:rsidP="007D2BF8">
            <w:pPr>
              <w:pStyle w:val="POTTCostsLow"/>
              <w:rPr>
                <w:sz w:val="20"/>
              </w:rPr>
            </w:pPr>
            <w:r>
              <w:rPr>
                <w:sz w:val="20"/>
              </w:rPr>
              <w:t>96.2</w:t>
            </w:r>
          </w:p>
        </w:tc>
        <w:tc>
          <w:tcPr>
            <w:tcW w:w="790" w:type="dxa"/>
            <w:vMerge w:val="restart"/>
            <w:tcBorders>
              <w:top w:val="single" w:sz="6" w:space="0" w:color="auto"/>
            </w:tcBorders>
            <w:shd w:val="clear" w:color="auto" w:fill="auto"/>
            <w:vAlign w:val="center"/>
          </w:tcPr>
          <w:p w14:paraId="51D35A07" w14:textId="77777777" w:rsidR="000D0ADA" w:rsidRPr="00B8191D" w:rsidRDefault="000D0ADA" w:rsidP="007D2BF8">
            <w:pPr>
              <w:pStyle w:val="POTTCostsYear"/>
              <w:rPr>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34319888" w14:textId="0C3CCE6E" w:rsidR="000D0ADA" w:rsidRPr="00B8191D" w:rsidRDefault="003E5FE2" w:rsidP="007D2BF8">
            <w:pPr>
              <w:pStyle w:val="POAACostsLow"/>
              <w:rPr>
                <w:sz w:val="20"/>
              </w:rPr>
            </w:pPr>
            <w:r>
              <w:rPr>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6DB57903" w14:textId="13C7FB66" w:rsidR="000D0ADA" w:rsidRPr="00B8191D" w:rsidRDefault="003E5FE2" w:rsidP="007D2BF8">
            <w:pPr>
              <w:pStyle w:val="POTCCostsLow"/>
              <w:rPr>
                <w:sz w:val="20"/>
              </w:rPr>
            </w:pPr>
            <w:r>
              <w:rPr>
                <w:sz w:val="20"/>
              </w:rPr>
              <w:t>96.2</w:t>
            </w:r>
          </w:p>
        </w:tc>
      </w:tr>
      <w:tr w:rsidR="000D0ADA" w:rsidRPr="00B8191D" w14:paraId="6B00588F" w14:textId="77777777" w:rsidTr="007D2BF8">
        <w:trPr>
          <w:trHeight w:hRule="exact" w:val="348"/>
        </w:trPr>
        <w:tc>
          <w:tcPr>
            <w:tcW w:w="2263" w:type="dxa"/>
            <w:tcBorders>
              <w:top w:val="single" w:sz="6" w:space="0" w:color="auto"/>
              <w:bottom w:val="single" w:sz="12" w:space="0" w:color="auto"/>
            </w:tcBorders>
            <w:shd w:val="clear" w:color="auto" w:fill="auto"/>
            <w:vAlign w:val="center"/>
          </w:tcPr>
          <w:p w14:paraId="519065FE" w14:textId="77777777" w:rsidR="000D0ADA" w:rsidRPr="00B8191D" w:rsidRDefault="000D0ADA" w:rsidP="007D2BF8">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2BA5B351" w14:textId="7A043CB0" w:rsidR="000D0ADA" w:rsidRPr="00B8191D" w:rsidRDefault="003E5FE2" w:rsidP="007D2BF8">
            <w:pPr>
              <w:pStyle w:val="POTTCostsHigh"/>
              <w:rPr>
                <w:sz w:val="20"/>
              </w:rPr>
            </w:pPr>
            <w:r>
              <w:rPr>
                <w:sz w:val="20"/>
              </w:rPr>
              <w:t>137.4</w:t>
            </w:r>
          </w:p>
        </w:tc>
        <w:tc>
          <w:tcPr>
            <w:tcW w:w="790" w:type="dxa"/>
            <w:vMerge/>
            <w:shd w:val="clear" w:color="auto" w:fill="FFFFFF"/>
            <w:vAlign w:val="center"/>
          </w:tcPr>
          <w:p w14:paraId="0EDCEF70" w14:textId="77777777" w:rsidR="000D0ADA" w:rsidRPr="00B8191D" w:rsidRDefault="000D0ADA" w:rsidP="007D2BF8">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4CDA5A54" w14:textId="0F991477" w:rsidR="000D0ADA" w:rsidRPr="00B8191D" w:rsidRDefault="003E5FE2" w:rsidP="007D2BF8">
            <w:pPr>
              <w:pStyle w:val="POAACostsHigh"/>
              <w:rPr>
                <w:sz w:val="20"/>
              </w:rPr>
            </w:pPr>
            <w:r>
              <w:rPr>
                <w:sz w:val="20"/>
              </w:rPr>
              <w:t>0</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6FC81CA8" w14:textId="7EB2DBB0" w:rsidR="000D0ADA" w:rsidRPr="00B8191D" w:rsidRDefault="003E5FE2" w:rsidP="003E5FE2">
            <w:pPr>
              <w:pStyle w:val="POTCCostsHigh"/>
              <w:rPr>
                <w:sz w:val="20"/>
              </w:rPr>
            </w:pPr>
            <w:r>
              <w:rPr>
                <w:sz w:val="20"/>
              </w:rPr>
              <w:t>137.4</w:t>
            </w:r>
          </w:p>
        </w:tc>
      </w:tr>
      <w:tr w:rsidR="000D0ADA" w:rsidRPr="00B8191D" w14:paraId="181C52A5" w14:textId="77777777" w:rsidTr="007D2BF8">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075245C9" w14:textId="77777777" w:rsidR="000D0ADA" w:rsidRPr="00B8191D" w:rsidRDefault="000D0ADA" w:rsidP="007D2BF8">
            <w:pPr>
              <w:pStyle w:val="IATableLabel"/>
            </w:pPr>
            <w:r w:rsidRPr="00B8191D">
              <w:t>Best Estimate</w:t>
            </w:r>
          </w:p>
          <w:p w14:paraId="7A4BEFC8" w14:textId="77777777" w:rsidR="000D0ADA" w:rsidRPr="00B8191D" w:rsidRDefault="000D0ADA" w:rsidP="007D2BF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E3ABB99" w14:textId="2EA2F390" w:rsidR="000D0ADA" w:rsidRPr="00B8191D" w:rsidRDefault="003E5FE2" w:rsidP="007D2BF8">
            <w:pPr>
              <w:pStyle w:val="POTTCostsBest"/>
              <w:rPr>
                <w:sz w:val="20"/>
              </w:rPr>
            </w:pPr>
            <w:r>
              <w:rPr>
                <w:sz w:val="20"/>
              </w:rPr>
              <w:t>116.8</w:t>
            </w:r>
          </w:p>
        </w:tc>
        <w:tc>
          <w:tcPr>
            <w:tcW w:w="790" w:type="dxa"/>
            <w:vMerge/>
            <w:tcBorders>
              <w:left w:val="single" w:sz="12" w:space="0" w:color="auto"/>
              <w:right w:val="single" w:sz="12" w:space="0" w:color="auto"/>
            </w:tcBorders>
            <w:shd w:val="clear" w:color="auto" w:fill="FFFFFF"/>
            <w:vAlign w:val="center"/>
          </w:tcPr>
          <w:p w14:paraId="3E3BC4CF" w14:textId="77777777" w:rsidR="000D0ADA" w:rsidRPr="00B8191D" w:rsidRDefault="000D0ADA" w:rsidP="007D2BF8">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15FA0614" w14:textId="3C66A245" w:rsidR="000D0ADA" w:rsidRPr="00B8191D" w:rsidRDefault="003E5FE2" w:rsidP="007D2BF8">
            <w:pPr>
              <w:pStyle w:val="POAACostsBest"/>
              <w:rPr>
                <w:sz w:val="20"/>
              </w:rPr>
            </w:pPr>
            <w:r>
              <w:rPr>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33C7EEAE" w14:textId="486C0B6E" w:rsidR="000D0ADA" w:rsidRPr="00B8191D" w:rsidRDefault="003E5FE2" w:rsidP="003E5FE2">
            <w:pPr>
              <w:pStyle w:val="POTCCostsBest"/>
              <w:rPr>
                <w:sz w:val="20"/>
              </w:rPr>
            </w:pPr>
            <w:r>
              <w:rPr>
                <w:sz w:val="20"/>
              </w:rPr>
              <w:t>116.8</w:t>
            </w:r>
          </w:p>
        </w:tc>
      </w:tr>
      <w:tr w:rsidR="000D0ADA" w:rsidRPr="00B8191D" w14:paraId="698BB672" w14:textId="77777777" w:rsidTr="00475B99">
        <w:trPr>
          <w:trHeight w:hRule="exact" w:val="2581"/>
        </w:trPr>
        <w:tc>
          <w:tcPr>
            <w:tcW w:w="10632" w:type="dxa"/>
            <w:gridSpan w:val="6"/>
            <w:tcBorders>
              <w:bottom w:val="single" w:sz="6" w:space="0" w:color="auto"/>
            </w:tcBorders>
            <w:shd w:val="clear" w:color="auto" w:fill="auto"/>
          </w:tcPr>
          <w:p w14:paraId="119B37B8" w14:textId="77777777" w:rsidR="000D0ADA" w:rsidRPr="00B8191D" w:rsidRDefault="000D0ADA" w:rsidP="007D2BF8">
            <w:pPr>
              <w:pStyle w:val="IAPOQ1"/>
              <w:rPr>
                <w:szCs w:val="22"/>
              </w:rPr>
            </w:pPr>
            <w:r w:rsidRPr="00B8191D">
              <w:t xml:space="preserve">Description and scale of key monetised costs by ‘main affected groups’ </w:t>
            </w:r>
          </w:p>
          <w:p w14:paraId="0A65EE30" w14:textId="77777777" w:rsidR="000D0ADA" w:rsidRDefault="000D0ADA" w:rsidP="007D2BF8">
            <w:pPr>
              <w:pStyle w:val="IAPOA1"/>
            </w:pPr>
          </w:p>
          <w:p w14:paraId="25EB6A99" w14:textId="685FD256" w:rsidR="006D06D8" w:rsidRPr="00C2264A" w:rsidRDefault="006D06D8" w:rsidP="006D06D8">
            <w:pPr>
              <w:pStyle w:val="IAPOA1"/>
              <w:rPr>
                <w:sz w:val="20"/>
              </w:rPr>
            </w:pPr>
            <w:r>
              <w:rPr>
                <w:sz w:val="20"/>
              </w:rPr>
              <w:t>By removing</w:t>
            </w:r>
            <w:r w:rsidRPr="00C2264A">
              <w:rPr>
                <w:sz w:val="20"/>
              </w:rPr>
              <w:t xml:space="preserve"> the EPG regime </w:t>
            </w:r>
            <w:r>
              <w:rPr>
                <w:sz w:val="20"/>
              </w:rPr>
              <w:t>PSBs will no longer be guaranteed prominence on the current form of linear EPGs. This is effectively transferring an asset</w:t>
            </w:r>
            <w:r w:rsidR="00F546F7">
              <w:rPr>
                <w:sz w:val="20"/>
              </w:rPr>
              <w:t xml:space="preserve"> currently held by</w:t>
            </w:r>
            <w:r>
              <w:rPr>
                <w:sz w:val="20"/>
              </w:rPr>
              <w:t xml:space="preserve"> PSBs </w:t>
            </w:r>
            <w:r w:rsidR="00F546F7">
              <w:rPr>
                <w:sz w:val="20"/>
              </w:rPr>
              <w:t xml:space="preserve">to platform operators, who will then be able to monetise these prominent EPG slots. </w:t>
            </w:r>
            <w:r>
              <w:rPr>
                <w:sz w:val="20"/>
              </w:rPr>
              <w:t>The current value of that asset</w:t>
            </w:r>
            <w:r w:rsidR="00F546F7">
              <w:rPr>
                <w:sz w:val="20"/>
              </w:rPr>
              <w:t>, adjusting for platforms that are all or part-owned by PSBs, is estimated at £137</w:t>
            </w:r>
            <w:r>
              <w:rPr>
                <w:sz w:val="20"/>
              </w:rPr>
              <w:t>m</w:t>
            </w:r>
            <w:r w:rsidR="00F546F7">
              <w:rPr>
                <w:sz w:val="20"/>
              </w:rPr>
              <w:t xml:space="preserve"> but is expected to fall to £96m </w:t>
            </w:r>
            <w:r>
              <w:rPr>
                <w:sz w:val="20"/>
              </w:rPr>
              <w:t>in 10 years time. The transfer would take place in year one of the regulation coming into force but for the central estimate we take a mid-point of the potential 10 year range of values to reflect that the asset is expected to increase in value.</w:t>
            </w:r>
            <w:r w:rsidR="00F546F7">
              <w:rPr>
                <w:sz w:val="20"/>
              </w:rPr>
              <w:t xml:space="preserve"> Approximately £38m to £55m of this cost is borne by the BBC, making this option a net benefit to business.</w:t>
            </w:r>
          </w:p>
          <w:p w14:paraId="0AB55507" w14:textId="1D1CE38E" w:rsidR="00475B99" w:rsidRPr="00475B99" w:rsidRDefault="00DB757B" w:rsidP="007D2BF8">
            <w:pPr>
              <w:pStyle w:val="IAPOA1"/>
              <w:rPr>
                <w:sz w:val="20"/>
              </w:rPr>
            </w:pPr>
            <w:r>
              <w:rPr>
                <w:sz w:val="20"/>
              </w:rPr>
              <w:t xml:space="preserve"> </w:t>
            </w:r>
          </w:p>
        </w:tc>
      </w:tr>
      <w:tr w:rsidR="000D0ADA" w:rsidRPr="00B8191D" w14:paraId="1E13E2B1" w14:textId="77777777" w:rsidTr="00475B99">
        <w:trPr>
          <w:trHeight w:hRule="exact" w:val="1681"/>
        </w:trPr>
        <w:tc>
          <w:tcPr>
            <w:tcW w:w="10632" w:type="dxa"/>
            <w:gridSpan w:val="6"/>
            <w:tcBorders>
              <w:top w:val="single" w:sz="6" w:space="0" w:color="auto"/>
              <w:bottom w:val="single" w:sz="12" w:space="0" w:color="auto"/>
            </w:tcBorders>
            <w:shd w:val="clear" w:color="auto" w:fill="auto"/>
          </w:tcPr>
          <w:p w14:paraId="2FE32981" w14:textId="77777777" w:rsidR="000D0ADA" w:rsidRPr="00B8191D" w:rsidRDefault="000D0ADA" w:rsidP="007D2BF8">
            <w:pPr>
              <w:pStyle w:val="IAPOQ2"/>
              <w:rPr>
                <w:szCs w:val="22"/>
              </w:rPr>
            </w:pPr>
            <w:r w:rsidRPr="00B8191D">
              <w:t xml:space="preserve">Other key non-monetised costs by ‘main affected groups’ </w:t>
            </w:r>
          </w:p>
          <w:p w14:paraId="38BBF788" w14:textId="77777777" w:rsidR="000D0ADA" w:rsidRPr="00B8191D" w:rsidRDefault="000D0ADA" w:rsidP="007D2BF8">
            <w:pPr>
              <w:pStyle w:val="IAPOA2"/>
              <w:rPr>
                <w:szCs w:val="22"/>
              </w:rPr>
            </w:pPr>
          </w:p>
        </w:tc>
      </w:tr>
      <w:tr w:rsidR="000D0ADA" w:rsidRPr="00B8191D" w14:paraId="7A6C5C15" w14:textId="77777777" w:rsidTr="007D2BF8">
        <w:trPr>
          <w:trHeight w:hRule="exact" w:val="567"/>
        </w:trPr>
        <w:tc>
          <w:tcPr>
            <w:tcW w:w="2263" w:type="dxa"/>
            <w:shd w:val="clear" w:color="auto" w:fill="FFFFFF"/>
          </w:tcPr>
          <w:p w14:paraId="7BEC624F" w14:textId="77777777" w:rsidR="000D0ADA" w:rsidRPr="00B8191D" w:rsidRDefault="000D0ADA" w:rsidP="007D2BF8">
            <w:pPr>
              <w:pStyle w:val="IATableLabel"/>
              <w:rPr>
                <w:sz w:val="24"/>
                <w:szCs w:val="24"/>
              </w:rPr>
            </w:pPr>
            <w:r w:rsidRPr="00B8191D">
              <w:rPr>
                <w:sz w:val="24"/>
                <w:szCs w:val="24"/>
              </w:rPr>
              <w:t>BENEFITS (£m)</w:t>
            </w:r>
          </w:p>
        </w:tc>
        <w:tc>
          <w:tcPr>
            <w:tcW w:w="2739" w:type="dxa"/>
            <w:gridSpan w:val="2"/>
            <w:tcBorders>
              <w:top w:val="single" w:sz="12" w:space="0" w:color="auto"/>
              <w:bottom w:val="single" w:sz="6" w:space="0" w:color="auto"/>
            </w:tcBorders>
            <w:shd w:val="clear" w:color="auto" w:fill="auto"/>
          </w:tcPr>
          <w:p w14:paraId="368471E0" w14:textId="77777777" w:rsidR="000D0ADA" w:rsidRPr="00B8191D" w:rsidRDefault="000D0ADA" w:rsidP="007D2BF8">
            <w:pPr>
              <w:pStyle w:val="IATableLabel"/>
              <w:tabs>
                <w:tab w:val="right" w:pos="1797"/>
                <w:tab w:val="center" w:pos="2340"/>
              </w:tabs>
              <w:jc w:val="right"/>
            </w:pPr>
            <w:r w:rsidRPr="00B8191D">
              <w:t xml:space="preserve">Total Transition </w:t>
            </w:r>
            <w:r w:rsidRPr="00B8191D">
              <w:br/>
            </w:r>
            <w:r w:rsidRPr="00B8191D">
              <w:tab/>
            </w:r>
            <w:r w:rsidRPr="00B8191D">
              <w:rPr>
                <w:b w:val="0"/>
                <w:sz w:val="18"/>
                <w:szCs w:val="18"/>
              </w:rPr>
              <w:t>(Constant Price)</w:t>
            </w:r>
            <w:r w:rsidRPr="00B8191D">
              <w:tab/>
            </w:r>
            <w:r w:rsidRPr="00B8191D">
              <w:rPr>
                <w:b w:val="0"/>
                <w:sz w:val="18"/>
                <w:szCs w:val="18"/>
              </w:rPr>
              <w:t>Yea</w:t>
            </w:r>
            <w:r w:rsidRPr="00B8191D">
              <w:rPr>
                <w:b w:val="0"/>
                <w:bCs/>
                <w:sz w:val="18"/>
                <w:szCs w:val="18"/>
              </w:rPr>
              <w:t>r</w:t>
            </w:r>
            <w:r w:rsidRPr="00B8191D">
              <w:rPr>
                <w:b w:val="0"/>
                <w:sz w:val="18"/>
                <w:szCs w:val="18"/>
              </w:rPr>
              <w:t>s</w:t>
            </w:r>
          </w:p>
          <w:p w14:paraId="12117DE9" w14:textId="77777777" w:rsidR="000D0ADA" w:rsidRPr="00B8191D" w:rsidRDefault="000D0ADA" w:rsidP="007D2BF8">
            <w:pPr>
              <w:pStyle w:val="IATableLabel"/>
              <w:jc w:val="right"/>
            </w:pPr>
            <w:r w:rsidRPr="00B8191D">
              <w:br/>
            </w:r>
          </w:p>
        </w:tc>
        <w:tc>
          <w:tcPr>
            <w:tcW w:w="2865" w:type="dxa"/>
            <w:tcBorders>
              <w:bottom w:val="single" w:sz="6" w:space="0" w:color="auto"/>
              <w:right w:val="single" w:sz="12" w:space="0" w:color="auto"/>
            </w:tcBorders>
            <w:shd w:val="clear" w:color="auto" w:fill="auto"/>
          </w:tcPr>
          <w:p w14:paraId="44181DD3" w14:textId="77777777" w:rsidR="000D0ADA" w:rsidRPr="00B8191D" w:rsidRDefault="000D0ADA" w:rsidP="007D2BF8">
            <w:pPr>
              <w:pStyle w:val="IATableLabel"/>
              <w:jc w:val="right"/>
              <w:rPr>
                <w:rFonts w:cs="Arial"/>
                <w:bCs/>
              </w:rPr>
            </w:pPr>
            <w:r w:rsidRPr="00B8191D">
              <w:t xml:space="preserve">Average Annual </w:t>
            </w:r>
            <w:r w:rsidRPr="00B8191D">
              <w:br/>
            </w:r>
            <w:r w:rsidRPr="00B8191D">
              <w:rPr>
                <w:b w:val="0"/>
                <w:sz w:val="18"/>
                <w:szCs w:val="18"/>
              </w:rPr>
              <w:t xml:space="preserve">(excl. Transition) </w:t>
            </w:r>
            <w:r w:rsidRPr="00B8191D">
              <w:rPr>
                <w:rFonts w:cs="Arial"/>
                <w:b w:val="0"/>
                <w:bCs/>
                <w:sz w:val="18"/>
                <w:szCs w:val="18"/>
              </w:rPr>
              <w:t>(Constant Price)</w:t>
            </w:r>
          </w:p>
        </w:tc>
        <w:tc>
          <w:tcPr>
            <w:tcW w:w="2765" w:type="dxa"/>
            <w:gridSpan w:val="2"/>
            <w:tcBorders>
              <w:top w:val="single" w:sz="12" w:space="0" w:color="auto"/>
              <w:left w:val="single" w:sz="12" w:space="0" w:color="auto"/>
              <w:bottom w:val="single" w:sz="6" w:space="0" w:color="auto"/>
            </w:tcBorders>
            <w:shd w:val="clear" w:color="auto" w:fill="auto"/>
          </w:tcPr>
          <w:p w14:paraId="6C3CFABF" w14:textId="77777777" w:rsidR="000D0ADA" w:rsidRPr="00B8191D" w:rsidRDefault="000D0ADA" w:rsidP="007D2BF8">
            <w:pPr>
              <w:pStyle w:val="IATableLabel"/>
              <w:jc w:val="right"/>
            </w:pPr>
            <w:r w:rsidRPr="00B8191D">
              <w:t>Total Benefit</w:t>
            </w:r>
            <w:r w:rsidRPr="00B8191D">
              <w:rPr>
                <w:b w:val="0"/>
                <w:sz w:val="18"/>
                <w:szCs w:val="18"/>
              </w:rPr>
              <w:t xml:space="preserve"> </w:t>
            </w:r>
            <w:r w:rsidRPr="00B8191D">
              <w:rPr>
                <w:b w:val="0"/>
                <w:sz w:val="18"/>
                <w:szCs w:val="18"/>
              </w:rPr>
              <w:br/>
              <w:t>(Present Value)</w:t>
            </w:r>
          </w:p>
        </w:tc>
      </w:tr>
      <w:tr w:rsidR="000D0ADA" w:rsidRPr="00B8191D" w14:paraId="1E881AE8" w14:textId="77777777" w:rsidTr="007D2BF8">
        <w:trPr>
          <w:trHeight w:hRule="exact" w:val="348"/>
        </w:trPr>
        <w:tc>
          <w:tcPr>
            <w:tcW w:w="2263" w:type="dxa"/>
            <w:tcBorders>
              <w:top w:val="single" w:sz="6" w:space="0" w:color="auto"/>
              <w:bottom w:val="single" w:sz="6" w:space="0" w:color="auto"/>
            </w:tcBorders>
            <w:shd w:val="clear" w:color="auto" w:fill="auto"/>
            <w:vAlign w:val="center"/>
          </w:tcPr>
          <w:p w14:paraId="2A1584A5" w14:textId="77777777" w:rsidR="000D0ADA" w:rsidRPr="00B8191D" w:rsidRDefault="000D0ADA" w:rsidP="007D2BF8">
            <w:pPr>
              <w:pStyle w:val="IATableLabel"/>
            </w:pPr>
            <w:r w:rsidRPr="00B8191D">
              <w:t xml:space="preserve">Low </w:t>
            </w:r>
          </w:p>
        </w:tc>
        <w:tc>
          <w:tcPr>
            <w:tcW w:w="1949" w:type="dxa"/>
            <w:tcBorders>
              <w:top w:val="single" w:sz="6" w:space="0" w:color="auto"/>
              <w:bottom w:val="single" w:sz="6" w:space="0" w:color="auto"/>
            </w:tcBorders>
            <w:shd w:val="clear" w:color="auto" w:fill="auto"/>
            <w:vAlign w:val="center"/>
          </w:tcPr>
          <w:p w14:paraId="168E80E4" w14:textId="785271AF" w:rsidR="000D0ADA" w:rsidRPr="00B8191D" w:rsidRDefault="003E5FE2" w:rsidP="007D2BF8">
            <w:pPr>
              <w:pStyle w:val="POTTCostsLow"/>
              <w:rPr>
                <w:sz w:val="20"/>
              </w:rPr>
            </w:pPr>
            <w:r>
              <w:rPr>
                <w:sz w:val="20"/>
              </w:rPr>
              <w:t>96.2</w:t>
            </w:r>
          </w:p>
        </w:tc>
        <w:tc>
          <w:tcPr>
            <w:tcW w:w="790" w:type="dxa"/>
            <w:vMerge w:val="restart"/>
            <w:tcBorders>
              <w:top w:val="single" w:sz="6" w:space="0" w:color="auto"/>
            </w:tcBorders>
            <w:shd w:val="clear" w:color="auto" w:fill="auto"/>
            <w:vAlign w:val="center"/>
          </w:tcPr>
          <w:p w14:paraId="73F36139" w14:textId="77777777" w:rsidR="000D0ADA" w:rsidRPr="00B8191D" w:rsidRDefault="000D0ADA" w:rsidP="007D2BF8">
            <w:pPr>
              <w:pStyle w:val="IATableText"/>
              <w:jc w:val="center"/>
              <w:rPr>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5AE5C2F6" w14:textId="0DE04222" w:rsidR="000D0ADA" w:rsidRPr="00B8191D" w:rsidRDefault="003E5FE2" w:rsidP="007D2BF8">
            <w:pPr>
              <w:pStyle w:val="POTBBenLow"/>
              <w:rPr>
                <w:b w:val="0"/>
                <w:sz w:val="20"/>
              </w:rPr>
            </w:pPr>
            <w:r>
              <w:rPr>
                <w:b w:val="0"/>
                <w:sz w:val="20"/>
              </w:rPr>
              <w:t>0</w:t>
            </w:r>
          </w:p>
        </w:tc>
        <w:tc>
          <w:tcPr>
            <w:tcW w:w="2765" w:type="dxa"/>
            <w:gridSpan w:val="2"/>
            <w:tcBorders>
              <w:top w:val="single" w:sz="6" w:space="0" w:color="auto"/>
              <w:left w:val="single" w:sz="12" w:space="0" w:color="auto"/>
              <w:bottom w:val="single" w:sz="6" w:space="0" w:color="auto"/>
            </w:tcBorders>
            <w:shd w:val="clear" w:color="auto" w:fill="auto"/>
            <w:vAlign w:val="center"/>
          </w:tcPr>
          <w:p w14:paraId="3B754FED" w14:textId="6F55DA0E" w:rsidR="000D0ADA" w:rsidRPr="00B8191D" w:rsidRDefault="003E5FE2" w:rsidP="007D2BF8">
            <w:pPr>
              <w:pStyle w:val="POTBBenLow"/>
              <w:rPr>
                <w:sz w:val="20"/>
              </w:rPr>
            </w:pPr>
            <w:r>
              <w:rPr>
                <w:sz w:val="20"/>
              </w:rPr>
              <w:t>96.2</w:t>
            </w:r>
          </w:p>
        </w:tc>
      </w:tr>
      <w:tr w:rsidR="000D0ADA" w:rsidRPr="00B8191D" w14:paraId="3357843A" w14:textId="77777777" w:rsidTr="007D2BF8">
        <w:trPr>
          <w:trHeight w:hRule="exact" w:val="348"/>
        </w:trPr>
        <w:tc>
          <w:tcPr>
            <w:tcW w:w="2263" w:type="dxa"/>
            <w:tcBorders>
              <w:top w:val="single" w:sz="6" w:space="0" w:color="auto"/>
              <w:bottom w:val="single" w:sz="12" w:space="0" w:color="auto"/>
            </w:tcBorders>
            <w:shd w:val="clear" w:color="auto" w:fill="auto"/>
            <w:vAlign w:val="center"/>
          </w:tcPr>
          <w:p w14:paraId="667CE7A8" w14:textId="77777777" w:rsidR="000D0ADA" w:rsidRPr="00B8191D" w:rsidRDefault="000D0ADA" w:rsidP="007D2BF8">
            <w:pPr>
              <w:pStyle w:val="IATableLabel"/>
            </w:pPr>
            <w:r w:rsidRPr="00B8191D">
              <w:t xml:space="preserve">High </w:t>
            </w:r>
          </w:p>
        </w:tc>
        <w:tc>
          <w:tcPr>
            <w:tcW w:w="1949" w:type="dxa"/>
            <w:tcBorders>
              <w:top w:val="single" w:sz="6" w:space="0" w:color="auto"/>
              <w:bottom w:val="single" w:sz="12" w:space="0" w:color="auto"/>
            </w:tcBorders>
            <w:shd w:val="clear" w:color="auto" w:fill="auto"/>
            <w:vAlign w:val="center"/>
          </w:tcPr>
          <w:p w14:paraId="60D00CC5" w14:textId="4B9B44C5" w:rsidR="000D0ADA" w:rsidRPr="00B8191D" w:rsidRDefault="003E5FE2" w:rsidP="007D2BF8">
            <w:pPr>
              <w:pStyle w:val="POTTCostsHigh"/>
              <w:rPr>
                <w:sz w:val="20"/>
              </w:rPr>
            </w:pPr>
            <w:r>
              <w:rPr>
                <w:sz w:val="20"/>
              </w:rPr>
              <w:t>137.4</w:t>
            </w:r>
          </w:p>
        </w:tc>
        <w:tc>
          <w:tcPr>
            <w:tcW w:w="790" w:type="dxa"/>
            <w:vMerge/>
            <w:shd w:val="clear" w:color="auto" w:fill="FFFFFF"/>
            <w:vAlign w:val="center"/>
          </w:tcPr>
          <w:p w14:paraId="2886BB42" w14:textId="77777777" w:rsidR="000D0ADA" w:rsidRPr="00B8191D" w:rsidRDefault="000D0ADA" w:rsidP="007D2BF8">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53CA96B6" w14:textId="1EAA12CF" w:rsidR="000D0ADA" w:rsidRPr="00B8191D" w:rsidRDefault="003E5FE2" w:rsidP="003E5FE2">
            <w:pPr>
              <w:pStyle w:val="POTBBenHigh"/>
              <w:rPr>
                <w:b w:val="0"/>
                <w:sz w:val="20"/>
              </w:rPr>
            </w:pPr>
            <w:r>
              <w:rPr>
                <w:b w:val="0"/>
                <w:sz w:val="20"/>
              </w:rPr>
              <w:t>0</w:t>
            </w:r>
          </w:p>
        </w:tc>
        <w:tc>
          <w:tcPr>
            <w:tcW w:w="2765" w:type="dxa"/>
            <w:gridSpan w:val="2"/>
            <w:tcBorders>
              <w:top w:val="single" w:sz="6" w:space="0" w:color="auto"/>
              <w:left w:val="single" w:sz="12" w:space="0" w:color="auto"/>
              <w:bottom w:val="single" w:sz="12" w:space="0" w:color="auto"/>
            </w:tcBorders>
            <w:shd w:val="clear" w:color="auto" w:fill="auto"/>
            <w:vAlign w:val="center"/>
          </w:tcPr>
          <w:p w14:paraId="1E04A5C0" w14:textId="0A164269" w:rsidR="000D0ADA" w:rsidRPr="00B8191D" w:rsidRDefault="003E5FE2" w:rsidP="003E5FE2">
            <w:pPr>
              <w:pStyle w:val="POTBBenHigh"/>
              <w:rPr>
                <w:sz w:val="20"/>
              </w:rPr>
            </w:pPr>
            <w:r>
              <w:rPr>
                <w:sz w:val="20"/>
              </w:rPr>
              <w:t>137.4</w:t>
            </w:r>
          </w:p>
        </w:tc>
      </w:tr>
      <w:tr w:rsidR="000D0ADA" w:rsidRPr="00B8191D" w14:paraId="2F232E7B" w14:textId="77777777" w:rsidTr="007D2BF8">
        <w:trPr>
          <w:trHeight w:hRule="exact" w:val="348"/>
        </w:trPr>
        <w:tc>
          <w:tcPr>
            <w:tcW w:w="2263" w:type="dxa"/>
            <w:tcBorders>
              <w:top w:val="single" w:sz="12" w:space="0" w:color="auto"/>
              <w:bottom w:val="single" w:sz="12" w:space="0" w:color="auto"/>
              <w:right w:val="single" w:sz="12" w:space="0" w:color="auto"/>
            </w:tcBorders>
            <w:shd w:val="clear" w:color="auto" w:fill="FFFFFF"/>
            <w:vAlign w:val="center"/>
          </w:tcPr>
          <w:p w14:paraId="3F7877DE" w14:textId="77777777" w:rsidR="000D0ADA" w:rsidRPr="00B8191D" w:rsidRDefault="000D0ADA" w:rsidP="007D2BF8">
            <w:pPr>
              <w:pStyle w:val="IATableLabel"/>
            </w:pPr>
            <w:r w:rsidRPr="00B8191D">
              <w:t>Best Estimate</w:t>
            </w:r>
          </w:p>
          <w:p w14:paraId="0B9B4E7A" w14:textId="77777777" w:rsidR="000D0ADA" w:rsidRPr="00B8191D" w:rsidRDefault="000D0ADA" w:rsidP="007D2BF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01E5517" w14:textId="12FE5B16" w:rsidR="000D0ADA" w:rsidRPr="00B8191D" w:rsidRDefault="003E5FE2" w:rsidP="007D2BF8">
            <w:pPr>
              <w:pStyle w:val="POTTCostsBest"/>
              <w:rPr>
                <w:sz w:val="20"/>
              </w:rPr>
            </w:pPr>
            <w:r>
              <w:rPr>
                <w:sz w:val="20"/>
              </w:rPr>
              <w:t>116.8</w:t>
            </w:r>
          </w:p>
        </w:tc>
        <w:tc>
          <w:tcPr>
            <w:tcW w:w="790" w:type="dxa"/>
            <w:vMerge/>
            <w:tcBorders>
              <w:left w:val="single" w:sz="12" w:space="0" w:color="auto"/>
              <w:right w:val="single" w:sz="12" w:space="0" w:color="auto"/>
            </w:tcBorders>
            <w:shd w:val="clear" w:color="auto" w:fill="FFFFFF"/>
            <w:vAlign w:val="center"/>
          </w:tcPr>
          <w:p w14:paraId="06B34B18" w14:textId="77777777" w:rsidR="000D0ADA" w:rsidRPr="00B8191D" w:rsidRDefault="000D0ADA" w:rsidP="007D2BF8">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754953D" w14:textId="42F92386" w:rsidR="000D0ADA" w:rsidRPr="00B8191D" w:rsidRDefault="003E5FE2" w:rsidP="007D2BF8">
            <w:pPr>
              <w:pStyle w:val="POTBBenBest"/>
              <w:rPr>
                <w:b w:val="0"/>
                <w:sz w:val="20"/>
              </w:rPr>
            </w:pPr>
            <w:r>
              <w:rPr>
                <w:b w:val="0"/>
                <w:sz w:val="20"/>
              </w:rPr>
              <w:t>0</w:t>
            </w:r>
          </w:p>
        </w:tc>
        <w:tc>
          <w:tcPr>
            <w:tcW w:w="2765" w:type="dxa"/>
            <w:gridSpan w:val="2"/>
            <w:tcBorders>
              <w:top w:val="single" w:sz="12" w:space="0" w:color="auto"/>
              <w:left w:val="single" w:sz="12" w:space="0" w:color="auto"/>
              <w:bottom w:val="single" w:sz="12" w:space="0" w:color="auto"/>
            </w:tcBorders>
            <w:shd w:val="clear" w:color="auto" w:fill="FFFFFF"/>
            <w:vAlign w:val="center"/>
          </w:tcPr>
          <w:p w14:paraId="72EDFD81" w14:textId="6AD49EEC" w:rsidR="000D0ADA" w:rsidRPr="00B8191D" w:rsidRDefault="003E5FE2" w:rsidP="003E5FE2">
            <w:pPr>
              <w:pStyle w:val="POTBBenBest"/>
              <w:rPr>
                <w:sz w:val="20"/>
              </w:rPr>
            </w:pPr>
            <w:r>
              <w:rPr>
                <w:sz w:val="20"/>
              </w:rPr>
              <w:t>116.8</w:t>
            </w:r>
          </w:p>
        </w:tc>
      </w:tr>
      <w:tr w:rsidR="000D0ADA" w:rsidRPr="00B8191D" w14:paraId="7EA2F9CB" w14:textId="77777777" w:rsidTr="007D2BF8">
        <w:trPr>
          <w:trHeight w:hRule="exact" w:val="1526"/>
        </w:trPr>
        <w:tc>
          <w:tcPr>
            <w:tcW w:w="10632" w:type="dxa"/>
            <w:gridSpan w:val="6"/>
            <w:shd w:val="clear" w:color="auto" w:fill="auto"/>
          </w:tcPr>
          <w:p w14:paraId="73BAFED2" w14:textId="77777777" w:rsidR="000D0ADA" w:rsidRPr="00B8191D" w:rsidRDefault="000D0ADA" w:rsidP="007D2BF8">
            <w:pPr>
              <w:pStyle w:val="IPPOQ3"/>
              <w:rPr>
                <w:szCs w:val="22"/>
              </w:rPr>
            </w:pPr>
            <w:r w:rsidRPr="00B8191D">
              <w:t xml:space="preserve">Description and scale of key monetised benefits by ‘main affected groups’ </w:t>
            </w:r>
          </w:p>
          <w:p w14:paraId="6477F83A" w14:textId="77777777" w:rsidR="000D0ADA" w:rsidRDefault="000D0ADA" w:rsidP="007D2BF8">
            <w:pPr>
              <w:pStyle w:val="IAPOA3"/>
            </w:pPr>
          </w:p>
          <w:p w14:paraId="67CEABD5" w14:textId="66ED9E75" w:rsidR="00475B99" w:rsidRPr="00475B99" w:rsidRDefault="00131260" w:rsidP="00131260">
            <w:pPr>
              <w:pStyle w:val="IAPOA3"/>
              <w:rPr>
                <w:sz w:val="20"/>
              </w:rPr>
            </w:pPr>
            <w:r>
              <w:rPr>
                <w:sz w:val="20"/>
              </w:rPr>
              <w:t xml:space="preserve">As a result of this asset transfer platform operators benefit to exactly balance the costs above, i.e. they gain an asset worth £137m </w:t>
            </w:r>
            <w:r w:rsidR="00F81DB7">
              <w:rPr>
                <w:sz w:val="20"/>
              </w:rPr>
              <w:t>now, which</w:t>
            </w:r>
            <w:r>
              <w:rPr>
                <w:sz w:val="20"/>
              </w:rPr>
              <w:t xml:space="preserve"> could fall to £96m over the next 10 years. </w:t>
            </w:r>
          </w:p>
        </w:tc>
      </w:tr>
      <w:tr w:rsidR="000D0ADA" w:rsidRPr="00B8191D" w14:paraId="01AF6AD6" w14:textId="77777777" w:rsidTr="007D2BF8">
        <w:trPr>
          <w:trHeight w:hRule="exact" w:val="1687"/>
        </w:trPr>
        <w:tc>
          <w:tcPr>
            <w:tcW w:w="10632" w:type="dxa"/>
            <w:gridSpan w:val="6"/>
            <w:shd w:val="clear" w:color="auto" w:fill="auto"/>
          </w:tcPr>
          <w:p w14:paraId="4D55E4C5" w14:textId="77777777" w:rsidR="000D0ADA" w:rsidRPr="00B8191D" w:rsidRDefault="000D0ADA" w:rsidP="007D2BF8">
            <w:pPr>
              <w:pStyle w:val="IAPOQ4"/>
              <w:rPr>
                <w:szCs w:val="22"/>
              </w:rPr>
            </w:pPr>
            <w:r w:rsidRPr="00B8191D">
              <w:t xml:space="preserve">Other key non-monetised benefits by ‘main affected groups’ </w:t>
            </w:r>
          </w:p>
          <w:p w14:paraId="73363580" w14:textId="1DBBACC3" w:rsidR="000D0ADA" w:rsidRPr="00B8191D" w:rsidRDefault="002E7CDB" w:rsidP="002E7CDB">
            <w:pPr>
              <w:pStyle w:val="IAPOA4"/>
            </w:pPr>
            <w:r>
              <w:rPr>
                <w:sz w:val="20"/>
              </w:rPr>
              <w:t>Losing the</w:t>
            </w:r>
            <w:r w:rsidRPr="00C2264A">
              <w:rPr>
                <w:sz w:val="20"/>
              </w:rPr>
              <w:t xml:space="preserve"> </w:t>
            </w:r>
            <w:r>
              <w:rPr>
                <w:sz w:val="20"/>
              </w:rPr>
              <w:t>prominence currently guaranteed will likely mean that commercial PSBs either have to pay additional fees to pay TV platforms or suffer a loss of viewers. This may result in a decrease in investment in original UK content (as PSBs spend proportionally more on UK original content than pay channels).</w:t>
            </w:r>
          </w:p>
        </w:tc>
      </w:tr>
      <w:tr w:rsidR="000D0ADA" w:rsidRPr="00B8191D" w14:paraId="2234565F" w14:textId="77777777" w:rsidTr="007D2BF8">
        <w:trPr>
          <w:trHeight w:hRule="exact" w:val="346"/>
        </w:trPr>
        <w:tc>
          <w:tcPr>
            <w:tcW w:w="9643" w:type="dxa"/>
            <w:gridSpan w:val="5"/>
            <w:tcBorders>
              <w:top w:val="single" w:sz="6" w:space="0" w:color="auto"/>
              <w:bottom w:val="nil"/>
            </w:tcBorders>
            <w:shd w:val="clear" w:color="auto" w:fill="auto"/>
          </w:tcPr>
          <w:p w14:paraId="41A2469E" w14:textId="77777777" w:rsidR="000D0ADA" w:rsidRPr="00B8191D" w:rsidRDefault="000D0ADA" w:rsidP="007D2BF8">
            <w:pPr>
              <w:pStyle w:val="IATableLabel"/>
              <w:tabs>
                <w:tab w:val="left" w:pos="7655"/>
              </w:tabs>
            </w:pPr>
            <w:r w:rsidRPr="00B8191D">
              <w:rPr>
                <w:rStyle w:val="IAPOQ5Char"/>
                <w:b/>
              </w:rPr>
              <w:t>Key assumptions/sensitivities/risks</w:t>
            </w:r>
            <w:r w:rsidRPr="00B8191D">
              <w:tab/>
              <w:t>Discount rate (%)</w:t>
            </w:r>
          </w:p>
          <w:p w14:paraId="097C020E" w14:textId="77777777" w:rsidR="000D0ADA" w:rsidRPr="00B8191D" w:rsidRDefault="000D0ADA" w:rsidP="007D2BF8">
            <w:pPr>
              <w:pStyle w:val="IATableLabel"/>
            </w:pPr>
          </w:p>
        </w:tc>
        <w:tc>
          <w:tcPr>
            <w:tcW w:w="989" w:type="dxa"/>
            <w:tcBorders>
              <w:top w:val="single" w:sz="6" w:space="0" w:color="auto"/>
              <w:bottom w:val="single" w:sz="4" w:space="0" w:color="auto"/>
            </w:tcBorders>
            <w:shd w:val="clear" w:color="auto" w:fill="auto"/>
          </w:tcPr>
          <w:p w14:paraId="756797B8" w14:textId="77777777" w:rsidR="000D0ADA" w:rsidRPr="00B8191D" w:rsidRDefault="000D0ADA" w:rsidP="007D2BF8">
            <w:pPr>
              <w:pStyle w:val="IAPODisRate"/>
            </w:pPr>
            <w:r w:rsidRPr="00B8191D">
              <w:t>3.50%</w:t>
            </w:r>
          </w:p>
        </w:tc>
      </w:tr>
      <w:tr w:rsidR="000D0ADA" w:rsidRPr="00B8191D" w14:paraId="1E49FAB8" w14:textId="77777777" w:rsidTr="007D2BF8">
        <w:trPr>
          <w:trHeight w:hRule="exact" w:val="1200"/>
        </w:trPr>
        <w:tc>
          <w:tcPr>
            <w:tcW w:w="10632" w:type="dxa"/>
            <w:gridSpan w:val="6"/>
            <w:tcBorders>
              <w:top w:val="nil"/>
              <w:bottom w:val="single" w:sz="12" w:space="0" w:color="auto"/>
            </w:tcBorders>
            <w:shd w:val="clear" w:color="auto" w:fill="auto"/>
          </w:tcPr>
          <w:p w14:paraId="009566AB" w14:textId="77777777" w:rsidR="00DA6448" w:rsidRPr="00C2264A" w:rsidRDefault="00DA6448" w:rsidP="00DA6448">
            <w:pPr>
              <w:pStyle w:val="IAPOA5"/>
              <w:rPr>
                <w:sz w:val="20"/>
              </w:rPr>
            </w:pPr>
            <w:r w:rsidRPr="00C2264A">
              <w:rPr>
                <w:sz w:val="20"/>
              </w:rPr>
              <w:t>This analysis i</w:t>
            </w:r>
            <w:r>
              <w:rPr>
                <w:sz w:val="20"/>
              </w:rPr>
              <w:t>s based on underlying data from the secondary market for Sky EPG slots. It is assumed that these values are scalable to other platforms based on viewer numbers. The take up of new ways of accessing content, such as through smart TVs, is at a relatively low level at the moment, and assumptions around future take-up are by their nature speculative but informed by the best evidence available.</w:t>
            </w:r>
          </w:p>
          <w:p w14:paraId="7BEA6198" w14:textId="77777777" w:rsidR="000D0ADA" w:rsidRDefault="000D0ADA" w:rsidP="007D2BF8">
            <w:pPr>
              <w:pStyle w:val="IAPOA5"/>
            </w:pPr>
          </w:p>
          <w:p w14:paraId="4CE23CF9" w14:textId="44E4E7AA" w:rsidR="00475B99" w:rsidRPr="00475B99" w:rsidRDefault="00475B99" w:rsidP="007D2BF8">
            <w:pPr>
              <w:pStyle w:val="IAPOA5"/>
              <w:rPr>
                <w:sz w:val="20"/>
              </w:rPr>
            </w:pPr>
          </w:p>
        </w:tc>
      </w:tr>
    </w:tbl>
    <w:p w14:paraId="17242BA7" w14:textId="77777777" w:rsidR="000D0ADA" w:rsidRPr="00B8191D" w:rsidRDefault="000D0ADA" w:rsidP="000D0ADA">
      <w:pPr>
        <w:pStyle w:val="IASpacer"/>
        <w:spacing w:line="240" w:lineRule="auto"/>
        <w:rPr>
          <w:b/>
        </w:rPr>
      </w:pPr>
    </w:p>
    <w:p w14:paraId="61AB7218" w14:textId="6D87F557" w:rsidR="000D0ADA" w:rsidRPr="00B8191D" w:rsidRDefault="000D0ADA" w:rsidP="000D0ADA">
      <w:pPr>
        <w:pStyle w:val="IAHeadLabel"/>
        <w:spacing w:before="50"/>
      </w:pPr>
      <w:r w:rsidRPr="00B8191D">
        <w:t xml:space="preserve">BUSINESS ASSESSMENT (Option </w:t>
      </w:r>
      <w:r w:rsidR="0094069E">
        <w:t>3b</w:t>
      </w:r>
      <w:r w:rsidRPr="00B8191D">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0D0ADA" w:rsidRPr="00B8191D" w14:paraId="1C6E1EC8" w14:textId="77777777" w:rsidTr="007D2BF8">
        <w:trPr>
          <w:trHeight w:hRule="exact" w:val="312"/>
        </w:trPr>
        <w:tc>
          <w:tcPr>
            <w:tcW w:w="6125" w:type="dxa"/>
            <w:gridSpan w:val="3"/>
            <w:tcBorders>
              <w:top w:val="single" w:sz="4" w:space="0" w:color="auto"/>
              <w:bottom w:val="nil"/>
              <w:right w:val="single" w:sz="4" w:space="0" w:color="auto"/>
            </w:tcBorders>
          </w:tcPr>
          <w:p w14:paraId="0944E70D" w14:textId="77777777" w:rsidR="000D0ADA" w:rsidRPr="00B8191D" w:rsidRDefault="000D0ADA" w:rsidP="007D2BF8">
            <w:pPr>
              <w:pStyle w:val="IATableLabel"/>
            </w:pPr>
            <w:r w:rsidRPr="00B8191D">
              <w:t xml:space="preserve">Direct impact on business (Equivalent Annual) £m: </w:t>
            </w:r>
          </w:p>
        </w:tc>
        <w:tc>
          <w:tcPr>
            <w:tcW w:w="1980" w:type="dxa"/>
            <w:tcBorders>
              <w:top w:val="single" w:sz="4" w:space="0" w:color="auto"/>
              <w:left w:val="single" w:sz="4" w:space="0" w:color="auto"/>
              <w:bottom w:val="nil"/>
              <w:right w:val="nil"/>
            </w:tcBorders>
          </w:tcPr>
          <w:p w14:paraId="33609984" w14:textId="77777777" w:rsidR="000D0ADA" w:rsidRPr="00B8191D" w:rsidRDefault="000D0ADA" w:rsidP="007D2BF8">
            <w:pPr>
              <w:pStyle w:val="IATableLabel"/>
            </w:pPr>
            <w:r w:rsidRPr="00B8191D">
              <w:t>In scope of OITO?</w:t>
            </w:r>
          </w:p>
        </w:tc>
        <w:tc>
          <w:tcPr>
            <w:tcW w:w="2110" w:type="dxa"/>
            <w:tcBorders>
              <w:top w:val="single" w:sz="4" w:space="0" w:color="auto"/>
              <w:left w:val="nil"/>
              <w:bottom w:val="nil"/>
              <w:right w:val="single" w:sz="4" w:space="0" w:color="auto"/>
            </w:tcBorders>
            <w:shd w:val="clear" w:color="auto" w:fill="auto"/>
          </w:tcPr>
          <w:p w14:paraId="1BEE34D9" w14:textId="77777777" w:rsidR="000D0ADA" w:rsidRPr="00B8191D" w:rsidRDefault="000D0ADA" w:rsidP="007D2BF8">
            <w:pPr>
              <w:pStyle w:val="IATableLabel"/>
              <w:ind w:left="0"/>
            </w:pPr>
            <w:r w:rsidRPr="00B8191D">
              <w:t xml:space="preserve">  Measure qualifies as</w:t>
            </w:r>
          </w:p>
        </w:tc>
      </w:tr>
      <w:tr w:rsidR="000D0ADA" w:rsidRPr="00B8191D" w14:paraId="704BC10E" w14:textId="77777777" w:rsidTr="007D2BF8">
        <w:trPr>
          <w:trHeight w:hRule="exact" w:val="340"/>
        </w:trPr>
        <w:tc>
          <w:tcPr>
            <w:tcW w:w="1990" w:type="dxa"/>
            <w:tcBorders>
              <w:top w:val="nil"/>
              <w:bottom w:val="single" w:sz="4" w:space="0" w:color="auto"/>
              <w:right w:val="single" w:sz="4" w:space="0" w:color="auto"/>
            </w:tcBorders>
            <w:shd w:val="clear" w:color="auto" w:fill="FFFFFF"/>
          </w:tcPr>
          <w:p w14:paraId="479FB01A" w14:textId="1C983396" w:rsidR="000D0ADA" w:rsidRPr="00B8191D" w:rsidRDefault="000D0ADA" w:rsidP="007D2BF8">
            <w:pPr>
              <w:pStyle w:val="IATableLabel"/>
            </w:pPr>
            <w:r w:rsidRPr="00B8191D">
              <w:t xml:space="preserve">Costs: </w:t>
            </w:r>
            <w:r w:rsidR="006D06D8">
              <w:t>6.4</w:t>
            </w:r>
          </w:p>
        </w:tc>
        <w:tc>
          <w:tcPr>
            <w:tcW w:w="2155" w:type="dxa"/>
            <w:tcBorders>
              <w:top w:val="nil"/>
              <w:bottom w:val="single" w:sz="4" w:space="0" w:color="auto"/>
              <w:right w:val="single" w:sz="4" w:space="0" w:color="auto"/>
            </w:tcBorders>
            <w:shd w:val="clear" w:color="auto" w:fill="FFFFFF"/>
          </w:tcPr>
          <w:p w14:paraId="5433C04B" w14:textId="15FFB845" w:rsidR="000D0ADA" w:rsidRPr="00B8191D" w:rsidRDefault="000D0ADA" w:rsidP="007D2BF8">
            <w:pPr>
              <w:pStyle w:val="IATableLabel"/>
            </w:pPr>
            <w:r w:rsidRPr="00B8191D">
              <w:t xml:space="preserve">Benefits: </w:t>
            </w:r>
            <w:r w:rsidR="00475B99">
              <w:t>1</w:t>
            </w:r>
            <w:r w:rsidR="006D06D8">
              <w:t>0.7</w:t>
            </w:r>
          </w:p>
        </w:tc>
        <w:tc>
          <w:tcPr>
            <w:tcW w:w="1980" w:type="dxa"/>
            <w:tcBorders>
              <w:top w:val="nil"/>
              <w:bottom w:val="single" w:sz="4" w:space="0" w:color="auto"/>
              <w:right w:val="single" w:sz="4" w:space="0" w:color="auto"/>
            </w:tcBorders>
            <w:shd w:val="clear" w:color="auto" w:fill="FFFFFF"/>
          </w:tcPr>
          <w:p w14:paraId="6064D7D5" w14:textId="0E4CDA14" w:rsidR="000D0ADA" w:rsidRPr="00B8191D" w:rsidRDefault="000D0ADA" w:rsidP="007D2BF8">
            <w:pPr>
              <w:pStyle w:val="IATableLabel"/>
            </w:pPr>
            <w:r w:rsidRPr="00B8191D">
              <w:t xml:space="preserve">Net: </w:t>
            </w:r>
            <w:r w:rsidR="006D06D8">
              <w:t>4.3</w:t>
            </w:r>
          </w:p>
        </w:tc>
        <w:tc>
          <w:tcPr>
            <w:tcW w:w="1980" w:type="dxa"/>
            <w:tcBorders>
              <w:top w:val="nil"/>
              <w:left w:val="single" w:sz="4" w:space="0" w:color="auto"/>
              <w:bottom w:val="single" w:sz="4" w:space="0" w:color="auto"/>
              <w:right w:val="single" w:sz="4" w:space="0" w:color="auto"/>
            </w:tcBorders>
            <w:shd w:val="clear" w:color="auto" w:fill="FFFFFF"/>
          </w:tcPr>
          <w:p w14:paraId="17B8F760" w14:textId="517A7E24" w:rsidR="000D0ADA" w:rsidRPr="00B8191D" w:rsidRDefault="00475B99" w:rsidP="007D2BF8">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14:paraId="2DF6CE0E" w14:textId="110F1359" w:rsidR="000D0ADA" w:rsidRPr="00B8191D" w:rsidRDefault="00475B99" w:rsidP="007D2BF8">
            <w:pPr>
              <w:pStyle w:val="IAPODIMQ"/>
            </w:pPr>
            <w:r>
              <w:t>OUT</w:t>
            </w:r>
          </w:p>
        </w:tc>
      </w:tr>
    </w:tbl>
    <w:p w14:paraId="253A2B5A" w14:textId="77777777" w:rsidR="00384CBA" w:rsidRPr="007D2BF8" w:rsidRDefault="000D0ADA" w:rsidP="000D0ADA">
      <w:pPr>
        <w:rPr>
          <w:rFonts w:ascii="Arial Bold" w:hAnsi="Arial Bold" w:cs="Arial"/>
          <w:b/>
          <w:bCs/>
          <w:spacing w:val="-4"/>
          <w:kern w:val="32"/>
          <w:sz w:val="34"/>
          <w:szCs w:val="32"/>
          <w:u w:val="single"/>
        </w:rPr>
      </w:pPr>
      <w:r>
        <w:br w:type="page"/>
      </w:r>
      <w:r w:rsidR="00384CBA" w:rsidRPr="007D2BF8">
        <w:rPr>
          <w:b/>
          <w:sz w:val="28"/>
          <w:u w:val="single"/>
        </w:rPr>
        <w:lastRenderedPageBreak/>
        <w:t>Evidence Base</w:t>
      </w:r>
      <w:bookmarkStart w:id="22" w:name="EvidenceBase"/>
      <w:bookmarkEnd w:id="22"/>
    </w:p>
    <w:bookmarkEnd w:id="21"/>
    <w:p w14:paraId="439DD983" w14:textId="77777777" w:rsidR="00B6377E" w:rsidRDefault="00B6377E" w:rsidP="003B4B0D">
      <w:pPr>
        <w:pStyle w:val="EBNumber"/>
        <w:tabs>
          <w:tab w:val="clear" w:pos="425"/>
        </w:tabs>
        <w:spacing w:after="0"/>
        <w:ind w:left="0" w:firstLine="0"/>
        <w:jc w:val="both"/>
        <w:rPr>
          <w:color w:val="auto"/>
        </w:rPr>
      </w:pPr>
    </w:p>
    <w:p w14:paraId="19AE4AD0" w14:textId="77777777" w:rsidR="00A77A41" w:rsidRDefault="00A77A41" w:rsidP="00A77A41">
      <w:pPr>
        <w:pStyle w:val="EBNumber"/>
        <w:tabs>
          <w:tab w:val="clear" w:pos="425"/>
        </w:tabs>
        <w:spacing w:after="0"/>
        <w:ind w:left="0" w:firstLine="0"/>
        <w:jc w:val="both"/>
        <w:rPr>
          <w:b/>
          <w:color w:val="auto"/>
          <w:sz w:val="28"/>
          <w:u w:val="single"/>
        </w:rPr>
      </w:pPr>
      <w:r w:rsidRPr="00A77A41">
        <w:rPr>
          <w:b/>
          <w:bCs w:val="0"/>
          <w:color w:val="auto"/>
          <w:sz w:val="28"/>
          <w:u w:val="single"/>
        </w:rPr>
        <w:t>1.</w:t>
      </w:r>
      <w:r>
        <w:rPr>
          <w:b/>
          <w:color w:val="auto"/>
          <w:sz w:val="28"/>
          <w:u w:val="single"/>
        </w:rPr>
        <w:t xml:space="preserve"> Background</w:t>
      </w:r>
    </w:p>
    <w:p w14:paraId="4E78C755" w14:textId="77777777" w:rsidR="00A77A41" w:rsidRDefault="00A77A41" w:rsidP="00A77A41">
      <w:pPr>
        <w:pStyle w:val="EBNumber"/>
        <w:tabs>
          <w:tab w:val="clear" w:pos="425"/>
        </w:tabs>
        <w:spacing w:after="0"/>
        <w:ind w:left="0" w:firstLine="0"/>
        <w:jc w:val="both"/>
        <w:rPr>
          <w:b/>
          <w:color w:val="auto"/>
          <w:sz w:val="28"/>
          <w:u w:val="single"/>
        </w:rPr>
      </w:pPr>
    </w:p>
    <w:p w14:paraId="12029DB5" w14:textId="5E87043E" w:rsidR="00F22FD2" w:rsidRDefault="0008231F" w:rsidP="00A77A41">
      <w:pPr>
        <w:pStyle w:val="EBNumber"/>
        <w:tabs>
          <w:tab w:val="clear" w:pos="425"/>
        </w:tabs>
        <w:spacing w:after="0"/>
        <w:ind w:left="0" w:firstLine="0"/>
        <w:jc w:val="both"/>
        <w:rPr>
          <w:color w:val="auto"/>
          <w:sz w:val="24"/>
          <w:szCs w:val="24"/>
        </w:rPr>
      </w:pPr>
      <w:r w:rsidRPr="0008231F">
        <w:rPr>
          <w:color w:val="auto"/>
          <w:sz w:val="24"/>
          <w:szCs w:val="24"/>
        </w:rPr>
        <w:t xml:space="preserve">Broadcasters and TV platforms co-exist interdependently as part of the value chain that delivers a mix of content, packaged in a range of business models, across various distribution technologies and devices. </w:t>
      </w:r>
      <w:r w:rsidR="00163421" w:rsidRPr="0008231F">
        <w:rPr>
          <w:color w:val="auto"/>
          <w:sz w:val="24"/>
          <w:szCs w:val="24"/>
        </w:rPr>
        <w:t>A regulatory framework which requires that core PSB channels be available for viewers to watch on all TV platforms, governs these complex commercial arrangements</w:t>
      </w:r>
      <w:r w:rsidRPr="0008231F">
        <w:rPr>
          <w:color w:val="auto"/>
          <w:sz w:val="24"/>
          <w:szCs w:val="24"/>
        </w:rPr>
        <w:t xml:space="preserve"> and that those and other designated channels feature prominently on electronic programme guides (EPGs).</w:t>
      </w:r>
      <w:r w:rsidR="00524925">
        <w:rPr>
          <w:color w:val="auto"/>
          <w:sz w:val="24"/>
          <w:szCs w:val="24"/>
        </w:rPr>
        <w:t xml:space="preserve"> </w:t>
      </w:r>
    </w:p>
    <w:p w14:paraId="0251214F" w14:textId="77777777" w:rsidR="000E537E" w:rsidRDefault="000E537E" w:rsidP="000E537E">
      <w:pPr>
        <w:rPr>
          <w:b/>
          <w:u w:val="single"/>
        </w:rPr>
      </w:pPr>
    </w:p>
    <w:p w14:paraId="4A259B51" w14:textId="77777777" w:rsidR="000E537E" w:rsidRPr="00205E8A" w:rsidRDefault="000E537E" w:rsidP="000E537E">
      <w:pPr>
        <w:rPr>
          <w:b/>
          <w:u w:val="single"/>
        </w:rPr>
      </w:pPr>
      <w:r>
        <w:rPr>
          <w:b/>
          <w:u w:val="single"/>
        </w:rPr>
        <w:t xml:space="preserve">a) </w:t>
      </w:r>
      <w:r w:rsidRPr="00205E8A">
        <w:rPr>
          <w:b/>
          <w:u w:val="single"/>
        </w:rPr>
        <w:t>Definitions</w:t>
      </w:r>
    </w:p>
    <w:p w14:paraId="1FC46046" w14:textId="77777777" w:rsidR="000E537E" w:rsidRPr="00322358" w:rsidRDefault="000E537E" w:rsidP="000E537E">
      <w:pPr>
        <w:jc w:val="both"/>
      </w:pPr>
      <w:r w:rsidRPr="00CA66BE">
        <w:t xml:space="preserve">By </w:t>
      </w:r>
      <w:r w:rsidRPr="00163421">
        <w:rPr>
          <w:i/>
        </w:rPr>
        <w:t xml:space="preserve">TV </w:t>
      </w:r>
      <w:r w:rsidRPr="00163421">
        <w:rPr>
          <w:b/>
          <w:i/>
        </w:rPr>
        <w:t>p</w:t>
      </w:r>
      <w:r w:rsidRPr="00CA66BE">
        <w:rPr>
          <w:b/>
          <w:i/>
        </w:rPr>
        <w:t>latforms</w:t>
      </w:r>
      <w:r w:rsidRPr="00CA66BE">
        <w:rPr>
          <w:i/>
        </w:rPr>
        <w:t xml:space="preserve">, </w:t>
      </w:r>
      <w:r w:rsidRPr="00CA66BE">
        <w:t>we refer to the businesses that deliver TV broadcast content into our homes, using various technologies to do so.  The main</w:t>
      </w:r>
      <w:r w:rsidRPr="00322358">
        <w:t xml:space="preserve"> platforms are:</w:t>
      </w:r>
    </w:p>
    <w:p w14:paraId="4BAE1BD8" w14:textId="7CBAAE77" w:rsidR="000E537E" w:rsidRPr="00322358" w:rsidRDefault="000E537E" w:rsidP="000E537E">
      <w:pPr>
        <w:pStyle w:val="ListParagraph"/>
        <w:numPr>
          <w:ilvl w:val="0"/>
          <w:numId w:val="15"/>
        </w:numPr>
        <w:spacing w:before="120" w:after="0" w:line="240" w:lineRule="auto"/>
        <w:ind w:left="644"/>
        <w:jc w:val="both"/>
      </w:pPr>
      <w:r w:rsidRPr="00322358">
        <w:t xml:space="preserve">Freeview – uses digital terrestrial </w:t>
      </w:r>
      <w:r w:rsidR="00524925">
        <w:t xml:space="preserve">television (DTT) </w:t>
      </w:r>
      <w:r w:rsidRPr="00322358">
        <w:t xml:space="preserve">signal </w:t>
      </w:r>
      <w:r w:rsidR="00524925">
        <w:t>to carry linear TV and other services (</w:t>
      </w:r>
      <w:r w:rsidRPr="00322358">
        <w:t xml:space="preserve">though a new Freeview Connected service is expected to be launched </w:t>
      </w:r>
      <w:r w:rsidR="00524925">
        <w:t xml:space="preserve">sometime </w:t>
      </w:r>
      <w:r w:rsidRPr="00322358">
        <w:t>in 2015 to carry IP services including on line players)</w:t>
      </w:r>
    </w:p>
    <w:p w14:paraId="716F1312" w14:textId="468F2F6F" w:rsidR="000E537E" w:rsidRPr="00322358" w:rsidRDefault="000E537E" w:rsidP="000E537E">
      <w:pPr>
        <w:pStyle w:val="ListParagraph"/>
        <w:numPr>
          <w:ilvl w:val="0"/>
          <w:numId w:val="15"/>
        </w:numPr>
        <w:spacing w:before="120" w:after="0" w:line="240" w:lineRule="auto"/>
        <w:ind w:left="644"/>
        <w:jc w:val="both"/>
      </w:pPr>
      <w:r w:rsidRPr="00322358">
        <w:t xml:space="preserve">Sky, Freesat and FreeSat from Sky– use satellite </w:t>
      </w:r>
      <w:r w:rsidR="00524925">
        <w:t xml:space="preserve">to carry linear TV and other services </w:t>
      </w:r>
      <w:r w:rsidRPr="00322358">
        <w:t>with IP to carry on-demand services</w:t>
      </w:r>
    </w:p>
    <w:p w14:paraId="4D3B7F11" w14:textId="7E1B856B" w:rsidR="000E537E" w:rsidRPr="00322358" w:rsidRDefault="000E537E" w:rsidP="000E537E">
      <w:pPr>
        <w:pStyle w:val="ListParagraph"/>
        <w:numPr>
          <w:ilvl w:val="0"/>
          <w:numId w:val="15"/>
        </w:numPr>
        <w:spacing w:before="120" w:after="0" w:line="240" w:lineRule="auto"/>
        <w:ind w:left="644"/>
        <w:jc w:val="both"/>
      </w:pPr>
      <w:r w:rsidRPr="00322358">
        <w:t xml:space="preserve">Virgin </w:t>
      </w:r>
      <w:r w:rsidR="00524925">
        <w:t xml:space="preserve">Media </w:t>
      </w:r>
      <w:r w:rsidRPr="00322358">
        <w:t>– uses digital cable to carry TV and internet services</w:t>
      </w:r>
    </w:p>
    <w:p w14:paraId="7E868DCF" w14:textId="20C3F34F" w:rsidR="000E537E" w:rsidRPr="00322358" w:rsidRDefault="000E537E" w:rsidP="000E537E">
      <w:pPr>
        <w:pStyle w:val="ListParagraph"/>
        <w:numPr>
          <w:ilvl w:val="0"/>
          <w:numId w:val="15"/>
        </w:numPr>
        <w:spacing w:before="120" w:after="0" w:line="240" w:lineRule="auto"/>
        <w:ind w:left="644"/>
        <w:jc w:val="both"/>
      </w:pPr>
      <w:r w:rsidRPr="00322358">
        <w:t xml:space="preserve">Youview, BT TV, Talk Talk TV – use internet in combination </w:t>
      </w:r>
      <w:r w:rsidR="00524925">
        <w:t>with DTT signals</w:t>
      </w:r>
    </w:p>
    <w:p w14:paraId="7D777EAB" w14:textId="77777777" w:rsidR="000E537E" w:rsidRDefault="000E537E" w:rsidP="000E537E">
      <w:pPr>
        <w:jc w:val="both"/>
      </w:pPr>
    </w:p>
    <w:p w14:paraId="0AFB27DA" w14:textId="5D0700DF" w:rsidR="000E537E" w:rsidRPr="00322358" w:rsidRDefault="000E537E" w:rsidP="000E537E">
      <w:pPr>
        <w:jc w:val="both"/>
      </w:pPr>
      <w:r w:rsidRPr="00322358">
        <w:t xml:space="preserve">By </w:t>
      </w:r>
      <w:r w:rsidRPr="00322358">
        <w:rPr>
          <w:b/>
          <w:i/>
        </w:rPr>
        <w:t>broadcasters</w:t>
      </w:r>
      <w:r w:rsidRPr="00322358">
        <w:t xml:space="preserve">, we refer to television stations that produce, commission or acquire television </w:t>
      </w:r>
      <w:r w:rsidR="00001058">
        <w:t xml:space="preserve">programmes and </w:t>
      </w:r>
      <w:r w:rsidRPr="00322358">
        <w:t xml:space="preserve">who transmit via </w:t>
      </w:r>
      <w:r w:rsidR="00001058">
        <w:t xml:space="preserve">the </w:t>
      </w:r>
      <w:r w:rsidRPr="00322358">
        <w:t xml:space="preserve">platforms (i.e. television programmes).  </w:t>
      </w:r>
    </w:p>
    <w:p w14:paraId="6C4359B3" w14:textId="77777777" w:rsidR="000E537E" w:rsidRDefault="000E537E" w:rsidP="000E537E">
      <w:pPr>
        <w:jc w:val="both"/>
      </w:pPr>
    </w:p>
    <w:p w14:paraId="60348E2A" w14:textId="72DEACB3" w:rsidR="000E537E" w:rsidRDefault="000E537E" w:rsidP="000E537E">
      <w:pPr>
        <w:jc w:val="both"/>
      </w:pPr>
      <w:r w:rsidRPr="00322358">
        <w:t xml:space="preserve">By </w:t>
      </w:r>
      <w:r w:rsidRPr="00322358">
        <w:rPr>
          <w:b/>
          <w:i/>
        </w:rPr>
        <w:t>public service broadcasters</w:t>
      </w:r>
      <w:r w:rsidRPr="00322358">
        <w:t>, we refer to the BBC</w:t>
      </w:r>
      <w:r>
        <w:t xml:space="preserve"> and other broadcasters who are obliged as part of the</w:t>
      </w:r>
      <w:r w:rsidR="00001058">
        <w:t xml:space="preserve"> terms of their</w:t>
      </w:r>
      <w:r>
        <w:t xml:space="preserve"> licence</w:t>
      </w:r>
      <w:r w:rsidR="00001058">
        <w:t>s</w:t>
      </w:r>
      <w:r>
        <w:t xml:space="preserve"> to broadcast a specific amount of public service broadcasting, including meeting certain production and content obligations.  Public service broadcasting refers to TV programmes that are broadcast for the public benefit rather than purely commercial purposes.  The PSB institutions are: BBC, Channel 4 Corporation (C4C), Channel 3 licensees (ITV plc, STV Gro</w:t>
      </w:r>
      <w:r w:rsidR="00C35DEA">
        <w:t>up plc, UTV Media plc), S4C, Channel 5 and l</w:t>
      </w:r>
      <w:r w:rsidR="00001058">
        <w:t>ocal television services.</w:t>
      </w:r>
      <w:r>
        <w:t xml:space="preserve"> In addition to delivering core PSB channels</w:t>
      </w:r>
      <w:r w:rsidR="00001058">
        <w:t>,</w:t>
      </w:r>
      <w:r>
        <w:t xml:space="preserve"> the commercial PSBs also have </w:t>
      </w:r>
      <w:r w:rsidRPr="00B66225">
        <w:rPr>
          <w:b/>
        </w:rPr>
        <w:t xml:space="preserve">portfolio </w:t>
      </w:r>
      <w:r w:rsidR="005D4CDA" w:rsidRPr="00B66225">
        <w:rPr>
          <w:b/>
        </w:rPr>
        <w:t>services</w:t>
      </w:r>
      <w:r>
        <w:t xml:space="preserve"> which may deliver PSB content but which fall outside the definition of PSBs. This includes +1 channels and HD variants.</w:t>
      </w:r>
    </w:p>
    <w:p w14:paraId="6ED50CA7" w14:textId="77777777" w:rsidR="000E537E" w:rsidRDefault="000E537E" w:rsidP="000E537E">
      <w:pPr>
        <w:jc w:val="both"/>
      </w:pPr>
    </w:p>
    <w:p w14:paraId="5B3ED565" w14:textId="72A87F55" w:rsidR="000E537E" w:rsidRPr="005D4CDA" w:rsidRDefault="000E537E" w:rsidP="000E537E">
      <w:pPr>
        <w:jc w:val="both"/>
      </w:pPr>
      <w:r>
        <w:t xml:space="preserve">By </w:t>
      </w:r>
      <w:r>
        <w:rPr>
          <w:b/>
          <w:i/>
        </w:rPr>
        <w:t>balance of payments</w:t>
      </w:r>
      <w:r>
        <w:t xml:space="preserve">, we refer to the net balance of the payments made between broadcasters and platforms for the mutually beneficial exchange of goods and services made in order to deliver </w:t>
      </w:r>
      <w:r w:rsidRPr="00001058">
        <w:t>broadcast content into viewers’ homes.</w:t>
      </w:r>
      <w:r w:rsidR="004C7F58">
        <w:t xml:space="preserve"> The precise balance of payments </w:t>
      </w:r>
      <w:r w:rsidR="00001058" w:rsidRPr="00001058">
        <w:t>will vary for different</w:t>
      </w:r>
      <w:r w:rsidR="00001058" w:rsidRPr="005D4CDA">
        <w:t xml:space="preserve"> broadcasters and across different platforms.</w:t>
      </w:r>
    </w:p>
    <w:p w14:paraId="7E5360C5" w14:textId="77777777" w:rsidR="000E537E" w:rsidRPr="00B66225" w:rsidRDefault="000E537E" w:rsidP="000E537E">
      <w:pPr>
        <w:pStyle w:val="EBNumber"/>
        <w:tabs>
          <w:tab w:val="clear" w:pos="425"/>
        </w:tabs>
        <w:spacing w:after="0"/>
        <w:ind w:left="0" w:firstLine="0"/>
        <w:jc w:val="both"/>
        <w:rPr>
          <w:b/>
          <w:bCs w:val="0"/>
          <w:sz w:val="24"/>
          <w:szCs w:val="24"/>
        </w:rPr>
      </w:pPr>
    </w:p>
    <w:p w14:paraId="318B5AC2" w14:textId="3A5340FC" w:rsidR="000E537E" w:rsidRDefault="000E537E" w:rsidP="000E537E">
      <w:pPr>
        <w:pStyle w:val="EBNumber"/>
        <w:tabs>
          <w:tab w:val="clear" w:pos="425"/>
        </w:tabs>
        <w:spacing w:after="0"/>
        <w:ind w:left="0" w:firstLine="0"/>
        <w:jc w:val="both"/>
        <w:rPr>
          <w:bCs w:val="0"/>
          <w:sz w:val="24"/>
          <w:szCs w:val="24"/>
        </w:rPr>
      </w:pPr>
      <w:r w:rsidRPr="00B66225">
        <w:rPr>
          <w:b/>
          <w:bCs w:val="0"/>
          <w:sz w:val="24"/>
          <w:szCs w:val="24"/>
        </w:rPr>
        <w:t>Electronic programme guides (EPGs)</w:t>
      </w:r>
      <w:r w:rsidRPr="00B66225">
        <w:rPr>
          <w:bCs w:val="0"/>
          <w:sz w:val="24"/>
          <w:szCs w:val="24"/>
        </w:rPr>
        <w:t xml:space="preserve"> </w:t>
      </w:r>
      <w:r w:rsidR="005803C8">
        <w:rPr>
          <w:bCs w:val="0"/>
          <w:sz w:val="24"/>
          <w:szCs w:val="24"/>
        </w:rPr>
        <w:t>typically operated by a remote but increasingly using ap</w:t>
      </w:r>
      <w:r w:rsidR="00C36725">
        <w:rPr>
          <w:bCs w:val="0"/>
          <w:sz w:val="24"/>
          <w:szCs w:val="24"/>
        </w:rPr>
        <w:t>p</w:t>
      </w:r>
      <w:r w:rsidR="005803C8">
        <w:rPr>
          <w:bCs w:val="0"/>
          <w:sz w:val="24"/>
          <w:szCs w:val="24"/>
        </w:rPr>
        <w:t xml:space="preserve">s on tablets and smartphones, </w:t>
      </w:r>
      <w:r w:rsidRPr="00B66225">
        <w:rPr>
          <w:bCs w:val="0"/>
          <w:sz w:val="24"/>
          <w:szCs w:val="24"/>
        </w:rPr>
        <w:t xml:space="preserve">provide users of television and radio with regularly updated menus displaying broadcast programming </w:t>
      </w:r>
      <w:r w:rsidR="005803C8">
        <w:rPr>
          <w:bCs w:val="0"/>
          <w:sz w:val="24"/>
          <w:szCs w:val="24"/>
        </w:rPr>
        <w:t xml:space="preserve">and updated </w:t>
      </w:r>
      <w:r w:rsidRPr="00B66225">
        <w:rPr>
          <w:bCs w:val="0"/>
          <w:sz w:val="24"/>
          <w:szCs w:val="24"/>
        </w:rPr>
        <w:t xml:space="preserve">scheduling information for past current and upcoming programming and </w:t>
      </w:r>
      <w:r w:rsidR="005803C8">
        <w:rPr>
          <w:bCs w:val="0"/>
          <w:sz w:val="24"/>
          <w:szCs w:val="24"/>
        </w:rPr>
        <w:t xml:space="preserve">facilitate and control </w:t>
      </w:r>
      <w:r w:rsidRPr="00B66225">
        <w:rPr>
          <w:bCs w:val="0"/>
          <w:sz w:val="24"/>
          <w:szCs w:val="24"/>
        </w:rPr>
        <w:t>access to these programmes.</w:t>
      </w:r>
      <w:r w:rsidR="005803C8">
        <w:rPr>
          <w:bCs w:val="0"/>
          <w:sz w:val="24"/>
          <w:szCs w:val="24"/>
        </w:rPr>
        <w:t xml:space="preserve"> EPGs also allow viewers to select favourites and screen services.</w:t>
      </w:r>
    </w:p>
    <w:p w14:paraId="0B132920" w14:textId="77777777" w:rsidR="004C7F58" w:rsidRDefault="004C7F58" w:rsidP="000E537E">
      <w:pPr>
        <w:pStyle w:val="EBNumber"/>
        <w:tabs>
          <w:tab w:val="clear" w:pos="425"/>
        </w:tabs>
        <w:spacing w:after="0"/>
        <w:ind w:left="0" w:firstLine="0"/>
        <w:jc w:val="both"/>
        <w:rPr>
          <w:bCs w:val="0"/>
          <w:sz w:val="24"/>
          <w:szCs w:val="24"/>
        </w:rPr>
      </w:pPr>
    </w:p>
    <w:p w14:paraId="7C35571B" w14:textId="7CDBE9BF" w:rsidR="0008231F" w:rsidRPr="009D3039" w:rsidRDefault="009D3039" w:rsidP="00A77A41">
      <w:pPr>
        <w:pStyle w:val="EBNumber"/>
        <w:tabs>
          <w:tab w:val="clear" w:pos="425"/>
        </w:tabs>
        <w:spacing w:after="0"/>
        <w:ind w:left="0" w:firstLine="0"/>
        <w:jc w:val="both"/>
        <w:rPr>
          <w:b/>
          <w:color w:val="auto"/>
          <w:sz w:val="24"/>
          <w:szCs w:val="24"/>
          <w:u w:val="single"/>
        </w:rPr>
      </w:pPr>
      <w:r w:rsidRPr="009D3039">
        <w:rPr>
          <w:b/>
          <w:color w:val="auto"/>
          <w:sz w:val="24"/>
          <w:szCs w:val="24"/>
          <w:u w:val="single"/>
        </w:rPr>
        <w:t xml:space="preserve">b) </w:t>
      </w:r>
      <w:r w:rsidR="00163421" w:rsidRPr="009D3039">
        <w:rPr>
          <w:b/>
          <w:color w:val="auto"/>
          <w:sz w:val="24"/>
          <w:szCs w:val="24"/>
          <w:u w:val="single"/>
        </w:rPr>
        <w:t>The Regulatory Framework</w:t>
      </w:r>
    </w:p>
    <w:p w14:paraId="7D7045C0" w14:textId="5DD8D6CB" w:rsidR="007224BF" w:rsidRPr="009D3039" w:rsidRDefault="007224BF" w:rsidP="007224BF">
      <w:pPr>
        <w:jc w:val="both"/>
      </w:pPr>
      <w:r w:rsidRPr="009D3039">
        <w:rPr>
          <w:b/>
        </w:rPr>
        <w:t>Section 73, C</w:t>
      </w:r>
      <w:r w:rsidR="00F22FD2" w:rsidRPr="009D3039">
        <w:rPr>
          <w:b/>
        </w:rPr>
        <w:t xml:space="preserve">opyright, </w:t>
      </w:r>
      <w:r w:rsidRPr="009D3039">
        <w:rPr>
          <w:b/>
        </w:rPr>
        <w:t>D</w:t>
      </w:r>
      <w:r w:rsidR="00F22FD2" w:rsidRPr="009D3039">
        <w:rPr>
          <w:b/>
        </w:rPr>
        <w:t xml:space="preserve">esign and </w:t>
      </w:r>
      <w:r w:rsidRPr="009D3039">
        <w:rPr>
          <w:b/>
        </w:rPr>
        <w:t>P</w:t>
      </w:r>
      <w:r w:rsidR="00F22FD2" w:rsidRPr="009D3039">
        <w:rPr>
          <w:b/>
        </w:rPr>
        <w:t xml:space="preserve">atents </w:t>
      </w:r>
      <w:r w:rsidRPr="009D3039">
        <w:rPr>
          <w:b/>
        </w:rPr>
        <w:t>A</w:t>
      </w:r>
      <w:r w:rsidR="00F22FD2" w:rsidRPr="009D3039">
        <w:rPr>
          <w:b/>
        </w:rPr>
        <w:t>ct</w:t>
      </w:r>
      <w:r w:rsidRPr="009D3039">
        <w:rPr>
          <w:b/>
        </w:rPr>
        <w:t xml:space="preserve"> (1988):</w:t>
      </w:r>
      <w:r w:rsidRPr="009D3039">
        <w:t xml:space="preserve"> This section provides that in certain circumstances the retransmission o</w:t>
      </w:r>
      <w:r w:rsidR="00CF758D" w:rsidRPr="009D3039">
        <w:t>n</w:t>
      </w:r>
      <w:r w:rsidRPr="009D3039">
        <w:t xml:space="preserve"> cable of certain broadcasts is not an infringement of the copyright in the broadcast itself nor is it an infringement of the underlying copyright in any work included within the broadcast.  In other words, cable operators do not have to pay copyright fees to PSBs for content retransmitted via cable. In recent years, online players showing PSB content have emerged that </w:t>
      </w:r>
      <w:r w:rsidR="005D4CDA">
        <w:t>have sought to</w:t>
      </w:r>
      <w:r w:rsidRPr="009D3039">
        <w:t xml:space="preserve"> rely on section 73 to avoid paying copyright arguing that this provision applies to retransmission via the internet.  The Government’s view is that section 73 </w:t>
      </w:r>
      <w:r w:rsidR="005D4CDA">
        <w:t xml:space="preserve">should not extend to </w:t>
      </w:r>
      <w:r w:rsidRPr="009D3039">
        <w:t xml:space="preserve">content transmitted over the internet. </w:t>
      </w:r>
    </w:p>
    <w:p w14:paraId="5081BA25" w14:textId="77777777" w:rsidR="00770F9C" w:rsidRPr="009D3039" w:rsidRDefault="00770F9C" w:rsidP="00A77A41">
      <w:pPr>
        <w:pStyle w:val="EBNumber"/>
        <w:tabs>
          <w:tab w:val="clear" w:pos="425"/>
        </w:tabs>
        <w:spacing w:after="0"/>
        <w:ind w:left="0" w:firstLine="0"/>
        <w:jc w:val="both"/>
        <w:rPr>
          <w:b/>
          <w:color w:val="auto"/>
          <w:sz w:val="24"/>
          <w:u w:val="single"/>
        </w:rPr>
      </w:pPr>
    </w:p>
    <w:p w14:paraId="4C7661BA" w14:textId="77777777" w:rsidR="00770F9C" w:rsidRPr="009D3039" w:rsidRDefault="00770F9C" w:rsidP="00770F9C">
      <w:r w:rsidRPr="009D3039">
        <w:rPr>
          <w:b/>
        </w:rPr>
        <w:t>Must offer</w:t>
      </w:r>
      <w:r w:rsidRPr="009D3039">
        <w:t xml:space="preserve">: These obligations require relevant broadcasters to make their PSB channels available to every appropriate network and satellite services. The scope does not extend to PSBs’ video-on-demand (VoD) or portfolio services.  </w:t>
      </w:r>
    </w:p>
    <w:p w14:paraId="748FF1D6" w14:textId="00AF190C" w:rsidR="00770F9C" w:rsidRPr="009D3039" w:rsidRDefault="00770F9C" w:rsidP="00770F9C">
      <w:pPr>
        <w:pStyle w:val="StyleLeft0cm"/>
        <w:jc w:val="both"/>
      </w:pPr>
      <w:r w:rsidRPr="009D3039">
        <w:t>Sections 272 and 273 of the Communications Act 2003 enable Ofcom to impose conditions on</w:t>
      </w:r>
      <w:r w:rsidR="00C36725">
        <w:t xml:space="preserve"> relevant broadcasters to ensure</w:t>
      </w:r>
      <w:r w:rsidRPr="009D3039">
        <w:t xml:space="preserve"> that their PSB channels are offered as available to every appropriate network and satellite television service. </w:t>
      </w:r>
    </w:p>
    <w:p w14:paraId="513D93B4" w14:textId="77777777" w:rsidR="00770F9C" w:rsidRPr="009D3039" w:rsidRDefault="00770F9C" w:rsidP="00770F9C">
      <w:pPr>
        <w:pStyle w:val="ListBullet"/>
        <w:numPr>
          <w:ilvl w:val="0"/>
          <w:numId w:val="6"/>
        </w:numPr>
        <w:ind w:left="851" w:hanging="567"/>
        <w:jc w:val="both"/>
      </w:pPr>
      <w:r w:rsidRPr="009D3039">
        <w:t>Section 272 relates to all networks that are used by a significant number of end-users as their principal means of receiving television programmes.</w:t>
      </w:r>
    </w:p>
    <w:p w14:paraId="42584F0F" w14:textId="77777777" w:rsidR="00770F9C" w:rsidRPr="009D3039" w:rsidRDefault="00770F9C" w:rsidP="00770F9C">
      <w:pPr>
        <w:pStyle w:val="ListBullet"/>
        <w:numPr>
          <w:ilvl w:val="0"/>
          <w:numId w:val="6"/>
        </w:numPr>
        <w:ind w:left="851" w:hanging="567"/>
        <w:jc w:val="both"/>
      </w:pPr>
      <w:r w:rsidRPr="009D3039">
        <w:t>Section 273 specifically relates to satellite television services and applies insofar as its objectives are not secured by conditions imposed under section 272.</w:t>
      </w:r>
    </w:p>
    <w:p w14:paraId="50DDD727" w14:textId="77777777" w:rsidR="00770F9C" w:rsidRPr="009D3039" w:rsidRDefault="00770F9C" w:rsidP="00770F9C">
      <w:pPr>
        <w:pStyle w:val="StyleLeft0cm"/>
        <w:jc w:val="both"/>
      </w:pPr>
      <w:r w:rsidRPr="009D3039">
        <w:t xml:space="preserve">These sections were brought into force in 2010, following which “must-offer” conditions were included in the broadcasting licences for the commercial PSBs.  </w:t>
      </w:r>
    </w:p>
    <w:p w14:paraId="6993D1CD" w14:textId="560F5AE3" w:rsidR="00770F9C" w:rsidRPr="009D3039" w:rsidRDefault="00770F9C" w:rsidP="00770F9C">
      <w:pPr>
        <w:pStyle w:val="StyleLeft0cm"/>
        <w:jc w:val="both"/>
      </w:pPr>
      <w:r w:rsidRPr="009D3039">
        <w:t xml:space="preserve">The BBC is not subject to these provisions but has a similar </w:t>
      </w:r>
      <w:r w:rsidR="005D4CDA">
        <w:t xml:space="preserve">set of </w:t>
      </w:r>
      <w:r w:rsidRPr="009D3039">
        <w:t>obligation</w:t>
      </w:r>
      <w:r w:rsidR="005D4CDA">
        <w:t>s with the effect that the BBC must</w:t>
      </w:r>
      <w:r w:rsidRPr="009D3039">
        <w:t xml:space="preserve"> to do all that is reasonably practicable to make its services widely available to its users</w:t>
      </w:r>
      <w:r w:rsidR="005D4CDA">
        <w:t xml:space="preserve">; </w:t>
      </w:r>
      <w:r w:rsidRPr="009D3039">
        <w:t xml:space="preserve">in practice </w:t>
      </w:r>
      <w:r w:rsidR="005D4CDA">
        <w:t xml:space="preserve">this </w:t>
      </w:r>
      <w:r w:rsidRPr="009D3039">
        <w:t xml:space="preserve">means that </w:t>
      </w:r>
      <w:r w:rsidR="005D4CDA">
        <w:t>the BBC</w:t>
      </w:r>
      <w:r w:rsidRPr="009D3039">
        <w:t xml:space="preserve"> must offer its services to all significant platforms.</w:t>
      </w:r>
      <w:r w:rsidRPr="009D3039">
        <w:rPr>
          <w:rStyle w:val="FootnoteReference"/>
        </w:rPr>
        <w:footnoteReference w:id="1"/>
      </w:r>
    </w:p>
    <w:p w14:paraId="66E48F1F" w14:textId="08F86CF5" w:rsidR="00770F9C" w:rsidRPr="009D3039" w:rsidRDefault="00770F9C" w:rsidP="00770F9C">
      <w:pPr>
        <w:pStyle w:val="StyleLeft0cm"/>
        <w:jc w:val="both"/>
      </w:pPr>
      <w:r w:rsidRPr="009D3039">
        <w:t>The requirement to offer is ‘subject to the need to agree terms’.  However, the PSBs have argued that current regulation</w:t>
      </w:r>
      <w:r w:rsidR="00C36725">
        <w:t>s</w:t>
      </w:r>
      <w:r w:rsidRPr="009D3039">
        <w:t xml:space="preserve"> den</w:t>
      </w:r>
      <w:r w:rsidR="00C36725">
        <w:t>y</w:t>
      </w:r>
      <w:r w:rsidRPr="009D3039">
        <w:t xml:space="preserve"> them the ability to threaten to withdraw a channel, and therefore undermines their ability </w:t>
      </w:r>
      <w:r w:rsidR="00C36725">
        <w:t xml:space="preserve">to </w:t>
      </w:r>
      <w:r w:rsidRPr="009D3039">
        <w:t xml:space="preserve">negotiate effectively with platforms.  </w:t>
      </w:r>
    </w:p>
    <w:p w14:paraId="57B7638D" w14:textId="77777777" w:rsidR="00770F9C" w:rsidRPr="009D3039" w:rsidRDefault="00770F9C" w:rsidP="00770F9C">
      <w:pPr>
        <w:jc w:val="both"/>
        <w:rPr>
          <w:b/>
        </w:rPr>
      </w:pPr>
    </w:p>
    <w:p w14:paraId="42F052F2" w14:textId="217D8934" w:rsidR="00770F9C" w:rsidRPr="009D3039" w:rsidRDefault="00770F9C" w:rsidP="0012768A">
      <w:pPr>
        <w:jc w:val="both"/>
      </w:pPr>
      <w:r w:rsidRPr="009D3039">
        <w:rPr>
          <w:b/>
        </w:rPr>
        <w:t xml:space="preserve">Must carry: </w:t>
      </w:r>
      <w:r w:rsidRPr="009D3039">
        <w:t xml:space="preserve">Section 64 of the Communications Act 2003 implements Article 31 of the Universal Service Directive, which allows Member States to </w:t>
      </w:r>
      <w:r w:rsidR="0012768A">
        <w:t xml:space="preserve">impose must-carry obligations. </w:t>
      </w:r>
      <w:r w:rsidRPr="009D3039">
        <w:t>This provision enables Ofcom to set general conditions to secure the broadcast or transmission of the PSB channels on a</w:t>
      </w:r>
      <w:r w:rsidR="0012768A">
        <w:t>n</w:t>
      </w:r>
      <w:r w:rsidRPr="009D3039">
        <w:t xml:space="preserve"> </w:t>
      </w:r>
      <w:r w:rsidR="0012768A">
        <w:t>electronic communications network.</w:t>
      </w:r>
      <w:r w:rsidRPr="009D3039">
        <w:t xml:space="preserve"> </w:t>
      </w:r>
    </w:p>
    <w:p w14:paraId="08523E15" w14:textId="77777777" w:rsidR="00EF77C1" w:rsidRDefault="00EF77C1" w:rsidP="0086713F">
      <w:pPr>
        <w:jc w:val="both"/>
      </w:pPr>
    </w:p>
    <w:p w14:paraId="045CF011" w14:textId="5624EA8C" w:rsidR="007224BF" w:rsidRPr="009D3039" w:rsidRDefault="0012768A" w:rsidP="0086713F">
      <w:pPr>
        <w:jc w:val="both"/>
      </w:pPr>
      <w:r w:rsidRPr="009D3039">
        <w:t xml:space="preserve">This power was designed to secure and maintain widespread distribution of PSB channels at a time when digital platforms were still </w:t>
      </w:r>
      <w:r>
        <w:t>developing and before plans for digital television switchover were developed</w:t>
      </w:r>
      <w:r w:rsidRPr="009D3039">
        <w:t>. To date Ofcom</w:t>
      </w:r>
      <w:r w:rsidR="00C36725">
        <w:t xml:space="preserve"> have not needed to exercise this</w:t>
      </w:r>
      <w:r w:rsidRPr="009D3039">
        <w:t xml:space="preserve"> power</w:t>
      </w:r>
      <w:r>
        <w:t xml:space="preserve"> as no situation had arisen where a platform has refused to carry a PSB</w:t>
      </w:r>
      <w:r w:rsidRPr="009D3039">
        <w:t>.</w:t>
      </w:r>
    </w:p>
    <w:p w14:paraId="5624519E" w14:textId="77777777" w:rsidR="00EF77C1" w:rsidRDefault="00EF77C1" w:rsidP="0086713F">
      <w:pPr>
        <w:jc w:val="both"/>
      </w:pPr>
    </w:p>
    <w:p w14:paraId="78F1D4A6" w14:textId="4AB84FAD" w:rsidR="007224BF" w:rsidRDefault="007224BF" w:rsidP="0086713F">
      <w:pPr>
        <w:jc w:val="both"/>
      </w:pPr>
      <w:r w:rsidRPr="009D3039">
        <w:t xml:space="preserve">Overall, the potential impact of changing existing must offer/must carry rules </w:t>
      </w:r>
      <w:r w:rsidR="005803C8">
        <w:t>is difficult</w:t>
      </w:r>
      <w:r w:rsidR="008F32EF">
        <w:t xml:space="preserve"> to ascertain</w:t>
      </w:r>
      <w:r w:rsidRPr="009D3039">
        <w:t xml:space="preserve">, due to the </w:t>
      </w:r>
      <w:r w:rsidR="005803C8">
        <w:t xml:space="preserve">complex </w:t>
      </w:r>
      <w:r w:rsidRPr="009D3039">
        <w:t xml:space="preserve">commercial and </w:t>
      </w:r>
      <w:r w:rsidR="005803C8">
        <w:t>other relationships between the platforms and broadcasters</w:t>
      </w:r>
      <w:r w:rsidR="00C36725">
        <w:t>,</w:t>
      </w:r>
      <w:r w:rsidR="005803C8">
        <w:t xml:space="preserve"> and</w:t>
      </w:r>
      <w:r w:rsidR="00C36725">
        <w:t xml:space="preserve"> the fact</w:t>
      </w:r>
      <w:r w:rsidR="005803C8">
        <w:t xml:space="preserve"> that the basis and </w:t>
      </w:r>
      <w:r w:rsidRPr="009D3039">
        <w:t>outcome of negotiations between platforms and broadcasters tend to be confidential.</w:t>
      </w:r>
    </w:p>
    <w:p w14:paraId="5B66EAA2" w14:textId="77777777" w:rsidR="009D3039" w:rsidRDefault="009D3039" w:rsidP="009D3039"/>
    <w:p w14:paraId="7DFE2E86" w14:textId="44C8CAA1" w:rsidR="00163421" w:rsidRPr="009D3039" w:rsidRDefault="00A77A41" w:rsidP="009D3039">
      <w:pPr>
        <w:pStyle w:val="EBNumber"/>
        <w:tabs>
          <w:tab w:val="clear" w:pos="425"/>
        </w:tabs>
        <w:spacing w:after="0"/>
        <w:ind w:left="0" w:firstLine="0"/>
        <w:jc w:val="both"/>
        <w:rPr>
          <w:bCs w:val="0"/>
          <w:sz w:val="24"/>
          <w:szCs w:val="24"/>
        </w:rPr>
      </w:pPr>
      <w:r w:rsidRPr="009D3039">
        <w:rPr>
          <w:b/>
          <w:color w:val="auto"/>
          <w:sz w:val="24"/>
          <w:szCs w:val="24"/>
        </w:rPr>
        <w:t>Electronic Programme Guides</w:t>
      </w:r>
      <w:r w:rsidR="009D3039" w:rsidRPr="009D3039">
        <w:rPr>
          <w:b/>
          <w:color w:val="auto"/>
          <w:sz w:val="24"/>
          <w:szCs w:val="24"/>
        </w:rPr>
        <w:t xml:space="preserve">: </w:t>
      </w:r>
      <w:r w:rsidR="00163421" w:rsidRPr="009D3039">
        <w:rPr>
          <w:bCs w:val="0"/>
          <w:sz w:val="24"/>
          <w:szCs w:val="24"/>
        </w:rPr>
        <w:t>Section 310(8) of the Communications Act 2003 defines an EPG as a service</w:t>
      </w:r>
      <w:r w:rsidR="009D3039" w:rsidRPr="009D3039">
        <w:rPr>
          <w:bCs w:val="0"/>
          <w:sz w:val="24"/>
          <w:szCs w:val="24"/>
        </w:rPr>
        <w:t>,</w:t>
      </w:r>
      <w:r w:rsidR="00163421" w:rsidRPr="009D3039">
        <w:rPr>
          <w:bCs w:val="0"/>
          <w:sz w:val="24"/>
          <w:szCs w:val="24"/>
        </w:rPr>
        <w:t xml:space="preserve"> which consists of—</w:t>
      </w:r>
    </w:p>
    <w:p w14:paraId="1B4BD96C" w14:textId="77777777" w:rsidR="00163421" w:rsidRPr="002E0311" w:rsidRDefault="00163421" w:rsidP="00163421">
      <w:pPr>
        <w:pStyle w:val="ListParagraph"/>
        <w:numPr>
          <w:ilvl w:val="0"/>
          <w:numId w:val="16"/>
        </w:numPr>
        <w:spacing w:before="120" w:after="0" w:line="240" w:lineRule="auto"/>
        <w:jc w:val="both"/>
        <w:rPr>
          <w:bCs/>
        </w:rPr>
      </w:pPr>
      <w:r w:rsidRPr="009D3039">
        <w:rPr>
          <w:bCs/>
        </w:rPr>
        <w:t>the listing or promotion, or both the listing and the promotion, of some or all of the</w:t>
      </w:r>
      <w:r w:rsidRPr="002E0311">
        <w:rPr>
          <w:bCs/>
        </w:rPr>
        <w:t xml:space="preserve"> programmes included in any one or more programme services the providers of which are or include persons other than </w:t>
      </w:r>
      <w:r>
        <w:rPr>
          <w:bCs/>
        </w:rPr>
        <w:t>the provider of the guide; and,</w:t>
      </w:r>
    </w:p>
    <w:p w14:paraId="47E0B8C2" w14:textId="77777777" w:rsidR="00163421" w:rsidRPr="002E0311" w:rsidRDefault="00163421" w:rsidP="00163421">
      <w:pPr>
        <w:pStyle w:val="ListParagraph"/>
        <w:numPr>
          <w:ilvl w:val="0"/>
          <w:numId w:val="16"/>
        </w:numPr>
        <w:spacing w:before="120" w:after="0" w:line="240" w:lineRule="auto"/>
        <w:jc w:val="both"/>
        <w:rPr>
          <w:bCs/>
        </w:rPr>
      </w:pPr>
      <w:r w:rsidRPr="002E0311">
        <w:rPr>
          <w:bCs/>
        </w:rPr>
        <w:t>a facility for obtaining access, in who</w:t>
      </w:r>
      <w:r>
        <w:rPr>
          <w:bCs/>
        </w:rPr>
        <w:t xml:space="preserve">le or in part, to the programme </w:t>
      </w:r>
      <w:r w:rsidRPr="002E0311">
        <w:rPr>
          <w:bCs/>
        </w:rPr>
        <w:t>service or services listed or promoted in the guide.</w:t>
      </w:r>
    </w:p>
    <w:p w14:paraId="75D3A246" w14:textId="77777777" w:rsidR="009D3039" w:rsidRDefault="009D3039" w:rsidP="00163421">
      <w:pPr>
        <w:jc w:val="both"/>
        <w:rPr>
          <w:bCs/>
        </w:rPr>
      </w:pPr>
    </w:p>
    <w:p w14:paraId="6E4564FE" w14:textId="1BD56F59" w:rsidR="00163421" w:rsidRDefault="00163421" w:rsidP="00163421">
      <w:pPr>
        <w:jc w:val="both"/>
        <w:rPr>
          <w:bCs/>
        </w:rPr>
      </w:pPr>
      <w:r>
        <w:rPr>
          <w:bCs/>
        </w:rPr>
        <w:t>The information is transmitted as a broadcast signal, which is then interpreted by either the built in receiver in the television set or an adjoining set-top box.</w:t>
      </w:r>
      <w:r w:rsidR="005803C8">
        <w:rPr>
          <w:bCs/>
        </w:rPr>
        <w:t xml:space="preserve"> </w:t>
      </w:r>
      <w:r>
        <w:rPr>
          <w:bCs/>
        </w:rPr>
        <w:t>Digital UK, the consortium of PSBs and Arqiva</w:t>
      </w:r>
      <w:r>
        <w:rPr>
          <w:rStyle w:val="FootnoteReference"/>
          <w:bCs/>
        </w:rPr>
        <w:footnoteReference w:id="2"/>
      </w:r>
      <w:r>
        <w:rPr>
          <w:bCs/>
        </w:rPr>
        <w:t xml:space="preserve"> that is responsible for Freeview, has worked with TV manufacturers, as part of the Digital Television Group, to ensure that the ability to interpret the Freeview data stream has been built-in to all new TVs as standard since 2008. On older TVs, Freeview can still be </w:t>
      </w:r>
      <w:r>
        <w:rPr>
          <w:bCs/>
        </w:rPr>
        <w:lastRenderedPageBreak/>
        <w:t xml:space="preserve">accessed, but a </w:t>
      </w:r>
      <w:r w:rsidR="005803C8">
        <w:rPr>
          <w:bCs/>
        </w:rPr>
        <w:t xml:space="preserve">separate </w:t>
      </w:r>
      <w:r>
        <w:rPr>
          <w:bCs/>
        </w:rPr>
        <w:t xml:space="preserve">set top box is required. Pay TV providers like Sky, Virgin Media, BT and TalkTalk all supply set top </w:t>
      </w:r>
      <w:r w:rsidR="00C35DEA">
        <w:rPr>
          <w:bCs/>
        </w:rPr>
        <w:t>boxes, which</w:t>
      </w:r>
      <w:r>
        <w:rPr>
          <w:bCs/>
        </w:rPr>
        <w:t xml:space="preserve"> receive the data streams for their TV services and EPGs.</w:t>
      </w:r>
    </w:p>
    <w:p w14:paraId="4B8ACBD8" w14:textId="77777777" w:rsidR="005803C8" w:rsidRDefault="005803C8" w:rsidP="00163421">
      <w:pPr>
        <w:jc w:val="both"/>
        <w:rPr>
          <w:bCs/>
        </w:rPr>
      </w:pPr>
    </w:p>
    <w:p w14:paraId="77404B72" w14:textId="2CBD0D74" w:rsidR="00163421" w:rsidRDefault="00163421" w:rsidP="00163421">
      <w:pPr>
        <w:jc w:val="both"/>
        <w:rPr>
          <w:bCs/>
        </w:rPr>
      </w:pPr>
      <w:r>
        <w:rPr>
          <w:bCs/>
        </w:rPr>
        <w:t xml:space="preserve">The layout of an EPG, its functionality and the number of channels accessible varies from service to service. For example, at </w:t>
      </w:r>
      <w:r w:rsidRPr="006B4A8E">
        <w:rPr>
          <w:bCs/>
        </w:rPr>
        <w:t xml:space="preserve">the beginning of October 2012 there were 563 channels listed on the Sky </w:t>
      </w:r>
      <w:r>
        <w:rPr>
          <w:bCs/>
        </w:rPr>
        <w:t>EPG across 17 genre groupings,</w:t>
      </w:r>
      <w:r w:rsidRPr="006B4A8E">
        <w:rPr>
          <w:bCs/>
        </w:rPr>
        <w:t xml:space="preserve"> 261 channels listed on the Virgin Media </w:t>
      </w:r>
      <w:r>
        <w:rPr>
          <w:bCs/>
        </w:rPr>
        <w:t>EPG across 13 genre groupings,</w:t>
      </w:r>
      <w:r w:rsidRPr="006B4A8E">
        <w:rPr>
          <w:bCs/>
        </w:rPr>
        <w:t xml:space="preserve"> and 99 channels listed on the Freeview EPG across 7 genre</w:t>
      </w:r>
      <w:r>
        <w:rPr>
          <w:bCs/>
        </w:rPr>
        <w:t xml:space="preserve"> groupings. </w:t>
      </w:r>
      <w:r w:rsidRPr="006B4A8E">
        <w:rPr>
          <w:bCs/>
        </w:rPr>
        <w:t xml:space="preserve">While channel rankings and availability do vary across the different EPGs, what all three have in common is that they always </w:t>
      </w:r>
      <w:r>
        <w:rPr>
          <w:bCs/>
        </w:rPr>
        <w:t xml:space="preserve">have a main section </w:t>
      </w:r>
      <w:r w:rsidRPr="006B4A8E">
        <w:rPr>
          <w:bCs/>
        </w:rPr>
        <w:t>headed</w:t>
      </w:r>
      <w:r>
        <w:rPr>
          <w:rStyle w:val="FootnoteReference"/>
          <w:bCs/>
        </w:rPr>
        <w:footnoteReference w:id="3"/>
      </w:r>
      <w:r w:rsidRPr="006B4A8E">
        <w:rPr>
          <w:bCs/>
        </w:rPr>
        <w:t xml:space="preserve"> by the 5 </w:t>
      </w:r>
      <w:r w:rsidR="00C35DEA">
        <w:rPr>
          <w:bCs/>
        </w:rPr>
        <w:t xml:space="preserve">big </w:t>
      </w:r>
      <w:r w:rsidRPr="006B4A8E">
        <w:rPr>
          <w:bCs/>
        </w:rPr>
        <w:t>terrestrial PSBs (BBC1, BBC2, ITV, Channel 4</w:t>
      </w:r>
      <w:r>
        <w:rPr>
          <w:rStyle w:val="FootnoteReference"/>
          <w:bCs/>
        </w:rPr>
        <w:footnoteReference w:id="4"/>
      </w:r>
      <w:r w:rsidRPr="006B4A8E">
        <w:rPr>
          <w:bCs/>
        </w:rPr>
        <w:t xml:space="preserve"> and Channel 5). </w:t>
      </w:r>
      <w:r>
        <w:rPr>
          <w:bCs/>
        </w:rPr>
        <w:t xml:space="preserve"> </w:t>
      </w:r>
    </w:p>
    <w:p w14:paraId="6EE4D567" w14:textId="77777777" w:rsidR="005803C8" w:rsidRDefault="005803C8" w:rsidP="00163421">
      <w:pPr>
        <w:jc w:val="both"/>
        <w:rPr>
          <w:bCs/>
        </w:rPr>
      </w:pPr>
    </w:p>
    <w:p w14:paraId="789B5942" w14:textId="661D7874" w:rsidR="00163421" w:rsidRDefault="00163421" w:rsidP="00163421">
      <w:pPr>
        <w:jc w:val="both"/>
        <w:rPr>
          <w:bCs/>
        </w:rPr>
      </w:pPr>
      <w:r>
        <w:rPr>
          <w:bCs/>
        </w:rPr>
        <w:t>F</w:t>
      </w:r>
      <w:r w:rsidRPr="00797587">
        <w:rPr>
          <w:bCs/>
        </w:rPr>
        <w:t xml:space="preserve">or EPG navigation on Sky and Virgin Media viewers have the option of either accessing the entire channel list, or using one of the genre filtering options to restrict the list to the channels within a specific channel genre section. </w:t>
      </w:r>
      <w:r>
        <w:rPr>
          <w:bCs/>
        </w:rPr>
        <w:t>O</w:t>
      </w:r>
      <w:r w:rsidRPr="00797587">
        <w:rPr>
          <w:bCs/>
        </w:rPr>
        <w:t>n the Freeview EPG</w:t>
      </w:r>
      <w:r>
        <w:rPr>
          <w:bCs/>
        </w:rPr>
        <w:t xml:space="preserve"> viewers have</w:t>
      </w:r>
      <w:r w:rsidRPr="00797587">
        <w:rPr>
          <w:bCs/>
        </w:rPr>
        <w:t xml:space="preserve"> to a</w:t>
      </w:r>
      <w:r>
        <w:rPr>
          <w:bCs/>
        </w:rPr>
        <w:t>ccess the entire channel list.</w:t>
      </w:r>
      <w:r w:rsidRPr="00797587">
        <w:rPr>
          <w:bCs/>
        </w:rPr>
        <w:t xml:space="preserve"> </w:t>
      </w:r>
    </w:p>
    <w:p w14:paraId="7ABC3B20" w14:textId="68B401BF" w:rsidR="00163421" w:rsidRDefault="00163421" w:rsidP="00163421">
      <w:pPr>
        <w:jc w:val="both"/>
      </w:pPr>
      <w:r>
        <w:rPr>
          <w:bCs/>
        </w:rPr>
        <w:t xml:space="preserve">The </w:t>
      </w:r>
      <w:r w:rsidRPr="00797587">
        <w:rPr>
          <w:bCs/>
        </w:rPr>
        <w:t>number of channels listed per EPG page will depend on the equipment used</w:t>
      </w:r>
      <w:r w:rsidR="005803C8">
        <w:rPr>
          <w:bCs/>
        </w:rPr>
        <w:t xml:space="preserve"> though pay TV platforms standardise their EPG pages across different devices supplied</w:t>
      </w:r>
      <w:r>
        <w:rPr>
          <w:rStyle w:val="FootnoteReference"/>
          <w:bCs/>
        </w:rPr>
        <w:footnoteReference w:id="5"/>
      </w:r>
      <w:r w:rsidRPr="00797587">
        <w:rPr>
          <w:bCs/>
        </w:rPr>
        <w:t xml:space="preserve">. </w:t>
      </w:r>
    </w:p>
    <w:p w14:paraId="1145E063" w14:textId="77777777" w:rsidR="0008231F" w:rsidRDefault="0008231F" w:rsidP="005C477E">
      <w:pPr>
        <w:pStyle w:val="EBNumber"/>
        <w:tabs>
          <w:tab w:val="clear" w:pos="425"/>
        </w:tabs>
        <w:spacing w:after="0"/>
        <w:ind w:left="0" w:firstLine="0"/>
        <w:jc w:val="both"/>
        <w:rPr>
          <w:b/>
          <w:bCs w:val="0"/>
          <w:color w:val="auto"/>
          <w:sz w:val="28"/>
        </w:rPr>
      </w:pPr>
    </w:p>
    <w:p w14:paraId="1197FA1C" w14:textId="6D56E00E" w:rsidR="00B37E29" w:rsidRDefault="000E537E" w:rsidP="00BD0111">
      <w:pPr>
        <w:pStyle w:val="EBNumber"/>
        <w:tabs>
          <w:tab w:val="clear" w:pos="425"/>
        </w:tabs>
        <w:spacing w:after="0"/>
        <w:ind w:left="0" w:firstLine="0"/>
        <w:jc w:val="both"/>
        <w:rPr>
          <w:color w:val="auto"/>
          <w:sz w:val="24"/>
        </w:rPr>
      </w:pPr>
      <w:r>
        <w:rPr>
          <w:color w:val="auto"/>
          <w:sz w:val="24"/>
        </w:rPr>
        <w:t>The regulation in s</w:t>
      </w:r>
      <w:r w:rsidR="009D3039" w:rsidRPr="00BD0111">
        <w:rPr>
          <w:color w:val="auto"/>
          <w:sz w:val="24"/>
        </w:rPr>
        <w:t xml:space="preserve">ections 310 and 311 of the Communications Act 2003 </w:t>
      </w:r>
      <w:r w:rsidR="00BD0111" w:rsidRPr="00BD0111">
        <w:rPr>
          <w:color w:val="auto"/>
          <w:sz w:val="24"/>
        </w:rPr>
        <w:t xml:space="preserve">only covers </w:t>
      </w:r>
      <w:r w:rsidR="00C35DEA">
        <w:rPr>
          <w:color w:val="auto"/>
          <w:sz w:val="24"/>
        </w:rPr>
        <w:t>EPG listings</w:t>
      </w:r>
      <w:r w:rsidR="00BD0111" w:rsidRPr="00BD0111">
        <w:rPr>
          <w:color w:val="auto"/>
          <w:sz w:val="24"/>
        </w:rPr>
        <w:t xml:space="preserve"> of cert</w:t>
      </w:r>
      <w:r w:rsidR="00BD0111">
        <w:rPr>
          <w:color w:val="auto"/>
          <w:sz w:val="24"/>
        </w:rPr>
        <w:t xml:space="preserve">ain standard definition, linear </w:t>
      </w:r>
      <w:r w:rsidR="00BD0111" w:rsidRPr="00BD0111">
        <w:rPr>
          <w:color w:val="auto"/>
          <w:sz w:val="24"/>
        </w:rPr>
        <w:t>services reflecting the TV provision available at the time. With the arrival of hig</w:t>
      </w:r>
      <w:r w:rsidR="00BD0111">
        <w:rPr>
          <w:color w:val="auto"/>
          <w:sz w:val="24"/>
        </w:rPr>
        <w:t xml:space="preserve">h-definition (2005 on Cable and </w:t>
      </w:r>
      <w:r w:rsidR="00BD0111" w:rsidRPr="00BD0111">
        <w:rPr>
          <w:color w:val="auto"/>
          <w:sz w:val="24"/>
        </w:rPr>
        <w:t xml:space="preserve">2006 on Satellite), on-demand and catch-up services (limited services introduced in </w:t>
      </w:r>
      <w:r w:rsidR="00BD0111">
        <w:rPr>
          <w:color w:val="auto"/>
          <w:sz w:val="24"/>
        </w:rPr>
        <w:t xml:space="preserve">1999 first services on cable in </w:t>
      </w:r>
      <w:r w:rsidR="00BD0111" w:rsidRPr="00BD0111">
        <w:rPr>
          <w:color w:val="auto"/>
          <w:sz w:val="24"/>
        </w:rPr>
        <w:t>2005), and the emergence of more interactive and varied TV menus</w:t>
      </w:r>
      <w:r w:rsidR="00C36725">
        <w:rPr>
          <w:color w:val="auto"/>
          <w:sz w:val="24"/>
        </w:rPr>
        <w:t>,</w:t>
      </w:r>
      <w:r w:rsidR="00BD0111" w:rsidRPr="00BD0111">
        <w:rPr>
          <w:color w:val="auto"/>
          <w:sz w:val="24"/>
        </w:rPr>
        <w:t xml:space="preserve"> we are </w:t>
      </w:r>
      <w:r w:rsidR="00BD0111">
        <w:rPr>
          <w:color w:val="auto"/>
          <w:sz w:val="24"/>
        </w:rPr>
        <w:t xml:space="preserve">concerned about the regulations </w:t>
      </w:r>
      <w:r w:rsidR="00BD0111" w:rsidRPr="00BD0111">
        <w:rPr>
          <w:color w:val="auto"/>
          <w:sz w:val="24"/>
        </w:rPr>
        <w:t>becoming obsolete</w:t>
      </w:r>
      <w:r w:rsidR="00C36725">
        <w:rPr>
          <w:color w:val="auto"/>
          <w:sz w:val="24"/>
        </w:rPr>
        <w:t>,</w:t>
      </w:r>
      <w:r w:rsidR="00BD0111" w:rsidRPr="00BD0111">
        <w:rPr>
          <w:color w:val="auto"/>
          <w:sz w:val="24"/>
        </w:rPr>
        <w:t xml:space="preserve"> and PSB content becoming less viable as a result. Fo</w:t>
      </w:r>
      <w:r w:rsidR="00BD0111">
        <w:rPr>
          <w:color w:val="auto"/>
          <w:sz w:val="24"/>
        </w:rPr>
        <w:t xml:space="preserve">r example, PSB HD and on-demand </w:t>
      </w:r>
      <w:r w:rsidR="00BD0111" w:rsidRPr="00BD0111">
        <w:rPr>
          <w:color w:val="auto"/>
          <w:sz w:val="24"/>
        </w:rPr>
        <w:t>services are not included within the regulations, nor are the wider PSB portfolio c</w:t>
      </w:r>
      <w:r w:rsidR="00BD0111">
        <w:rPr>
          <w:color w:val="auto"/>
          <w:sz w:val="24"/>
        </w:rPr>
        <w:t xml:space="preserve">hannels, some of which, such as </w:t>
      </w:r>
      <w:r w:rsidR="00BD0111" w:rsidRPr="00BD0111">
        <w:rPr>
          <w:color w:val="auto"/>
          <w:sz w:val="24"/>
        </w:rPr>
        <w:t>children’s or local channels, we may want to consider including. The rules also fail to</w:t>
      </w:r>
      <w:r w:rsidR="00B37E29">
        <w:rPr>
          <w:color w:val="auto"/>
          <w:sz w:val="24"/>
        </w:rPr>
        <w:t xml:space="preserve"> fully reflect </w:t>
      </w:r>
      <w:r w:rsidR="00BD0111" w:rsidRPr="00BD0111">
        <w:rPr>
          <w:color w:val="auto"/>
          <w:sz w:val="24"/>
        </w:rPr>
        <w:t>t</w:t>
      </w:r>
      <w:r w:rsidR="00BD0111">
        <w:rPr>
          <w:color w:val="auto"/>
          <w:sz w:val="24"/>
        </w:rPr>
        <w:t xml:space="preserve">he </w:t>
      </w:r>
      <w:r w:rsidR="00BD0111" w:rsidRPr="00BD0111">
        <w:rPr>
          <w:color w:val="auto"/>
          <w:sz w:val="24"/>
        </w:rPr>
        <w:t>prominence needs of new local TV services</w:t>
      </w:r>
      <w:r w:rsidR="00B37E29">
        <w:rPr>
          <w:color w:val="auto"/>
          <w:sz w:val="24"/>
        </w:rPr>
        <w:t xml:space="preserve"> resulting in different channel allocations on different platforms and an unsatisfactory outcome</w:t>
      </w:r>
      <w:r w:rsidR="00C35DEA">
        <w:rPr>
          <w:color w:val="auto"/>
          <w:sz w:val="24"/>
        </w:rPr>
        <w:t xml:space="preserve"> </w:t>
      </w:r>
      <w:r w:rsidR="00B37E29">
        <w:rPr>
          <w:color w:val="auto"/>
          <w:sz w:val="24"/>
        </w:rPr>
        <w:t>for local TV services in Scotland and Wales</w:t>
      </w:r>
      <w:r w:rsidR="00BD0111" w:rsidRPr="00BD0111">
        <w:rPr>
          <w:color w:val="auto"/>
          <w:sz w:val="24"/>
        </w:rPr>
        <w:t xml:space="preserve">. </w:t>
      </w:r>
    </w:p>
    <w:p w14:paraId="7DD2B9F6" w14:textId="77777777" w:rsidR="00B37E29" w:rsidRDefault="00B37E29" w:rsidP="00BD0111">
      <w:pPr>
        <w:pStyle w:val="EBNumber"/>
        <w:tabs>
          <w:tab w:val="clear" w:pos="425"/>
        </w:tabs>
        <w:spacing w:after="0"/>
        <w:ind w:left="0" w:firstLine="0"/>
        <w:jc w:val="both"/>
        <w:rPr>
          <w:color w:val="auto"/>
          <w:sz w:val="24"/>
        </w:rPr>
      </w:pPr>
    </w:p>
    <w:p w14:paraId="091A5546" w14:textId="45DACBEE" w:rsidR="00BD0111" w:rsidRDefault="00BD0111" w:rsidP="00BD0111">
      <w:pPr>
        <w:pStyle w:val="EBNumber"/>
        <w:tabs>
          <w:tab w:val="clear" w:pos="425"/>
        </w:tabs>
        <w:spacing w:after="0"/>
        <w:ind w:left="0" w:firstLine="0"/>
        <w:jc w:val="both"/>
        <w:rPr>
          <w:color w:val="auto"/>
          <w:sz w:val="24"/>
        </w:rPr>
      </w:pPr>
      <w:r w:rsidRPr="00BD0111">
        <w:rPr>
          <w:color w:val="auto"/>
          <w:sz w:val="24"/>
        </w:rPr>
        <w:t>In addition</w:t>
      </w:r>
      <w:r w:rsidR="00C36725">
        <w:rPr>
          <w:color w:val="auto"/>
          <w:sz w:val="24"/>
        </w:rPr>
        <w:t>,</w:t>
      </w:r>
      <w:r w:rsidRPr="00BD0111">
        <w:rPr>
          <w:color w:val="auto"/>
          <w:sz w:val="24"/>
        </w:rPr>
        <w:t xml:space="preserve"> the rules on prominence are </w:t>
      </w:r>
      <w:r w:rsidR="00B37E29">
        <w:rPr>
          <w:color w:val="auto"/>
          <w:sz w:val="24"/>
        </w:rPr>
        <w:t xml:space="preserve">increasingly </w:t>
      </w:r>
      <w:r>
        <w:rPr>
          <w:color w:val="auto"/>
          <w:sz w:val="24"/>
        </w:rPr>
        <w:t>difficult to apply</w:t>
      </w:r>
      <w:r w:rsidR="00C36725">
        <w:rPr>
          <w:color w:val="auto"/>
          <w:sz w:val="24"/>
        </w:rPr>
        <w:t>,</w:t>
      </w:r>
      <w:r>
        <w:rPr>
          <w:color w:val="auto"/>
          <w:sz w:val="24"/>
        </w:rPr>
        <w:t xml:space="preserve"> as the range </w:t>
      </w:r>
      <w:r w:rsidRPr="00BD0111">
        <w:rPr>
          <w:color w:val="auto"/>
          <w:sz w:val="24"/>
        </w:rPr>
        <w:t>of tailored TV menus increases as EPG provide</w:t>
      </w:r>
      <w:r w:rsidR="00CF758D">
        <w:rPr>
          <w:color w:val="auto"/>
          <w:sz w:val="24"/>
        </w:rPr>
        <w:t>r</w:t>
      </w:r>
      <w:r w:rsidRPr="00BD0111">
        <w:rPr>
          <w:color w:val="auto"/>
          <w:sz w:val="24"/>
        </w:rPr>
        <w:t>s create different visual interfaces,</w:t>
      </w:r>
      <w:r>
        <w:rPr>
          <w:color w:val="auto"/>
          <w:sz w:val="24"/>
        </w:rPr>
        <w:t xml:space="preserve"> giving the viewer increasingly i</w:t>
      </w:r>
      <w:r w:rsidRPr="00BD0111">
        <w:rPr>
          <w:color w:val="auto"/>
          <w:sz w:val="24"/>
        </w:rPr>
        <w:t>nteractive, non-numerical content displays and access to content which can be li</w:t>
      </w:r>
      <w:r>
        <w:rPr>
          <w:color w:val="auto"/>
          <w:sz w:val="24"/>
        </w:rPr>
        <w:t>sted in different sub-categories</w:t>
      </w:r>
      <w:r w:rsidRPr="00BD0111">
        <w:rPr>
          <w:color w:val="auto"/>
          <w:sz w:val="24"/>
        </w:rPr>
        <w:t xml:space="preserve"> or broken down into programme listings.</w:t>
      </w:r>
    </w:p>
    <w:p w14:paraId="3E0A9CBB" w14:textId="77777777" w:rsidR="00A77A41" w:rsidRDefault="00A77A41">
      <w:pPr>
        <w:rPr>
          <w:rFonts w:cs="Arial"/>
          <w:b/>
          <w:bCs/>
          <w:sz w:val="28"/>
          <w:szCs w:val="22"/>
          <w:u w:val="single"/>
          <w:lang w:eastAsia="en-GB"/>
        </w:rPr>
      </w:pPr>
    </w:p>
    <w:p w14:paraId="192EDB6A" w14:textId="143197B0" w:rsidR="00A340E4" w:rsidRPr="007D2BF8" w:rsidRDefault="00BF70C1" w:rsidP="005C477E">
      <w:pPr>
        <w:pStyle w:val="EBNumber"/>
        <w:tabs>
          <w:tab w:val="clear" w:pos="425"/>
        </w:tabs>
        <w:spacing w:after="0"/>
        <w:ind w:left="0" w:firstLine="0"/>
        <w:jc w:val="both"/>
        <w:rPr>
          <w:b/>
          <w:color w:val="auto"/>
          <w:sz w:val="28"/>
        </w:rPr>
      </w:pPr>
      <w:r w:rsidRPr="005C477E">
        <w:rPr>
          <w:b/>
          <w:color w:val="auto"/>
          <w:sz w:val="28"/>
          <w:u w:val="single"/>
        </w:rPr>
        <w:t>2. Policy Options</w:t>
      </w:r>
      <w:r w:rsidR="00A340E4" w:rsidRPr="005C477E">
        <w:rPr>
          <w:b/>
          <w:color w:val="auto"/>
          <w:sz w:val="28"/>
          <w:u w:val="single"/>
        </w:rPr>
        <w:t xml:space="preserve"> </w:t>
      </w:r>
      <w:r w:rsidR="00B37E29">
        <w:rPr>
          <w:b/>
          <w:color w:val="auto"/>
          <w:sz w:val="28"/>
          <w:u w:val="single"/>
        </w:rPr>
        <w:t>Considered</w:t>
      </w:r>
    </w:p>
    <w:p w14:paraId="35A4200A" w14:textId="77777777" w:rsidR="000B166C" w:rsidRDefault="000B166C" w:rsidP="00F012D3">
      <w:pPr>
        <w:pStyle w:val="EBNumber"/>
        <w:tabs>
          <w:tab w:val="clear" w:pos="425"/>
        </w:tabs>
        <w:spacing w:after="0"/>
        <w:ind w:left="0" w:firstLine="0"/>
        <w:jc w:val="both"/>
        <w:rPr>
          <w:b/>
          <w:color w:val="auto"/>
          <w:sz w:val="28"/>
        </w:rPr>
      </w:pPr>
    </w:p>
    <w:p w14:paraId="746DF1C0" w14:textId="58A13F9D" w:rsidR="00A77A41" w:rsidRDefault="00A77A41" w:rsidP="00F012D3">
      <w:pPr>
        <w:pStyle w:val="EBNumber"/>
        <w:tabs>
          <w:tab w:val="clear" w:pos="425"/>
        </w:tabs>
        <w:spacing w:after="0"/>
        <w:ind w:left="0" w:firstLine="0"/>
        <w:jc w:val="both"/>
        <w:rPr>
          <w:color w:val="auto"/>
          <w:sz w:val="24"/>
        </w:rPr>
      </w:pPr>
      <w:r>
        <w:rPr>
          <w:color w:val="auto"/>
          <w:sz w:val="24"/>
        </w:rPr>
        <w:t>This IA refers to a</w:t>
      </w:r>
      <w:r w:rsidR="00B37E29">
        <w:rPr>
          <w:color w:val="auto"/>
          <w:sz w:val="24"/>
        </w:rPr>
        <w:t xml:space="preserve">n open </w:t>
      </w:r>
      <w:r>
        <w:rPr>
          <w:color w:val="auto"/>
          <w:sz w:val="24"/>
        </w:rPr>
        <w:t xml:space="preserve">consultation </w:t>
      </w:r>
      <w:r w:rsidR="00B37E29">
        <w:rPr>
          <w:color w:val="auto"/>
          <w:sz w:val="24"/>
        </w:rPr>
        <w:t xml:space="preserve">on </w:t>
      </w:r>
      <w:r>
        <w:rPr>
          <w:color w:val="auto"/>
          <w:sz w:val="24"/>
        </w:rPr>
        <w:t xml:space="preserve">a broad range of policy options covering several interrelated aspects of the relationship between TV Platforms </w:t>
      </w:r>
      <w:r w:rsidR="000701F0">
        <w:rPr>
          <w:color w:val="auto"/>
          <w:sz w:val="24"/>
        </w:rPr>
        <w:t xml:space="preserve">including </w:t>
      </w:r>
      <w:r>
        <w:rPr>
          <w:color w:val="auto"/>
          <w:sz w:val="24"/>
        </w:rPr>
        <w:t>satellite and cable, commercial PSBs</w:t>
      </w:r>
      <w:r w:rsidR="000701F0">
        <w:rPr>
          <w:color w:val="auto"/>
          <w:sz w:val="24"/>
        </w:rPr>
        <w:t>, and</w:t>
      </w:r>
      <w:r w:rsidR="00421D7C">
        <w:rPr>
          <w:color w:val="auto"/>
          <w:sz w:val="24"/>
        </w:rPr>
        <w:t xml:space="preserve"> </w:t>
      </w:r>
      <w:r w:rsidR="000701F0">
        <w:rPr>
          <w:color w:val="auto"/>
          <w:sz w:val="24"/>
        </w:rPr>
        <w:t xml:space="preserve">to a limited degree the BBC </w:t>
      </w:r>
      <w:r>
        <w:rPr>
          <w:color w:val="auto"/>
          <w:sz w:val="24"/>
        </w:rPr>
        <w:t xml:space="preserve">and other channels. The areas broadly covered are the removal of Section 73, the future of must offer and must carry obligations, and the future of the EPG regime. </w:t>
      </w:r>
      <w:r w:rsidR="00421D7C">
        <w:rPr>
          <w:color w:val="auto"/>
          <w:sz w:val="24"/>
        </w:rPr>
        <w:t>The Department has a preferred option for the removal of Section 73 but</w:t>
      </w:r>
      <w:r w:rsidR="00217F33">
        <w:rPr>
          <w:color w:val="auto"/>
          <w:sz w:val="24"/>
        </w:rPr>
        <w:t xml:space="preserve">, at this stage, has an open view on the </w:t>
      </w:r>
      <w:r w:rsidR="00421D7C">
        <w:rPr>
          <w:color w:val="auto"/>
          <w:sz w:val="24"/>
        </w:rPr>
        <w:t>other policy proposals.</w:t>
      </w:r>
    </w:p>
    <w:p w14:paraId="38E055F3" w14:textId="77777777" w:rsidR="00A77A41" w:rsidRDefault="00A77A41" w:rsidP="00F012D3">
      <w:pPr>
        <w:pStyle w:val="EBNumber"/>
        <w:tabs>
          <w:tab w:val="clear" w:pos="425"/>
        </w:tabs>
        <w:spacing w:after="0"/>
        <w:ind w:left="0" w:firstLine="0"/>
        <w:jc w:val="both"/>
        <w:rPr>
          <w:color w:val="auto"/>
          <w:sz w:val="24"/>
        </w:rPr>
      </w:pPr>
    </w:p>
    <w:p w14:paraId="114E2738" w14:textId="71FA8D3E" w:rsidR="00A77A41" w:rsidRDefault="00A77A41" w:rsidP="00F012D3">
      <w:pPr>
        <w:pStyle w:val="EBNumber"/>
        <w:tabs>
          <w:tab w:val="clear" w:pos="425"/>
        </w:tabs>
        <w:spacing w:after="0"/>
        <w:ind w:left="0" w:firstLine="0"/>
        <w:jc w:val="both"/>
        <w:rPr>
          <w:color w:val="auto"/>
          <w:sz w:val="24"/>
        </w:rPr>
      </w:pPr>
      <w:r>
        <w:rPr>
          <w:color w:val="auto"/>
          <w:sz w:val="24"/>
        </w:rPr>
        <w:t xml:space="preserve">While a final policy proposal </w:t>
      </w:r>
      <w:r w:rsidR="00217F33">
        <w:rPr>
          <w:color w:val="auto"/>
          <w:sz w:val="24"/>
        </w:rPr>
        <w:t>may</w:t>
      </w:r>
      <w:r>
        <w:rPr>
          <w:color w:val="auto"/>
          <w:sz w:val="24"/>
        </w:rPr>
        <w:t xml:space="preserve"> cover a combination of these options, the Department considers it disproportionate and impractical to provide a summary and analysis for all possible permutations. </w:t>
      </w:r>
      <w:r w:rsidR="0021681D">
        <w:rPr>
          <w:color w:val="auto"/>
          <w:sz w:val="24"/>
        </w:rPr>
        <w:t xml:space="preserve">As a consequence, this IA provides a separate summary and analysis of the main </w:t>
      </w:r>
      <w:r w:rsidR="0021681D">
        <w:rPr>
          <w:color w:val="auto"/>
          <w:sz w:val="24"/>
        </w:rPr>
        <w:lastRenderedPageBreak/>
        <w:t>policy options within the t</w:t>
      </w:r>
      <w:r w:rsidR="003218AD">
        <w:rPr>
          <w:color w:val="auto"/>
          <w:sz w:val="24"/>
        </w:rPr>
        <w:t>hree broad areas. The Government</w:t>
      </w:r>
      <w:r w:rsidR="0021681D">
        <w:rPr>
          <w:color w:val="auto"/>
          <w:sz w:val="24"/>
        </w:rPr>
        <w:t xml:space="preserve"> does not rule out that there are interactions between these options, and intends to improve its evidence base on these </w:t>
      </w:r>
      <w:r w:rsidR="00421D7C">
        <w:rPr>
          <w:color w:val="auto"/>
          <w:sz w:val="24"/>
        </w:rPr>
        <w:t>through the consultation process.</w:t>
      </w:r>
      <w:r w:rsidR="009A131A">
        <w:rPr>
          <w:color w:val="auto"/>
          <w:sz w:val="24"/>
        </w:rPr>
        <w:t xml:space="preserve"> The final stage IA will be updated to take accoun</w:t>
      </w:r>
      <w:r w:rsidR="0016610F">
        <w:rPr>
          <w:color w:val="auto"/>
          <w:sz w:val="24"/>
        </w:rPr>
        <w:t xml:space="preserve">t of this new evidence gathered though given that some of the effects will be directly or indirectly due to the various layers of commercial relationships between the parties, there will always be limitations on the evidence and information that will be made available as part of the consultation, even on a confidential basis. </w:t>
      </w:r>
    </w:p>
    <w:p w14:paraId="74AC6C5D" w14:textId="77777777" w:rsidR="00A77A41" w:rsidRPr="007D2BF8" w:rsidRDefault="00A77A41" w:rsidP="00F012D3">
      <w:pPr>
        <w:pStyle w:val="EBNumber"/>
        <w:tabs>
          <w:tab w:val="clear" w:pos="425"/>
        </w:tabs>
        <w:spacing w:after="0"/>
        <w:ind w:left="0" w:firstLine="0"/>
        <w:jc w:val="both"/>
        <w:rPr>
          <w:b/>
          <w:color w:val="auto"/>
          <w:sz w:val="28"/>
        </w:rPr>
      </w:pPr>
    </w:p>
    <w:p w14:paraId="15C62AF1" w14:textId="4BFB42D5" w:rsidR="00DA7606" w:rsidRDefault="0059521E" w:rsidP="00DA7606">
      <w:pPr>
        <w:jc w:val="both"/>
        <w:rPr>
          <w:b/>
          <w:u w:val="single"/>
        </w:rPr>
      </w:pPr>
      <w:r>
        <w:rPr>
          <w:b/>
          <w:u w:val="single"/>
        </w:rPr>
        <w:t xml:space="preserve">2.1 </w:t>
      </w:r>
      <w:r w:rsidR="00DA7606" w:rsidRPr="007D2BF8">
        <w:rPr>
          <w:b/>
          <w:u w:val="single"/>
        </w:rPr>
        <w:t xml:space="preserve">Option 1: Remove S73 </w:t>
      </w:r>
    </w:p>
    <w:p w14:paraId="6E6A1C77" w14:textId="77777777" w:rsidR="005C477E" w:rsidRPr="007D2BF8" w:rsidRDefault="005C477E" w:rsidP="00DA7606">
      <w:pPr>
        <w:jc w:val="both"/>
        <w:rPr>
          <w:b/>
        </w:rPr>
      </w:pPr>
    </w:p>
    <w:p w14:paraId="77D2F4EB" w14:textId="29DF166C" w:rsidR="00DA7606" w:rsidRPr="007D2BF8" w:rsidRDefault="00DA7606" w:rsidP="00DA7606">
      <w:pPr>
        <w:jc w:val="both"/>
      </w:pPr>
      <w:r w:rsidRPr="007D2BF8">
        <w:t>The first option is the removal of S73</w:t>
      </w:r>
      <w:r w:rsidR="007D27C2">
        <w:t xml:space="preserve"> of the </w:t>
      </w:r>
      <w:r w:rsidR="007D27C2" w:rsidRPr="009D3039">
        <w:rPr>
          <w:b/>
        </w:rPr>
        <w:t>Copyright, Design and Patents Act (1988)</w:t>
      </w:r>
      <w:r w:rsidRPr="007D2BF8">
        <w:t>.  This option would ensure an effective copyright regime underpinned negotiations</w:t>
      </w:r>
      <w:r w:rsidR="00A13E4E">
        <w:t xml:space="preserve"> between </w:t>
      </w:r>
      <w:r w:rsidR="000701F0">
        <w:t>cable TV providers (</w:t>
      </w:r>
      <w:r w:rsidR="00A13E4E">
        <w:t>Virgin</w:t>
      </w:r>
      <w:r w:rsidR="000701F0">
        <w:t>)</w:t>
      </w:r>
      <w:r w:rsidR="00A13E4E">
        <w:t xml:space="preserve"> and PSBs</w:t>
      </w:r>
      <w:r w:rsidRPr="007D2BF8">
        <w:t>, but would otherwise make no changes to the current balance of payments.</w:t>
      </w:r>
    </w:p>
    <w:p w14:paraId="730AC697" w14:textId="77777777" w:rsidR="00DA7606" w:rsidRPr="007D2BF8" w:rsidRDefault="00DA7606" w:rsidP="00DA7606">
      <w:pPr>
        <w:jc w:val="both"/>
      </w:pPr>
    </w:p>
    <w:p w14:paraId="7F718C5B" w14:textId="6B1FF4E4" w:rsidR="00DA7606" w:rsidRDefault="00DA7606" w:rsidP="00DA7606">
      <w:pPr>
        <w:jc w:val="both"/>
      </w:pPr>
      <w:r w:rsidRPr="007D2BF8">
        <w:t xml:space="preserve">Removal of </w:t>
      </w:r>
      <w:r w:rsidR="00A13E4E">
        <w:t>S</w:t>
      </w:r>
      <w:r w:rsidRPr="007D2BF8">
        <w:t xml:space="preserve">73 </w:t>
      </w:r>
      <w:r w:rsidR="00A13E4E">
        <w:t xml:space="preserve">in itself </w:t>
      </w:r>
      <w:r w:rsidRPr="007D2BF8">
        <w:t xml:space="preserve">may result in a </w:t>
      </w:r>
      <w:r w:rsidR="00B030DE" w:rsidRPr="007D2BF8">
        <w:t xml:space="preserve">limited </w:t>
      </w:r>
      <w:r w:rsidRPr="007D2BF8">
        <w:t>flow of payments f</w:t>
      </w:r>
      <w:r w:rsidR="00B030DE" w:rsidRPr="007D2BF8">
        <w:t xml:space="preserve">rom </w:t>
      </w:r>
      <w:r w:rsidR="00B030DE" w:rsidRPr="009D3039">
        <w:t xml:space="preserve">cable to </w:t>
      </w:r>
      <w:r w:rsidR="00375435" w:rsidRPr="009D3039">
        <w:t>the commercial</w:t>
      </w:r>
      <w:r w:rsidR="00375435">
        <w:t xml:space="preserve"> </w:t>
      </w:r>
      <w:r w:rsidR="00B030DE" w:rsidRPr="007D2BF8">
        <w:t>PSBs. H</w:t>
      </w:r>
      <w:r w:rsidRPr="007D2BF8">
        <w:t>owever</w:t>
      </w:r>
      <w:r w:rsidR="00B030DE" w:rsidRPr="007D2BF8">
        <w:t>,</w:t>
      </w:r>
      <w:r w:rsidRPr="007D2BF8">
        <w:t xml:space="preserve"> in view of the complexity and breadth of these commercial negotiations, and in particular if must offer is retained, this is </w:t>
      </w:r>
      <w:r w:rsidR="00A13E4E">
        <w:t xml:space="preserve">considered </w:t>
      </w:r>
      <w:r w:rsidR="007D27C2">
        <w:t xml:space="preserve">an </w:t>
      </w:r>
      <w:r w:rsidR="00A13E4E">
        <w:t>unlikely</w:t>
      </w:r>
      <w:r w:rsidR="007D27C2">
        <w:t xml:space="preserve"> outcome in the short and medium term</w:t>
      </w:r>
      <w:r w:rsidR="00A13E4E">
        <w:t xml:space="preserve">, as must offer and must carry obligations would continue to ensure that neither party </w:t>
      </w:r>
      <w:r w:rsidR="007D27C2">
        <w:t>would unilaterally be able to exit negotiations and withdraw/remove PSB services</w:t>
      </w:r>
      <w:r w:rsidR="00A13E4E">
        <w:t xml:space="preserve">. </w:t>
      </w:r>
      <w:r w:rsidR="0008231F">
        <w:t>This is c</w:t>
      </w:r>
      <w:r w:rsidR="0016610F">
        <w:t xml:space="preserve">onsidered in more detail in our </w:t>
      </w:r>
      <w:r w:rsidR="0008231F">
        <w:t>analysis of costs and benefits below.</w:t>
      </w:r>
    </w:p>
    <w:p w14:paraId="422288DA" w14:textId="77777777" w:rsidR="00A13E4E" w:rsidRDefault="00A13E4E" w:rsidP="00DA7606">
      <w:pPr>
        <w:jc w:val="both"/>
      </w:pPr>
    </w:p>
    <w:p w14:paraId="41E8EE88" w14:textId="67C539B8" w:rsidR="00A13E4E" w:rsidRPr="007D2BF8" w:rsidRDefault="00EC795B" w:rsidP="00DA7606">
      <w:pPr>
        <w:jc w:val="both"/>
      </w:pPr>
      <w:r>
        <w:t xml:space="preserve">The Government believes there is no longer a justification for </w:t>
      </w:r>
      <w:r w:rsidR="00A13E4E">
        <w:t>S73</w:t>
      </w:r>
      <w:r>
        <w:t xml:space="preserve"> and f</w:t>
      </w:r>
      <w:r w:rsidR="00547A00">
        <w:t>o</w:t>
      </w:r>
      <w:r>
        <w:t xml:space="preserve">r the purpose of this IA this is </w:t>
      </w:r>
      <w:r w:rsidR="00A13E4E">
        <w:t>considered a minimum poli</w:t>
      </w:r>
      <w:r w:rsidR="003218AD">
        <w:t>cy requirement by the Government</w:t>
      </w:r>
      <w:r w:rsidR="00A13E4E">
        <w:t xml:space="preserve">, and will thus accompany any combination of the remaining policy options adopted as a final policy proposal. </w:t>
      </w:r>
    </w:p>
    <w:p w14:paraId="2013C15B" w14:textId="77777777" w:rsidR="00DA7606" w:rsidRPr="007D2BF8" w:rsidRDefault="00DA7606" w:rsidP="00DA7606">
      <w:pPr>
        <w:jc w:val="both"/>
      </w:pPr>
    </w:p>
    <w:p w14:paraId="30ED93C1" w14:textId="77777777" w:rsidR="000B166C" w:rsidRDefault="000B166C" w:rsidP="00DA7606">
      <w:pPr>
        <w:jc w:val="both"/>
        <w:rPr>
          <w:b/>
          <w:u w:val="single"/>
        </w:rPr>
      </w:pPr>
    </w:p>
    <w:p w14:paraId="254A28D5" w14:textId="4B8F1A92" w:rsidR="00DA7606" w:rsidRDefault="0059521E" w:rsidP="00DA7606">
      <w:pPr>
        <w:jc w:val="both"/>
        <w:rPr>
          <w:b/>
          <w:u w:val="single"/>
        </w:rPr>
      </w:pPr>
      <w:r>
        <w:rPr>
          <w:b/>
          <w:u w:val="single"/>
        </w:rPr>
        <w:t xml:space="preserve">2.2. </w:t>
      </w:r>
      <w:r w:rsidR="00DA7606" w:rsidRPr="007D2BF8">
        <w:rPr>
          <w:b/>
          <w:u w:val="single"/>
        </w:rPr>
        <w:t xml:space="preserve">Option 2: Amend </w:t>
      </w:r>
      <w:r w:rsidR="00A13E4E">
        <w:rPr>
          <w:b/>
          <w:u w:val="single"/>
        </w:rPr>
        <w:t xml:space="preserve">or remove </w:t>
      </w:r>
      <w:r w:rsidR="00DA7606" w:rsidRPr="007D2BF8">
        <w:rPr>
          <w:b/>
          <w:u w:val="single"/>
        </w:rPr>
        <w:t>must offer and must carry</w:t>
      </w:r>
    </w:p>
    <w:p w14:paraId="290D456D" w14:textId="77777777" w:rsidR="005C477E" w:rsidRDefault="005C477E" w:rsidP="00DA7606">
      <w:pPr>
        <w:jc w:val="both"/>
        <w:rPr>
          <w:b/>
          <w:u w:val="single"/>
        </w:rPr>
      </w:pPr>
    </w:p>
    <w:p w14:paraId="7C33F6DE" w14:textId="30CD5E57" w:rsidR="000239B5" w:rsidRPr="003218AD" w:rsidRDefault="003218AD" w:rsidP="000239B5">
      <w:pPr>
        <w:pStyle w:val="EBNumber"/>
        <w:tabs>
          <w:tab w:val="clear" w:pos="425"/>
        </w:tabs>
        <w:spacing w:after="0"/>
        <w:ind w:left="0" w:firstLine="0"/>
        <w:jc w:val="both"/>
        <w:rPr>
          <w:color w:val="auto"/>
          <w:sz w:val="24"/>
        </w:rPr>
      </w:pPr>
      <w:r w:rsidRPr="003218AD">
        <w:rPr>
          <w:sz w:val="24"/>
        </w:rPr>
        <w:t>The Government</w:t>
      </w:r>
      <w:r w:rsidR="00EA32AB" w:rsidRPr="003218AD">
        <w:rPr>
          <w:sz w:val="24"/>
        </w:rPr>
        <w:t xml:space="preserve"> does not currently have a single preferred policy option within the options presented here</w:t>
      </w:r>
      <w:r w:rsidR="00C36725" w:rsidRPr="003218AD">
        <w:rPr>
          <w:sz w:val="24"/>
        </w:rPr>
        <w:t>,</w:t>
      </w:r>
      <w:r w:rsidRPr="003218AD">
        <w:rPr>
          <w:sz w:val="24"/>
        </w:rPr>
        <w:t xml:space="preserve"> but</w:t>
      </w:r>
      <w:r w:rsidR="00EA32AB" w:rsidRPr="003218AD">
        <w:rPr>
          <w:sz w:val="24"/>
        </w:rPr>
        <w:t xml:space="preserve"> believes that removing barrie</w:t>
      </w:r>
      <w:r w:rsidR="00C36725" w:rsidRPr="003218AD">
        <w:rPr>
          <w:sz w:val="24"/>
        </w:rPr>
        <w:t>rs to</w:t>
      </w:r>
      <w:r w:rsidRPr="003218AD">
        <w:rPr>
          <w:sz w:val="24"/>
        </w:rPr>
        <w:t xml:space="preserve"> freer negotiations could</w:t>
      </w:r>
      <w:r w:rsidR="00EA32AB" w:rsidRPr="003218AD">
        <w:rPr>
          <w:sz w:val="24"/>
        </w:rPr>
        <w:t xml:space="preserve"> result in stronger outcomes and support increased investment in the creative industries sector</w:t>
      </w:r>
      <w:r w:rsidR="00C36725" w:rsidRPr="003218AD">
        <w:rPr>
          <w:sz w:val="24"/>
        </w:rPr>
        <w:t>,</w:t>
      </w:r>
      <w:r w:rsidR="00EA32AB" w:rsidRPr="003218AD">
        <w:rPr>
          <w:sz w:val="24"/>
        </w:rPr>
        <w:t xml:space="preserve"> and at the same time protect reach and discoverability of PSB content for audiences. </w:t>
      </w:r>
      <w:r w:rsidRPr="003218AD">
        <w:rPr>
          <w:sz w:val="24"/>
        </w:rPr>
        <w:t>However, w</w:t>
      </w:r>
      <w:r w:rsidR="00EA32AB" w:rsidRPr="003218AD">
        <w:rPr>
          <w:sz w:val="24"/>
        </w:rPr>
        <w:t>hile the Department considers that options to deregulate negotiations between p</w:t>
      </w:r>
      <w:r w:rsidRPr="003218AD">
        <w:rPr>
          <w:sz w:val="24"/>
        </w:rPr>
        <w:t>latforms and commercial PSBs may be</w:t>
      </w:r>
      <w:r w:rsidR="00EA32AB" w:rsidRPr="003218AD">
        <w:rPr>
          <w:sz w:val="24"/>
        </w:rPr>
        <w:t xml:space="preserve"> desirable, we are mindful of the complexity of the relations and therefore want to build a stronger evidential base and gather a wide range of views on the detailed and cumulative impact of deregulating the existing must offer and must carry regulations. </w:t>
      </w:r>
      <w:r w:rsidR="000239B5" w:rsidRPr="003218AD">
        <w:rPr>
          <w:sz w:val="24"/>
        </w:rPr>
        <w:t xml:space="preserve">Given </w:t>
      </w:r>
      <w:r w:rsidR="000239B5" w:rsidRPr="003218AD">
        <w:rPr>
          <w:color w:val="auto"/>
          <w:sz w:val="24"/>
        </w:rPr>
        <w:t xml:space="preserve">that some of the effects will be directly or indirectly due to the various layers of commercial relationships between the parties, there will always be limitations on the evidence and information that will be made available. </w:t>
      </w:r>
    </w:p>
    <w:p w14:paraId="1D4A7BB4" w14:textId="77777777" w:rsidR="000239B5" w:rsidRDefault="000239B5" w:rsidP="00EA32AB">
      <w:pPr>
        <w:shd w:val="clear" w:color="auto" w:fill="FFFFFF"/>
        <w:jc w:val="both"/>
        <w:rPr>
          <w:rFonts w:cs="Arial"/>
        </w:rPr>
      </w:pPr>
    </w:p>
    <w:p w14:paraId="63B1E1EC" w14:textId="6BC6E976" w:rsidR="00EA32AB" w:rsidRPr="00440246" w:rsidRDefault="00EA32AB" w:rsidP="00EA32AB">
      <w:pPr>
        <w:shd w:val="clear" w:color="auto" w:fill="FFFFFF"/>
        <w:jc w:val="both"/>
        <w:rPr>
          <w:rFonts w:cs="Arial"/>
          <w:color w:val="000000"/>
        </w:rPr>
      </w:pPr>
      <w:r>
        <w:rPr>
          <w:rFonts w:cs="Arial"/>
        </w:rPr>
        <w:t xml:space="preserve">For the purpose of this Impact Assessment, we describe two options in order to assess the impact of the change, however, whilst relaxing requirements and providing </w:t>
      </w:r>
      <w:r w:rsidRPr="00440246">
        <w:rPr>
          <w:rFonts w:cs="Arial"/>
        </w:rPr>
        <w:t xml:space="preserve">commercial PSBs </w:t>
      </w:r>
      <w:r>
        <w:rPr>
          <w:rFonts w:cs="Arial"/>
        </w:rPr>
        <w:t xml:space="preserve">with </w:t>
      </w:r>
      <w:r w:rsidRPr="00440246">
        <w:rPr>
          <w:rFonts w:cs="Arial"/>
        </w:rPr>
        <w:t xml:space="preserve">more latitude </w:t>
      </w:r>
      <w:r>
        <w:rPr>
          <w:rFonts w:cs="Arial"/>
        </w:rPr>
        <w:t xml:space="preserve">would require </w:t>
      </w:r>
      <w:r w:rsidRPr="00440246">
        <w:rPr>
          <w:rFonts w:cs="Arial"/>
        </w:rPr>
        <w:t>amend</w:t>
      </w:r>
      <w:r>
        <w:rPr>
          <w:rFonts w:cs="Arial"/>
        </w:rPr>
        <w:t xml:space="preserve">ments to </w:t>
      </w:r>
      <w:r w:rsidRPr="00440246">
        <w:rPr>
          <w:rFonts w:cs="Arial"/>
        </w:rPr>
        <w:t xml:space="preserve">the regulatory framework and greater involvement </w:t>
      </w:r>
      <w:r>
        <w:rPr>
          <w:rFonts w:cs="Arial"/>
        </w:rPr>
        <w:t>f</w:t>
      </w:r>
      <w:r w:rsidR="00C36725">
        <w:rPr>
          <w:rFonts w:cs="Arial"/>
        </w:rPr>
        <w:t>rom</w:t>
      </w:r>
      <w:r>
        <w:rPr>
          <w:rFonts w:cs="Arial"/>
        </w:rPr>
        <w:t xml:space="preserve"> </w:t>
      </w:r>
      <w:r w:rsidRPr="00440246">
        <w:rPr>
          <w:rFonts w:cs="Arial"/>
        </w:rPr>
        <w:t>Ofcom. </w:t>
      </w:r>
    </w:p>
    <w:p w14:paraId="3A3510BF" w14:textId="77777777" w:rsidR="00EA32AB" w:rsidRPr="00440246" w:rsidRDefault="00EA32AB" w:rsidP="00EA32AB">
      <w:pPr>
        <w:shd w:val="clear" w:color="auto" w:fill="FFFFFF"/>
        <w:jc w:val="both"/>
        <w:rPr>
          <w:rFonts w:cs="Arial"/>
          <w:color w:val="000000"/>
        </w:rPr>
      </w:pPr>
      <w:r w:rsidRPr="00440246">
        <w:rPr>
          <w:rFonts w:cs="Arial"/>
          <w:b/>
          <w:bCs/>
          <w:color w:val="000000"/>
          <w:u w:val="single"/>
        </w:rPr>
        <w:t> </w:t>
      </w:r>
    </w:p>
    <w:p w14:paraId="20D04C73" w14:textId="77777777" w:rsidR="00EA32AB" w:rsidRPr="00440246" w:rsidRDefault="00EA32AB" w:rsidP="00EA32AB">
      <w:pPr>
        <w:shd w:val="clear" w:color="auto" w:fill="FFFFFF"/>
        <w:jc w:val="both"/>
        <w:rPr>
          <w:rFonts w:cs="Arial"/>
          <w:color w:val="000000"/>
        </w:rPr>
      </w:pPr>
      <w:r w:rsidRPr="00440246">
        <w:rPr>
          <w:rFonts w:cs="Arial"/>
          <w:i/>
          <w:iCs/>
          <w:color w:val="000000"/>
          <w:u w:val="single"/>
        </w:rPr>
        <w:t>Option 2a): Remove must offer and must carry regulation and require that EPG slots be held</w:t>
      </w:r>
    </w:p>
    <w:p w14:paraId="7211A22E" w14:textId="77777777" w:rsidR="00EA32AB" w:rsidRPr="00440246" w:rsidRDefault="00EA32AB" w:rsidP="00EA32AB">
      <w:pPr>
        <w:shd w:val="clear" w:color="auto" w:fill="FFFFFF"/>
        <w:jc w:val="both"/>
        <w:rPr>
          <w:rFonts w:cs="Arial"/>
          <w:color w:val="000000"/>
        </w:rPr>
      </w:pPr>
      <w:r w:rsidRPr="00440246">
        <w:rPr>
          <w:rFonts w:cs="Arial"/>
          <w:b/>
          <w:bCs/>
          <w:color w:val="000000"/>
        </w:rPr>
        <w:t> </w:t>
      </w:r>
    </w:p>
    <w:p w14:paraId="2987A6B7" w14:textId="19A27E87" w:rsidR="00EA32AB" w:rsidRDefault="00EA32AB" w:rsidP="00EA32AB">
      <w:pPr>
        <w:shd w:val="clear" w:color="auto" w:fill="FFFFFF"/>
        <w:jc w:val="both"/>
        <w:rPr>
          <w:rFonts w:cs="Arial"/>
          <w:color w:val="000000"/>
        </w:rPr>
      </w:pPr>
      <w:r w:rsidRPr="00440246">
        <w:rPr>
          <w:rFonts w:cs="Arial"/>
          <w:color w:val="000000"/>
        </w:rPr>
        <w:t>This option would remove the regulation requiring commercial PSBs to offer their content to TV platforms and similarly would remove the power for Ofcom to compel platforms to carry PSB content. This option would allow parties to negotiate freely on the balance of payments between them for the carriage of PSB content on TV platforms</w:t>
      </w:r>
      <w:r w:rsidR="00C36725">
        <w:rPr>
          <w:rFonts w:cs="Arial"/>
          <w:color w:val="000000"/>
        </w:rPr>
        <w:t>. This would introduce a risk of consumers</w:t>
      </w:r>
      <w:r w:rsidRPr="00440246">
        <w:rPr>
          <w:rFonts w:cs="Arial"/>
          <w:color w:val="000000"/>
        </w:rPr>
        <w:t xml:space="preserve"> see</w:t>
      </w:r>
      <w:r w:rsidR="00C36725">
        <w:rPr>
          <w:rFonts w:cs="Arial"/>
          <w:color w:val="000000"/>
        </w:rPr>
        <w:t>ing</w:t>
      </w:r>
      <w:r w:rsidRPr="00440246">
        <w:rPr>
          <w:rFonts w:cs="Arial"/>
          <w:color w:val="000000"/>
        </w:rPr>
        <w:t xml:space="preserve"> blank screens if commercial negotiations failed to reach agreement, as has been experienced in other countries with such arrangements. This possible outcome </w:t>
      </w:r>
      <w:r w:rsidR="00C36725">
        <w:rPr>
          <w:rFonts w:cs="Arial"/>
          <w:color w:val="000000"/>
        </w:rPr>
        <w:t>will</w:t>
      </w:r>
      <w:r w:rsidRPr="00440246">
        <w:rPr>
          <w:rFonts w:cs="Arial"/>
          <w:color w:val="000000"/>
        </w:rPr>
        <w:t xml:space="preserve"> be softened </w:t>
      </w:r>
      <w:r w:rsidRPr="00440246">
        <w:rPr>
          <w:rFonts w:cs="Arial"/>
          <w:color w:val="000000"/>
        </w:rPr>
        <w:lastRenderedPageBreak/>
        <w:t>by all PSBs staying to be available via DTT as this carriage is not secured via must offer</w:t>
      </w:r>
      <w:r w:rsidR="00C36725">
        <w:rPr>
          <w:rFonts w:cs="Arial"/>
          <w:color w:val="000000"/>
        </w:rPr>
        <w:t xml:space="preserve"> and must carry but also via</w:t>
      </w:r>
      <w:r w:rsidRPr="00440246">
        <w:rPr>
          <w:rFonts w:cs="Arial"/>
          <w:color w:val="000000"/>
        </w:rPr>
        <w:t xml:space="preserve"> their licences under section 214 of the Broadcasting Act.</w:t>
      </w:r>
    </w:p>
    <w:p w14:paraId="54137273" w14:textId="09DCD21E" w:rsidR="00EA32AB" w:rsidRPr="00440246" w:rsidRDefault="00EA32AB" w:rsidP="00EA32AB">
      <w:pPr>
        <w:shd w:val="clear" w:color="auto" w:fill="FFFFFF"/>
        <w:jc w:val="both"/>
        <w:rPr>
          <w:rFonts w:cs="Arial"/>
          <w:color w:val="000000"/>
        </w:rPr>
      </w:pPr>
    </w:p>
    <w:p w14:paraId="091A99EB" w14:textId="77777777" w:rsidR="00EA32AB" w:rsidRPr="00440246" w:rsidRDefault="00EA32AB" w:rsidP="00EA32AB">
      <w:pPr>
        <w:shd w:val="clear" w:color="auto" w:fill="FFFFFF"/>
        <w:jc w:val="both"/>
        <w:rPr>
          <w:rFonts w:cs="Arial"/>
          <w:color w:val="000000"/>
        </w:rPr>
      </w:pPr>
      <w:r w:rsidRPr="00440246">
        <w:rPr>
          <w:rFonts w:cs="Arial"/>
          <w:i/>
          <w:iCs/>
          <w:color w:val="000000"/>
          <w:u w:val="single"/>
        </w:rPr>
        <w:t>Option 2b) – Amend must offer and must carry</w:t>
      </w:r>
    </w:p>
    <w:p w14:paraId="5C8F94AD" w14:textId="77777777" w:rsidR="00EA32AB" w:rsidRPr="00440246" w:rsidRDefault="00EA32AB" w:rsidP="00EA32AB">
      <w:pPr>
        <w:shd w:val="clear" w:color="auto" w:fill="FFFFFF"/>
        <w:jc w:val="both"/>
        <w:rPr>
          <w:rFonts w:cs="Arial"/>
          <w:color w:val="000000"/>
        </w:rPr>
      </w:pPr>
      <w:r w:rsidRPr="00440246">
        <w:rPr>
          <w:rFonts w:cs="Arial"/>
          <w:b/>
          <w:bCs/>
          <w:color w:val="000000"/>
        </w:rPr>
        <w:t> </w:t>
      </w:r>
    </w:p>
    <w:p w14:paraId="0B47958E" w14:textId="33482A20" w:rsidR="00EA32AB" w:rsidRPr="00440246" w:rsidRDefault="00EA32AB" w:rsidP="00EA32AB">
      <w:pPr>
        <w:shd w:val="clear" w:color="auto" w:fill="FFFFFF"/>
        <w:jc w:val="both"/>
        <w:rPr>
          <w:rFonts w:cs="Arial"/>
          <w:color w:val="000000"/>
        </w:rPr>
      </w:pPr>
      <w:r w:rsidRPr="00440246">
        <w:rPr>
          <w:rFonts w:cs="Arial"/>
          <w:color w:val="000000"/>
        </w:rPr>
        <w:t>Current must offer legislation already requires that PSBs offer their channels ‘subject to agreeing terms’.  Under this option, Government could legislate to make clear that must offer and must carry obligations are only applicable in the case where a ‘commercially reasonable’ offer has been made, and the second party refuses to accept this proposal.  This option would include the specification of an arbitration system – similar to the alre</w:t>
      </w:r>
      <w:r w:rsidR="005F33F8">
        <w:rPr>
          <w:rFonts w:cs="Arial"/>
          <w:color w:val="000000"/>
        </w:rPr>
        <w:t>ady existing TPS system on Sky</w:t>
      </w:r>
      <w:r w:rsidRPr="00440246">
        <w:rPr>
          <w:rFonts w:cs="Arial"/>
          <w:color w:val="000000"/>
        </w:rPr>
        <w:t>, which would be administered by Ofcom in the case that agreement over what would constitute a reasonable offer could not be reached. </w:t>
      </w:r>
    </w:p>
    <w:p w14:paraId="64D6FCF5" w14:textId="05D551DB" w:rsidR="00917AD0" w:rsidRPr="007D2BF8" w:rsidRDefault="00917AD0" w:rsidP="00DA7606">
      <w:pPr>
        <w:jc w:val="both"/>
      </w:pPr>
    </w:p>
    <w:p w14:paraId="26B32D08" w14:textId="77777777" w:rsidR="00B57869" w:rsidRPr="007D2BF8" w:rsidRDefault="00B57869" w:rsidP="00DA7606">
      <w:pPr>
        <w:jc w:val="both"/>
        <w:rPr>
          <w:b/>
          <w:u w:val="single"/>
        </w:rPr>
      </w:pPr>
    </w:p>
    <w:p w14:paraId="42D34035" w14:textId="1BC0B93D" w:rsidR="00DA7606" w:rsidRPr="007D2BF8" w:rsidRDefault="0059521E" w:rsidP="00DA7606">
      <w:pPr>
        <w:jc w:val="both"/>
        <w:rPr>
          <w:b/>
          <w:u w:val="single"/>
        </w:rPr>
      </w:pPr>
      <w:r>
        <w:rPr>
          <w:b/>
          <w:u w:val="single"/>
        </w:rPr>
        <w:t xml:space="preserve">2.3 </w:t>
      </w:r>
      <w:r w:rsidR="00871D14">
        <w:rPr>
          <w:b/>
          <w:u w:val="single"/>
        </w:rPr>
        <w:t>Option 3: The future regulation of EPGs</w:t>
      </w:r>
    </w:p>
    <w:p w14:paraId="7F18D83D" w14:textId="77777777" w:rsidR="00BF70C1" w:rsidRDefault="00BF70C1" w:rsidP="00DA7606">
      <w:pPr>
        <w:pStyle w:val="EBNumber"/>
        <w:tabs>
          <w:tab w:val="clear" w:pos="425"/>
        </w:tabs>
        <w:spacing w:after="0"/>
        <w:ind w:left="0" w:firstLine="0"/>
        <w:jc w:val="both"/>
        <w:rPr>
          <w:rFonts w:cs="Times New Roman"/>
          <w:b/>
          <w:bCs w:val="0"/>
          <w:color w:val="auto"/>
          <w:sz w:val="24"/>
          <w:szCs w:val="24"/>
          <w:lang w:eastAsia="en-US"/>
        </w:rPr>
      </w:pPr>
    </w:p>
    <w:p w14:paraId="0838E77B" w14:textId="0E7B9D4D" w:rsidR="00871D14" w:rsidRDefault="00871D14" w:rsidP="00DA7606">
      <w:pPr>
        <w:pStyle w:val="EBNumber"/>
        <w:tabs>
          <w:tab w:val="clear" w:pos="425"/>
        </w:tabs>
        <w:spacing w:after="0"/>
        <w:ind w:left="0" w:firstLine="0"/>
        <w:jc w:val="both"/>
        <w:rPr>
          <w:rFonts w:cs="Times New Roman"/>
          <w:bCs w:val="0"/>
          <w:color w:val="auto"/>
          <w:sz w:val="24"/>
          <w:szCs w:val="24"/>
          <w:u w:val="single"/>
          <w:lang w:eastAsia="en-US"/>
        </w:rPr>
      </w:pPr>
      <w:r>
        <w:rPr>
          <w:rFonts w:cs="Times New Roman"/>
          <w:bCs w:val="0"/>
          <w:color w:val="auto"/>
          <w:sz w:val="24"/>
          <w:szCs w:val="24"/>
          <w:u w:val="single"/>
          <w:lang w:eastAsia="en-US"/>
        </w:rPr>
        <w:t>Option 3a): Strengthen</w:t>
      </w:r>
      <w:r w:rsidR="007627B7">
        <w:rPr>
          <w:rFonts w:cs="Times New Roman"/>
          <w:bCs w:val="0"/>
          <w:color w:val="auto"/>
          <w:sz w:val="24"/>
          <w:szCs w:val="24"/>
          <w:u w:val="single"/>
          <w:lang w:eastAsia="en-US"/>
        </w:rPr>
        <w:t xml:space="preserve"> the EPG regime to make it more resilient to technology change</w:t>
      </w:r>
    </w:p>
    <w:p w14:paraId="70913A6F" w14:textId="77777777" w:rsidR="007627B7" w:rsidRDefault="007627B7" w:rsidP="00DA7606">
      <w:pPr>
        <w:pStyle w:val="EBNumber"/>
        <w:tabs>
          <w:tab w:val="clear" w:pos="425"/>
        </w:tabs>
        <w:spacing w:after="0"/>
        <w:ind w:left="0" w:firstLine="0"/>
        <w:jc w:val="both"/>
        <w:rPr>
          <w:rFonts w:cs="Times New Roman"/>
          <w:bCs w:val="0"/>
          <w:color w:val="auto"/>
          <w:sz w:val="24"/>
          <w:szCs w:val="24"/>
          <w:u w:val="single"/>
          <w:lang w:eastAsia="en-US"/>
        </w:rPr>
      </w:pPr>
    </w:p>
    <w:p w14:paraId="04BDADB9" w14:textId="6DE2FE8D" w:rsidR="005414E8" w:rsidRDefault="004C7F58" w:rsidP="005414E8">
      <w:pPr>
        <w:pStyle w:val="EBNumber"/>
        <w:tabs>
          <w:tab w:val="clear" w:pos="425"/>
        </w:tabs>
        <w:spacing w:after="0"/>
        <w:ind w:left="0" w:firstLine="0"/>
        <w:jc w:val="both"/>
        <w:rPr>
          <w:color w:val="auto"/>
          <w:sz w:val="24"/>
        </w:rPr>
      </w:pPr>
      <w:r>
        <w:rPr>
          <w:color w:val="auto"/>
          <w:sz w:val="24"/>
        </w:rPr>
        <w:t xml:space="preserve">The </w:t>
      </w:r>
      <w:r w:rsidR="009D3039">
        <w:rPr>
          <w:color w:val="auto"/>
          <w:sz w:val="24"/>
        </w:rPr>
        <w:t xml:space="preserve">existing EPG </w:t>
      </w:r>
      <w:r w:rsidR="009D3039" w:rsidRPr="00BD0111">
        <w:rPr>
          <w:color w:val="auto"/>
          <w:sz w:val="24"/>
        </w:rPr>
        <w:t xml:space="preserve">regulations </w:t>
      </w:r>
      <w:r>
        <w:rPr>
          <w:color w:val="auto"/>
          <w:sz w:val="24"/>
        </w:rPr>
        <w:t>were developed in 2003 to ensure that PSB services remained prominent as television migrated from an</w:t>
      </w:r>
      <w:r w:rsidR="005414E8">
        <w:rPr>
          <w:color w:val="auto"/>
          <w:sz w:val="24"/>
        </w:rPr>
        <w:t xml:space="preserve">alogue to digital. The evolution of television since then and the emergence of </w:t>
      </w:r>
      <w:r w:rsidR="00945DAC">
        <w:rPr>
          <w:color w:val="auto"/>
          <w:sz w:val="24"/>
        </w:rPr>
        <w:t>s</w:t>
      </w:r>
      <w:r w:rsidR="005414E8">
        <w:rPr>
          <w:color w:val="auto"/>
          <w:sz w:val="24"/>
        </w:rPr>
        <w:t xml:space="preserve">mart TVs controlled by increasingly sophisticated interfaces </w:t>
      </w:r>
      <w:r w:rsidR="009D3039" w:rsidRPr="00BD0111">
        <w:rPr>
          <w:color w:val="auto"/>
          <w:sz w:val="24"/>
        </w:rPr>
        <w:t xml:space="preserve">will over time </w:t>
      </w:r>
      <w:r w:rsidR="005414E8">
        <w:rPr>
          <w:color w:val="auto"/>
          <w:sz w:val="24"/>
        </w:rPr>
        <w:t xml:space="preserve">make these </w:t>
      </w:r>
      <w:r w:rsidR="009D3039" w:rsidRPr="00BD0111">
        <w:rPr>
          <w:color w:val="auto"/>
          <w:sz w:val="24"/>
        </w:rPr>
        <w:t>increasingly irrelevan</w:t>
      </w:r>
      <w:r w:rsidR="009D3039">
        <w:rPr>
          <w:color w:val="auto"/>
          <w:sz w:val="24"/>
        </w:rPr>
        <w:t xml:space="preserve">t. </w:t>
      </w:r>
      <w:r w:rsidR="005414E8">
        <w:rPr>
          <w:color w:val="auto"/>
          <w:sz w:val="24"/>
        </w:rPr>
        <w:t xml:space="preserve">Indeed platforms and other services </w:t>
      </w:r>
      <w:r w:rsidR="009D3039" w:rsidRPr="00BD0111">
        <w:rPr>
          <w:color w:val="auto"/>
          <w:sz w:val="24"/>
        </w:rPr>
        <w:t>providing programme listings and access to content may, for finan</w:t>
      </w:r>
      <w:r w:rsidR="009D3039">
        <w:rPr>
          <w:color w:val="auto"/>
          <w:sz w:val="24"/>
        </w:rPr>
        <w:t xml:space="preserve">cial reasons, choose to promote </w:t>
      </w:r>
      <w:r w:rsidR="009D3039" w:rsidRPr="00BD0111">
        <w:rPr>
          <w:color w:val="auto"/>
          <w:sz w:val="24"/>
        </w:rPr>
        <w:t xml:space="preserve">other TV ahead of PSB content. This </w:t>
      </w:r>
      <w:r w:rsidR="005414E8">
        <w:rPr>
          <w:color w:val="auto"/>
          <w:sz w:val="24"/>
        </w:rPr>
        <w:t>c</w:t>
      </w:r>
      <w:r w:rsidR="009D3039" w:rsidRPr="00BD0111">
        <w:rPr>
          <w:color w:val="auto"/>
          <w:sz w:val="24"/>
        </w:rPr>
        <w:t xml:space="preserve">ould lead to PSB content being less </w:t>
      </w:r>
      <w:r w:rsidR="009D3039">
        <w:rPr>
          <w:color w:val="auto"/>
          <w:sz w:val="24"/>
        </w:rPr>
        <w:t xml:space="preserve">discoverable and therefore less </w:t>
      </w:r>
      <w:r w:rsidR="009D3039" w:rsidRPr="00BD0111">
        <w:rPr>
          <w:color w:val="auto"/>
          <w:sz w:val="24"/>
        </w:rPr>
        <w:t xml:space="preserve">frequently watched than at present. </w:t>
      </w:r>
    </w:p>
    <w:p w14:paraId="4EB4DA09" w14:textId="77777777" w:rsidR="005414E8" w:rsidRDefault="005414E8" w:rsidP="005414E8">
      <w:pPr>
        <w:pStyle w:val="EBNumber"/>
        <w:tabs>
          <w:tab w:val="clear" w:pos="425"/>
        </w:tabs>
        <w:spacing w:after="0"/>
        <w:ind w:left="0" w:firstLine="0"/>
        <w:jc w:val="both"/>
        <w:rPr>
          <w:color w:val="auto"/>
          <w:sz w:val="24"/>
        </w:rPr>
      </w:pPr>
    </w:p>
    <w:p w14:paraId="6CC95866" w14:textId="2CF3546F" w:rsidR="005414E8" w:rsidRDefault="009D3039" w:rsidP="005414E8">
      <w:pPr>
        <w:pStyle w:val="EBNumber"/>
        <w:tabs>
          <w:tab w:val="clear" w:pos="425"/>
        </w:tabs>
        <w:spacing w:after="0"/>
        <w:ind w:left="0" w:firstLine="0"/>
        <w:jc w:val="both"/>
        <w:rPr>
          <w:color w:val="auto"/>
          <w:sz w:val="24"/>
        </w:rPr>
      </w:pPr>
      <w:r w:rsidRPr="00BD0111">
        <w:rPr>
          <w:color w:val="auto"/>
          <w:sz w:val="24"/>
        </w:rPr>
        <w:t>As set out in the benefits section we estimat</w:t>
      </w:r>
      <w:r>
        <w:rPr>
          <w:color w:val="auto"/>
          <w:sz w:val="24"/>
        </w:rPr>
        <w:t>e that the prominence reduction</w:t>
      </w:r>
      <w:r w:rsidR="00CB037F">
        <w:rPr>
          <w:color w:val="auto"/>
          <w:sz w:val="24"/>
        </w:rPr>
        <w:t>, in terms of volume of viewers switching to alternative systems,</w:t>
      </w:r>
      <w:r>
        <w:rPr>
          <w:color w:val="auto"/>
          <w:sz w:val="24"/>
        </w:rPr>
        <w:t xml:space="preserve"> </w:t>
      </w:r>
      <w:r w:rsidR="00CB037F">
        <w:rPr>
          <w:color w:val="auto"/>
          <w:sz w:val="24"/>
        </w:rPr>
        <w:t>could</w:t>
      </w:r>
      <w:r w:rsidRPr="00BD0111">
        <w:rPr>
          <w:color w:val="auto"/>
          <w:sz w:val="24"/>
        </w:rPr>
        <w:t xml:space="preserve"> be around 30% over the next decade.</w:t>
      </w:r>
      <w:r w:rsidR="005414E8">
        <w:rPr>
          <w:color w:val="auto"/>
          <w:sz w:val="24"/>
        </w:rPr>
        <w:t xml:space="preserve"> </w:t>
      </w:r>
      <w:r w:rsidRPr="00BD0111">
        <w:rPr>
          <w:color w:val="auto"/>
          <w:sz w:val="24"/>
        </w:rPr>
        <w:t xml:space="preserve">This </w:t>
      </w:r>
      <w:r w:rsidR="005414E8">
        <w:rPr>
          <w:color w:val="auto"/>
          <w:sz w:val="24"/>
        </w:rPr>
        <w:t xml:space="preserve">would be a </w:t>
      </w:r>
      <w:r w:rsidRPr="00BD0111">
        <w:rPr>
          <w:color w:val="auto"/>
          <w:sz w:val="24"/>
        </w:rPr>
        <w:t>substantial reduction in p</w:t>
      </w:r>
      <w:r>
        <w:rPr>
          <w:color w:val="auto"/>
          <w:sz w:val="24"/>
        </w:rPr>
        <w:t xml:space="preserve">rominence, and as such we would </w:t>
      </w:r>
      <w:r w:rsidRPr="00BD0111">
        <w:rPr>
          <w:color w:val="auto"/>
          <w:sz w:val="24"/>
        </w:rPr>
        <w:t>expect the change to reflect other recent losses in prominence with a</w:t>
      </w:r>
      <w:r>
        <w:rPr>
          <w:color w:val="auto"/>
          <w:sz w:val="24"/>
        </w:rPr>
        <w:t>n equivalent</w:t>
      </w:r>
      <w:r w:rsidRPr="00BD0111">
        <w:rPr>
          <w:color w:val="auto"/>
          <w:sz w:val="24"/>
        </w:rPr>
        <w:t xml:space="preserve"> negative i</w:t>
      </w:r>
      <w:r>
        <w:rPr>
          <w:color w:val="auto"/>
          <w:sz w:val="24"/>
        </w:rPr>
        <w:t>mpact on viewing figures</w:t>
      </w:r>
      <w:r w:rsidRPr="00BD0111">
        <w:rPr>
          <w:color w:val="auto"/>
          <w:sz w:val="24"/>
        </w:rPr>
        <w:t xml:space="preserve">. </w:t>
      </w:r>
    </w:p>
    <w:p w14:paraId="5B1402D5" w14:textId="77777777" w:rsidR="005414E8" w:rsidRDefault="005414E8" w:rsidP="005414E8">
      <w:pPr>
        <w:pStyle w:val="EBNumber"/>
        <w:tabs>
          <w:tab w:val="clear" w:pos="425"/>
        </w:tabs>
        <w:spacing w:after="0"/>
        <w:ind w:left="0" w:firstLine="0"/>
        <w:jc w:val="both"/>
        <w:rPr>
          <w:color w:val="auto"/>
          <w:sz w:val="24"/>
        </w:rPr>
      </w:pPr>
    </w:p>
    <w:p w14:paraId="2947FF5C" w14:textId="5EFB7662" w:rsidR="009D3039" w:rsidRDefault="005414E8" w:rsidP="005414E8">
      <w:pPr>
        <w:pStyle w:val="EBNumber"/>
        <w:tabs>
          <w:tab w:val="clear" w:pos="425"/>
        </w:tabs>
        <w:spacing w:after="0"/>
        <w:ind w:left="0" w:firstLine="0"/>
        <w:jc w:val="both"/>
        <w:rPr>
          <w:color w:val="auto"/>
          <w:sz w:val="24"/>
        </w:rPr>
      </w:pPr>
      <w:r>
        <w:rPr>
          <w:color w:val="auto"/>
          <w:sz w:val="24"/>
        </w:rPr>
        <w:t>T</w:t>
      </w:r>
      <w:r w:rsidR="009D3039" w:rsidRPr="00BD0111">
        <w:rPr>
          <w:color w:val="auto"/>
          <w:sz w:val="24"/>
        </w:rPr>
        <w:t>h</w:t>
      </w:r>
      <w:r>
        <w:rPr>
          <w:color w:val="auto"/>
          <w:sz w:val="24"/>
        </w:rPr>
        <w:t>e</w:t>
      </w:r>
      <w:r w:rsidR="009D3039" w:rsidRPr="00BD0111">
        <w:rPr>
          <w:color w:val="auto"/>
          <w:sz w:val="24"/>
        </w:rPr>
        <w:t xml:space="preserve"> reduction in viewing figures </w:t>
      </w:r>
      <w:r>
        <w:rPr>
          <w:color w:val="auto"/>
          <w:sz w:val="24"/>
        </w:rPr>
        <w:t xml:space="preserve">resulting from less prominence (rather than other reasons) </w:t>
      </w:r>
      <w:r w:rsidR="009D3039" w:rsidRPr="00BD0111">
        <w:rPr>
          <w:color w:val="auto"/>
          <w:sz w:val="24"/>
        </w:rPr>
        <w:t xml:space="preserve">will not only reduce the prevalence of </w:t>
      </w:r>
      <w:r w:rsidR="005F33F8">
        <w:rPr>
          <w:color w:val="auto"/>
          <w:sz w:val="24"/>
        </w:rPr>
        <w:t>PSB</w:t>
      </w:r>
      <w:r w:rsidR="009D3039">
        <w:rPr>
          <w:color w:val="auto"/>
          <w:sz w:val="24"/>
        </w:rPr>
        <w:t xml:space="preserve">, but will also have a </w:t>
      </w:r>
      <w:r w:rsidR="009D3039" w:rsidRPr="00BD0111">
        <w:rPr>
          <w:color w:val="auto"/>
          <w:sz w:val="24"/>
        </w:rPr>
        <w:t>knock on effect which, particularly for commercial PSBs, could be s</w:t>
      </w:r>
      <w:r w:rsidR="00086FE3">
        <w:rPr>
          <w:color w:val="auto"/>
          <w:sz w:val="24"/>
        </w:rPr>
        <w:t>ignificant</w:t>
      </w:r>
      <w:r w:rsidR="009D3039" w:rsidRPr="00BD0111">
        <w:rPr>
          <w:color w:val="auto"/>
          <w:sz w:val="24"/>
        </w:rPr>
        <w:t>. This is because</w:t>
      </w:r>
      <w:r w:rsidR="00086FE3">
        <w:rPr>
          <w:color w:val="auto"/>
          <w:sz w:val="24"/>
        </w:rPr>
        <w:t xml:space="preserve">, other things being equal, revenues derived from PSB licenses will be squeezed making it harder </w:t>
      </w:r>
      <w:r w:rsidR="000239B5">
        <w:rPr>
          <w:color w:val="auto"/>
          <w:sz w:val="24"/>
        </w:rPr>
        <w:t xml:space="preserve">for them </w:t>
      </w:r>
      <w:r w:rsidR="00086FE3">
        <w:rPr>
          <w:color w:val="auto"/>
          <w:sz w:val="24"/>
        </w:rPr>
        <w:t>to justify the funding p</w:t>
      </w:r>
      <w:r w:rsidR="009D3039" w:rsidRPr="00BD0111">
        <w:rPr>
          <w:color w:val="auto"/>
          <w:sz w:val="24"/>
        </w:rPr>
        <w:t xml:space="preserve">ublic </w:t>
      </w:r>
      <w:r w:rsidR="00086FE3">
        <w:rPr>
          <w:color w:val="auto"/>
          <w:sz w:val="24"/>
        </w:rPr>
        <w:t>s</w:t>
      </w:r>
      <w:r w:rsidR="009D3039" w:rsidRPr="00BD0111">
        <w:rPr>
          <w:color w:val="auto"/>
          <w:sz w:val="24"/>
        </w:rPr>
        <w:t xml:space="preserve">ervice content, in areas </w:t>
      </w:r>
      <w:r w:rsidR="009D3039">
        <w:rPr>
          <w:color w:val="auto"/>
          <w:sz w:val="24"/>
        </w:rPr>
        <w:t xml:space="preserve">such as children’s programming, </w:t>
      </w:r>
      <w:r w:rsidR="009D3039" w:rsidRPr="00BD0111">
        <w:rPr>
          <w:color w:val="auto"/>
          <w:sz w:val="24"/>
        </w:rPr>
        <w:t>regional news and programming and independent production if their advertisin</w:t>
      </w:r>
      <w:r w:rsidR="009D3039">
        <w:rPr>
          <w:color w:val="auto"/>
          <w:sz w:val="24"/>
        </w:rPr>
        <w:t xml:space="preserve">g and sponsorship revenues come </w:t>
      </w:r>
      <w:r w:rsidR="009D3039" w:rsidRPr="00BD0111">
        <w:rPr>
          <w:color w:val="auto"/>
          <w:sz w:val="24"/>
        </w:rPr>
        <w:t>under downward pressure because of declining audiences. As a result, w</w:t>
      </w:r>
      <w:r w:rsidR="009D3039">
        <w:rPr>
          <w:color w:val="auto"/>
          <w:sz w:val="24"/>
        </w:rPr>
        <w:t xml:space="preserve">ithout intervention the current </w:t>
      </w:r>
      <w:r w:rsidR="009D3039" w:rsidRPr="00BD0111">
        <w:rPr>
          <w:color w:val="auto"/>
          <w:sz w:val="24"/>
        </w:rPr>
        <w:t xml:space="preserve">prominence regime may no longer </w:t>
      </w:r>
      <w:r w:rsidR="005F33F8">
        <w:rPr>
          <w:color w:val="auto"/>
          <w:sz w:val="24"/>
        </w:rPr>
        <w:t xml:space="preserve">support </w:t>
      </w:r>
      <w:r w:rsidR="00C35DEA">
        <w:rPr>
          <w:color w:val="auto"/>
          <w:sz w:val="24"/>
        </w:rPr>
        <w:t xml:space="preserve">wider </w:t>
      </w:r>
      <w:r w:rsidR="00C35DEA" w:rsidRPr="00BD0111">
        <w:rPr>
          <w:color w:val="auto"/>
          <w:sz w:val="24"/>
        </w:rPr>
        <w:t>public</w:t>
      </w:r>
      <w:r w:rsidR="009D3039" w:rsidRPr="00BD0111">
        <w:rPr>
          <w:color w:val="auto"/>
          <w:sz w:val="24"/>
        </w:rPr>
        <w:t xml:space="preserve"> policy aims</w:t>
      </w:r>
      <w:r w:rsidR="00086FE3">
        <w:rPr>
          <w:color w:val="auto"/>
          <w:sz w:val="24"/>
        </w:rPr>
        <w:t xml:space="preserve"> to maintain and strengthen PSBs</w:t>
      </w:r>
      <w:r w:rsidR="009D3039" w:rsidRPr="00BD0111">
        <w:rPr>
          <w:color w:val="auto"/>
          <w:sz w:val="24"/>
        </w:rPr>
        <w:t>.</w:t>
      </w:r>
      <w:r w:rsidR="00EC5D9E">
        <w:rPr>
          <w:color w:val="auto"/>
          <w:sz w:val="24"/>
        </w:rPr>
        <w:t xml:space="preserve">  Stren</w:t>
      </w:r>
      <w:r w:rsidR="005F33F8">
        <w:rPr>
          <w:color w:val="auto"/>
          <w:sz w:val="24"/>
        </w:rPr>
        <w:t>gthening the system at least for the</w:t>
      </w:r>
      <w:r w:rsidR="00EC5D9E">
        <w:rPr>
          <w:color w:val="auto"/>
          <w:sz w:val="24"/>
        </w:rPr>
        <w:t xml:space="preserve"> medium term is therefore our preferred option.</w:t>
      </w:r>
    </w:p>
    <w:p w14:paraId="4A1C3720" w14:textId="77777777" w:rsidR="009D3039" w:rsidRDefault="009D3039" w:rsidP="00DE0141">
      <w:pPr>
        <w:jc w:val="both"/>
      </w:pPr>
    </w:p>
    <w:p w14:paraId="6CE1486D" w14:textId="5146A3DC" w:rsidR="00DE0141" w:rsidRDefault="007627B7" w:rsidP="00DE0141">
      <w:pPr>
        <w:jc w:val="both"/>
      </w:pPr>
      <w:r w:rsidRPr="007627B7">
        <w:t xml:space="preserve">The Government is </w:t>
      </w:r>
      <w:r w:rsidR="00EC5D9E">
        <w:t xml:space="preserve">therefore </w:t>
      </w:r>
      <w:r w:rsidRPr="007627B7">
        <w:t>consult</w:t>
      </w:r>
      <w:r w:rsidR="00832F1F">
        <w:t>ing</w:t>
      </w:r>
      <w:r w:rsidRPr="007627B7">
        <w:t xml:space="preserve"> on redefining an EPG service so that it is brought up to dat</w:t>
      </w:r>
      <w:r>
        <w:t>e</w:t>
      </w:r>
      <w:r w:rsidRPr="007627B7">
        <w:t xml:space="preserve"> </w:t>
      </w:r>
      <w:r>
        <w:t xml:space="preserve">with recent </w:t>
      </w:r>
      <w:r w:rsidRPr="007627B7">
        <w:t>developments in TV technology and to give it the flexibility to adapt to future</w:t>
      </w:r>
      <w:r>
        <w:t xml:space="preserve"> technological developments. </w:t>
      </w:r>
      <w:r w:rsidR="00DE0141">
        <w:t xml:space="preserve">We </w:t>
      </w:r>
      <w:r w:rsidR="0008231F" w:rsidRPr="0088587A">
        <w:t xml:space="preserve">have identified </w:t>
      </w:r>
      <w:r w:rsidR="00DE0141">
        <w:t xml:space="preserve">three areas in the consultation where amendments could be made in order to maintain the current policy objective and ensure regulation remains fit-for-purpose: </w:t>
      </w:r>
    </w:p>
    <w:p w14:paraId="51FDEC24" w14:textId="77777777" w:rsidR="00086FE3" w:rsidRDefault="00086FE3" w:rsidP="00DE0141">
      <w:pPr>
        <w:jc w:val="both"/>
      </w:pPr>
    </w:p>
    <w:p w14:paraId="19A47EC7" w14:textId="77777777" w:rsidR="00DE0141" w:rsidRDefault="00DE0141" w:rsidP="00DE0141">
      <w:pPr>
        <w:jc w:val="both"/>
      </w:pPr>
      <w:r>
        <w:t xml:space="preserve">(1) amending the existing framework to be technology neutral, </w:t>
      </w:r>
    </w:p>
    <w:p w14:paraId="56A05176" w14:textId="52775861" w:rsidR="00DE0141" w:rsidRDefault="000E11ED" w:rsidP="00DE0141">
      <w:pPr>
        <w:jc w:val="both"/>
      </w:pPr>
      <w:r>
        <w:t>(2) including Vo</w:t>
      </w:r>
      <w:r w:rsidR="00DE0141">
        <w:t xml:space="preserve">D content where this is part of a package offered </w:t>
      </w:r>
      <w:r w:rsidR="005F33F8">
        <w:t>alongside broadcast content</w:t>
      </w:r>
      <w:r w:rsidR="00DE0141">
        <w:t xml:space="preserve">; </w:t>
      </w:r>
    </w:p>
    <w:p w14:paraId="4C1169B6" w14:textId="228E5D93" w:rsidR="00DE0141" w:rsidRDefault="00DE0141" w:rsidP="00DE0141">
      <w:pPr>
        <w:jc w:val="both"/>
      </w:pPr>
      <w:r>
        <w:t>(3) integrating technologically advanced services (e.g. HD services) into the existing framework.</w:t>
      </w:r>
    </w:p>
    <w:p w14:paraId="5B9FF95E" w14:textId="77777777" w:rsidR="00DE0141" w:rsidRDefault="00DE0141" w:rsidP="00DE0141">
      <w:pPr>
        <w:jc w:val="both"/>
      </w:pPr>
    </w:p>
    <w:p w14:paraId="001232C5" w14:textId="116B839D" w:rsidR="00DE0141" w:rsidRDefault="00DE0141" w:rsidP="00DE0141">
      <w:pPr>
        <w:rPr>
          <w:rFonts w:cs="Arial"/>
          <w:i/>
          <w:u w:val="single"/>
        </w:rPr>
      </w:pPr>
      <w:r w:rsidRPr="000147E1">
        <w:rPr>
          <w:rFonts w:cs="Arial"/>
          <w:i/>
          <w:u w:val="single"/>
        </w:rPr>
        <w:t>Creating a technology neutral framework</w:t>
      </w:r>
    </w:p>
    <w:p w14:paraId="55326C08" w14:textId="7556237D" w:rsidR="00DE0141" w:rsidRDefault="0008231F" w:rsidP="00DE0141">
      <w:pPr>
        <w:tabs>
          <w:tab w:val="left" w:pos="142"/>
        </w:tabs>
        <w:rPr>
          <w:bCs/>
        </w:rPr>
      </w:pPr>
      <w:r>
        <w:rPr>
          <w:bCs/>
        </w:rPr>
        <w:t xml:space="preserve">At present we capture only </w:t>
      </w:r>
      <w:r w:rsidR="00C35DEA">
        <w:rPr>
          <w:bCs/>
        </w:rPr>
        <w:t>EPGs, which</w:t>
      </w:r>
      <w:r>
        <w:rPr>
          <w:bCs/>
        </w:rPr>
        <w:t xml:space="preserve"> take their information from a broadcast data stream, but in the converged media environment we are aware that some services providing materially the same function as broadcast EPGs, are underpinned partly or completely by data transmitted </w:t>
      </w:r>
      <w:r>
        <w:rPr>
          <w:bCs/>
        </w:rPr>
        <w:lastRenderedPageBreak/>
        <w:t xml:space="preserve">via the internet (e.g. on the Virgin TiVo EPG or TV-CatchUp). In order to remain technology neutral, this option would extend prominence to apply regardless of how the information underpinning an EPG services is communicated. </w:t>
      </w:r>
      <w:r w:rsidR="00DE0141">
        <w:rPr>
          <w:bCs/>
        </w:rPr>
        <w:t xml:space="preserve"> </w:t>
      </w:r>
    </w:p>
    <w:p w14:paraId="0EC26579" w14:textId="77777777" w:rsidR="00CC70E0" w:rsidRDefault="00CC70E0" w:rsidP="00DE0141">
      <w:pPr>
        <w:tabs>
          <w:tab w:val="left" w:pos="142"/>
        </w:tabs>
        <w:rPr>
          <w:bCs/>
        </w:rPr>
      </w:pPr>
    </w:p>
    <w:p w14:paraId="776FCAEB" w14:textId="120732A1" w:rsidR="00CC70E0" w:rsidRPr="000147E1" w:rsidRDefault="00CC70E0" w:rsidP="00CC70E0">
      <w:pPr>
        <w:tabs>
          <w:tab w:val="left" w:pos="142"/>
        </w:tabs>
        <w:rPr>
          <w:bCs/>
          <w:i/>
          <w:u w:val="single"/>
        </w:rPr>
      </w:pPr>
      <w:r w:rsidRPr="000147E1">
        <w:rPr>
          <w:bCs/>
          <w:i/>
          <w:u w:val="single"/>
        </w:rPr>
        <w:t xml:space="preserve">Including video-on-demand content </w:t>
      </w:r>
    </w:p>
    <w:p w14:paraId="16C8A3B1" w14:textId="1F858D02" w:rsidR="00CC70E0" w:rsidRDefault="00B71817" w:rsidP="00CC70E0">
      <w:pPr>
        <w:tabs>
          <w:tab w:val="left" w:pos="142"/>
        </w:tabs>
        <w:rPr>
          <w:rFonts w:cs="Arial"/>
          <w:szCs w:val="20"/>
        </w:rPr>
      </w:pPr>
      <w:r>
        <w:rPr>
          <w:rFonts w:cs="Arial"/>
          <w:szCs w:val="20"/>
        </w:rPr>
        <w:t>Currently, the EPG definition only extends to live broadcast content. It is possible that content transmitted via the internet on-demand e.g. through services like iPlayer might not be as easily discoverable in the future. Currently, the PSB players (e.g. iPlayer</w:t>
      </w:r>
      <w:r w:rsidR="00C35DEA">
        <w:rPr>
          <w:rFonts w:cs="Arial"/>
          <w:szCs w:val="20"/>
        </w:rPr>
        <w:t>), which distribute VoD content,</w:t>
      </w:r>
      <w:r>
        <w:rPr>
          <w:rFonts w:cs="Arial"/>
          <w:szCs w:val="20"/>
        </w:rPr>
        <w:t xml:space="preserve"> are </w:t>
      </w:r>
      <w:r w:rsidR="000239B5">
        <w:rPr>
          <w:rFonts w:cs="Arial"/>
          <w:szCs w:val="20"/>
        </w:rPr>
        <w:t xml:space="preserve">already </w:t>
      </w:r>
      <w:r>
        <w:rPr>
          <w:rFonts w:cs="Arial"/>
          <w:szCs w:val="20"/>
        </w:rPr>
        <w:t xml:space="preserve">prominent on the EPG-like listings of VoD players on the major </w:t>
      </w:r>
      <w:r w:rsidR="00C35DEA">
        <w:rPr>
          <w:rFonts w:cs="Arial"/>
          <w:szCs w:val="20"/>
        </w:rPr>
        <w:t>platforms;</w:t>
      </w:r>
      <w:r>
        <w:rPr>
          <w:rFonts w:cs="Arial"/>
          <w:szCs w:val="20"/>
        </w:rPr>
        <w:t xml:space="preserve"> this option would ensure this continues.</w:t>
      </w:r>
    </w:p>
    <w:p w14:paraId="52BB9AD0" w14:textId="77777777" w:rsidR="00CC70E0" w:rsidRDefault="00CC70E0" w:rsidP="00DE0141">
      <w:pPr>
        <w:tabs>
          <w:tab w:val="left" w:pos="142"/>
        </w:tabs>
        <w:rPr>
          <w:bCs/>
        </w:rPr>
      </w:pPr>
    </w:p>
    <w:p w14:paraId="763953F4" w14:textId="669610B8" w:rsidR="00CC70E0" w:rsidRPr="00E537F3" w:rsidRDefault="00CC70E0" w:rsidP="00CC70E0">
      <w:pPr>
        <w:jc w:val="both"/>
        <w:rPr>
          <w:i/>
          <w:u w:val="single"/>
        </w:rPr>
      </w:pPr>
      <w:r w:rsidRPr="00E537F3">
        <w:rPr>
          <w:i/>
          <w:u w:val="single"/>
        </w:rPr>
        <w:t xml:space="preserve">Integrating technologically advanced services </w:t>
      </w:r>
    </w:p>
    <w:p w14:paraId="657BA03C" w14:textId="77777777" w:rsidR="00086FE3" w:rsidRDefault="00B71817" w:rsidP="000147E1">
      <w:pPr>
        <w:rPr>
          <w:rFonts w:cs="Arial"/>
          <w:szCs w:val="20"/>
        </w:rPr>
      </w:pPr>
      <w:r w:rsidRPr="00A53BCA">
        <w:rPr>
          <w:rFonts w:cs="Arial"/>
          <w:szCs w:val="20"/>
        </w:rPr>
        <w:t>HD channels can either be accessed from within the main EPG</w:t>
      </w:r>
      <w:r>
        <w:rPr>
          <w:rFonts w:cs="Arial"/>
          <w:szCs w:val="20"/>
        </w:rPr>
        <w:t xml:space="preserve"> menu</w:t>
      </w:r>
      <w:r w:rsidRPr="00A53BCA">
        <w:rPr>
          <w:rFonts w:cs="Arial"/>
          <w:szCs w:val="20"/>
        </w:rPr>
        <w:t>, or from within an HD submenu. The prominence of PSB HD channels in both menus is variable</w:t>
      </w:r>
      <w:r>
        <w:rPr>
          <w:rFonts w:cs="Arial"/>
          <w:szCs w:val="20"/>
        </w:rPr>
        <w:t>, despite the fact that, for example, BBC 2 SD and BBC 2 HD are perfect simulcasts in offering exactly the same programmes</w:t>
      </w:r>
      <w:r w:rsidRPr="00A53BCA">
        <w:rPr>
          <w:rFonts w:cs="Arial"/>
          <w:szCs w:val="20"/>
        </w:rPr>
        <w:t xml:space="preserve">. </w:t>
      </w:r>
      <w:r>
        <w:rPr>
          <w:rFonts w:cs="Arial"/>
          <w:szCs w:val="20"/>
        </w:rPr>
        <w:t xml:space="preserve">We do not think that SD and HD services should be listed next to each other on the EPG but we do think that there should be a consumer friendly way of accessing PSB programmes in the best quality that the consumer’s TV-set can receive. </w:t>
      </w:r>
    </w:p>
    <w:p w14:paraId="044B8D16" w14:textId="77777777" w:rsidR="00086FE3" w:rsidRDefault="00086FE3" w:rsidP="000147E1">
      <w:pPr>
        <w:rPr>
          <w:rFonts w:cs="Arial"/>
          <w:szCs w:val="20"/>
        </w:rPr>
      </w:pPr>
    </w:p>
    <w:p w14:paraId="2A5F0CE7" w14:textId="1F2802F4" w:rsidR="007627B7" w:rsidRDefault="00086FE3" w:rsidP="00B66225">
      <w:r>
        <w:rPr>
          <w:rFonts w:cs="Arial"/>
          <w:szCs w:val="20"/>
        </w:rPr>
        <w:t xml:space="preserve">There is a possible </w:t>
      </w:r>
      <w:r w:rsidR="00B71817">
        <w:rPr>
          <w:rFonts w:cs="Arial"/>
          <w:szCs w:val="20"/>
        </w:rPr>
        <w:t xml:space="preserve">a technological solution: </w:t>
      </w:r>
      <w:r w:rsidR="00B71817" w:rsidRPr="00B52945">
        <w:rPr>
          <w:rFonts w:cs="Arial"/>
          <w:szCs w:val="20"/>
        </w:rPr>
        <w:t xml:space="preserve">HD channels </w:t>
      </w:r>
      <w:r w:rsidR="00B71817">
        <w:rPr>
          <w:rFonts w:cs="Arial"/>
          <w:szCs w:val="20"/>
        </w:rPr>
        <w:t>can swap into SD slots</w:t>
      </w:r>
      <w:r w:rsidR="00B71817" w:rsidRPr="00B52945">
        <w:rPr>
          <w:rFonts w:cs="Arial"/>
          <w:szCs w:val="20"/>
        </w:rPr>
        <w:t xml:space="preserve"> where a broadcaster offers</w:t>
      </w:r>
      <w:r w:rsidR="00B71817">
        <w:rPr>
          <w:rFonts w:cs="Arial"/>
          <w:szCs w:val="20"/>
        </w:rPr>
        <w:t xml:space="preserve"> their content in HD and the consumer has the technology to enjoy it.  Where the consumer’s TV set only receives content in SD quality that is what they will access from the same EPG listing. We believe EPG providers should ensure that the highest quality version of PSB content that the consumer can access – whether that’s HD or in future UHD - is available from the most prominent listing. Government is </w:t>
      </w:r>
      <w:r w:rsidR="00B71817" w:rsidRPr="00470B24">
        <w:rPr>
          <w:rFonts w:cs="Arial"/>
          <w:szCs w:val="20"/>
        </w:rPr>
        <w:t xml:space="preserve">aware that there are some services, such as BBC1, which are not perfect simulcasts </w:t>
      </w:r>
      <w:r w:rsidR="00B71817">
        <w:rPr>
          <w:rFonts w:cs="Arial"/>
          <w:szCs w:val="20"/>
        </w:rPr>
        <w:t xml:space="preserve">in SD and HD as they offer local news and local TV. If there is no feasible technological solution for accessing these channels or </w:t>
      </w:r>
      <w:r w:rsidR="00B71817" w:rsidRPr="00B5564C">
        <w:rPr>
          <w:rFonts w:cs="Arial"/>
          <w:szCs w:val="20"/>
        </w:rPr>
        <w:t>programmes in HD and SD from the same slot by the consumer an alternative solution is that Ofcom has the discretion to determine what appropriate prominence is in this case.</w:t>
      </w:r>
    </w:p>
    <w:p w14:paraId="45B5DC95" w14:textId="5D0613B2" w:rsidR="007627B7" w:rsidRDefault="007627B7">
      <w:pPr>
        <w:rPr>
          <w:b/>
          <w:sz w:val="22"/>
          <w:u w:val="single"/>
        </w:rPr>
      </w:pPr>
    </w:p>
    <w:p w14:paraId="3867E529" w14:textId="77777777" w:rsidR="007627B7" w:rsidRDefault="007627B7">
      <w:pPr>
        <w:rPr>
          <w:sz w:val="22"/>
          <w:u w:val="single"/>
        </w:rPr>
      </w:pPr>
      <w:r w:rsidRPr="007627B7">
        <w:rPr>
          <w:u w:val="single"/>
        </w:rPr>
        <w:t>Option 3b)</w:t>
      </w:r>
      <w:r>
        <w:rPr>
          <w:b/>
          <w:sz w:val="22"/>
          <w:u w:val="single"/>
        </w:rPr>
        <w:t>:</w:t>
      </w:r>
      <w:r>
        <w:rPr>
          <w:sz w:val="22"/>
          <w:u w:val="single"/>
        </w:rPr>
        <w:t xml:space="preserve"> Abolish the EPG prominence regime</w:t>
      </w:r>
    </w:p>
    <w:p w14:paraId="7F17BFA6" w14:textId="08100011" w:rsidR="00B958E3" w:rsidRDefault="00B958E3" w:rsidP="00B958E3">
      <w:pPr>
        <w:rPr>
          <w:sz w:val="22"/>
          <w:u w:val="single"/>
        </w:rPr>
      </w:pPr>
    </w:p>
    <w:p w14:paraId="79D21C82" w14:textId="0B278DF7" w:rsidR="009D3039" w:rsidRPr="00086FE3" w:rsidRDefault="00B958E3" w:rsidP="009D3039">
      <w:pPr>
        <w:pStyle w:val="EBNumber"/>
        <w:tabs>
          <w:tab w:val="clear" w:pos="425"/>
        </w:tabs>
        <w:spacing w:after="0"/>
        <w:ind w:left="0" w:firstLine="0"/>
        <w:jc w:val="both"/>
        <w:rPr>
          <w:b/>
          <w:color w:val="auto"/>
          <w:sz w:val="24"/>
          <w:szCs w:val="24"/>
        </w:rPr>
      </w:pPr>
      <w:r w:rsidRPr="00B66225">
        <w:rPr>
          <w:sz w:val="24"/>
          <w:szCs w:val="24"/>
        </w:rPr>
        <w:t>This option would remove the current requirement for EPG providers to offer appropri</w:t>
      </w:r>
      <w:r w:rsidR="00B34F1D" w:rsidRPr="00B66225">
        <w:rPr>
          <w:sz w:val="24"/>
          <w:szCs w:val="24"/>
        </w:rPr>
        <w:t>ate prominence to PSB channels, and allow those parties to negotiate over these EPG slots as they do with the PSB portfolio and commercial channels.</w:t>
      </w:r>
      <w:r w:rsidR="00DE0141" w:rsidRPr="00B66225">
        <w:rPr>
          <w:sz w:val="24"/>
          <w:szCs w:val="24"/>
        </w:rPr>
        <w:t xml:space="preserve"> </w:t>
      </w:r>
    </w:p>
    <w:p w14:paraId="71BBAE1A" w14:textId="77777777" w:rsidR="009D3039" w:rsidRPr="00C35DEA" w:rsidRDefault="009D3039" w:rsidP="009D3039">
      <w:pPr>
        <w:rPr>
          <w:rFonts w:cs="Arial"/>
        </w:rPr>
      </w:pPr>
    </w:p>
    <w:p w14:paraId="54754692" w14:textId="77777777" w:rsidR="009D3039" w:rsidRPr="00C35DEA" w:rsidRDefault="009D3039" w:rsidP="009D3039">
      <w:pPr>
        <w:pStyle w:val="EBNumber"/>
        <w:tabs>
          <w:tab w:val="clear" w:pos="425"/>
        </w:tabs>
        <w:spacing w:after="0"/>
        <w:ind w:left="0" w:firstLine="0"/>
        <w:jc w:val="both"/>
      </w:pPr>
      <w:r w:rsidRPr="00C35DEA">
        <w:rPr>
          <w:sz w:val="24"/>
          <w:szCs w:val="24"/>
        </w:rPr>
        <w:t>Rather than updating the existing regime for technical innovation, this option would recognise that the importance of traditional EPGs may be declining as TV viewing habits change, and that discovery may be being unnecessarily maintained at the cost of a more dynamic market in which non-PSB channels could more effectively compete with the commercial PSBs for audience share.</w:t>
      </w:r>
      <w:r w:rsidRPr="00C35DEA">
        <w:t xml:space="preserve"> </w:t>
      </w:r>
    </w:p>
    <w:p w14:paraId="3BD120EE" w14:textId="77777777" w:rsidR="009D3039" w:rsidRPr="00C35DEA" w:rsidRDefault="009D3039" w:rsidP="009D3039">
      <w:pPr>
        <w:pStyle w:val="EBNumber"/>
        <w:tabs>
          <w:tab w:val="clear" w:pos="425"/>
        </w:tabs>
        <w:spacing w:after="0"/>
        <w:ind w:left="0" w:firstLine="0"/>
        <w:jc w:val="both"/>
      </w:pPr>
    </w:p>
    <w:p w14:paraId="6A5D3D73" w14:textId="32EF9382" w:rsidR="00B958E3" w:rsidRDefault="009D3039" w:rsidP="00B958E3">
      <w:pPr>
        <w:rPr>
          <w:sz w:val="22"/>
          <w:u w:val="single"/>
        </w:rPr>
      </w:pPr>
      <w:r w:rsidRPr="00C35DEA">
        <w:rPr>
          <w:rFonts w:cs="Arial"/>
        </w:rPr>
        <w:t xml:space="preserve">We are seeking views if this deregulation would provide a productive route to ensure the best quality content is easily discoverable for viewers while also maximising investment and supporting a diverse, vibrant and healthy creative sector.  </w:t>
      </w:r>
    </w:p>
    <w:p w14:paraId="772C9970" w14:textId="4EE522EA" w:rsidR="00405C10" w:rsidRPr="007D2BF8" w:rsidRDefault="00405C10">
      <w:pPr>
        <w:rPr>
          <w:rFonts w:cs="Arial"/>
          <w:b/>
          <w:bCs/>
          <w:sz w:val="22"/>
          <w:szCs w:val="22"/>
          <w:u w:val="single"/>
          <w:lang w:eastAsia="en-GB"/>
        </w:rPr>
      </w:pPr>
      <w:r w:rsidRPr="007D2BF8">
        <w:rPr>
          <w:b/>
          <w:sz w:val="22"/>
          <w:u w:val="single"/>
        </w:rPr>
        <w:br w:type="page"/>
      </w:r>
    </w:p>
    <w:p w14:paraId="05075281" w14:textId="77777777" w:rsidR="00DA7606" w:rsidRPr="007D2BF8" w:rsidRDefault="00405C10">
      <w:pPr>
        <w:pStyle w:val="EBNumber"/>
        <w:tabs>
          <w:tab w:val="clear" w:pos="425"/>
        </w:tabs>
        <w:spacing w:after="0"/>
        <w:ind w:left="0" w:firstLine="0"/>
        <w:jc w:val="both"/>
        <w:rPr>
          <w:b/>
          <w:color w:val="auto"/>
          <w:sz w:val="28"/>
        </w:rPr>
      </w:pPr>
      <w:r w:rsidRPr="007D2BF8">
        <w:rPr>
          <w:b/>
          <w:color w:val="auto"/>
          <w:sz w:val="28"/>
        </w:rPr>
        <w:lastRenderedPageBreak/>
        <w:t>3. Analysis of Costs and Benefits</w:t>
      </w:r>
    </w:p>
    <w:p w14:paraId="04F4D93D" w14:textId="77777777" w:rsidR="00405C10" w:rsidRDefault="00405C10">
      <w:pPr>
        <w:pStyle w:val="EBNumber"/>
        <w:tabs>
          <w:tab w:val="clear" w:pos="425"/>
        </w:tabs>
        <w:spacing w:after="0"/>
        <w:ind w:left="0" w:firstLine="0"/>
        <w:jc w:val="both"/>
        <w:rPr>
          <w:b/>
          <w:color w:val="auto"/>
          <w:sz w:val="28"/>
        </w:rPr>
      </w:pPr>
    </w:p>
    <w:p w14:paraId="3A3A2A98" w14:textId="77777777" w:rsidR="00086FE3" w:rsidRDefault="00DB757B">
      <w:pPr>
        <w:pStyle w:val="EBNumber"/>
        <w:tabs>
          <w:tab w:val="clear" w:pos="425"/>
        </w:tabs>
        <w:spacing w:after="0"/>
        <w:ind w:left="0" w:firstLine="0"/>
        <w:jc w:val="both"/>
        <w:rPr>
          <w:color w:val="auto"/>
          <w:sz w:val="24"/>
        </w:rPr>
      </w:pPr>
      <w:r>
        <w:rPr>
          <w:color w:val="auto"/>
          <w:sz w:val="24"/>
        </w:rPr>
        <w:t xml:space="preserve">Due to the breadth of options covered, the lack of a preferred option </w:t>
      </w:r>
      <w:r w:rsidR="00086FE3">
        <w:rPr>
          <w:color w:val="auto"/>
          <w:sz w:val="24"/>
        </w:rPr>
        <w:t xml:space="preserve">(other than on s73) </w:t>
      </w:r>
      <w:r>
        <w:rPr>
          <w:color w:val="auto"/>
          <w:sz w:val="24"/>
        </w:rPr>
        <w:t xml:space="preserve">and the likelihood of a hybrid option adopted as a preferred option post consultation, the following assessment aims to focus </w:t>
      </w:r>
      <w:r w:rsidR="003869E5">
        <w:rPr>
          <w:color w:val="auto"/>
          <w:sz w:val="24"/>
        </w:rPr>
        <w:t xml:space="preserve">on first order impacts of the individual proposals included. </w:t>
      </w:r>
      <w:r w:rsidR="00DB7D0F">
        <w:rPr>
          <w:color w:val="auto"/>
          <w:sz w:val="24"/>
        </w:rPr>
        <w:t xml:space="preserve">The proposals largely impact on negotiations between different firms and therefore the impacts tend to be transfers between firms rather than a net impact on business. This impact on negotiations has been estimated where possible, and consideration has been given as to whether </w:t>
      </w:r>
      <w:r w:rsidR="003869E5">
        <w:rPr>
          <w:color w:val="auto"/>
          <w:sz w:val="24"/>
        </w:rPr>
        <w:t xml:space="preserve">increased costs and benefits to TV platforms or PSBs </w:t>
      </w:r>
      <w:r w:rsidR="00DB7D0F">
        <w:rPr>
          <w:color w:val="auto"/>
          <w:sz w:val="24"/>
        </w:rPr>
        <w:t xml:space="preserve">will be passed on </w:t>
      </w:r>
      <w:r w:rsidR="003869E5">
        <w:rPr>
          <w:color w:val="auto"/>
          <w:sz w:val="24"/>
        </w:rPr>
        <w:t xml:space="preserve">to consumers and production companies based in the UK. </w:t>
      </w:r>
    </w:p>
    <w:p w14:paraId="3CF2E662" w14:textId="77777777" w:rsidR="00086FE3" w:rsidRDefault="00086FE3">
      <w:pPr>
        <w:pStyle w:val="EBNumber"/>
        <w:tabs>
          <w:tab w:val="clear" w:pos="425"/>
        </w:tabs>
        <w:spacing w:after="0"/>
        <w:ind w:left="0" w:firstLine="0"/>
        <w:jc w:val="both"/>
        <w:rPr>
          <w:color w:val="auto"/>
          <w:sz w:val="24"/>
        </w:rPr>
      </w:pPr>
    </w:p>
    <w:p w14:paraId="733D2C03" w14:textId="512BFF66" w:rsidR="007E6D50" w:rsidRDefault="00DB7D0F" w:rsidP="007E6D50">
      <w:pPr>
        <w:pStyle w:val="EBNumber"/>
        <w:tabs>
          <w:tab w:val="clear" w:pos="425"/>
        </w:tabs>
        <w:spacing w:after="0"/>
        <w:ind w:left="0" w:firstLine="0"/>
        <w:jc w:val="both"/>
        <w:rPr>
          <w:color w:val="auto"/>
          <w:sz w:val="24"/>
        </w:rPr>
      </w:pPr>
      <w:r>
        <w:rPr>
          <w:color w:val="auto"/>
          <w:sz w:val="24"/>
        </w:rPr>
        <w:t>However, u</w:t>
      </w:r>
      <w:r w:rsidRPr="007D2BF8">
        <w:rPr>
          <w:color w:val="auto"/>
          <w:sz w:val="24"/>
        </w:rPr>
        <w:t>nder any new regime, the outcome of commercial negotiations between TV platforms and commercial PSBs will be subject to a variety of facto</w:t>
      </w:r>
      <w:r>
        <w:rPr>
          <w:color w:val="auto"/>
          <w:sz w:val="24"/>
        </w:rPr>
        <w:t>rs, many of which are not</w:t>
      </w:r>
      <w:r w:rsidRPr="007D2BF8">
        <w:rPr>
          <w:color w:val="auto"/>
          <w:sz w:val="24"/>
        </w:rPr>
        <w:t xml:space="preserve"> observable. Figures presented in this Impact Assessment should thus be regarded as illustrative of the magnitude of the impact different options could have on negotiations, rather than firm predictions of outcomes. Best estimates are thus presented within a relatively large range.</w:t>
      </w:r>
      <w:r w:rsidR="007E6D50">
        <w:rPr>
          <w:color w:val="auto"/>
          <w:sz w:val="24"/>
        </w:rPr>
        <w:t xml:space="preserve"> The final stage IA will be updated to take account of any new evidence gathered through consultation but due to the various layers of commercial relationships between the parties, there will always be limitations on the evidence and information that will be made available and this will be the case for a final stage IA. </w:t>
      </w:r>
    </w:p>
    <w:p w14:paraId="08B192D6" w14:textId="656BCA4F" w:rsidR="003869E5" w:rsidRDefault="003869E5">
      <w:pPr>
        <w:pStyle w:val="EBNumber"/>
        <w:tabs>
          <w:tab w:val="clear" w:pos="425"/>
        </w:tabs>
        <w:spacing w:after="0"/>
        <w:ind w:left="0" w:firstLine="0"/>
        <w:jc w:val="both"/>
        <w:rPr>
          <w:color w:val="auto"/>
          <w:sz w:val="24"/>
        </w:rPr>
      </w:pPr>
    </w:p>
    <w:p w14:paraId="7FF6EB7E" w14:textId="77777777" w:rsidR="00DB757B" w:rsidRPr="00DB757B" w:rsidRDefault="00DB757B">
      <w:pPr>
        <w:pStyle w:val="EBNumber"/>
        <w:tabs>
          <w:tab w:val="clear" w:pos="425"/>
        </w:tabs>
        <w:spacing w:after="0"/>
        <w:ind w:left="0" w:firstLine="0"/>
        <w:jc w:val="both"/>
        <w:rPr>
          <w:color w:val="auto"/>
          <w:sz w:val="24"/>
        </w:rPr>
      </w:pPr>
    </w:p>
    <w:p w14:paraId="6CD97EEF" w14:textId="1018A00C" w:rsidR="00BD0111" w:rsidRDefault="00BD0111" w:rsidP="00BD0111">
      <w:pPr>
        <w:pStyle w:val="EBNumber"/>
        <w:tabs>
          <w:tab w:val="clear" w:pos="425"/>
        </w:tabs>
        <w:spacing w:after="0"/>
        <w:ind w:left="0" w:firstLine="0"/>
        <w:jc w:val="both"/>
        <w:rPr>
          <w:b/>
          <w:color w:val="auto"/>
          <w:sz w:val="24"/>
          <w:u w:val="single"/>
        </w:rPr>
      </w:pPr>
      <w:r w:rsidRPr="00BD0111">
        <w:rPr>
          <w:b/>
          <w:bCs w:val="0"/>
          <w:color w:val="auto"/>
          <w:sz w:val="24"/>
          <w:u w:val="single"/>
        </w:rPr>
        <w:t>3.</w:t>
      </w:r>
      <w:r>
        <w:rPr>
          <w:b/>
          <w:color w:val="auto"/>
          <w:sz w:val="24"/>
          <w:u w:val="single"/>
        </w:rPr>
        <w:t xml:space="preserve">1 </w:t>
      </w:r>
      <w:r w:rsidR="0059521E">
        <w:rPr>
          <w:b/>
          <w:color w:val="auto"/>
          <w:sz w:val="24"/>
          <w:u w:val="single"/>
        </w:rPr>
        <w:t xml:space="preserve">Option 1: </w:t>
      </w:r>
      <w:r w:rsidRPr="00BD0111">
        <w:rPr>
          <w:b/>
          <w:color w:val="auto"/>
          <w:sz w:val="24"/>
          <w:u w:val="single"/>
        </w:rPr>
        <w:t>Abolition of Section 73</w:t>
      </w:r>
    </w:p>
    <w:p w14:paraId="2D55D1A4" w14:textId="77777777" w:rsidR="00BD0111" w:rsidRDefault="00BD0111" w:rsidP="00BD0111">
      <w:pPr>
        <w:pStyle w:val="EBNumber"/>
        <w:tabs>
          <w:tab w:val="clear" w:pos="425"/>
        </w:tabs>
        <w:spacing w:after="0"/>
        <w:ind w:left="0" w:firstLine="0"/>
        <w:jc w:val="both"/>
        <w:rPr>
          <w:b/>
          <w:color w:val="auto"/>
          <w:sz w:val="24"/>
          <w:u w:val="single"/>
        </w:rPr>
      </w:pPr>
    </w:p>
    <w:p w14:paraId="6A005674" w14:textId="563492E0" w:rsidR="00035E95" w:rsidRDefault="00BD0111">
      <w:pPr>
        <w:pStyle w:val="EBNumber"/>
        <w:tabs>
          <w:tab w:val="clear" w:pos="425"/>
        </w:tabs>
        <w:spacing w:after="0"/>
        <w:ind w:left="0" w:firstLine="0"/>
        <w:jc w:val="both"/>
        <w:rPr>
          <w:color w:val="auto"/>
          <w:sz w:val="24"/>
        </w:rPr>
      </w:pPr>
      <w:r w:rsidRPr="007D2BF8">
        <w:rPr>
          <w:color w:val="auto"/>
          <w:sz w:val="24"/>
        </w:rPr>
        <w:t xml:space="preserve">This option </w:t>
      </w:r>
      <w:r w:rsidR="00DB7D0F">
        <w:rPr>
          <w:color w:val="auto"/>
          <w:sz w:val="24"/>
        </w:rPr>
        <w:t xml:space="preserve">in itself </w:t>
      </w:r>
      <w:r w:rsidRPr="007D2BF8">
        <w:rPr>
          <w:color w:val="auto"/>
          <w:sz w:val="24"/>
        </w:rPr>
        <w:t xml:space="preserve">would leave must offer and must carry obligations in place and thus only lead to a minor change for negotiations between commercial PSBs and cable operators (i.e. Virgin). </w:t>
      </w:r>
      <w:r w:rsidR="00176845">
        <w:rPr>
          <w:color w:val="auto"/>
          <w:sz w:val="24"/>
        </w:rPr>
        <w:t xml:space="preserve">To carry out a detailed assessment of potential impacts we would ideally examine the copyright payments between different broadcasters and Virgin, but as this is commercial information it is not available. Currently </w:t>
      </w:r>
      <w:r w:rsidR="008E7DDD">
        <w:rPr>
          <w:color w:val="auto"/>
          <w:sz w:val="24"/>
        </w:rPr>
        <w:t xml:space="preserve">section 73 secures </w:t>
      </w:r>
      <w:r w:rsidR="00176845">
        <w:rPr>
          <w:color w:val="auto"/>
          <w:sz w:val="24"/>
        </w:rPr>
        <w:t xml:space="preserve">that zero payments are made between PSBs and Virgin, </w:t>
      </w:r>
      <w:r w:rsidR="008E7DDD">
        <w:rPr>
          <w:color w:val="auto"/>
          <w:sz w:val="24"/>
        </w:rPr>
        <w:t xml:space="preserve">and we are aware that through negotiations this is also the case for PSBs and Sky, </w:t>
      </w:r>
      <w:r w:rsidR="00FA1DBF">
        <w:rPr>
          <w:color w:val="auto"/>
          <w:sz w:val="24"/>
        </w:rPr>
        <w:t xml:space="preserve">although </w:t>
      </w:r>
      <w:r w:rsidR="008E7DDD">
        <w:rPr>
          <w:color w:val="auto"/>
          <w:sz w:val="24"/>
        </w:rPr>
        <w:t xml:space="preserve">we have no information what payments are made for </w:t>
      </w:r>
      <w:r w:rsidR="00176845">
        <w:rPr>
          <w:color w:val="auto"/>
          <w:sz w:val="24"/>
        </w:rPr>
        <w:t xml:space="preserve">PSBs portfolio channels (ITV2, E4, etc.). </w:t>
      </w:r>
    </w:p>
    <w:p w14:paraId="170A5457" w14:textId="77777777" w:rsidR="00035E95" w:rsidRDefault="00035E95">
      <w:pPr>
        <w:pStyle w:val="EBNumber"/>
        <w:tabs>
          <w:tab w:val="clear" w:pos="425"/>
        </w:tabs>
        <w:spacing w:after="0"/>
        <w:ind w:left="0" w:firstLine="0"/>
        <w:jc w:val="both"/>
        <w:rPr>
          <w:color w:val="auto"/>
          <w:sz w:val="24"/>
        </w:rPr>
      </w:pPr>
    </w:p>
    <w:p w14:paraId="7C48DD6C" w14:textId="04C14686" w:rsidR="00BD0111" w:rsidRDefault="00035E95">
      <w:pPr>
        <w:pStyle w:val="EBNumber"/>
        <w:tabs>
          <w:tab w:val="clear" w:pos="425"/>
        </w:tabs>
        <w:spacing w:after="0"/>
        <w:ind w:left="0" w:firstLine="0"/>
        <w:jc w:val="both"/>
        <w:rPr>
          <w:color w:val="auto"/>
          <w:sz w:val="24"/>
        </w:rPr>
      </w:pPr>
      <w:r>
        <w:rPr>
          <w:color w:val="auto"/>
          <w:sz w:val="24"/>
        </w:rPr>
        <w:t>In terms of cable providers</w:t>
      </w:r>
      <w:r w:rsidR="00BD0111" w:rsidRPr="007D2BF8">
        <w:rPr>
          <w:color w:val="auto"/>
          <w:sz w:val="24"/>
        </w:rPr>
        <w:t xml:space="preserve">, </w:t>
      </w:r>
      <w:r w:rsidR="00381227">
        <w:rPr>
          <w:color w:val="auto"/>
          <w:sz w:val="24"/>
        </w:rPr>
        <w:t xml:space="preserve">there could conceivably be a shift in negotiating power towards PSBs and therefore a transfer from Virgin to PSBs. Section 3.2.1 below provides analysis of the impact on negotiations of removing must offer and must carry negotiations and abolition of Section 73 could be modelled as an extension of this shift in negotiating power. </w:t>
      </w:r>
      <w:r w:rsidR="00FF055B">
        <w:rPr>
          <w:color w:val="auto"/>
          <w:sz w:val="24"/>
        </w:rPr>
        <w:t xml:space="preserve">There is a lack of evidence to inform this but illustratively we have considered a </w:t>
      </w:r>
      <w:r w:rsidR="00BD0111" w:rsidRPr="007D2BF8">
        <w:rPr>
          <w:color w:val="auto"/>
          <w:sz w:val="24"/>
        </w:rPr>
        <w:t>high estimate of a shift of 5% of the central estimate</w:t>
      </w:r>
      <w:r w:rsidR="0059521E">
        <w:rPr>
          <w:color w:val="auto"/>
          <w:sz w:val="24"/>
        </w:rPr>
        <w:t xml:space="preserve"> discussed in Section 3.2.1</w:t>
      </w:r>
      <w:r w:rsidR="00BD0111" w:rsidRPr="007D2BF8">
        <w:rPr>
          <w:color w:val="auto"/>
          <w:sz w:val="24"/>
        </w:rPr>
        <w:t xml:space="preserve"> in favour of PSBs, i.e. </w:t>
      </w:r>
      <w:r w:rsidR="00BD0111" w:rsidRPr="007D2BF8">
        <w:rPr>
          <w:b/>
          <w:color w:val="auto"/>
          <w:sz w:val="24"/>
        </w:rPr>
        <w:t>£2m annually</w:t>
      </w:r>
      <w:r w:rsidR="00BD0111" w:rsidRPr="007D2BF8">
        <w:rPr>
          <w:color w:val="auto"/>
          <w:sz w:val="24"/>
        </w:rPr>
        <w:t>.</w:t>
      </w:r>
      <w:r w:rsidR="00FF055B">
        <w:rPr>
          <w:color w:val="auto"/>
          <w:sz w:val="24"/>
        </w:rPr>
        <w:t xml:space="preserve"> We are seeking further evidence to inform this assumption through the consultation.</w:t>
      </w:r>
    </w:p>
    <w:p w14:paraId="57EC5EEA" w14:textId="77777777" w:rsidR="00FF78DB" w:rsidRDefault="00FF78DB">
      <w:pPr>
        <w:pStyle w:val="EBNumber"/>
        <w:tabs>
          <w:tab w:val="clear" w:pos="425"/>
        </w:tabs>
        <w:spacing w:after="0"/>
        <w:ind w:left="0" w:firstLine="0"/>
        <w:jc w:val="both"/>
        <w:rPr>
          <w:color w:val="auto"/>
          <w:sz w:val="24"/>
        </w:rPr>
      </w:pPr>
    </w:p>
    <w:p w14:paraId="023D0A18" w14:textId="77777777" w:rsidR="0059521E" w:rsidRDefault="0059521E">
      <w:pPr>
        <w:pStyle w:val="EBNumber"/>
        <w:tabs>
          <w:tab w:val="clear" w:pos="425"/>
        </w:tabs>
        <w:spacing w:after="0"/>
        <w:ind w:left="0" w:firstLine="0"/>
        <w:jc w:val="both"/>
        <w:rPr>
          <w:color w:val="auto"/>
          <w:sz w:val="24"/>
        </w:rPr>
      </w:pPr>
    </w:p>
    <w:p w14:paraId="63EC7B24" w14:textId="7F305C55" w:rsidR="0059521E" w:rsidRDefault="0059521E" w:rsidP="0059521E">
      <w:pPr>
        <w:pStyle w:val="EBNumber"/>
        <w:tabs>
          <w:tab w:val="clear" w:pos="425"/>
        </w:tabs>
        <w:spacing w:after="0"/>
        <w:ind w:left="0" w:firstLine="0"/>
        <w:jc w:val="both"/>
        <w:rPr>
          <w:b/>
          <w:color w:val="auto"/>
          <w:sz w:val="24"/>
          <w:u w:val="single"/>
        </w:rPr>
      </w:pPr>
      <w:r w:rsidRPr="00BD0111">
        <w:rPr>
          <w:b/>
          <w:bCs w:val="0"/>
          <w:color w:val="auto"/>
          <w:sz w:val="24"/>
          <w:u w:val="single"/>
        </w:rPr>
        <w:t>3.</w:t>
      </w:r>
      <w:r>
        <w:rPr>
          <w:b/>
          <w:color w:val="auto"/>
          <w:sz w:val="24"/>
          <w:u w:val="single"/>
        </w:rPr>
        <w:t>2 Changes to Must Offer and Must Carry</w:t>
      </w:r>
    </w:p>
    <w:p w14:paraId="0CA8B718" w14:textId="77777777" w:rsidR="00BD0111" w:rsidRPr="007D2BF8" w:rsidRDefault="00BD0111">
      <w:pPr>
        <w:pStyle w:val="EBNumber"/>
        <w:tabs>
          <w:tab w:val="clear" w:pos="425"/>
        </w:tabs>
        <w:spacing w:after="0"/>
        <w:ind w:left="0" w:firstLine="0"/>
        <w:jc w:val="both"/>
        <w:rPr>
          <w:b/>
          <w:color w:val="auto"/>
          <w:sz w:val="28"/>
        </w:rPr>
      </w:pPr>
    </w:p>
    <w:p w14:paraId="5B81A217" w14:textId="589F3413" w:rsidR="008E7DDD" w:rsidRDefault="00B57869" w:rsidP="007E6D50">
      <w:pPr>
        <w:pStyle w:val="EBNumber"/>
        <w:tabs>
          <w:tab w:val="clear" w:pos="425"/>
        </w:tabs>
        <w:spacing w:after="0"/>
        <w:ind w:left="0" w:firstLine="0"/>
        <w:jc w:val="both"/>
        <w:rPr>
          <w:b/>
          <w:i/>
          <w:color w:val="auto"/>
          <w:sz w:val="24"/>
          <w:u w:val="single"/>
        </w:rPr>
      </w:pPr>
      <w:r w:rsidRPr="007D2BF8">
        <w:rPr>
          <w:color w:val="auto"/>
          <w:sz w:val="24"/>
        </w:rPr>
        <w:t xml:space="preserve">All viable policy options identified </w:t>
      </w:r>
      <w:r w:rsidR="0059521E">
        <w:rPr>
          <w:color w:val="auto"/>
          <w:sz w:val="24"/>
        </w:rPr>
        <w:t xml:space="preserve">in this area </w:t>
      </w:r>
      <w:r w:rsidR="00035E95">
        <w:rPr>
          <w:color w:val="auto"/>
          <w:sz w:val="24"/>
        </w:rPr>
        <w:t xml:space="preserve">that with the aim of </w:t>
      </w:r>
      <w:r w:rsidRPr="007D2BF8">
        <w:rPr>
          <w:color w:val="auto"/>
          <w:sz w:val="24"/>
        </w:rPr>
        <w:t>deregulate the legislative framework underpinning commercial negotiations between TV platforms and commercial PSBs</w:t>
      </w:r>
      <w:r w:rsidR="00035E95">
        <w:rPr>
          <w:color w:val="auto"/>
          <w:sz w:val="24"/>
        </w:rPr>
        <w:t xml:space="preserve"> as far as possible</w:t>
      </w:r>
      <w:r w:rsidRPr="007D2BF8">
        <w:rPr>
          <w:color w:val="auto"/>
          <w:sz w:val="24"/>
        </w:rPr>
        <w:t>.</w:t>
      </w:r>
      <w:r w:rsidR="007F1CE3" w:rsidRPr="007D2BF8">
        <w:rPr>
          <w:color w:val="auto"/>
          <w:sz w:val="24"/>
        </w:rPr>
        <w:t xml:space="preserve"> All of the options </w:t>
      </w:r>
      <w:r w:rsidR="00035E95">
        <w:rPr>
          <w:color w:val="auto"/>
          <w:sz w:val="24"/>
        </w:rPr>
        <w:t xml:space="preserve">discussed </w:t>
      </w:r>
      <w:r w:rsidR="007F1CE3" w:rsidRPr="007D2BF8">
        <w:rPr>
          <w:color w:val="auto"/>
          <w:sz w:val="24"/>
        </w:rPr>
        <w:t>will only have an impact on five large enterprises, namely ITV, Channel 4, Channel 5, Sky and Virgin.</w:t>
      </w:r>
      <w:r w:rsidRPr="007D2BF8">
        <w:rPr>
          <w:color w:val="auto"/>
          <w:sz w:val="24"/>
        </w:rPr>
        <w:t xml:space="preserve"> As a consequence, by far the largest expected impact </w:t>
      </w:r>
      <w:r w:rsidR="007F1CE3" w:rsidRPr="007D2BF8">
        <w:rPr>
          <w:color w:val="auto"/>
          <w:sz w:val="24"/>
        </w:rPr>
        <w:t xml:space="preserve">is a change in negotiation outcomes and an associated shift of funds </w:t>
      </w:r>
      <w:r w:rsidR="00361DA7">
        <w:rPr>
          <w:color w:val="auto"/>
          <w:sz w:val="24"/>
        </w:rPr>
        <w:t>between</w:t>
      </w:r>
      <w:r w:rsidR="007F1CE3" w:rsidRPr="007D2BF8">
        <w:rPr>
          <w:color w:val="auto"/>
          <w:sz w:val="24"/>
        </w:rPr>
        <w:t xml:space="preserve"> business</w:t>
      </w:r>
      <w:r w:rsidR="00361DA7">
        <w:rPr>
          <w:color w:val="auto"/>
          <w:sz w:val="24"/>
        </w:rPr>
        <w:t>es</w:t>
      </w:r>
      <w:r w:rsidR="007F1CE3" w:rsidRPr="007D2BF8">
        <w:rPr>
          <w:color w:val="auto"/>
          <w:sz w:val="24"/>
        </w:rPr>
        <w:t>, meaning that</w:t>
      </w:r>
      <w:r w:rsidR="00CE599C" w:rsidRPr="007D2BF8">
        <w:rPr>
          <w:color w:val="auto"/>
          <w:sz w:val="24"/>
        </w:rPr>
        <w:t xml:space="preserve"> </w:t>
      </w:r>
      <w:r w:rsidR="00CE599C" w:rsidRPr="007D2BF8">
        <w:rPr>
          <w:b/>
          <w:color w:val="auto"/>
          <w:sz w:val="24"/>
        </w:rPr>
        <w:t>headline</w:t>
      </w:r>
      <w:r w:rsidR="002C4D6F" w:rsidRPr="007D2BF8">
        <w:rPr>
          <w:b/>
          <w:color w:val="auto"/>
          <w:sz w:val="24"/>
        </w:rPr>
        <w:t xml:space="preserve"> business</w:t>
      </w:r>
      <w:r w:rsidR="007F1CE3" w:rsidRPr="007D2BF8">
        <w:rPr>
          <w:b/>
          <w:color w:val="auto"/>
          <w:sz w:val="24"/>
        </w:rPr>
        <w:t xml:space="preserve"> impacts of all policy options will net to zero, regardless of the option adopted </w:t>
      </w:r>
      <w:r w:rsidR="00CE599C" w:rsidRPr="007D2BF8">
        <w:rPr>
          <w:b/>
          <w:color w:val="auto"/>
          <w:sz w:val="24"/>
        </w:rPr>
        <w:t xml:space="preserve">post consultation </w:t>
      </w:r>
      <w:r w:rsidR="007F1CE3" w:rsidRPr="007D2BF8">
        <w:rPr>
          <w:b/>
          <w:color w:val="auto"/>
          <w:sz w:val="24"/>
        </w:rPr>
        <w:t>and the detailed outcome of negotiations, subject to</w:t>
      </w:r>
      <w:r w:rsidR="0059521E">
        <w:rPr>
          <w:b/>
          <w:color w:val="auto"/>
          <w:sz w:val="24"/>
        </w:rPr>
        <w:t xml:space="preserve"> the assumptions set out below.</w:t>
      </w:r>
      <w:r w:rsidR="00341C02">
        <w:rPr>
          <w:b/>
          <w:color w:val="auto"/>
          <w:sz w:val="24"/>
        </w:rPr>
        <w:t xml:space="preserve"> The following scenarios describe some of the possible outcomes however the issues described are by necessity simplified and cannot fully reflect the complex contracting arrangements between commercial PSBs and platforms.</w:t>
      </w:r>
      <w:r w:rsidR="008E7DDD">
        <w:rPr>
          <w:b/>
          <w:i/>
          <w:color w:val="auto"/>
          <w:sz w:val="24"/>
          <w:u w:val="single"/>
        </w:rPr>
        <w:br w:type="page"/>
      </w:r>
    </w:p>
    <w:p w14:paraId="694A50F3" w14:textId="4C184E53" w:rsidR="00884C41" w:rsidRPr="0059521E" w:rsidRDefault="0059521E" w:rsidP="0059521E">
      <w:pPr>
        <w:pStyle w:val="EBNumber"/>
        <w:tabs>
          <w:tab w:val="clear" w:pos="425"/>
        </w:tabs>
        <w:spacing w:after="0"/>
        <w:jc w:val="both"/>
        <w:rPr>
          <w:b/>
          <w:i/>
          <w:color w:val="auto"/>
          <w:sz w:val="24"/>
          <w:u w:val="single"/>
        </w:rPr>
      </w:pPr>
      <w:r w:rsidRPr="0059521E">
        <w:rPr>
          <w:b/>
          <w:i/>
          <w:color w:val="auto"/>
          <w:sz w:val="24"/>
          <w:u w:val="single"/>
        </w:rPr>
        <w:lastRenderedPageBreak/>
        <w:t xml:space="preserve">3.2.1 </w:t>
      </w:r>
      <w:r w:rsidR="00341C02">
        <w:rPr>
          <w:b/>
          <w:i/>
          <w:color w:val="auto"/>
          <w:sz w:val="24"/>
          <w:u w:val="single"/>
        </w:rPr>
        <w:t xml:space="preserve">Potential </w:t>
      </w:r>
      <w:r w:rsidR="00884C41" w:rsidRPr="0059521E">
        <w:rPr>
          <w:b/>
          <w:i/>
          <w:color w:val="auto"/>
          <w:sz w:val="24"/>
          <w:u w:val="single"/>
        </w:rPr>
        <w:t xml:space="preserve">Negotiation </w:t>
      </w:r>
      <w:r w:rsidR="00341C02">
        <w:rPr>
          <w:b/>
          <w:i/>
          <w:color w:val="auto"/>
          <w:sz w:val="24"/>
          <w:u w:val="single"/>
        </w:rPr>
        <w:t>Scenarios</w:t>
      </w:r>
    </w:p>
    <w:p w14:paraId="63106C77" w14:textId="77777777" w:rsidR="00B51E99" w:rsidRPr="007D2BF8" w:rsidRDefault="00B51E99" w:rsidP="00E0168C">
      <w:pPr>
        <w:pStyle w:val="EBNumber"/>
        <w:tabs>
          <w:tab w:val="clear" w:pos="425"/>
        </w:tabs>
        <w:spacing w:after="0"/>
        <w:ind w:left="0" w:firstLine="0"/>
        <w:jc w:val="both"/>
        <w:rPr>
          <w:b/>
          <w:color w:val="auto"/>
          <w:sz w:val="24"/>
          <w:u w:val="single"/>
        </w:rPr>
      </w:pPr>
    </w:p>
    <w:p w14:paraId="081E0A8B" w14:textId="6E9DB3F6" w:rsidR="00B51E99" w:rsidRDefault="00361DA7" w:rsidP="00E0168C">
      <w:pPr>
        <w:pStyle w:val="EBNumber"/>
        <w:tabs>
          <w:tab w:val="clear" w:pos="425"/>
        </w:tabs>
        <w:spacing w:after="0"/>
        <w:ind w:left="0" w:firstLine="0"/>
        <w:jc w:val="both"/>
        <w:rPr>
          <w:color w:val="auto"/>
          <w:sz w:val="24"/>
        </w:rPr>
      </w:pPr>
      <w:r>
        <w:rPr>
          <w:color w:val="auto"/>
          <w:sz w:val="24"/>
        </w:rPr>
        <w:t>A k</w:t>
      </w:r>
      <w:r w:rsidR="00E0168C">
        <w:rPr>
          <w:color w:val="auto"/>
          <w:sz w:val="24"/>
        </w:rPr>
        <w:t xml:space="preserve">ey assumption made in the following assessment </w:t>
      </w:r>
      <w:r>
        <w:rPr>
          <w:color w:val="auto"/>
          <w:sz w:val="24"/>
        </w:rPr>
        <w:t>is</w:t>
      </w:r>
      <w:r w:rsidR="00E0168C">
        <w:rPr>
          <w:color w:val="auto"/>
          <w:sz w:val="24"/>
        </w:rPr>
        <w:t xml:space="preserve"> that the carriage of commercial PSB channels </w:t>
      </w:r>
      <w:r w:rsidR="007E6D50">
        <w:rPr>
          <w:color w:val="auto"/>
          <w:sz w:val="24"/>
        </w:rPr>
        <w:t xml:space="preserve">with established audiences </w:t>
      </w:r>
      <w:r w:rsidR="00E0168C">
        <w:rPr>
          <w:color w:val="auto"/>
          <w:sz w:val="24"/>
        </w:rPr>
        <w:t>by TV platforms on satellite and cable is mutually beneficial, and that both sides will act in their rational self-interest during negotiations</w:t>
      </w:r>
      <w:r w:rsidR="00341C02">
        <w:rPr>
          <w:color w:val="auto"/>
          <w:sz w:val="24"/>
        </w:rPr>
        <w:t xml:space="preserve"> and that commercial PSBs would not want to weaken their position with advertisers</w:t>
      </w:r>
      <w:r w:rsidR="00E0168C">
        <w:rPr>
          <w:color w:val="auto"/>
          <w:sz w:val="24"/>
        </w:rPr>
        <w:t xml:space="preserve">. Thus, negotiations are assumed to succeed, with a net benefit for both parties compared to a scenario in which </w:t>
      </w:r>
      <w:r w:rsidR="00341C02">
        <w:rPr>
          <w:color w:val="auto"/>
          <w:sz w:val="24"/>
        </w:rPr>
        <w:t>the platform terminates arrangements or the broadcaster withdraws some or all services</w:t>
      </w:r>
      <w:r w:rsidR="00E0168C">
        <w:rPr>
          <w:color w:val="auto"/>
          <w:sz w:val="24"/>
        </w:rPr>
        <w:t xml:space="preserve">. </w:t>
      </w:r>
    </w:p>
    <w:p w14:paraId="03872CE6" w14:textId="77777777" w:rsidR="00E0168C" w:rsidRDefault="00E0168C" w:rsidP="00E0168C">
      <w:pPr>
        <w:pStyle w:val="EBNumber"/>
        <w:tabs>
          <w:tab w:val="clear" w:pos="425"/>
        </w:tabs>
        <w:spacing w:after="0"/>
        <w:ind w:left="0" w:firstLine="0"/>
        <w:jc w:val="both"/>
        <w:rPr>
          <w:color w:val="auto"/>
          <w:sz w:val="24"/>
        </w:rPr>
      </w:pPr>
    </w:p>
    <w:p w14:paraId="73D22215" w14:textId="526AA6D0" w:rsidR="00E0168C" w:rsidRPr="00E0168C" w:rsidRDefault="00EA25E5" w:rsidP="00E0168C">
      <w:pPr>
        <w:pStyle w:val="EBNumber"/>
        <w:tabs>
          <w:tab w:val="clear" w:pos="425"/>
        </w:tabs>
        <w:spacing w:after="0"/>
        <w:ind w:left="0" w:firstLine="0"/>
        <w:jc w:val="both"/>
        <w:rPr>
          <w:color w:val="auto"/>
          <w:sz w:val="24"/>
        </w:rPr>
      </w:pPr>
      <w:r>
        <w:rPr>
          <w:color w:val="auto"/>
          <w:sz w:val="24"/>
        </w:rPr>
        <w:t xml:space="preserve">The following estimates should be considered as illustrative of the potential benefits at stake for the parties involved in negotiations, and thus of potential shifts in the balance of payments. A precise estimate of negotiation outcomes is not possible without </w:t>
      </w:r>
      <w:r w:rsidR="00341C02">
        <w:rPr>
          <w:color w:val="auto"/>
          <w:sz w:val="24"/>
        </w:rPr>
        <w:t xml:space="preserve">a deep analysis of the contractual </w:t>
      </w:r>
      <w:r w:rsidR="00C35DEA">
        <w:rPr>
          <w:color w:val="auto"/>
          <w:sz w:val="24"/>
        </w:rPr>
        <w:t>relationships, which</w:t>
      </w:r>
      <w:r w:rsidR="00341C02">
        <w:rPr>
          <w:color w:val="auto"/>
          <w:sz w:val="24"/>
        </w:rPr>
        <w:t xml:space="preserve"> would entail </w:t>
      </w:r>
      <w:r>
        <w:rPr>
          <w:color w:val="auto"/>
          <w:sz w:val="24"/>
        </w:rPr>
        <w:t xml:space="preserve">access to sensitive commercial data. </w:t>
      </w:r>
      <w:r w:rsidR="00361DA7">
        <w:rPr>
          <w:color w:val="auto"/>
          <w:sz w:val="24"/>
        </w:rPr>
        <w:t>Further evidence is being sought through the consultation to inform these estimates but at this stage it is considered disproportionate and speculative to provide firm estimates, particularly as impacts on business overall always net to zero.</w:t>
      </w:r>
      <w:r>
        <w:rPr>
          <w:color w:val="auto"/>
          <w:sz w:val="24"/>
        </w:rPr>
        <w:t xml:space="preserve">  </w:t>
      </w:r>
    </w:p>
    <w:p w14:paraId="5F72781D" w14:textId="77777777" w:rsidR="00F56FC6" w:rsidRPr="007D2BF8" w:rsidRDefault="00F56FC6" w:rsidP="00F56FC6">
      <w:pPr>
        <w:pStyle w:val="EBNumber"/>
        <w:tabs>
          <w:tab w:val="clear" w:pos="425"/>
        </w:tabs>
        <w:spacing w:after="0"/>
        <w:jc w:val="both"/>
        <w:rPr>
          <w:b/>
          <w:color w:val="auto"/>
          <w:sz w:val="24"/>
          <w:u w:val="single"/>
        </w:rPr>
      </w:pPr>
    </w:p>
    <w:p w14:paraId="4576CD5F" w14:textId="16012E74" w:rsidR="00F56FC6" w:rsidRPr="007D2BF8" w:rsidRDefault="00E671F0" w:rsidP="00F56FC6">
      <w:pPr>
        <w:pStyle w:val="EBNumber"/>
        <w:tabs>
          <w:tab w:val="clear" w:pos="425"/>
        </w:tabs>
        <w:spacing w:after="0"/>
        <w:jc w:val="both"/>
        <w:rPr>
          <w:i/>
          <w:color w:val="auto"/>
          <w:sz w:val="24"/>
          <w:u w:val="single"/>
        </w:rPr>
      </w:pPr>
      <w:r>
        <w:rPr>
          <w:i/>
          <w:color w:val="auto"/>
          <w:sz w:val="24"/>
          <w:u w:val="single"/>
        </w:rPr>
        <w:t>Remove Must Offer and Must Carry</w:t>
      </w:r>
      <w:r w:rsidR="007B5458" w:rsidRPr="007D2BF8">
        <w:rPr>
          <w:i/>
          <w:color w:val="auto"/>
          <w:sz w:val="24"/>
          <w:u w:val="single"/>
        </w:rPr>
        <w:t xml:space="preserve"> (Option </w:t>
      </w:r>
      <w:r w:rsidR="00692631">
        <w:rPr>
          <w:i/>
          <w:color w:val="auto"/>
          <w:sz w:val="24"/>
          <w:u w:val="single"/>
        </w:rPr>
        <w:t>2a</w:t>
      </w:r>
      <w:r w:rsidR="007B5458" w:rsidRPr="007D2BF8">
        <w:rPr>
          <w:i/>
          <w:color w:val="auto"/>
          <w:sz w:val="24"/>
          <w:u w:val="single"/>
        </w:rPr>
        <w:t>)</w:t>
      </w:r>
    </w:p>
    <w:p w14:paraId="2C22DDE0" w14:textId="210E6238" w:rsidR="00F56FC6" w:rsidRPr="007D2BF8" w:rsidRDefault="00F56FC6" w:rsidP="00F56FC6">
      <w:pPr>
        <w:tabs>
          <w:tab w:val="left" w:pos="426"/>
        </w:tabs>
        <w:jc w:val="both"/>
        <w:rPr>
          <w:color w:val="000000"/>
          <w:szCs w:val="22"/>
        </w:rPr>
      </w:pPr>
      <w:r w:rsidRPr="007D2BF8">
        <w:rPr>
          <w:color w:val="000000"/>
          <w:szCs w:val="22"/>
        </w:rPr>
        <w:t xml:space="preserve">Outcomes of commercial negotiations between TV platforms and PSBs cannot be predicted with a great amount of precision and additional information will need to be sought through </w:t>
      </w:r>
      <w:r w:rsidR="00246DC2" w:rsidRPr="007D2BF8">
        <w:rPr>
          <w:color w:val="000000"/>
          <w:szCs w:val="22"/>
        </w:rPr>
        <w:t>the consultation and thereafter</w:t>
      </w:r>
      <w:r w:rsidR="002C4D6F" w:rsidRPr="007D2BF8">
        <w:rPr>
          <w:color w:val="000000"/>
          <w:szCs w:val="22"/>
        </w:rPr>
        <w:t>.</w:t>
      </w:r>
      <w:r w:rsidRPr="007D2BF8">
        <w:rPr>
          <w:color w:val="000000"/>
          <w:szCs w:val="22"/>
        </w:rPr>
        <w:t xml:space="preserve"> Nevertheless, a report commissioned by DCMS from Mediatique</w:t>
      </w:r>
      <w:r w:rsidRPr="007D2BF8">
        <w:rPr>
          <w:rStyle w:val="FootnoteReference"/>
          <w:color w:val="000000"/>
          <w:sz w:val="24"/>
          <w:szCs w:val="22"/>
        </w:rPr>
        <w:footnoteReference w:id="6"/>
      </w:r>
      <w:r w:rsidRPr="007D2BF8">
        <w:rPr>
          <w:color w:val="000000"/>
          <w:szCs w:val="22"/>
        </w:rPr>
        <w:t xml:space="preserve"> aims to estimate the impacts of a ‘fully deregulatory’ system in which </w:t>
      </w:r>
      <w:r w:rsidR="00281D91">
        <w:rPr>
          <w:color w:val="000000"/>
          <w:szCs w:val="22"/>
        </w:rPr>
        <w:t>the commercial</w:t>
      </w:r>
      <w:r w:rsidRPr="007D2BF8">
        <w:rPr>
          <w:color w:val="000000"/>
          <w:szCs w:val="22"/>
        </w:rPr>
        <w:t xml:space="preserve"> PSBs </w:t>
      </w:r>
      <w:r w:rsidR="00341C02">
        <w:rPr>
          <w:color w:val="000000"/>
          <w:szCs w:val="22"/>
        </w:rPr>
        <w:t>(</w:t>
      </w:r>
      <w:r w:rsidR="00281D91">
        <w:rPr>
          <w:color w:val="000000"/>
          <w:szCs w:val="22"/>
        </w:rPr>
        <w:t>i.e. ex</w:t>
      </w:r>
      <w:r w:rsidR="00341C02">
        <w:rPr>
          <w:color w:val="000000"/>
          <w:szCs w:val="22"/>
        </w:rPr>
        <w:t xml:space="preserve">cluding the BBC) </w:t>
      </w:r>
      <w:r w:rsidRPr="007D2BF8">
        <w:rPr>
          <w:color w:val="000000"/>
          <w:szCs w:val="22"/>
        </w:rPr>
        <w:t xml:space="preserve">can freely withhold their programming from TV platforms, while TV platforms are free to withhold carriage. Crucially, this “carriage consent” regime would go further than the deregulation proposed here, namely by abolishing </w:t>
      </w:r>
      <w:r w:rsidR="00361DA7">
        <w:rPr>
          <w:color w:val="000000"/>
          <w:szCs w:val="22"/>
        </w:rPr>
        <w:t xml:space="preserve">the </w:t>
      </w:r>
      <w:r w:rsidRPr="007D2BF8">
        <w:rPr>
          <w:color w:val="000000"/>
          <w:szCs w:val="22"/>
        </w:rPr>
        <w:t xml:space="preserve">EU-mandated </w:t>
      </w:r>
      <w:r w:rsidR="00361DA7">
        <w:rPr>
          <w:color w:val="000000"/>
          <w:szCs w:val="22"/>
        </w:rPr>
        <w:t>Technical Platform Services regime</w:t>
      </w:r>
      <w:r w:rsidRPr="007D2BF8">
        <w:rPr>
          <w:color w:val="000000"/>
          <w:szCs w:val="22"/>
        </w:rPr>
        <w:t xml:space="preserve"> on satellite, which the Department does not consider </w:t>
      </w:r>
      <w:r w:rsidR="00DA2647" w:rsidRPr="007D2BF8">
        <w:rPr>
          <w:color w:val="000000"/>
          <w:szCs w:val="22"/>
        </w:rPr>
        <w:t>a viable option</w:t>
      </w:r>
      <w:r w:rsidR="00361DA7">
        <w:rPr>
          <w:rStyle w:val="FootnoteReference"/>
          <w:color w:val="000000"/>
          <w:szCs w:val="22"/>
        </w:rPr>
        <w:footnoteReference w:id="7"/>
      </w:r>
      <w:r w:rsidRPr="007D2BF8">
        <w:rPr>
          <w:color w:val="000000"/>
          <w:szCs w:val="22"/>
        </w:rPr>
        <w:t>.</w:t>
      </w:r>
      <w:r w:rsidR="00DA2647" w:rsidRPr="007D2BF8">
        <w:rPr>
          <w:color w:val="000000"/>
          <w:szCs w:val="22"/>
        </w:rPr>
        <w:t xml:space="preserve"> </w:t>
      </w:r>
      <w:r w:rsidRPr="007D2BF8">
        <w:rPr>
          <w:color w:val="000000"/>
          <w:szCs w:val="22"/>
        </w:rPr>
        <w:t xml:space="preserve">In spite of this limitation, Mediatique’s analysis remains the most </w:t>
      </w:r>
      <w:r w:rsidR="00355D80">
        <w:rPr>
          <w:color w:val="000000"/>
          <w:szCs w:val="22"/>
        </w:rPr>
        <w:t>detailed available assessment of the likely</w:t>
      </w:r>
      <w:r w:rsidRPr="007D2BF8">
        <w:rPr>
          <w:color w:val="000000"/>
          <w:szCs w:val="22"/>
        </w:rPr>
        <w:t xml:space="preserve"> distributional impacts of </w:t>
      </w:r>
      <w:r w:rsidR="00D93C3C" w:rsidRPr="007D2BF8">
        <w:rPr>
          <w:color w:val="000000"/>
          <w:szCs w:val="22"/>
        </w:rPr>
        <w:t>deregulation</w:t>
      </w:r>
      <w:r w:rsidRPr="007D2BF8">
        <w:rPr>
          <w:color w:val="000000"/>
          <w:szCs w:val="22"/>
        </w:rPr>
        <w:t xml:space="preserve"> prior to consultation.</w:t>
      </w:r>
      <w:r w:rsidR="00657C2B" w:rsidRPr="007D2BF8">
        <w:rPr>
          <w:color w:val="000000"/>
          <w:szCs w:val="22"/>
        </w:rPr>
        <w:t xml:space="preserve"> Among the options considered here, it </w:t>
      </w:r>
      <w:r w:rsidR="00355D80">
        <w:rPr>
          <w:color w:val="000000"/>
          <w:szCs w:val="22"/>
        </w:rPr>
        <w:t xml:space="preserve">has </w:t>
      </w:r>
      <w:r w:rsidR="00C35DEA">
        <w:rPr>
          <w:color w:val="000000"/>
          <w:szCs w:val="22"/>
        </w:rPr>
        <w:t xml:space="preserve">some </w:t>
      </w:r>
      <w:r w:rsidR="00C35DEA" w:rsidRPr="007D2BF8">
        <w:rPr>
          <w:color w:val="000000"/>
          <w:szCs w:val="22"/>
        </w:rPr>
        <w:t>resemblance</w:t>
      </w:r>
      <w:r w:rsidR="00355D80">
        <w:rPr>
          <w:color w:val="000000"/>
          <w:szCs w:val="22"/>
        </w:rPr>
        <w:t xml:space="preserve"> to </w:t>
      </w:r>
      <w:r w:rsidR="00B07EB9">
        <w:rPr>
          <w:color w:val="000000"/>
          <w:szCs w:val="22"/>
        </w:rPr>
        <w:t>Option 2</w:t>
      </w:r>
      <w:r w:rsidR="00657C2B" w:rsidRPr="007D2BF8">
        <w:rPr>
          <w:color w:val="000000"/>
          <w:szCs w:val="22"/>
        </w:rPr>
        <w:t xml:space="preserve">a). </w:t>
      </w:r>
    </w:p>
    <w:p w14:paraId="50A6B7A9" w14:textId="77777777" w:rsidR="00F56FC6" w:rsidRPr="007D2BF8" w:rsidRDefault="00F56FC6" w:rsidP="00F56FC6">
      <w:pPr>
        <w:tabs>
          <w:tab w:val="left" w:pos="426"/>
        </w:tabs>
        <w:jc w:val="both"/>
        <w:rPr>
          <w:color w:val="000000"/>
          <w:szCs w:val="22"/>
        </w:rPr>
      </w:pPr>
    </w:p>
    <w:p w14:paraId="26E0ADB5" w14:textId="5F142871" w:rsidR="00F56FC6" w:rsidRDefault="00F56FC6" w:rsidP="00F56FC6">
      <w:pPr>
        <w:tabs>
          <w:tab w:val="left" w:pos="426"/>
        </w:tabs>
        <w:jc w:val="both"/>
        <w:rPr>
          <w:color w:val="000000"/>
          <w:szCs w:val="22"/>
        </w:rPr>
      </w:pPr>
      <w:r w:rsidRPr="007D2BF8">
        <w:rPr>
          <w:color w:val="000000"/>
          <w:szCs w:val="22"/>
        </w:rPr>
        <w:t xml:space="preserve">The analysis by Mediatique is based on the distribution of benefits </w:t>
      </w:r>
      <w:r w:rsidR="002B2A5F" w:rsidRPr="007D2BF8">
        <w:rPr>
          <w:color w:val="000000"/>
          <w:szCs w:val="22"/>
        </w:rPr>
        <w:t>from</w:t>
      </w:r>
      <w:r w:rsidRPr="007D2BF8">
        <w:rPr>
          <w:color w:val="000000"/>
          <w:szCs w:val="22"/>
        </w:rPr>
        <w:t xml:space="preserve"> TV platforms’ carriage of PSB channels between platforms and PSBs, and which side would stand to lose more from a failure of negotiations. The potential losses to p</w:t>
      </w:r>
      <w:r w:rsidR="002672A2" w:rsidRPr="007D2BF8">
        <w:rPr>
          <w:color w:val="000000"/>
          <w:szCs w:val="22"/>
        </w:rPr>
        <w:t>latforms take</w:t>
      </w:r>
      <w:r w:rsidRPr="007D2BF8">
        <w:rPr>
          <w:color w:val="000000"/>
          <w:szCs w:val="22"/>
        </w:rPr>
        <w:t xml:space="preserve"> the form of users cancelling their subscriptions if platforms no longer carry PSBs</w:t>
      </w:r>
      <w:r w:rsidR="00DA7750">
        <w:rPr>
          <w:color w:val="000000"/>
          <w:szCs w:val="22"/>
        </w:rPr>
        <w:t xml:space="preserve"> (which they term “incremental churn”)</w:t>
      </w:r>
      <w:r w:rsidRPr="007D2BF8">
        <w:rPr>
          <w:color w:val="000000"/>
          <w:szCs w:val="22"/>
        </w:rPr>
        <w:t xml:space="preserve">, which are available </w:t>
      </w:r>
      <w:r w:rsidR="00751B06">
        <w:rPr>
          <w:color w:val="000000"/>
          <w:szCs w:val="22"/>
        </w:rPr>
        <w:t>on alternative, free to view platforms,</w:t>
      </w:r>
      <w:r w:rsidR="003D6F73" w:rsidRPr="007D2BF8">
        <w:rPr>
          <w:color w:val="000000"/>
          <w:szCs w:val="22"/>
        </w:rPr>
        <w:t xml:space="preserve"> such as Freev</w:t>
      </w:r>
      <w:r w:rsidRPr="007D2BF8">
        <w:rPr>
          <w:color w:val="000000"/>
          <w:szCs w:val="22"/>
        </w:rPr>
        <w:t>iew a</w:t>
      </w:r>
      <w:r w:rsidR="00751B06">
        <w:rPr>
          <w:color w:val="000000"/>
          <w:szCs w:val="22"/>
        </w:rPr>
        <w:t>nd Freesat</w:t>
      </w:r>
      <w:r w:rsidRPr="007D2BF8">
        <w:rPr>
          <w:color w:val="000000"/>
          <w:szCs w:val="22"/>
        </w:rPr>
        <w:t>. Potential losses to PSBs take the form of lost reach to consumers</w:t>
      </w:r>
      <w:r w:rsidR="00DA7750">
        <w:rPr>
          <w:color w:val="000000"/>
          <w:szCs w:val="22"/>
        </w:rPr>
        <w:t xml:space="preserve"> (which they term “viewing impairment”)</w:t>
      </w:r>
      <w:r w:rsidRPr="007D2BF8">
        <w:rPr>
          <w:color w:val="000000"/>
          <w:szCs w:val="22"/>
        </w:rPr>
        <w:t>, who may not make the effort to access their content if they cannot do so via Virgin or Sky</w:t>
      </w:r>
      <w:r w:rsidR="00751B06">
        <w:rPr>
          <w:color w:val="000000"/>
          <w:szCs w:val="22"/>
        </w:rPr>
        <w:t xml:space="preserve"> (and would have to ‘toggle’ their TV sets in order to access digital terrestrial signal where PSBs would still be available)</w:t>
      </w:r>
      <w:r w:rsidRPr="007D2BF8">
        <w:rPr>
          <w:color w:val="000000"/>
          <w:szCs w:val="22"/>
        </w:rPr>
        <w:t xml:space="preserve">. </w:t>
      </w:r>
      <w:r w:rsidR="00A81234">
        <w:rPr>
          <w:color w:val="000000"/>
          <w:szCs w:val="22"/>
        </w:rPr>
        <w:t>Economic theory would suggest that if one side has more to lose from negotiations failing then they would be willing to pay more to strike a deal and n</w:t>
      </w:r>
      <w:r w:rsidRPr="007D2BF8">
        <w:rPr>
          <w:color w:val="000000"/>
          <w:szCs w:val="22"/>
        </w:rPr>
        <w:t xml:space="preserve">et payment flows between PSBs and platforms would </w:t>
      </w:r>
      <w:r w:rsidR="00A81234">
        <w:rPr>
          <w:color w:val="000000"/>
          <w:szCs w:val="22"/>
        </w:rPr>
        <w:t>reflect</w:t>
      </w:r>
      <w:r w:rsidRPr="007D2BF8">
        <w:rPr>
          <w:color w:val="000000"/>
          <w:szCs w:val="22"/>
        </w:rPr>
        <w:t xml:space="preserve"> the relative </w:t>
      </w:r>
      <w:r w:rsidR="002672A2" w:rsidRPr="007D2BF8">
        <w:rPr>
          <w:color w:val="000000"/>
          <w:szCs w:val="22"/>
        </w:rPr>
        <w:t>magnitude</w:t>
      </w:r>
      <w:r w:rsidRPr="007D2BF8">
        <w:rPr>
          <w:color w:val="000000"/>
          <w:szCs w:val="22"/>
        </w:rPr>
        <w:t xml:space="preserve"> of these impacts. </w:t>
      </w:r>
    </w:p>
    <w:p w14:paraId="330DD642" w14:textId="77777777" w:rsidR="007E6D50" w:rsidRDefault="007E6D50" w:rsidP="00F56FC6">
      <w:pPr>
        <w:tabs>
          <w:tab w:val="left" w:pos="426"/>
        </w:tabs>
        <w:jc w:val="both"/>
        <w:rPr>
          <w:color w:val="000000"/>
          <w:szCs w:val="22"/>
        </w:rPr>
      </w:pPr>
    </w:p>
    <w:p w14:paraId="34E17F6A" w14:textId="77777777" w:rsidR="007E6D50" w:rsidRDefault="007E6D50" w:rsidP="00F56FC6">
      <w:pPr>
        <w:tabs>
          <w:tab w:val="left" w:pos="426"/>
        </w:tabs>
        <w:jc w:val="both"/>
        <w:rPr>
          <w:color w:val="000000"/>
          <w:szCs w:val="22"/>
        </w:rPr>
      </w:pPr>
    </w:p>
    <w:p w14:paraId="49E1CC64" w14:textId="77777777" w:rsidR="007E6D50" w:rsidRDefault="007E6D50" w:rsidP="00F56FC6">
      <w:pPr>
        <w:tabs>
          <w:tab w:val="left" w:pos="426"/>
        </w:tabs>
        <w:jc w:val="both"/>
        <w:rPr>
          <w:color w:val="000000"/>
          <w:szCs w:val="22"/>
        </w:rPr>
      </w:pPr>
    </w:p>
    <w:p w14:paraId="766AEBB8" w14:textId="77777777" w:rsidR="007E6D50" w:rsidRDefault="007E6D50" w:rsidP="00F56FC6">
      <w:pPr>
        <w:tabs>
          <w:tab w:val="left" w:pos="426"/>
        </w:tabs>
        <w:jc w:val="both"/>
        <w:rPr>
          <w:color w:val="000000"/>
          <w:szCs w:val="22"/>
        </w:rPr>
      </w:pPr>
    </w:p>
    <w:p w14:paraId="7EE1F869" w14:textId="77777777" w:rsidR="007E6D50" w:rsidRDefault="007E6D50" w:rsidP="00F56FC6">
      <w:pPr>
        <w:tabs>
          <w:tab w:val="left" w:pos="426"/>
        </w:tabs>
        <w:jc w:val="both"/>
        <w:rPr>
          <w:color w:val="000000"/>
          <w:szCs w:val="22"/>
        </w:rPr>
      </w:pPr>
    </w:p>
    <w:p w14:paraId="3E03DD0A" w14:textId="77777777" w:rsidR="007E6D50" w:rsidRPr="007D2BF8" w:rsidRDefault="007E6D50" w:rsidP="00F56FC6">
      <w:pPr>
        <w:tabs>
          <w:tab w:val="left" w:pos="426"/>
        </w:tabs>
        <w:jc w:val="both"/>
        <w:rPr>
          <w:color w:val="000000"/>
          <w:szCs w:val="22"/>
        </w:rPr>
      </w:pPr>
    </w:p>
    <w:p w14:paraId="1474AE08" w14:textId="77777777" w:rsidR="007D2BF8" w:rsidRDefault="007D2BF8" w:rsidP="00F56FC6">
      <w:pPr>
        <w:tabs>
          <w:tab w:val="left" w:pos="426"/>
        </w:tabs>
        <w:jc w:val="both"/>
        <w:rPr>
          <w:i/>
          <w:color w:val="000000"/>
          <w:szCs w:val="22"/>
        </w:rPr>
      </w:pPr>
    </w:p>
    <w:p w14:paraId="5B452200" w14:textId="727AFA57" w:rsidR="00F56FC6" w:rsidRPr="007D2BF8" w:rsidRDefault="00F56FC6" w:rsidP="00F56FC6">
      <w:pPr>
        <w:tabs>
          <w:tab w:val="left" w:pos="426"/>
        </w:tabs>
        <w:jc w:val="both"/>
        <w:rPr>
          <w:i/>
          <w:color w:val="000000"/>
          <w:szCs w:val="22"/>
        </w:rPr>
      </w:pPr>
      <w:r w:rsidRPr="007D2BF8">
        <w:rPr>
          <w:i/>
          <w:color w:val="000000"/>
          <w:szCs w:val="22"/>
        </w:rPr>
        <w:lastRenderedPageBreak/>
        <w:t>Figure 1: Mediatique estimates of net payments under commercial negotiations including satellite</w:t>
      </w:r>
      <w:r w:rsidR="007144CC" w:rsidRPr="007D2BF8">
        <w:rPr>
          <w:i/>
          <w:color w:val="000000"/>
          <w:szCs w:val="22"/>
        </w:rPr>
        <w:t xml:space="preserve"> (</w:t>
      </w:r>
      <w:r w:rsidR="007C5545">
        <w:rPr>
          <w:i/>
          <w:color w:val="000000"/>
          <w:szCs w:val="22"/>
        </w:rPr>
        <w:t xml:space="preserve">£m per year, </w:t>
      </w:r>
      <w:r w:rsidR="007144CC" w:rsidRPr="007D2BF8">
        <w:rPr>
          <w:i/>
          <w:color w:val="000000"/>
          <w:szCs w:val="22"/>
        </w:rPr>
        <w:t>2012 prices)</w:t>
      </w:r>
      <w:r w:rsidRPr="007D2BF8">
        <w:rPr>
          <w:i/>
          <w:color w:val="000000"/>
          <w:szCs w:val="22"/>
        </w:rPr>
        <w:t xml:space="preserve">. </w:t>
      </w:r>
    </w:p>
    <w:p w14:paraId="06364394" w14:textId="77777777" w:rsidR="00F56FC6" w:rsidRPr="007D2BF8" w:rsidRDefault="00F56FC6" w:rsidP="00F56FC6">
      <w:pPr>
        <w:tabs>
          <w:tab w:val="left" w:pos="426"/>
        </w:tabs>
        <w:jc w:val="both"/>
        <w:rPr>
          <w:color w:val="000000"/>
          <w:szCs w:val="22"/>
        </w:rPr>
      </w:pPr>
      <w:r w:rsidRPr="007D2BF8">
        <w:rPr>
          <w:noProof/>
          <w:color w:val="000000"/>
          <w:szCs w:val="22"/>
          <w:lang w:eastAsia="en-GB"/>
        </w:rPr>
        <w:drawing>
          <wp:inline distT="0" distB="0" distL="0" distR="0" wp14:anchorId="51FB3BF9" wp14:editId="2E389986">
            <wp:extent cx="5762625" cy="197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977390"/>
                    </a:xfrm>
                    <a:prstGeom prst="rect">
                      <a:avLst/>
                    </a:prstGeom>
                    <a:noFill/>
                    <a:ln>
                      <a:noFill/>
                    </a:ln>
                  </pic:spPr>
                </pic:pic>
              </a:graphicData>
            </a:graphic>
          </wp:inline>
        </w:drawing>
      </w:r>
    </w:p>
    <w:p w14:paraId="6ACB359E" w14:textId="77777777" w:rsidR="00F56FC6" w:rsidRPr="007D2BF8" w:rsidRDefault="00F56FC6" w:rsidP="00F56FC6">
      <w:pPr>
        <w:tabs>
          <w:tab w:val="left" w:pos="426"/>
        </w:tabs>
        <w:jc w:val="both"/>
        <w:rPr>
          <w:color w:val="000000"/>
          <w:szCs w:val="22"/>
        </w:rPr>
      </w:pPr>
    </w:p>
    <w:p w14:paraId="10D4D8BA" w14:textId="5F479E56" w:rsidR="00F56FC6" w:rsidRPr="007D2BF8" w:rsidRDefault="00F56FC6" w:rsidP="00F56FC6">
      <w:pPr>
        <w:tabs>
          <w:tab w:val="left" w:pos="426"/>
        </w:tabs>
        <w:jc w:val="both"/>
        <w:rPr>
          <w:rFonts w:cs="Arial"/>
          <w:color w:val="000000"/>
          <w:szCs w:val="22"/>
        </w:rPr>
      </w:pPr>
      <w:r w:rsidRPr="007D2BF8">
        <w:rPr>
          <w:rFonts w:cs="Arial"/>
          <w:color w:val="000000"/>
          <w:szCs w:val="22"/>
        </w:rPr>
        <w:t>Figure 1 shows Mediatique estimates of payment flows from platforms to PSBs depending on the drop in subscriptions for TV platforms because they no longer carry PSBs (incremental churn</w:t>
      </w:r>
      <w:r w:rsidR="002672A2" w:rsidRPr="007D2BF8">
        <w:rPr>
          <w:rFonts w:cs="Arial"/>
          <w:color w:val="000000"/>
          <w:szCs w:val="22"/>
        </w:rPr>
        <w:t>, Y axis</w:t>
      </w:r>
      <w:r w:rsidRPr="007D2BF8">
        <w:rPr>
          <w:rFonts w:cs="Arial"/>
          <w:color w:val="000000"/>
          <w:szCs w:val="22"/>
        </w:rPr>
        <w:t>) and reduced viewership of PSBs in homes keeping their platform subscription (viewing impairment</w:t>
      </w:r>
      <w:r w:rsidR="002672A2" w:rsidRPr="007D2BF8">
        <w:rPr>
          <w:rFonts w:cs="Arial"/>
          <w:color w:val="000000"/>
          <w:szCs w:val="22"/>
        </w:rPr>
        <w:t>, X axis</w:t>
      </w:r>
      <w:r w:rsidRPr="007D2BF8">
        <w:rPr>
          <w:rFonts w:cs="Arial"/>
          <w:color w:val="000000"/>
          <w:szCs w:val="22"/>
        </w:rPr>
        <w:t>) if negotiations fail</w:t>
      </w:r>
      <w:r w:rsidR="00DA7750">
        <w:rPr>
          <w:rFonts w:cs="Arial"/>
          <w:color w:val="000000"/>
          <w:szCs w:val="22"/>
        </w:rPr>
        <w:t>.</w:t>
      </w:r>
      <w:r w:rsidR="00BF2C4B">
        <w:rPr>
          <w:rFonts w:cs="Arial"/>
          <w:color w:val="000000"/>
          <w:szCs w:val="22"/>
        </w:rPr>
        <w:t xml:space="preserve"> Given the unpredictability of impacts these are presented to reflect a broad range, from 0-20% incremental churn and from 0-100% viewi</w:t>
      </w:r>
      <w:r w:rsidR="003218AD">
        <w:rPr>
          <w:rFonts w:cs="Arial"/>
          <w:color w:val="000000"/>
          <w:szCs w:val="22"/>
        </w:rPr>
        <w:t>ng impairment. For example, a 6</w:t>
      </w:r>
      <w:r w:rsidR="00BF2C4B">
        <w:rPr>
          <w:rFonts w:cs="Arial"/>
          <w:color w:val="000000"/>
          <w:szCs w:val="22"/>
        </w:rPr>
        <w:t>% drop in subscriptions for platforms combined with a 10% reduction in viewers for PSBs is</w:t>
      </w:r>
      <w:r w:rsidR="003218AD">
        <w:rPr>
          <w:rFonts w:cs="Arial"/>
          <w:color w:val="000000"/>
          <w:szCs w:val="22"/>
        </w:rPr>
        <w:t xml:space="preserve"> estimated to lead to a £80</w:t>
      </w:r>
      <w:r w:rsidR="00BF2C4B">
        <w:rPr>
          <w:rFonts w:cs="Arial"/>
          <w:color w:val="000000"/>
          <w:szCs w:val="22"/>
        </w:rPr>
        <w:t>m</w:t>
      </w:r>
      <w:r w:rsidR="007C5545">
        <w:rPr>
          <w:rFonts w:cs="Arial"/>
          <w:color w:val="000000"/>
          <w:szCs w:val="22"/>
        </w:rPr>
        <w:t xml:space="preserve"> per annum</w:t>
      </w:r>
      <w:r w:rsidR="00BF2C4B">
        <w:rPr>
          <w:rFonts w:cs="Arial"/>
          <w:color w:val="000000"/>
          <w:szCs w:val="22"/>
        </w:rPr>
        <w:t xml:space="preserve"> payment from platforms to PSBs. Negative figures in the table above represent a payment from PSBs to platforms. </w:t>
      </w:r>
      <w:r w:rsidR="003218AD">
        <w:rPr>
          <w:rFonts w:cs="Arial"/>
          <w:color w:val="000000"/>
          <w:szCs w:val="22"/>
        </w:rPr>
        <w:t xml:space="preserve">The outer ranges of this table provide estimates for extreme outcomes which are highly unlikely in practice. </w:t>
      </w:r>
      <w:r w:rsidR="00BF2C4B">
        <w:rPr>
          <w:rFonts w:cs="Arial"/>
          <w:color w:val="000000"/>
          <w:szCs w:val="22"/>
        </w:rPr>
        <w:t>Note that the table above represents Mediatique’s estimates based on collective negotiations by PSBs. The</w:t>
      </w:r>
      <w:r w:rsidR="00EE333A">
        <w:rPr>
          <w:rFonts w:cs="Arial"/>
          <w:color w:val="000000"/>
          <w:szCs w:val="22"/>
        </w:rPr>
        <w:t xml:space="preserve"> report states that under individual negotiations the figures are skewed slightly more towards platform operators but that the overall figures are quite similar, largely because there is one dominant party (ITV) in both sets of negotiations. Central estimates are produced for both individual and collective negotiation scenarios (see below) but the full table of scenarios above is only provided for collective negotiations.</w:t>
      </w:r>
      <w:r w:rsidR="00EE333A" w:rsidRPr="007D2BF8" w:rsidDel="00EE333A">
        <w:rPr>
          <w:rFonts w:cs="Arial"/>
          <w:color w:val="000000"/>
          <w:szCs w:val="22"/>
        </w:rPr>
        <w:t xml:space="preserve"> </w:t>
      </w:r>
    </w:p>
    <w:p w14:paraId="508B0174" w14:textId="77777777" w:rsidR="00F56FC6" w:rsidRPr="007D2BF8" w:rsidRDefault="00F56FC6" w:rsidP="00F56FC6">
      <w:pPr>
        <w:tabs>
          <w:tab w:val="left" w:pos="426"/>
        </w:tabs>
        <w:jc w:val="both"/>
        <w:rPr>
          <w:rFonts w:cs="Arial"/>
          <w:color w:val="000000"/>
          <w:szCs w:val="22"/>
        </w:rPr>
      </w:pPr>
    </w:p>
    <w:p w14:paraId="7FC3AD95" w14:textId="3D562D58" w:rsidR="00F56FC6" w:rsidRPr="00D87429" w:rsidRDefault="00F56FC6" w:rsidP="00F56FC6">
      <w:pPr>
        <w:autoSpaceDE w:val="0"/>
        <w:autoSpaceDN w:val="0"/>
        <w:adjustRightInd w:val="0"/>
        <w:jc w:val="both"/>
        <w:rPr>
          <w:rFonts w:cs="Arial"/>
          <w:szCs w:val="22"/>
        </w:rPr>
      </w:pPr>
      <w:r w:rsidRPr="001C52A0">
        <w:rPr>
          <w:rFonts w:cs="Arial"/>
          <w:color w:val="000000"/>
          <w:szCs w:val="22"/>
        </w:rPr>
        <w:t xml:space="preserve">Mediatique’s best estimate of </w:t>
      </w:r>
      <w:r w:rsidR="00C35DEA">
        <w:rPr>
          <w:rFonts w:cs="Arial"/>
          <w:color w:val="000000"/>
          <w:szCs w:val="22"/>
        </w:rPr>
        <w:t>where’fair</w:t>
      </w:r>
      <w:r w:rsidRPr="001C52A0">
        <w:rPr>
          <w:rFonts w:cs="Arial"/>
          <w:color w:val="000000"/>
          <w:szCs w:val="22"/>
        </w:rPr>
        <w:t xml:space="preserve"> payment’ </w:t>
      </w:r>
      <w:r w:rsidR="00355D80">
        <w:rPr>
          <w:rFonts w:cs="Arial"/>
          <w:color w:val="000000"/>
          <w:szCs w:val="22"/>
        </w:rPr>
        <w:t xml:space="preserve">equilibrium would settle </w:t>
      </w:r>
      <w:r w:rsidRPr="001C52A0">
        <w:rPr>
          <w:rFonts w:cs="Arial"/>
          <w:color w:val="000000"/>
          <w:szCs w:val="22"/>
        </w:rPr>
        <w:t xml:space="preserve">is of </w:t>
      </w:r>
      <w:r w:rsidRPr="00790039">
        <w:rPr>
          <w:rFonts w:cs="Arial"/>
          <w:color w:val="000000"/>
          <w:szCs w:val="22"/>
        </w:rPr>
        <w:t xml:space="preserve">£20m to £220m per year in favour of PSBs </w:t>
      </w:r>
      <w:r w:rsidRPr="001C52A0">
        <w:rPr>
          <w:rFonts w:cs="Arial"/>
          <w:color w:val="000000"/>
          <w:szCs w:val="22"/>
        </w:rPr>
        <w:t xml:space="preserve">if PSBs </w:t>
      </w:r>
      <w:r w:rsidR="00355D80">
        <w:rPr>
          <w:rFonts w:cs="Arial"/>
          <w:color w:val="000000"/>
          <w:szCs w:val="22"/>
        </w:rPr>
        <w:t xml:space="preserve">were to </w:t>
      </w:r>
      <w:r w:rsidRPr="001C52A0">
        <w:rPr>
          <w:rFonts w:cs="Arial"/>
          <w:color w:val="000000"/>
          <w:szCs w:val="22"/>
        </w:rPr>
        <w:t xml:space="preserve">negotiate collectively, and of </w:t>
      </w:r>
      <w:r w:rsidRPr="00790039">
        <w:rPr>
          <w:rFonts w:cs="Arial"/>
          <w:color w:val="000000"/>
          <w:szCs w:val="22"/>
        </w:rPr>
        <w:t>£110m in favour of platforms to £190m in favour of PSBs per year</w:t>
      </w:r>
      <w:r w:rsidRPr="001C52A0">
        <w:rPr>
          <w:rFonts w:cs="Arial"/>
          <w:color w:val="000000"/>
          <w:szCs w:val="22"/>
        </w:rPr>
        <w:t xml:space="preserve"> if PSBs do not negotiate collectively. The report </w:t>
      </w:r>
      <w:r w:rsidR="00C35DEA" w:rsidRPr="001C52A0">
        <w:rPr>
          <w:rFonts w:cs="Arial"/>
          <w:color w:val="000000"/>
          <w:szCs w:val="22"/>
        </w:rPr>
        <w:t>concludes</w:t>
      </w:r>
      <w:r w:rsidRPr="001C52A0">
        <w:rPr>
          <w:rFonts w:cs="Arial"/>
          <w:color w:val="000000"/>
          <w:szCs w:val="22"/>
        </w:rPr>
        <w:t xml:space="preserve"> “</w:t>
      </w:r>
      <w:r w:rsidRPr="001C52A0">
        <w:rPr>
          <w:rFonts w:cs="Arial"/>
          <w:szCs w:val="22"/>
        </w:rPr>
        <w:t>while payments in favour of PSBs</w:t>
      </w:r>
      <w:r w:rsidRPr="007D2BF8">
        <w:rPr>
          <w:rFonts w:cs="Arial"/>
          <w:szCs w:val="22"/>
        </w:rPr>
        <w:t xml:space="preserve"> are in our view more likely, payments flow in the opposite direction cannot be ruled out.”</w:t>
      </w:r>
      <w:r w:rsidR="007144CC" w:rsidRPr="007D2BF8">
        <w:rPr>
          <w:rFonts w:cs="Arial"/>
          <w:szCs w:val="22"/>
        </w:rPr>
        <w:t xml:space="preserve"> Under all options considered here, </w:t>
      </w:r>
      <w:r w:rsidR="007144CC" w:rsidRPr="007D2BF8">
        <w:rPr>
          <w:rFonts w:cs="Arial"/>
          <w:b/>
          <w:szCs w:val="22"/>
        </w:rPr>
        <w:t xml:space="preserve">PSBs will not be able to negotiate collectively. </w:t>
      </w:r>
      <w:r w:rsidR="007144CC" w:rsidRPr="007D2BF8">
        <w:rPr>
          <w:rFonts w:cs="Arial"/>
          <w:szCs w:val="22"/>
        </w:rPr>
        <w:t xml:space="preserve">As a consequence, </w:t>
      </w:r>
      <w:r w:rsidR="007144CC" w:rsidRPr="007D2BF8">
        <w:rPr>
          <w:rFonts w:cs="Arial"/>
          <w:b/>
          <w:szCs w:val="22"/>
        </w:rPr>
        <w:t xml:space="preserve">our </w:t>
      </w:r>
      <w:r w:rsidR="00D05672">
        <w:rPr>
          <w:rFonts w:cs="Arial"/>
          <w:b/>
          <w:szCs w:val="22"/>
        </w:rPr>
        <w:t>central</w:t>
      </w:r>
      <w:r w:rsidR="007144CC" w:rsidRPr="007D2BF8">
        <w:rPr>
          <w:rFonts w:cs="Arial"/>
          <w:b/>
          <w:szCs w:val="22"/>
        </w:rPr>
        <w:t xml:space="preserve"> estimate is a flow of </w:t>
      </w:r>
      <w:r w:rsidR="007144CC" w:rsidRPr="008E7DDD">
        <w:rPr>
          <w:rFonts w:cs="Arial"/>
          <w:b/>
          <w:szCs w:val="22"/>
        </w:rPr>
        <w:t>£</w:t>
      </w:r>
      <w:r w:rsidR="00D87429" w:rsidRPr="008E7DDD">
        <w:rPr>
          <w:rFonts w:cs="Arial"/>
          <w:b/>
          <w:szCs w:val="22"/>
        </w:rPr>
        <w:t>42.3</w:t>
      </w:r>
      <w:r w:rsidR="007144CC" w:rsidRPr="008E7DDD">
        <w:rPr>
          <w:rFonts w:cs="Arial"/>
          <w:b/>
          <w:szCs w:val="22"/>
        </w:rPr>
        <w:t>m annually</w:t>
      </w:r>
      <w:r w:rsidR="00E4754B">
        <w:rPr>
          <w:rFonts w:cs="Arial"/>
          <w:b/>
          <w:szCs w:val="22"/>
        </w:rPr>
        <w:t xml:space="preserve"> </w:t>
      </w:r>
      <w:r w:rsidR="007144CC" w:rsidRPr="007D2BF8">
        <w:rPr>
          <w:rFonts w:cs="Arial"/>
          <w:b/>
          <w:szCs w:val="22"/>
        </w:rPr>
        <w:t>from TV platforms to commercial PSBs</w:t>
      </w:r>
      <w:r w:rsidR="00D87429">
        <w:rPr>
          <w:rFonts w:cs="Arial"/>
          <w:szCs w:val="22"/>
        </w:rPr>
        <w:t xml:space="preserve"> in 2015 prices</w:t>
      </w:r>
      <w:r w:rsidR="00EE333A">
        <w:rPr>
          <w:rFonts w:cs="Arial"/>
          <w:szCs w:val="22"/>
        </w:rPr>
        <w:t xml:space="preserve"> (i.e. the mid-point of £40m uprated from 2012 to 2015 prices)</w:t>
      </w:r>
      <w:r w:rsidR="007144CC" w:rsidRPr="00D87429">
        <w:rPr>
          <w:rFonts w:cs="Arial"/>
          <w:szCs w:val="22"/>
        </w:rPr>
        <w:t>.</w:t>
      </w:r>
      <w:r w:rsidR="007144CC" w:rsidRPr="007D2BF8">
        <w:rPr>
          <w:rFonts w:cs="Arial"/>
          <w:b/>
          <w:szCs w:val="22"/>
        </w:rPr>
        <w:t xml:space="preserve"> </w:t>
      </w:r>
      <w:r w:rsidR="00D87429">
        <w:rPr>
          <w:rFonts w:cs="Arial"/>
          <w:szCs w:val="22"/>
        </w:rPr>
        <w:t xml:space="preserve">The NPV over 10 years of this transfer is </w:t>
      </w:r>
      <w:r w:rsidR="00D87429">
        <w:rPr>
          <w:rFonts w:cs="Arial"/>
          <w:b/>
          <w:szCs w:val="22"/>
        </w:rPr>
        <w:t>£364m</w:t>
      </w:r>
      <w:r w:rsidR="00D87429">
        <w:rPr>
          <w:rFonts w:cs="Arial"/>
          <w:szCs w:val="22"/>
        </w:rPr>
        <w:t>.</w:t>
      </w:r>
    </w:p>
    <w:p w14:paraId="10E7234B" w14:textId="77777777" w:rsidR="00F56FC6" w:rsidRDefault="00F56FC6" w:rsidP="00381CD3">
      <w:pPr>
        <w:pStyle w:val="EBNumber"/>
        <w:tabs>
          <w:tab w:val="clear" w:pos="425"/>
        </w:tabs>
        <w:spacing w:after="0"/>
        <w:ind w:left="0" w:firstLine="0"/>
        <w:jc w:val="both"/>
        <w:rPr>
          <w:color w:val="auto"/>
          <w:sz w:val="24"/>
          <w:u w:val="single"/>
        </w:rPr>
      </w:pPr>
    </w:p>
    <w:p w14:paraId="488918D9" w14:textId="7A572CBE" w:rsidR="008A5141" w:rsidRPr="007D2BF8" w:rsidRDefault="000A50A5">
      <w:pPr>
        <w:pStyle w:val="EBNumber"/>
        <w:tabs>
          <w:tab w:val="clear" w:pos="425"/>
        </w:tabs>
        <w:spacing w:after="0"/>
        <w:ind w:left="0" w:firstLine="0"/>
        <w:jc w:val="both"/>
        <w:rPr>
          <w:color w:val="auto"/>
          <w:sz w:val="24"/>
        </w:rPr>
      </w:pPr>
      <w:r w:rsidRPr="006825FB">
        <w:rPr>
          <w:color w:val="auto"/>
          <w:sz w:val="24"/>
        </w:rPr>
        <w:t xml:space="preserve">Under this option there is a risk that negotiations </w:t>
      </w:r>
      <w:r w:rsidR="00355D80" w:rsidRPr="006825FB">
        <w:rPr>
          <w:color w:val="auto"/>
          <w:sz w:val="24"/>
        </w:rPr>
        <w:t xml:space="preserve">do not result in agreement </w:t>
      </w:r>
      <w:r w:rsidRPr="006825FB">
        <w:rPr>
          <w:color w:val="auto"/>
          <w:sz w:val="24"/>
        </w:rPr>
        <w:t>and viewers are left with blank screens for a period, as has occurred with similar regimes in other countries (most notably the US). As both parties lose out u</w:t>
      </w:r>
      <w:r w:rsidR="00252AF5" w:rsidRPr="006825FB">
        <w:rPr>
          <w:color w:val="auto"/>
          <w:sz w:val="24"/>
        </w:rPr>
        <w:t>nder such a scenario</w:t>
      </w:r>
      <w:r w:rsidRPr="006825FB">
        <w:rPr>
          <w:color w:val="auto"/>
          <w:sz w:val="24"/>
        </w:rPr>
        <w:t xml:space="preserve"> and the UK has a history of very few disputes</w:t>
      </w:r>
      <w:r w:rsidR="00252AF5" w:rsidRPr="006825FB">
        <w:rPr>
          <w:color w:val="auto"/>
          <w:sz w:val="24"/>
        </w:rPr>
        <w:t xml:space="preserve"> between platforms and channels (unlike the US) this is considered to be unlikely. </w:t>
      </w:r>
      <w:r w:rsidR="006825FB">
        <w:rPr>
          <w:color w:val="auto"/>
          <w:sz w:val="24"/>
        </w:rPr>
        <w:t xml:space="preserve">There are a number of other interactions between PSBs and pay platform operators that may also limit such an action, including contracts with advertisers and agreements over sports rights. </w:t>
      </w:r>
      <w:r w:rsidR="00252AF5" w:rsidRPr="006825FB">
        <w:rPr>
          <w:color w:val="auto"/>
          <w:sz w:val="24"/>
        </w:rPr>
        <w:t xml:space="preserve">However, </w:t>
      </w:r>
      <w:r w:rsidR="006825FB">
        <w:rPr>
          <w:color w:val="auto"/>
          <w:sz w:val="24"/>
        </w:rPr>
        <w:t>blank screens are</w:t>
      </w:r>
      <w:r w:rsidR="00252AF5" w:rsidRPr="006825FB">
        <w:rPr>
          <w:color w:val="auto"/>
          <w:sz w:val="24"/>
        </w:rPr>
        <w:t xml:space="preserve"> considered a risk and should it occur there would be a loss of welfare to viewers.</w:t>
      </w:r>
      <w:r w:rsidR="00FE651C" w:rsidRPr="006825FB">
        <w:rPr>
          <w:color w:val="auto"/>
          <w:sz w:val="24"/>
        </w:rPr>
        <w:t xml:space="preserve"> This loss of welfare is assumed to be </w:t>
      </w:r>
      <w:r w:rsidR="006825FB">
        <w:rPr>
          <w:color w:val="auto"/>
          <w:sz w:val="24"/>
        </w:rPr>
        <w:t>small</w:t>
      </w:r>
      <w:r w:rsidR="00FE651C" w:rsidRPr="006825FB">
        <w:rPr>
          <w:color w:val="auto"/>
          <w:sz w:val="24"/>
        </w:rPr>
        <w:t xml:space="preserve"> as even if a certain paid for platform had blank screens for a certain PSB channel the majority of consumers should be able to switch to an alternative free source (such as Freeview) and continue to receive the channel.</w:t>
      </w:r>
      <w:r w:rsidR="00252AF5" w:rsidRPr="006825FB">
        <w:rPr>
          <w:color w:val="auto"/>
          <w:sz w:val="24"/>
        </w:rPr>
        <w:t xml:space="preserve"> </w:t>
      </w:r>
      <w:r w:rsidR="00FE651C" w:rsidRPr="006825FB">
        <w:rPr>
          <w:color w:val="auto"/>
          <w:sz w:val="24"/>
        </w:rPr>
        <w:t xml:space="preserve">There would be a minor annoyance value in having to do this but the impact on welfare should be minimal. </w:t>
      </w:r>
      <w:r w:rsidR="00882527">
        <w:rPr>
          <w:color w:val="auto"/>
          <w:sz w:val="24"/>
        </w:rPr>
        <w:t xml:space="preserve">However, it is currently unclear how many people may be unable to do this, for example because they only have </w:t>
      </w:r>
      <w:r w:rsidR="007E6D50">
        <w:rPr>
          <w:color w:val="auto"/>
          <w:sz w:val="24"/>
        </w:rPr>
        <w:t xml:space="preserve">access to </w:t>
      </w:r>
      <w:r w:rsidR="00882527">
        <w:rPr>
          <w:color w:val="auto"/>
          <w:sz w:val="24"/>
        </w:rPr>
        <w:t xml:space="preserve">satellite </w:t>
      </w:r>
      <w:r w:rsidR="007E6D50">
        <w:rPr>
          <w:color w:val="auto"/>
          <w:sz w:val="24"/>
        </w:rPr>
        <w:t xml:space="preserve">services </w:t>
      </w:r>
      <w:r w:rsidR="00882527">
        <w:rPr>
          <w:color w:val="auto"/>
          <w:sz w:val="24"/>
        </w:rPr>
        <w:t>and</w:t>
      </w:r>
      <w:r w:rsidR="007E6D50">
        <w:rPr>
          <w:color w:val="auto"/>
          <w:sz w:val="24"/>
        </w:rPr>
        <w:t>/or have</w:t>
      </w:r>
      <w:r w:rsidR="00882527">
        <w:rPr>
          <w:color w:val="auto"/>
          <w:sz w:val="24"/>
        </w:rPr>
        <w:t xml:space="preserve"> no functioning outdoor aerial. </w:t>
      </w:r>
      <w:r w:rsidR="00252AF5" w:rsidRPr="006825FB">
        <w:rPr>
          <w:color w:val="auto"/>
          <w:sz w:val="24"/>
        </w:rPr>
        <w:t>The consultation seeks further evidence on the likelihood of this occurring and the impact it would have on viewers.</w:t>
      </w:r>
      <w:r w:rsidR="007E6D50">
        <w:rPr>
          <w:color w:val="auto"/>
          <w:sz w:val="24"/>
        </w:rPr>
        <w:t xml:space="preserve"> </w:t>
      </w:r>
    </w:p>
    <w:p w14:paraId="7305E878" w14:textId="77777777" w:rsidR="00E537F3" w:rsidRDefault="00E537F3">
      <w:pPr>
        <w:pStyle w:val="EBNumber"/>
        <w:tabs>
          <w:tab w:val="clear" w:pos="425"/>
        </w:tabs>
        <w:spacing w:after="0"/>
        <w:ind w:left="0" w:firstLine="0"/>
        <w:jc w:val="both"/>
        <w:rPr>
          <w:i/>
          <w:sz w:val="24"/>
          <w:u w:val="single"/>
        </w:rPr>
      </w:pPr>
      <w:r>
        <w:rPr>
          <w:i/>
          <w:sz w:val="24"/>
          <w:u w:val="single"/>
        </w:rPr>
        <w:br w:type="page"/>
      </w:r>
    </w:p>
    <w:p w14:paraId="4E8B2A9A" w14:textId="4C83B00E" w:rsidR="008A5141" w:rsidRPr="007D2BF8" w:rsidRDefault="00D05672">
      <w:pPr>
        <w:pStyle w:val="EBNumber"/>
        <w:tabs>
          <w:tab w:val="clear" w:pos="425"/>
        </w:tabs>
        <w:spacing w:after="0"/>
        <w:ind w:left="0" w:firstLine="0"/>
        <w:jc w:val="both"/>
        <w:rPr>
          <w:i/>
          <w:sz w:val="24"/>
          <w:u w:val="single"/>
        </w:rPr>
      </w:pPr>
      <w:r>
        <w:rPr>
          <w:i/>
          <w:sz w:val="24"/>
          <w:u w:val="single"/>
        </w:rPr>
        <w:lastRenderedPageBreak/>
        <w:t>Amend must offer and must carry (Option 2b)</w:t>
      </w:r>
    </w:p>
    <w:p w14:paraId="0C445CD7" w14:textId="05408F6B" w:rsidR="00381CD3" w:rsidRPr="00D87429" w:rsidRDefault="00381CD3">
      <w:pPr>
        <w:pStyle w:val="EBNumber"/>
        <w:tabs>
          <w:tab w:val="clear" w:pos="425"/>
        </w:tabs>
        <w:spacing w:after="0"/>
        <w:ind w:left="0" w:firstLine="0"/>
        <w:jc w:val="both"/>
        <w:rPr>
          <w:sz w:val="24"/>
        </w:rPr>
      </w:pPr>
      <w:r w:rsidRPr="007D2BF8">
        <w:rPr>
          <w:sz w:val="24"/>
        </w:rPr>
        <w:t>Option 2</w:t>
      </w:r>
      <w:r w:rsidR="00E671F0">
        <w:rPr>
          <w:sz w:val="24"/>
        </w:rPr>
        <w:t>b</w:t>
      </w:r>
      <w:r w:rsidRPr="007D2BF8">
        <w:rPr>
          <w:sz w:val="24"/>
        </w:rPr>
        <w:t xml:space="preserve"> aims to replicate the outcome of free commercial negotiations, while avoiding </w:t>
      </w:r>
      <w:r w:rsidR="008F0C41" w:rsidRPr="007D2BF8">
        <w:rPr>
          <w:sz w:val="24"/>
        </w:rPr>
        <w:t xml:space="preserve">potential adverse impacts on consumers by invoking must offer and must carry regulations in case one party rejects a ‘commercially reasonable’ offer. The Department’s initial assessment prior to the consultation is that outcomes under this option </w:t>
      </w:r>
      <w:r w:rsidR="00E671F0">
        <w:rPr>
          <w:sz w:val="24"/>
        </w:rPr>
        <w:t>sh</w:t>
      </w:r>
      <w:r w:rsidR="008F0C41" w:rsidRPr="007D2BF8">
        <w:rPr>
          <w:sz w:val="24"/>
        </w:rPr>
        <w:t>ould be</w:t>
      </w:r>
      <w:r w:rsidR="00D05672">
        <w:rPr>
          <w:sz w:val="24"/>
        </w:rPr>
        <w:t xml:space="preserve"> close to Mediatique’s estimate</w:t>
      </w:r>
      <w:r w:rsidR="00E671F0">
        <w:rPr>
          <w:sz w:val="24"/>
        </w:rPr>
        <w:t xml:space="preserve"> of free negotiations. However, it is</w:t>
      </w:r>
      <w:r w:rsidR="000A50A5">
        <w:rPr>
          <w:sz w:val="24"/>
        </w:rPr>
        <w:t xml:space="preserve"> assumed</w:t>
      </w:r>
      <w:r w:rsidR="00E671F0">
        <w:rPr>
          <w:sz w:val="24"/>
        </w:rPr>
        <w:t xml:space="preserve"> that negotiations</w:t>
      </w:r>
      <w:r w:rsidR="008F0C41" w:rsidRPr="007D2BF8">
        <w:rPr>
          <w:sz w:val="24"/>
        </w:rPr>
        <w:t xml:space="preserve"> </w:t>
      </w:r>
      <w:r w:rsidR="00E671F0">
        <w:rPr>
          <w:sz w:val="24"/>
        </w:rPr>
        <w:t xml:space="preserve">will be slightly more </w:t>
      </w:r>
      <w:r w:rsidR="008F0C41" w:rsidRPr="007D2BF8">
        <w:rPr>
          <w:sz w:val="24"/>
        </w:rPr>
        <w:t>biased towards the status quo of zero net payments</w:t>
      </w:r>
      <w:r w:rsidR="00323872" w:rsidRPr="007D2BF8">
        <w:rPr>
          <w:sz w:val="24"/>
        </w:rPr>
        <w:t xml:space="preserve"> and within a narrower range than under options which allow either party to pull out of negotiations</w:t>
      </w:r>
      <w:r w:rsidR="008F0C41" w:rsidRPr="007D2BF8">
        <w:rPr>
          <w:sz w:val="24"/>
        </w:rPr>
        <w:t xml:space="preserve">. </w:t>
      </w:r>
      <w:r w:rsidR="000A50A5">
        <w:rPr>
          <w:sz w:val="24"/>
        </w:rPr>
        <w:t xml:space="preserve">Through the consultation we will seek further evidence to inform this assumption. </w:t>
      </w:r>
      <w:r w:rsidR="008F0C41" w:rsidRPr="007D2BF8">
        <w:rPr>
          <w:sz w:val="24"/>
        </w:rPr>
        <w:t xml:space="preserve">Thus, we estimate net transfers from TV platforms to commercial PSBs of between £20m and £40m annually, with a best estimate of </w:t>
      </w:r>
      <w:r w:rsidR="00D87429">
        <w:rPr>
          <w:b/>
          <w:sz w:val="24"/>
        </w:rPr>
        <w:t>£32</w:t>
      </w:r>
      <w:r w:rsidR="008F0C41" w:rsidRPr="007D2BF8">
        <w:rPr>
          <w:b/>
          <w:sz w:val="24"/>
        </w:rPr>
        <w:t>m</w:t>
      </w:r>
      <w:r w:rsidR="00D87429">
        <w:rPr>
          <w:b/>
          <w:sz w:val="24"/>
        </w:rPr>
        <w:t xml:space="preserve"> </w:t>
      </w:r>
      <w:r w:rsidR="00D87429">
        <w:rPr>
          <w:sz w:val="24"/>
        </w:rPr>
        <w:t>in 2015 prices</w:t>
      </w:r>
      <w:r w:rsidR="00323872" w:rsidRPr="00D87429">
        <w:rPr>
          <w:sz w:val="24"/>
        </w:rPr>
        <w:t>.</w:t>
      </w:r>
      <w:r w:rsidR="00D87429" w:rsidRPr="00D87429">
        <w:rPr>
          <w:sz w:val="24"/>
        </w:rPr>
        <w:t xml:space="preserve"> </w:t>
      </w:r>
      <w:r w:rsidR="00D87429">
        <w:rPr>
          <w:sz w:val="24"/>
        </w:rPr>
        <w:t xml:space="preserve">The NPV of this transfer over 10 years is </w:t>
      </w:r>
      <w:r w:rsidR="00D87429">
        <w:rPr>
          <w:b/>
          <w:sz w:val="24"/>
        </w:rPr>
        <w:t>£273m</w:t>
      </w:r>
      <w:r w:rsidR="00D87429">
        <w:rPr>
          <w:sz w:val="24"/>
        </w:rPr>
        <w:t>.</w:t>
      </w:r>
    </w:p>
    <w:p w14:paraId="35AA62E5" w14:textId="77777777" w:rsidR="00C47280" w:rsidRDefault="00C47280">
      <w:pPr>
        <w:pStyle w:val="EBNumber"/>
        <w:tabs>
          <w:tab w:val="clear" w:pos="425"/>
        </w:tabs>
        <w:spacing w:after="0"/>
        <w:ind w:left="0" w:firstLine="0"/>
        <w:jc w:val="both"/>
        <w:rPr>
          <w:b/>
          <w:sz w:val="24"/>
        </w:rPr>
      </w:pPr>
    </w:p>
    <w:p w14:paraId="543AC966" w14:textId="473293CC" w:rsidR="008006D5" w:rsidRDefault="008006D5">
      <w:pPr>
        <w:pStyle w:val="EBNumber"/>
        <w:tabs>
          <w:tab w:val="clear" w:pos="425"/>
        </w:tabs>
        <w:spacing w:after="0"/>
        <w:ind w:left="0" w:firstLine="0"/>
        <w:jc w:val="both"/>
        <w:rPr>
          <w:b/>
          <w:sz w:val="24"/>
        </w:rPr>
      </w:pPr>
      <w:r>
        <w:rPr>
          <w:b/>
          <w:i/>
          <w:color w:val="auto"/>
          <w:sz w:val="24"/>
          <w:u w:val="single"/>
        </w:rPr>
        <w:t>3.2.2 Wider Impacts</w:t>
      </w:r>
    </w:p>
    <w:p w14:paraId="50BECB8A" w14:textId="77777777" w:rsidR="00867C3F" w:rsidRDefault="00867C3F">
      <w:pPr>
        <w:pStyle w:val="EBNumber"/>
        <w:tabs>
          <w:tab w:val="clear" w:pos="425"/>
        </w:tabs>
        <w:spacing w:after="0"/>
        <w:ind w:left="0" w:firstLine="0"/>
        <w:jc w:val="both"/>
        <w:rPr>
          <w:b/>
          <w:sz w:val="24"/>
        </w:rPr>
      </w:pPr>
    </w:p>
    <w:p w14:paraId="12F3B63E" w14:textId="5B1F9170" w:rsidR="00555B6D" w:rsidRDefault="008006D5">
      <w:pPr>
        <w:pStyle w:val="EBNumber"/>
        <w:tabs>
          <w:tab w:val="clear" w:pos="425"/>
        </w:tabs>
        <w:spacing w:after="0"/>
        <w:ind w:left="0" w:firstLine="0"/>
        <w:jc w:val="both"/>
        <w:rPr>
          <w:sz w:val="24"/>
        </w:rPr>
      </w:pPr>
      <w:r w:rsidRPr="000147E1">
        <w:rPr>
          <w:sz w:val="24"/>
        </w:rPr>
        <w:t xml:space="preserve">Any </w:t>
      </w:r>
      <w:r w:rsidR="00C35DEA" w:rsidRPr="000147E1">
        <w:rPr>
          <w:sz w:val="24"/>
        </w:rPr>
        <w:t>changes in payment flows between platforms and PSBs will likely have</w:t>
      </w:r>
      <w:r>
        <w:rPr>
          <w:sz w:val="24"/>
        </w:rPr>
        <w:t xml:space="preserve"> wider impacts on consumer prices and programming budgets.</w:t>
      </w:r>
      <w:r w:rsidR="00EE114A">
        <w:rPr>
          <w:sz w:val="24"/>
        </w:rPr>
        <w:t xml:space="preserve"> It is speculative to estimate precisely how platforms and PSBs might pass on or absorb additional costs and revenues but Mediatique do provide some in</w:t>
      </w:r>
      <w:r w:rsidR="00555B6D">
        <w:rPr>
          <w:sz w:val="24"/>
        </w:rPr>
        <w:t>dications of what might happen</w:t>
      </w:r>
      <w:r w:rsidR="00555B6D">
        <w:rPr>
          <w:rStyle w:val="FootnoteReference"/>
        </w:rPr>
        <w:footnoteReference w:id="8"/>
      </w:r>
      <w:r w:rsidR="00555B6D">
        <w:rPr>
          <w:sz w:val="24"/>
        </w:rPr>
        <w:t>.</w:t>
      </w:r>
    </w:p>
    <w:p w14:paraId="4FEE8CBB" w14:textId="77777777" w:rsidR="00555B6D" w:rsidRDefault="00555B6D">
      <w:pPr>
        <w:pStyle w:val="EBNumber"/>
        <w:tabs>
          <w:tab w:val="clear" w:pos="425"/>
        </w:tabs>
        <w:spacing w:after="0"/>
        <w:ind w:left="0" w:firstLine="0"/>
        <w:jc w:val="both"/>
        <w:rPr>
          <w:sz w:val="24"/>
        </w:rPr>
      </w:pPr>
    </w:p>
    <w:p w14:paraId="1E15B543" w14:textId="4721813C" w:rsidR="00134B52" w:rsidRDefault="00EE114A">
      <w:pPr>
        <w:pStyle w:val="EBNumber"/>
        <w:tabs>
          <w:tab w:val="clear" w:pos="425"/>
        </w:tabs>
        <w:spacing w:after="0"/>
        <w:ind w:left="0" w:firstLine="0"/>
        <w:jc w:val="both"/>
        <w:rPr>
          <w:sz w:val="24"/>
        </w:rPr>
      </w:pPr>
      <w:r>
        <w:rPr>
          <w:sz w:val="24"/>
        </w:rPr>
        <w:t xml:space="preserve">If payments were to flow from platform operators to PSBs then Mediatique </w:t>
      </w:r>
      <w:r w:rsidR="00134B52">
        <w:rPr>
          <w:sz w:val="24"/>
        </w:rPr>
        <w:t>believe</w:t>
      </w:r>
      <w:r>
        <w:rPr>
          <w:sz w:val="24"/>
        </w:rPr>
        <w:t xml:space="preserve"> there is likely to be a net increase in original content spend. This is because PSBs </w:t>
      </w:r>
      <w:r w:rsidR="00555B6D">
        <w:rPr>
          <w:sz w:val="24"/>
        </w:rPr>
        <w:t xml:space="preserve">spend a high proportion of their revenues on content and it is likely any increased revenue would be reinvested, up to around 40-60% depending on the PSB. </w:t>
      </w:r>
      <w:r w:rsidR="00882527">
        <w:rPr>
          <w:sz w:val="24"/>
        </w:rPr>
        <w:t xml:space="preserve">However, such an increase in content is not guaranteed and </w:t>
      </w:r>
      <w:r w:rsidR="00932D55">
        <w:rPr>
          <w:sz w:val="24"/>
        </w:rPr>
        <w:t xml:space="preserve">additional revenues for PSBs could be spent on other </w:t>
      </w:r>
      <w:r w:rsidR="007958F1">
        <w:rPr>
          <w:sz w:val="24"/>
        </w:rPr>
        <w:t>investments.</w:t>
      </w:r>
    </w:p>
    <w:p w14:paraId="05734F38" w14:textId="77777777" w:rsidR="00134B52" w:rsidRDefault="00134B52">
      <w:pPr>
        <w:pStyle w:val="EBNumber"/>
        <w:tabs>
          <w:tab w:val="clear" w:pos="425"/>
        </w:tabs>
        <w:spacing w:after="0"/>
        <w:ind w:left="0" w:firstLine="0"/>
        <w:jc w:val="both"/>
        <w:rPr>
          <w:sz w:val="24"/>
        </w:rPr>
      </w:pPr>
    </w:p>
    <w:p w14:paraId="7E0137FB" w14:textId="36B31CD1" w:rsidR="008006D5" w:rsidRDefault="00555B6D">
      <w:pPr>
        <w:pStyle w:val="EBNumber"/>
        <w:tabs>
          <w:tab w:val="clear" w:pos="425"/>
        </w:tabs>
        <w:spacing w:after="0"/>
        <w:ind w:left="0" w:firstLine="0"/>
        <w:jc w:val="both"/>
        <w:rPr>
          <w:sz w:val="24"/>
        </w:rPr>
      </w:pPr>
      <w:r>
        <w:rPr>
          <w:sz w:val="24"/>
        </w:rPr>
        <w:t xml:space="preserve">There may be some loss of content spend for the in-house channels of platform operators (e.g. Sky1) but given a far smaller proportion of their budgets are spent on original </w:t>
      </w:r>
      <w:r w:rsidR="00134B52">
        <w:rPr>
          <w:sz w:val="24"/>
        </w:rPr>
        <w:t xml:space="preserve">non-sports </w:t>
      </w:r>
      <w:r>
        <w:rPr>
          <w:sz w:val="24"/>
        </w:rPr>
        <w:t>content</w:t>
      </w:r>
      <w:r w:rsidR="006851EF">
        <w:rPr>
          <w:rStyle w:val="FootnoteReference"/>
        </w:rPr>
        <w:footnoteReference w:id="9"/>
      </w:r>
      <w:r w:rsidR="00134B52">
        <w:rPr>
          <w:sz w:val="24"/>
        </w:rPr>
        <w:t xml:space="preserve"> </w:t>
      </w:r>
      <w:r>
        <w:rPr>
          <w:sz w:val="24"/>
        </w:rPr>
        <w:t xml:space="preserve">there is likely to be a net gain overall, and competitive pressures may force them to maintain investment anyway. Increasing </w:t>
      </w:r>
      <w:r w:rsidR="00C77BC2">
        <w:rPr>
          <w:sz w:val="24"/>
        </w:rPr>
        <w:t xml:space="preserve">the commissioning of </w:t>
      </w:r>
      <w:r>
        <w:rPr>
          <w:sz w:val="24"/>
        </w:rPr>
        <w:t xml:space="preserve">original content benefits the UK creative industries by ensuring </w:t>
      </w:r>
      <w:r w:rsidR="00C77BC2">
        <w:rPr>
          <w:sz w:val="24"/>
        </w:rPr>
        <w:t>more TV production takes place in the UK, rather than being bought from overseas. The increased costs to platform operators in this scenario may lead to increased prices for consumers as operators pass on the costs through higher subscription fees. Mediatique suggest that between 50% and 100% of the costs could be passed on to consumers based on US experience. Depending on the size of the payment this could be a relatively small impact when spread across all platform subscribers</w:t>
      </w:r>
      <w:r w:rsidR="006851EF">
        <w:rPr>
          <w:sz w:val="24"/>
        </w:rPr>
        <w:t>.</w:t>
      </w:r>
      <w:r w:rsidR="00134B52">
        <w:rPr>
          <w:sz w:val="24"/>
        </w:rPr>
        <w:t xml:space="preserve">  </w:t>
      </w:r>
      <w:r w:rsidR="00C77BC2">
        <w:rPr>
          <w:sz w:val="24"/>
        </w:rPr>
        <w:t>For example, the £42m pe</w:t>
      </w:r>
      <w:r w:rsidR="003218AD">
        <w:rPr>
          <w:sz w:val="24"/>
        </w:rPr>
        <w:t>r annum central estimate above w</w:t>
      </w:r>
      <w:r w:rsidR="00C77BC2">
        <w:rPr>
          <w:sz w:val="24"/>
        </w:rPr>
        <w:t>ould result in just a few pounds per year being added to subscription fees.</w:t>
      </w:r>
      <w:r w:rsidR="00134B52">
        <w:rPr>
          <w:sz w:val="24"/>
        </w:rPr>
        <w:t xml:space="preserve"> </w:t>
      </w:r>
      <w:r w:rsidR="006851EF">
        <w:rPr>
          <w:sz w:val="24"/>
        </w:rPr>
        <w:t xml:space="preserve">However, this would </w:t>
      </w:r>
      <w:r w:rsidR="00134B52">
        <w:rPr>
          <w:sz w:val="24"/>
        </w:rPr>
        <w:t xml:space="preserve">depend on </w:t>
      </w:r>
      <w:r w:rsidR="006851EF">
        <w:rPr>
          <w:sz w:val="24"/>
        </w:rPr>
        <w:t xml:space="preserve">the </w:t>
      </w:r>
      <w:r w:rsidR="00134B52">
        <w:rPr>
          <w:sz w:val="24"/>
        </w:rPr>
        <w:t>impact o</w:t>
      </w:r>
      <w:r w:rsidR="006851EF">
        <w:rPr>
          <w:sz w:val="24"/>
        </w:rPr>
        <w:t>f</w:t>
      </w:r>
      <w:r w:rsidR="00134B52">
        <w:rPr>
          <w:sz w:val="24"/>
        </w:rPr>
        <w:t xml:space="preserve"> churn and the overall position on other rights. </w:t>
      </w:r>
      <w:r w:rsidR="006851EF">
        <w:rPr>
          <w:sz w:val="24"/>
        </w:rPr>
        <w:t>For example, Sky could pass charges to Virgin by trying to up fees for carriage of Sky services while Virgin couldn’t do the same.</w:t>
      </w:r>
    </w:p>
    <w:p w14:paraId="0D121A14" w14:textId="77777777" w:rsidR="00C77BC2" w:rsidRDefault="00C77BC2">
      <w:pPr>
        <w:pStyle w:val="EBNumber"/>
        <w:tabs>
          <w:tab w:val="clear" w:pos="425"/>
        </w:tabs>
        <w:spacing w:after="0"/>
        <w:ind w:left="0" w:firstLine="0"/>
        <w:jc w:val="both"/>
        <w:rPr>
          <w:sz w:val="24"/>
        </w:rPr>
      </w:pPr>
    </w:p>
    <w:p w14:paraId="4E323658" w14:textId="484740D7" w:rsidR="00C77BC2" w:rsidRPr="000147E1" w:rsidRDefault="00C77BC2">
      <w:pPr>
        <w:pStyle w:val="EBNumber"/>
        <w:tabs>
          <w:tab w:val="clear" w:pos="425"/>
        </w:tabs>
        <w:spacing w:after="0"/>
        <w:ind w:left="0" w:firstLine="0"/>
        <w:jc w:val="both"/>
        <w:rPr>
          <w:sz w:val="24"/>
        </w:rPr>
      </w:pPr>
      <w:r>
        <w:rPr>
          <w:sz w:val="24"/>
        </w:rPr>
        <w:t>If payments were to flow from PSBs to platform operators the opposite impacts could be expected. PSBs might be expected to cut their original programming spend, and the additional revenues for platform operators could lead to lower prices to consumers. Given that the estimates for flows of payments above are speculative, could flow either way and depend on a wide range of factors we have not provided a central estimate of the impacts on original content spend or consumer prices.</w:t>
      </w:r>
    </w:p>
    <w:p w14:paraId="0FCD8C67" w14:textId="77777777" w:rsidR="008006D5" w:rsidRDefault="008006D5">
      <w:pPr>
        <w:pStyle w:val="EBNumber"/>
        <w:tabs>
          <w:tab w:val="clear" w:pos="425"/>
        </w:tabs>
        <w:spacing w:after="0"/>
        <w:ind w:left="0" w:firstLine="0"/>
        <w:jc w:val="both"/>
        <w:rPr>
          <w:b/>
          <w:sz w:val="24"/>
        </w:rPr>
      </w:pPr>
    </w:p>
    <w:p w14:paraId="4293512A" w14:textId="300DCAAD" w:rsidR="00867C3F" w:rsidRPr="00867C3F" w:rsidRDefault="00867C3F">
      <w:pPr>
        <w:pStyle w:val="EBNumber"/>
        <w:tabs>
          <w:tab w:val="clear" w:pos="425"/>
        </w:tabs>
        <w:spacing w:after="0"/>
        <w:ind w:left="0" w:firstLine="0"/>
        <w:jc w:val="both"/>
        <w:rPr>
          <w:b/>
          <w:sz w:val="24"/>
          <w:u w:val="single"/>
        </w:rPr>
      </w:pPr>
      <w:r>
        <w:rPr>
          <w:b/>
          <w:sz w:val="24"/>
          <w:u w:val="single"/>
        </w:rPr>
        <w:t xml:space="preserve">3.3. Option 3: </w:t>
      </w:r>
      <w:r w:rsidR="00715B4D">
        <w:rPr>
          <w:b/>
          <w:sz w:val="24"/>
          <w:u w:val="single"/>
        </w:rPr>
        <w:t xml:space="preserve">Future-Proof </w:t>
      </w:r>
      <w:r>
        <w:rPr>
          <w:b/>
          <w:sz w:val="24"/>
          <w:u w:val="single"/>
        </w:rPr>
        <w:t>or Remove the current EPG Regime</w:t>
      </w:r>
    </w:p>
    <w:p w14:paraId="64A0CD45" w14:textId="77777777" w:rsidR="000B166C" w:rsidRDefault="000B166C">
      <w:pPr>
        <w:pStyle w:val="EBNumber"/>
        <w:tabs>
          <w:tab w:val="clear" w:pos="425"/>
        </w:tabs>
        <w:spacing w:after="0"/>
        <w:ind w:left="0" w:firstLine="0"/>
        <w:jc w:val="both"/>
        <w:rPr>
          <w:i/>
          <w:sz w:val="24"/>
          <w:u w:val="single"/>
        </w:rPr>
      </w:pPr>
    </w:p>
    <w:p w14:paraId="55E87535" w14:textId="47FA013C" w:rsidR="00DA525F" w:rsidRDefault="00715B4D">
      <w:pPr>
        <w:pStyle w:val="EBNumber"/>
        <w:tabs>
          <w:tab w:val="clear" w:pos="425"/>
        </w:tabs>
        <w:spacing w:after="0"/>
        <w:ind w:left="0" w:firstLine="0"/>
        <w:jc w:val="both"/>
        <w:rPr>
          <w:sz w:val="24"/>
        </w:rPr>
      </w:pPr>
      <w:r>
        <w:rPr>
          <w:sz w:val="24"/>
        </w:rPr>
        <w:t xml:space="preserve">One of the reasons for exploring reform of the current EPG regime is the appearance of new technologies and new non-linear ways of watching television, such as through catch-up and </w:t>
      </w:r>
      <w:r>
        <w:rPr>
          <w:sz w:val="24"/>
        </w:rPr>
        <w:lastRenderedPageBreak/>
        <w:t xml:space="preserve">video on demand services. </w:t>
      </w:r>
      <w:r w:rsidR="00DA525F">
        <w:rPr>
          <w:sz w:val="24"/>
        </w:rPr>
        <w:t>It is therefore important to consider the counterfactual in any analysis of impacts – i.e. what can be expected to happen in terms of take up of these new technologies and what impact this would have.</w:t>
      </w:r>
      <w:r w:rsidR="00E56326">
        <w:rPr>
          <w:sz w:val="24"/>
        </w:rPr>
        <w:t xml:space="preserve"> Such analysis is by its nature speculative. Technology is moving fast and it is very difficult to predict new </w:t>
      </w:r>
      <w:r w:rsidR="00E537F3">
        <w:rPr>
          <w:sz w:val="24"/>
        </w:rPr>
        <w:t>developments, which</w:t>
      </w:r>
      <w:r w:rsidR="00E56326">
        <w:rPr>
          <w:sz w:val="24"/>
        </w:rPr>
        <w:t xml:space="preserve"> may lead to shifts in how people access content. However, to provide a meaningful counterfactual a series of conservative assumptions are presented below and their impact on the EPG regime estimated.</w:t>
      </w:r>
    </w:p>
    <w:p w14:paraId="1856F79C" w14:textId="77777777" w:rsidR="00306348" w:rsidRDefault="00306348">
      <w:pPr>
        <w:pStyle w:val="EBNumber"/>
        <w:tabs>
          <w:tab w:val="clear" w:pos="425"/>
        </w:tabs>
        <w:spacing w:after="0"/>
        <w:ind w:left="0" w:firstLine="0"/>
        <w:jc w:val="both"/>
        <w:rPr>
          <w:sz w:val="24"/>
        </w:rPr>
      </w:pPr>
    </w:p>
    <w:p w14:paraId="2D64C973" w14:textId="6D38CDC7" w:rsidR="00ED3F33" w:rsidRPr="000147E1" w:rsidRDefault="00ED3F33">
      <w:pPr>
        <w:pStyle w:val="EBNumber"/>
        <w:tabs>
          <w:tab w:val="clear" w:pos="425"/>
        </w:tabs>
        <w:spacing w:after="0"/>
        <w:ind w:left="0" w:firstLine="0"/>
        <w:jc w:val="both"/>
        <w:rPr>
          <w:i/>
          <w:sz w:val="24"/>
        </w:rPr>
      </w:pPr>
      <w:r w:rsidRPr="000147E1">
        <w:rPr>
          <w:i/>
          <w:sz w:val="24"/>
        </w:rPr>
        <w:t>Increase in connectivity</w:t>
      </w:r>
    </w:p>
    <w:p w14:paraId="0E9109FC" w14:textId="77777777" w:rsidR="00ED3F33" w:rsidRDefault="00ED3F33">
      <w:pPr>
        <w:pStyle w:val="EBNumber"/>
        <w:tabs>
          <w:tab w:val="clear" w:pos="425"/>
        </w:tabs>
        <w:spacing w:after="0"/>
        <w:ind w:left="0" w:firstLine="0"/>
        <w:jc w:val="both"/>
        <w:rPr>
          <w:sz w:val="24"/>
        </w:rPr>
      </w:pPr>
    </w:p>
    <w:p w14:paraId="5B65D298" w14:textId="3C977CF8" w:rsidR="00306348" w:rsidRDefault="00306348">
      <w:pPr>
        <w:pStyle w:val="EBNumber"/>
        <w:tabs>
          <w:tab w:val="clear" w:pos="425"/>
        </w:tabs>
        <w:spacing w:after="0"/>
        <w:ind w:left="0" w:firstLine="0"/>
        <w:jc w:val="both"/>
        <w:rPr>
          <w:sz w:val="24"/>
        </w:rPr>
      </w:pPr>
      <w:r>
        <w:rPr>
          <w:sz w:val="24"/>
        </w:rPr>
        <w:t xml:space="preserve">The </w:t>
      </w:r>
      <w:r w:rsidR="00AA7013">
        <w:rPr>
          <w:sz w:val="24"/>
        </w:rPr>
        <w:t>main changes in how people access content are</w:t>
      </w:r>
      <w:r>
        <w:rPr>
          <w:sz w:val="24"/>
        </w:rPr>
        <w:t xml:space="preserve"> </w:t>
      </w:r>
      <w:r w:rsidR="003E19F4">
        <w:rPr>
          <w:sz w:val="24"/>
        </w:rPr>
        <w:t>likely to be</w:t>
      </w:r>
      <w:r>
        <w:rPr>
          <w:sz w:val="24"/>
        </w:rPr>
        <w:t xml:space="preserve"> driven by connectivity to the internet</w:t>
      </w:r>
      <w:r w:rsidR="00AA7013">
        <w:rPr>
          <w:sz w:val="24"/>
        </w:rPr>
        <w:t>. This not only reflects increasing access to content through smartphones, tablets and laptops but also the use of internet connected TVs. Ofcom’s 2014 Communications Market Report</w:t>
      </w:r>
      <w:r w:rsidR="00AA7013">
        <w:rPr>
          <w:rStyle w:val="FootnoteReference"/>
        </w:rPr>
        <w:footnoteReference w:id="10"/>
      </w:r>
      <w:r w:rsidR="00AA7013">
        <w:rPr>
          <w:sz w:val="24"/>
        </w:rPr>
        <w:t xml:space="preserve"> establishes that the TV remains the dominant device for watching audio-visual content, with 97% of UK adults watching a TV set each week and on average spending 4 hours 2 minutes per day doing so.</w:t>
      </w:r>
      <w:r w:rsidR="003E19F4">
        <w:rPr>
          <w:sz w:val="24"/>
        </w:rPr>
        <w:t xml:space="preserve"> In comparison, laptops are used to watch audio-visual content by 14% of the population, desktop computers by 13%, tablets by 11%, games consoles by 7% and smartphones by 7%.</w:t>
      </w:r>
      <w:r w:rsidR="00375C8E">
        <w:rPr>
          <w:sz w:val="24"/>
        </w:rPr>
        <w:t xml:space="preserve"> In terms of TVs, </w:t>
      </w:r>
      <w:r w:rsidR="00E14A99">
        <w:rPr>
          <w:sz w:val="24"/>
        </w:rPr>
        <w:t>the Communications Market Report also</w:t>
      </w:r>
      <w:r w:rsidR="00375C8E">
        <w:rPr>
          <w:sz w:val="24"/>
        </w:rPr>
        <w:t xml:space="preserve"> indicates that 12% of UK homes now have a smart TV (one with in-built internet functionality) </w:t>
      </w:r>
      <w:r w:rsidR="00E14A99">
        <w:rPr>
          <w:sz w:val="24"/>
        </w:rPr>
        <w:t>which is an increase of 5pp since 2013, while 38% of UK households had an active internet-enabled set-top box in March 2014 which is an 11pp increase since 2013</w:t>
      </w:r>
      <w:r w:rsidR="00E14A99">
        <w:rPr>
          <w:rStyle w:val="FootnoteReference"/>
        </w:rPr>
        <w:footnoteReference w:id="11"/>
      </w:r>
      <w:r w:rsidR="00E14A99">
        <w:rPr>
          <w:sz w:val="24"/>
        </w:rPr>
        <w:t xml:space="preserve">. </w:t>
      </w:r>
      <w:r w:rsidR="00AB46A7">
        <w:rPr>
          <w:sz w:val="24"/>
        </w:rPr>
        <w:t xml:space="preserve">In 2014 82% of smart TV owners used the in-built internet connection on their TV, a 5pp increase on 2013, and of the 18% who did not a third were connected instead through another device such as a set-top box. Smart TVs also accounted for 45% of all TV sales in Q1 2014, increasing from 20% of sales in Q1 2012 and 28% of sales in Q1 2013. </w:t>
      </w:r>
      <w:r w:rsidR="00E14A99">
        <w:rPr>
          <w:sz w:val="24"/>
        </w:rPr>
        <w:t>This indicates that although the TV set remains the dominant way of accessing audio-visual content (in particular long-form content that is not a short clip) consumers are increasingly able to access content through the internet on their TV.</w:t>
      </w:r>
    </w:p>
    <w:p w14:paraId="1AA20AFD" w14:textId="77777777" w:rsidR="00AB46A7" w:rsidRDefault="00AB46A7">
      <w:pPr>
        <w:pStyle w:val="EBNumber"/>
        <w:tabs>
          <w:tab w:val="clear" w:pos="425"/>
        </w:tabs>
        <w:spacing w:after="0"/>
        <w:ind w:left="0" w:firstLine="0"/>
        <w:jc w:val="both"/>
        <w:rPr>
          <w:sz w:val="24"/>
        </w:rPr>
      </w:pPr>
    </w:p>
    <w:p w14:paraId="2AA84DFE" w14:textId="79F45AE9" w:rsidR="00EA6C8B" w:rsidRDefault="000E11ED" w:rsidP="00EA6C8B">
      <w:pPr>
        <w:pStyle w:val="EBNumber"/>
        <w:tabs>
          <w:tab w:val="clear" w:pos="425"/>
        </w:tabs>
        <w:spacing w:after="0"/>
        <w:ind w:left="0" w:firstLine="0"/>
        <w:jc w:val="both"/>
        <w:rPr>
          <w:sz w:val="24"/>
        </w:rPr>
      </w:pPr>
      <w:r>
        <w:rPr>
          <w:sz w:val="24"/>
        </w:rPr>
        <w:t xml:space="preserve">The Communications Market Report also highlights how the roll-out of VoD has accelerated in recent years, with an increase in activity since 2010 and a diversification in VoD services offering consumers new ways to access content. </w:t>
      </w:r>
      <w:r w:rsidR="00EA6C8B">
        <w:rPr>
          <w:sz w:val="24"/>
        </w:rPr>
        <w:t>In H2 2013 50% of UK adults claimed to have used a VoD service within the previous 12 months, a 23pp increase on H1 2010.</w:t>
      </w:r>
    </w:p>
    <w:p w14:paraId="104FF6F4" w14:textId="71B0DAB4" w:rsidR="00AB46A7" w:rsidRDefault="00AB46A7">
      <w:pPr>
        <w:pStyle w:val="EBNumber"/>
        <w:tabs>
          <w:tab w:val="clear" w:pos="425"/>
        </w:tabs>
        <w:spacing w:after="0"/>
        <w:ind w:left="0" w:firstLine="0"/>
        <w:jc w:val="both"/>
        <w:rPr>
          <w:sz w:val="24"/>
        </w:rPr>
      </w:pPr>
    </w:p>
    <w:p w14:paraId="49D0927E" w14:textId="77777777" w:rsidR="000E11ED" w:rsidRPr="000147E1" w:rsidRDefault="000E11ED">
      <w:pPr>
        <w:pStyle w:val="EBNumber"/>
        <w:tabs>
          <w:tab w:val="clear" w:pos="425"/>
        </w:tabs>
        <w:spacing w:after="0"/>
        <w:ind w:left="0" w:firstLine="0"/>
        <w:jc w:val="both"/>
        <w:rPr>
          <w:i/>
          <w:sz w:val="24"/>
        </w:rPr>
      </w:pPr>
    </w:p>
    <w:p w14:paraId="7FAFB3E3" w14:textId="70755C00" w:rsidR="000E11ED" w:rsidRPr="000147E1" w:rsidRDefault="000E11ED">
      <w:pPr>
        <w:pStyle w:val="EBNumber"/>
        <w:tabs>
          <w:tab w:val="clear" w:pos="425"/>
        </w:tabs>
        <w:spacing w:after="0"/>
        <w:ind w:left="0" w:firstLine="0"/>
        <w:jc w:val="both"/>
        <w:rPr>
          <w:i/>
          <w:sz w:val="24"/>
        </w:rPr>
      </w:pPr>
      <w:r w:rsidRPr="000147E1">
        <w:rPr>
          <w:i/>
          <w:sz w:val="24"/>
        </w:rPr>
        <w:t>Selected VoD service developments (Source: Ofcom Communications Market Report 2014)</w:t>
      </w:r>
    </w:p>
    <w:p w14:paraId="6190D472" w14:textId="43B707E4" w:rsidR="000E11ED" w:rsidRDefault="000E11ED">
      <w:pPr>
        <w:pStyle w:val="EBNumber"/>
        <w:tabs>
          <w:tab w:val="clear" w:pos="425"/>
        </w:tabs>
        <w:spacing w:after="0"/>
        <w:ind w:left="0" w:firstLine="0"/>
        <w:jc w:val="both"/>
        <w:rPr>
          <w:sz w:val="24"/>
        </w:rPr>
      </w:pPr>
      <w:r>
        <w:rPr>
          <w:noProof/>
        </w:rPr>
        <w:drawing>
          <wp:inline distT="0" distB="0" distL="0" distR="0" wp14:anchorId="5FB68FAA" wp14:editId="70E44172">
            <wp:extent cx="6141178" cy="2527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563" t="26829" r="13670" b="18467"/>
                    <a:stretch/>
                  </pic:blipFill>
                  <pic:spPr bwMode="auto">
                    <a:xfrm>
                      <a:off x="0" y="0"/>
                      <a:ext cx="6145190" cy="252895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1576B00" w14:textId="77777777" w:rsidR="000E11ED" w:rsidRDefault="000E11ED">
      <w:pPr>
        <w:pStyle w:val="EBNumber"/>
        <w:tabs>
          <w:tab w:val="clear" w:pos="425"/>
        </w:tabs>
        <w:spacing w:after="0"/>
        <w:ind w:left="0" w:firstLine="0"/>
        <w:jc w:val="both"/>
        <w:rPr>
          <w:sz w:val="24"/>
        </w:rPr>
      </w:pPr>
    </w:p>
    <w:p w14:paraId="6E7486B8" w14:textId="2EFEC387" w:rsidR="00C833CF" w:rsidRDefault="00EA6C8B" w:rsidP="00EA6C8B">
      <w:pPr>
        <w:pStyle w:val="EBNumber"/>
        <w:tabs>
          <w:tab w:val="clear" w:pos="425"/>
        </w:tabs>
        <w:spacing w:after="0"/>
        <w:ind w:left="0" w:firstLine="0"/>
        <w:jc w:val="both"/>
        <w:rPr>
          <w:sz w:val="24"/>
        </w:rPr>
      </w:pPr>
      <w:r>
        <w:rPr>
          <w:sz w:val="24"/>
        </w:rPr>
        <w:t xml:space="preserve">Despite this increase in available services and ability of consumers to access them VoD currently only accounts for a small proportion of all viewing time. </w:t>
      </w:r>
      <w:r w:rsidRPr="00EA6C8B">
        <w:rPr>
          <w:sz w:val="24"/>
        </w:rPr>
        <w:t>Results</w:t>
      </w:r>
      <w:r>
        <w:rPr>
          <w:sz w:val="24"/>
        </w:rPr>
        <w:t xml:space="preserve"> </w:t>
      </w:r>
      <w:r w:rsidR="00E35654">
        <w:rPr>
          <w:sz w:val="24"/>
        </w:rPr>
        <w:t>from Ofcom’</w:t>
      </w:r>
      <w:r w:rsidRPr="00EA6C8B">
        <w:rPr>
          <w:sz w:val="24"/>
        </w:rPr>
        <w:t xml:space="preserve">s Digital </w:t>
      </w:r>
      <w:r w:rsidRPr="00EA6C8B">
        <w:rPr>
          <w:sz w:val="24"/>
        </w:rPr>
        <w:lastRenderedPageBreak/>
        <w:t xml:space="preserve">Day diary research </w:t>
      </w:r>
      <w:r w:rsidR="00E35654">
        <w:rPr>
          <w:sz w:val="24"/>
        </w:rPr>
        <w:t xml:space="preserve">reported in the 2014 Communications Market Report </w:t>
      </w:r>
      <w:r w:rsidRPr="00EA6C8B">
        <w:rPr>
          <w:sz w:val="24"/>
        </w:rPr>
        <w:t>showed that adults watched an average of 2 hours</w:t>
      </w:r>
      <w:r>
        <w:rPr>
          <w:sz w:val="24"/>
        </w:rPr>
        <w:t xml:space="preserve"> </w:t>
      </w:r>
      <w:r w:rsidRPr="00EA6C8B">
        <w:rPr>
          <w:sz w:val="24"/>
        </w:rPr>
        <w:t>59 minutes of live TV per day, equating to 69% of all their media viewing time. The next most</w:t>
      </w:r>
      <w:r>
        <w:rPr>
          <w:sz w:val="24"/>
        </w:rPr>
        <w:t xml:space="preserve"> </w:t>
      </w:r>
      <w:r w:rsidRPr="00EA6C8B">
        <w:rPr>
          <w:sz w:val="24"/>
        </w:rPr>
        <w:t>popular viewing activity, recorded TV, accounted for 40 minutes (16%). The research also</w:t>
      </w:r>
      <w:r>
        <w:rPr>
          <w:sz w:val="24"/>
        </w:rPr>
        <w:t xml:space="preserve"> </w:t>
      </w:r>
      <w:r w:rsidRPr="00EA6C8B">
        <w:rPr>
          <w:sz w:val="24"/>
        </w:rPr>
        <w:t>showed that, on average, people spent about the same amount of time watching TV or films</w:t>
      </w:r>
      <w:r>
        <w:rPr>
          <w:sz w:val="24"/>
        </w:rPr>
        <w:t xml:space="preserve"> </w:t>
      </w:r>
      <w:r w:rsidRPr="00EA6C8B">
        <w:rPr>
          <w:sz w:val="24"/>
        </w:rPr>
        <w:t>on DVD, Blu-ray or VHS video (physical media) as they did watching free on-demand/catchup</w:t>
      </w:r>
      <w:r>
        <w:rPr>
          <w:sz w:val="24"/>
        </w:rPr>
        <w:t xml:space="preserve"> </w:t>
      </w:r>
      <w:r w:rsidRPr="00EA6C8B">
        <w:rPr>
          <w:sz w:val="24"/>
        </w:rPr>
        <w:t>TV (12 minutes, or 5% of all viewing time, each). Paid-for, downloaded or streamed TV or</w:t>
      </w:r>
      <w:r>
        <w:rPr>
          <w:sz w:val="24"/>
        </w:rPr>
        <w:t xml:space="preserve"> </w:t>
      </w:r>
      <w:r w:rsidRPr="00EA6C8B">
        <w:rPr>
          <w:sz w:val="24"/>
        </w:rPr>
        <w:t>films accounted for 7 minutes (3%). Added together, free</w:t>
      </w:r>
      <w:r>
        <w:rPr>
          <w:sz w:val="24"/>
        </w:rPr>
        <w:t xml:space="preserve"> and paid on-demand and streamed </w:t>
      </w:r>
      <w:r w:rsidRPr="00EA6C8B">
        <w:rPr>
          <w:sz w:val="24"/>
        </w:rPr>
        <w:t>content accounted for 8% of all viewing time across all devices.</w:t>
      </w:r>
      <w:r w:rsidR="00C833CF">
        <w:rPr>
          <w:sz w:val="24"/>
        </w:rPr>
        <w:t xml:space="preserve"> Although only a small proportion of total viewing it is estimated that unique programme requests for long-form VoD (programmes rather than short clips) have risen by 38% between the second half of 2012 and the second half of 2013. This followed an increase of 21% between H2 2011 and H2 2012</w:t>
      </w:r>
      <w:r w:rsidR="00C833CF">
        <w:rPr>
          <w:rStyle w:val="FootnoteReference"/>
        </w:rPr>
        <w:footnoteReference w:id="12"/>
      </w:r>
      <w:r w:rsidR="00C833CF">
        <w:rPr>
          <w:sz w:val="24"/>
        </w:rPr>
        <w:t>.</w:t>
      </w:r>
    </w:p>
    <w:p w14:paraId="34CAABFE" w14:textId="77777777" w:rsidR="00C833CF" w:rsidRDefault="00C833CF" w:rsidP="00EA6C8B">
      <w:pPr>
        <w:pStyle w:val="EBNumber"/>
        <w:tabs>
          <w:tab w:val="clear" w:pos="425"/>
        </w:tabs>
        <w:spacing w:after="0"/>
        <w:ind w:left="0" w:firstLine="0"/>
        <w:jc w:val="both"/>
        <w:rPr>
          <w:sz w:val="24"/>
        </w:rPr>
      </w:pPr>
    </w:p>
    <w:p w14:paraId="0C1FE61D" w14:textId="77777777" w:rsidR="005956CC" w:rsidRDefault="00A14D2E" w:rsidP="00EA6C8B">
      <w:pPr>
        <w:pStyle w:val="EBNumber"/>
        <w:tabs>
          <w:tab w:val="clear" w:pos="425"/>
        </w:tabs>
        <w:spacing w:after="0"/>
        <w:ind w:left="0" w:firstLine="0"/>
        <w:jc w:val="both"/>
        <w:rPr>
          <w:sz w:val="24"/>
        </w:rPr>
      </w:pPr>
      <w:r>
        <w:rPr>
          <w:sz w:val="24"/>
        </w:rPr>
        <w:t xml:space="preserve">There is no simple measure which represents how much viewing takes place through traditional linear EPGs and how much takes place through alternative methods. The increase in demand for VoD is one indication but </w:t>
      </w:r>
      <w:r w:rsidR="008C270D">
        <w:rPr>
          <w:sz w:val="24"/>
        </w:rPr>
        <w:t xml:space="preserve">other forms of TV viewing can also take place through alternative methods (for example, live TV viewing accessed through a streaming app). However, the evidence suggests that such non-linear viewing is currently a low proportion that is growing </w:t>
      </w:r>
      <w:r w:rsidR="003B1CEF">
        <w:rPr>
          <w:sz w:val="24"/>
        </w:rPr>
        <w:t>and is likely</w:t>
      </w:r>
      <w:r w:rsidR="008C270D">
        <w:rPr>
          <w:sz w:val="24"/>
        </w:rPr>
        <w:t xml:space="preserve"> to grow further.</w:t>
      </w:r>
    </w:p>
    <w:p w14:paraId="2624DCA4" w14:textId="77777777" w:rsidR="005956CC" w:rsidRDefault="005956CC" w:rsidP="00EA6C8B">
      <w:pPr>
        <w:pStyle w:val="EBNumber"/>
        <w:tabs>
          <w:tab w:val="clear" w:pos="425"/>
        </w:tabs>
        <w:spacing w:after="0"/>
        <w:ind w:left="0" w:firstLine="0"/>
        <w:jc w:val="both"/>
        <w:rPr>
          <w:sz w:val="24"/>
        </w:rPr>
      </w:pPr>
    </w:p>
    <w:p w14:paraId="368F3648" w14:textId="145A2AA2" w:rsidR="00A14D2E" w:rsidRDefault="003B1CEF" w:rsidP="00EA6C8B">
      <w:pPr>
        <w:pStyle w:val="EBNumber"/>
        <w:tabs>
          <w:tab w:val="clear" w:pos="425"/>
        </w:tabs>
        <w:spacing w:after="0"/>
        <w:ind w:left="0" w:firstLine="0"/>
        <w:jc w:val="both"/>
        <w:rPr>
          <w:sz w:val="24"/>
        </w:rPr>
      </w:pPr>
      <w:r>
        <w:rPr>
          <w:sz w:val="24"/>
        </w:rPr>
        <w:t>In 2013 it was estimated that PSBs had a risk of losing the prominence secured through traditional EPGs by</w:t>
      </w:r>
      <w:r w:rsidR="00B139F7">
        <w:rPr>
          <w:sz w:val="24"/>
        </w:rPr>
        <w:t xml:space="preserve"> 30pp</w:t>
      </w:r>
      <w:r>
        <w:rPr>
          <w:sz w:val="24"/>
        </w:rPr>
        <w:t xml:space="preserve"> over 10 years</w:t>
      </w:r>
      <w:r w:rsidR="00FB1EF2">
        <w:rPr>
          <w:rStyle w:val="FootnoteReference"/>
        </w:rPr>
        <w:footnoteReference w:id="13"/>
      </w:r>
      <w:r>
        <w:rPr>
          <w:sz w:val="24"/>
        </w:rPr>
        <w:t xml:space="preserve">. This was based on projections of the proportion of people owning </w:t>
      </w:r>
      <w:r w:rsidR="00FB1EF2">
        <w:rPr>
          <w:sz w:val="24"/>
        </w:rPr>
        <w:t>connected</w:t>
      </w:r>
      <w:r>
        <w:rPr>
          <w:sz w:val="24"/>
        </w:rPr>
        <w:t xml:space="preserve"> TVs increasing by 45pp over the period</w:t>
      </w:r>
      <w:r w:rsidR="00FB1EF2">
        <w:rPr>
          <w:sz w:val="24"/>
        </w:rPr>
        <w:t xml:space="preserve"> (extrapolated from an estimate by Enders analysis)</w:t>
      </w:r>
      <w:r>
        <w:rPr>
          <w:sz w:val="24"/>
        </w:rPr>
        <w:t xml:space="preserve"> but adjusting </w:t>
      </w:r>
      <w:r w:rsidR="00FB1EF2">
        <w:rPr>
          <w:sz w:val="24"/>
        </w:rPr>
        <w:t xml:space="preserve">downwards for people continuing to use linear EPGs on their connected TVs and alternative forms of organising content continuing to choose to promote PSBs anyway. Since producing that impact assessment there has continued to be a fairly show shift towards connected TVs and VoD, as outlined above, but there is no new evidence on the specific issue of </w:t>
      </w:r>
      <w:r w:rsidR="00B139F7">
        <w:rPr>
          <w:sz w:val="24"/>
        </w:rPr>
        <w:t>EPG prominence</w:t>
      </w:r>
      <w:r w:rsidR="00FB1EF2">
        <w:rPr>
          <w:sz w:val="24"/>
        </w:rPr>
        <w:t xml:space="preserve">. Therefore the Department </w:t>
      </w:r>
      <w:r w:rsidR="00B139F7">
        <w:rPr>
          <w:sz w:val="24"/>
        </w:rPr>
        <w:t>continues to believe a 30pp shift away from using linear EPGs to access content is a reasonable central estimate. This is modelled as a gradual impact with a 3pp shift each year over the 10 years. As stated above this is by its nature a speculative estimate with a high degree of uncertainty but provides a central estimate on which to base a counterfactual.</w:t>
      </w:r>
    </w:p>
    <w:p w14:paraId="38EADE55" w14:textId="77777777" w:rsidR="005956CC" w:rsidRDefault="005956CC" w:rsidP="00EA6C8B">
      <w:pPr>
        <w:pStyle w:val="EBNumber"/>
        <w:tabs>
          <w:tab w:val="clear" w:pos="425"/>
        </w:tabs>
        <w:spacing w:after="0"/>
        <w:ind w:left="0" w:firstLine="0"/>
        <w:jc w:val="both"/>
        <w:rPr>
          <w:sz w:val="24"/>
        </w:rPr>
      </w:pPr>
    </w:p>
    <w:p w14:paraId="64E41F88" w14:textId="77DAA3BE" w:rsidR="00ED3F33" w:rsidRPr="000147E1" w:rsidRDefault="00ED3F33" w:rsidP="00EA6C8B">
      <w:pPr>
        <w:pStyle w:val="EBNumber"/>
        <w:tabs>
          <w:tab w:val="clear" w:pos="425"/>
        </w:tabs>
        <w:spacing w:after="0"/>
        <w:ind w:left="0" w:firstLine="0"/>
        <w:jc w:val="both"/>
        <w:rPr>
          <w:i/>
          <w:sz w:val="24"/>
        </w:rPr>
      </w:pPr>
      <w:r w:rsidRPr="000147E1">
        <w:rPr>
          <w:i/>
          <w:sz w:val="24"/>
        </w:rPr>
        <w:t>Value of EPG Prominence</w:t>
      </w:r>
    </w:p>
    <w:p w14:paraId="373B4534" w14:textId="77777777" w:rsidR="00ED3F33" w:rsidRDefault="00ED3F33" w:rsidP="00EA6C8B">
      <w:pPr>
        <w:pStyle w:val="EBNumber"/>
        <w:tabs>
          <w:tab w:val="clear" w:pos="425"/>
        </w:tabs>
        <w:spacing w:after="0"/>
        <w:ind w:left="0" w:firstLine="0"/>
        <w:jc w:val="both"/>
        <w:rPr>
          <w:sz w:val="24"/>
        </w:rPr>
      </w:pPr>
    </w:p>
    <w:p w14:paraId="19C8B7A5" w14:textId="4DB47C76" w:rsidR="00ED3F33" w:rsidRDefault="00ED3F33" w:rsidP="00EA6C8B">
      <w:pPr>
        <w:pStyle w:val="EBNumber"/>
        <w:tabs>
          <w:tab w:val="clear" w:pos="425"/>
        </w:tabs>
        <w:spacing w:after="0"/>
        <w:ind w:left="0" w:firstLine="0"/>
        <w:jc w:val="both"/>
        <w:rPr>
          <w:sz w:val="24"/>
        </w:rPr>
      </w:pPr>
      <w:r>
        <w:rPr>
          <w:sz w:val="24"/>
        </w:rPr>
        <w:t>EPG prominence is guaranteed for PSBs under the current regime on the basis that a prominent EPG position will help to secure a greater number of viewers for PSB content.</w:t>
      </w:r>
      <w:r w:rsidR="00EC7E25">
        <w:rPr>
          <w:sz w:val="24"/>
        </w:rPr>
        <w:t xml:space="preserve"> </w:t>
      </w:r>
      <w:r w:rsidR="00354751">
        <w:rPr>
          <w:sz w:val="24"/>
        </w:rPr>
        <w:t>More widely, for any commercial channel the economic value of EPG prominence can be seen in the extent to which it secures more viewers and therefore greater advertising revenue.</w:t>
      </w:r>
      <w:r>
        <w:rPr>
          <w:sz w:val="24"/>
        </w:rPr>
        <w:t xml:space="preserve"> </w:t>
      </w:r>
      <w:r w:rsidR="00C35DEA">
        <w:rPr>
          <w:sz w:val="24"/>
        </w:rPr>
        <w:t>Technologia commissioned by DCMS in 2012 explores this in a paper</w:t>
      </w:r>
      <w:r w:rsidR="00EC7E25">
        <w:rPr>
          <w:rStyle w:val="FootnoteReference"/>
        </w:rPr>
        <w:footnoteReference w:id="14"/>
      </w:r>
      <w:r w:rsidR="00EC7E25">
        <w:rPr>
          <w:sz w:val="24"/>
        </w:rPr>
        <w:t>. As part of the study Technologia interviewed stakeholders who all confirmed the importance of EPG positioning while identifying various factors (such as being top of a category or page, or having a memorable round number) as being important rather than just being as high in the listings as possible.</w:t>
      </w:r>
      <w:r w:rsidR="00354751">
        <w:rPr>
          <w:sz w:val="24"/>
        </w:rPr>
        <w:t xml:space="preserve"> The study also cites a YouGov survey for the BBC where the majority of Sky users access their content through channel menus (68%) or through scrolling up and down channels (18%) with relatively few typing in specific channel numbers (just 12%). Both use of menus and scrolling would be expected to favour channels at the top of an EPG (either overall or within a genre).</w:t>
      </w:r>
      <w:r w:rsidR="0029362C">
        <w:rPr>
          <w:sz w:val="24"/>
        </w:rPr>
        <w:t xml:space="preserve"> Clearly EPG positioning is not the only factor in determining whether people access content and some content will always be sought out no matter where it is located in the EPG. However, the evidence presented suggests that EPG position does have some influence on viewing numbers.</w:t>
      </w:r>
    </w:p>
    <w:p w14:paraId="1E9AA2D0" w14:textId="77777777" w:rsidR="00ED3F33" w:rsidRDefault="00ED3F33" w:rsidP="00EA6C8B">
      <w:pPr>
        <w:pStyle w:val="EBNumber"/>
        <w:tabs>
          <w:tab w:val="clear" w:pos="425"/>
        </w:tabs>
        <w:spacing w:after="0"/>
        <w:ind w:left="0" w:firstLine="0"/>
        <w:jc w:val="both"/>
        <w:rPr>
          <w:sz w:val="24"/>
        </w:rPr>
      </w:pPr>
    </w:p>
    <w:p w14:paraId="348297C8" w14:textId="03B0F4C3" w:rsidR="000C3A6D" w:rsidRDefault="00100F7A" w:rsidP="00EA6C8B">
      <w:pPr>
        <w:pStyle w:val="EBNumber"/>
        <w:tabs>
          <w:tab w:val="clear" w:pos="425"/>
        </w:tabs>
        <w:spacing w:after="0"/>
        <w:ind w:left="0" w:firstLine="0"/>
        <w:jc w:val="both"/>
        <w:rPr>
          <w:sz w:val="24"/>
        </w:rPr>
      </w:pPr>
      <w:r>
        <w:rPr>
          <w:sz w:val="24"/>
        </w:rPr>
        <w:lastRenderedPageBreak/>
        <w:t>As part of the Technologia study</w:t>
      </w:r>
      <w:r w:rsidR="007E6D50">
        <w:rPr>
          <w:sz w:val="24"/>
        </w:rPr>
        <w:t xml:space="preserve">, Technologia asked Canis Media </w:t>
      </w:r>
      <w:r>
        <w:rPr>
          <w:sz w:val="24"/>
        </w:rPr>
        <w:t xml:space="preserve">to estimate the economic value of EPG slots on the Sky platform. EPG positions on the Sky EPG </w:t>
      </w:r>
      <w:r w:rsidR="00C35DEA">
        <w:rPr>
          <w:sz w:val="24"/>
        </w:rPr>
        <w:t>can</w:t>
      </w:r>
      <w:r>
        <w:rPr>
          <w:sz w:val="24"/>
        </w:rPr>
        <w:t xml:space="preserve"> be traded on a secondary market, subject to certain rules, and Canis Media are brokers that specialise in the valuation and trading of these positions. The top 5 positions that are currently occupied by the PSBs have never been traded as they are effectively reserved by the prominence regime but Canis have used their experience </w:t>
      </w:r>
      <w:r w:rsidR="00616731">
        <w:rPr>
          <w:sz w:val="24"/>
        </w:rPr>
        <w:t xml:space="preserve">of other trades to estimate that the value of the top slot in the entertainment genre (BBC1) would be worth </w:t>
      </w:r>
      <w:r w:rsidR="00BA65D0">
        <w:rPr>
          <w:sz w:val="24"/>
        </w:rPr>
        <w:t xml:space="preserve">approximately £20m on the secondary </w:t>
      </w:r>
      <w:r w:rsidR="00616731">
        <w:rPr>
          <w:sz w:val="24"/>
        </w:rPr>
        <w:t>market. Technologia use the top and bottom genre values from Canis to create a geomet</w:t>
      </w:r>
      <w:r w:rsidR="00BA65D0">
        <w:rPr>
          <w:sz w:val="24"/>
        </w:rPr>
        <w:t xml:space="preserve">ric series model of all EPG slots </w:t>
      </w:r>
      <w:r w:rsidR="00616731">
        <w:rPr>
          <w:sz w:val="24"/>
        </w:rPr>
        <w:t xml:space="preserve">and estimate </w:t>
      </w:r>
      <w:r w:rsidR="00BA65D0">
        <w:rPr>
          <w:sz w:val="24"/>
        </w:rPr>
        <w:t>the top 5 currently occupied by the PSBs would be worth around £90m.</w:t>
      </w:r>
      <w:r w:rsidR="00616731">
        <w:rPr>
          <w:sz w:val="24"/>
        </w:rPr>
        <w:t xml:space="preserve"> This is illustrated below.</w:t>
      </w:r>
    </w:p>
    <w:p w14:paraId="46C97F09" w14:textId="77777777" w:rsidR="00616731" w:rsidRDefault="00616731" w:rsidP="00EA6C8B">
      <w:pPr>
        <w:pStyle w:val="EBNumber"/>
        <w:tabs>
          <w:tab w:val="clear" w:pos="425"/>
        </w:tabs>
        <w:spacing w:after="0"/>
        <w:ind w:left="0" w:firstLine="0"/>
        <w:jc w:val="both"/>
        <w:rPr>
          <w:sz w:val="24"/>
        </w:rPr>
      </w:pPr>
    </w:p>
    <w:p w14:paraId="3B1B610C" w14:textId="2466EEF7" w:rsidR="00616731" w:rsidRPr="000147E1" w:rsidRDefault="00616731" w:rsidP="00EA6C8B">
      <w:pPr>
        <w:pStyle w:val="EBNumber"/>
        <w:tabs>
          <w:tab w:val="clear" w:pos="425"/>
        </w:tabs>
        <w:spacing w:after="0"/>
        <w:ind w:left="0" w:firstLine="0"/>
        <w:jc w:val="both"/>
        <w:rPr>
          <w:i/>
          <w:sz w:val="24"/>
        </w:rPr>
      </w:pPr>
      <w:r w:rsidRPr="000147E1">
        <w:rPr>
          <w:i/>
          <w:sz w:val="24"/>
        </w:rPr>
        <w:t>Illustration of geometric model of the value of EPG slots (Technologia, 2012, based on Canis Media upper and lower figures)</w:t>
      </w:r>
    </w:p>
    <w:p w14:paraId="777B20A2" w14:textId="77777777" w:rsidR="00616731" w:rsidRDefault="00616731" w:rsidP="00EA6C8B">
      <w:pPr>
        <w:pStyle w:val="EBNumber"/>
        <w:tabs>
          <w:tab w:val="clear" w:pos="425"/>
        </w:tabs>
        <w:spacing w:after="0"/>
        <w:ind w:left="0" w:firstLine="0"/>
        <w:jc w:val="both"/>
        <w:rPr>
          <w:sz w:val="24"/>
        </w:rPr>
      </w:pPr>
    </w:p>
    <w:p w14:paraId="499FE7A7" w14:textId="3DD637D5" w:rsidR="00616731" w:rsidRDefault="00616731" w:rsidP="00EA6C8B">
      <w:pPr>
        <w:pStyle w:val="EBNumber"/>
        <w:tabs>
          <w:tab w:val="clear" w:pos="425"/>
        </w:tabs>
        <w:spacing w:after="0"/>
        <w:ind w:left="0" w:firstLine="0"/>
        <w:jc w:val="both"/>
        <w:rPr>
          <w:sz w:val="24"/>
        </w:rPr>
      </w:pPr>
      <w:r>
        <w:rPr>
          <w:noProof/>
        </w:rPr>
        <w:drawing>
          <wp:inline distT="0" distB="0" distL="0" distR="0" wp14:anchorId="5E28BC8C" wp14:editId="23DF40E6">
            <wp:extent cx="6259971" cy="4122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812" t="28014" r="24155" b="9896"/>
                    <a:stretch/>
                  </pic:blipFill>
                  <pic:spPr bwMode="auto">
                    <a:xfrm>
                      <a:off x="0" y="0"/>
                      <a:ext cx="6264894" cy="41256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20CD75" w14:textId="77777777" w:rsidR="00131322" w:rsidRDefault="00131322" w:rsidP="00EA6C8B">
      <w:pPr>
        <w:pStyle w:val="EBNumber"/>
        <w:tabs>
          <w:tab w:val="clear" w:pos="425"/>
        </w:tabs>
        <w:spacing w:after="0"/>
        <w:ind w:left="0" w:firstLine="0"/>
        <w:jc w:val="both"/>
        <w:rPr>
          <w:sz w:val="24"/>
        </w:rPr>
      </w:pPr>
    </w:p>
    <w:p w14:paraId="50682E02" w14:textId="46C02B93" w:rsidR="00B77FC7" w:rsidRDefault="00B77FC7" w:rsidP="00EA6C8B">
      <w:pPr>
        <w:pStyle w:val="EBNumber"/>
        <w:tabs>
          <w:tab w:val="clear" w:pos="425"/>
        </w:tabs>
        <w:spacing w:after="0"/>
        <w:ind w:left="0" w:firstLine="0"/>
        <w:jc w:val="both"/>
        <w:rPr>
          <w:sz w:val="24"/>
        </w:rPr>
      </w:pPr>
      <w:r>
        <w:rPr>
          <w:sz w:val="24"/>
        </w:rPr>
        <w:t>This estimate represents an asset value if the EPG slots were to be traded on the secondary market</w:t>
      </w:r>
      <w:r w:rsidR="0029362C">
        <w:rPr>
          <w:sz w:val="24"/>
        </w:rPr>
        <w:t xml:space="preserve">. Given a reasonably competitive market this should in theory equate to the amount of additional value that channel slot could earn for a prospective channel </w:t>
      </w:r>
      <w:r w:rsidR="003C3E65">
        <w:rPr>
          <w:sz w:val="24"/>
        </w:rPr>
        <w:t xml:space="preserve">(through additional advertising revenue) </w:t>
      </w:r>
      <w:r w:rsidR="0029362C">
        <w:rPr>
          <w:sz w:val="24"/>
        </w:rPr>
        <w:t>over the life of the asset</w:t>
      </w:r>
      <w:r w:rsidR="00046CFC">
        <w:rPr>
          <w:sz w:val="24"/>
        </w:rPr>
        <w:t>.</w:t>
      </w:r>
    </w:p>
    <w:p w14:paraId="3D642A86" w14:textId="77777777" w:rsidR="00046CFC" w:rsidRDefault="00046CFC" w:rsidP="00EA6C8B">
      <w:pPr>
        <w:pStyle w:val="EBNumber"/>
        <w:tabs>
          <w:tab w:val="clear" w:pos="425"/>
        </w:tabs>
        <w:spacing w:after="0"/>
        <w:ind w:left="0" w:firstLine="0"/>
        <w:jc w:val="both"/>
        <w:rPr>
          <w:sz w:val="24"/>
        </w:rPr>
      </w:pPr>
    </w:p>
    <w:p w14:paraId="07587CCD" w14:textId="450507A3" w:rsidR="00327976" w:rsidRDefault="00046CFC" w:rsidP="00EA6C8B">
      <w:pPr>
        <w:pStyle w:val="EBNumber"/>
        <w:tabs>
          <w:tab w:val="clear" w:pos="425"/>
        </w:tabs>
        <w:spacing w:after="0"/>
        <w:ind w:left="0" w:firstLine="0"/>
        <w:jc w:val="both"/>
        <w:rPr>
          <w:sz w:val="24"/>
        </w:rPr>
      </w:pPr>
      <w:r>
        <w:rPr>
          <w:sz w:val="24"/>
        </w:rPr>
        <w:t xml:space="preserve">The estimate of a £90m value only reflects the value on the Sky EPG. Ofcom’s 2013 Communications Market Report estimates the take-up of pay digital satellite providers (of which Sky is the only major provider) at 36% of households. Given that all the main </w:t>
      </w:r>
      <w:r w:rsidR="00FF5DFC">
        <w:rPr>
          <w:sz w:val="24"/>
        </w:rPr>
        <w:t xml:space="preserve">platform </w:t>
      </w:r>
      <w:r>
        <w:rPr>
          <w:sz w:val="24"/>
        </w:rPr>
        <w:t xml:space="preserve">providers EPGs currently follow a similar format and value should relate directly to volumes of viewers we have assumed that this </w:t>
      </w:r>
      <w:r w:rsidR="00FF5DFC">
        <w:rPr>
          <w:sz w:val="24"/>
        </w:rPr>
        <w:t>£90m can be extrapolated to all EPGs using the 36% market share. This indicates the total value of the top 5 slots across all</w:t>
      </w:r>
      <w:r w:rsidR="00327976">
        <w:rPr>
          <w:sz w:val="24"/>
        </w:rPr>
        <w:t xml:space="preserve"> traditional</w:t>
      </w:r>
      <w:r w:rsidR="00FF5DFC">
        <w:rPr>
          <w:sz w:val="24"/>
        </w:rPr>
        <w:t xml:space="preserve"> EPGs (including Sky, Virgin, BT, Freeview, etc.) is </w:t>
      </w:r>
      <w:r w:rsidR="00FF5DFC" w:rsidRPr="000147E1">
        <w:rPr>
          <w:b/>
          <w:sz w:val="24"/>
        </w:rPr>
        <w:t>£250m</w:t>
      </w:r>
      <w:r w:rsidR="00BF0ACE">
        <w:rPr>
          <w:sz w:val="24"/>
        </w:rPr>
        <w:t xml:space="preserve"> (in 2012 prices)</w:t>
      </w:r>
      <w:r w:rsidR="00FF5DFC">
        <w:rPr>
          <w:sz w:val="24"/>
        </w:rPr>
        <w:t>.</w:t>
      </w:r>
      <w:r w:rsidR="00327976">
        <w:rPr>
          <w:sz w:val="24"/>
        </w:rPr>
        <w:t xml:space="preserve"> As explained above there is no explicit measure of the number of people currently accessing content through alternative systems but the 8% of viewing time currently accounted for by VoD (as reported in the Ofcom Communications Market Report) is the closest proxy available. It is not clear whether a market has developed yet in prominent positions on alternative systems given their early stage of development and low </w:t>
      </w:r>
      <w:r w:rsidR="00327976">
        <w:rPr>
          <w:sz w:val="24"/>
        </w:rPr>
        <w:lastRenderedPageBreak/>
        <w:t>current usage</w:t>
      </w:r>
      <w:r w:rsidR="00A83501">
        <w:rPr>
          <w:sz w:val="24"/>
        </w:rPr>
        <w:t>.</w:t>
      </w:r>
      <w:r w:rsidR="00327976">
        <w:rPr>
          <w:sz w:val="24"/>
        </w:rPr>
        <w:t xml:space="preserve"> </w:t>
      </w:r>
      <w:r w:rsidR="00A83501">
        <w:rPr>
          <w:sz w:val="24"/>
        </w:rPr>
        <w:t xml:space="preserve">However, </w:t>
      </w:r>
      <w:r w:rsidR="00327976">
        <w:rPr>
          <w:sz w:val="24"/>
        </w:rPr>
        <w:t>an 8% mark</w:t>
      </w:r>
      <w:r w:rsidR="00A83501">
        <w:rPr>
          <w:sz w:val="24"/>
        </w:rPr>
        <w:t xml:space="preserve">et share implies the </w:t>
      </w:r>
      <w:r w:rsidR="00327976">
        <w:rPr>
          <w:sz w:val="24"/>
        </w:rPr>
        <w:t xml:space="preserve">value of </w:t>
      </w:r>
      <w:r w:rsidR="00A83501">
        <w:rPr>
          <w:sz w:val="24"/>
        </w:rPr>
        <w:t xml:space="preserve">equivalent </w:t>
      </w:r>
      <w:r w:rsidR="00327976">
        <w:rPr>
          <w:sz w:val="24"/>
        </w:rPr>
        <w:t xml:space="preserve">prominence for PSB channels on </w:t>
      </w:r>
      <w:r w:rsidR="00A83501">
        <w:rPr>
          <w:sz w:val="24"/>
        </w:rPr>
        <w:t>alternative systems would be approximately £20m (in 2012 prices)</w:t>
      </w:r>
    </w:p>
    <w:p w14:paraId="29EE0C4E" w14:textId="77777777" w:rsidR="00BF0ACE" w:rsidRDefault="00BF0ACE" w:rsidP="00EA6C8B">
      <w:pPr>
        <w:pStyle w:val="EBNumber"/>
        <w:tabs>
          <w:tab w:val="clear" w:pos="425"/>
        </w:tabs>
        <w:spacing w:after="0"/>
        <w:ind w:left="0" w:firstLine="0"/>
        <w:jc w:val="both"/>
        <w:rPr>
          <w:sz w:val="24"/>
        </w:rPr>
      </w:pPr>
    </w:p>
    <w:p w14:paraId="11615441" w14:textId="3DA9180E" w:rsidR="00BF0ACE" w:rsidRDefault="00BF0ACE" w:rsidP="00EA6C8B">
      <w:pPr>
        <w:pStyle w:val="EBNumber"/>
        <w:tabs>
          <w:tab w:val="clear" w:pos="425"/>
        </w:tabs>
        <w:spacing w:after="0"/>
        <w:ind w:left="0" w:firstLine="0"/>
        <w:jc w:val="both"/>
        <w:rPr>
          <w:sz w:val="24"/>
        </w:rPr>
      </w:pPr>
      <w:r>
        <w:rPr>
          <w:sz w:val="24"/>
        </w:rPr>
        <w:t xml:space="preserve">As outlined above the </w:t>
      </w:r>
      <w:r w:rsidR="009A131A">
        <w:rPr>
          <w:sz w:val="24"/>
        </w:rPr>
        <w:t>D</w:t>
      </w:r>
      <w:r>
        <w:rPr>
          <w:sz w:val="24"/>
        </w:rPr>
        <w:t>epartment expects there to be a gradual shift towards alternative ways of discovering content, which is estimated at 30% over 10 years at 3pp a year. The result of this shift is that the value of a prominent position on a traditional EPG is eroded while the value of a prominent position on an alternative system gains in value. Effectively as viewers shift from one method of discovering content to another the value of prominence shifts too in proportion to the number of viewers. So a 30% shift of viewers from using traditional EPGs to using alternatives systems implies a loss of 30% value in EPG prominence and a gain of equivalent value in alternative systems prominence. This is illustrated in the table below.</w:t>
      </w:r>
    </w:p>
    <w:p w14:paraId="15EF2A8A" w14:textId="77777777" w:rsidR="00BF0ACE" w:rsidRDefault="00BF0ACE" w:rsidP="00EA6C8B">
      <w:pPr>
        <w:pStyle w:val="EBNumber"/>
        <w:tabs>
          <w:tab w:val="clear" w:pos="425"/>
        </w:tabs>
        <w:spacing w:after="0"/>
        <w:ind w:left="0" w:firstLine="0"/>
        <w:jc w:val="both"/>
        <w:rPr>
          <w:sz w:val="24"/>
        </w:rPr>
      </w:pPr>
    </w:p>
    <w:tbl>
      <w:tblPr>
        <w:tblStyle w:val="TableGrid"/>
        <w:tblW w:w="0" w:type="auto"/>
        <w:tblLook w:val="04A0" w:firstRow="1" w:lastRow="0" w:firstColumn="1" w:lastColumn="0" w:noHBand="0" w:noVBand="1"/>
      </w:tblPr>
      <w:tblGrid>
        <w:gridCol w:w="1838"/>
        <w:gridCol w:w="2552"/>
        <w:gridCol w:w="2976"/>
        <w:gridCol w:w="2829"/>
      </w:tblGrid>
      <w:tr w:rsidR="00886AAB" w14:paraId="5DFA1E4F" w14:textId="77777777" w:rsidTr="000147E1">
        <w:tc>
          <w:tcPr>
            <w:tcW w:w="1838" w:type="dxa"/>
          </w:tcPr>
          <w:p w14:paraId="750B475B" w14:textId="71251970" w:rsidR="00886AAB" w:rsidRDefault="00886AAB" w:rsidP="00EA6C8B">
            <w:pPr>
              <w:pStyle w:val="EBNumber"/>
              <w:tabs>
                <w:tab w:val="clear" w:pos="425"/>
              </w:tabs>
              <w:spacing w:after="0"/>
              <w:ind w:left="0" w:firstLine="0"/>
              <w:jc w:val="both"/>
              <w:rPr>
                <w:sz w:val="24"/>
              </w:rPr>
            </w:pPr>
            <w:r>
              <w:rPr>
                <w:sz w:val="24"/>
              </w:rPr>
              <w:t>Year</w:t>
            </w:r>
          </w:p>
        </w:tc>
        <w:tc>
          <w:tcPr>
            <w:tcW w:w="2552" w:type="dxa"/>
          </w:tcPr>
          <w:p w14:paraId="4CBD6BDD" w14:textId="597326CB" w:rsidR="00886AAB" w:rsidRDefault="00886AAB" w:rsidP="00EA6C8B">
            <w:pPr>
              <w:pStyle w:val="EBNumber"/>
              <w:tabs>
                <w:tab w:val="clear" w:pos="425"/>
              </w:tabs>
              <w:spacing w:after="0"/>
              <w:ind w:left="0" w:firstLine="0"/>
              <w:jc w:val="both"/>
              <w:rPr>
                <w:sz w:val="24"/>
              </w:rPr>
            </w:pPr>
            <w:r>
              <w:rPr>
                <w:sz w:val="24"/>
              </w:rPr>
              <w:t>Shift of viewers to alternative systems</w:t>
            </w:r>
          </w:p>
        </w:tc>
        <w:tc>
          <w:tcPr>
            <w:tcW w:w="2976" w:type="dxa"/>
          </w:tcPr>
          <w:p w14:paraId="19DFD63A" w14:textId="7D7C3F93" w:rsidR="00886AAB" w:rsidRDefault="00886AAB" w:rsidP="00EA6C8B">
            <w:pPr>
              <w:pStyle w:val="EBNumber"/>
              <w:tabs>
                <w:tab w:val="clear" w:pos="425"/>
              </w:tabs>
              <w:spacing w:after="0"/>
              <w:ind w:left="0" w:firstLine="0"/>
              <w:jc w:val="both"/>
              <w:rPr>
                <w:sz w:val="24"/>
              </w:rPr>
            </w:pPr>
            <w:r>
              <w:rPr>
                <w:sz w:val="24"/>
              </w:rPr>
              <w:t>Value of PSB prominence on traditional EPGs</w:t>
            </w:r>
          </w:p>
        </w:tc>
        <w:tc>
          <w:tcPr>
            <w:tcW w:w="2829" w:type="dxa"/>
          </w:tcPr>
          <w:p w14:paraId="3B2A39D9" w14:textId="0278B415" w:rsidR="00886AAB" w:rsidRDefault="00A83501" w:rsidP="00886AAB">
            <w:pPr>
              <w:pStyle w:val="EBNumber"/>
              <w:tabs>
                <w:tab w:val="clear" w:pos="425"/>
              </w:tabs>
              <w:spacing w:after="0"/>
              <w:ind w:left="0" w:firstLine="0"/>
              <w:jc w:val="both"/>
              <w:rPr>
                <w:sz w:val="24"/>
              </w:rPr>
            </w:pPr>
            <w:r>
              <w:rPr>
                <w:sz w:val="24"/>
              </w:rPr>
              <w:t>V</w:t>
            </w:r>
            <w:r w:rsidR="00886AAB">
              <w:rPr>
                <w:sz w:val="24"/>
              </w:rPr>
              <w:t>alue of equivalent prominence on alternative systems</w:t>
            </w:r>
          </w:p>
        </w:tc>
      </w:tr>
      <w:tr w:rsidR="00886AAB" w14:paraId="37F957B2" w14:textId="77777777" w:rsidTr="000147E1">
        <w:tc>
          <w:tcPr>
            <w:tcW w:w="1838" w:type="dxa"/>
          </w:tcPr>
          <w:p w14:paraId="5F69ACCA" w14:textId="374DCC22" w:rsidR="00886AAB" w:rsidRDefault="00886AAB" w:rsidP="00EA6C8B">
            <w:pPr>
              <w:pStyle w:val="EBNumber"/>
              <w:tabs>
                <w:tab w:val="clear" w:pos="425"/>
              </w:tabs>
              <w:spacing w:after="0"/>
              <w:ind w:left="0" w:firstLine="0"/>
              <w:jc w:val="both"/>
              <w:rPr>
                <w:sz w:val="24"/>
              </w:rPr>
            </w:pPr>
            <w:r>
              <w:rPr>
                <w:sz w:val="24"/>
              </w:rPr>
              <w:t>0</w:t>
            </w:r>
          </w:p>
        </w:tc>
        <w:tc>
          <w:tcPr>
            <w:tcW w:w="2552" w:type="dxa"/>
          </w:tcPr>
          <w:p w14:paraId="7416B764" w14:textId="0D5E6FCC" w:rsidR="00886AAB" w:rsidRDefault="00886AAB" w:rsidP="00EA6C8B">
            <w:pPr>
              <w:pStyle w:val="EBNumber"/>
              <w:tabs>
                <w:tab w:val="clear" w:pos="425"/>
              </w:tabs>
              <w:spacing w:after="0"/>
              <w:ind w:left="0" w:firstLine="0"/>
              <w:jc w:val="both"/>
              <w:rPr>
                <w:sz w:val="24"/>
              </w:rPr>
            </w:pPr>
            <w:r>
              <w:rPr>
                <w:sz w:val="24"/>
              </w:rPr>
              <w:t>0%</w:t>
            </w:r>
          </w:p>
        </w:tc>
        <w:tc>
          <w:tcPr>
            <w:tcW w:w="2976" w:type="dxa"/>
          </w:tcPr>
          <w:p w14:paraId="26867AC1" w14:textId="229FF625" w:rsidR="00886AAB" w:rsidRDefault="00886AAB" w:rsidP="00EA6C8B">
            <w:pPr>
              <w:pStyle w:val="EBNumber"/>
              <w:tabs>
                <w:tab w:val="clear" w:pos="425"/>
              </w:tabs>
              <w:spacing w:after="0"/>
              <w:ind w:left="0" w:firstLine="0"/>
              <w:jc w:val="both"/>
              <w:rPr>
                <w:sz w:val="24"/>
              </w:rPr>
            </w:pPr>
            <w:r>
              <w:rPr>
                <w:sz w:val="24"/>
              </w:rPr>
              <w:t>£250m</w:t>
            </w:r>
          </w:p>
        </w:tc>
        <w:tc>
          <w:tcPr>
            <w:tcW w:w="2829" w:type="dxa"/>
          </w:tcPr>
          <w:p w14:paraId="102008AC" w14:textId="6BA14CEA" w:rsidR="00886AAB" w:rsidRDefault="00886AAB" w:rsidP="00EA6C8B">
            <w:pPr>
              <w:pStyle w:val="EBNumber"/>
              <w:tabs>
                <w:tab w:val="clear" w:pos="425"/>
              </w:tabs>
              <w:spacing w:after="0"/>
              <w:ind w:left="0" w:firstLine="0"/>
              <w:jc w:val="both"/>
              <w:rPr>
                <w:sz w:val="24"/>
              </w:rPr>
            </w:pPr>
            <w:r>
              <w:rPr>
                <w:sz w:val="24"/>
              </w:rPr>
              <w:t>£</w:t>
            </w:r>
            <w:r w:rsidR="00A83501">
              <w:rPr>
                <w:sz w:val="24"/>
              </w:rPr>
              <w:t>2</w:t>
            </w:r>
            <w:r>
              <w:rPr>
                <w:sz w:val="24"/>
              </w:rPr>
              <w:t>0m</w:t>
            </w:r>
          </w:p>
        </w:tc>
      </w:tr>
      <w:tr w:rsidR="00886AAB" w14:paraId="1FA67F91" w14:textId="77777777" w:rsidTr="000147E1">
        <w:tc>
          <w:tcPr>
            <w:tcW w:w="1838" w:type="dxa"/>
          </w:tcPr>
          <w:p w14:paraId="73A61DC1" w14:textId="3E9D044D" w:rsidR="00886AAB" w:rsidRDefault="00886AAB" w:rsidP="00EA6C8B">
            <w:pPr>
              <w:pStyle w:val="EBNumber"/>
              <w:tabs>
                <w:tab w:val="clear" w:pos="425"/>
              </w:tabs>
              <w:spacing w:after="0"/>
              <w:ind w:left="0" w:firstLine="0"/>
              <w:jc w:val="both"/>
              <w:rPr>
                <w:sz w:val="24"/>
              </w:rPr>
            </w:pPr>
            <w:r>
              <w:rPr>
                <w:sz w:val="24"/>
              </w:rPr>
              <w:t>5</w:t>
            </w:r>
          </w:p>
        </w:tc>
        <w:tc>
          <w:tcPr>
            <w:tcW w:w="2552" w:type="dxa"/>
          </w:tcPr>
          <w:p w14:paraId="46D06A00" w14:textId="7AF38EFE" w:rsidR="00886AAB" w:rsidRDefault="00886AAB" w:rsidP="00EA6C8B">
            <w:pPr>
              <w:pStyle w:val="EBNumber"/>
              <w:tabs>
                <w:tab w:val="clear" w:pos="425"/>
              </w:tabs>
              <w:spacing w:after="0"/>
              <w:ind w:left="0" w:firstLine="0"/>
              <w:jc w:val="both"/>
              <w:rPr>
                <w:sz w:val="24"/>
              </w:rPr>
            </w:pPr>
            <w:r>
              <w:rPr>
                <w:sz w:val="24"/>
              </w:rPr>
              <w:t>15%</w:t>
            </w:r>
          </w:p>
        </w:tc>
        <w:tc>
          <w:tcPr>
            <w:tcW w:w="2976" w:type="dxa"/>
          </w:tcPr>
          <w:p w14:paraId="447F69A0" w14:textId="6DB2BA23" w:rsidR="00886AAB" w:rsidRDefault="00886AAB" w:rsidP="00EA6C8B">
            <w:pPr>
              <w:pStyle w:val="EBNumber"/>
              <w:tabs>
                <w:tab w:val="clear" w:pos="425"/>
              </w:tabs>
              <w:spacing w:after="0"/>
              <w:ind w:left="0" w:firstLine="0"/>
              <w:jc w:val="both"/>
              <w:rPr>
                <w:sz w:val="24"/>
              </w:rPr>
            </w:pPr>
            <w:r>
              <w:rPr>
                <w:sz w:val="24"/>
              </w:rPr>
              <w:t>£212.5m</w:t>
            </w:r>
          </w:p>
        </w:tc>
        <w:tc>
          <w:tcPr>
            <w:tcW w:w="2829" w:type="dxa"/>
          </w:tcPr>
          <w:p w14:paraId="670400FB" w14:textId="63B8D401" w:rsidR="00886AAB" w:rsidRDefault="00886AAB" w:rsidP="00A83501">
            <w:pPr>
              <w:pStyle w:val="EBNumber"/>
              <w:tabs>
                <w:tab w:val="clear" w:pos="425"/>
              </w:tabs>
              <w:spacing w:after="0"/>
              <w:ind w:left="0" w:firstLine="0"/>
              <w:jc w:val="both"/>
              <w:rPr>
                <w:sz w:val="24"/>
              </w:rPr>
            </w:pPr>
            <w:r>
              <w:rPr>
                <w:sz w:val="24"/>
              </w:rPr>
              <w:t>£</w:t>
            </w:r>
            <w:r w:rsidR="00A83501">
              <w:rPr>
                <w:sz w:val="24"/>
              </w:rPr>
              <w:t>5</w:t>
            </w:r>
            <w:r>
              <w:rPr>
                <w:sz w:val="24"/>
              </w:rPr>
              <w:t>7.5m</w:t>
            </w:r>
          </w:p>
        </w:tc>
      </w:tr>
      <w:tr w:rsidR="00886AAB" w14:paraId="137E58E6" w14:textId="77777777" w:rsidTr="000147E1">
        <w:tc>
          <w:tcPr>
            <w:tcW w:w="1838" w:type="dxa"/>
          </w:tcPr>
          <w:p w14:paraId="5178A41C" w14:textId="28BAD08C" w:rsidR="00886AAB" w:rsidRDefault="00886AAB" w:rsidP="00EA6C8B">
            <w:pPr>
              <w:pStyle w:val="EBNumber"/>
              <w:tabs>
                <w:tab w:val="clear" w:pos="425"/>
              </w:tabs>
              <w:spacing w:after="0"/>
              <w:ind w:left="0" w:firstLine="0"/>
              <w:jc w:val="both"/>
              <w:rPr>
                <w:sz w:val="24"/>
              </w:rPr>
            </w:pPr>
            <w:r>
              <w:rPr>
                <w:sz w:val="24"/>
              </w:rPr>
              <w:t>10</w:t>
            </w:r>
          </w:p>
        </w:tc>
        <w:tc>
          <w:tcPr>
            <w:tcW w:w="2552" w:type="dxa"/>
          </w:tcPr>
          <w:p w14:paraId="1C3C961F" w14:textId="6CC194B7" w:rsidR="00886AAB" w:rsidRDefault="00886AAB" w:rsidP="00EA6C8B">
            <w:pPr>
              <w:pStyle w:val="EBNumber"/>
              <w:tabs>
                <w:tab w:val="clear" w:pos="425"/>
              </w:tabs>
              <w:spacing w:after="0"/>
              <w:ind w:left="0" w:firstLine="0"/>
              <w:jc w:val="both"/>
              <w:rPr>
                <w:sz w:val="24"/>
              </w:rPr>
            </w:pPr>
            <w:r>
              <w:rPr>
                <w:sz w:val="24"/>
              </w:rPr>
              <w:t>30%</w:t>
            </w:r>
          </w:p>
        </w:tc>
        <w:tc>
          <w:tcPr>
            <w:tcW w:w="2976" w:type="dxa"/>
          </w:tcPr>
          <w:p w14:paraId="5B57F5D5" w14:textId="7C9BC29A" w:rsidR="00886AAB" w:rsidRDefault="00886AAB" w:rsidP="00EA6C8B">
            <w:pPr>
              <w:pStyle w:val="EBNumber"/>
              <w:tabs>
                <w:tab w:val="clear" w:pos="425"/>
              </w:tabs>
              <w:spacing w:after="0"/>
              <w:ind w:left="0" w:firstLine="0"/>
              <w:jc w:val="both"/>
              <w:rPr>
                <w:sz w:val="24"/>
              </w:rPr>
            </w:pPr>
            <w:r>
              <w:rPr>
                <w:sz w:val="24"/>
              </w:rPr>
              <w:t>£175m</w:t>
            </w:r>
          </w:p>
        </w:tc>
        <w:tc>
          <w:tcPr>
            <w:tcW w:w="2829" w:type="dxa"/>
          </w:tcPr>
          <w:p w14:paraId="587ECCA9" w14:textId="4C6F8E08" w:rsidR="00886AAB" w:rsidRDefault="00A83501" w:rsidP="00EA6C8B">
            <w:pPr>
              <w:pStyle w:val="EBNumber"/>
              <w:tabs>
                <w:tab w:val="clear" w:pos="425"/>
              </w:tabs>
              <w:spacing w:after="0"/>
              <w:ind w:left="0" w:firstLine="0"/>
              <w:jc w:val="both"/>
              <w:rPr>
                <w:sz w:val="24"/>
              </w:rPr>
            </w:pPr>
            <w:r>
              <w:rPr>
                <w:sz w:val="24"/>
              </w:rPr>
              <w:t>£9</w:t>
            </w:r>
            <w:r w:rsidR="00886AAB">
              <w:rPr>
                <w:sz w:val="24"/>
              </w:rPr>
              <w:t>5m</w:t>
            </w:r>
          </w:p>
        </w:tc>
      </w:tr>
    </w:tbl>
    <w:p w14:paraId="0A5D95E4" w14:textId="77777777" w:rsidR="00BF0ACE" w:rsidRDefault="00BF0ACE" w:rsidP="00EA6C8B">
      <w:pPr>
        <w:pStyle w:val="EBNumber"/>
        <w:tabs>
          <w:tab w:val="clear" w:pos="425"/>
        </w:tabs>
        <w:spacing w:after="0"/>
        <w:ind w:left="0" w:firstLine="0"/>
        <w:jc w:val="both"/>
        <w:rPr>
          <w:sz w:val="24"/>
        </w:rPr>
      </w:pPr>
    </w:p>
    <w:p w14:paraId="7D640E28" w14:textId="77248974" w:rsidR="000C3A6D" w:rsidRDefault="00886AAB" w:rsidP="00EA6C8B">
      <w:pPr>
        <w:pStyle w:val="EBNumber"/>
        <w:tabs>
          <w:tab w:val="clear" w:pos="425"/>
        </w:tabs>
        <w:spacing w:after="0"/>
        <w:ind w:left="0" w:firstLine="0"/>
        <w:jc w:val="both"/>
        <w:rPr>
          <w:sz w:val="24"/>
        </w:rPr>
      </w:pPr>
      <w:r>
        <w:rPr>
          <w:sz w:val="24"/>
        </w:rPr>
        <w:t>Note that this assumes that prominence in accessing content</w:t>
      </w:r>
      <w:r w:rsidR="00D50B65">
        <w:rPr>
          <w:sz w:val="24"/>
        </w:rPr>
        <w:t xml:space="preserve"> (through whatever method) remains</w:t>
      </w:r>
      <w:r w:rsidR="00A83501">
        <w:rPr>
          <w:sz w:val="24"/>
        </w:rPr>
        <w:t xml:space="preserve"> </w:t>
      </w:r>
      <w:r w:rsidR="00D50B65">
        <w:rPr>
          <w:sz w:val="24"/>
        </w:rPr>
        <w:t xml:space="preserve">at the same overall value over this time period, it merely shifts from one method to another as viewers shift. </w:t>
      </w:r>
    </w:p>
    <w:p w14:paraId="5E9B6CB7" w14:textId="77777777" w:rsidR="00867C3F" w:rsidRDefault="00867C3F" w:rsidP="00867C3F">
      <w:pPr>
        <w:pStyle w:val="EBNumber"/>
        <w:tabs>
          <w:tab w:val="clear" w:pos="425"/>
        </w:tabs>
        <w:spacing w:after="0"/>
        <w:ind w:left="0" w:firstLine="0"/>
        <w:jc w:val="both"/>
        <w:rPr>
          <w:color w:val="auto"/>
          <w:sz w:val="24"/>
        </w:rPr>
      </w:pPr>
    </w:p>
    <w:p w14:paraId="0BA69787" w14:textId="24B9D354" w:rsidR="00867C3F" w:rsidRDefault="002846F1" w:rsidP="00867C3F">
      <w:pPr>
        <w:pStyle w:val="EBNumber"/>
        <w:tabs>
          <w:tab w:val="clear" w:pos="425"/>
        </w:tabs>
        <w:spacing w:after="0"/>
        <w:ind w:left="0" w:firstLine="0"/>
        <w:jc w:val="both"/>
        <w:rPr>
          <w:i/>
          <w:color w:val="auto"/>
          <w:sz w:val="24"/>
          <w:u w:val="single"/>
        </w:rPr>
      </w:pPr>
      <w:r>
        <w:rPr>
          <w:i/>
          <w:color w:val="auto"/>
          <w:sz w:val="24"/>
          <w:u w:val="single"/>
        </w:rPr>
        <w:t xml:space="preserve">Future-Proofing </w:t>
      </w:r>
      <w:r w:rsidR="006857F9">
        <w:rPr>
          <w:i/>
          <w:color w:val="auto"/>
          <w:sz w:val="24"/>
          <w:u w:val="single"/>
        </w:rPr>
        <w:t>the EPG Regime (Option 3a)</w:t>
      </w:r>
    </w:p>
    <w:p w14:paraId="45B579BE" w14:textId="77777777" w:rsidR="006857F9" w:rsidRDefault="006857F9" w:rsidP="00867C3F">
      <w:pPr>
        <w:pStyle w:val="EBNumber"/>
        <w:tabs>
          <w:tab w:val="clear" w:pos="425"/>
        </w:tabs>
        <w:spacing w:after="0"/>
        <w:ind w:left="0" w:firstLine="0"/>
        <w:jc w:val="both"/>
        <w:rPr>
          <w:i/>
          <w:color w:val="auto"/>
          <w:sz w:val="24"/>
          <w:u w:val="single"/>
        </w:rPr>
      </w:pPr>
    </w:p>
    <w:p w14:paraId="2DB4B989" w14:textId="0A418D0C" w:rsidR="00060BD1" w:rsidRDefault="006857F9" w:rsidP="00867C3F">
      <w:pPr>
        <w:pStyle w:val="EBNumber"/>
        <w:tabs>
          <w:tab w:val="clear" w:pos="425"/>
        </w:tabs>
        <w:spacing w:after="0"/>
        <w:ind w:left="0" w:firstLine="0"/>
        <w:jc w:val="both"/>
        <w:rPr>
          <w:color w:val="auto"/>
          <w:sz w:val="24"/>
        </w:rPr>
      </w:pPr>
      <w:r>
        <w:rPr>
          <w:color w:val="auto"/>
          <w:sz w:val="24"/>
        </w:rPr>
        <w:t xml:space="preserve">Extending the EPG regime to new forms of viewing effectively </w:t>
      </w:r>
      <w:r w:rsidR="00516CED">
        <w:rPr>
          <w:color w:val="auto"/>
          <w:sz w:val="24"/>
        </w:rPr>
        <w:t>ensures that a</w:t>
      </w:r>
      <w:r w:rsidR="00060BD1">
        <w:rPr>
          <w:color w:val="auto"/>
          <w:sz w:val="24"/>
        </w:rPr>
        <w:t>n asset</w:t>
      </w:r>
      <w:r w:rsidR="00516CED">
        <w:rPr>
          <w:color w:val="auto"/>
          <w:sz w:val="24"/>
        </w:rPr>
        <w:t xml:space="preserve"> (prominent EPG slots</w:t>
      </w:r>
      <w:r w:rsidR="00060BD1">
        <w:rPr>
          <w:color w:val="auto"/>
          <w:sz w:val="24"/>
        </w:rPr>
        <w:t xml:space="preserve"> or prominent positions on alternative systems</w:t>
      </w:r>
      <w:r w:rsidR="00516CED">
        <w:rPr>
          <w:color w:val="auto"/>
          <w:sz w:val="24"/>
        </w:rPr>
        <w:t>) remains allocated with PSBs</w:t>
      </w:r>
      <w:r w:rsidR="00060BD1">
        <w:rPr>
          <w:color w:val="auto"/>
          <w:sz w:val="24"/>
        </w:rPr>
        <w:t>. Therefore other bus</w:t>
      </w:r>
      <w:r w:rsidR="001B554E">
        <w:rPr>
          <w:color w:val="auto"/>
          <w:sz w:val="24"/>
        </w:rPr>
        <w:t>inesses cannot benefit from the boost to viewers and advertising associated with these positions. As outlined above the value of this asset</w:t>
      </w:r>
      <w:r w:rsidR="00A83501">
        <w:rPr>
          <w:color w:val="auto"/>
          <w:sz w:val="24"/>
        </w:rPr>
        <w:t xml:space="preserve"> is estimated at £27</w:t>
      </w:r>
      <w:r w:rsidR="001B554E">
        <w:rPr>
          <w:color w:val="auto"/>
          <w:sz w:val="24"/>
        </w:rPr>
        <w:t xml:space="preserve">0m currently across all systems but this value is expected to fall for traditional EPGs (which are currently reserved) and rise for alternative systems (which are not reserved). The impact of extending the EPG regime to alternative systems is that all of that value continues to </w:t>
      </w:r>
      <w:r w:rsidR="00327976">
        <w:rPr>
          <w:color w:val="auto"/>
          <w:sz w:val="24"/>
        </w:rPr>
        <w:t xml:space="preserve">be </w:t>
      </w:r>
      <w:r w:rsidR="001B554E">
        <w:rPr>
          <w:color w:val="auto"/>
          <w:sz w:val="24"/>
        </w:rPr>
        <w:t xml:space="preserve">reserved for PSBs. This is effectively transferring an asset </w:t>
      </w:r>
      <w:r w:rsidR="00327976">
        <w:rPr>
          <w:color w:val="auto"/>
          <w:sz w:val="24"/>
        </w:rPr>
        <w:t xml:space="preserve">to the PSBs </w:t>
      </w:r>
      <w:r w:rsidR="001B554E">
        <w:rPr>
          <w:color w:val="auto"/>
          <w:sz w:val="24"/>
        </w:rPr>
        <w:t>which is estimated to b</w:t>
      </w:r>
      <w:r w:rsidR="00A83501">
        <w:rPr>
          <w:color w:val="auto"/>
          <w:sz w:val="24"/>
        </w:rPr>
        <w:t xml:space="preserve">e worth £20m now but could be worth £95m in 10 years time. It’s important to note that this transfer secures the original intention of the current regulation and updates it to reflect technological change. The transfer of a £95m asset to the </w:t>
      </w:r>
      <w:r w:rsidR="00C30C3B">
        <w:rPr>
          <w:color w:val="auto"/>
          <w:sz w:val="24"/>
        </w:rPr>
        <w:t>PSBs balances a loss of value that those PSBs will suffer in their current asset of traditional EPG prominence.</w:t>
      </w:r>
      <w:r w:rsidR="008B3981">
        <w:rPr>
          <w:color w:val="auto"/>
          <w:sz w:val="24"/>
        </w:rPr>
        <w:t xml:space="preserve"> Given that this </w:t>
      </w:r>
      <w:r w:rsidR="00D533E9">
        <w:rPr>
          <w:color w:val="auto"/>
          <w:sz w:val="24"/>
        </w:rPr>
        <w:t xml:space="preserve">one-off </w:t>
      </w:r>
      <w:r w:rsidR="008B3981">
        <w:rPr>
          <w:color w:val="auto"/>
          <w:sz w:val="24"/>
        </w:rPr>
        <w:t xml:space="preserve">asset transfer effectively occurs in year 0 as soon as the regulation comes into force </w:t>
      </w:r>
      <w:r w:rsidR="00D533E9">
        <w:rPr>
          <w:color w:val="auto"/>
          <w:sz w:val="24"/>
        </w:rPr>
        <w:t xml:space="preserve">the estimated NPV over 10 years of the transfer </w:t>
      </w:r>
      <w:r w:rsidR="00D533E9" w:rsidRPr="00D533E9">
        <w:rPr>
          <w:color w:val="auto"/>
          <w:sz w:val="24"/>
        </w:rPr>
        <w:t xml:space="preserve">is </w:t>
      </w:r>
      <w:r w:rsidR="00D533E9" w:rsidRPr="008E7DDD">
        <w:rPr>
          <w:b/>
          <w:color w:val="auto"/>
          <w:sz w:val="24"/>
        </w:rPr>
        <w:t>£21m to £100m</w:t>
      </w:r>
      <w:r w:rsidR="00D533E9">
        <w:rPr>
          <w:color w:val="auto"/>
          <w:sz w:val="24"/>
        </w:rPr>
        <w:t xml:space="preserve"> in 2015 prices. </w:t>
      </w:r>
    </w:p>
    <w:p w14:paraId="7751DBD7" w14:textId="77777777" w:rsidR="00516CED" w:rsidRDefault="00516CED" w:rsidP="00867C3F">
      <w:pPr>
        <w:pStyle w:val="EBNumber"/>
        <w:tabs>
          <w:tab w:val="clear" w:pos="425"/>
        </w:tabs>
        <w:spacing w:after="0"/>
        <w:ind w:left="0" w:firstLine="0"/>
        <w:jc w:val="both"/>
        <w:rPr>
          <w:color w:val="auto"/>
          <w:sz w:val="24"/>
        </w:rPr>
      </w:pPr>
    </w:p>
    <w:p w14:paraId="07C840C8" w14:textId="36AA908B" w:rsidR="00152026" w:rsidRDefault="00C30C3B" w:rsidP="00867C3F">
      <w:pPr>
        <w:pStyle w:val="EBNumber"/>
        <w:tabs>
          <w:tab w:val="clear" w:pos="425"/>
        </w:tabs>
        <w:spacing w:after="0"/>
        <w:ind w:left="0" w:firstLine="0"/>
        <w:jc w:val="both"/>
        <w:rPr>
          <w:color w:val="auto"/>
          <w:sz w:val="24"/>
        </w:rPr>
      </w:pPr>
      <w:r>
        <w:rPr>
          <w:color w:val="auto"/>
          <w:sz w:val="24"/>
        </w:rPr>
        <w:t xml:space="preserve">Given the early stage of development of alternative systems it is not yet clear who will capture the value of prominent positions if they are not reserved for PSBs. </w:t>
      </w:r>
      <w:r w:rsidR="00345AEF">
        <w:rPr>
          <w:color w:val="auto"/>
          <w:sz w:val="24"/>
        </w:rPr>
        <w:t xml:space="preserve">It could be </w:t>
      </w:r>
      <w:r w:rsidR="00081E7D">
        <w:rPr>
          <w:color w:val="auto"/>
          <w:sz w:val="24"/>
        </w:rPr>
        <w:t xml:space="preserve">TV platforms who decide to sell the best slots on their new systems, but it could conceivably be TV manufacturers or Internet Service Providers who control prominence depending on how the technology develops and therefore they could attempt to capture the value. </w:t>
      </w:r>
      <w:r w:rsidR="00F44A8E">
        <w:rPr>
          <w:color w:val="auto"/>
          <w:sz w:val="24"/>
        </w:rPr>
        <w:t xml:space="preserve">The PSBs, who also own or part-own some TV platforms (such as Freeview and Freesat) may capture some of this value without any protection anyway. </w:t>
      </w:r>
      <w:r w:rsidR="00081E7D">
        <w:rPr>
          <w:color w:val="auto"/>
          <w:sz w:val="24"/>
        </w:rPr>
        <w:t xml:space="preserve">What does seem likely is that a business or combination of businesses </w:t>
      </w:r>
      <w:r w:rsidR="006851EF">
        <w:rPr>
          <w:color w:val="auto"/>
          <w:sz w:val="24"/>
        </w:rPr>
        <w:t>will</w:t>
      </w:r>
      <w:r w:rsidR="00081E7D">
        <w:rPr>
          <w:color w:val="auto"/>
          <w:sz w:val="24"/>
        </w:rPr>
        <w:t xml:space="preserve"> capture the value of the asset. Any transfer of assets between those businesses and the commercial PSBs is therefore a transfer between businesses. H</w:t>
      </w:r>
      <w:r w:rsidR="00F41E3D">
        <w:rPr>
          <w:color w:val="auto"/>
          <w:sz w:val="24"/>
        </w:rPr>
        <w:t xml:space="preserve">owever, for the BBC’s positions, this would be a transfer of an asset from business to a publicly funded body. Based </w:t>
      </w:r>
      <w:r w:rsidR="00B33175">
        <w:rPr>
          <w:color w:val="auto"/>
          <w:sz w:val="24"/>
        </w:rPr>
        <w:t>on the BBC accounting</w:t>
      </w:r>
      <w:r w:rsidR="00F41E3D">
        <w:rPr>
          <w:color w:val="auto"/>
          <w:sz w:val="24"/>
        </w:rPr>
        <w:t xml:space="preserve"> for two of the 5 positions reserved for PSBs (BBC1 and BBC2) this would be the equivalent of transferring an asset currently worth £8m to the public sector, but which could be worth £38m in 10 years time.</w:t>
      </w:r>
      <w:r w:rsidR="007A519C">
        <w:rPr>
          <w:color w:val="auto"/>
          <w:sz w:val="24"/>
        </w:rPr>
        <w:t xml:space="preserve"> Taking this full value of the asset</w:t>
      </w:r>
      <w:r w:rsidR="00F44A8E">
        <w:rPr>
          <w:color w:val="auto"/>
          <w:sz w:val="24"/>
        </w:rPr>
        <w:t xml:space="preserve"> to the BBC</w:t>
      </w:r>
      <w:r w:rsidR="007A519C">
        <w:rPr>
          <w:color w:val="auto"/>
          <w:sz w:val="24"/>
        </w:rPr>
        <w:t xml:space="preserve"> is considered an upper estimate in that </w:t>
      </w:r>
      <w:r w:rsidR="00F44A8E">
        <w:rPr>
          <w:color w:val="auto"/>
          <w:sz w:val="24"/>
        </w:rPr>
        <w:t xml:space="preserve">the BBC </w:t>
      </w:r>
      <w:r w:rsidR="007A519C">
        <w:rPr>
          <w:color w:val="auto"/>
          <w:sz w:val="24"/>
        </w:rPr>
        <w:t xml:space="preserve">would be reasonably likely to secure some value </w:t>
      </w:r>
      <w:r w:rsidR="00F44A8E">
        <w:rPr>
          <w:color w:val="auto"/>
          <w:sz w:val="24"/>
        </w:rPr>
        <w:t>anyway through its investment in platforms.</w:t>
      </w:r>
      <w:r w:rsidR="00D533E9">
        <w:rPr>
          <w:color w:val="auto"/>
          <w:sz w:val="24"/>
        </w:rPr>
        <w:t xml:space="preserve"> Again, as this one-off asset transfer away from </w:t>
      </w:r>
      <w:r w:rsidR="00D533E9">
        <w:rPr>
          <w:color w:val="auto"/>
          <w:sz w:val="24"/>
        </w:rPr>
        <w:lastRenderedPageBreak/>
        <w:t xml:space="preserve">business occurs in year 0 as soon as the regulation comes into force the estimated NPV over 10 years of the transfer </w:t>
      </w:r>
      <w:r w:rsidR="00D533E9" w:rsidRPr="00C2264A">
        <w:rPr>
          <w:b/>
          <w:color w:val="auto"/>
          <w:sz w:val="24"/>
        </w:rPr>
        <w:t xml:space="preserve">is </w:t>
      </w:r>
      <w:r w:rsidR="00D533E9">
        <w:rPr>
          <w:b/>
          <w:color w:val="auto"/>
          <w:sz w:val="24"/>
        </w:rPr>
        <w:t>£8</w:t>
      </w:r>
      <w:r w:rsidR="00D533E9" w:rsidRPr="00C2264A">
        <w:rPr>
          <w:b/>
          <w:color w:val="auto"/>
          <w:sz w:val="24"/>
        </w:rPr>
        <w:t xml:space="preserve">m to </w:t>
      </w:r>
      <w:r w:rsidR="00D533E9">
        <w:rPr>
          <w:b/>
          <w:color w:val="auto"/>
          <w:sz w:val="24"/>
        </w:rPr>
        <w:t>£40</w:t>
      </w:r>
      <w:r w:rsidR="00D533E9" w:rsidRPr="00C2264A">
        <w:rPr>
          <w:b/>
          <w:color w:val="auto"/>
          <w:sz w:val="24"/>
        </w:rPr>
        <w:t>m</w:t>
      </w:r>
      <w:r w:rsidR="00D533E9">
        <w:rPr>
          <w:color w:val="auto"/>
          <w:sz w:val="24"/>
        </w:rPr>
        <w:t xml:space="preserve"> in 2015 prices. </w:t>
      </w:r>
    </w:p>
    <w:p w14:paraId="75D4061D" w14:textId="77777777" w:rsidR="00F44A8E" w:rsidRDefault="00F44A8E" w:rsidP="00867C3F">
      <w:pPr>
        <w:pStyle w:val="EBNumber"/>
        <w:tabs>
          <w:tab w:val="clear" w:pos="425"/>
        </w:tabs>
        <w:spacing w:after="0"/>
        <w:ind w:left="0" w:firstLine="0"/>
        <w:jc w:val="both"/>
        <w:rPr>
          <w:color w:val="auto"/>
          <w:sz w:val="24"/>
        </w:rPr>
      </w:pPr>
    </w:p>
    <w:p w14:paraId="4CC34831" w14:textId="15C05E05" w:rsidR="00945DAC" w:rsidRDefault="00945DAC" w:rsidP="00867C3F">
      <w:pPr>
        <w:pStyle w:val="EBNumber"/>
        <w:tabs>
          <w:tab w:val="clear" w:pos="425"/>
        </w:tabs>
        <w:spacing w:after="0"/>
        <w:ind w:left="0" w:firstLine="0"/>
        <w:jc w:val="both"/>
        <w:rPr>
          <w:color w:val="auto"/>
          <w:sz w:val="24"/>
        </w:rPr>
      </w:pPr>
      <w:r>
        <w:rPr>
          <w:color w:val="auto"/>
          <w:sz w:val="24"/>
        </w:rPr>
        <w:t>There is an additional potential cost associated with this option in that the new requirements will apply to smart TVs which are produced as part of a globalised market. Adding UK specific requirements to their operation may not be straightforward and may place a burden on manufacturers. We will seek further information on this and technical advice through the consultation process.</w:t>
      </w:r>
    </w:p>
    <w:p w14:paraId="110FD0DD" w14:textId="77777777" w:rsidR="00867C3F" w:rsidRPr="007D2BF8" w:rsidRDefault="00867C3F" w:rsidP="00867C3F">
      <w:pPr>
        <w:pStyle w:val="EBNumber"/>
        <w:tabs>
          <w:tab w:val="clear" w:pos="425"/>
        </w:tabs>
        <w:spacing w:after="0"/>
        <w:ind w:left="0" w:firstLine="0"/>
        <w:jc w:val="both"/>
        <w:rPr>
          <w:color w:val="auto"/>
          <w:sz w:val="24"/>
        </w:rPr>
      </w:pPr>
    </w:p>
    <w:p w14:paraId="3F00CACF" w14:textId="77777777" w:rsidR="00C61C75" w:rsidRDefault="00C61C75">
      <w:pPr>
        <w:rPr>
          <w:i/>
          <w:u w:val="single"/>
        </w:rPr>
      </w:pPr>
      <w:r>
        <w:rPr>
          <w:i/>
          <w:u w:val="single"/>
        </w:rPr>
        <w:t>Removing the EPG Regime (Option 3b)</w:t>
      </w:r>
    </w:p>
    <w:p w14:paraId="40F2A1A2" w14:textId="77777777" w:rsidR="00C61C75" w:rsidRDefault="00C61C75">
      <w:pPr>
        <w:rPr>
          <w:i/>
          <w:u w:val="single"/>
        </w:rPr>
      </w:pPr>
    </w:p>
    <w:p w14:paraId="31D491EE" w14:textId="5ACC5ED1" w:rsidR="00F44A8E" w:rsidRDefault="00F44A8E" w:rsidP="00AB3C4E">
      <w:pPr>
        <w:jc w:val="both"/>
      </w:pPr>
      <w:r>
        <w:t>Removing the EPG re</w:t>
      </w:r>
      <w:r w:rsidR="00023CCA">
        <w:t xml:space="preserve">gime entirely means that the PSBs will lose the entire value of their current guaranteed prominence. In the counterfactual analysis above we assume that this will be partly eroded anyway as alternative systems are developed and viewers switch to these. However, removing the protection entirely means that the </w:t>
      </w:r>
      <w:r w:rsidR="00FD6A4E">
        <w:t xml:space="preserve">current </w:t>
      </w:r>
      <w:r w:rsidR="00023CCA">
        <w:t xml:space="preserve">value </w:t>
      </w:r>
      <w:r w:rsidR="00FD6A4E">
        <w:t>secured through prominence on linear EPGs is also lost to PSBs.</w:t>
      </w:r>
      <w:r w:rsidR="00023CCA">
        <w:t xml:space="preserve"> Who might gain in this scenario is again quite difficult to predict. On platforms that are owned or part-owned by the PSBs </w:t>
      </w:r>
      <w:r w:rsidR="00FD6A4E">
        <w:t xml:space="preserve">(Freeview and Freesat) </w:t>
      </w:r>
      <w:r w:rsidR="00023CCA">
        <w:t xml:space="preserve">it might be expected </w:t>
      </w:r>
      <w:r w:rsidR="00FD6A4E">
        <w:t xml:space="preserve">that the PSBs will continue to hold their prominent positions while on other pay-TV platforms </w:t>
      </w:r>
      <w:r w:rsidR="008235F6">
        <w:t xml:space="preserve">(most notably Sky and Virgin) </w:t>
      </w:r>
      <w:r w:rsidR="00FD6A4E">
        <w:t xml:space="preserve">the operators will be able to reallocate the prime slots to the highest bidder. According to Ofcom’s Communication Market Report pay digital satellite platforms and </w:t>
      </w:r>
      <w:r w:rsidR="008235F6">
        <w:t>digital cable account for 52% of households so it is estimated that 52% of the value of linear EPG prominence is likely to be transferred from PSBs to platform operators. This currently implies an asset value of £130m transferring from PSBs to platform operators but is expected to fall to £91m over the next 10 years.</w:t>
      </w:r>
      <w:r w:rsidR="00D533E9">
        <w:t xml:space="preserve"> Given that this one-off asset transfer effectively occurs in year 0 as soon as the regulation comes into force the estimated NPV over 10 years of the transfer </w:t>
      </w:r>
      <w:r w:rsidR="00D533E9" w:rsidRPr="00D533E9">
        <w:t xml:space="preserve">is </w:t>
      </w:r>
      <w:r w:rsidR="00D533E9">
        <w:rPr>
          <w:b/>
        </w:rPr>
        <w:t>£96</w:t>
      </w:r>
      <w:r w:rsidR="00D533E9" w:rsidRPr="00C2264A">
        <w:rPr>
          <w:b/>
        </w:rPr>
        <w:t xml:space="preserve">m to </w:t>
      </w:r>
      <w:r w:rsidR="00D533E9">
        <w:rPr>
          <w:b/>
        </w:rPr>
        <w:t>£137</w:t>
      </w:r>
      <w:r w:rsidR="00D533E9" w:rsidRPr="00C2264A">
        <w:rPr>
          <w:b/>
        </w:rPr>
        <w:t>m</w:t>
      </w:r>
      <w:r w:rsidR="00D533E9">
        <w:t xml:space="preserve"> in 2015 prices.</w:t>
      </w:r>
    </w:p>
    <w:p w14:paraId="6E7E2B0D" w14:textId="77777777" w:rsidR="008235F6" w:rsidRDefault="008235F6" w:rsidP="00AB3C4E">
      <w:pPr>
        <w:jc w:val="both"/>
      </w:pPr>
    </w:p>
    <w:p w14:paraId="794686E8" w14:textId="052BBCC6" w:rsidR="008235F6" w:rsidRDefault="008235F6" w:rsidP="00AB3C4E">
      <w:pPr>
        <w:jc w:val="both"/>
      </w:pPr>
      <w:r>
        <w:t>As above any transfer</w:t>
      </w:r>
      <w:r w:rsidR="00B33175">
        <w:t xml:space="preserve"> of asset</w:t>
      </w:r>
      <w:r>
        <w:t xml:space="preserve"> from a commercial PSB to a pay platform operator is a transfer between two businesses. However, transferring the BBCs </w:t>
      </w:r>
      <w:r w:rsidR="00B33175">
        <w:t>prominent slots to a pay platform operator is a transfer to business from a publicly funded body. Based on the BBC accounting for two of the 5 positions reserved for PSBs (BBC1 and BBC2) this would be the equivalent of transferring an asset currently worth £52m to the public sector, but which could be worth £36m in 10 years time.</w:t>
      </w:r>
      <w:r w:rsidR="00D533E9">
        <w:t xml:space="preserve"> Again, as this one-off asset transfer </w:t>
      </w:r>
      <w:r w:rsidR="00B96366">
        <w:t>to</w:t>
      </w:r>
      <w:r w:rsidR="00D533E9">
        <w:t xml:space="preserve"> business occurs in year 0 as soon as the regulation comes into force the estimated NPV over 10 years of the transfer </w:t>
      </w:r>
      <w:r w:rsidR="00D533E9" w:rsidRPr="00C2264A">
        <w:rPr>
          <w:b/>
        </w:rPr>
        <w:t xml:space="preserve">is </w:t>
      </w:r>
      <w:r w:rsidR="00D533E9">
        <w:rPr>
          <w:b/>
        </w:rPr>
        <w:t>£</w:t>
      </w:r>
      <w:r w:rsidR="00B96366">
        <w:rPr>
          <w:b/>
        </w:rPr>
        <w:t>3</w:t>
      </w:r>
      <w:r w:rsidR="00D533E9">
        <w:rPr>
          <w:b/>
        </w:rPr>
        <w:t>8</w:t>
      </w:r>
      <w:r w:rsidR="00D533E9" w:rsidRPr="00C2264A">
        <w:rPr>
          <w:b/>
        </w:rPr>
        <w:t xml:space="preserve">m to </w:t>
      </w:r>
      <w:r w:rsidR="00B96366">
        <w:rPr>
          <w:b/>
        </w:rPr>
        <w:t>£55</w:t>
      </w:r>
      <w:r w:rsidR="00D533E9" w:rsidRPr="00C2264A">
        <w:rPr>
          <w:b/>
        </w:rPr>
        <w:t>m</w:t>
      </w:r>
      <w:r w:rsidR="00D533E9">
        <w:t xml:space="preserve"> in 2015 prices.</w:t>
      </w:r>
    </w:p>
    <w:p w14:paraId="749999B1" w14:textId="77777777" w:rsidR="00B33175" w:rsidRDefault="00B33175" w:rsidP="00AB3C4E">
      <w:pPr>
        <w:jc w:val="both"/>
      </w:pPr>
    </w:p>
    <w:p w14:paraId="2BE6E402" w14:textId="77777777" w:rsidR="00D87429" w:rsidRDefault="00D87429" w:rsidP="00D87429">
      <w:pPr>
        <w:rPr>
          <w:b/>
          <w:u w:val="single"/>
        </w:rPr>
      </w:pPr>
    </w:p>
    <w:p w14:paraId="513E9CB5" w14:textId="4CF23BCB" w:rsidR="00867C3F" w:rsidRPr="00D87429" w:rsidRDefault="00DF27AB" w:rsidP="00D87429">
      <w:pPr>
        <w:rPr>
          <w:rFonts w:cs="Arial"/>
          <w:b/>
          <w:bCs/>
          <w:szCs w:val="22"/>
          <w:u w:val="single"/>
          <w:lang w:eastAsia="en-GB"/>
        </w:rPr>
      </w:pPr>
      <w:r>
        <w:rPr>
          <w:b/>
          <w:u w:val="single"/>
        </w:rPr>
        <w:t xml:space="preserve">3.4 </w:t>
      </w:r>
      <w:r w:rsidR="00D02AEC" w:rsidRPr="007D2BF8">
        <w:rPr>
          <w:b/>
          <w:u w:val="single"/>
        </w:rPr>
        <w:t>Familiarisation and Compliance</w:t>
      </w:r>
    </w:p>
    <w:p w14:paraId="05AF30CB" w14:textId="77777777" w:rsidR="00D02AEC" w:rsidRPr="007D2BF8" w:rsidRDefault="00D02AEC" w:rsidP="00D02AEC">
      <w:pPr>
        <w:pStyle w:val="EBNumber"/>
        <w:tabs>
          <w:tab w:val="clear" w:pos="425"/>
        </w:tabs>
        <w:spacing w:after="0"/>
        <w:ind w:left="0" w:firstLine="0"/>
        <w:jc w:val="both"/>
        <w:rPr>
          <w:b/>
          <w:color w:val="auto"/>
          <w:sz w:val="24"/>
          <w:u w:val="single"/>
        </w:rPr>
      </w:pPr>
    </w:p>
    <w:p w14:paraId="2CEF8C73" w14:textId="70E945CA" w:rsidR="00D02AEC" w:rsidRPr="007D2BF8" w:rsidRDefault="00D02AEC" w:rsidP="00D02AEC">
      <w:pPr>
        <w:pStyle w:val="EBNumber"/>
        <w:tabs>
          <w:tab w:val="clear" w:pos="425"/>
        </w:tabs>
        <w:spacing w:after="0"/>
        <w:ind w:left="0" w:firstLine="0"/>
        <w:jc w:val="both"/>
        <w:rPr>
          <w:color w:val="auto"/>
          <w:sz w:val="24"/>
        </w:rPr>
      </w:pPr>
      <w:r w:rsidRPr="007D2BF8">
        <w:rPr>
          <w:color w:val="auto"/>
          <w:sz w:val="24"/>
        </w:rPr>
        <w:t xml:space="preserve">The Department estimates transitional familiarisation costs to be negligible, as this measure only applies to five </w:t>
      </w:r>
      <w:r w:rsidR="00773A8D">
        <w:rPr>
          <w:color w:val="auto"/>
          <w:sz w:val="24"/>
        </w:rPr>
        <w:t xml:space="preserve">very </w:t>
      </w:r>
      <w:r w:rsidRPr="007D2BF8">
        <w:rPr>
          <w:color w:val="auto"/>
          <w:sz w:val="24"/>
        </w:rPr>
        <w:t>large companies. Compliance costs to business relative to the status quo are equally estimated to be zero.</w:t>
      </w:r>
    </w:p>
    <w:p w14:paraId="7CEBF429" w14:textId="77777777" w:rsidR="00D02AEC" w:rsidRPr="007D2BF8" w:rsidRDefault="00D02AEC" w:rsidP="00D02AEC">
      <w:pPr>
        <w:pStyle w:val="EBNumber"/>
        <w:tabs>
          <w:tab w:val="clear" w:pos="425"/>
        </w:tabs>
        <w:spacing w:after="0"/>
        <w:ind w:left="0" w:firstLine="0"/>
        <w:jc w:val="both"/>
        <w:rPr>
          <w:color w:val="auto"/>
          <w:sz w:val="24"/>
        </w:rPr>
      </w:pPr>
    </w:p>
    <w:p w14:paraId="1CB2F837" w14:textId="3308C1FF" w:rsidR="003C6FD0" w:rsidRPr="007D2BF8" w:rsidRDefault="00D02AEC" w:rsidP="00D02AEC">
      <w:pPr>
        <w:pStyle w:val="EBNumber"/>
        <w:tabs>
          <w:tab w:val="clear" w:pos="425"/>
        </w:tabs>
        <w:spacing w:after="0"/>
        <w:ind w:left="0" w:firstLine="0"/>
        <w:jc w:val="both"/>
        <w:rPr>
          <w:color w:val="auto"/>
          <w:sz w:val="24"/>
        </w:rPr>
      </w:pPr>
      <w:r w:rsidRPr="007D2BF8">
        <w:rPr>
          <w:color w:val="auto"/>
          <w:sz w:val="24"/>
        </w:rPr>
        <w:t>Option 2</w:t>
      </w:r>
      <w:r w:rsidR="00D87429">
        <w:rPr>
          <w:color w:val="auto"/>
          <w:sz w:val="24"/>
        </w:rPr>
        <w:t>b)</w:t>
      </w:r>
      <w:r w:rsidRPr="007D2BF8">
        <w:rPr>
          <w:color w:val="auto"/>
          <w:sz w:val="24"/>
        </w:rPr>
        <w:t xml:space="preserve"> provides a minor exception to this, as Ofcom’s greater involvement in the arbitration of negotiations could lead to costs, most likely in the form of time spent by existing staff. At this point, our best estimate of these costs is </w:t>
      </w:r>
      <w:r w:rsidR="000603E7">
        <w:rPr>
          <w:color w:val="auto"/>
          <w:sz w:val="24"/>
        </w:rPr>
        <w:t>£28,000</w:t>
      </w:r>
      <w:r w:rsidR="00C15727" w:rsidRPr="007D2BF8">
        <w:rPr>
          <w:b/>
          <w:color w:val="auto"/>
          <w:sz w:val="24"/>
        </w:rPr>
        <w:t xml:space="preserve"> </w:t>
      </w:r>
      <w:r w:rsidR="00D87429">
        <w:rPr>
          <w:color w:val="auto"/>
          <w:sz w:val="24"/>
        </w:rPr>
        <w:t>annually, based on the cost of a senior official</w:t>
      </w:r>
      <w:r w:rsidR="000603E7">
        <w:rPr>
          <w:color w:val="auto"/>
          <w:sz w:val="24"/>
        </w:rPr>
        <w:t xml:space="preserve"> (ASHE 2014)</w:t>
      </w:r>
      <w:r w:rsidR="00D87429">
        <w:rPr>
          <w:color w:val="auto"/>
          <w:sz w:val="24"/>
        </w:rPr>
        <w:t xml:space="preserve"> </w:t>
      </w:r>
      <w:r w:rsidR="000603E7">
        <w:rPr>
          <w:color w:val="auto"/>
          <w:sz w:val="24"/>
        </w:rPr>
        <w:t xml:space="preserve">at 0.3 FTE in 2015 prices, including 21% non-wage costs. </w:t>
      </w:r>
    </w:p>
    <w:p w14:paraId="1394F9DF" w14:textId="77777777" w:rsidR="007D2BF8" w:rsidRPr="007D2BF8" w:rsidRDefault="007D2BF8" w:rsidP="00D02AEC">
      <w:pPr>
        <w:pStyle w:val="EBNumber"/>
        <w:tabs>
          <w:tab w:val="clear" w:pos="425"/>
        </w:tabs>
        <w:spacing w:after="0"/>
        <w:ind w:left="0" w:firstLine="0"/>
        <w:jc w:val="both"/>
        <w:rPr>
          <w:color w:val="auto"/>
          <w:sz w:val="24"/>
        </w:rPr>
      </w:pPr>
    </w:p>
    <w:p w14:paraId="5542A7DE" w14:textId="77777777" w:rsidR="003D4A16" w:rsidRPr="007D2BF8" w:rsidRDefault="003D4A16" w:rsidP="00D02AEC">
      <w:pPr>
        <w:pStyle w:val="EBNumber"/>
        <w:tabs>
          <w:tab w:val="clear" w:pos="425"/>
        </w:tabs>
        <w:spacing w:after="0"/>
        <w:ind w:left="0" w:firstLine="0"/>
        <w:jc w:val="both"/>
        <w:rPr>
          <w:color w:val="auto"/>
          <w:sz w:val="24"/>
        </w:rPr>
      </w:pPr>
    </w:p>
    <w:p w14:paraId="792ED0E7" w14:textId="1BBBB901" w:rsidR="009A331A" w:rsidRPr="007D2BF8" w:rsidRDefault="000603E7" w:rsidP="000603E7">
      <w:pPr>
        <w:pStyle w:val="EBNumber"/>
        <w:tabs>
          <w:tab w:val="clear" w:pos="425"/>
        </w:tabs>
        <w:spacing w:after="0"/>
        <w:ind w:left="0" w:firstLine="0"/>
        <w:jc w:val="both"/>
        <w:rPr>
          <w:b/>
          <w:color w:val="auto"/>
          <w:sz w:val="24"/>
          <w:u w:val="single"/>
        </w:rPr>
      </w:pPr>
      <w:r>
        <w:rPr>
          <w:b/>
          <w:color w:val="auto"/>
          <w:sz w:val="24"/>
          <w:u w:val="single"/>
        </w:rPr>
        <w:t xml:space="preserve">3.5 </w:t>
      </w:r>
      <w:r w:rsidR="009A331A" w:rsidRPr="007D2BF8">
        <w:rPr>
          <w:b/>
          <w:color w:val="auto"/>
          <w:sz w:val="24"/>
          <w:u w:val="single"/>
        </w:rPr>
        <w:t>Small and Micro Business Assessment</w:t>
      </w:r>
    </w:p>
    <w:p w14:paraId="14112548" w14:textId="77777777" w:rsidR="006C2730" w:rsidRPr="007D2BF8" w:rsidRDefault="006C2730" w:rsidP="00D02AEC">
      <w:pPr>
        <w:pStyle w:val="EBNumber"/>
        <w:tabs>
          <w:tab w:val="clear" w:pos="425"/>
        </w:tabs>
        <w:spacing w:after="0"/>
        <w:ind w:left="0" w:firstLine="0"/>
        <w:jc w:val="both"/>
        <w:rPr>
          <w:color w:val="auto"/>
          <w:sz w:val="24"/>
        </w:rPr>
      </w:pPr>
    </w:p>
    <w:p w14:paraId="70CFFC44" w14:textId="12529754" w:rsidR="00D43769" w:rsidRDefault="00D43769" w:rsidP="00D02AEC">
      <w:pPr>
        <w:pStyle w:val="EBNumber"/>
        <w:tabs>
          <w:tab w:val="clear" w:pos="425"/>
        </w:tabs>
        <w:spacing w:after="0"/>
        <w:ind w:left="0" w:firstLine="0"/>
        <w:jc w:val="both"/>
        <w:rPr>
          <w:color w:val="auto"/>
          <w:sz w:val="24"/>
        </w:rPr>
      </w:pPr>
      <w:r w:rsidRPr="007D2BF8">
        <w:rPr>
          <w:color w:val="auto"/>
          <w:sz w:val="24"/>
        </w:rPr>
        <w:t>There are currently no small and</w:t>
      </w:r>
      <w:r w:rsidR="004842AF">
        <w:rPr>
          <w:color w:val="auto"/>
          <w:sz w:val="24"/>
        </w:rPr>
        <w:t xml:space="preserve"> micro businesses covered by the</w:t>
      </w:r>
      <w:r w:rsidRPr="007D2BF8">
        <w:rPr>
          <w:color w:val="auto"/>
          <w:sz w:val="24"/>
        </w:rPr>
        <w:t>s</w:t>
      </w:r>
      <w:r w:rsidR="004842AF">
        <w:rPr>
          <w:color w:val="auto"/>
          <w:sz w:val="24"/>
        </w:rPr>
        <w:t>e</w:t>
      </w:r>
      <w:r w:rsidRPr="007D2BF8">
        <w:rPr>
          <w:color w:val="auto"/>
          <w:sz w:val="24"/>
        </w:rPr>
        <w:t xml:space="preserve"> proposal</w:t>
      </w:r>
      <w:r w:rsidR="004842AF">
        <w:rPr>
          <w:color w:val="auto"/>
          <w:sz w:val="24"/>
        </w:rPr>
        <w:t>s</w:t>
      </w:r>
      <w:r w:rsidRPr="007D2BF8">
        <w:rPr>
          <w:color w:val="auto"/>
          <w:sz w:val="24"/>
        </w:rPr>
        <w:t>.</w:t>
      </w:r>
      <w:r w:rsidR="007D2BF8" w:rsidRPr="007D2BF8">
        <w:rPr>
          <w:color w:val="auto"/>
          <w:sz w:val="24"/>
        </w:rPr>
        <w:t xml:space="preserve"> The five enterpri</w:t>
      </w:r>
      <w:r w:rsidR="004842AF">
        <w:rPr>
          <w:color w:val="auto"/>
          <w:sz w:val="24"/>
        </w:rPr>
        <w:t>ses currently clearly falling within their</w:t>
      </w:r>
      <w:r w:rsidR="007D2BF8" w:rsidRPr="007D2BF8">
        <w:rPr>
          <w:color w:val="auto"/>
          <w:sz w:val="24"/>
        </w:rPr>
        <w:t xml:space="preserve"> remit, namely ITV, Channel 4, Channel 5, Virgin and Sky, all have well above 250 staff. The Department will seek views on any potential impact on SMEs during the consultation.</w:t>
      </w:r>
      <w:r w:rsidR="004842AF">
        <w:rPr>
          <w:color w:val="auto"/>
          <w:sz w:val="24"/>
        </w:rPr>
        <w:t xml:space="preserve"> Concerning the liberalisation of the EPG regime, it is considered unlikely SMEs would be able to acquire EPG slots currently held by the BBC or </w:t>
      </w:r>
      <w:r w:rsidR="004842AF">
        <w:rPr>
          <w:color w:val="auto"/>
          <w:sz w:val="24"/>
        </w:rPr>
        <w:lastRenderedPageBreak/>
        <w:t>commercial PSBs.</w:t>
      </w:r>
      <w:r w:rsidR="007D2BF8" w:rsidRPr="007D2BF8">
        <w:rPr>
          <w:color w:val="auto"/>
          <w:sz w:val="24"/>
        </w:rPr>
        <w:t xml:space="preserve"> </w:t>
      </w:r>
      <w:r w:rsidR="004842AF">
        <w:rPr>
          <w:color w:val="auto"/>
          <w:sz w:val="24"/>
        </w:rPr>
        <w:t>D</w:t>
      </w:r>
      <w:r w:rsidR="007D2BF8">
        <w:rPr>
          <w:color w:val="auto"/>
          <w:sz w:val="24"/>
        </w:rPr>
        <w:t>ue to the prevalence of sizeable economies of scale in the broadcasting sector, it is not currently the Department’s view that SME</w:t>
      </w:r>
      <w:r w:rsidR="004842AF">
        <w:rPr>
          <w:color w:val="auto"/>
          <w:sz w:val="24"/>
        </w:rPr>
        <w:t>s could feasibly operate in the</w:t>
      </w:r>
      <w:r w:rsidR="007D2BF8">
        <w:rPr>
          <w:color w:val="auto"/>
          <w:sz w:val="24"/>
        </w:rPr>
        <w:t xml:space="preserve"> space</w:t>
      </w:r>
      <w:r w:rsidR="004842AF">
        <w:rPr>
          <w:color w:val="auto"/>
          <w:sz w:val="24"/>
        </w:rPr>
        <w:t xml:space="preserve"> covered by this consultation</w:t>
      </w:r>
      <w:r w:rsidR="007D2BF8">
        <w:rPr>
          <w:color w:val="auto"/>
          <w:sz w:val="24"/>
        </w:rPr>
        <w:t>, regardless of the option adopted.</w:t>
      </w:r>
      <w:r w:rsidR="004842AF">
        <w:rPr>
          <w:color w:val="auto"/>
          <w:sz w:val="24"/>
        </w:rPr>
        <w:t xml:space="preserve"> The Department will seek further views on this in the consultation. </w:t>
      </w:r>
    </w:p>
    <w:p w14:paraId="760DB6FC" w14:textId="77777777" w:rsidR="007D2BF8" w:rsidRDefault="007D2BF8" w:rsidP="00D02AEC">
      <w:pPr>
        <w:pStyle w:val="EBNumber"/>
        <w:tabs>
          <w:tab w:val="clear" w:pos="425"/>
        </w:tabs>
        <w:spacing w:after="0"/>
        <w:ind w:left="0" w:firstLine="0"/>
        <w:jc w:val="both"/>
        <w:rPr>
          <w:color w:val="auto"/>
          <w:sz w:val="24"/>
        </w:rPr>
      </w:pPr>
    </w:p>
    <w:p w14:paraId="0731CC2C" w14:textId="77777777" w:rsidR="007D2BF8" w:rsidRDefault="007D2BF8" w:rsidP="00D02AEC">
      <w:pPr>
        <w:pStyle w:val="EBNumber"/>
        <w:tabs>
          <w:tab w:val="clear" w:pos="425"/>
        </w:tabs>
        <w:spacing w:after="0"/>
        <w:ind w:left="0" w:firstLine="0"/>
        <w:jc w:val="both"/>
        <w:rPr>
          <w:color w:val="auto"/>
          <w:sz w:val="24"/>
        </w:rPr>
      </w:pPr>
    </w:p>
    <w:p w14:paraId="1C7279BF" w14:textId="6D2A011A" w:rsidR="007D2BF8" w:rsidRDefault="004842AF" w:rsidP="00E537F3">
      <w:pPr>
        <w:pStyle w:val="EBNumber"/>
        <w:tabs>
          <w:tab w:val="clear" w:pos="425"/>
        </w:tabs>
        <w:spacing w:after="0"/>
        <w:jc w:val="both"/>
        <w:rPr>
          <w:b/>
          <w:color w:val="auto"/>
          <w:sz w:val="24"/>
          <w:u w:val="single"/>
        </w:rPr>
      </w:pPr>
      <w:r>
        <w:rPr>
          <w:b/>
          <w:color w:val="auto"/>
          <w:sz w:val="24"/>
          <w:u w:val="single"/>
        </w:rPr>
        <w:t xml:space="preserve">3.6 </w:t>
      </w:r>
      <w:r w:rsidR="007D2BF8">
        <w:rPr>
          <w:b/>
          <w:color w:val="auto"/>
          <w:sz w:val="24"/>
          <w:u w:val="single"/>
        </w:rPr>
        <w:t>One In Two Out and EANCB</w:t>
      </w:r>
    </w:p>
    <w:p w14:paraId="6EB54BFB" w14:textId="77777777" w:rsidR="007D2BF8" w:rsidRDefault="007D2BF8" w:rsidP="00E537F3">
      <w:pPr>
        <w:pStyle w:val="EBNumber"/>
        <w:tabs>
          <w:tab w:val="clear" w:pos="425"/>
        </w:tabs>
        <w:spacing w:after="0"/>
        <w:jc w:val="both"/>
        <w:rPr>
          <w:b/>
          <w:color w:val="auto"/>
          <w:sz w:val="24"/>
          <w:u w:val="single"/>
        </w:rPr>
      </w:pPr>
    </w:p>
    <w:p w14:paraId="3C30D3D8" w14:textId="59137BC4" w:rsidR="007D2BF8" w:rsidRDefault="00EB65B3" w:rsidP="00E537F3">
      <w:pPr>
        <w:pStyle w:val="EBNumber"/>
        <w:tabs>
          <w:tab w:val="clear" w:pos="425"/>
        </w:tabs>
        <w:spacing w:after="0"/>
        <w:ind w:left="0" w:firstLine="0"/>
        <w:jc w:val="both"/>
        <w:rPr>
          <w:b/>
          <w:color w:val="auto"/>
          <w:sz w:val="24"/>
        </w:rPr>
      </w:pPr>
      <w:r>
        <w:rPr>
          <w:color w:val="auto"/>
          <w:sz w:val="24"/>
        </w:rPr>
        <w:t xml:space="preserve">As outlined above, our best estimate of the business impact of Options 1, 2a) and 2b) is that they will have no impact or lead to sizeable transfers within business that net to zero. For the purposes of OITO, Option 1 and Option 2a) are considered as deregulatory, and thus as an OUT of Zero Net Cost. Option 2b) is considered an IN of Zero Net Cost. </w:t>
      </w:r>
    </w:p>
    <w:p w14:paraId="383BE275" w14:textId="77777777" w:rsidR="007D2BF8" w:rsidRDefault="007D2BF8" w:rsidP="00E537F3">
      <w:pPr>
        <w:pStyle w:val="EBNumber"/>
        <w:tabs>
          <w:tab w:val="clear" w:pos="425"/>
        </w:tabs>
        <w:spacing w:after="0"/>
        <w:ind w:left="0" w:firstLine="0"/>
        <w:jc w:val="both"/>
        <w:rPr>
          <w:b/>
          <w:color w:val="auto"/>
          <w:sz w:val="24"/>
        </w:rPr>
      </w:pPr>
    </w:p>
    <w:p w14:paraId="6F32944E" w14:textId="40273DEF" w:rsidR="00E0168C" w:rsidRPr="00B63A21" w:rsidRDefault="00B63A21" w:rsidP="00E537F3">
      <w:pPr>
        <w:pStyle w:val="EBNumber"/>
        <w:tabs>
          <w:tab w:val="clear" w:pos="425"/>
        </w:tabs>
        <w:spacing w:after="0"/>
        <w:ind w:left="0" w:firstLine="0"/>
        <w:jc w:val="both"/>
        <w:rPr>
          <w:color w:val="auto"/>
          <w:sz w:val="24"/>
        </w:rPr>
      </w:pPr>
      <w:r>
        <w:rPr>
          <w:color w:val="auto"/>
          <w:sz w:val="24"/>
        </w:rPr>
        <w:t xml:space="preserve">Options 3a) and 3b), on the other hand, have the potential to introduce substantial redistribution between business and a public entity. Option 3a), extending the EPG regime, is considered an IN with an EANCB of </w:t>
      </w:r>
      <w:r>
        <w:rPr>
          <w:b/>
          <w:color w:val="auto"/>
          <w:sz w:val="24"/>
        </w:rPr>
        <w:t>£2</w:t>
      </w:r>
      <w:r w:rsidR="00B96366">
        <w:rPr>
          <w:b/>
          <w:color w:val="auto"/>
          <w:sz w:val="24"/>
        </w:rPr>
        <w:t>.2</w:t>
      </w:r>
      <w:r>
        <w:rPr>
          <w:b/>
          <w:color w:val="auto"/>
          <w:sz w:val="24"/>
        </w:rPr>
        <w:t xml:space="preserve">m. </w:t>
      </w:r>
      <w:r w:rsidR="00B96366" w:rsidRPr="008E7DDD">
        <w:rPr>
          <w:color w:val="auto"/>
          <w:sz w:val="24"/>
        </w:rPr>
        <w:t>This is based on the</w:t>
      </w:r>
      <w:r w:rsidR="00B96366">
        <w:rPr>
          <w:color w:val="auto"/>
          <w:sz w:val="24"/>
        </w:rPr>
        <w:t xml:space="preserve"> asset transfer occurring in year zero and taking the mid-point of the range of potential asset values over 10 years. </w:t>
      </w:r>
      <w:r>
        <w:rPr>
          <w:color w:val="auto"/>
          <w:sz w:val="24"/>
        </w:rPr>
        <w:t xml:space="preserve">Option 3b), abolishing the EPG prominence regime, would be deregulatory and lead to substantial net gains to business, and thus count as an OUT. Prior to consultation, our best estimate of its EANCB is </w:t>
      </w:r>
      <w:r w:rsidR="003E5FE2">
        <w:rPr>
          <w:b/>
          <w:color w:val="auto"/>
          <w:sz w:val="24"/>
        </w:rPr>
        <w:t>-£4.3</w:t>
      </w:r>
      <w:r w:rsidR="00B96366">
        <w:rPr>
          <w:b/>
          <w:color w:val="auto"/>
          <w:sz w:val="24"/>
        </w:rPr>
        <w:t xml:space="preserve">m. </w:t>
      </w:r>
      <w:r w:rsidR="00B96366" w:rsidRPr="00C2264A">
        <w:rPr>
          <w:color w:val="auto"/>
          <w:sz w:val="24"/>
        </w:rPr>
        <w:t xml:space="preserve">This is </w:t>
      </w:r>
      <w:r w:rsidR="00B96366">
        <w:rPr>
          <w:color w:val="auto"/>
          <w:sz w:val="24"/>
        </w:rPr>
        <w:t xml:space="preserve">again </w:t>
      </w:r>
      <w:r w:rsidR="00B96366" w:rsidRPr="00C2264A">
        <w:rPr>
          <w:color w:val="auto"/>
          <w:sz w:val="24"/>
        </w:rPr>
        <w:t>based on the</w:t>
      </w:r>
      <w:r w:rsidR="00B96366">
        <w:rPr>
          <w:color w:val="auto"/>
          <w:sz w:val="24"/>
        </w:rPr>
        <w:t xml:space="preserve"> asset transfer occurring in year zero and taking the mid-point of the range of potential asset values over 10 years.</w:t>
      </w:r>
    </w:p>
    <w:p w14:paraId="027078BD" w14:textId="77777777" w:rsidR="00E0168C" w:rsidRPr="00E0168C" w:rsidRDefault="00E0168C" w:rsidP="00E537F3">
      <w:pPr>
        <w:pStyle w:val="EBNumber"/>
        <w:tabs>
          <w:tab w:val="clear" w:pos="425"/>
        </w:tabs>
        <w:spacing w:after="0"/>
        <w:ind w:left="0" w:firstLine="0"/>
        <w:jc w:val="both"/>
        <w:rPr>
          <w:color w:val="auto"/>
          <w:sz w:val="24"/>
        </w:rPr>
      </w:pPr>
    </w:p>
    <w:p w14:paraId="0A89F8FB" w14:textId="77777777" w:rsidR="00E0168C" w:rsidRDefault="00E0168C" w:rsidP="00E537F3">
      <w:pPr>
        <w:pStyle w:val="EBNumber"/>
        <w:tabs>
          <w:tab w:val="clear" w:pos="425"/>
        </w:tabs>
        <w:spacing w:after="0"/>
        <w:ind w:left="0" w:firstLine="0"/>
        <w:jc w:val="both"/>
        <w:rPr>
          <w:b/>
          <w:color w:val="auto"/>
          <w:sz w:val="24"/>
          <w:u w:val="single"/>
        </w:rPr>
      </w:pPr>
    </w:p>
    <w:p w14:paraId="74A50386" w14:textId="2A40963D" w:rsidR="00E0168C" w:rsidRPr="00E537F3" w:rsidRDefault="002F04C9" w:rsidP="00E537F3">
      <w:pPr>
        <w:rPr>
          <w:b/>
          <w:sz w:val="28"/>
          <w:szCs w:val="28"/>
          <w:u w:val="single"/>
        </w:rPr>
      </w:pPr>
      <w:r w:rsidRPr="00E537F3">
        <w:rPr>
          <w:b/>
          <w:sz w:val="28"/>
          <w:szCs w:val="28"/>
          <w:u w:val="single"/>
        </w:rPr>
        <w:t xml:space="preserve">4. </w:t>
      </w:r>
      <w:r w:rsidR="00E0168C" w:rsidRPr="00E537F3">
        <w:rPr>
          <w:b/>
          <w:sz w:val="28"/>
          <w:szCs w:val="28"/>
          <w:u w:val="single"/>
        </w:rPr>
        <w:t>Indicative Policy Timetable</w:t>
      </w:r>
    </w:p>
    <w:p w14:paraId="79852CDA" w14:textId="77777777" w:rsidR="00E0168C" w:rsidRDefault="00E0168C" w:rsidP="00E537F3">
      <w:pPr>
        <w:pStyle w:val="EBNumber"/>
        <w:tabs>
          <w:tab w:val="clear" w:pos="425"/>
        </w:tabs>
        <w:spacing w:after="0"/>
        <w:jc w:val="both"/>
        <w:rPr>
          <w:b/>
          <w:color w:val="auto"/>
          <w:sz w:val="24"/>
          <w:u w:val="single"/>
        </w:rPr>
      </w:pPr>
    </w:p>
    <w:p w14:paraId="5D09FC67" w14:textId="198A1129" w:rsidR="00375435" w:rsidRPr="00C35DEA" w:rsidRDefault="00375435" w:rsidP="00E537F3">
      <w:pPr>
        <w:pStyle w:val="EBNumber"/>
        <w:tabs>
          <w:tab w:val="clear" w:pos="425"/>
        </w:tabs>
        <w:spacing w:after="0"/>
        <w:ind w:left="0" w:firstLine="0"/>
        <w:jc w:val="both"/>
        <w:rPr>
          <w:color w:val="auto"/>
          <w:sz w:val="24"/>
        </w:rPr>
      </w:pPr>
      <w:r w:rsidRPr="00C35DEA">
        <w:rPr>
          <w:color w:val="auto"/>
          <w:sz w:val="24"/>
        </w:rPr>
        <w:t xml:space="preserve">Consultation will run throughout purdah, and a response would be expected in summer 2015.  Our intention is that this consultation will be timed so that the evidence gathered in Ofcom’s statutory PSB review, which is currently on going and will report in summer 2015, will also feed into Government’s overall consideration of the issues under consideration. </w:t>
      </w:r>
      <w:r w:rsidR="00057953" w:rsidRPr="00C35DEA">
        <w:rPr>
          <w:color w:val="auto"/>
          <w:sz w:val="24"/>
        </w:rPr>
        <w:t xml:space="preserve">Issues </w:t>
      </w:r>
      <w:r w:rsidRPr="00C35DEA">
        <w:rPr>
          <w:color w:val="auto"/>
          <w:sz w:val="24"/>
        </w:rPr>
        <w:t>may also need to be considered in the context of the BBC Charter review, which will be underway by summer 2015.  Therefore the Government will have a full suite of evidence available when deciding, after the consultation, how to take this policy area forward.</w:t>
      </w:r>
    </w:p>
    <w:p w14:paraId="4BF3D7AB" w14:textId="77777777" w:rsidR="00375435" w:rsidRPr="00C35DEA" w:rsidRDefault="00375435" w:rsidP="00E537F3">
      <w:pPr>
        <w:pStyle w:val="EBNumber"/>
        <w:tabs>
          <w:tab w:val="clear" w:pos="425"/>
        </w:tabs>
        <w:spacing w:after="0"/>
        <w:ind w:left="0" w:firstLine="0"/>
        <w:jc w:val="both"/>
        <w:rPr>
          <w:color w:val="auto"/>
          <w:sz w:val="24"/>
        </w:rPr>
      </w:pPr>
    </w:p>
    <w:p w14:paraId="38857A0D" w14:textId="0D910E2B" w:rsidR="00375435" w:rsidRPr="000147E1" w:rsidRDefault="00375435" w:rsidP="00E537F3">
      <w:pPr>
        <w:pStyle w:val="EBNumber"/>
        <w:tabs>
          <w:tab w:val="clear" w:pos="425"/>
        </w:tabs>
        <w:spacing w:after="0"/>
        <w:ind w:left="0" w:firstLine="0"/>
        <w:jc w:val="both"/>
        <w:rPr>
          <w:color w:val="auto"/>
          <w:sz w:val="24"/>
        </w:rPr>
      </w:pPr>
      <w:r w:rsidRPr="00C35DEA">
        <w:rPr>
          <w:color w:val="auto"/>
          <w:sz w:val="24"/>
        </w:rPr>
        <w:t>Removal of s73 would go ahead as early as possible within the parliamentary timetable, however it is not possible at this stage to provide any further indication about other potential options, which will depend on the outcome of the consultation.</w:t>
      </w:r>
    </w:p>
    <w:p w14:paraId="1795E84D" w14:textId="77777777" w:rsidR="00D05672" w:rsidRDefault="00D05672" w:rsidP="00E537F3">
      <w:pPr>
        <w:pStyle w:val="EBNumber"/>
        <w:tabs>
          <w:tab w:val="clear" w:pos="425"/>
        </w:tabs>
        <w:spacing w:after="0"/>
        <w:jc w:val="both"/>
        <w:rPr>
          <w:b/>
          <w:color w:val="auto"/>
          <w:sz w:val="24"/>
        </w:rPr>
      </w:pPr>
    </w:p>
    <w:p w14:paraId="7EAAC635" w14:textId="77777777" w:rsidR="002F04C9" w:rsidRDefault="002F04C9" w:rsidP="00E537F3">
      <w:pPr>
        <w:pStyle w:val="EBNumber"/>
        <w:tabs>
          <w:tab w:val="clear" w:pos="425"/>
        </w:tabs>
        <w:spacing w:after="0"/>
        <w:ind w:left="0" w:firstLine="0"/>
        <w:jc w:val="both"/>
        <w:rPr>
          <w:color w:val="auto"/>
          <w:sz w:val="24"/>
        </w:rPr>
      </w:pPr>
      <w:r>
        <w:rPr>
          <w:color w:val="auto"/>
          <w:sz w:val="24"/>
        </w:rPr>
        <w:t>Any preferred option adopted after the consultation would be reviewed five years after coming into force.</w:t>
      </w:r>
    </w:p>
    <w:p w14:paraId="7882D650" w14:textId="77777777" w:rsidR="002F04C9" w:rsidRDefault="002F04C9" w:rsidP="002F04C9">
      <w:pPr>
        <w:pStyle w:val="EBNumber"/>
        <w:tabs>
          <w:tab w:val="clear" w:pos="425"/>
        </w:tabs>
        <w:spacing w:after="0" w:line="276" w:lineRule="auto"/>
        <w:ind w:left="0" w:firstLine="0"/>
        <w:jc w:val="both"/>
        <w:rPr>
          <w:color w:val="auto"/>
          <w:sz w:val="24"/>
        </w:rPr>
      </w:pPr>
    </w:p>
    <w:p w14:paraId="6E8EFDC8" w14:textId="77777777" w:rsidR="002F04C9" w:rsidRPr="00EA25E5" w:rsidRDefault="002F04C9" w:rsidP="00EA25E5">
      <w:pPr>
        <w:pStyle w:val="EBNumber"/>
        <w:tabs>
          <w:tab w:val="clear" w:pos="425"/>
        </w:tabs>
        <w:spacing w:after="0" w:line="276" w:lineRule="auto"/>
        <w:jc w:val="both"/>
        <w:rPr>
          <w:b/>
          <w:color w:val="auto"/>
          <w:sz w:val="24"/>
        </w:rPr>
      </w:pPr>
    </w:p>
    <w:sectPr w:rsidR="002F04C9" w:rsidRPr="00EA25E5" w:rsidSect="00807DB6">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1331" w14:textId="77777777" w:rsidR="00FD2A43" w:rsidRDefault="00FD2A43">
      <w:r>
        <w:separator/>
      </w:r>
    </w:p>
  </w:endnote>
  <w:endnote w:type="continuationSeparator" w:id="0">
    <w:p w14:paraId="6703733C" w14:textId="77777777" w:rsidR="00FD2A43" w:rsidRDefault="00FD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DC2C" w14:textId="77777777" w:rsidR="0094069E" w:rsidRPr="00EB43FD" w:rsidRDefault="0094069E"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233C5E">
      <w:rPr>
        <w:rStyle w:val="PageNumber"/>
        <w:rFonts w:eastAsia="SimSun"/>
        <w:b w:val="0"/>
        <w:noProof/>
        <w:szCs w:val="18"/>
      </w:rPr>
      <w:t>1</w:t>
    </w:r>
    <w:r w:rsidRPr="00EB43FD">
      <w:rPr>
        <w:rStyle w:val="PageNumber"/>
        <w:rFonts w:eastAsia="SimSun"/>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12FF" w14:textId="77777777" w:rsidR="00FD2A43" w:rsidRDefault="00FD2A43">
      <w:r>
        <w:separator/>
      </w:r>
    </w:p>
  </w:footnote>
  <w:footnote w:type="continuationSeparator" w:id="0">
    <w:p w14:paraId="11CEDE5C" w14:textId="77777777" w:rsidR="00FD2A43" w:rsidRDefault="00FD2A43">
      <w:r>
        <w:continuationSeparator/>
      </w:r>
    </w:p>
  </w:footnote>
  <w:footnote w:id="1">
    <w:p w14:paraId="363ED7A6" w14:textId="77777777" w:rsidR="0094069E" w:rsidRDefault="0094069E" w:rsidP="00770F9C">
      <w:pPr>
        <w:pStyle w:val="FootnoteText"/>
      </w:pPr>
      <w:r>
        <w:rPr>
          <w:rStyle w:val="FootnoteReference"/>
        </w:rPr>
        <w:footnoteRef/>
      </w:r>
      <w:r>
        <w:t xml:space="preserve"> An Agreement between the Secretary of State for Culture, Media and Sport and the British Broadcasting Corporation, July 2006.</w:t>
      </w:r>
    </w:p>
  </w:footnote>
  <w:footnote w:id="2">
    <w:p w14:paraId="22352819" w14:textId="680FAC58" w:rsidR="0094069E" w:rsidRDefault="0094069E" w:rsidP="00163421">
      <w:pPr>
        <w:pStyle w:val="FootnoteText"/>
      </w:pPr>
      <w:r>
        <w:rPr>
          <w:rStyle w:val="FootnoteReference"/>
        </w:rPr>
        <w:footnoteRef/>
      </w:r>
      <w:r>
        <w:t xml:space="preserve"> Arqiva are a t</w:t>
      </w:r>
      <w:r w:rsidRPr="00ED44C6">
        <w:t xml:space="preserve">elecommunications </w:t>
      </w:r>
      <w:r>
        <w:t xml:space="preserve">infrastructure </w:t>
      </w:r>
      <w:r w:rsidRPr="00ED44C6">
        <w:t xml:space="preserve">company </w:t>
      </w:r>
      <w:r>
        <w:t xml:space="preserve">whose services include </w:t>
      </w:r>
      <w:r w:rsidRPr="00ED44C6">
        <w:t xml:space="preserve">broadcast transmission </w:t>
      </w:r>
      <w:r>
        <w:t>services</w:t>
      </w:r>
      <w:r w:rsidRPr="00ED44C6">
        <w:t xml:space="preserve"> in the United Kingdom and Ireland.</w:t>
      </w:r>
    </w:p>
  </w:footnote>
  <w:footnote w:id="3">
    <w:p w14:paraId="6C500917" w14:textId="77777777" w:rsidR="0094069E" w:rsidRDefault="0094069E" w:rsidP="00163421">
      <w:pPr>
        <w:pStyle w:val="FootnoteText"/>
      </w:pPr>
      <w:r>
        <w:rPr>
          <w:rStyle w:val="FootnoteReference"/>
        </w:rPr>
        <w:footnoteRef/>
      </w:r>
      <w:r>
        <w:t xml:space="preserve"> On Virgin the “channel” is a portal. </w:t>
      </w:r>
    </w:p>
  </w:footnote>
  <w:footnote w:id="4">
    <w:p w14:paraId="5579B888" w14:textId="77777777" w:rsidR="0094069E" w:rsidRDefault="0094069E" w:rsidP="00163421">
      <w:pPr>
        <w:pStyle w:val="FootnoteText"/>
      </w:pPr>
      <w:r>
        <w:rPr>
          <w:rStyle w:val="FootnoteReference"/>
        </w:rPr>
        <w:footnoteRef/>
      </w:r>
      <w:r>
        <w:t xml:space="preserve"> Except in Wales, there it is S4C</w:t>
      </w:r>
    </w:p>
  </w:footnote>
  <w:footnote w:id="5">
    <w:p w14:paraId="39A918F1" w14:textId="77777777" w:rsidR="0094069E" w:rsidRDefault="0094069E" w:rsidP="00163421">
      <w:pPr>
        <w:pStyle w:val="FootnoteText"/>
      </w:pPr>
      <w:r>
        <w:rPr>
          <w:rStyle w:val="FootnoteReference"/>
        </w:rPr>
        <w:footnoteRef/>
      </w:r>
      <w:r>
        <w:t xml:space="preserve"> </w:t>
      </w:r>
      <w:r w:rsidRPr="006E14CD">
        <w:t>On Freeview, for example, this can vary from 5 channels per EPG page to as many as 12 channels per page, depending on the type of set-top box or TV with built in Freeview reception being utilised. On Virgin Media the number of channels listed is also likely to range from 6 to 8 channels per EPG page depending on whether one is using an old/basic set-top boxes or one of the later V+ HD or TiVo PVRs. It is a similar situation on the Sky platform, where the older Sky boxes display 10 channels per EPG page, but the EPG displayed by SKY+ HD boxes has fewer channels per page (currently 8 channels per page on the latest version of the EPG, which Sky began rolling out to its Sky+ HD customers in June 2012).</w:t>
      </w:r>
    </w:p>
  </w:footnote>
  <w:footnote w:id="6">
    <w:p w14:paraId="0A28B546" w14:textId="77777777" w:rsidR="0094069E" w:rsidRDefault="0094069E" w:rsidP="00F56FC6">
      <w:pPr>
        <w:pStyle w:val="FootnoteText"/>
      </w:pPr>
      <w:r>
        <w:rPr>
          <w:rStyle w:val="FootnoteReference"/>
        </w:rPr>
        <w:footnoteRef/>
      </w:r>
      <w:r>
        <w:t xml:space="preserve"> Mediatique (2012). Carriage of TV Channels in the UK: policy options and implications. Report for the Department of Culture, Media and Sport. </w:t>
      </w:r>
    </w:p>
  </w:footnote>
  <w:footnote w:id="7">
    <w:p w14:paraId="16976566" w14:textId="57720362" w:rsidR="0094069E" w:rsidRDefault="0094069E">
      <w:pPr>
        <w:pStyle w:val="FootnoteText"/>
      </w:pPr>
      <w:r>
        <w:rPr>
          <w:rStyle w:val="FootnoteReference"/>
        </w:rPr>
        <w:footnoteRef/>
      </w:r>
      <w:r>
        <w:t xml:space="preserve"> </w:t>
      </w:r>
      <w:r w:rsidRPr="005F1C08">
        <w:t xml:space="preserve">Under the EU Access Directive, Sky’s conditional access services are regulated under the </w:t>
      </w:r>
      <w:r>
        <w:t>Technical Platform Services (TPS</w:t>
      </w:r>
      <w:r w:rsidRPr="005F1C08">
        <w:t>) regime.  This means it is able to charge fees for defined services, which are set on a cost-recovery basis and must be fair, reasonable and non-discriminatory (FRND) in accordance with the EU Access Directive. The relevant TPSs are: conditional access (i.e. encryption); geographic masking; Electronic Programme Guide (EPG) listing services; regionalisation; and access control services (e.g. interactive services).  TPS charges are set by Sky, but they are subject to the regulatory condition requiring them to provide TPS on fair and reasonable terms, conditions and charges.</w:t>
      </w:r>
      <w:r>
        <w:t xml:space="preserve"> As they are defined by an EU directive changes to TPS are not within scope of the proposed regulatory changes.</w:t>
      </w:r>
    </w:p>
  </w:footnote>
  <w:footnote w:id="8">
    <w:p w14:paraId="000F61D6" w14:textId="7D5C6723" w:rsidR="0094069E" w:rsidRDefault="0094069E">
      <w:pPr>
        <w:pStyle w:val="FootnoteText"/>
      </w:pPr>
      <w:r>
        <w:rPr>
          <w:rStyle w:val="FootnoteReference"/>
        </w:rPr>
        <w:footnoteRef/>
      </w:r>
      <w:r>
        <w:t xml:space="preserve">  Mediatique (2012). Carriage of TV Channels in the UK: policy options and implications. Report for the Department of Culture, Media and Sport.</w:t>
      </w:r>
    </w:p>
  </w:footnote>
  <w:footnote w:id="9">
    <w:p w14:paraId="01D1B693" w14:textId="71E9702B" w:rsidR="0094069E" w:rsidRDefault="0094069E">
      <w:pPr>
        <w:pStyle w:val="FootnoteText"/>
      </w:pPr>
      <w:r>
        <w:rPr>
          <w:rStyle w:val="FootnoteReference"/>
        </w:rPr>
        <w:footnoteRef/>
      </w:r>
      <w:r>
        <w:t xml:space="preserve"> Mediatique estimate that 27% of commercial PSB revenue is spent on non-sport originations in 2010, compared to just 2% for pay-TV channels.</w:t>
      </w:r>
    </w:p>
  </w:footnote>
  <w:footnote w:id="10">
    <w:p w14:paraId="77F7A0D8" w14:textId="584135F5" w:rsidR="0094069E" w:rsidRDefault="0094069E">
      <w:pPr>
        <w:pStyle w:val="FootnoteText"/>
      </w:pPr>
      <w:r>
        <w:rPr>
          <w:rStyle w:val="FootnoteReference"/>
        </w:rPr>
        <w:footnoteRef/>
      </w:r>
      <w:r>
        <w:t xml:space="preserve"> Ofcom (2014) The Communications Market Report</w:t>
      </w:r>
    </w:p>
  </w:footnote>
  <w:footnote w:id="11">
    <w:p w14:paraId="3AAE6050" w14:textId="14E9D30E" w:rsidR="0094069E" w:rsidRDefault="0094069E">
      <w:pPr>
        <w:pStyle w:val="FootnoteText"/>
      </w:pPr>
      <w:r>
        <w:rPr>
          <w:rStyle w:val="FootnoteReference"/>
        </w:rPr>
        <w:footnoteRef/>
      </w:r>
      <w:r>
        <w:t xml:space="preserve"> Note that these figures are not exclusive and are likely to overlap</w:t>
      </w:r>
    </w:p>
  </w:footnote>
  <w:footnote w:id="12">
    <w:p w14:paraId="7E9FD89F" w14:textId="7341C2C5" w:rsidR="0094069E" w:rsidRDefault="0094069E">
      <w:pPr>
        <w:pStyle w:val="FootnoteText"/>
      </w:pPr>
      <w:r>
        <w:rPr>
          <w:rStyle w:val="FootnoteReference"/>
        </w:rPr>
        <w:footnoteRef/>
      </w:r>
      <w:r>
        <w:t xml:space="preserve"> Ofcom (2013) Communications Market Report</w:t>
      </w:r>
    </w:p>
  </w:footnote>
  <w:footnote w:id="13">
    <w:p w14:paraId="68DFD1F9" w14:textId="49A173C2" w:rsidR="0094069E" w:rsidRDefault="0094069E">
      <w:pPr>
        <w:pStyle w:val="FootnoteText"/>
      </w:pPr>
      <w:r>
        <w:rPr>
          <w:rStyle w:val="FootnoteReference"/>
        </w:rPr>
        <w:footnoteRef/>
      </w:r>
      <w:r>
        <w:t xml:space="preserve"> DCMS (2013) Impact Assessment on Amendments to the Communications Act 2003 (Electronic Programme Guides). IA accompanying the “Connectivity, Content and Consumers: Britain’s digital platform for growth” paper.</w:t>
      </w:r>
    </w:p>
  </w:footnote>
  <w:footnote w:id="14">
    <w:p w14:paraId="479ACC85" w14:textId="7717AC99" w:rsidR="0094069E" w:rsidRDefault="0094069E">
      <w:pPr>
        <w:pStyle w:val="FootnoteText"/>
      </w:pPr>
      <w:r>
        <w:rPr>
          <w:rStyle w:val="FootnoteReference"/>
        </w:rPr>
        <w:footnoteRef/>
      </w:r>
      <w:r>
        <w:t xml:space="preserve"> Technologia (2012) The value and optimal management of channel position and prominence in electronic programme guides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A5D9" w14:textId="77777777" w:rsidR="0094069E" w:rsidRDefault="0094069E">
    <w:pPr>
      <w:pStyle w:val="Header"/>
    </w:pPr>
    <w:r>
      <w:fldChar w:fldCharType="begin"/>
    </w:r>
    <w:r>
      <w:instrText xml:space="preserve"> DOCPROPERTY  Classification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D415F0"/>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0EA3839"/>
    <w:multiLevelType w:val="hybridMultilevel"/>
    <w:tmpl w:val="26B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B357D"/>
    <w:multiLevelType w:val="hybridMultilevel"/>
    <w:tmpl w:val="764E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83CD6"/>
    <w:multiLevelType w:val="multilevel"/>
    <w:tmpl w:val="1EC834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52544A"/>
    <w:multiLevelType w:val="hybridMultilevel"/>
    <w:tmpl w:val="DC2ACED8"/>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3C1A17"/>
    <w:multiLevelType w:val="multilevel"/>
    <w:tmpl w:val="EA2423FA"/>
    <w:lvl w:ilvl="0">
      <w:start w:val="1"/>
      <w:numFmt w:val="decimal"/>
      <w:suff w:val="space"/>
      <w:lvlText w:val="Chapter %1:"/>
      <w:lvlJc w:val="left"/>
      <w:rPr>
        <w:rFonts w:cs="Times New Roman" w:hint="default"/>
        <w:sz w:val="44"/>
        <w:szCs w:val="44"/>
      </w:rPr>
    </w:lvl>
    <w:lvl w:ilvl="1">
      <w:start w:val="1"/>
      <w:numFmt w:val="decimal"/>
      <w:lvlText w:val="%1.%2"/>
      <w:lvlJc w:val="left"/>
      <w:pPr>
        <w:tabs>
          <w:tab w:val="num" w:pos="851"/>
        </w:tabs>
        <w:ind w:left="851" w:hanging="851"/>
      </w:pPr>
      <w:rPr>
        <w:rFonts w:ascii="Arial" w:hAnsi="Arial" w:cs="Arial" w:hint="default"/>
        <w:b/>
        <w:sz w:val="24"/>
        <w:szCs w:val="24"/>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6">
    <w:nsid w:val="31264E61"/>
    <w:multiLevelType w:val="multilevel"/>
    <w:tmpl w:val="D10AF35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9E0043F"/>
    <w:multiLevelType w:val="multilevel"/>
    <w:tmpl w:val="08A86948"/>
    <w:lvl w:ilvl="0">
      <w:start w:val="3"/>
      <w:numFmt w:val="decimal"/>
      <w:lvlText w:val="%1"/>
      <w:lvlJc w:val="left"/>
      <w:pPr>
        <w:ind w:left="530" w:hanging="530"/>
      </w:pPr>
      <w:rPr>
        <w:rFonts w:hint="default"/>
        <w:b w:val="0"/>
        <w:u w:val="none"/>
      </w:rPr>
    </w:lvl>
    <w:lvl w:ilvl="1">
      <w:start w:val="2"/>
      <w:numFmt w:val="decimal"/>
      <w:lvlText w:val="%1.%2"/>
      <w:lvlJc w:val="left"/>
      <w:pPr>
        <w:ind w:left="530" w:hanging="53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nsid w:val="3B446B9B"/>
    <w:multiLevelType w:val="multilevel"/>
    <w:tmpl w:val="BD64214A"/>
    <w:lvl w:ilvl="0">
      <w:start w:val="3"/>
      <w:numFmt w:val="decimal"/>
      <w:lvlText w:val="%1"/>
      <w:lvlJc w:val="left"/>
      <w:pPr>
        <w:ind w:left="530" w:hanging="530"/>
      </w:pPr>
      <w:rPr>
        <w:rFonts w:hint="default"/>
        <w:b w:val="0"/>
        <w:u w:val="none"/>
      </w:rPr>
    </w:lvl>
    <w:lvl w:ilvl="1">
      <w:start w:val="2"/>
      <w:numFmt w:val="decimal"/>
      <w:lvlText w:val="%1.%2"/>
      <w:lvlJc w:val="left"/>
      <w:pPr>
        <w:ind w:left="530" w:hanging="53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nsid w:val="4168695B"/>
    <w:multiLevelType w:val="hybridMultilevel"/>
    <w:tmpl w:val="054EF6C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E4B33"/>
    <w:multiLevelType w:val="hybridMultilevel"/>
    <w:tmpl w:val="ACE2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03062F"/>
    <w:multiLevelType w:val="hybridMultilevel"/>
    <w:tmpl w:val="09204FE0"/>
    <w:lvl w:ilvl="0" w:tplc="A9CEB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E56F86"/>
    <w:multiLevelType w:val="hybridMultilevel"/>
    <w:tmpl w:val="8C66A840"/>
    <w:lvl w:ilvl="0" w:tplc="B27E0408">
      <w:numFmt w:val="bullet"/>
      <w:lvlText w:val="-"/>
      <w:lvlJc w:val="left"/>
      <w:pPr>
        <w:ind w:left="2288" w:hanging="360"/>
      </w:pPr>
      <w:rPr>
        <w:rFonts w:ascii="Arial" w:eastAsia="Times New Roman" w:hAnsi="Arial" w:cs="Aria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3">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4">
    <w:nsid w:val="6D2A3FB6"/>
    <w:multiLevelType w:val="hybridMultilevel"/>
    <w:tmpl w:val="685AB63C"/>
    <w:lvl w:ilvl="0" w:tplc="831402E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B75C1D"/>
    <w:multiLevelType w:val="multilevel"/>
    <w:tmpl w:val="4F2E1CFC"/>
    <w:lvl w:ilvl="0">
      <w:start w:val="1"/>
      <w:numFmt w:val="none"/>
      <w:pStyle w:val="IANotes"/>
      <w:suff w:val="nothing"/>
      <w:lvlText w:val="%1"/>
      <w:lvlJc w:val="left"/>
      <w:pPr>
        <w:ind w:left="0" w:firstLine="0"/>
      </w:pPr>
      <w:rPr>
        <w:rFonts w:hint="default"/>
      </w:rPr>
    </w:lvl>
    <w:lvl w:ilvl="1">
      <w:start w:val="1"/>
      <w:numFmt w:val="decimal"/>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5"/>
  </w:num>
  <w:num w:numId="2">
    <w:abstractNumId w:val="5"/>
  </w:num>
  <w:num w:numId="3">
    <w:abstractNumId w:val="0"/>
  </w:num>
  <w:num w:numId="4">
    <w:abstractNumId w:val="9"/>
  </w:num>
  <w:num w:numId="5">
    <w:abstractNumId w:val="2"/>
  </w:num>
  <w:num w:numId="6">
    <w:abstractNumId w:val="12"/>
  </w:num>
  <w:num w:numId="7">
    <w:abstractNumId w:val="14"/>
  </w:num>
  <w:num w:numId="8">
    <w:abstractNumId w:val="6"/>
  </w:num>
  <w:num w:numId="9">
    <w:abstractNumId w:val="10"/>
  </w:num>
  <w:num w:numId="10">
    <w:abstractNumId w:val="8"/>
  </w:num>
  <w:num w:numId="11">
    <w:abstractNumId w:val="7"/>
  </w:num>
  <w:num w:numId="12">
    <w:abstractNumId w:val="3"/>
  </w:num>
  <w:num w:numId="13">
    <w:abstractNumId w:val="4"/>
  </w:num>
  <w:num w:numId="14">
    <w:abstractNumId w:val="13"/>
  </w:num>
  <w:num w:numId="15">
    <w:abstractNumId w:val="1"/>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4.0"/>
  </w:docVars>
  <w:rsids>
    <w:rsidRoot w:val="00661DBF"/>
    <w:rsid w:val="00001058"/>
    <w:rsid w:val="000019B2"/>
    <w:rsid w:val="00001E72"/>
    <w:rsid w:val="00002450"/>
    <w:rsid w:val="00002494"/>
    <w:rsid w:val="000031B5"/>
    <w:rsid w:val="0000481F"/>
    <w:rsid w:val="0000505F"/>
    <w:rsid w:val="000067F7"/>
    <w:rsid w:val="000071A5"/>
    <w:rsid w:val="000079C0"/>
    <w:rsid w:val="00007B5D"/>
    <w:rsid w:val="00010950"/>
    <w:rsid w:val="00010EE1"/>
    <w:rsid w:val="00012458"/>
    <w:rsid w:val="000136B3"/>
    <w:rsid w:val="000142F1"/>
    <w:rsid w:val="0001460F"/>
    <w:rsid w:val="00014623"/>
    <w:rsid w:val="000147E1"/>
    <w:rsid w:val="000203F1"/>
    <w:rsid w:val="00021306"/>
    <w:rsid w:val="00021810"/>
    <w:rsid w:val="000222F1"/>
    <w:rsid w:val="00022BE0"/>
    <w:rsid w:val="00022F52"/>
    <w:rsid w:val="00023080"/>
    <w:rsid w:val="0002370C"/>
    <w:rsid w:val="000239A7"/>
    <w:rsid w:val="000239B5"/>
    <w:rsid w:val="00023CCA"/>
    <w:rsid w:val="00023E62"/>
    <w:rsid w:val="000251D0"/>
    <w:rsid w:val="00026555"/>
    <w:rsid w:val="00026AC0"/>
    <w:rsid w:val="00035E95"/>
    <w:rsid w:val="0003786D"/>
    <w:rsid w:val="0004016B"/>
    <w:rsid w:val="000407D8"/>
    <w:rsid w:val="00043ABA"/>
    <w:rsid w:val="00045828"/>
    <w:rsid w:val="00045BAD"/>
    <w:rsid w:val="00046CFC"/>
    <w:rsid w:val="00051403"/>
    <w:rsid w:val="00052F44"/>
    <w:rsid w:val="00055E80"/>
    <w:rsid w:val="00056EE6"/>
    <w:rsid w:val="00057953"/>
    <w:rsid w:val="000603E7"/>
    <w:rsid w:val="0006047F"/>
    <w:rsid w:val="0006053F"/>
    <w:rsid w:val="00060BD1"/>
    <w:rsid w:val="00065C84"/>
    <w:rsid w:val="000671A2"/>
    <w:rsid w:val="000701F0"/>
    <w:rsid w:val="00070EEB"/>
    <w:rsid w:val="00071299"/>
    <w:rsid w:val="00072049"/>
    <w:rsid w:val="00072272"/>
    <w:rsid w:val="00072959"/>
    <w:rsid w:val="000767AC"/>
    <w:rsid w:val="0007695E"/>
    <w:rsid w:val="00076A78"/>
    <w:rsid w:val="00076C08"/>
    <w:rsid w:val="00080C4B"/>
    <w:rsid w:val="00081E7D"/>
    <w:rsid w:val="0008231F"/>
    <w:rsid w:val="00082659"/>
    <w:rsid w:val="00082BAC"/>
    <w:rsid w:val="000860CC"/>
    <w:rsid w:val="00086128"/>
    <w:rsid w:val="00086FE3"/>
    <w:rsid w:val="0008731F"/>
    <w:rsid w:val="00091AB9"/>
    <w:rsid w:val="00091AC6"/>
    <w:rsid w:val="00093598"/>
    <w:rsid w:val="0009381F"/>
    <w:rsid w:val="00094680"/>
    <w:rsid w:val="000956A1"/>
    <w:rsid w:val="000956FD"/>
    <w:rsid w:val="000978EB"/>
    <w:rsid w:val="000A1CAA"/>
    <w:rsid w:val="000A36EE"/>
    <w:rsid w:val="000A50A5"/>
    <w:rsid w:val="000A6C0E"/>
    <w:rsid w:val="000A7011"/>
    <w:rsid w:val="000A79FC"/>
    <w:rsid w:val="000B07A1"/>
    <w:rsid w:val="000B1176"/>
    <w:rsid w:val="000B166C"/>
    <w:rsid w:val="000B3391"/>
    <w:rsid w:val="000B3E49"/>
    <w:rsid w:val="000B3E69"/>
    <w:rsid w:val="000B3FD0"/>
    <w:rsid w:val="000B4BC7"/>
    <w:rsid w:val="000C031E"/>
    <w:rsid w:val="000C07CC"/>
    <w:rsid w:val="000C0D25"/>
    <w:rsid w:val="000C165A"/>
    <w:rsid w:val="000C1A81"/>
    <w:rsid w:val="000C1D45"/>
    <w:rsid w:val="000C30D8"/>
    <w:rsid w:val="000C327F"/>
    <w:rsid w:val="000C3A6D"/>
    <w:rsid w:val="000C4086"/>
    <w:rsid w:val="000C4589"/>
    <w:rsid w:val="000C4887"/>
    <w:rsid w:val="000C57D5"/>
    <w:rsid w:val="000C6580"/>
    <w:rsid w:val="000C6A87"/>
    <w:rsid w:val="000D06B4"/>
    <w:rsid w:val="000D0ADA"/>
    <w:rsid w:val="000D186B"/>
    <w:rsid w:val="000D1CB0"/>
    <w:rsid w:val="000D3923"/>
    <w:rsid w:val="000D45AF"/>
    <w:rsid w:val="000D55B5"/>
    <w:rsid w:val="000D58BD"/>
    <w:rsid w:val="000D5ED5"/>
    <w:rsid w:val="000D7F7C"/>
    <w:rsid w:val="000E0C83"/>
    <w:rsid w:val="000E11ED"/>
    <w:rsid w:val="000E1D43"/>
    <w:rsid w:val="000E2209"/>
    <w:rsid w:val="000E3308"/>
    <w:rsid w:val="000E3FD7"/>
    <w:rsid w:val="000E452D"/>
    <w:rsid w:val="000E537E"/>
    <w:rsid w:val="000E62E0"/>
    <w:rsid w:val="000E6E09"/>
    <w:rsid w:val="000F004E"/>
    <w:rsid w:val="000F0840"/>
    <w:rsid w:val="000F3361"/>
    <w:rsid w:val="000F37BB"/>
    <w:rsid w:val="000F4481"/>
    <w:rsid w:val="000F5381"/>
    <w:rsid w:val="000F57BB"/>
    <w:rsid w:val="000F646D"/>
    <w:rsid w:val="000F7A51"/>
    <w:rsid w:val="00100F7A"/>
    <w:rsid w:val="00101961"/>
    <w:rsid w:val="00102870"/>
    <w:rsid w:val="00110396"/>
    <w:rsid w:val="001110DB"/>
    <w:rsid w:val="00115D70"/>
    <w:rsid w:val="00116277"/>
    <w:rsid w:val="00120113"/>
    <w:rsid w:val="001235DD"/>
    <w:rsid w:val="00123697"/>
    <w:rsid w:val="0012369A"/>
    <w:rsid w:val="001243CD"/>
    <w:rsid w:val="00127373"/>
    <w:rsid w:val="0012768A"/>
    <w:rsid w:val="00131260"/>
    <w:rsid w:val="00131322"/>
    <w:rsid w:val="00132B1D"/>
    <w:rsid w:val="00133A17"/>
    <w:rsid w:val="00133C58"/>
    <w:rsid w:val="00134B52"/>
    <w:rsid w:val="00135916"/>
    <w:rsid w:val="001365F4"/>
    <w:rsid w:val="001407A7"/>
    <w:rsid w:val="00140D79"/>
    <w:rsid w:val="0014140D"/>
    <w:rsid w:val="00141B6F"/>
    <w:rsid w:val="00142826"/>
    <w:rsid w:val="0014336D"/>
    <w:rsid w:val="0014443A"/>
    <w:rsid w:val="00145073"/>
    <w:rsid w:val="00145DF3"/>
    <w:rsid w:val="00145FCC"/>
    <w:rsid w:val="001477D1"/>
    <w:rsid w:val="001500BE"/>
    <w:rsid w:val="00150DAE"/>
    <w:rsid w:val="001513E4"/>
    <w:rsid w:val="00152026"/>
    <w:rsid w:val="0015254E"/>
    <w:rsid w:val="00152A8A"/>
    <w:rsid w:val="00152C60"/>
    <w:rsid w:val="001535F3"/>
    <w:rsid w:val="00153C1F"/>
    <w:rsid w:val="00155565"/>
    <w:rsid w:val="00156E0C"/>
    <w:rsid w:val="00157964"/>
    <w:rsid w:val="00160691"/>
    <w:rsid w:val="00163421"/>
    <w:rsid w:val="00164B5E"/>
    <w:rsid w:val="00165113"/>
    <w:rsid w:val="0016610F"/>
    <w:rsid w:val="0017046B"/>
    <w:rsid w:val="001709E2"/>
    <w:rsid w:val="00172ABA"/>
    <w:rsid w:val="00172DC7"/>
    <w:rsid w:val="001738AE"/>
    <w:rsid w:val="0017418A"/>
    <w:rsid w:val="00174C10"/>
    <w:rsid w:val="00175447"/>
    <w:rsid w:val="00175FBC"/>
    <w:rsid w:val="00176845"/>
    <w:rsid w:val="00180624"/>
    <w:rsid w:val="00182B85"/>
    <w:rsid w:val="00183038"/>
    <w:rsid w:val="00183882"/>
    <w:rsid w:val="001844B6"/>
    <w:rsid w:val="001851A3"/>
    <w:rsid w:val="001851B9"/>
    <w:rsid w:val="001855B1"/>
    <w:rsid w:val="0019021E"/>
    <w:rsid w:val="00190F9A"/>
    <w:rsid w:val="00192AE7"/>
    <w:rsid w:val="00194050"/>
    <w:rsid w:val="00194745"/>
    <w:rsid w:val="00194E96"/>
    <w:rsid w:val="00195854"/>
    <w:rsid w:val="001A074F"/>
    <w:rsid w:val="001A07F1"/>
    <w:rsid w:val="001A1468"/>
    <w:rsid w:val="001A3656"/>
    <w:rsid w:val="001A3B0B"/>
    <w:rsid w:val="001A4332"/>
    <w:rsid w:val="001A4432"/>
    <w:rsid w:val="001A478E"/>
    <w:rsid w:val="001A4C5E"/>
    <w:rsid w:val="001A509E"/>
    <w:rsid w:val="001A5417"/>
    <w:rsid w:val="001A6FE6"/>
    <w:rsid w:val="001A7B61"/>
    <w:rsid w:val="001A7D6D"/>
    <w:rsid w:val="001B228A"/>
    <w:rsid w:val="001B305C"/>
    <w:rsid w:val="001B3397"/>
    <w:rsid w:val="001B34EB"/>
    <w:rsid w:val="001B554E"/>
    <w:rsid w:val="001C0644"/>
    <w:rsid w:val="001C0B58"/>
    <w:rsid w:val="001C2431"/>
    <w:rsid w:val="001C3363"/>
    <w:rsid w:val="001C5062"/>
    <w:rsid w:val="001C52A0"/>
    <w:rsid w:val="001C5FD9"/>
    <w:rsid w:val="001C633F"/>
    <w:rsid w:val="001C73DF"/>
    <w:rsid w:val="001C7C39"/>
    <w:rsid w:val="001D09CC"/>
    <w:rsid w:val="001D0AF4"/>
    <w:rsid w:val="001D12D6"/>
    <w:rsid w:val="001D1764"/>
    <w:rsid w:val="001D2096"/>
    <w:rsid w:val="001D3A43"/>
    <w:rsid w:val="001D3C11"/>
    <w:rsid w:val="001D4AA8"/>
    <w:rsid w:val="001D4D42"/>
    <w:rsid w:val="001D51D8"/>
    <w:rsid w:val="001D5EC9"/>
    <w:rsid w:val="001D6B90"/>
    <w:rsid w:val="001E095E"/>
    <w:rsid w:val="001E152A"/>
    <w:rsid w:val="001E1DA0"/>
    <w:rsid w:val="001E3E70"/>
    <w:rsid w:val="001E62C8"/>
    <w:rsid w:val="001E6EBA"/>
    <w:rsid w:val="001F326B"/>
    <w:rsid w:val="001F4352"/>
    <w:rsid w:val="001F5182"/>
    <w:rsid w:val="001F5423"/>
    <w:rsid w:val="001F5DD9"/>
    <w:rsid w:val="001F69E9"/>
    <w:rsid w:val="001F6F2F"/>
    <w:rsid w:val="001F71C9"/>
    <w:rsid w:val="001F7992"/>
    <w:rsid w:val="0020104C"/>
    <w:rsid w:val="0020151D"/>
    <w:rsid w:val="00201B79"/>
    <w:rsid w:val="002021BC"/>
    <w:rsid w:val="00202E56"/>
    <w:rsid w:val="00202FEC"/>
    <w:rsid w:val="002033D6"/>
    <w:rsid w:val="00203758"/>
    <w:rsid w:val="00203F0B"/>
    <w:rsid w:val="00205E05"/>
    <w:rsid w:val="0020708B"/>
    <w:rsid w:val="002072D9"/>
    <w:rsid w:val="00207B21"/>
    <w:rsid w:val="00207D2A"/>
    <w:rsid w:val="00211257"/>
    <w:rsid w:val="002144F0"/>
    <w:rsid w:val="0021681D"/>
    <w:rsid w:val="00216F02"/>
    <w:rsid w:val="0021731F"/>
    <w:rsid w:val="00217CA1"/>
    <w:rsid w:val="00217F33"/>
    <w:rsid w:val="00220F29"/>
    <w:rsid w:val="002211BB"/>
    <w:rsid w:val="00221FAD"/>
    <w:rsid w:val="0022323E"/>
    <w:rsid w:val="00223E5A"/>
    <w:rsid w:val="00224694"/>
    <w:rsid w:val="0022490F"/>
    <w:rsid w:val="00225F9C"/>
    <w:rsid w:val="00226B75"/>
    <w:rsid w:val="002274E5"/>
    <w:rsid w:val="0022767B"/>
    <w:rsid w:val="00227967"/>
    <w:rsid w:val="0023355B"/>
    <w:rsid w:val="00233C5E"/>
    <w:rsid w:val="002347A2"/>
    <w:rsid w:val="00234F24"/>
    <w:rsid w:val="00241738"/>
    <w:rsid w:val="002425C2"/>
    <w:rsid w:val="00242C41"/>
    <w:rsid w:val="00242F61"/>
    <w:rsid w:val="002437A8"/>
    <w:rsid w:val="00246360"/>
    <w:rsid w:val="00246595"/>
    <w:rsid w:val="00246DC2"/>
    <w:rsid w:val="00246FE7"/>
    <w:rsid w:val="00250259"/>
    <w:rsid w:val="00251ED1"/>
    <w:rsid w:val="00252745"/>
    <w:rsid w:val="00252AF5"/>
    <w:rsid w:val="002530A8"/>
    <w:rsid w:val="00253F4D"/>
    <w:rsid w:val="00254DEB"/>
    <w:rsid w:val="00256A84"/>
    <w:rsid w:val="00257D83"/>
    <w:rsid w:val="0026191F"/>
    <w:rsid w:val="00262437"/>
    <w:rsid w:val="00265153"/>
    <w:rsid w:val="00265EC1"/>
    <w:rsid w:val="002672A2"/>
    <w:rsid w:val="002718D6"/>
    <w:rsid w:val="002723C6"/>
    <w:rsid w:val="00272539"/>
    <w:rsid w:val="00272F62"/>
    <w:rsid w:val="00273A3C"/>
    <w:rsid w:val="00276F2E"/>
    <w:rsid w:val="0027719E"/>
    <w:rsid w:val="00281D91"/>
    <w:rsid w:val="00281E7E"/>
    <w:rsid w:val="00282EFA"/>
    <w:rsid w:val="002837FC"/>
    <w:rsid w:val="002846F1"/>
    <w:rsid w:val="00284C30"/>
    <w:rsid w:val="00286282"/>
    <w:rsid w:val="002870DC"/>
    <w:rsid w:val="002874C0"/>
    <w:rsid w:val="0028755A"/>
    <w:rsid w:val="00287B55"/>
    <w:rsid w:val="00287BA8"/>
    <w:rsid w:val="00290335"/>
    <w:rsid w:val="002906FC"/>
    <w:rsid w:val="0029158C"/>
    <w:rsid w:val="00292303"/>
    <w:rsid w:val="0029362C"/>
    <w:rsid w:val="00297BB0"/>
    <w:rsid w:val="002A06DA"/>
    <w:rsid w:val="002A37BD"/>
    <w:rsid w:val="002A456F"/>
    <w:rsid w:val="002A6E2B"/>
    <w:rsid w:val="002B0BF4"/>
    <w:rsid w:val="002B1781"/>
    <w:rsid w:val="002B2572"/>
    <w:rsid w:val="002B2A5F"/>
    <w:rsid w:val="002B4D79"/>
    <w:rsid w:val="002B5209"/>
    <w:rsid w:val="002B6497"/>
    <w:rsid w:val="002B7335"/>
    <w:rsid w:val="002B77F5"/>
    <w:rsid w:val="002C18A8"/>
    <w:rsid w:val="002C1D0C"/>
    <w:rsid w:val="002C1EC2"/>
    <w:rsid w:val="002C331D"/>
    <w:rsid w:val="002C4D6F"/>
    <w:rsid w:val="002C6972"/>
    <w:rsid w:val="002D1AE9"/>
    <w:rsid w:val="002D21DD"/>
    <w:rsid w:val="002D268A"/>
    <w:rsid w:val="002D2D7E"/>
    <w:rsid w:val="002D3103"/>
    <w:rsid w:val="002D4104"/>
    <w:rsid w:val="002D4177"/>
    <w:rsid w:val="002D548B"/>
    <w:rsid w:val="002D66B1"/>
    <w:rsid w:val="002D7ECF"/>
    <w:rsid w:val="002E1C94"/>
    <w:rsid w:val="002E46DE"/>
    <w:rsid w:val="002E5406"/>
    <w:rsid w:val="002E5939"/>
    <w:rsid w:val="002E78D7"/>
    <w:rsid w:val="002E7A88"/>
    <w:rsid w:val="002E7CDB"/>
    <w:rsid w:val="002F04C9"/>
    <w:rsid w:val="002F1BDE"/>
    <w:rsid w:val="002F1CB1"/>
    <w:rsid w:val="002F3633"/>
    <w:rsid w:val="002F5B67"/>
    <w:rsid w:val="002F653C"/>
    <w:rsid w:val="002F7D4C"/>
    <w:rsid w:val="00300CED"/>
    <w:rsid w:val="00300D77"/>
    <w:rsid w:val="003030E1"/>
    <w:rsid w:val="00304677"/>
    <w:rsid w:val="00304C1D"/>
    <w:rsid w:val="00306348"/>
    <w:rsid w:val="003069E8"/>
    <w:rsid w:val="00307E85"/>
    <w:rsid w:val="00310269"/>
    <w:rsid w:val="00310E67"/>
    <w:rsid w:val="003111DB"/>
    <w:rsid w:val="00311373"/>
    <w:rsid w:val="00311CCB"/>
    <w:rsid w:val="00313937"/>
    <w:rsid w:val="00313B26"/>
    <w:rsid w:val="00314466"/>
    <w:rsid w:val="00314871"/>
    <w:rsid w:val="003149E9"/>
    <w:rsid w:val="003167C9"/>
    <w:rsid w:val="00316B83"/>
    <w:rsid w:val="00317353"/>
    <w:rsid w:val="00317DAD"/>
    <w:rsid w:val="003203C7"/>
    <w:rsid w:val="00320415"/>
    <w:rsid w:val="00321548"/>
    <w:rsid w:val="003218AD"/>
    <w:rsid w:val="00322E0B"/>
    <w:rsid w:val="00323107"/>
    <w:rsid w:val="00323872"/>
    <w:rsid w:val="00323C5A"/>
    <w:rsid w:val="00324485"/>
    <w:rsid w:val="00327976"/>
    <w:rsid w:val="00327FCA"/>
    <w:rsid w:val="00331DCE"/>
    <w:rsid w:val="00332055"/>
    <w:rsid w:val="00332280"/>
    <w:rsid w:val="003323DB"/>
    <w:rsid w:val="00332B05"/>
    <w:rsid w:val="003330C7"/>
    <w:rsid w:val="003341DD"/>
    <w:rsid w:val="00335C9A"/>
    <w:rsid w:val="003409BF"/>
    <w:rsid w:val="00340EFD"/>
    <w:rsid w:val="00341C02"/>
    <w:rsid w:val="00341F9D"/>
    <w:rsid w:val="003444A1"/>
    <w:rsid w:val="00345525"/>
    <w:rsid w:val="00345AEF"/>
    <w:rsid w:val="003471A3"/>
    <w:rsid w:val="00347439"/>
    <w:rsid w:val="0035124A"/>
    <w:rsid w:val="00351302"/>
    <w:rsid w:val="0035241E"/>
    <w:rsid w:val="00354751"/>
    <w:rsid w:val="00355D80"/>
    <w:rsid w:val="00355E73"/>
    <w:rsid w:val="003566D7"/>
    <w:rsid w:val="00356841"/>
    <w:rsid w:val="003574BF"/>
    <w:rsid w:val="00361DA7"/>
    <w:rsid w:val="00364715"/>
    <w:rsid w:val="00365687"/>
    <w:rsid w:val="003657AB"/>
    <w:rsid w:val="00370A03"/>
    <w:rsid w:val="00370BCE"/>
    <w:rsid w:val="00372A69"/>
    <w:rsid w:val="00375435"/>
    <w:rsid w:val="00375C8E"/>
    <w:rsid w:val="00376491"/>
    <w:rsid w:val="00380189"/>
    <w:rsid w:val="00380A15"/>
    <w:rsid w:val="00381107"/>
    <w:rsid w:val="00381227"/>
    <w:rsid w:val="00381308"/>
    <w:rsid w:val="00381795"/>
    <w:rsid w:val="003818E8"/>
    <w:rsid w:val="00381CD3"/>
    <w:rsid w:val="003848EF"/>
    <w:rsid w:val="00384905"/>
    <w:rsid w:val="00384CBA"/>
    <w:rsid w:val="00385BF8"/>
    <w:rsid w:val="00386560"/>
    <w:rsid w:val="003869E5"/>
    <w:rsid w:val="00387DAE"/>
    <w:rsid w:val="00393952"/>
    <w:rsid w:val="00395DFD"/>
    <w:rsid w:val="00395F95"/>
    <w:rsid w:val="00396C1A"/>
    <w:rsid w:val="003A0B5D"/>
    <w:rsid w:val="003A151C"/>
    <w:rsid w:val="003A1EF7"/>
    <w:rsid w:val="003A53C5"/>
    <w:rsid w:val="003A5EEC"/>
    <w:rsid w:val="003A6079"/>
    <w:rsid w:val="003A68AB"/>
    <w:rsid w:val="003A7572"/>
    <w:rsid w:val="003B04F0"/>
    <w:rsid w:val="003B1336"/>
    <w:rsid w:val="003B1B8A"/>
    <w:rsid w:val="003B1CEF"/>
    <w:rsid w:val="003B20FC"/>
    <w:rsid w:val="003B23BC"/>
    <w:rsid w:val="003B30DD"/>
    <w:rsid w:val="003B3E18"/>
    <w:rsid w:val="003B4B0D"/>
    <w:rsid w:val="003B64F1"/>
    <w:rsid w:val="003B72CF"/>
    <w:rsid w:val="003B78AB"/>
    <w:rsid w:val="003B7969"/>
    <w:rsid w:val="003C2179"/>
    <w:rsid w:val="003C25FE"/>
    <w:rsid w:val="003C2DEE"/>
    <w:rsid w:val="003C32E4"/>
    <w:rsid w:val="003C3E65"/>
    <w:rsid w:val="003C4250"/>
    <w:rsid w:val="003C4286"/>
    <w:rsid w:val="003C6C81"/>
    <w:rsid w:val="003C6FD0"/>
    <w:rsid w:val="003C7943"/>
    <w:rsid w:val="003D0B56"/>
    <w:rsid w:val="003D11C0"/>
    <w:rsid w:val="003D1C60"/>
    <w:rsid w:val="003D2341"/>
    <w:rsid w:val="003D2D82"/>
    <w:rsid w:val="003D33A3"/>
    <w:rsid w:val="003D3646"/>
    <w:rsid w:val="003D4A16"/>
    <w:rsid w:val="003D572E"/>
    <w:rsid w:val="003D57B2"/>
    <w:rsid w:val="003D6960"/>
    <w:rsid w:val="003D6F73"/>
    <w:rsid w:val="003D77EE"/>
    <w:rsid w:val="003E0510"/>
    <w:rsid w:val="003E095C"/>
    <w:rsid w:val="003E19F4"/>
    <w:rsid w:val="003E1B13"/>
    <w:rsid w:val="003E1BBB"/>
    <w:rsid w:val="003E2295"/>
    <w:rsid w:val="003E4E47"/>
    <w:rsid w:val="003E4F18"/>
    <w:rsid w:val="003E5362"/>
    <w:rsid w:val="003E54B6"/>
    <w:rsid w:val="003E57B1"/>
    <w:rsid w:val="003E58BD"/>
    <w:rsid w:val="003E5FE2"/>
    <w:rsid w:val="003E66BB"/>
    <w:rsid w:val="003E6B8B"/>
    <w:rsid w:val="003E7A4D"/>
    <w:rsid w:val="003F1F49"/>
    <w:rsid w:val="003F2FA0"/>
    <w:rsid w:val="003F300F"/>
    <w:rsid w:val="003F3B9B"/>
    <w:rsid w:val="003F42A7"/>
    <w:rsid w:val="003F6045"/>
    <w:rsid w:val="003F71C5"/>
    <w:rsid w:val="003F7B73"/>
    <w:rsid w:val="003F7F0C"/>
    <w:rsid w:val="004016DE"/>
    <w:rsid w:val="004025DC"/>
    <w:rsid w:val="00402E80"/>
    <w:rsid w:val="004041B8"/>
    <w:rsid w:val="00405ACA"/>
    <w:rsid w:val="00405C10"/>
    <w:rsid w:val="00406311"/>
    <w:rsid w:val="004123C6"/>
    <w:rsid w:val="00415552"/>
    <w:rsid w:val="004157DE"/>
    <w:rsid w:val="00416050"/>
    <w:rsid w:val="00417259"/>
    <w:rsid w:val="004175D4"/>
    <w:rsid w:val="00421D7C"/>
    <w:rsid w:val="0042388C"/>
    <w:rsid w:val="004240A9"/>
    <w:rsid w:val="00424568"/>
    <w:rsid w:val="0042494E"/>
    <w:rsid w:val="00424C81"/>
    <w:rsid w:val="00425DFA"/>
    <w:rsid w:val="00426003"/>
    <w:rsid w:val="00426AB3"/>
    <w:rsid w:val="00432445"/>
    <w:rsid w:val="0043446F"/>
    <w:rsid w:val="00434A91"/>
    <w:rsid w:val="0043683F"/>
    <w:rsid w:val="00437A60"/>
    <w:rsid w:val="00437D3F"/>
    <w:rsid w:val="004406D1"/>
    <w:rsid w:val="004422A6"/>
    <w:rsid w:val="00443024"/>
    <w:rsid w:val="0044387C"/>
    <w:rsid w:val="004442E2"/>
    <w:rsid w:val="00445634"/>
    <w:rsid w:val="0045253C"/>
    <w:rsid w:val="00452B35"/>
    <w:rsid w:val="00452BAD"/>
    <w:rsid w:val="004547EA"/>
    <w:rsid w:val="00455EAA"/>
    <w:rsid w:val="00456494"/>
    <w:rsid w:val="004565CE"/>
    <w:rsid w:val="00457408"/>
    <w:rsid w:val="004577E1"/>
    <w:rsid w:val="0045799A"/>
    <w:rsid w:val="00460691"/>
    <w:rsid w:val="0046170F"/>
    <w:rsid w:val="00463490"/>
    <w:rsid w:val="004639C0"/>
    <w:rsid w:val="00466326"/>
    <w:rsid w:val="0046636D"/>
    <w:rsid w:val="00470048"/>
    <w:rsid w:val="004707C7"/>
    <w:rsid w:val="00470BEA"/>
    <w:rsid w:val="00471060"/>
    <w:rsid w:val="004714B6"/>
    <w:rsid w:val="004716AC"/>
    <w:rsid w:val="00471B7E"/>
    <w:rsid w:val="00471E07"/>
    <w:rsid w:val="0047343A"/>
    <w:rsid w:val="00473EA4"/>
    <w:rsid w:val="00474274"/>
    <w:rsid w:val="00474A09"/>
    <w:rsid w:val="00474E29"/>
    <w:rsid w:val="00475B99"/>
    <w:rsid w:val="004763AF"/>
    <w:rsid w:val="00476B1F"/>
    <w:rsid w:val="004806E8"/>
    <w:rsid w:val="0048196D"/>
    <w:rsid w:val="00481DBF"/>
    <w:rsid w:val="004829A7"/>
    <w:rsid w:val="00483E1A"/>
    <w:rsid w:val="00483FB7"/>
    <w:rsid w:val="004842AF"/>
    <w:rsid w:val="00484BE4"/>
    <w:rsid w:val="00485114"/>
    <w:rsid w:val="004860C0"/>
    <w:rsid w:val="00487074"/>
    <w:rsid w:val="0049072A"/>
    <w:rsid w:val="00490FF7"/>
    <w:rsid w:val="004930F6"/>
    <w:rsid w:val="0049416F"/>
    <w:rsid w:val="004948C9"/>
    <w:rsid w:val="00494C22"/>
    <w:rsid w:val="00494EEF"/>
    <w:rsid w:val="00495404"/>
    <w:rsid w:val="00495EAF"/>
    <w:rsid w:val="0049665F"/>
    <w:rsid w:val="00497931"/>
    <w:rsid w:val="00497E7B"/>
    <w:rsid w:val="004A14BC"/>
    <w:rsid w:val="004A2509"/>
    <w:rsid w:val="004A3D93"/>
    <w:rsid w:val="004A3EFD"/>
    <w:rsid w:val="004A3F27"/>
    <w:rsid w:val="004A7E39"/>
    <w:rsid w:val="004B1880"/>
    <w:rsid w:val="004B208E"/>
    <w:rsid w:val="004B3B7B"/>
    <w:rsid w:val="004B3D46"/>
    <w:rsid w:val="004B5251"/>
    <w:rsid w:val="004B70D1"/>
    <w:rsid w:val="004B7924"/>
    <w:rsid w:val="004C1BBB"/>
    <w:rsid w:val="004C4C8F"/>
    <w:rsid w:val="004C51A7"/>
    <w:rsid w:val="004C5754"/>
    <w:rsid w:val="004C624B"/>
    <w:rsid w:val="004C6CB2"/>
    <w:rsid w:val="004C7F58"/>
    <w:rsid w:val="004D0574"/>
    <w:rsid w:val="004D0C7C"/>
    <w:rsid w:val="004D118B"/>
    <w:rsid w:val="004D15A8"/>
    <w:rsid w:val="004D2370"/>
    <w:rsid w:val="004D501C"/>
    <w:rsid w:val="004D6A72"/>
    <w:rsid w:val="004E1174"/>
    <w:rsid w:val="004E29C6"/>
    <w:rsid w:val="004E358C"/>
    <w:rsid w:val="004E3E8F"/>
    <w:rsid w:val="004E4095"/>
    <w:rsid w:val="004E5B4D"/>
    <w:rsid w:val="004E5E6C"/>
    <w:rsid w:val="004E6571"/>
    <w:rsid w:val="004E6683"/>
    <w:rsid w:val="004E793D"/>
    <w:rsid w:val="004F00EF"/>
    <w:rsid w:val="004F2913"/>
    <w:rsid w:val="004F5D0B"/>
    <w:rsid w:val="004F5E43"/>
    <w:rsid w:val="004F6707"/>
    <w:rsid w:val="004F7BA3"/>
    <w:rsid w:val="00500698"/>
    <w:rsid w:val="00500C9D"/>
    <w:rsid w:val="00502DC9"/>
    <w:rsid w:val="00503C39"/>
    <w:rsid w:val="005051C4"/>
    <w:rsid w:val="00505643"/>
    <w:rsid w:val="00506528"/>
    <w:rsid w:val="00506A92"/>
    <w:rsid w:val="00507986"/>
    <w:rsid w:val="00510AC6"/>
    <w:rsid w:val="005116B1"/>
    <w:rsid w:val="00512179"/>
    <w:rsid w:val="00513F08"/>
    <w:rsid w:val="00516CED"/>
    <w:rsid w:val="0051711D"/>
    <w:rsid w:val="00517351"/>
    <w:rsid w:val="00517BA2"/>
    <w:rsid w:val="00520444"/>
    <w:rsid w:val="00520A59"/>
    <w:rsid w:val="005212A8"/>
    <w:rsid w:val="005243D8"/>
    <w:rsid w:val="0052463E"/>
    <w:rsid w:val="00524925"/>
    <w:rsid w:val="00525511"/>
    <w:rsid w:val="00526B28"/>
    <w:rsid w:val="00526FC6"/>
    <w:rsid w:val="00527387"/>
    <w:rsid w:val="00527A7D"/>
    <w:rsid w:val="00530F79"/>
    <w:rsid w:val="00533D7B"/>
    <w:rsid w:val="005409C5"/>
    <w:rsid w:val="00540A7C"/>
    <w:rsid w:val="005414E8"/>
    <w:rsid w:val="00541DA3"/>
    <w:rsid w:val="00544292"/>
    <w:rsid w:val="005456EC"/>
    <w:rsid w:val="00547154"/>
    <w:rsid w:val="00547A00"/>
    <w:rsid w:val="00550171"/>
    <w:rsid w:val="00550713"/>
    <w:rsid w:val="00552112"/>
    <w:rsid w:val="00554795"/>
    <w:rsid w:val="00554819"/>
    <w:rsid w:val="00555B6D"/>
    <w:rsid w:val="00555FAA"/>
    <w:rsid w:val="00556407"/>
    <w:rsid w:val="00556DEA"/>
    <w:rsid w:val="00560465"/>
    <w:rsid w:val="00560972"/>
    <w:rsid w:val="005620DF"/>
    <w:rsid w:val="005632BF"/>
    <w:rsid w:val="00563F7B"/>
    <w:rsid w:val="005640A6"/>
    <w:rsid w:val="0056664A"/>
    <w:rsid w:val="00570CE4"/>
    <w:rsid w:val="00570F8E"/>
    <w:rsid w:val="005718E9"/>
    <w:rsid w:val="005719FD"/>
    <w:rsid w:val="00571B06"/>
    <w:rsid w:val="00572118"/>
    <w:rsid w:val="00572A68"/>
    <w:rsid w:val="00573359"/>
    <w:rsid w:val="00574A89"/>
    <w:rsid w:val="00575E86"/>
    <w:rsid w:val="00575FFA"/>
    <w:rsid w:val="00576F30"/>
    <w:rsid w:val="005803C8"/>
    <w:rsid w:val="00582B30"/>
    <w:rsid w:val="00584056"/>
    <w:rsid w:val="00585818"/>
    <w:rsid w:val="005861F4"/>
    <w:rsid w:val="00586CE4"/>
    <w:rsid w:val="00586D82"/>
    <w:rsid w:val="00586EB2"/>
    <w:rsid w:val="005875FD"/>
    <w:rsid w:val="005879B8"/>
    <w:rsid w:val="005910FD"/>
    <w:rsid w:val="00591130"/>
    <w:rsid w:val="00591155"/>
    <w:rsid w:val="0059243E"/>
    <w:rsid w:val="00593648"/>
    <w:rsid w:val="00593670"/>
    <w:rsid w:val="00594141"/>
    <w:rsid w:val="00594AC6"/>
    <w:rsid w:val="00594F99"/>
    <w:rsid w:val="0059521E"/>
    <w:rsid w:val="005956CC"/>
    <w:rsid w:val="00596F19"/>
    <w:rsid w:val="005970B5"/>
    <w:rsid w:val="005978D0"/>
    <w:rsid w:val="005A0026"/>
    <w:rsid w:val="005A0499"/>
    <w:rsid w:val="005A0B86"/>
    <w:rsid w:val="005A22AC"/>
    <w:rsid w:val="005A2FC0"/>
    <w:rsid w:val="005A3880"/>
    <w:rsid w:val="005A433C"/>
    <w:rsid w:val="005A66F6"/>
    <w:rsid w:val="005A7484"/>
    <w:rsid w:val="005A7857"/>
    <w:rsid w:val="005A7A14"/>
    <w:rsid w:val="005A7C1C"/>
    <w:rsid w:val="005B0764"/>
    <w:rsid w:val="005B341F"/>
    <w:rsid w:val="005B44D6"/>
    <w:rsid w:val="005B48C1"/>
    <w:rsid w:val="005B55DA"/>
    <w:rsid w:val="005B5651"/>
    <w:rsid w:val="005B613F"/>
    <w:rsid w:val="005B62FB"/>
    <w:rsid w:val="005B672E"/>
    <w:rsid w:val="005C0617"/>
    <w:rsid w:val="005C0E7A"/>
    <w:rsid w:val="005C0E7F"/>
    <w:rsid w:val="005C1A9C"/>
    <w:rsid w:val="005C39BE"/>
    <w:rsid w:val="005C477E"/>
    <w:rsid w:val="005C7FD1"/>
    <w:rsid w:val="005D27B8"/>
    <w:rsid w:val="005D2E03"/>
    <w:rsid w:val="005D4544"/>
    <w:rsid w:val="005D4CDA"/>
    <w:rsid w:val="005D4F09"/>
    <w:rsid w:val="005D5178"/>
    <w:rsid w:val="005D6EA8"/>
    <w:rsid w:val="005D6F05"/>
    <w:rsid w:val="005D768D"/>
    <w:rsid w:val="005E05AD"/>
    <w:rsid w:val="005E10E3"/>
    <w:rsid w:val="005E121E"/>
    <w:rsid w:val="005E172F"/>
    <w:rsid w:val="005E3FC7"/>
    <w:rsid w:val="005E657C"/>
    <w:rsid w:val="005F1490"/>
    <w:rsid w:val="005F1C08"/>
    <w:rsid w:val="005F32E7"/>
    <w:rsid w:val="005F33F8"/>
    <w:rsid w:val="005F54D7"/>
    <w:rsid w:val="005F698B"/>
    <w:rsid w:val="005F796A"/>
    <w:rsid w:val="005F7D4F"/>
    <w:rsid w:val="00600956"/>
    <w:rsid w:val="006011E1"/>
    <w:rsid w:val="00601FBF"/>
    <w:rsid w:val="00602401"/>
    <w:rsid w:val="00604158"/>
    <w:rsid w:val="00604FA5"/>
    <w:rsid w:val="0060666C"/>
    <w:rsid w:val="00606994"/>
    <w:rsid w:val="00606C5F"/>
    <w:rsid w:val="006137F5"/>
    <w:rsid w:val="00613A62"/>
    <w:rsid w:val="0061514C"/>
    <w:rsid w:val="00615CA5"/>
    <w:rsid w:val="00615D43"/>
    <w:rsid w:val="00616731"/>
    <w:rsid w:val="00616BCC"/>
    <w:rsid w:val="0061761A"/>
    <w:rsid w:val="00623DFF"/>
    <w:rsid w:val="00624299"/>
    <w:rsid w:val="006243EB"/>
    <w:rsid w:val="00625536"/>
    <w:rsid w:val="006255ED"/>
    <w:rsid w:val="00625AC1"/>
    <w:rsid w:val="006266F9"/>
    <w:rsid w:val="006267F8"/>
    <w:rsid w:val="00630966"/>
    <w:rsid w:val="00630EC4"/>
    <w:rsid w:val="00630EC9"/>
    <w:rsid w:val="00631B4C"/>
    <w:rsid w:val="00632522"/>
    <w:rsid w:val="006328B1"/>
    <w:rsid w:val="00632CB9"/>
    <w:rsid w:val="00632DAD"/>
    <w:rsid w:val="00634631"/>
    <w:rsid w:val="006359DD"/>
    <w:rsid w:val="00635BAE"/>
    <w:rsid w:val="00636605"/>
    <w:rsid w:val="00640B39"/>
    <w:rsid w:val="00641D5A"/>
    <w:rsid w:val="0064255D"/>
    <w:rsid w:val="006429A6"/>
    <w:rsid w:val="00643B89"/>
    <w:rsid w:val="00645936"/>
    <w:rsid w:val="00646433"/>
    <w:rsid w:val="00646B92"/>
    <w:rsid w:val="00647402"/>
    <w:rsid w:val="00650282"/>
    <w:rsid w:val="00650A11"/>
    <w:rsid w:val="006511BB"/>
    <w:rsid w:val="0065122E"/>
    <w:rsid w:val="006531EF"/>
    <w:rsid w:val="00656305"/>
    <w:rsid w:val="00656745"/>
    <w:rsid w:val="00656D42"/>
    <w:rsid w:val="00657C2B"/>
    <w:rsid w:val="0066034A"/>
    <w:rsid w:val="00661DBF"/>
    <w:rsid w:val="006631B8"/>
    <w:rsid w:val="00664320"/>
    <w:rsid w:val="006653DB"/>
    <w:rsid w:val="006656EC"/>
    <w:rsid w:val="006662EE"/>
    <w:rsid w:val="00667977"/>
    <w:rsid w:val="006725A4"/>
    <w:rsid w:val="00673985"/>
    <w:rsid w:val="00674043"/>
    <w:rsid w:val="00675783"/>
    <w:rsid w:val="00676392"/>
    <w:rsid w:val="0067720E"/>
    <w:rsid w:val="00677C65"/>
    <w:rsid w:val="0068051F"/>
    <w:rsid w:val="006812CF"/>
    <w:rsid w:val="006824EE"/>
    <w:rsid w:val="006825FB"/>
    <w:rsid w:val="00682BBC"/>
    <w:rsid w:val="00684490"/>
    <w:rsid w:val="006851EF"/>
    <w:rsid w:val="006857F9"/>
    <w:rsid w:val="00685DE4"/>
    <w:rsid w:val="006867B7"/>
    <w:rsid w:val="00686F5E"/>
    <w:rsid w:val="006914EF"/>
    <w:rsid w:val="00692631"/>
    <w:rsid w:val="00692DE8"/>
    <w:rsid w:val="00693A87"/>
    <w:rsid w:val="00693C5F"/>
    <w:rsid w:val="0069403E"/>
    <w:rsid w:val="006945C8"/>
    <w:rsid w:val="00695502"/>
    <w:rsid w:val="00695A7D"/>
    <w:rsid w:val="006A0557"/>
    <w:rsid w:val="006A0782"/>
    <w:rsid w:val="006A1B09"/>
    <w:rsid w:val="006A26C2"/>
    <w:rsid w:val="006A2A2C"/>
    <w:rsid w:val="006A2D92"/>
    <w:rsid w:val="006A3C3C"/>
    <w:rsid w:val="006A509B"/>
    <w:rsid w:val="006A56C1"/>
    <w:rsid w:val="006A5A2E"/>
    <w:rsid w:val="006B04D1"/>
    <w:rsid w:val="006B26C5"/>
    <w:rsid w:val="006B3C41"/>
    <w:rsid w:val="006B3F28"/>
    <w:rsid w:val="006B4257"/>
    <w:rsid w:val="006B5AF5"/>
    <w:rsid w:val="006C0521"/>
    <w:rsid w:val="006C2730"/>
    <w:rsid w:val="006C5CE3"/>
    <w:rsid w:val="006C5FD3"/>
    <w:rsid w:val="006C7426"/>
    <w:rsid w:val="006D06D8"/>
    <w:rsid w:val="006D1474"/>
    <w:rsid w:val="006D1F7D"/>
    <w:rsid w:val="006D29CD"/>
    <w:rsid w:val="006D2BE3"/>
    <w:rsid w:val="006D2BEB"/>
    <w:rsid w:val="006D2BF3"/>
    <w:rsid w:val="006D37CF"/>
    <w:rsid w:val="006D3AA6"/>
    <w:rsid w:val="006E11EC"/>
    <w:rsid w:val="006E17B6"/>
    <w:rsid w:val="006E3C40"/>
    <w:rsid w:val="006E609C"/>
    <w:rsid w:val="006E7242"/>
    <w:rsid w:val="006F0945"/>
    <w:rsid w:val="006F3445"/>
    <w:rsid w:val="006F3661"/>
    <w:rsid w:val="006F3BB8"/>
    <w:rsid w:val="006F4F1D"/>
    <w:rsid w:val="006F5396"/>
    <w:rsid w:val="006F6A9B"/>
    <w:rsid w:val="00700306"/>
    <w:rsid w:val="00700974"/>
    <w:rsid w:val="00703D2D"/>
    <w:rsid w:val="0070645F"/>
    <w:rsid w:val="0070669E"/>
    <w:rsid w:val="00706FE9"/>
    <w:rsid w:val="00710BF9"/>
    <w:rsid w:val="007120DD"/>
    <w:rsid w:val="00712914"/>
    <w:rsid w:val="0071360C"/>
    <w:rsid w:val="0071367B"/>
    <w:rsid w:val="007139B6"/>
    <w:rsid w:val="007144CC"/>
    <w:rsid w:val="0071468E"/>
    <w:rsid w:val="007152CF"/>
    <w:rsid w:val="00715B4D"/>
    <w:rsid w:val="0071686F"/>
    <w:rsid w:val="00716D5C"/>
    <w:rsid w:val="00716E66"/>
    <w:rsid w:val="0071712E"/>
    <w:rsid w:val="00717262"/>
    <w:rsid w:val="00717760"/>
    <w:rsid w:val="00717800"/>
    <w:rsid w:val="00717D9D"/>
    <w:rsid w:val="007208D9"/>
    <w:rsid w:val="00720AF5"/>
    <w:rsid w:val="00720C9D"/>
    <w:rsid w:val="00720FFE"/>
    <w:rsid w:val="007224BF"/>
    <w:rsid w:val="00723A5C"/>
    <w:rsid w:val="00724C0F"/>
    <w:rsid w:val="00726053"/>
    <w:rsid w:val="00731794"/>
    <w:rsid w:val="00732185"/>
    <w:rsid w:val="0073258B"/>
    <w:rsid w:val="00732BA8"/>
    <w:rsid w:val="0073350E"/>
    <w:rsid w:val="00733F8C"/>
    <w:rsid w:val="00734E99"/>
    <w:rsid w:val="007359A7"/>
    <w:rsid w:val="0073694D"/>
    <w:rsid w:val="00736A54"/>
    <w:rsid w:val="0074005F"/>
    <w:rsid w:val="00744931"/>
    <w:rsid w:val="00744ECC"/>
    <w:rsid w:val="0074677C"/>
    <w:rsid w:val="00746E21"/>
    <w:rsid w:val="00747347"/>
    <w:rsid w:val="0074740B"/>
    <w:rsid w:val="00747E73"/>
    <w:rsid w:val="00751B06"/>
    <w:rsid w:val="0075393B"/>
    <w:rsid w:val="00753BEC"/>
    <w:rsid w:val="0075471A"/>
    <w:rsid w:val="00756E19"/>
    <w:rsid w:val="0075771C"/>
    <w:rsid w:val="00757DE3"/>
    <w:rsid w:val="007608D7"/>
    <w:rsid w:val="00762208"/>
    <w:rsid w:val="007622B7"/>
    <w:rsid w:val="007627B7"/>
    <w:rsid w:val="00763D76"/>
    <w:rsid w:val="00764FAA"/>
    <w:rsid w:val="0076539D"/>
    <w:rsid w:val="007658EA"/>
    <w:rsid w:val="00767A04"/>
    <w:rsid w:val="0077058A"/>
    <w:rsid w:val="00770F9C"/>
    <w:rsid w:val="0077350D"/>
    <w:rsid w:val="00773719"/>
    <w:rsid w:val="00773A8D"/>
    <w:rsid w:val="00773B58"/>
    <w:rsid w:val="00774343"/>
    <w:rsid w:val="007749AA"/>
    <w:rsid w:val="007754E1"/>
    <w:rsid w:val="00777487"/>
    <w:rsid w:val="007777A1"/>
    <w:rsid w:val="00777E7E"/>
    <w:rsid w:val="0078003D"/>
    <w:rsid w:val="00780DE1"/>
    <w:rsid w:val="00781F25"/>
    <w:rsid w:val="0078273E"/>
    <w:rsid w:val="00782C59"/>
    <w:rsid w:val="00782DCD"/>
    <w:rsid w:val="00782F88"/>
    <w:rsid w:val="0078407A"/>
    <w:rsid w:val="0078471D"/>
    <w:rsid w:val="00784EC0"/>
    <w:rsid w:val="0078730F"/>
    <w:rsid w:val="0078760F"/>
    <w:rsid w:val="00790039"/>
    <w:rsid w:val="007913FD"/>
    <w:rsid w:val="00791BCA"/>
    <w:rsid w:val="0079221B"/>
    <w:rsid w:val="00792461"/>
    <w:rsid w:val="007925C2"/>
    <w:rsid w:val="007958F1"/>
    <w:rsid w:val="00796A50"/>
    <w:rsid w:val="007A01E1"/>
    <w:rsid w:val="007A1CC1"/>
    <w:rsid w:val="007A2446"/>
    <w:rsid w:val="007A3FB7"/>
    <w:rsid w:val="007A49C2"/>
    <w:rsid w:val="007A4BDD"/>
    <w:rsid w:val="007A519C"/>
    <w:rsid w:val="007A5734"/>
    <w:rsid w:val="007A5AA3"/>
    <w:rsid w:val="007A6E37"/>
    <w:rsid w:val="007B05B3"/>
    <w:rsid w:val="007B14CE"/>
    <w:rsid w:val="007B33D7"/>
    <w:rsid w:val="007B351F"/>
    <w:rsid w:val="007B5458"/>
    <w:rsid w:val="007B6299"/>
    <w:rsid w:val="007B770D"/>
    <w:rsid w:val="007C08F8"/>
    <w:rsid w:val="007C15D8"/>
    <w:rsid w:val="007C1837"/>
    <w:rsid w:val="007C2377"/>
    <w:rsid w:val="007C293A"/>
    <w:rsid w:val="007C5545"/>
    <w:rsid w:val="007D0CC0"/>
    <w:rsid w:val="007D1969"/>
    <w:rsid w:val="007D27C2"/>
    <w:rsid w:val="007D2BF8"/>
    <w:rsid w:val="007D537B"/>
    <w:rsid w:val="007D6616"/>
    <w:rsid w:val="007D6F3F"/>
    <w:rsid w:val="007E1522"/>
    <w:rsid w:val="007E1A19"/>
    <w:rsid w:val="007E2991"/>
    <w:rsid w:val="007E2E79"/>
    <w:rsid w:val="007E36FA"/>
    <w:rsid w:val="007E4707"/>
    <w:rsid w:val="007E59BF"/>
    <w:rsid w:val="007E6CF8"/>
    <w:rsid w:val="007E6D50"/>
    <w:rsid w:val="007E6ECC"/>
    <w:rsid w:val="007F09CB"/>
    <w:rsid w:val="007F0ABE"/>
    <w:rsid w:val="007F0ED9"/>
    <w:rsid w:val="007F162C"/>
    <w:rsid w:val="007F1CE3"/>
    <w:rsid w:val="007F25A7"/>
    <w:rsid w:val="007F2645"/>
    <w:rsid w:val="007F4668"/>
    <w:rsid w:val="007F48BB"/>
    <w:rsid w:val="007F492A"/>
    <w:rsid w:val="007F571B"/>
    <w:rsid w:val="007F64C7"/>
    <w:rsid w:val="007F743F"/>
    <w:rsid w:val="007F7A23"/>
    <w:rsid w:val="008006D5"/>
    <w:rsid w:val="008031EC"/>
    <w:rsid w:val="008054F0"/>
    <w:rsid w:val="00805BD3"/>
    <w:rsid w:val="00806A7E"/>
    <w:rsid w:val="00807DB6"/>
    <w:rsid w:val="00812C7A"/>
    <w:rsid w:val="00815425"/>
    <w:rsid w:val="008155E3"/>
    <w:rsid w:val="00817638"/>
    <w:rsid w:val="00817B21"/>
    <w:rsid w:val="00820FD0"/>
    <w:rsid w:val="008228A5"/>
    <w:rsid w:val="00822B3C"/>
    <w:rsid w:val="00822CA5"/>
    <w:rsid w:val="0082314C"/>
    <w:rsid w:val="008235F6"/>
    <w:rsid w:val="008269F9"/>
    <w:rsid w:val="008306D6"/>
    <w:rsid w:val="00830ED9"/>
    <w:rsid w:val="00831BD5"/>
    <w:rsid w:val="00832F1F"/>
    <w:rsid w:val="00834367"/>
    <w:rsid w:val="00836758"/>
    <w:rsid w:val="008369A3"/>
    <w:rsid w:val="00837300"/>
    <w:rsid w:val="00837F65"/>
    <w:rsid w:val="00841042"/>
    <w:rsid w:val="008410B6"/>
    <w:rsid w:val="00841C4F"/>
    <w:rsid w:val="008449CB"/>
    <w:rsid w:val="00845B33"/>
    <w:rsid w:val="008467D3"/>
    <w:rsid w:val="0084736F"/>
    <w:rsid w:val="008478CE"/>
    <w:rsid w:val="00847C2B"/>
    <w:rsid w:val="00847E7D"/>
    <w:rsid w:val="00847F14"/>
    <w:rsid w:val="00850CF7"/>
    <w:rsid w:val="0085348F"/>
    <w:rsid w:val="00853F43"/>
    <w:rsid w:val="008542DF"/>
    <w:rsid w:val="00854B58"/>
    <w:rsid w:val="00855715"/>
    <w:rsid w:val="0085583B"/>
    <w:rsid w:val="00855940"/>
    <w:rsid w:val="00857E85"/>
    <w:rsid w:val="00860E75"/>
    <w:rsid w:val="0086103A"/>
    <w:rsid w:val="008617EA"/>
    <w:rsid w:val="0086208D"/>
    <w:rsid w:val="008629E3"/>
    <w:rsid w:val="00863D65"/>
    <w:rsid w:val="00864321"/>
    <w:rsid w:val="00865DC8"/>
    <w:rsid w:val="0086713F"/>
    <w:rsid w:val="00867C3F"/>
    <w:rsid w:val="00870D58"/>
    <w:rsid w:val="0087125F"/>
    <w:rsid w:val="00871D14"/>
    <w:rsid w:val="0087254D"/>
    <w:rsid w:val="00872621"/>
    <w:rsid w:val="008727AA"/>
    <w:rsid w:val="008729DD"/>
    <w:rsid w:val="00873250"/>
    <w:rsid w:val="00873825"/>
    <w:rsid w:val="008739EF"/>
    <w:rsid w:val="00873ADE"/>
    <w:rsid w:val="0087412C"/>
    <w:rsid w:val="00874741"/>
    <w:rsid w:val="00876ED2"/>
    <w:rsid w:val="00876F9A"/>
    <w:rsid w:val="008776D8"/>
    <w:rsid w:val="008778B8"/>
    <w:rsid w:val="00877C17"/>
    <w:rsid w:val="00882527"/>
    <w:rsid w:val="00883760"/>
    <w:rsid w:val="008839E5"/>
    <w:rsid w:val="00884C41"/>
    <w:rsid w:val="00886AAB"/>
    <w:rsid w:val="00886DC1"/>
    <w:rsid w:val="0088761A"/>
    <w:rsid w:val="00887F9B"/>
    <w:rsid w:val="00892576"/>
    <w:rsid w:val="00894601"/>
    <w:rsid w:val="00894CD3"/>
    <w:rsid w:val="00895326"/>
    <w:rsid w:val="00895D49"/>
    <w:rsid w:val="0089699B"/>
    <w:rsid w:val="008A207A"/>
    <w:rsid w:val="008A285F"/>
    <w:rsid w:val="008A4654"/>
    <w:rsid w:val="008A5141"/>
    <w:rsid w:val="008A52E9"/>
    <w:rsid w:val="008A6491"/>
    <w:rsid w:val="008A66EB"/>
    <w:rsid w:val="008A6708"/>
    <w:rsid w:val="008A7CF1"/>
    <w:rsid w:val="008B0674"/>
    <w:rsid w:val="008B0CFF"/>
    <w:rsid w:val="008B20C2"/>
    <w:rsid w:val="008B333C"/>
    <w:rsid w:val="008B3981"/>
    <w:rsid w:val="008B3CD2"/>
    <w:rsid w:val="008B5C30"/>
    <w:rsid w:val="008B5C6E"/>
    <w:rsid w:val="008B6318"/>
    <w:rsid w:val="008B75E1"/>
    <w:rsid w:val="008C011F"/>
    <w:rsid w:val="008C0805"/>
    <w:rsid w:val="008C096C"/>
    <w:rsid w:val="008C0B6E"/>
    <w:rsid w:val="008C1CAA"/>
    <w:rsid w:val="008C1CD5"/>
    <w:rsid w:val="008C26F4"/>
    <w:rsid w:val="008C270D"/>
    <w:rsid w:val="008C40AC"/>
    <w:rsid w:val="008C4888"/>
    <w:rsid w:val="008C624A"/>
    <w:rsid w:val="008D1628"/>
    <w:rsid w:val="008D1C70"/>
    <w:rsid w:val="008D1DB1"/>
    <w:rsid w:val="008D1DF0"/>
    <w:rsid w:val="008D3892"/>
    <w:rsid w:val="008D39AA"/>
    <w:rsid w:val="008D5118"/>
    <w:rsid w:val="008D55F9"/>
    <w:rsid w:val="008D56F4"/>
    <w:rsid w:val="008D6A9C"/>
    <w:rsid w:val="008E0D56"/>
    <w:rsid w:val="008E2B2F"/>
    <w:rsid w:val="008E348C"/>
    <w:rsid w:val="008E4DFF"/>
    <w:rsid w:val="008E549E"/>
    <w:rsid w:val="008E5E23"/>
    <w:rsid w:val="008E6461"/>
    <w:rsid w:val="008E67C0"/>
    <w:rsid w:val="008E7831"/>
    <w:rsid w:val="008E7DDD"/>
    <w:rsid w:val="008E7F9F"/>
    <w:rsid w:val="008F09FE"/>
    <w:rsid w:val="008F0C41"/>
    <w:rsid w:val="008F1046"/>
    <w:rsid w:val="008F18B3"/>
    <w:rsid w:val="008F1E40"/>
    <w:rsid w:val="008F281A"/>
    <w:rsid w:val="008F2DC7"/>
    <w:rsid w:val="008F32EF"/>
    <w:rsid w:val="008F5890"/>
    <w:rsid w:val="008F592B"/>
    <w:rsid w:val="008F5B59"/>
    <w:rsid w:val="008F6E9D"/>
    <w:rsid w:val="00900C12"/>
    <w:rsid w:val="00901EDF"/>
    <w:rsid w:val="00902197"/>
    <w:rsid w:val="00903CAE"/>
    <w:rsid w:val="00904B02"/>
    <w:rsid w:val="00904BBF"/>
    <w:rsid w:val="009050B9"/>
    <w:rsid w:val="00905752"/>
    <w:rsid w:val="00906288"/>
    <w:rsid w:val="00906E14"/>
    <w:rsid w:val="0090723E"/>
    <w:rsid w:val="009076FD"/>
    <w:rsid w:val="0091073D"/>
    <w:rsid w:val="009128E8"/>
    <w:rsid w:val="0091763B"/>
    <w:rsid w:val="00917AD0"/>
    <w:rsid w:val="00917E42"/>
    <w:rsid w:val="00920962"/>
    <w:rsid w:val="00920A27"/>
    <w:rsid w:val="00921BE8"/>
    <w:rsid w:val="00922BFF"/>
    <w:rsid w:val="00926E54"/>
    <w:rsid w:val="0092726F"/>
    <w:rsid w:val="009308F0"/>
    <w:rsid w:val="00932D55"/>
    <w:rsid w:val="00934006"/>
    <w:rsid w:val="00934CA1"/>
    <w:rsid w:val="0093575A"/>
    <w:rsid w:val="00936C94"/>
    <w:rsid w:val="00937CD8"/>
    <w:rsid w:val="00937DFB"/>
    <w:rsid w:val="0094012B"/>
    <w:rsid w:val="0094069E"/>
    <w:rsid w:val="00940A28"/>
    <w:rsid w:val="00941D69"/>
    <w:rsid w:val="00944597"/>
    <w:rsid w:val="00944936"/>
    <w:rsid w:val="00944AA7"/>
    <w:rsid w:val="00945DAC"/>
    <w:rsid w:val="00946AD7"/>
    <w:rsid w:val="00947C30"/>
    <w:rsid w:val="00947F91"/>
    <w:rsid w:val="0095048A"/>
    <w:rsid w:val="00952590"/>
    <w:rsid w:val="00952D7C"/>
    <w:rsid w:val="009540D9"/>
    <w:rsid w:val="00954534"/>
    <w:rsid w:val="009546F6"/>
    <w:rsid w:val="00955097"/>
    <w:rsid w:val="0095640C"/>
    <w:rsid w:val="009569C9"/>
    <w:rsid w:val="00956BA1"/>
    <w:rsid w:val="00960A0B"/>
    <w:rsid w:val="00961356"/>
    <w:rsid w:val="00961442"/>
    <w:rsid w:val="00962652"/>
    <w:rsid w:val="009627F1"/>
    <w:rsid w:val="00962C9F"/>
    <w:rsid w:val="00962F1A"/>
    <w:rsid w:val="00963DA9"/>
    <w:rsid w:val="0096455D"/>
    <w:rsid w:val="00964D87"/>
    <w:rsid w:val="00964F55"/>
    <w:rsid w:val="00965CBF"/>
    <w:rsid w:val="00966271"/>
    <w:rsid w:val="00966A05"/>
    <w:rsid w:val="0096712E"/>
    <w:rsid w:val="0096723B"/>
    <w:rsid w:val="00967991"/>
    <w:rsid w:val="009704CF"/>
    <w:rsid w:val="00971F4F"/>
    <w:rsid w:val="00972605"/>
    <w:rsid w:val="0097372C"/>
    <w:rsid w:val="00973F3E"/>
    <w:rsid w:val="009769C6"/>
    <w:rsid w:val="00977F47"/>
    <w:rsid w:val="00980FD2"/>
    <w:rsid w:val="00981469"/>
    <w:rsid w:val="009828C2"/>
    <w:rsid w:val="00983397"/>
    <w:rsid w:val="009837EF"/>
    <w:rsid w:val="00984BDC"/>
    <w:rsid w:val="00984CC9"/>
    <w:rsid w:val="009857E0"/>
    <w:rsid w:val="00987A1D"/>
    <w:rsid w:val="009918FB"/>
    <w:rsid w:val="00991CE2"/>
    <w:rsid w:val="00996506"/>
    <w:rsid w:val="00996C13"/>
    <w:rsid w:val="009A0316"/>
    <w:rsid w:val="009A0497"/>
    <w:rsid w:val="009A131A"/>
    <w:rsid w:val="009A13C2"/>
    <w:rsid w:val="009A1A9A"/>
    <w:rsid w:val="009A2718"/>
    <w:rsid w:val="009A2D21"/>
    <w:rsid w:val="009A331A"/>
    <w:rsid w:val="009A614A"/>
    <w:rsid w:val="009B157C"/>
    <w:rsid w:val="009B2293"/>
    <w:rsid w:val="009B36BF"/>
    <w:rsid w:val="009B38EB"/>
    <w:rsid w:val="009B43A0"/>
    <w:rsid w:val="009B5872"/>
    <w:rsid w:val="009B5A80"/>
    <w:rsid w:val="009B671B"/>
    <w:rsid w:val="009B6ACF"/>
    <w:rsid w:val="009B6B48"/>
    <w:rsid w:val="009B7123"/>
    <w:rsid w:val="009C0CEB"/>
    <w:rsid w:val="009C3E19"/>
    <w:rsid w:val="009C74B5"/>
    <w:rsid w:val="009C7BD2"/>
    <w:rsid w:val="009D0E47"/>
    <w:rsid w:val="009D1F1C"/>
    <w:rsid w:val="009D2902"/>
    <w:rsid w:val="009D3039"/>
    <w:rsid w:val="009D3AEC"/>
    <w:rsid w:val="009D6153"/>
    <w:rsid w:val="009D6602"/>
    <w:rsid w:val="009D7957"/>
    <w:rsid w:val="009D7CE6"/>
    <w:rsid w:val="009E008F"/>
    <w:rsid w:val="009E0870"/>
    <w:rsid w:val="009E1888"/>
    <w:rsid w:val="009E24E6"/>
    <w:rsid w:val="009E262C"/>
    <w:rsid w:val="009E3B03"/>
    <w:rsid w:val="009E3E30"/>
    <w:rsid w:val="009E4A71"/>
    <w:rsid w:val="009E4EB0"/>
    <w:rsid w:val="009E63BF"/>
    <w:rsid w:val="009E6430"/>
    <w:rsid w:val="009E720C"/>
    <w:rsid w:val="009E771F"/>
    <w:rsid w:val="009F0EE5"/>
    <w:rsid w:val="009F2A16"/>
    <w:rsid w:val="009F3A5C"/>
    <w:rsid w:val="009F47B8"/>
    <w:rsid w:val="009F48BD"/>
    <w:rsid w:val="009F56A0"/>
    <w:rsid w:val="009F6692"/>
    <w:rsid w:val="009F714A"/>
    <w:rsid w:val="00A00F82"/>
    <w:rsid w:val="00A02AB8"/>
    <w:rsid w:val="00A05393"/>
    <w:rsid w:val="00A05924"/>
    <w:rsid w:val="00A07814"/>
    <w:rsid w:val="00A12337"/>
    <w:rsid w:val="00A127AE"/>
    <w:rsid w:val="00A13E4E"/>
    <w:rsid w:val="00A14AAE"/>
    <w:rsid w:val="00A14D2E"/>
    <w:rsid w:val="00A1508D"/>
    <w:rsid w:val="00A15967"/>
    <w:rsid w:val="00A162C4"/>
    <w:rsid w:val="00A163F2"/>
    <w:rsid w:val="00A212FC"/>
    <w:rsid w:val="00A21300"/>
    <w:rsid w:val="00A21C3A"/>
    <w:rsid w:val="00A22274"/>
    <w:rsid w:val="00A223AF"/>
    <w:rsid w:val="00A2267C"/>
    <w:rsid w:val="00A23419"/>
    <w:rsid w:val="00A2375E"/>
    <w:rsid w:val="00A23CB4"/>
    <w:rsid w:val="00A2599D"/>
    <w:rsid w:val="00A268CB"/>
    <w:rsid w:val="00A27C7E"/>
    <w:rsid w:val="00A315B2"/>
    <w:rsid w:val="00A3201D"/>
    <w:rsid w:val="00A3256C"/>
    <w:rsid w:val="00A32793"/>
    <w:rsid w:val="00A33FAF"/>
    <w:rsid w:val="00A340E4"/>
    <w:rsid w:val="00A3618C"/>
    <w:rsid w:val="00A376D1"/>
    <w:rsid w:val="00A404DF"/>
    <w:rsid w:val="00A40E86"/>
    <w:rsid w:val="00A412A4"/>
    <w:rsid w:val="00A44E29"/>
    <w:rsid w:val="00A458E9"/>
    <w:rsid w:val="00A46BA8"/>
    <w:rsid w:val="00A47C01"/>
    <w:rsid w:val="00A5115A"/>
    <w:rsid w:val="00A527A8"/>
    <w:rsid w:val="00A54607"/>
    <w:rsid w:val="00A566F7"/>
    <w:rsid w:val="00A624D4"/>
    <w:rsid w:val="00A63795"/>
    <w:rsid w:val="00A63817"/>
    <w:rsid w:val="00A64DFC"/>
    <w:rsid w:val="00A64E67"/>
    <w:rsid w:val="00A65093"/>
    <w:rsid w:val="00A65708"/>
    <w:rsid w:val="00A664BC"/>
    <w:rsid w:val="00A7124E"/>
    <w:rsid w:val="00A730FE"/>
    <w:rsid w:val="00A74AAE"/>
    <w:rsid w:val="00A74FE2"/>
    <w:rsid w:val="00A75DAF"/>
    <w:rsid w:val="00A764BF"/>
    <w:rsid w:val="00A77A41"/>
    <w:rsid w:val="00A80141"/>
    <w:rsid w:val="00A80316"/>
    <w:rsid w:val="00A80DCD"/>
    <w:rsid w:val="00A81234"/>
    <w:rsid w:val="00A814D4"/>
    <w:rsid w:val="00A81532"/>
    <w:rsid w:val="00A83501"/>
    <w:rsid w:val="00A8360B"/>
    <w:rsid w:val="00A84D12"/>
    <w:rsid w:val="00A8520B"/>
    <w:rsid w:val="00A853BC"/>
    <w:rsid w:val="00A857D9"/>
    <w:rsid w:val="00A86157"/>
    <w:rsid w:val="00A90A64"/>
    <w:rsid w:val="00A91448"/>
    <w:rsid w:val="00A92245"/>
    <w:rsid w:val="00A9313F"/>
    <w:rsid w:val="00A93A78"/>
    <w:rsid w:val="00A95BF8"/>
    <w:rsid w:val="00A95D8E"/>
    <w:rsid w:val="00AA25A1"/>
    <w:rsid w:val="00AA2B6A"/>
    <w:rsid w:val="00AA3991"/>
    <w:rsid w:val="00AA4B70"/>
    <w:rsid w:val="00AA543A"/>
    <w:rsid w:val="00AA5900"/>
    <w:rsid w:val="00AA6742"/>
    <w:rsid w:val="00AA7013"/>
    <w:rsid w:val="00AA7756"/>
    <w:rsid w:val="00AA7D7A"/>
    <w:rsid w:val="00AB2960"/>
    <w:rsid w:val="00AB3C4E"/>
    <w:rsid w:val="00AB46A7"/>
    <w:rsid w:val="00AB574B"/>
    <w:rsid w:val="00AB6681"/>
    <w:rsid w:val="00AB6DF3"/>
    <w:rsid w:val="00AB79EC"/>
    <w:rsid w:val="00AB7C52"/>
    <w:rsid w:val="00AC002A"/>
    <w:rsid w:val="00AC06AD"/>
    <w:rsid w:val="00AC1849"/>
    <w:rsid w:val="00AC1DB2"/>
    <w:rsid w:val="00AC23DD"/>
    <w:rsid w:val="00AC2BEF"/>
    <w:rsid w:val="00AC4436"/>
    <w:rsid w:val="00AC6D7C"/>
    <w:rsid w:val="00AC758F"/>
    <w:rsid w:val="00AD01BB"/>
    <w:rsid w:val="00AD02B4"/>
    <w:rsid w:val="00AD4CDC"/>
    <w:rsid w:val="00AD5C7A"/>
    <w:rsid w:val="00AD640D"/>
    <w:rsid w:val="00AD6B21"/>
    <w:rsid w:val="00AD6D7F"/>
    <w:rsid w:val="00AD6DC6"/>
    <w:rsid w:val="00AE025A"/>
    <w:rsid w:val="00AE0DAF"/>
    <w:rsid w:val="00AE1E77"/>
    <w:rsid w:val="00AE281F"/>
    <w:rsid w:val="00AE311C"/>
    <w:rsid w:val="00AE32FC"/>
    <w:rsid w:val="00AE3926"/>
    <w:rsid w:val="00AE4439"/>
    <w:rsid w:val="00AE46AA"/>
    <w:rsid w:val="00AE6061"/>
    <w:rsid w:val="00AE754D"/>
    <w:rsid w:val="00AF0388"/>
    <w:rsid w:val="00AF05EF"/>
    <w:rsid w:val="00AF0863"/>
    <w:rsid w:val="00AF0DE8"/>
    <w:rsid w:val="00AF1315"/>
    <w:rsid w:val="00AF29BB"/>
    <w:rsid w:val="00AF2B88"/>
    <w:rsid w:val="00AF5F2E"/>
    <w:rsid w:val="00AF63A9"/>
    <w:rsid w:val="00AF739D"/>
    <w:rsid w:val="00AF73A6"/>
    <w:rsid w:val="00AF7808"/>
    <w:rsid w:val="00B006A9"/>
    <w:rsid w:val="00B01D59"/>
    <w:rsid w:val="00B01ECE"/>
    <w:rsid w:val="00B030DE"/>
    <w:rsid w:val="00B045C9"/>
    <w:rsid w:val="00B054F0"/>
    <w:rsid w:val="00B06148"/>
    <w:rsid w:val="00B068F2"/>
    <w:rsid w:val="00B07EB9"/>
    <w:rsid w:val="00B12922"/>
    <w:rsid w:val="00B129A8"/>
    <w:rsid w:val="00B13310"/>
    <w:rsid w:val="00B135EB"/>
    <w:rsid w:val="00B139F7"/>
    <w:rsid w:val="00B154EA"/>
    <w:rsid w:val="00B16720"/>
    <w:rsid w:val="00B20668"/>
    <w:rsid w:val="00B20969"/>
    <w:rsid w:val="00B20C62"/>
    <w:rsid w:val="00B20D90"/>
    <w:rsid w:val="00B20DBB"/>
    <w:rsid w:val="00B2109F"/>
    <w:rsid w:val="00B219F4"/>
    <w:rsid w:val="00B22390"/>
    <w:rsid w:val="00B2258D"/>
    <w:rsid w:val="00B225B0"/>
    <w:rsid w:val="00B23A5C"/>
    <w:rsid w:val="00B306D9"/>
    <w:rsid w:val="00B30F40"/>
    <w:rsid w:val="00B318B0"/>
    <w:rsid w:val="00B31E83"/>
    <w:rsid w:val="00B3230A"/>
    <w:rsid w:val="00B325B0"/>
    <w:rsid w:val="00B328FC"/>
    <w:rsid w:val="00B33175"/>
    <w:rsid w:val="00B340B2"/>
    <w:rsid w:val="00B3411C"/>
    <w:rsid w:val="00B34EED"/>
    <w:rsid w:val="00B34F1D"/>
    <w:rsid w:val="00B3786F"/>
    <w:rsid w:val="00B37E29"/>
    <w:rsid w:val="00B4136C"/>
    <w:rsid w:val="00B41D4F"/>
    <w:rsid w:val="00B4271C"/>
    <w:rsid w:val="00B427A0"/>
    <w:rsid w:val="00B42A04"/>
    <w:rsid w:val="00B43453"/>
    <w:rsid w:val="00B43912"/>
    <w:rsid w:val="00B44F96"/>
    <w:rsid w:val="00B450F8"/>
    <w:rsid w:val="00B47A0F"/>
    <w:rsid w:val="00B47CFD"/>
    <w:rsid w:val="00B50649"/>
    <w:rsid w:val="00B5095D"/>
    <w:rsid w:val="00B50F28"/>
    <w:rsid w:val="00B51DCA"/>
    <w:rsid w:val="00B51E99"/>
    <w:rsid w:val="00B51EDA"/>
    <w:rsid w:val="00B5400D"/>
    <w:rsid w:val="00B549E8"/>
    <w:rsid w:val="00B557B6"/>
    <w:rsid w:val="00B55D54"/>
    <w:rsid w:val="00B55E3F"/>
    <w:rsid w:val="00B56849"/>
    <w:rsid w:val="00B56CD2"/>
    <w:rsid w:val="00B57869"/>
    <w:rsid w:val="00B578B5"/>
    <w:rsid w:val="00B60A1E"/>
    <w:rsid w:val="00B61595"/>
    <w:rsid w:val="00B6163B"/>
    <w:rsid w:val="00B62FF1"/>
    <w:rsid w:val="00B6377E"/>
    <w:rsid w:val="00B63A21"/>
    <w:rsid w:val="00B646FD"/>
    <w:rsid w:val="00B657A0"/>
    <w:rsid w:val="00B65EF0"/>
    <w:rsid w:val="00B65FA8"/>
    <w:rsid w:val="00B66225"/>
    <w:rsid w:val="00B66384"/>
    <w:rsid w:val="00B664D8"/>
    <w:rsid w:val="00B7014D"/>
    <w:rsid w:val="00B7017B"/>
    <w:rsid w:val="00B71817"/>
    <w:rsid w:val="00B722B5"/>
    <w:rsid w:val="00B73F2E"/>
    <w:rsid w:val="00B74088"/>
    <w:rsid w:val="00B74113"/>
    <w:rsid w:val="00B77B8A"/>
    <w:rsid w:val="00B77FC7"/>
    <w:rsid w:val="00B814DD"/>
    <w:rsid w:val="00B8191D"/>
    <w:rsid w:val="00B827C5"/>
    <w:rsid w:val="00B83D1F"/>
    <w:rsid w:val="00B83F49"/>
    <w:rsid w:val="00B84120"/>
    <w:rsid w:val="00B84190"/>
    <w:rsid w:val="00B9057D"/>
    <w:rsid w:val="00B91546"/>
    <w:rsid w:val="00B91D3B"/>
    <w:rsid w:val="00B92B61"/>
    <w:rsid w:val="00B93466"/>
    <w:rsid w:val="00B94293"/>
    <w:rsid w:val="00B94B1E"/>
    <w:rsid w:val="00B958E3"/>
    <w:rsid w:val="00B96366"/>
    <w:rsid w:val="00B9718C"/>
    <w:rsid w:val="00B97DAB"/>
    <w:rsid w:val="00BA1691"/>
    <w:rsid w:val="00BA2287"/>
    <w:rsid w:val="00BA326C"/>
    <w:rsid w:val="00BA4790"/>
    <w:rsid w:val="00BA59CF"/>
    <w:rsid w:val="00BA5AB2"/>
    <w:rsid w:val="00BA65D0"/>
    <w:rsid w:val="00BA7BAE"/>
    <w:rsid w:val="00BB1709"/>
    <w:rsid w:val="00BB21CF"/>
    <w:rsid w:val="00BB2393"/>
    <w:rsid w:val="00BB249D"/>
    <w:rsid w:val="00BB4BD3"/>
    <w:rsid w:val="00BB621E"/>
    <w:rsid w:val="00BB76DF"/>
    <w:rsid w:val="00BC0186"/>
    <w:rsid w:val="00BC0325"/>
    <w:rsid w:val="00BC0666"/>
    <w:rsid w:val="00BC17BE"/>
    <w:rsid w:val="00BC29F6"/>
    <w:rsid w:val="00BC2FCC"/>
    <w:rsid w:val="00BC3157"/>
    <w:rsid w:val="00BC468A"/>
    <w:rsid w:val="00BC473B"/>
    <w:rsid w:val="00BC7D24"/>
    <w:rsid w:val="00BD0111"/>
    <w:rsid w:val="00BD0413"/>
    <w:rsid w:val="00BD0C96"/>
    <w:rsid w:val="00BD2E17"/>
    <w:rsid w:val="00BD483E"/>
    <w:rsid w:val="00BD5653"/>
    <w:rsid w:val="00BD6E3E"/>
    <w:rsid w:val="00BD78F3"/>
    <w:rsid w:val="00BD7B1A"/>
    <w:rsid w:val="00BE2D42"/>
    <w:rsid w:val="00BE2ED0"/>
    <w:rsid w:val="00BE4286"/>
    <w:rsid w:val="00BE4622"/>
    <w:rsid w:val="00BE5FB9"/>
    <w:rsid w:val="00BE647C"/>
    <w:rsid w:val="00BE650A"/>
    <w:rsid w:val="00BE655B"/>
    <w:rsid w:val="00BE7CC4"/>
    <w:rsid w:val="00BF0ACE"/>
    <w:rsid w:val="00BF1B53"/>
    <w:rsid w:val="00BF268F"/>
    <w:rsid w:val="00BF2BAB"/>
    <w:rsid w:val="00BF2C4B"/>
    <w:rsid w:val="00BF385C"/>
    <w:rsid w:val="00BF5068"/>
    <w:rsid w:val="00BF637E"/>
    <w:rsid w:val="00BF677C"/>
    <w:rsid w:val="00BF6B3D"/>
    <w:rsid w:val="00BF6B96"/>
    <w:rsid w:val="00BF70C1"/>
    <w:rsid w:val="00BF7F39"/>
    <w:rsid w:val="00C02F29"/>
    <w:rsid w:val="00C0349A"/>
    <w:rsid w:val="00C04A7D"/>
    <w:rsid w:val="00C05183"/>
    <w:rsid w:val="00C06A01"/>
    <w:rsid w:val="00C079DC"/>
    <w:rsid w:val="00C10B4D"/>
    <w:rsid w:val="00C120C0"/>
    <w:rsid w:val="00C12713"/>
    <w:rsid w:val="00C12CF2"/>
    <w:rsid w:val="00C13270"/>
    <w:rsid w:val="00C1378E"/>
    <w:rsid w:val="00C13EF0"/>
    <w:rsid w:val="00C15727"/>
    <w:rsid w:val="00C15A21"/>
    <w:rsid w:val="00C172C8"/>
    <w:rsid w:val="00C17AAA"/>
    <w:rsid w:val="00C202C8"/>
    <w:rsid w:val="00C2173A"/>
    <w:rsid w:val="00C22EBB"/>
    <w:rsid w:val="00C23A39"/>
    <w:rsid w:val="00C24DD6"/>
    <w:rsid w:val="00C2545A"/>
    <w:rsid w:val="00C304C7"/>
    <w:rsid w:val="00C30AB4"/>
    <w:rsid w:val="00C30C3B"/>
    <w:rsid w:val="00C31CC0"/>
    <w:rsid w:val="00C31EE3"/>
    <w:rsid w:val="00C3203A"/>
    <w:rsid w:val="00C33045"/>
    <w:rsid w:val="00C349A2"/>
    <w:rsid w:val="00C35DEA"/>
    <w:rsid w:val="00C364F8"/>
    <w:rsid w:val="00C36725"/>
    <w:rsid w:val="00C3737C"/>
    <w:rsid w:val="00C377B6"/>
    <w:rsid w:val="00C40E19"/>
    <w:rsid w:val="00C41A41"/>
    <w:rsid w:val="00C4306B"/>
    <w:rsid w:val="00C45162"/>
    <w:rsid w:val="00C47280"/>
    <w:rsid w:val="00C47C14"/>
    <w:rsid w:val="00C509D3"/>
    <w:rsid w:val="00C51CF5"/>
    <w:rsid w:val="00C522A9"/>
    <w:rsid w:val="00C53728"/>
    <w:rsid w:val="00C53905"/>
    <w:rsid w:val="00C5536B"/>
    <w:rsid w:val="00C60BBD"/>
    <w:rsid w:val="00C61C75"/>
    <w:rsid w:val="00C63CA5"/>
    <w:rsid w:val="00C65994"/>
    <w:rsid w:val="00C6619C"/>
    <w:rsid w:val="00C67CDD"/>
    <w:rsid w:val="00C71490"/>
    <w:rsid w:val="00C734E1"/>
    <w:rsid w:val="00C739A2"/>
    <w:rsid w:val="00C74661"/>
    <w:rsid w:val="00C7577E"/>
    <w:rsid w:val="00C75C12"/>
    <w:rsid w:val="00C76F2A"/>
    <w:rsid w:val="00C77BC2"/>
    <w:rsid w:val="00C80CB7"/>
    <w:rsid w:val="00C81E61"/>
    <w:rsid w:val="00C833CF"/>
    <w:rsid w:val="00C8439E"/>
    <w:rsid w:val="00C850F4"/>
    <w:rsid w:val="00C8797D"/>
    <w:rsid w:val="00C9005D"/>
    <w:rsid w:val="00C902D7"/>
    <w:rsid w:val="00C90A20"/>
    <w:rsid w:val="00C91302"/>
    <w:rsid w:val="00C94463"/>
    <w:rsid w:val="00C94CD6"/>
    <w:rsid w:val="00C965B2"/>
    <w:rsid w:val="00C9661C"/>
    <w:rsid w:val="00C971CD"/>
    <w:rsid w:val="00CA10EB"/>
    <w:rsid w:val="00CA31D5"/>
    <w:rsid w:val="00CA33A1"/>
    <w:rsid w:val="00CA4984"/>
    <w:rsid w:val="00CA6695"/>
    <w:rsid w:val="00CA6A74"/>
    <w:rsid w:val="00CA70B9"/>
    <w:rsid w:val="00CB037F"/>
    <w:rsid w:val="00CB03FB"/>
    <w:rsid w:val="00CB3BE2"/>
    <w:rsid w:val="00CB511B"/>
    <w:rsid w:val="00CB6457"/>
    <w:rsid w:val="00CB6F03"/>
    <w:rsid w:val="00CC3154"/>
    <w:rsid w:val="00CC3809"/>
    <w:rsid w:val="00CC3C58"/>
    <w:rsid w:val="00CC6D44"/>
    <w:rsid w:val="00CC70E0"/>
    <w:rsid w:val="00CC7744"/>
    <w:rsid w:val="00CD058E"/>
    <w:rsid w:val="00CD2C94"/>
    <w:rsid w:val="00CD2CDB"/>
    <w:rsid w:val="00CD3F58"/>
    <w:rsid w:val="00CD44C8"/>
    <w:rsid w:val="00CD541F"/>
    <w:rsid w:val="00CE0B0B"/>
    <w:rsid w:val="00CE1815"/>
    <w:rsid w:val="00CE30A6"/>
    <w:rsid w:val="00CE42A1"/>
    <w:rsid w:val="00CE599C"/>
    <w:rsid w:val="00CE6738"/>
    <w:rsid w:val="00CE7C01"/>
    <w:rsid w:val="00CF00AD"/>
    <w:rsid w:val="00CF2024"/>
    <w:rsid w:val="00CF3976"/>
    <w:rsid w:val="00CF3B29"/>
    <w:rsid w:val="00CF3FBF"/>
    <w:rsid w:val="00CF4AD8"/>
    <w:rsid w:val="00CF4C6C"/>
    <w:rsid w:val="00CF5881"/>
    <w:rsid w:val="00CF61B6"/>
    <w:rsid w:val="00CF671F"/>
    <w:rsid w:val="00CF758D"/>
    <w:rsid w:val="00D00503"/>
    <w:rsid w:val="00D00846"/>
    <w:rsid w:val="00D01950"/>
    <w:rsid w:val="00D02AEC"/>
    <w:rsid w:val="00D04919"/>
    <w:rsid w:val="00D052B4"/>
    <w:rsid w:val="00D05672"/>
    <w:rsid w:val="00D07B72"/>
    <w:rsid w:val="00D10062"/>
    <w:rsid w:val="00D10076"/>
    <w:rsid w:val="00D12778"/>
    <w:rsid w:val="00D13B5A"/>
    <w:rsid w:val="00D1488F"/>
    <w:rsid w:val="00D16690"/>
    <w:rsid w:val="00D20645"/>
    <w:rsid w:val="00D20D4C"/>
    <w:rsid w:val="00D224A6"/>
    <w:rsid w:val="00D22AD5"/>
    <w:rsid w:val="00D237A8"/>
    <w:rsid w:val="00D23A87"/>
    <w:rsid w:val="00D23BBA"/>
    <w:rsid w:val="00D2449C"/>
    <w:rsid w:val="00D24A46"/>
    <w:rsid w:val="00D24AAD"/>
    <w:rsid w:val="00D252D1"/>
    <w:rsid w:val="00D2758D"/>
    <w:rsid w:val="00D279F4"/>
    <w:rsid w:val="00D31044"/>
    <w:rsid w:val="00D3177D"/>
    <w:rsid w:val="00D32C35"/>
    <w:rsid w:val="00D337D1"/>
    <w:rsid w:val="00D33E5F"/>
    <w:rsid w:val="00D33EFF"/>
    <w:rsid w:val="00D3459C"/>
    <w:rsid w:val="00D34CFB"/>
    <w:rsid w:val="00D357D2"/>
    <w:rsid w:val="00D35E5E"/>
    <w:rsid w:val="00D36227"/>
    <w:rsid w:val="00D406B9"/>
    <w:rsid w:val="00D420DA"/>
    <w:rsid w:val="00D43769"/>
    <w:rsid w:val="00D43E31"/>
    <w:rsid w:val="00D4414D"/>
    <w:rsid w:val="00D4771B"/>
    <w:rsid w:val="00D478C9"/>
    <w:rsid w:val="00D50283"/>
    <w:rsid w:val="00D50B65"/>
    <w:rsid w:val="00D5127D"/>
    <w:rsid w:val="00D530AE"/>
    <w:rsid w:val="00D533E9"/>
    <w:rsid w:val="00D56837"/>
    <w:rsid w:val="00D56D4E"/>
    <w:rsid w:val="00D579D1"/>
    <w:rsid w:val="00D60E5B"/>
    <w:rsid w:val="00D62A78"/>
    <w:rsid w:val="00D6560A"/>
    <w:rsid w:val="00D675F9"/>
    <w:rsid w:val="00D6772B"/>
    <w:rsid w:val="00D67EDE"/>
    <w:rsid w:val="00D71892"/>
    <w:rsid w:val="00D71C7A"/>
    <w:rsid w:val="00D71F7D"/>
    <w:rsid w:val="00D71F97"/>
    <w:rsid w:val="00D7239D"/>
    <w:rsid w:val="00D73421"/>
    <w:rsid w:val="00D73FF8"/>
    <w:rsid w:val="00D7450E"/>
    <w:rsid w:val="00D74A41"/>
    <w:rsid w:val="00D76907"/>
    <w:rsid w:val="00D81644"/>
    <w:rsid w:val="00D84615"/>
    <w:rsid w:val="00D85D6C"/>
    <w:rsid w:val="00D85E0A"/>
    <w:rsid w:val="00D87429"/>
    <w:rsid w:val="00D924A2"/>
    <w:rsid w:val="00D92F90"/>
    <w:rsid w:val="00D93C3C"/>
    <w:rsid w:val="00D9441D"/>
    <w:rsid w:val="00D94816"/>
    <w:rsid w:val="00DA04ED"/>
    <w:rsid w:val="00DA166D"/>
    <w:rsid w:val="00DA2647"/>
    <w:rsid w:val="00DA35CD"/>
    <w:rsid w:val="00DA4AB8"/>
    <w:rsid w:val="00DA525F"/>
    <w:rsid w:val="00DA54F4"/>
    <w:rsid w:val="00DA5617"/>
    <w:rsid w:val="00DA5ADE"/>
    <w:rsid w:val="00DA6448"/>
    <w:rsid w:val="00DA664C"/>
    <w:rsid w:val="00DA7606"/>
    <w:rsid w:val="00DA7750"/>
    <w:rsid w:val="00DA791C"/>
    <w:rsid w:val="00DB17A2"/>
    <w:rsid w:val="00DB1D74"/>
    <w:rsid w:val="00DB25E4"/>
    <w:rsid w:val="00DB36C2"/>
    <w:rsid w:val="00DB45EC"/>
    <w:rsid w:val="00DB5F07"/>
    <w:rsid w:val="00DB636A"/>
    <w:rsid w:val="00DB6524"/>
    <w:rsid w:val="00DB6D0F"/>
    <w:rsid w:val="00DB757B"/>
    <w:rsid w:val="00DB7D0F"/>
    <w:rsid w:val="00DB7F91"/>
    <w:rsid w:val="00DC14F0"/>
    <w:rsid w:val="00DC1945"/>
    <w:rsid w:val="00DC40E6"/>
    <w:rsid w:val="00DC68C9"/>
    <w:rsid w:val="00DC6BE2"/>
    <w:rsid w:val="00DC6EBD"/>
    <w:rsid w:val="00DD1B1B"/>
    <w:rsid w:val="00DD1C0F"/>
    <w:rsid w:val="00DD32DC"/>
    <w:rsid w:val="00DD617D"/>
    <w:rsid w:val="00DD7D41"/>
    <w:rsid w:val="00DE0141"/>
    <w:rsid w:val="00DE04E0"/>
    <w:rsid w:val="00DE06B0"/>
    <w:rsid w:val="00DE06E0"/>
    <w:rsid w:val="00DE1789"/>
    <w:rsid w:val="00DE201A"/>
    <w:rsid w:val="00DE321F"/>
    <w:rsid w:val="00DE5563"/>
    <w:rsid w:val="00DE55FF"/>
    <w:rsid w:val="00DE5AC5"/>
    <w:rsid w:val="00DE5F6F"/>
    <w:rsid w:val="00DE651D"/>
    <w:rsid w:val="00DE7F03"/>
    <w:rsid w:val="00DF16D1"/>
    <w:rsid w:val="00DF18C4"/>
    <w:rsid w:val="00DF20F3"/>
    <w:rsid w:val="00DF27AB"/>
    <w:rsid w:val="00DF2F4B"/>
    <w:rsid w:val="00DF71A3"/>
    <w:rsid w:val="00E00448"/>
    <w:rsid w:val="00E00A0E"/>
    <w:rsid w:val="00E00B23"/>
    <w:rsid w:val="00E01117"/>
    <w:rsid w:val="00E0117D"/>
    <w:rsid w:val="00E0168C"/>
    <w:rsid w:val="00E01A91"/>
    <w:rsid w:val="00E0310F"/>
    <w:rsid w:val="00E03125"/>
    <w:rsid w:val="00E032CB"/>
    <w:rsid w:val="00E0332A"/>
    <w:rsid w:val="00E04C33"/>
    <w:rsid w:val="00E04D95"/>
    <w:rsid w:val="00E04E5D"/>
    <w:rsid w:val="00E06908"/>
    <w:rsid w:val="00E0769B"/>
    <w:rsid w:val="00E10B5C"/>
    <w:rsid w:val="00E11760"/>
    <w:rsid w:val="00E119E8"/>
    <w:rsid w:val="00E12973"/>
    <w:rsid w:val="00E13203"/>
    <w:rsid w:val="00E141EC"/>
    <w:rsid w:val="00E14792"/>
    <w:rsid w:val="00E14A99"/>
    <w:rsid w:val="00E14DAE"/>
    <w:rsid w:val="00E14F8C"/>
    <w:rsid w:val="00E155FA"/>
    <w:rsid w:val="00E169CD"/>
    <w:rsid w:val="00E204A8"/>
    <w:rsid w:val="00E205A2"/>
    <w:rsid w:val="00E217A2"/>
    <w:rsid w:val="00E228DE"/>
    <w:rsid w:val="00E23208"/>
    <w:rsid w:val="00E2356E"/>
    <w:rsid w:val="00E24758"/>
    <w:rsid w:val="00E253A0"/>
    <w:rsid w:val="00E2763D"/>
    <w:rsid w:val="00E31A39"/>
    <w:rsid w:val="00E33037"/>
    <w:rsid w:val="00E3325B"/>
    <w:rsid w:val="00E345DB"/>
    <w:rsid w:val="00E34761"/>
    <w:rsid w:val="00E3545D"/>
    <w:rsid w:val="00E35654"/>
    <w:rsid w:val="00E3574A"/>
    <w:rsid w:val="00E35A46"/>
    <w:rsid w:val="00E40533"/>
    <w:rsid w:val="00E405B8"/>
    <w:rsid w:val="00E435D8"/>
    <w:rsid w:val="00E4448D"/>
    <w:rsid w:val="00E44EF1"/>
    <w:rsid w:val="00E45EBE"/>
    <w:rsid w:val="00E4603E"/>
    <w:rsid w:val="00E46D0C"/>
    <w:rsid w:val="00E46F96"/>
    <w:rsid w:val="00E47121"/>
    <w:rsid w:val="00E4754B"/>
    <w:rsid w:val="00E475AC"/>
    <w:rsid w:val="00E50D28"/>
    <w:rsid w:val="00E5152D"/>
    <w:rsid w:val="00E51807"/>
    <w:rsid w:val="00E537F3"/>
    <w:rsid w:val="00E53896"/>
    <w:rsid w:val="00E5597A"/>
    <w:rsid w:val="00E55ABB"/>
    <w:rsid w:val="00E56326"/>
    <w:rsid w:val="00E5686D"/>
    <w:rsid w:val="00E57ECA"/>
    <w:rsid w:val="00E6038C"/>
    <w:rsid w:val="00E608A2"/>
    <w:rsid w:val="00E60BCA"/>
    <w:rsid w:val="00E61E75"/>
    <w:rsid w:val="00E62FEA"/>
    <w:rsid w:val="00E638C8"/>
    <w:rsid w:val="00E63DD1"/>
    <w:rsid w:val="00E64602"/>
    <w:rsid w:val="00E659E5"/>
    <w:rsid w:val="00E66553"/>
    <w:rsid w:val="00E671F0"/>
    <w:rsid w:val="00E67B60"/>
    <w:rsid w:val="00E67D90"/>
    <w:rsid w:val="00E70E8B"/>
    <w:rsid w:val="00E7193D"/>
    <w:rsid w:val="00E72931"/>
    <w:rsid w:val="00E7494E"/>
    <w:rsid w:val="00E74DC5"/>
    <w:rsid w:val="00E75380"/>
    <w:rsid w:val="00E761FF"/>
    <w:rsid w:val="00E7665D"/>
    <w:rsid w:val="00E766DF"/>
    <w:rsid w:val="00E804AE"/>
    <w:rsid w:val="00E8172C"/>
    <w:rsid w:val="00E82A56"/>
    <w:rsid w:val="00E82B1A"/>
    <w:rsid w:val="00E83D8A"/>
    <w:rsid w:val="00E840D2"/>
    <w:rsid w:val="00E848F4"/>
    <w:rsid w:val="00E90731"/>
    <w:rsid w:val="00E91F37"/>
    <w:rsid w:val="00E94D83"/>
    <w:rsid w:val="00E95167"/>
    <w:rsid w:val="00E95A84"/>
    <w:rsid w:val="00E96CB5"/>
    <w:rsid w:val="00E9789E"/>
    <w:rsid w:val="00E97BF4"/>
    <w:rsid w:val="00EA0B74"/>
    <w:rsid w:val="00EA11D4"/>
    <w:rsid w:val="00EA15BE"/>
    <w:rsid w:val="00EA2055"/>
    <w:rsid w:val="00EA25E5"/>
    <w:rsid w:val="00EA2A88"/>
    <w:rsid w:val="00EA32AB"/>
    <w:rsid w:val="00EA38CC"/>
    <w:rsid w:val="00EA3D41"/>
    <w:rsid w:val="00EA6C8B"/>
    <w:rsid w:val="00EA78FF"/>
    <w:rsid w:val="00EA7A61"/>
    <w:rsid w:val="00EB002B"/>
    <w:rsid w:val="00EB094A"/>
    <w:rsid w:val="00EB0E9C"/>
    <w:rsid w:val="00EB22FA"/>
    <w:rsid w:val="00EB24DB"/>
    <w:rsid w:val="00EB279B"/>
    <w:rsid w:val="00EB2CA5"/>
    <w:rsid w:val="00EB3356"/>
    <w:rsid w:val="00EB43FD"/>
    <w:rsid w:val="00EB44BE"/>
    <w:rsid w:val="00EB4682"/>
    <w:rsid w:val="00EB477D"/>
    <w:rsid w:val="00EB65B3"/>
    <w:rsid w:val="00EB7FCF"/>
    <w:rsid w:val="00EC10F1"/>
    <w:rsid w:val="00EC149C"/>
    <w:rsid w:val="00EC28E5"/>
    <w:rsid w:val="00EC5D9E"/>
    <w:rsid w:val="00EC6350"/>
    <w:rsid w:val="00EC68B5"/>
    <w:rsid w:val="00EC6B93"/>
    <w:rsid w:val="00EC741D"/>
    <w:rsid w:val="00EC795B"/>
    <w:rsid w:val="00EC7E25"/>
    <w:rsid w:val="00ED0373"/>
    <w:rsid w:val="00ED3F33"/>
    <w:rsid w:val="00ED52E8"/>
    <w:rsid w:val="00ED5998"/>
    <w:rsid w:val="00EE0868"/>
    <w:rsid w:val="00EE114A"/>
    <w:rsid w:val="00EE1372"/>
    <w:rsid w:val="00EE1BFF"/>
    <w:rsid w:val="00EE1F4E"/>
    <w:rsid w:val="00EE2E0A"/>
    <w:rsid w:val="00EE333A"/>
    <w:rsid w:val="00EE3BD7"/>
    <w:rsid w:val="00EE749F"/>
    <w:rsid w:val="00EF0B62"/>
    <w:rsid w:val="00EF1989"/>
    <w:rsid w:val="00EF1C87"/>
    <w:rsid w:val="00EF3A40"/>
    <w:rsid w:val="00EF468B"/>
    <w:rsid w:val="00EF5429"/>
    <w:rsid w:val="00EF738A"/>
    <w:rsid w:val="00EF77C1"/>
    <w:rsid w:val="00F012D3"/>
    <w:rsid w:val="00F02857"/>
    <w:rsid w:val="00F03424"/>
    <w:rsid w:val="00F04CDD"/>
    <w:rsid w:val="00F04F4D"/>
    <w:rsid w:val="00F0606D"/>
    <w:rsid w:val="00F071A7"/>
    <w:rsid w:val="00F0778D"/>
    <w:rsid w:val="00F077D3"/>
    <w:rsid w:val="00F07E0C"/>
    <w:rsid w:val="00F1328C"/>
    <w:rsid w:val="00F13939"/>
    <w:rsid w:val="00F13B21"/>
    <w:rsid w:val="00F13D2D"/>
    <w:rsid w:val="00F14463"/>
    <w:rsid w:val="00F1629B"/>
    <w:rsid w:val="00F1653E"/>
    <w:rsid w:val="00F17FE9"/>
    <w:rsid w:val="00F2128C"/>
    <w:rsid w:val="00F22FD2"/>
    <w:rsid w:val="00F23291"/>
    <w:rsid w:val="00F25284"/>
    <w:rsid w:val="00F26CA1"/>
    <w:rsid w:val="00F27890"/>
    <w:rsid w:val="00F30B07"/>
    <w:rsid w:val="00F31416"/>
    <w:rsid w:val="00F32C2A"/>
    <w:rsid w:val="00F33190"/>
    <w:rsid w:val="00F3328C"/>
    <w:rsid w:val="00F332A2"/>
    <w:rsid w:val="00F337B2"/>
    <w:rsid w:val="00F33D36"/>
    <w:rsid w:val="00F35B81"/>
    <w:rsid w:val="00F36172"/>
    <w:rsid w:val="00F37D7D"/>
    <w:rsid w:val="00F40E93"/>
    <w:rsid w:val="00F41E3D"/>
    <w:rsid w:val="00F44A8E"/>
    <w:rsid w:val="00F45799"/>
    <w:rsid w:val="00F4755A"/>
    <w:rsid w:val="00F47E29"/>
    <w:rsid w:val="00F53DB7"/>
    <w:rsid w:val="00F546F7"/>
    <w:rsid w:val="00F547A2"/>
    <w:rsid w:val="00F555C6"/>
    <w:rsid w:val="00F55762"/>
    <w:rsid w:val="00F56FC6"/>
    <w:rsid w:val="00F57A44"/>
    <w:rsid w:val="00F57B01"/>
    <w:rsid w:val="00F60CC6"/>
    <w:rsid w:val="00F622E8"/>
    <w:rsid w:val="00F63895"/>
    <w:rsid w:val="00F63F4E"/>
    <w:rsid w:val="00F6477D"/>
    <w:rsid w:val="00F64822"/>
    <w:rsid w:val="00F659AD"/>
    <w:rsid w:val="00F65CB3"/>
    <w:rsid w:val="00F66B4C"/>
    <w:rsid w:val="00F6750B"/>
    <w:rsid w:val="00F6759D"/>
    <w:rsid w:val="00F707E3"/>
    <w:rsid w:val="00F70A77"/>
    <w:rsid w:val="00F716AE"/>
    <w:rsid w:val="00F7181D"/>
    <w:rsid w:val="00F71CD0"/>
    <w:rsid w:val="00F71FC5"/>
    <w:rsid w:val="00F73049"/>
    <w:rsid w:val="00F73164"/>
    <w:rsid w:val="00F7378F"/>
    <w:rsid w:val="00F7409D"/>
    <w:rsid w:val="00F756BC"/>
    <w:rsid w:val="00F760E0"/>
    <w:rsid w:val="00F77609"/>
    <w:rsid w:val="00F80AE5"/>
    <w:rsid w:val="00F81DB7"/>
    <w:rsid w:val="00F833A3"/>
    <w:rsid w:val="00F84974"/>
    <w:rsid w:val="00F84AB7"/>
    <w:rsid w:val="00F84B9C"/>
    <w:rsid w:val="00F85B05"/>
    <w:rsid w:val="00F86314"/>
    <w:rsid w:val="00F86C45"/>
    <w:rsid w:val="00F879FD"/>
    <w:rsid w:val="00F9065F"/>
    <w:rsid w:val="00F9142F"/>
    <w:rsid w:val="00F91F5A"/>
    <w:rsid w:val="00F92F01"/>
    <w:rsid w:val="00F941C2"/>
    <w:rsid w:val="00F95911"/>
    <w:rsid w:val="00F95B2C"/>
    <w:rsid w:val="00F971E5"/>
    <w:rsid w:val="00FA1DBF"/>
    <w:rsid w:val="00FA3813"/>
    <w:rsid w:val="00FA509B"/>
    <w:rsid w:val="00FA6A1E"/>
    <w:rsid w:val="00FB0F81"/>
    <w:rsid w:val="00FB17F6"/>
    <w:rsid w:val="00FB1EF2"/>
    <w:rsid w:val="00FB3263"/>
    <w:rsid w:val="00FB5CFE"/>
    <w:rsid w:val="00FB6ED3"/>
    <w:rsid w:val="00FB79D5"/>
    <w:rsid w:val="00FC07D5"/>
    <w:rsid w:val="00FC0936"/>
    <w:rsid w:val="00FC0D50"/>
    <w:rsid w:val="00FC3832"/>
    <w:rsid w:val="00FC4754"/>
    <w:rsid w:val="00FC6BFA"/>
    <w:rsid w:val="00FD1F2A"/>
    <w:rsid w:val="00FD2A43"/>
    <w:rsid w:val="00FD34C1"/>
    <w:rsid w:val="00FD5FBF"/>
    <w:rsid w:val="00FD6A4E"/>
    <w:rsid w:val="00FD7149"/>
    <w:rsid w:val="00FE326C"/>
    <w:rsid w:val="00FE41CB"/>
    <w:rsid w:val="00FE501D"/>
    <w:rsid w:val="00FE53F8"/>
    <w:rsid w:val="00FE574F"/>
    <w:rsid w:val="00FE610F"/>
    <w:rsid w:val="00FE651C"/>
    <w:rsid w:val="00FE65AE"/>
    <w:rsid w:val="00FF029E"/>
    <w:rsid w:val="00FF055B"/>
    <w:rsid w:val="00FF0918"/>
    <w:rsid w:val="00FF0A78"/>
    <w:rsid w:val="00FF2332"/>
    <w:rsid w:val="00FF2B1A"/>
    <w:rsid w:val="00FF580D"/>
    <w:rsid w:val="00FF5DFC"/>
    <w:rsid w:val="00FF5F6A"/>
    <w:rsid w:val="00FF6F4D"/>
    <w:rsid w:val="00FF75C2"/>
    <w:rsid w:val="00FF78DB"/>
    <w:rsid w:val="00FF7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9E7A0"/>
  <w15:docId w15:val="{CB393BDE-7C31-4784-9ED2-F4237A5F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paragraph" w:styleId="Heading6">
    <w:name w:val="heading 6"/>
    <w:basedOn w:val="Normal"/>
    <w:next w:val="Normal"/>
    <w:link w:val="Heading6Char"/>
    <w:semiHidden/>
    <w:unhideWhenUsed/>
    <w:qFormat/>
    <w:rsid w:val="00F012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012D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2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012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odyPara">
    <w:name w:val="EBBodyPara"/>
    <w:basedOn w:val="BodyText"/>
    <w:rsid w:val="005A2FC0"/>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rsid w:val="0049416F"/>
    <w:rPr>
      <w:rFonts w:ascii="Arial" w:hAnsi="Arial" w:cs="Arial"/>
      <w:bCs/>
      <w:color w:val="000000"/>
      <w:sz w:val="22"/>
      <w:szCs w:val="22"/>
      <w:lang w:val="en-GB" w:eastAsia="en-GB" w:bidi="ar-SA"/>
    </w:rPr>
  </w:style>
  <w:style w:type="character" w:customStyle="1" w:styleId="Heading5Char">
    <w:name w:val="Heading 5 Char"/>
    <w:aliases w:val="EBHeading4 Char"/>
    <w:link w:val="Heading5"/>
    <w:rsid w:val="00384CBA"/>
    <w:rPr>
      <w:rFonts w:ascii="Arial" w:hAnsi="Arial"/>
      <w:bCs/>
      <w:i/>
      <w:iCs/>
      <w:sz w:val="22"/>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basedOn w:val="IATableLabelCharChar"/>
    <w:link w:val="IATableText"/>
    <w:rsid w:val="00220F29"/>
    <w:rPr>
      <w:rFonts w:ascii="Arial" w:eastAsia="SimSun" w:hAnsi="Arial"/>
      <w:b/>
      <w:color w:val="000000"/>
      <w:spacing w:val="-5"/>
      <w:sz w:val="22"/>
      <w:lang w:val="en-GB" w:eastAsia="zh-CN" w:bidi="ar-SA"/>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rsid w:val="00174C10"/>
    <w:rPr>
      <w:rFonts w:ascii="Arial" w:hAnsi="Arial" w:cs="Arial"/>
      <w:bCs/>
      <w:color w:val="FFFFFF"/>
      <w:kern w:val="28"/>
      <w:sz w:val="32"/>
      <w:szCs w:val="32"/>
      <w:lang w:val="en-GB" w:eastAsia="en-US" w:bidi="ar-SA"/>
    </w:rPr>
  </w:style>
  <w:style w:type="paragraph" w:customStyle="1" w:styleId="IAHeadDept">
    <w:name w:val="IAHeadDept"/>
    <w:basedOn w:val="IATableText"/>
    <w:link w:val="IAHeadDeptChar"/>
    <w:rsid w:val="00C120C0"/>
    <w:pPr>
      <w:spacing w:after="120"/>
      <w:ind w:left="0" w:right="57"/>
    </w:pPr>
    <w:rPr>
      <w:spacing w:val="-6"/>
      <w:szCs w:val="22"/>
    </w:rPr>
  </w:style>
  <w:style w:type="character" w:customStyle="1" w:styleId="IAHeadDeptChar">
    <w:name w:val="IAHeadDept Char"/>
    <w:basedOn w:val="IATableTextChar"/>
    <w:link w:val="IAHeadDept"/>
    <w:rsid w:val="008031EC"/>
    <w:rPr>
      <w:rFonts w:ascii="Arial" w:eastAsia="SimSun" w:hAnsi="Arial"/>
      <w:b/>
      <w:color w:val="000000"/>
      <w:spacing w:val="-6"/>
      <w:sz w:val="22"/>
      <w:szCs w:val="22"/>
      <w:lang w:val="en-GB" w:eastAsia="zh-CN" w:bidi="ar-SA"/>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basedOn w:val="IATableNotes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character" w:customStyle="1" w:styleId="IAHeadTitleChar">
    <w:name w:val="IAHeadTitle Char"/>
    <w:basedOn w:val="IAHeadDeptChar"/>
    <w:link w:val="IAHeadTitle"/>
    <w:rsid w:val="008031EC"/>
    <w:rPr>
      <w:rFonts w:ascii="Arial" w:eastAsia="SimSun" w:hAnsi="Arial"/>
      <w:b/>
      <w:color w:val="000000"/>
      <w:spacing w:val="-6"/>
      <w:sz w:val="28"/>
      <w:szCs w:val="28"/>
      <w:lang w:val="en-GB" w:eastAsia="zh-CN" w:bidi="ar-SA"/>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basedOn w:val="IAHeadLabel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link w:val="Header"/>
    <w:uiPriority w:val="99"/>
    <w:rsid w:val="00384CBA"/>
    <w:rPr>
      <w:rFonts w:ascii="Arial" w:hAnsi="Arial"/>
      <w:caps/>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link w:val="Footer"/>
    <w:uiPriority w:val="99"/>
    <w:rsid w:val="00384CBA"/>
    <w:rPr>
      <w:rFonts w:ascii="Arial" w:hAnsi="Arial"/>
      <w:b/>
      <w:sz w:val="18"/>
      <w:szCs w:val="24"/>
      <w:lang w:eastAsia="en-US"/>
    </w:rPr>
  </w:style>
  <w:style w:type="character" w:styleId="PageNumber">
    <w:name w:val="page number"/>
    <w:basedOn w:val="DefaultParagraphFont"/>
    <w:rsid w:val="00EB43FD"/>
  </w:style>
  <w:style w:type="paragraph" w:customStyle="1" w:styleId="IANotes">
    <w:name w:val="IANotes"/>
    <w:basedOn w:val="Normal"/>
    <w:semiHidden/>
    <w:rsid w:val="00650282"/>
    <w:pPr>
      <w:numPr>
        <w:numId w:val="1"/>
      </w:numPr>
    </w:pPr>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1"/>
    <w:basedOn w:val="Normal"/>
    <w:link w:val="FootnoteTextChar"/>
    <w:rsid w:val="00490FF7"/>
    <w:rPr>
      <w:rFonts w:eastAsia="SimSun"/>
      <w:sz w:val="16"/>
      <w:szCs w:val="20"/>
      <w:lang w:eastAsia="zh-CN"/>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link w:val="FootnoteText"/>
    <w:rsid w:val="00384CBA"/>
    <w:rPr>
      <w:rFonts w:ascii="Arial" w:eastAsia="SimSun" w:hAnsi="Arial"/>
      <w:sz w:val="16"/>
      <w:lang w:eastAsia="zh-CN"/>
    </w:rPr>
  </w:style>
  <w:style w:type="character" w:styleId="FootnoteReference">
    <w:name w:val="footnote reference"/>
    <w:aliases w:val="SUPERS,Footnote symbol,Footnote reference number,Times 10 Point,Exposant 3 Point,Ref,de nota al pie,note TESI,EN Footnote Reference,stylish,FOOTNOTE REF BIS"/>
    <w:basedOn w:val="DefaultParagraphFont"/>
    <w:uiPriority w:val="99"/>
    <w:rsid w:val="00B84190"/>
    <w:rPr>
      <w:sz w:val="22"/>
      <w:vertAlign w:val="superscript"/>
    </w:rPr>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link w:val="BalloonText"/>
    <w:uiPriority w:val="99"/>
    <w:semiHidden/>
    <w:rsid w:val="00384CBA"/>
    <w:rPr>
      <w:rFonts w:ascii="Tahoma" w:hAnsi="Tahoma" w:cs="Tahoma"/>
      <w:sz w:val="16"/>
      <w:szCs w:val="16"/>
      <w:lang w:eastAsia="en-US"/>
    </w:rPr>
  </w:style>
  <w:style w:type="paragraph" w:customStyle="1" w:styleId="EBNumber">
    <w:name w:val="EBNumber"/>
    <w:basedOn w:val="BodyText"/>
    <w:rsid w:val="002B7335"/>
    <w:pPr>
      <w:tabs>
        <w:tab w:val="num" w:pos="425"/>
      </w:tabs>
      <w:ind w:left="425" w:hanging="425"/>
    </w:pPr>
  </w:style>
  <w:style w:type="paragraph" w:customStyle="1" w:styleId="EBNumberRestart">
    <w:name w:val="EBNumberRestart"/>
    <w:basedOn w:val="BodyText"/>
    <w:next w:val="EBNumber"/>
    <w:rsid w:val="002B7335"/>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ind w:left="0" w:firstLine="113"/>
    </w:pPr>
  </w:style>
  <w:style w:type="character" w:styleId="Hyperlink">
    <w:name w:val="Hyperlink"/>
    <w:basedOn w:val="DefaultParagraphFont"/>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tabs>
        <w:tab w:val="num" w:pos="284"/>
      </w:tabs>
      <w:ind w:left="284" w:hanging="284"/>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basedOn w:val="IATableLabelChar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basedOn w:val="IATableLabelChar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basedOn w:val="IATableLabelChar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paragraph" w:customStyle="1" w:styleId="IAPOQ4">
    <w:name w:val="IAPOQ4"/>
    <w:basedOn w:val="IPPOQ3"/>
    <w:link w:val="IAPOQ4Char"/>
    <w:rsid w:val="00F1653E"/>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basedOn w:val="IATableLabelChar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character" w:customStyle="1" w:styleId="IAPODIBenChar">
    <w:name w:val="IAPODIBen Char"/>
    <w:basedOn w:val="IATableLabelCharChar"/>
    <w:link w:val="IAPODIBen"/>
    <w:rsid w:val="000E3FD7"/>
    <w:rPr>
      <w:rFonts w:ascii="Arial" w:eastAsia="SimSun" w:hAnsi="Arial"/>
      <w:b/>
      <w:color w:val="000000"/>
      <w:spacing w:val="-5"/>
      <w:sz w:val="22"/>
      <w:szCs w:val="22"/>
      <w:lang w:val="en-GB" w:eastAsia="zh-CN" w:bidi="ar-SA"/>
    </w:rPr>
  </w:style>
  <w:style w:type="paragraph" w:customStyle="1" w:styleId="IAPODINet">
    <w:name w:val="IAPODINet"/>
    <w:basedOn w:val="IATableLabel"/>
    <w:link w:val="IAPODINetChar"/>
    <w:rsid w:val="000E3FD7"/>
    <w:rPr>
      <w:b w:val="0"/>
      <w:sz w:val="22"/>
      <w:szCs w:val="22"/>
    </w:rPr>
  </w:style>
  <w:style w:type="character" w:customStyle="1" w:styleId="IAPODINetChar">
    <w:name w:val="IAPODINet Char"/>
    <w:basedOn w:val="IATableLabelCharChar"/>
    <w:link w:val="IAPODINet"/>
    <w:rsid w:val="000E3FD7"/>
    <w:rPr>
      <w:rFonts w:ascii="Arial" w:eastAsia="SimSun" w:hAnsi="Arial"/>
      <w:b/>
      <w:color w:val="000000"/>
      <w:spacing w:val="-5"/>
      <w:sz w:val="22"/>
      <w:szCs w:val="22"/>
      <w:lang w:val="en-GB" w:eastAsia="zh-CN" w:bidi="ar-SA"/>
    </w:rPr>
  </w:style>
  <w:style w:type="paragraph" w:customStyle="1" w:styleId="IAPODIOIOO">
    <w:name w:val="IAPODIOIOO"/>
    <w:basedOn w:val="IATableLabel"/>
    <w:rsid w:val="000E3FD7"/>
    <w:rPr>
      <w:b w:val="0"/>
      <w:sz w:val="22"/>
      <w:szCs w:val="22"/>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NoChar">
    <w:name w:val="IANo Char"/>
    <w:basedOn w:val="IAHeadTitle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character" w:customStyle="1" w:styleId="IADateChar">
    <w:name w:val="IADate Char"/>
    <w:basedOn w:val="IATableLabelCharChar"/>
    <w:link w:val="IADate"/>
    <w:rsid w:val="00174C10"/>
    <w:rPr>
      <w:rFonts w:ascii="Arial" w:eastAsia="SimSun" w:hAnsi="Arial"/>
      <w:b/>
      <w:color w:val="000000"/>
      <w:spacing w:val="-5"/>
      <w:sz w:val="22"/>
      <w:szCs w:val="22"/>
      <w:lang w:val="en-GB" w:eastAsia="zh-CN" w:bidi="ar-SA"/>
    </w:rPr>
  </w:style>
  <w:style w:type="paragraph" w:customStyle="1" w:styleId="IAStage">
    <w:name w:val="IAStage"/>
    <w:basedOn w:val="IATableLabel"/>
    <w:link w:val="IAStageChar"/>
    <w:rsid w:val="008031EC"/>
    <w:rPr>
      <w:b w:val="0"/>
      <w:sz w:val="22"/>
    </w:rPr>
  </w:style>
  <w:style w:type="character" w:customStyle="1" w:styleId="IAStageChar">
    <w:name w:val="IAStage Char"/>
    <w:basedOn w:val="IATableLabelCharChar"/>
    <w:link w:val="IAStage"/>
    <w:rsid w:val="00174C10"/>
    <w:rPr>
      <w:rFonts w:ascii="Arial" w:eastAsia="SimSun" w:hAnsi="Arial"/>
      <w:b/>
      <w:color w:val="000000"/>
      <w:spacing w:val="-5"/>
      <w:sz w:val="22"/>
      <w:lang w:val="en-GB" w:eastAsia="zh-CN" w:bidi="ar-SA"/>
    </w:rPr>
  </w:style>
  <w:style w:type="paragraph" w:customStyle="1" w:styleId="IASOI">
    <w:name w:val="IASOI"/>
    <w:basedOn w:val="IATableLabel"/>
    <w:link w:val="IASOIChar"/>
    <w:rsid w:val="008031EC"/>
    <w:rPr>
      <w:b w:val="0"/>
      <w:sz w:val="22"/>
    </w:rPr>
  </w:style>
  <w:style w:type="character" w:customStyle="1" w:styleId="IASOIChar">
    <w:name w:val="IASOI Char"/>
    <w:basedOn w:val="IATableLabelCharChar"/>
    <w:link w:val="IASOI"/>
    <w:rsid w:val="00174C10"/>
    <w:rPr>
      <w:rFonts w:ascii="Arial" w:eastAsia="SimSun" w:hAnsi="Arial"/>
      <w:b/>
      <w:color w:val="000000"/>
      <w:spacing w:val="-5"/>
      <w:sz w:val="22"/>
      <w:lang w:val="en-GB" w:eastAsia="zh-CN" w:bidi="ar-SA"/>
    </w:rPr>
  </w:style>
  <w:style w:type="paragraph" w:customStyle="1" w:styleId="IATOM">
    <w:name w:val="IATOM"/>
    <w:basedOn w:val="IATableLabel"/>
    <w:link w:val="IATOMChar"/>
    <w:rsid w:val="008031EC"/>
    <w:rPr>
      <w:b w:val="0"/>
      <w:sz w:val="22"/>
    </w:rPr>
  </w:style>
  <w:style w:type="character" w:customStyle="1" w:styleId="IATOMChar">
    <w:name w:val="IATOM Char"/>
    <w:basedOn w:val="IATableLabelCharChar"/>
    <w:link w:val="IATOM"/>
    <w:rsid w:val="00174C10"/>
    <w:rPr>
      <w:rFonts w:ascii="Arial" w:eastAsia="SimSun" w:hAnsi="Arial"/>
      <w:b/>
      <w:color w:val="000000"/>
      <w:spacing w:val="-5"/>
      <w:sz w:val="22"/>
      <w:lang w:val="en-GB" w:eastAsia="zh-CN" w:bidi="ar-SA"/>
    </w:rPr>
  </w:style>
  <w:style w:type="paragraph" w:customStyle="1" w:styleId="IACOE">
    <w:name w:val="IACOE"/>
    <w:basedOn w:val="Normal"/>
    <w:link w:val="IACOEChar"/>
    <w:autoRedefine/>
    <w:rsid w:val="00B225B0"/>
    <w:rPr>
      <w:rFonts w:eastAsia="SimSun"/>
      <w:spacing w:val="-5"/>
      <w:sz w:val="20"/>
      <w:lang w:eastAsia="zh-CN"/>
    </w:rPr>
  </w:style>
  <w:style w:type="character" w:customStyle="1" w:styleId="IACOEChar">
    <w:name w:val="IACOE Char"/>
    <w:basedOn w:val="IATableLinesChar"/>
    <w:link w:val="IACOE"/>
    <w:rsid w:val="00B225B0"/>
    <w:rPr>
      <w:rFonts w:ascii="Arial" w:eastAsia="SimSun" w:hAnsi="Arial"/>
      <w:b/>
      <w:color w:val="000000"/>
      <w:spacing w:val="-5"/>
      <w:sz w:val="22"/>
      <w:szCs w:val="24"/>
      <w:lang w:val="en-GB" w:eastAsia="zh-CN" w:bidi="ar-SA"/>
    </w:rPr>
  </w:style>
  <w:style w:type="paragraph" w:customStyle="1" w:styleId="IARPC">
    <w:name w:val="IARPC"/>
    <w:basedOn w:val="Title"/>
    <w:link w:val="IARPCChar"/>
    <w:rsid w:val="00174C10"/>
    <w:rPr>
      <w:rFonts w:eastAsia="SimSun"/>
      <w:color w:val="000000"/>
      <w:sz w:val="24"/>
      <w:szCs w:val="24"/>
    </w:rPr>
  </w:style>
  <w:style w:type="character" w:customStyle="1" w:styleId="IARPCChar">
    <w:name w:val="IARPC Char"/>
    <w:basedOn w:val="TitleChar"/>
    <w:link w:val="IARPC"/>
    <w:rsid w:val="00174C10"/>
    <w:rPr>
      <w:rFonts w:ascii="Arial" w:eastAsia="SimSun" w:hAnsi="Arial" w:cs="Arial"/>
      <w:bCs/>
      <w:color w:val="000000"/>
      <w:kern w:val="28"/>
      <w:sz w:val="24"/>
      <w:szCs w:val="24"/>
      <w:lang w:val="en-GB" w:eastAsia="en-US" w:bidi="ar-SA"/>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basedOn w:val="IATableLabelChar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character" w:customStyle="1" w:styleId="IAIOReviewMonthChar">
    <w:name w:val="IAIOReviewMonth Char"/>
    <w:basedOn w:val="IATableLabelCharChar"/>
    <w:link w:val="IAIOReviewMonth"/>
    <w:rsid w:val="00F91F5A"/>
    <w:rPr>
      <w:rFonts w:ascii="Arial" w:eastAsia="SimSun" w:hAnsi="Arial"/>
      <w:b/>
      <w:color w:val="000000"/>
      <w:spacing w:val="-5"/>
      <w:sz w:val="22"/>
      <w:szCs w:val="22"/>
      <w:lang w:val="en-GB" w:eastAsia="zh-CN" w:bidi="ar-SA"/>
    </w:rPr>
  </w:style>
  <w:style w:type="paragraph" w:customStyle="1" w:styleId="IAIOReviewYear">
    <w:name w:val="IAIOReviewYear"/>
    <w:basedOn w:val="IATableLabel"/>
    <w:link w:val="IAIOReviewYearChar"/>
    <w:rsid w:val="00F91F5A"/>
    <w:rPr>
      <w:b w:val="0"/>
      <w:sz w:val="22"/>
      <w:szCs w:val="22"/>
    </w:rPr>
  </w:style>
  <w:style w:type="character" w:customStyle="1" w:styleId="IAIOReviewYearChar">
    <w:name w:val="IAIOReviewYear Char"/>
    <w:basedOn w:val="IATableLabelCharChar"/>
    <w:link w:val="IAIOReviewYear"/>
    <w:rsid w:val="00F91F5A"/>
    <w:rPr>
      <w:rFonts w:ascii="Arial" w:eastAsia="SimSun" w:hAnsi="Arial"/>
      <w:b/>
      <w:color w:val="000000"/>
      <w:spacing w:val="-5"/>
      <w:sz w:val="22"/>
      <w:szCs w:val="22"/>
      <w:lang w:val="en-GB" w:eastAsia="zh-CN" w:bidi="ar-SA"/>
    </w:rPr>
  </w:style>
  <w:style w:type="paragraph" w:customStyle="1" w:styleId="IAIOCheckEU">
    <w:name w:val="IAIOCheckEU"/>
    <w:basedOn w:val="IATableText"/>
    <w:rsid w:val="00F91F5A"/>
    <w:pPr>
      <w:spacing w:before="0" w:after="0"/>
    </w:pPr>
    <w:rPr>
      <w:sz w:val="20"/>
    </w:rPr>
  </w:style>
  <w:style w:type="paragraph" w:customStyle="1" w:styleId="IAIOCheckMicro">
    <w:name w:val="IAIOCheckMicro"/>
    <w:basedOn w:val="IATableLines"/>
    <w:link w:val="IAIOCheckMicroChar"/>
    <w:rsid w:val="00F91F5A"/>
    <w:rPr>
      <w:sz w:val="20"/>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paragraph" w:customStyle="1" w:styleId="IAIOCheckMedium">
    <w:name w:val="IAIOCheckMedium"/>
    <w:basedOn w:val="IATableLines"/>
    <w:link w:val="IAIOCheckMediumChar"/>
    <w:rsid w:val="00F91F5A"/>
    <w:rPr>
      <w:sz w:val="20"/>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paragraph" w:customStyle="1" w:styleId="IAIOCheckLarge">
    <w:name w:val="IAIOCheckLarge"/>
    <w:basedOn w:val="IATableLines"/>
    <w:link w:val="IAIOCheckLargeChar"/>
    <w:rsid w:val="00F91F5A"/>
    <w:rPr>
      <w:sz w:val="20"/>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paragraph" w:customStyle="1" w:styleId="IAIOCO2Traded">
    <w:name w:val="IAIOCO2Traded"/>
    <w:basedOn w:val="IATableLabel"/>
    <w:link w:val="IAIOCO2TradedChar"/>
    <w:rsid w:val="00F91F5A"/>
    <w:rPr>
      <w:b w:val="0"/>
      <w:sz w:val="22"/>
    </w:rPr>
  </w:style>
  <w:style w:type="character" w:customStyle="1" w:styleId="IAIOCO2TradedChar">
    <w:name w:val="IAIOCO2Traded Char"/>
    <w:basedOn w:val="IATableLabelCharChar"/>
    <w:link w:val="IAIOCO2Traded"/>
    <w:rsid w:val="00D478C9"/>
    <w:rPr>
      <w:rFonts w:ascii="Arial" w:eastAsia="SimSun" w:hAnsi="Arial"/>
      <w:b/>
      <w:color w:val="000000"/>
      <w:spacing w:val="-5"/>
      <w:sz w:val="22"/>
      <w:lang w:val="en-GB" w:eastAsia="zh-CN" w:bidi="ar-SA"/>
    </w:rPr>
  </w:style>
  <w:style w:type="paragraph" w:customStyle="1" w:styleId="IAIOCO2NonTraded">
    <w:name w:val="IAIOCO2NonTraded"/>
    <w:basedOn w:val="IAIOCO2Traded"/>
    <w:link w:val="IAIOCO2NonTradedChar"/>
    <w:rsid w:val="008155E3"/>
    <w:rPr>
      <w:sz w:val="20"/>
    </w:rPr>
  </w:style>
  <w:style w:type="character" w:customStyle="1" w:styleId="IAIOCO2NonTradedChar">
    <w:name w:val="IAIOCO2NonTraded Char"/>
    <w:link w:val="IAIOCO2NonTraded"/>
    <w:rsid w:val="00384CBA"/>
    <w:rPr>
      <w:rFonts w:ascii="Arial" w:eastAsia="SimSun" w:hAnsi="Arial"/>
      <w:color w:val="000000"/>
      <w:spacing w:val="-5"/>
      <w:lang w:eastAsia="zh-CN"/>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styleId="CommentReference">
    <w:name w:val="annotation reference"/>
    <w:basedOn w:val="DefaultParagraphFont"/>
    <w:uiPriority w:val="99"/>
    <w:rsid w:val="00E31A39"/>
    <w:rPr>
      <w:sz w:val="16"/>
      <w:szCs w:val="16"/>
    </w:rPr>
  </w:style>
  <w:style w:type="character" w:customStyle="1" w:styleId="IALabel">
    <w:name w:val="IALabel"/>
    <w:basedOn w:val="DefaultParagraphFont"/>
    <w:rsid w:val="009F6692"/>
    <w:rPr>
      <w:color w:val="000000"/>
      <w:sz w:val="20"/>
    </w:rPr>
  </w:style>
  <w:style w:type="paragraph" w:styleId="CommentText">
    <w:name w:val="annotation text"/>
    <w:basedOn w:val="Normal"/>
    <w:link w:val="CommentTextChar"/>
    <w:uiPriority w:val="99"/>
    <w:rsid w:val="00E31A39"/>
    <w:rPr>
      <w:sz w:val="20"/>
      <w:szCs w:val="20"/>
    </w:rPr>
  </w:style>
  <w:style w:type="character" w:customStyle="1" w:styleId="CommentTextChar">
    <w:name w:val="Comment Text Char"/>
    <w:basedOn w:val="DefaultParagraphFont"/>
    <w:link w:val="CommentText"/>
    <w:uiPriority w:val="99"/>
    <w:rsid w:val="00E31A39"/>
    <w:rPr>
      <w:rFonts w:ascii="Arial" w:hAnsi="Arial"/>
      <w:lang w:eastAsia="en-US"/>
    </w:rPr>
  </w:style>
  <w:style w:type="paragraph" w:styleId="CommentSubject">
    <w:name w:val="annotation subject"/>
    <w:basedOn w:val="CommentText"/>
    <w:next w:val="CommentText"/>
    <w:link w:val="CommentSubjectChar"/>
    <w:uiPriority w:val="99"/>
    <w:rsid w:val="00E31A39"/>
    <w:rPr>
      <w:b/>
      <w:bCs/>
    </w:rPr>
  </w:style>
  <w:style w:type="character" w:customStyle="1" w:styleId="CommentSubjectChar">
    <w:name w:val="Comment Subject Char"/>
    <w:basedOn w:val="CommentTextChar"/>
    <w:link w:val="CommentSubject"/>
    <w:uiPriority w:val="99"/>
    <w:rsid w:val="00E31A39"/>
    <w:rPr>
      <w:rFonts w:ascii="Arial" w:hAnsi="Arial"/>
      <w:b/>
      <w:bCs/>
      <w:lang w:eastAsia="en-US"/>
    </w:rPr>
  </w:style>
  <w:style w:type="paragraph" w:styleId="NoSpacing">
    <w:name w:val="No Spacing"/>
    <w:uiPriority w:val="1"/>
    <w:qFormat/>
    <w:rsid w:val="00384CBA"/>
    <w:rPr>
      <w:rFonts w:ascii="Arial" w:eastAsia="Calibri" w:hAnsi="Arial" w:cs="Arial"/>
      <w:sz w:val="24"/>
      <w:szCs w:val="24"/>
      <w:lang w:eastAsia="en-US"/>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1,OBC Bullet"/>
    <w:basedOn w:val="Normal"/>
    <w:link w:val="ListParagraphChar"/>
    <w:uiPriority w:val="34"/>
    <w:qFormat/>
    <w:rsid w:val="00384CBA"/>
    <w:pPr>
      <w:spacing w:after="200" w:line="276" w:lineRule="auto"/>
      <w:ind w:left="720"/>
      <w:contextualSpacing/>
    </w:pPr>
    <w:rPr>
      <w:rFonts w:eastAsia="Calibri" w:cs="Arial"/>
    </w:rPr>
  </w:style>
  <w:style w:type="table" w:customStyle="1" w:styleId="TableGrid2">
    <w:name w:val="Table Grid2"/>
    <w:basedOn w:val="TableNormal"/>
    <w:next w:val="TableGrid"/>
    <w:uiPriority w:val="59"/>
    <w:rsid w:val="00384CB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4CB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BA"/>
    <w:pPr>
      <w:autoSpaceDE w:val="0"/>
      <w:autoSpaceDN w:val="0"/>
      <w:adjustRightInd w:val="0"/>
    </w:pPr>
    <w:rPr>
      <w:rFonts w:ascii="Arial" w:eastAsia="Calibri" w:hAnsi="Arial" w:cs="Arial"/>
      <w:color w:val="000000"/>
      <w:sz w:val="24"/>
      <w:szCs w:val="24"/>
      <w:lang w:eastAsia="en-US"/>
    </w:rPr>
  </w:style>
  <w:style w:type="character" w:customStyle="1" w:styleId="A4">
    <w:name w:val="A4"/>
    <w:uiPriority w:val="99"/>
    <w:rsid w:val="00384CBA"/>
    <w:rPr>
      <w:b/>
      <w:bCs/>
      <w:i/>
      <w:iCs/>
      <w:color w:val="000000"/>
      <w:sz w:val="56"/>
      <w:szCs w:val="56"/>
    </w:rPr>
  </w:style>
  <w:style w:type="character" w:customStyle="1" w:styleId="A5">
    <w:name w:val="A5"/>
    <w:uiPriority w:val="99"/>
    <w:rsid w:val="00384CBA"/>
    <w:rPr>
      <w:b/>
      <w:bCs/>
      <w:i/>
      <w:iCs/>
      <w:color w:val="000000"/>
      <w:sz w:val="36"/>
      <w:szCs w:val="36"/>
    </w:rPr>
  </w:style>
  <w:style w:type="character" w:customStyle="1" w:styleId="Heading4Char">
    <w:name w:val="Heading 4 Char"/>
    <w:aliases w:val="EBHeading3 Char"/>
    <w:basedOn w:val="DefaultParagraphFont"/>
    <w:link w:val="Heading4"/>
    <w:rsid w:val="00DC6BE2"/>
    <w:rPr>
      <w:rFonts w:ascii="Arial" w:hAnsi="Arial" w:cs="Arial"/>
      <w:b/>
      <w:bCs/>
      <w:color w:val="000000"/>
      <w:sz w:val="22"/>
      <w:szCs w:val="22"/>
    </w:rPr>
  </w:style>
  <w:style w:type="table" w:customStyle="1" w:styleId="TableGrid1">
    <w:name w:val="Table Grid1"/>
    <w:basedOn w:val="TableNormal"/>
    <w:next w:val="TableGrid"/>
    <w:uiPriority w:val="59"/>
    <w:rsid w:val="00EC149C"/>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39B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70CE4"/>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1795"/>
    <w:rPr>
      <w:i/>
      <w:iCs/>
    </w:rPr>
  </w:style>
  <w:style w:type="character" w:customStyle="1" w:styleId="personname2">
    <w:name w:val="person_name2"/>
    <w:basedOn w:val="DefaultParagraphFont"/>
    <w:rsid w:val="00381795"/>
  </w:style>
  <w:style w:type="paragraph" w:customStyle="1" w:styleId="Heading1Numbered">
    <w:name w:val="Heading 1 Numbered"/>
    <w:basedOn w:val="Heading1"/>
    <w:next w:val="Normal"/>
    <w:rsid w:val="00F012D3"/>
    <w:pPr>
      <w:pageBreakBefore/>
      <w:pBdr>
        <w:bottom w:val="single" w:sz="4" w:space="6" w:color="auto"/>
      </w:pBdr>
      <w:tabs>
        <w:tab w:val="clear" w:pos="10206"/>
      </w:tabs>
      <w:spacing w:before="1200" w:after="480"/>
      <w:ind w:left="2269"/>
    </w:pPr>
    <w:rPr>
      <w:rFonts w:ascii="Arial" w:hAnsi="Arial" w:cs="Times New Roman"/>
      <w:b w:val="0"/>
      <w:bCs w:val="0"/>
      <w:spacing w:val="0"/>
      <w:kern w:val="0"/>
      <w:sz w:val="56"/>
      <w:szCs w:val="24"/>
      <w:lang w:eastAsia="en-GB"/>
    </w:rPr>
  </w:style>
  <w:style w:type="paragraph" w:customStyle="1" w:styleId="Heading2Numbered">
    <w:name w:val="Heading 2 Numbered"/>
    <w:basedOn w:val="Heading2"/>
    <w:next w:val="Normal"/>
    <w:rsid w:val="00F012D3"/>
    <w:pPr>
      <w:keepLines w:val="0"/>
      <w:tabs>
        <w:tab w:val="num" w:pos="851"/>
      </w:tabs>
      <w:spacing w:before="420" w:after="120"/>
      <w:ind w:left="2779" w:hanging="851"/>
    </w:pPr>
    <w:rPr>
      <w:b/>
      <w:iCs/>
      <w:color w:val="auto"/>
      <w:sz w:val="28"/>
      <w:szCs w:val="28"/>
    </w:rPr>
  </w:style>
  <w:style w:type="paragraph" w:customStyle="1" w:styleId="Heading3Numbered">
    <w:name w:val="Heading 3 Numbered"/>
    <w:basedOn w:val="Heading3"/>
    <w:next w:val="Normal"/>
    <w:rsid w:val="00F012D3"/>
    <w:pPr>
      <w:keepLines w:val="0"/>
      <w:tabs>
        <w:tab w:val="left" w:pos="851"/>
      </w:tabs>
      <w:spacing w:before="420" w:after="120"/>
      <w:ind w:left="2779" w:hanging="851"/>
    </w:pPr>
    <w:rPr>
      <w:bCs w:val="0"/>
      <w:iCs/>
      <w:color w:val="auto"/>
      <w:sz w:val="22"/>
      <w:szCs w:val="26"/>
    </w:rPr>
  </w:style>
  <w:style w:type="paragraph" w:customStyle="1" w:styleId="Heading4Numbered">
    <w:name w:val="Heading 4 Numbered"/>
    <w:basedOn w:val="Heading4"/>
    <w:next w:val="Normal"/>
    <w:rsid w:val="00F012D3"/>
    <w:pPr>
      <w:keepNext/>
      <w:tabs>
        <w:tab w:val="left" w:pos="851"/>
      </w:tabs>
      <w:spacing w:before="420"/>
      <w:ind w:left="2779" w:hanging="851"/>
    </w:pPr>
    <w:rPr>
      <w:iCs/>
      <w:color w:val="auto"/>
      <w:szCs w:val="28"/>
    </w:rPr>
  </w:style>
  <w:style w:type="paragraph" w:customStyle="1" w:styleId="Heading5Numbered">
    <w:name w:val="Heading 5 Numbered"/>
    <w:basedOn w:val="Heading5"/>
    <w:next w:val="Normal"/>
    <w:rsid w:val="00F012D3"/>
    <w:pPr>
      <w:keepNext/>
      <w:tabs>
        <w:tab w:val="left" w:pos="1134"/>
      </w:tabs>
      <w:spacing w:before="420"/>
      <w:ind w:left="3062" w:hanging="1134"/>
    </w:pPr>
    <w:rPr>
      <w:rFonts w:cs="Arial"/>
      <w:b/>
      <w:bCs w:val="0"/>
      <w:i w:val="0"/>
      <w:iCs w:val="0"/>
      <w:lang w:eastAsia="en-GB"/>
    </w:rPr>
  </w:style>
  <w:style w:type="paragraph" w:customStyle="1" w:styleId="Heading6Numbered">
    <w:name w:val="Heading 6 Numbered"/>
    <w:basedOn w:val="Heading6"/>
    <w:next w:val="Normal"/>
    <w:rsid w:val="00F012D3"/>
    <w:pPr>
      <w:keepLines w:val="0"/>
      <w:tabs>
        <w:tab w:val="left" w:pos="1134"/>
        <w:tab w:val="num" w:pos="4320"/>
      </w:tabs>
      <w:spacing w:before="420" w:after="120"/>
      <w:ind w:left="3062" w:hanging="1134"/>
    </w:pPr>
    <w:rPr>
      <w:rFonts w:ascii="Arial" w:eastAsia="Times New Roman" w:hAnsi="Arial" w:cs="Arial"/>
      <w:b/>
      <w:bCs/>
      <w:i w:val="0"/>
      <w:iCs w:val="0"/>
      <w:color w:val="auto"/>
      <w:sz w:val="22"/>
      <w:szCs w:val="22"/>
      <w:lang w:eastAsia="en-GB"/>
    </w:rPr>
  </w:style>
  <w:style w:type="paragraph" w:customStyle="1" w:styleId="Heading7Numbered">
    <w:name w:val="Heading 7 Numbered"/>
    <w:basedOn w:val="Heading7"/>
    <w:next w:val="Normal"/>
    <w:rsid w:val="00F012D3"/>
    <w:pPr>
      <w:keepLines w:val="0"/>
      <w:tabs>
        <w:tab w:val="left" w:pos="1418"/>
        <w:tab w:val="num" w:pos="5040"/>
      </w:tabs>
      <w:spacing w:before="420" w:after="120"/>
      <w:ind w:left="3346" w:hanging="1418"/>
    </w:pPr>
    <w:rPr>
      <w:rFonts w:ascii="Arial" w:eastAsia="Times New Roman" w:hAnsi="Arial" w:cs="Arial"/>
      <w:b/>
      <w:bCs/>
      <w:i w:val="0"/>
      <w:iCs w:val="0"/>
      <w:color w:val="auto"/>
      <w:sz w:val="22"/>
      <w:szCs w:val="22"/>
      <w:lang w:eastAsia="en-GB"/>
    </w:rPr>
  </w:style>
  <w:style w:type="paragraph" w:customStyle="1" w:styleId="Heading8Numbered">
    <w:name w:val="Heading 8 Numbered"/>
    <w:basedOn w:val="Heading8"/>
    <w:next w:val="Normal"/>
    <w:rsid w:val="00F012D3"/>
    <w:pPr>
      <w:keepLines w:val="0"/>
      <w:tabs>
        <w:tab w:val="left" w:pos="1701"/>
        <w:tab w:val="num" w:pos="5760"/>
      </w:tabs>
      <w:spacing w:before="420" w:after="120"/>
      <w:ind w:left="3629" w:hanging="1701"/>
    </w:pPr>
    <w:rPr>
      <w:rFonts w:ascii="Arial" w:eastAsia="Times New Roman" w:hAnsi="Arial" w:cs="Arial"/>
      <w:b/>
      <w:bCs/>
      <w:iCs/>
      <w:color w:val="auto"/>
      <w:sz w:val="22"/>
      <w:szCs w:val="22"/>
      <w:lang w:eastAsia="en-GB"/>
    </w:rPr>
  </w:style>
  <w:style w:type="paragraph" w:customStyle="1" w:styleId="Heading9Numbered">
    <w:name w:val="Heading 9 Numbered"/>
    <w:basedOn w:val="Heading9"/>
    <w:next w:val="Normal"/>
    <w:rsid w:val="00F012D3"/>
    <w:pPr>
      <w:keepLines w:val="0"/>
      <w:tabs>
        <w:tab w:val="left" w:pos="1985"/>
        <w:tab w:val="num" w:pos="6480"/>
      </w:tabs>
      <w:spacing w:before="420" w:after="120"/>
      <w:ind w:left="3913" w:hanging="1985"/>
    </w:pPr>
    <w:rPr>
      <w:rFonts w:ascii="Arial" w:eastAsia="Times New Roman" w:hAnsi="Arial" w:cs="Arial"/>
      <w:b/>
      <w:bCs/>
      <w:i w:val="0"/>
      <w:color w:val="auto"/>
      <w:sz w:val="22"/>
      <w:szCs w:val="22"/>
      <w:lang w:eastAsia="en-GB"/>
    </w:rPr>
  </w:style>
  <w:style w:type="paragraph" w:styleId="ListBullet">
    <w:name w:val="List Bullet"/>
    <w:basedOn w:val="Normal"/>
    <w:rsid w:val="00F012D3"/>
    <w:pPr>
      <w:numPr>
        <w:numId w:val="3"/>
      </w:numPr>
      <w:tabs>
        <w:tab w:val="left" w:pos="1134"/>
      </w:tabs>
      <w:spacing w:before="120" w:after="120"/>
    </w:pPr>
    <w:rPr>
      <w:lang w:eastAsia="en-GB"/>
    </w:rPr>
  </w:style>
  <w:style w:type="paragraph" w:customStyle="1" w:styleId="StyleLeft0cm">
    <w:name w:val="Style Left:  0 cm"/>
    <w:basedOn w:val="Normal"/>
    <w:qFormat/>
    <w:rsid w:val="00F012D3"/>
    <w:pPr>
      <w:spacing w:before="120"/>
    </w:pPr>
    <w:rPr>
      <w:szCs w:val="20"/>
      <w:lang w:eastAsia="en-GB"/>
    </w:rPr>
  </w:style>
  <w:style w:type="character" w:customStyle="1" w:styleId="Heading6Char">
    <w:name w:val="Heading 6 Char"/>
    <w:basedOn w:val="DefaultParagraphFont"/>
    <w:link w:val="Heading6"/>
    <w:semiHidden/>
    <w:rsid w:val="00F012D3"/>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F012D3"/>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F012D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F012D3"/>
    <w:rPr>
      <w:rFonts w:asciiTheme="majorHAnsi" w:eastAsiaTheme="majorEastAsia" w:hAnsiTheme="majorHAnsi" w:cstheme="majorBidi"/>
      <w:i/>
      <w:iCs/>
      <w:color w:val="404040" w:themeColor="text1" w:themeTint="BF"/>
      <w:lang w:eastAsia="en-US"/>
    </w:rPr>
  </w:style>
  <w:style w:type="paragraph" w:customStyle="1" w:styleId="Heading1Appendix">
    <w:name w:val="Heading 1 Appendix"/>
    <w:basedOn w:val="Heading1Numbered"/>
    <w:next w:val="Normal"/>
    <w:rsid w:val="007224BF"/>
    <w:pPr>
      <w:numPr>
        <w:numId w:val="14"/>
      </w:numPr>
    </w:pPr>
  </w:style>
  <w:style w:type="paragraph" w:customStyle="1" w:styleId="Heading2Appendix">
    <w:name w:val="Heading 2 Appendix"/>
    <w:basedOn w:val="Heading2Numbered"/>
    <w:next w:val="Normal"/>
    <w:rsid w:val="007224BF"/>
    <w:pPr>
      <w:numPr>
        <w:ilvl w:val="1"/>
        <w:numId w:val="14"/>
      </w:numPr>
      <w:ind w:left="2779"/>
    </w:pPr>
  </w:style>
  <w:style w:type="paragraph" w:customStyle="1" w:styleId="Heading3Appendix">
    <w:name w:val="Heading 3 Appendix"/>
    <w:basedOn w:val="Heading3Numbered"/>
    <w:next w:val="Normal"/>
    <w:rsid w:val="007224BF"/>
    <w:pPr>
      <w:numPr>
        <w:ilvl w:val="2"/>
        <w:numId w:val="14"/>
      </w:numPr>
      <w:tabs>
        <w:tab w:val="clear" w:pos="1080"/>
      </w:tabs>
      <w:ind w:left="2779"/>
    </w:pPr>
  </w:style>
  <w:style w:type="paragraph" w:customStyle="1" w:styleId="Heading4Appendix">
    <w:name w:val="Heading 4 Appendix"/>
    <w:basedOn w:val="Heading4Numbered"/>
    <w:next w:val="Normal"/>
    <w:rsid w:val="007224BF"/>
    <w:pPr>
      <w:numPr>
        <w:ilvl w:val="3"/>
        <w:numId w:val="14"/>
      </w:numPr>
      <w:tabs>
        <w:tab w:val="clear" w:pos="2291"/>
      </w:tabs>
      <w:ind w:left="2779" w:hanging="851"/>
    </w:pPr>
  </w:style>
  <w:style w:type="paragraph" w:customStyle="1" w:styleId="Heading5Appendix">
    <w:name w:val="Heading 5 Appendix"/>
    <w:basedOn w:val="Heading5Numbered"/>
    <w:next w:val="Normal"/>
    <w:rsid w:val="007224BF"/>
    <w:pPr>
      <w:numPr>
        <w:ilvl w:val="4"/>
        <w:numId w:val="14"/>
      </w:numPr>
      <w:tabs>
        <w:tab w:val="clear" w:pos="2651"/>
      </w:tabs>
      <w:ind w:left="3062" w:hanging="1134"/>
    </w:pPr>
  </w:style>
  <w:style w:type="paragraph" w:customStyle="1" w:styleId="Heading6Appendix">
    <w:name w:val="Heading 6 Appendix"/>
    <w:basedOn w:val="Heading6Numbered"/>
    <w:next w:val="Normal"/>
    <w:rsid w:val="007224BF"/>
    <w:pPr>
      <w:numPr>
        <w:ilvl w:val="5"/>
        <w:numId w:val="14"/>
      </w:numPr>
      <w:tabs>
        <w:tab w:val="clear" w:pos="3011"/>
      </w:tabs>
      <w:ind w:left="3062" w:hanging="1134"/>
    </w:pPr>
  </w:style>
  <w:style w:type="paragraph" w:customStyle="1" w:styleId="Heading7Appendix">
    <w:name w:val="Heading 7 Appendix"/>
    <w:basedOn w:val="Heading7Numbered"/>
    <w:next w:val="Normal"/>
    <w:rsid w:val="007224BF"/>
    <w:pPr>
      <w:numPr>
        <w:ilvl w:val="6"/>
        <w:numId w:val="14"/>
      </w:numPr>
      <w:tabs>
        <w:tab w:val="clear" w:pos="3371"/>
      </w:tabs>
      <w:ind w:left="3346" w:hanging="1418"/>
    </w:pPr>
  </w:style>
  <w:style w:type="paragraph" w:customStyle="1" w:styleId="Heading8Appendix">
    <w:name w:val="Heading 8 Appendix"/>
    <w:basedOn w:val="Heading8Numbered"/>
    <w:next w:val="Normal"/>
    <w:rsid w:val="007224BF"/>
    <w:pPr>
      <w:numPr>
        <w:ilvl w:val="7"/>
        <w:numId w:val="14"/>
      </w:numPr>
      <w:tabs>
        <w:tab w:val="clear" w:pos="3731"/>
      </w:tabs>
      <w:ind w:left="3629" w:hanging="1701"/>
    </w:pPr>
  </w:style>
  <w:style w:type="paragraph" w:customStyle="1" w:styleId="Heading9Appendix">
    <w:name w:val="Heading 9 Appendix"/>
    <w:basedOn w:val="Heading9Numbered"/>
    <w:next w:val="Normal"/>
    <w:rsid w:val="007224BF"/>
    <w:pPr>
      <w:numPr>
        <w:ilvl w:val="8"/>
        <w:numId w:val="14"/>
      </w:numPr>
      <w:tabs>
        <w:tab w:val="clear" w:pos="4091"/>
      </w:tabs>
      <w:ind w:left="3913" w:hanging="1985"/>
    </w:p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F22FD2"/>
    <w:rPr>
      <w:rFonts w:ascii="Arial" w:eastAsia="Calibri" w:hAnsi="Arial" w:cs="Arial"/>
      <w:sz w:val="24"/>
      <w:szCs w:val="24"/>
      <w:lang w:eastAsia="en-US"/>
    </w:rPr>
  </w:style>
  <w:style w:type="paragraph" w:styleId="PlainText">
    <w:name w:val="Plain Text"/>
    <w:basedOn w:val="Normal"/>
    <w:link w:val="PlainTextChar"/>
    <w:uiPriority w:val="99"/>
    <w:unhideWhenUsed/>
    <w:rsid w:val="0096712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6712E"/>
    <w:rPr>
      <w:rFonts w:ascii="Calibri" w:eastAsiaTheme="minorHAnsi" w:hAnsi="Calibri" w:cs="Consolas"/>
      <w:sz w:val="22"/>
      <w:szCs w:val="21"/>
      <w:lang w:eastAsia="en-US"/>
    </w:rPr>
  </w:style>
  <w:style w:type="paragraph" w:styleId="Revision">
    <w:name w:val="Revision"/>
    <w:hidden/>
    <w:uiPriority w:val="99"/>
    <w:semiHidden/>
    <w:rsid w:val="009D303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324697623">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79740505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wilkinson\Downloads\impact-assess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7C04-2539-4136-9A63-86D48C30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impact-assessment-template</Template>
  <TotalTime>0</TotalTime>
  <Pages>22</Pages>
  <Words>11039</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73820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MARTIN, Alex</dc:creator>
  <cp:keywords/>
  <dc:description/>
  <cp:lastModifiedBy>Ellen Mackrill</cp:lastModifiedBy>
  <cp:revision>2</cp:revision>
  <cp:lastPrinted>2015-01-22T12:27:00Z</cp:lastPrinted>
  <dcterms:created xsi:type="dcterms:W3CDTF">2015-03-26T14:38:00Z</dcterms:created>
  <dcterms:modified xsi:type="dcterms:W3CDTF">2015-03-26T14:38:00Z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