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675A2" w14:textId="77777777" w:rsidR="00435158" w:rsidRDefault="00435158" w:rsidP="00435158">
      <w:pPr>
        <w:pStyle w:val="CoverSubTitle"/>
      </w:pPr>
    </w:p>
    <w:p w14:paraId="52D675A3" w14:textId="77777777" w:rsidR="00435158" w:rsidRDefault="00BD592B" w:rsidP="00435158">
      <w:pPr>
        <w:pStyle w:val="CoverSubTitle"/>
      </w:pPr>
      <w:r w:rsidRPr="00BD592B">
        <w:rPr>
          <w:rFonts w:cs="Arial"/>
          <w:noProof/>
          <w:sz w:val="24"/>
          <w:lang w:val="en-US" w:eastAsia="en-US"/>
        </w:rPr>
        <w:drawing>
          <wp:anchor distT="0" distB="0" distL="114300" distR="114300" simplePos="0" relativeHeight="251663872" behindDoc="0" locked="0" layoutInCell="0" allowOverlap="1" wp14:anchorId="52D6777A" wp14:editId="52D6777B">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675A4" w14:textId="77777777" w:rsidR="00435158" w:rsidRDefault="00435158" w:rsidP="00435158">
      <w:pPr>
        <w:pStyle w:val="BodyText"/>
      </w:pPr>
    </w:p>
    <w:p w14:paraId="52D675A5" w14:textId="77777777" w:rsidR="00435158" w:rsidRDefault="00435158" w:rsidP="00435158">
      <w:pPr>
        <w:pStyle w:val="BodyText"/>
      </w:pPr>
    </w:p>
    <w:p w14:paraId="52D675A6" w14:textId="77777777" w:rsidR="00435158" w:rsidRDefault="00435158" w:rsidP="00435158">
      <w:pPr>
        <w:pStyle w:val="BodyText"/>
      </w:pPr>
    </w:p>
    <w:p w14:paraId="52D675A7" w14:textId="77777777" w:rsidR="005D3906" w:rsidRDefault="005D3906" w:rsidP="00435158">
      <w:pPr>
        <w:pStyle w:val="BodyText"/>
      </w:pPr>
    </w:p>
    <w:p w14:paraId="52D675A8" w14:textId="77777777" w:rsidR="001369EA" w:rsidRDefault="001369EA" w:rsidP="00435158">
      <w:pPr>
        <w:pStyle w:val="BodyText"/>
      </w:pPr>
    </w:p>
    <w:p w14:paraId="52D675A9" w14:textId="77777777" w:rsidR="005D3906" w:rsidRDefault="005D3906" w:rsidP="005D3906"/>
    <w:p w14:paraId="52D675AA" w14:textId="77777777" w:rsidR="005D3906" w:rsidRDefault="005D3906" w:rsidP="005D3906"/>
    <w:p w14:paraId="52D675AB" w14:textId="77777777" w:rsidR="00435158" w:rsidRDefault="00435158" w:rsidP="005D3906">
      <w:bookmarkStart w:id="0" w:name="_GoBack"/>
      <w:bookmarkEnd w:id="0"/>
    </w:p>
    <w:p w14:paraId="52D675AC" w14:textId="77777777" w:rsidR="005D3906" w:rsidRDefault="005D3906" w:rsidP="005D3906"/>
    <w:p w14:paraId="52D675AD" w14:textId="77777777" w:rsidR="005D3906" w:rsidRDefault="00746AE3" w:rsidP="005D3906">
      <w:r>
        <w:rPr>
          <w:noProof/>
          <w:lang w:val="en-US" w:eastAsia="en-US"/>
        </w:rPr>
        <mc:AlternateContent>
          <mc:Choice Requires="wps">
            <w:drawing>
              <wp:anchor distT="0" distB="0" distL="114300" distR="114300" simplePos="0" relativeHeight="251656704" behindDoc="0" locked="0" layoutInCell="1" allowOverlap="1" wp14:anchorId="52D6777C" wp14:editId="52D6777D">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52D677AC" w14:textId="77777777" w:rsidR="00BA5412" w:rsidRDefault="00BA5412" w:rsidP="00EF55CC"/>
                          <w:p w14:paraId="52D677AD" w14:textId="77777777" w:rsidR="00BA5412" w:rsidRDefault="00BA5412" w:rsidP="00DA248B">
                            <w:pPr>
                              <w:pStyle w:val="CoverDocumentTitle"/>
                              <w:ind w:left="454"/>
                            </w:pPr>
                            <w:r>
                              <w:t xml:space="preserve">Renewal of analogue commercial radio licences   </w:t>
                            </w:r>
                          </w:p>
                          <w:p w14:paraId="52D677AE" w14:textId="77777777" w:rsidR="00BA5412" w:rsidRDefault="00BA5412" w:rsidP="00DA248B">
                            <w:pPr>
                              <w:pStyle w:val="CoverSubTitle"/>
                              <w:ind w:left="454"/>
                            </w:pPr>
                            <w:r>
                              <w:t xml:space="preserve">Consultation   </w:t>
                            </w:r>
                          </w:p>
                          <w:p w14:paraId="52D677AF" w14:textId="5EBA2461" w:rsidR="00BA5412" w:rsidRDefault="00F4553F" w:rsidP="00DA248B">
                            <w:pPr>
                              <w:pStyle w:val="CoverDate"/>
                              <w:ind w:left="454"/>
                            </w:pPr>
                            <w:r>
                              <w:t>3</w:t>
                            </w:r>
                            <w:r w:rsidR="009075B2">
                              <w:t xml:space="preserve"> November</w:t>
                            </w:r>
                            <w:r w:rsidR="00BA5412">
                              <w:t xml:space="preserve"> 2014   </w:t>
                            </w:r>
                          </w:p>
                          <w:p w14:paraId="52D677B0" w14:textId="77777777" w:rsidR="00BA5412" w:rsidRDefault="00BA5412"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14:paraId="52D677AC" w14:textId="77777777" w:rsidR="00BA5412" w:rsidRDefault="00BA5412" w:rsidP="00EF55CC"/>
                    <w:p w14:paraId="52D677AD" w14:textId="77777777" w:rsidR="00BA5412" w:rsidRDefault="00BA5412" w:rsidP="00DA248B">
                      <w:pPr>
                        <w:pStyle w:val="CoverDocumentTitle"/>
                        <w:ind w:left="454"/>
                      </w:pPr>
                      <w:r>
                        <w:t xml:space="preserve">Renewal of analogue commercial radio licences   </w:t>
                      </w:r>
                    </w:p>
                    <w:p w14:paraId="52D677AE" w14:textId="77777777" w:rsidR="00BA5412" w:rsidRDefault="00BA5412" w:rsidP="00DA248B">
                      <w:pPr>
                        <w:pStyle w:val="CoverSubTitle"/>
                        <w:ind w:left="454"/>
                      </w:pPr>
                      <w:r>
                        <w:t xml:space="preserve">Consultation   </w:t>
                      </w:r>
                    </w:p>
                    <w:p w14:paraId="52D677AF" w14:textId="5EBA2461" w:rsidR="00BA5412" w:rsidRDefault="00F4553F" w:rsidP="00DA248B">
                      <w:pPr>
                        <w:pStyle w:val="CoverDate"/>
                        <w:ind w:left="454"/>
                      </w:pPr>
                      <w:r>
                        <w:t>3</w:t>
                      </w:r>
                      <w:r w:rsidR="009075B2">
                        <w:t xml:space="preserve"> November</w:t>
                      </w:r>
                      <w:r w:rsidR="00BA5412">
                        <w:t xml:space="preserve"> 2014   </w:t>
                      </w:r>
                    </w:p>
                    <w:p w14:paraId="52D677B0" w14:textId="77777777" w:rsidR="00BA5412" w:rsidRDefault="00BA5412" w:rsidP="00C95C8D">
                      <w:pPr>
                        <w:pStyle w:val="CoverDate"/>
                      </w:pPr>
                    </w:p>
                  </w:txbxContent>
                </v:textbox>
              </v:shape>
            </w:pict>
          </mc:Fallback>
        </mc:AlternateContent>
      </w:r>
    </w:p>
    <w:p w14:paraId="52D675AE" w14:textId="77777777" w:rsidR="005D3906" w:rsidRDefault="005D3906" w:rsidP="005D3906"/>
    <w:p w14:paraId="52D675AF" w14:textId="77777777" w:rsidR="00FD27B8" w:rsidRDefault="00FD27B8" w:rsidP="005D3906"/>
    <w:p w14:paraId="52D675B0" w14:textId="77777777" w:rsidR="005D3906" w:rsidRDefault="005D3906" w:rsidP="005D3906"/>
    <w:p w14:paraId="52D675B1" w14:textId="77777777" w:rsidR="005D3906" w:rsidRDefault="005D3906" w:rsidP="005D3906"/>
    <w:p w14:paraId="52D675B2" w14:textId="77777777" w:rsidR="005D3906" w:rsidRDefault="005D3906" w:rsidP="005D3906"/>
    <w:p w14:paraId="52D675B3" w14:textId="77777777" w:rsidR="005D3906" w:rsidRDefault="005D3906" w:rsidP="005D3906"/>
    <w:p w14:paraId="52D675B4" w14:textId="77777777" w:rsidR="005D3906" w:rsidRDefault="005D3906" w:rsidP="005D3906"/>
    <w:p w14:paraId="52D675B5" w14:textId="77777777" w:rsidR="005D3906" w:rsidRDefault="005D3906" w:rsidP="005D3906"/>
    <w:p w14:paraId="52D675B6" w14:textId="77777777" w:rsidR="005D3906" w:rsidRDefault="005D3906" w:rsidP="005D3906"/>
    <w:p w14:paraId="52D675B7" w14:textId="77777777" w:rsidR="005D3906" w:rsidRDefault="005D3906" w:rsidP="005D3906"/>
    <w:p w14:paraId="52D675B8" w14:textId="77777777" w:rsidR="005D3906" w:rsidRDefault="005D3906" w:rsidP="005D3906"/>
    <w:p w14:paraId="52D675B9" w14:textId="77777777" w:rsidR="005D3906" w:rsidRDefault="005D3906" w:rsidP="005D3906"/>
    <w:p w14:paraId="52D675BA" w14:textId="77777777" w:rsidR="005D3906" w:rsidRDefault="005D3906" w:rsidP="005D3906"/>
    <w:p w14:paraId="52D675BB" w14:textId="77777777" w:rsidR="00841BC2" w:rsidRDefault="00841BC2" w:rsidP="005D3906"/>
    <w:p w14:paraId="52D675BC" w14:textId="77777777" w:rsidR="00841BC2" w:rsidRDefault="00841BC2" w:rsidP="005D3906"/>
    <w:p w14:paraId="52D675BD" w14:textId="77777777" w:rsidR="00841BC2" w:rsidRDefault="00841BC2" w:rsidP="005D3906"/>
    <w:p w14:paraId="52D675BE" w14:textId="77777777" w:rsidR="00841BC2" w:rsidRDefault="00841BC2" w:rsidP="005D3906"/>
    <w:p w14:paraId="52D675BF" w14:textId="77777777" w:rsidR="00841BC2" w:rsidRDefault="00841BC2" w:rsidP="005D3906"/>
    <w:p w14:paraId="52D675C0" w14:textId="77777777" w:rsidR="00841BC2" w:rsidRDefault="00841BC2" w:rsidP="005D3906"/>
    <w:p w14:paraId="52D675C1" w14:textId="77777777" w:rsidR="00841BC2" w:rsidRDefault="00841BC2" w:rsidP="005D3906">
      <w:pPr>
        <w:sectPr w:rsidR="00841BC2" w:rsidSect="00CC02EF">
          <w:headerReference w:type="even" r:id="rId10"/>
          <w:type w:val="oddPage"/>
          <w:pgSz w:w="11906" w:h="16838" w:code="9"/>
          <w:pgMar w:top="794" w:right="1021" w:bottom="1134" w:left="1021" w:header="709" w:footer="709" w:gutter="0"/>
          <w:cols w:space="708"/>
          <w:docGrid w:linePitch="360"/>
        </w:sectPr>
      </w:pPr>
    </w:p>
    <w:p w14:paraId="52D675C2" w14:textId="77777777" w:rsidR="00841BC2" w:rsidRPr="00D04FA6" w:rsidRDefault="00841BC2" w:rsidP="009B069B"/>
    <w:p w14:paraId="52D675C3" w14:textId="77777777" w:rsidR="00841BC2" w:rsidRPr="00D04FA6" w:rsidRDefault="00841BC2" w:rsidP="009B069B"/>
    <w:p w14:paraId="52D675C4" w14:textId="77777777" w:rsidR="009B069B" w:rsidRPr="00D04FA6" w:rsidRDefault="009B069B" w:rsidP="009B069B"/>
    <w:p w14:paraId="52D675C5" w14:textId="77777777" w:rsidR="00401C56" w:rsidRPr="00D04FA6" w:rsidRDefault="00401C56" w:rsidP="00401C56"/>
    <w:p w14:paraId="52D675C6" w14:textId="77777777" w:rsidR="005E332B" w:rsidRPr="00D04FA6" w:rsidRDefault="005E332B" w:rsidP="005D3906">
      <w:pPr>
        <w:sectPr w:rsidR="005E332B" w:rsidRPr="00D04FA6" w:rsidSect="005A5D21">
          <w:headerReference w:type="even" r:id="rId11"/>
          <w:pgSz w:w="11906" w:h="16838" w:code="9"/>
          <w:pgMar w:top="1418" w:right="1021" w:bottom="1134" w:left="1021" w:header="540" w:footer="709" w:gutter="0"/>
          <w:cols w:space="708"/>
          <w:docGrid w:linePitch="360"/>
        </w:sectPr>
      </w:pPr>
    </w:p>
    <w:p w14:paraId="52D675C7" w14:textId="77777777" w:rsidR="00FD27B8" w:rsidRDefault="00FD27B8" w:rsidP="00FB74E7">
      <w:pPr>
        <w:pStyle w:val="StyleTOCHeadingBottomSinglesolidlineAuto05ptLine"/>
      </w:pPr>
      <w:r>
        <w:lastRenderedPageBreak/>
        <w:t>Contents</w:t>
      </w:r>
    </w:p>
    <w:p w14:paraId="52D675C8" w14:textId="77777777" w:rsidR="005B7677" w:rsidRDefault="002F69CC">
      <w:pPr>
        <w:pStyle w:val="TOC1"/>
        <w:tabs>
          <w:tab w:val="right" w:leader="dot" w:pos="9854"/>
        </w:tabs>
        <w:rPr>
          <w:rFonts w:asciiTheme="minorHAnsi" w:eastAsiaTheme="minorEastAsia" w:hAnsiTheme="minorHAnsi" w:cstheme="minorBidi"/>
          <w:noProof/>
          <w:sz w:val="22"/>
          <w:szCs w:val="22"/>
        </w:rPr>
      </w:pPr>
      <w:r w:rsidRPr="00583CF2">
        <w:fldChar w:fldCharType="begin"/>
      </w:r>
      <w:r w:rsidRPr="00B15705">
        <w:instrText xml:space="preserve"> TOC \o "1-2" </w:instrText>
      </w:r>
      <w:r w:rsidRPr="00583CF2">
        <w:fldChar w:fldCharType="separate"/>
      </w:r>
      <w:r w:rsidR="005B7677">
        <w:rPr>
          <w:noProof/>
        </w:rPr>
        <w:t>Summary</w:t>
      </w:r>
      <w:r w:rsidR="005B7677">
        <w:rPr>
          <w:noProof/>
        </w:rPr>
        <w:tab/>
      </w:r>
      <w:r w:rsidR="005B7677">
        <w:rPr>
          <w:noProof/>
        </w:rPr>
        <w:fldChar w:fldCharType="begin"/>
      </w:r>
      <w:r w:rsidR="005B7677">
        <w:rPr>
          <w:noProof/>
        </w:rPr>
        <w:instrText xml:space="preserve"> PAGEREF _Toc399854908 \h </w:instrText>
      </w:r>
      <w:r w:rsidR="005B7677">
        <w:rPr>
          <w:noProof/>
        </w:rPr>
      </w:r>
      <w:r w:rsidR="005B7677">
        <w:rPr>
          <w:noProof/>
        </w:rPr>
        <w:fldChar w:fldCharType="separate"/>
      </w:r>
      <w:r w:rsidR="005B7677">
        <w:rPr>
          <w:noProof/>
        </w:rPr>
        <w:t>4</w:t>
      </w:r>
      <w:r w:rsidR="005B7677">
        <w:rPr>
          <w:noProof/>
        </w:rPr>
        <w:fldChar w:fldCharType="end"/>
      </w:r>
    </w:p>
    <w:p w14:paraId="52D675C9" w14:textId="77777777" w:rsidR="005B7677" w:rsidRDefault="005B7677">
      <w:pPr>
        <w:pStyle w:val="TOC1"/>
        <w:tabs>
          <w:tab w:val="right" w:leader="dot" w:pos="9854"/>
        </w:tabs>
        <w:rPr>
          <w:rFonts w:asciiTheme="minorHAnsi" w:eastAsiaTheme="minorEastAsia" w:hAnsiTheme="minorHAnsi" w:cstheme="minorBidi"/>
          <w:noProof/>
          <w:sz w:val="22"/>
          <w:szCs w:val="22"/>
        </w:rPr>
      </w:pPr>
      <w:r>
        <w:rPr>
          <w:noProof/>
        </w:rPr>
        <w:t>Policy background</w:t>
      </w:r>
      <w:r>
        <w:rPr>
          <w:noProof/>
        </w:rPr>
        <w:tab/>
      </w:r>
      <w:r>
        <w:rPr>
          <w:noProof/>
        </w:rPr>
        <w:fldChar w:fldCharType="begin"/>
      </w:r>
      <w:r>
        <w:rPr>
          <w:noProof/>
        </w:rPr>
        <w:instrText xml:space="preserve"> PAGEREF _Toc399854909 \h </w:instrText>
      </w:r>
      <w:r>
        <w:rPr>
          <w:noProof/>
        </w:rPr>
      </w:r>
      <w:r>
        <w:rPr>
          <w:noProof/>
        </w:rPr>
        <w:fldChar w:fldCharType="separate"/>
      </w:r>
      <w:r>
        <w:rPr>
          <w:noProof/>
        </w:rPr>
        <w:t>6</w:t>
      </w:r>
      <w:r>
        <w:rPr>
          <w:noProof/>
        </w:rPr>
        <w:fldChar w:fldCharType="end"/>
      </w:r>
    </w:p>
    <w:p w14:paraId="52D675CA" w14:textId="77777777" w:rsidR="005B7677" w:rsidRDefault="005B7677">
      <w:pPr>
        <w:pStyle w:val="TOC1"/>
        <w:tabs>
          <w:tab w:val="right" w:leader="dot" w:pos="9854"/>
        </w:tabs>
        <w:rPr>
          <w:rFonts w:asciiTheme="minorHAnsi" w:eastAsiaTheme="minorEastAsia" w:hAnsiTheme="minorHAnsi" w:cstheme="minorBidi"/>
          <w:noProof/>
          <w:sz w:val="22"/>
          <w:szCs w:val="22"/>
        </w:rPr>
      </w:pPr>
      <w:r>
        <w:rPr>
          <w:noProof/>
        </w:rPr>
        <w:t>Policy options in detail</w:t>
      </w:r>
      <w:r>
        <w:rPr>
          <w:noProof/>
        </w:rPr>
        <w:tab/>
      </w:r>
      <w:r>
        <w:rPr>
          <w:noProof/>
        </w:rPr>
        <w:fldChar w:fldCharType="begin"/>
      </w:r>
      <w:r>
        <w:rPr>
          <w:noProof/>
        </w:rPr>
        <w:instrText xml:space="preserve"> PAGEREF _Toc399854910 \h </w:instrText>
      </w:r>
      <w:r>
        <w:rPr>
          <w:noProof/>
        </w:rPr>
      </w:r>
      <w:r>
        <w:rPr>
          <w:noProof/>
        </w:rPr>
        <w:fldChar w:fldCharType="separate"/>
      </w:r>
      <w:r>
        <w:rPr>
          <w:noProof/>
        </w:rPr>
        <w:t>10</w:t>
      </w:r>
      <w:r>
        <w:rPr>
          <w:noProof/>
        </w:rPr>
        <w:fldChar w:fldCharType="end"/>
      </w:r>
    </w:p>
    <w:p w14:paraId="52D675CB" w14:textId="77777777" w:rsidR="005B7677" w:rsidRDefault="005B7677">
      <w:pPr>
        <w:pStyle w:val="TOC1"/>
        <w:tabs>
          <w:tab w:val="right" w:leader="dot" w:pos="9854"/>
        </w:tabs>
        <w:rPr>
          <w:rFonts w:asciiTheme="minorHAnsi" w:eastAsiaTheme="minorEastAsia" w:hAnsiTheme="minorHAnsi" w:cstheme="minorBidi"/>
          <w:noProof/>
          <w:sz w:val="22"/>
          <w:szCs w:val="22"/>
        </w:rPr>
      </w:pPr>
      <w:r>
        <w:rPr>
          <w:noProof/>
        </w:rPr>
        <w:t>How to respond</w:t>
      </w:r>
      <w:r>
        <w:rPr>
          <w:noProof/>
        </w:rPr>
        <w:tab/>
      </w:r>
      <w:r>
        <w:rPr>
          <w:noProof/>
        </w:rPr>
        <w:fldChar w:fldCharType="begin"/>
      </w:r>
      <w:r>
        <w:rPr>
          <w:noProof/>
        </w:rPr>
        <w:instrText xml:space="preserve"> PAGEREF _Toc399854911 \h </w:instrText>
      </w:r>
      <w:r>
        <w:rPr>
          <w:noProof/>
        </w:rPr>
      </w:r>
      <w:r>
        <w:rPr>
          <w:noProof/>
        </w:rPr>
        <w:fldChar w:fldCharType="separate"/>
      </w:r>
      <w:r>
        <w:rPr>
          <w:noProof/>
        </w:rPr>
        <w:t>15</w:t>
      </w:r>
      <w:r>
        <w:rPr>
          <w:noProof/>
        </w:rPr>
        <w:fldChar w:fldCharType="end"/>
      </w:r>
    </w:p>
    <w:p w14:paraId="52D675CC" w14:textId="77777777" w:rsidR="005B7677" w:rsidRDefault="005B7677">
      <w:pPr>
        <w:pStyle w:val="TOC1"/>
        <w:tabs>
          <w:tab w:val="right" w:leader="dot" w:pos="9854"/>
        </w:tabs>
        <w:rPr>
          <w:noProof/>
        </w:rPr>
      </w:pPr>
    </w:p>
    <w:p w14:paraId="52D675CD" w14:textId="77777777" w:rsidR="005B7677" w:rsidRDefault="005B7677">
      <w:pPr>
        <w:pStyle w:val="TOC1"/>
        <w:tabs>
          <w:tab w:val="right" w:leader="dot" w:pos="9854"/>
        </w:tabs>
        <w:rPr>
          <w:rFonts w:asciiTheme="minorHAnsi" w:eastAsiaTheme="minorEastAsia" w:hAnsiTheme="minorHAnsi" w:cstheme="minorBidi"/>
          <w:noProof/>
          <w:sz w:val="22"/>
          <w:szCs w:val="22"/>
        </w:rPr>
      </w:pPr>
      <w:r>
        <w:rPr>
          <w:noProof/>
        </w:rPr>
        <w:t>Annex - List of affected licences</w:t>
      </w:r>
      <w:r>
        <w:rPr>
          <w:noProof/>
        </w:rPr>
        <w:tab/>
      </w:r>
      <w:r>
        <w:rPr>
          <w:noProof/>
        </w:rPr>
        <w:fldChar w:fldCharType="begin"/>
      </w:r>
      <w:r>
        <w:rPr>
          <w:noProof/>
        </w:rPr>
        <w:instrText xml:space="preserve"> PAGEREF _Toc399854912 \h </w:instrText>
      </w:r>
      <w:r>
        <w:rPr>
          <w:noProof/>
        </w:rPr>
      </w:r>
      <w:r>
        <w:rPr>
          <w:noProof/>
        </w:rPr>
        <w:fldChar w:fldCharType="separate"/>
      </w:r>
      <w:r>
        <w:rPr>
          <w:noProof/>
        </w:rPr>
        <w:t>18</w:t>
      </w:r>
      <w:r>
        <w:rPr>
          <w:noProof/>
        </w:rPr>
        <w:fldChar w:fldCharType="end"/>
      </w:r>
    </w:p>
    <w:p w14:paraId="52D675CE" w14:textId="77777777" w:rsidR="00283206" w:rsidRPr="00583CF2" w:rsidRDefault="002F69CC" w:rsidP="00E002AD">
      <w:pPr>
        <w:ind w:left="1276"/>
      </w:pPr>
      <w:r w:rsidRPr="00583CF2">
        <w:fldChar w:fldCharType="end"/>
      </w:r>
    </w:p>
    <w:p w14:paraId="52D675D0" w14:textId="77777777" w:rsidR="005A5D21" w:rsidRPr="00583CF2" w:rsidRDefault="005A5D21" w:rsidP="005E2FDB">
      <w:pPr>
        <w:ind w:left="0"/>
        <w:sectPr w:rsidR="005A5D21" w:rsidRPr="00583CF2"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14:paraId="52D675D1" w14:textId="77777777" w:rsidR="00FD27B8" w:rsidRPr="0052155B" w:rsidRDefault="0058442A" w:rsidP="00E22E84">
      <w:pPr>
        <w:pStyle w:val="Heading1"/>
      </w:pPr>
      <w:bookmarkStart w:id="1" w:name="_Toc399854908"/>
      <w:r w:rsidRPr="0052155B">
        <w:lastRenderedPageBreak/>
        <w:t>Summary</w:t>
      </w:r>
      <w:bookmarkEnd w:id="1"/>
    </w:p>
    <w:p w14:paraId="52D675D2" w14:textId="77777777" w:rsidR="00E002AD" w:rsidRDefault="002D409B" w:rsidP="00E22E84">
      <w:pPr>
        <w:spacing w:before="0" w:line="247" w:lineRule="auto"/>
        <w:ind w:left="0"/>
      </w:pPr>
      <w:r w:rsidRPr="002D409B">
        <w:t xml:space="preserve">The Digital Economy Act 2010 </w:t>
      </w:r>
      <w:r w:rsidR="0006134D">
        <w:t xml:space="preserve">included new powers enabling Ofcom to renew the licences of national and local commercial FM and AM radio stations which were due to expire after 8 April 2010 for a period of seven </w:t>
      </w:r>
      <w:r w:rsidR="00104C80">
        <w:t>years.</w:t>
      </w:r>
      <w:r w:rsidR="005E2FDB">
        <w:t xml:space="preserve"> </w:t>
      </w:r>
    </w:p>
    <w:p w14:paraId="52D675D3" w14:textId="77777777" w:rsidR="00E002AD" w:rsidRDefault="00E002AD" w:rsidP="00E22E84">
      <w:pPr>
        <w:spacing w:before="0" w:line="247" w:lineRule="auto"/>
        <w:ind w:left="0"/>
      </w:pPr>
    </w:p>
    <w:p w14:paraId="52D675D4" w14:textId="1C7E187E" w:rsidR="00334D06" w:rsidRDefault="00334D06" w:rsidP="00E22E84">
      <w:pPr>
        <w:spacing w:before="0" w:line="247" w:lineRule="auto"/>
        <w:ind w:left="0"/>
      </w:pPr>
      <w:r>
        <w:t xml:space="preserve">The purpose of these powers was to </w:t>
      </w:r>
      <w:r w:rsidR="000405AD">
        <w:t xml:space="preserve">give commercial radio </w:t>
      </w:r>
      <w:r>
        <w:t xml:space="preserve">further incentive to commit to </w:t>
      </w:r>
      <w:r w:rsidR="008362E3">
        <w:t xml:space="preserve">the Digital Audio Broadcasting </w:t>
      </w:r>
      <w:r w:rsidR="00517040">
        <w:t>(</w:t>
      </w:r>
      <w:r>
        <w:t>DAB</w:t>
      </w:r>
      <w:r w:rsidR="00517040">
        <w:t>)</w:t>
      </w:r>
      <w:r>
        <w:t xml:space="preserve"> </w:t>
      </w:r>
      <w:r w:rsidR="008362E3">
        <w:t xml:space="preserve">platform </w:t>
      </w:r>
      <w:r>
        <w:t xml:space="preserve">in </w:t>
      </w:r>
      <w:r w:rsidR="000405AD">
        <w:t xml:space="preserve">anticipation of a </w:t>
      </w:r>
      <w:r>
        <w:t>decision o</w:t>
      </w:r>
      <w:r w:rsidR="00104C80">
        <w:t>n</w:t>
      </w:r>
      <w:r>
        <w:t xml:space="preserve"> digital radio switchover by the end of 2013</w:t>
      </w:r>
      <w:r w:rsidR="00104C80">
        <w:t>,</w:t>
      </w:r>
      <w:r>
        <w:t xml:space="preserve"> </w:t>
      </w:r>
      <w:r w:rsidR="0050217D">
        <w:t xml:space="preserve">at a time </w:t>
      </w:r>
      <w:r>
        <w:t xml:space="preserve">when completion of switchover was anticipated </w:t>
      </w:r>
      <w:r w:rsidR="0052155B">
        <w:t xml:space="preserve">in </w:t>
      </w:r>
      <w:r>
        <w:t>2017 or 2018</w:t>
      </w:r>
      <w:r w:rsidR="00104C80">
        <w:t>.</w:t>
      </w:r>
      <w:r w:rsidR="0052155B">
        <w:t xml:space="preserve"> </w:t>
      </w:r>
      <w:r w:rsidR="000405AD">
        <w:t>Radio s</w:t>
      </w:r>
      <w:r w:rsidR="006062EE">
        <w:t xml:space="preserve">tations </w:t>
      </w:r>
      <w:r w:rsidR="000405AD">
        <w:t xml:space="preserve">on AM or FM </w:t>
      </w:r>
      <w:r w:rsidR="006062EE">
        <w:t>wanting to renew their licences for the further seven year period were required</w:t>
      </w:r>
      <w:r w:rsidR="004171D0">
        <w:t>, via their</w:t>
      </w:r>
      <w:r w:rsidR="00B61AB9">
        <w:t xml:space="preserve"> analogue</w:t>
      </w:r>
      <w:r w:rsidR="004171D0">
        <w:t xml:space="preserve"> licences,</w:t>
      </w:r>
      <w:r w:rsidR="006062EE">
        <w:t xml:space="preserve"> to </w:t>
      </w:r>
      <w:r w:rsidR="00731FD0">
        <w:t>broadcast</w:t>
      </w:r>
      <w:r w:rsidR="006062EE">
        <w:t xml:space="preserve"> on DAB and to maintain this service for the duration of the licence. </w:t>
      </w:r>
    </w:p>
    <w:p w14:paraId="52D675D5" w14:textId="77777777" w:rsidR="006062EE" w:rsidRDefault="006062EE" w:rsidP="00E22E84">
      <w:pPr>
        <w:spacing w:before="0" w:line="247" w:lineRule="auto"/>
        <w:ind w:left="0"/>
      </w:pPr>
    </w:p>
    <w:p w14:paraId="52D675D6" w14:textId="77777777" w:rsidR="00334D06" w:rsidRDefault="005B238A" w:rsidP="00E22E84">
      <w:pPr>
        <w:spacing w:before="0" w:line="247" w:lineRule="auto"/>
        <w:ind w:left="0"/>
      </w:pPr>
      <w:r>
        <w:t>However, i</w:t>
      </w:r>
      <w:r w:rsidR="00334D06" w:rsidRPr="00E00CAE">
        <w:t xml:space="preserve">n December 2013, </w:t>
      </w:r>
      <w:r w:rsidR="00334D06">
        <w:t xml:space="preserve">following the completion of work on the Digital Radio Action Plan, </w:t>
      </w:r>
      <w:r w:rsidR="00334D06" w:rsidRPr="00E00CAE">
        <w:t xml:space="preserve">the Government </w:t>
      </w:r>
      <w:r w:rsidR="00334D06">
        <w:t xml:space="preserve">concluded that it </w:t>
      </w:r>
      <w:r w:rsidR="00334D06" w:rsidRPr="00E00CAE">
        <w:t>was not the right time to commit to</w:t>
      </w:r>
      <w:r w:rsidR="00334D06">
        <w:t xml:space="preserve"> a future radio switchover or </w:t>
      </w:r>
      <w:r w:rsidR="0052155B">
        <w:t xml:space="preserve">to set a </w:t>
      </w:r>
      <w:r w:rsidR="00334D06">
        <w:t>timetable</w:t>
      </w:r>
      <w:r w:rsidR="0052155B">
        <w:t xml:space="preserve"> when a switchover could take place. I</w:t>
      </w:r>
      <w:r w:rsidR="00334D06">
        <w:t>nstead</w:t>
      </w:r>
      <w:r w:rsidR="0052155B">
        <w:t xml:space="preserve">, the Government </w:t>
      </w:r>
      <w:r w:rsidR="000405AD">
        <w:t xml:space="preserve">introduced </w:t>
      </w:r>
      <w:r w:rsidR="00334D06">
        <w:t>a package of measures to support the next phase of the radio industry’s transition to digital</w:t>
      </w:r>
      <w:r w:rsidR="00104C80">
        <w:t>,</w:t>
      </w:r>
      <w:r w:rsidR="00334D06">
        <w:t xml:space="preserve"> including financial support for </w:t>
      </w:r>
      <w:r w:rsidR="0052155B">
        <w:t xml:space="preserve">commercial radio </w:t>
      </w:r>
      <w:r w:rsidR="004171D0">
        <w:t>to enable</w:t>
      </w:r>
      <w:r w:rsidR="006D16F6">
        <w:t xml:space="preserve"> </w:t>
      </w:r>
      <w:r w:rsidR="00334D06">
        <w:t>the build out of the local DAB</w:t>
      </w:r>
      <w:r w:rsidR="00C15929">
        <w:t>,</w:t>
      </w:r>
      <w:r w:rsidR="00334D06">
        <w:t xml:space="preserve"> </w:t>
      </w:r>
      <w:r w:rsidR="00C15929">
        <w:t xml:space="preserve">raising </w:t>
      </w:r>
      <w:r w:rsidR="00334D06">
        <w:t>coverage from 72% to 90% by the end of 2016.</w:t>
      </w:r>
      <w:r w:rsidR="00334D06" w:rsidRPr="00E00CAE">
        <w:t xml:space="preserve"> </w:t>
      </w:r>
    </w:p>
    <w:p w14:paraId="52D675D7" w14:textId="77777777" w:rsidR="00334D06" w:rsidRDefault="00334D06" w:rsidP="00E22E84">
      <w:pPr>
        <w:spacing w:before="0" w:line="247" w:lineRule="auto"/>
        <w:ind w:left="0"/>
      </w:pPr>
    </w:p>
    <w:p w14:paraId="52D675D8" w14:textId="77777777" w:rsidR="00334D06" w:rsidRDefault="0052155B" w:rsidP="00E22E84">
      <w:pPr>
        <w:spacing w:before="0" w:line="247" w:lineRule="auto"/>
        <w:ind w:left="0"/>
      </w:pPr>
      <w:r>
        <w:t xml:space="preserve">A </w:t>
      </w:r>
      <w:r w:rsidR="00334D06" w:rsidRPr="00E00CAE">
        <w:t>consequence of this decision</w:t>
      </w:r>
      <w:r w:rsidR="004A6BBF">
        <w:t xml:space="preserve"> </w:t>
      </w:r>
      <w:r w:rsidR="00104C80">
        <w:t>is that</w:t>
      </w:r>
      <w:r w:rsidR="00334D06" w:rsidRPr="00E00CAE">
        <w:t xml:space="preserve"> </w:t>
      </w:r>
      <w:r w:rsidR="00E22E84">
        <w:t xml:space="preserve">the </w:t>
      </w:r>
      <w:r w:rsidR="00334D06" w:rsidRPr="002D409B">
        <w:t>licences</w:t>
      </w:r>
      <w:r w:rsidR="00A119CA">
        <w:t xml:space="preserve"> which</w:t>
      </w:r>
      <w:r w:rsidR="00334D06" w:rsidRPr="002D409B">
        <w:t xml:space="preserve"> </w:t>
      </w:r>
      <w:r w:rsidR="000405AD">
        <w:t>were renewed</w:t>
      </w:r>
      <w:r w:rsidR="00A119CA">
        <w:t xml:space="preserve"> under the</w:t>
      </w:r>
      <w:r w:rsidR="000405AD">
        <w:t xml:space="preserve"> Digital Economy Act</w:t>
      </w:r>
      <w:r w:rsidR="00334D06">
        <w:t xml:space="preserve"> </w:t>
      </w:r>
      <w:r w:rsidR="000A7D14">
        <w:t xml:space="preserve">2010 </w:t>
      </w:r>
      <w:r w:rsidR="00334D06" w:rsidRPr="002D409B">
        <w:t>will begin to expire from late 2017</w:t>
      </w:r>
      <w:r w:rsidR="00C15929">
        <w:t>,</w:t>
      </w:r>
      <w:r w:rsidR="004171D0">
        <w:t xml:space="preserve"> without a decision having been take</w:t>
      </w:r>
      <w:r w:rsidR="006D16F6">
        <w:t>n</w:t>
      </w:r>
      <w:r w:rsidR="00C15929">
        <w:t xml:space="preserve"> on</w:t>
      </w:r>
      <w:r w:rsidR="004171D0">
        <w:t xml:space="preserve">, </w:t>
      </w:r>
      <w:r w:rsidR="006D16F6">
        <w:t>or</w:t>
      </w:r>
      <w:r w:rsidR="00517040">
        <w:t xml:space="preserve"> </w:t>
      </w:r>
      <w:r w:rsidR="004171D0">
        <w:t>timetable set</w:t>
      </w:r>
      <w:r w:rsidR="00C15929">
        <w:t xml:space="preserve"> for</w:t>
      </w:r>
      <w:r w:rsidR="004171D0">
        <w:t>, a switchover to digital</w:t>
      </w:r>
      <w:r w:rsidR="00334D06">
        <w:t xml:space="preserve">. </w:t>
      </w:r>
      <w:r w:rsidR="00334D06" w:rsidRPr="002D409B">
        <w:t xml:space="preserve">Ofcom does not </w:t>
      </w:r>
      <w:r w:rsidR="000A7D14">
        <w:t xml:space="preserve">currently </w:t>
      </w:r>
      <w:r w:rsidR="00334D06" w:rsidRPr="002D409B">
        <w:t xml:space="preserve">have </w:t>
      </w:r>
      <w:r w:rsidR="00334D06">
        <w:t>p</w:t>
      </w:r>
      <w:r w:rsidR="00334D06" w:rsidRPr="002D409B">
        <w:t xml:space="preserve">owers to renew these licences </w:t>
      </w:r>
      <w:r w:rsidR="00334D06">
        <w:t>for a further period</w:t>
      </w:r>
      <w:r w:rsidR="006062EE">
        <w:t xml:space="preserve"> beyond the expiry date</w:t>
      </w:r>
      <w:r w:rsidR="00C15929">
        <w:t>:</w:t>
      </w:r>
      <w:r w:rsidR="009D17EC">
        <w:t xml:space="preserve"> </w:t>
      </w:r>
      <w:r w:rsidR="00C15929">
        <w:t>s</w:t>
      </w:r>
      <w:r w:rsidR="006062EE">
        <w:t xml:space="preserve">tations wishing to continue broadcasting would need to reapply </w:t>
      </w:r>
      <w:r w:rsidR="000A7D14">
        <w:t xml:space="preserve">to Ofcom </w:t>
      </w:r>
      <w:r w:rsidR="006062EE">
        <w:t>for their licences and</w:t>
      </w:r>
      <w:r>
        <w:t xml:space="preserve">, if there </w:t>
      </w:r>
      <w:r w:rsidR="00A119CA">
        <w:t>we</w:t>
      </w:r>
      <w:r>
        <w:t>re</w:t>
      </w:r>
      <w:r w:rsidR="00A119CA">
        <w:t xml:space="preserve"> other</w:t>
      </w:r>
      <w:r>
        <w:t xml:space="preserve"> expressions of interest, </w:t>
      </w:r>
      <w:r w:rsidR="006062EE">
        <w:t xml:space="preserve">compete against other </w:t>
      </w:r>
      <w:r>
        <w:t xml:space="preserve">prospective </w:t>
      </w:r>
      <w:r w:rsidR="006062EE">
        <w:t xml:space="preserve">operators </w:t>
      </w:r>
      <w:r w:rsidR="00C15929">
        <w:t>(</w:t>
      </w:r>
      <w:r w:rsidR="006062EE">
        <w:t>including new entrants</w:t>
      </w:r>
      <w:r w:rsidR="00C15929">
        <w:t>)</w:t>
      </w:r>
      <w:r w:rsidR="00340B82">
        <w:t xml:space="preserve"> to secure</w:t>
      </w:r>
      <w:r w:rsidR="006062EE">
        <w:t xml:space="preserve"> </w:t>
      </w:r>
      <w:r w:rsidR="0050217D">
        <w:t xml:space="preserve">the </w:t>
      </w:r>
      <w:r>
        <w:t>licence</w:t>
      </w:r>
      <w:r w:rsidR="006062EE">
        <w:t>.</w:t>
      </w:r>
    </w:p>
    <w:p w14:paraId="52D675D9" w14:textId="77777777" w:rsidR="00B263BD" w:rsidRDefault="00B263BD" w:rsidP="00E22E84">
      <w:pPr>
        <w:spacing w:before="0" w:line="247" w:lineRule="auto"/>
        <w:ind w:left="0"/>
      </w:pPr>
    </w:p>
    <w:p w14:paraId="52D675DA" w14:textId="4D236FF5" w:rsidR="0052155B" w:rsidRDefault="002D409B" w:rsidP="0052155B">
      <w:pPr>
        <w:spacing w:before="0" w:line="247" w:lineRule="auto"/>
        <w:ind w:left="0"/>
      </w:pPr>
      <w:r w:rsidRPr="002D409B">
        <w:t xml:space="preserve">This consultation </w:t>
      </w:r>
      <w:r w:rsidR="00A119CA">
        <w:t xml:space="preserve">therefore </w:t>
      </w:r>
      <w:r w:rsidRPr="002D409B">
        <w:t>seeks views on</w:t>
      </w:r>
      <w:r w:rsidR="00782184">
        <w:t xml:space="preserve"> whether</w:t>
      </w:r>
      <w:r w:rsidRPr="002D409B">
        <w:t xml:space="preserve"> </w:t>
      </w:r>
      <w:r w:rsidR="006062EE">
        <w:t xml:space="preserve">the Government </w:t>
      </w:r>
      <w:r w:rsidR="0052155B">
        <w:t xml:space="preserve">should </w:t>
      </w:r>
      <w:r w:rsidR="006062EE">
        <w:t>make provision to allow licence</w:t>
      </w:r>
      <w:r w:rsidR="00C15929">
        <w:t>s</w:t>
      </w:r>
      <w:r w:rsidR="006062EE">
        <w:t xml:space="preserve"> </w:t>
      </w:r>
      <w:r w:rsidR="00A119CA">
        <w:t xml:space="preserve">to </w:t>
      </w:r>
      <w:r w:rsidR="006062EE">
        <w:t xml:space="preserve">be </w:t>
      </w:r>
      <w:r w:rsidR="00CA6EA2">
        <w:t>renew</w:t>
      </w:r>
      <w:r w:rsidR="006062EE">
        <w:t>ed</w:t>
      </w:r>
      <w:r w:rsidR="00104C80">
        <w:t xml:space="preserve"> </w:t>
      </w:r>
      <w:r w:rsidR="000405AD">
        <w:t xml:space="preserve">for a </w:t>
      </w:r>
      <w:r w:rsidR="00104C80">
        <w:t>further</w:t>
      </w:r>
      <w:r w:rsidR="000405AD">
        <w:t xml:space="preserve"> period</w:t>
      </w:r>
      <w:r w:rsidR="00C15929">
        <w:t>,</w:t>
      </w:r>
      <w:r w:rsidR="004171D0">
        <w:t xml:space="preserve"> and if so</w:t>
      </w:r>
      <w:r w:rsidR="00C15929">
        <w:t>,</w:t>
      </w:r>
      <w:r w:rsidR="004171D0">
        <w:t xml:space="preserve"> what </w:t>
      </w:r>
      <w:r w:rsidR="00830E51">
        <w:t xml:space="preserve">the length of </w:t>
      </w:r>
      <w:r w:rsidR="004171D0">
        <w:t xml:space="preserve">this </w:t>
      </w:r>
      <w:r w:rsidR="00C15929">
        <w:t xml:space="preserve">period </w:t>
      </w:r>
      <w:r w:rsidR="004171D0">
        <w:t>should be</w:t>
      </w:r>
      <w:r w:rsidR="006062EE">
        <w:t xml:space="preserve">. </w:t>
      </w:r>
      <w:r w:rsidR="0052155B">
        <w:t xml:space="preserve">Such a change </w:t>
      </w:r>
      <w:r w:rsidR="006062EE">
        <w:t xml:space="preserve">would </w:t>
      </w:r>
      <w:r w:rsidR="00C15929">
        <w:t xml:space="preserve">be effected by </w:t>
      </w:r>
      <w:r w:rsidR="006062EE">
        <w:t>a</w:t>
      </w:r>
      <w:r w:rsidR="00F40E07">
        <w:t xml:space="preserve">n amendment </w:t>
      </w:r>
      <w:r w:rsidR="005B238A">
        <w:t xml:space="preserve">via a Legislative Reform Order </w:t>
      </w:r>
      <w:r w:rsidR="00F40E07">
        <w:t xml:space="preserve">to </w:t>
      </w:r>
      <w:r w:rsidR="00334D06">
        <w:t xml:space="preserve">the relevant legislation – namely </w:t>
      </w:r>
      <w:r w:rsidR="00F40E07">
        <w:t xml:space="preserve">sections 103B </w:t>
      </w:r>
      <w:r w:rsidR="006062EE">
        <w:t xml:space="preserve">(which covers national licences) </w:t>
      </w:r>
      <w:r w:rsidR="00F40E07">
        <w:t xml:space="preserve">and 104AA </w:t>
      </w:r>
      <w:r w:rsidR="00C15929" w:rsidRPr="00C15929">
        <w:t xml:space="preserve">(which covers local licences) </w:t>
      </w:r>
      <w:r w:rsidR="00F40E07">
        <w:t xml:space="preserve">of the Broadcasting Act 1990 </w:t>
      </w:r>
      <w:r w:rsidR="00830E51">
        <w:t xml:space="preserve">- </w:t>
      </w:r>
      <w:r w:rsidR="00782184">
        <w:t>in order to allow</w:t>
      </w:r>
      <w:r w:rsidRPr="002D409B">
        <w:t xml:space="preserve"> the</w:t>
      </w:r>
      <w:r w:rsidR="00782184">
        <w:t xml:space="preserve">se licences to be </w:t>
      </w:r>
      <w:r w:rsidR="00CA6EA2">
        <w:t>renew</w:t>
      </w:r>
      <w:r w:rsidR="00782184">
        <w:t>ed</w:t>
      </w:r>
      <w:r w:rsidR="00104C80">
        <w:t xml:space="preserve"> </w:t>
      </w:r>
      <w:r w:rsidR="000A7D14">
        <w:t xml:space="preserve">for </w:t>
      </w:r>
      <w:r w:rsidR="00646023">
        <w:t xml:space="preserve">a </w:t>
      </w:r>
      <w:r w:rsidR="00104C80">
        <w:t>further</w:t>
      </w:r>
      <w:r w:rsidR="000A7D14">
        <w:t xml:space="preserve"> period</w:t>
      </w:r>
      <w:r w:rsidR="00104C80">
        <w:t>.</w:t>
      </w:r>
      <w:r w:rsidR="006062EE">
        <w:t xml:space="preserve"> </w:t>
      </w:r>
    </w:p>
    <w:p w14:paraId="52D675DD" w14:textId="77777777" w:rsidR="002D409B" w:rsidRPr="002D409B" w:rsidRDefault="002D409B" w:rsidP="00E22E84">
      <w:pPr>
        <w:spacing w:before="0" w:line="247" w:lineRule="auto"/>
        <w:ind w:left="0"/>
      </w:pPr>
    </w:p>
    <w:p w14:paraId="52D675DE" w14:textId="77777777" w:rsidR="002D409B" w:rsidRPr="002D409B" w:rsidRDefault="002D409B" w:rsidP="00E22E84">
      <w:pPr>
        <w:spacing w:before="0" w:line="247" w:lineRule="auto"/>
        <w:ind w:left="0"/>
      </w:pPr>
      <w:r w:rsidRPr="002D409B">
        <w:t xml:space="preserve">Specifically, we are seeking views on </w:t>
      </w:r>
      <w:r w:rsidR="006062EE">
        <w:t xml:space="preserve">three </w:t>
      </w:r>
      <w:r w:rsidRPr="002D409B">
        <w:t>options:</w:t>
      </w:r>
    </w:p>
    <w:p w14:paraId="52D675DF" w14:textId="77777777" w:rsidR="002D409B" w:rsidRPr="002D409B" w:rsidRDefault="002D409B" w:rsidP="00E22E84">
      <w:pPr>
        <w:spacing w:before="0" w:line="247" w:lineRule="auto"/>
        <w:ind w:left="0"/>
      </w:pPr>
    </w:p>
    <w:p w14:paraId="52D675E0" w14:textId="77777777" w:rsidR="002D409B" w:rsidRPr="00981BB1" w:rsidRDefault="004171D0" w:rsidP="00E22E84">
      <w:pPr>
        <w:numPr>
          <w:ilvl w:val="0"/>
          <w:numId w:val="11"/>
        </w:numPr>
        <w:spacing w:before="0" w:line="247" w:lineRule="auto"/>
        <w:rPr>
          <w:b/>
        </w:rPr>
      </w:pPr>
      <w:r>
        <w:rPr>
          <w:b/>
        </w:rPr>
        <w:t xml:space="preserve">Do nothing: </w:t>
      </w:r>
      <w:r w:rsidR="006062EE">
        <w:rPr>
          <w:b/>
        </w:rPr>
        <w:t>Not to legislate</w:t>
      </w:r>
      <w:r w:rsidR="00104C80">
        <w:rPr>
          <w:b/>
        </w:rPr>
        <w:t>,</w:t>
      </w:r>
      <w:r w:rsidR="006062EE">
        <w:rPr>
          <w:b/>
        </w:rPr>
        <w:t xml:space="preserve"> but instead to </w:t>
      </w:r>
      <w:r w:rsidR="00334D06">
        <w:rPr>
          <w:b/>
        </w:rPr>
        <w:t>a</w:t>
      </w:r>
      <w:r w:rsidR="002D409B" w:rsidRPr="00981BB1">
        <w:rPr>
          <w:b/>
        </w:rPr>
        <w:t xml:space="preserve">llow </w:t>
      </w:r>
      <w:r w:rsidR="00981BB1">
        <w:rPr>
          <w:b/>
        </w:rPr>
        <w:t>licences</w:t>
      </w:r>
      <w:r w:rsidR="002D409B" w:rsidRPr="00981BB1">
        <w:rPr>
          <w:b/>
        </w:rPr>
        <w:t xml:space="preserve"> to expire and be re-adver</w:t>
      </w:r>
      <w:r w:rsidR="00981BB1">
        <w:rPr>
          <w:b/>
        </w:rPr>
        <w:t>tised in the usual way by Ofcom</w:t>
      </w:r>
      <w:r w:rsidR="00D347CB">
        <w:rPr>
          <w:b/>
        </w:rPr>
        <w:t xml:space="preserve"> </w:t>
      </w:r>
    </w:p>
    <w:p w14:paraId="52D675E1" w14:textId="77777777" w:rsidR="002D409B" w:rsidRPr="00981BB1" w:rsidRDefault="002D409B" w:rsidP="00E22E84">
      <w:pPr>
        <w:spacing w:before="0" w:line="247" w:lineRule="auto"/>
        <w:ind w:left="0"/>
        <w:rPr>
          <w:b/>
        </w:rPr>
      </w:pPr>
    </w:p>
    <w:p w14:paraId="52D675E2" w14:textId="77777777" w:rsidR="002D409B" w:rsidRPr="00981BB1" w:rsidRDefault="006C514C" w:rsidP="00E22E84">
      <w:pPr>
        <w:numPr>
          <w:ilvl w:val="0"/>
          <w:numId w:val="11"/>
        </w:numPr>
        <w:spacing w:before="0" w:line="247" w:lineRule="auto"/>
        <w:rPr>
          <w:b/>
        </w:rPr>
      </w:pPr>
      <w:r w:rsidRPr="00981BB1">
        <w:rPr>
          <w:b/>
        </w:rPr>
        <w:t xml:space="preserve">Allow the </w:t>
      </w:r>
      <w:r w:rsidR="00CA6EA2">
        <w:rPr>
          <w:b/>
        </w:rPr>
        <w:t>renewal</w:t>
      </w:r>
      <w:r w:rsidRPr="00981BB1">
        <w:rPr>
          <w:b/>
        </w:rPr>
        <w:t xml:space="preserve"> of licences f</w:t>
      </w:r>
      <w:r w:rsidR="002D409B" w:rsidRPr="00981BB1">
        <w:rPr>
          <w:b/>
        </w:rPr>
        <w:t xml:space="preserve">or a further five </w:t>
      </w:r>
      <w:r w:rsidR="00981BB1">
        <w:rPr>
          <w:b/>
        </w:rPr>
        <w:t>year</w:t>
      </w:r>
      <w:r w:rsidR="00334D06">
        <w:rPr>
          <w:b/>
        </w:rPr>
        <w:t xml:space="preserve"> period for licences </w:t>
      </w:r>
      <w:r w:rsidR="00CA6EA2">
        <w:rPr>
          <w:b/>
        </w:rPr>
        <w:t>renew</w:t>
      </w:r>
      <w:r w:rsidR="00334D06">
        <w:rPr>
          <w:b/>
        </w:rPr>
        <w:t xml:space="preserve">ed under </w:t>
      </w:r>
      <w:r w:rsidR="00D019B7">
        <w:rPr>
          <w:b/>
        </w:rPr>
        <w:t xml:space="preserve">s103B </w:t>
      </w:r>
      <w:r w:rsidR="00340B82">
        <w:rPr>
          <w:b/>
        </w:rPr>
        <w:t xml:space="preserve">and s104AA </w:t>
      </w:r>
      <w:r w:rsidR="00D019B7">
        <w:rPr>
          <w:b/>
        </w:rPr>
        <w:t>of the 1990 Broadcasting Act</w:t>
      </w:r>
      <w:r w:rsidR="00104C80">
        <w:rPr>
          <w:b/>
        </w:rPr>
        <w:t>,</w:t>
      </w:r>
      <w:r w:rsidR="00D019B7">
        <w:rPr>
          <w:b/>
        </w:rPr>
        <w:t xml:space="preserve"> and twelve years for stations that have not</w:t>
      </w:r>
      <w:r w:rsidR="00104C80">
        <w:rPr>
          <w:b/>
        </w:rPr>
        <w:t xml:space="preserve"> yet</w:t>
      </w:r>
      <w:r w:rsidR="00D019B7">
        <w:rPr>
          <w:b/>
        </w:rPr>
        <w:t xml:space="preserve"> been renewed under s103B</w:t>
      </w:r>
      <w:r w:rsidR="00340B82">
        <w:rPr>
          <w:b/>
        </w:rPr>
        <w:t xml:space="preserve"> or s104AA</w:t>
      </w:r>
    </w:p>
    <w:p w14:paraId="52D675E3" w14:textId="77777777" w:rsidR="002D409B" w:rsidRPr="00981BB1" w:rsidRDefault="002D409B" w:rsidP="00E22E84">
      <w:pPr>
        <w:spacing w:before="0" w:line="247" w:lineRule="auto"/>
        <w:ind w:left="0"/>
        <w:rPr>
          <w:b/>
        </w:rPr>
      </w:pPr>
    </w:p>
    <w:p w14:paraId="52D675E4" w14:textId="77777777" w:rsidR="002D409B" w:rsidRPr="00E22E84" w:rsidRDefault="002D409B" w:rsidP="00E22E84">
      <w:pPr>
        <w:numPr>
          <w:ilvl w:val="0"/>
          <w:numId w:val="11"/>
        </w:numPr>
        <w:spacing w:before="0" w:line="247" w:lineRule="auto"/>
        <w:ind w:left="0" w:firstLine="426"/>
      </w:pPr>
      <w:r w:rsidRPr="0052155B">
        <w:rPr>
          <w:b/>
        </w:rPr>
        <w:t xml:space="preserve">Allow the </w:t>
      </w:r>
      <w:r w:rsidR="00CA6EA2">
        <w:rPr>
          <w:b/>
        </w:rPr>
        <w:t>renewal</w:t>
      </w:r>
      <w:r w:rsidR="006C514C" w:rsidRPr="0052155B">
        <w:rPr>
          <w:b/>
        </w:rPr>
        <w:t xml:space="preserve"> of </w:t>
      </w:r>
      <w:r w:rsidRPr="0052155B">
        <w:rPr>
          <w:b/>
        </w:rPr>
        <w:t>licences for a</w:t>
      </w:r>
      <w:r w:rsidR="0099052D" w:rsidRPr="0052155B">
        <w:rPr>
          <w:b/>
        </w:rPr>
        <w:t xml:space="preserve"> longer </w:t>
      </w:r>
      <w:r w:rsidRPr="0052155B">
        <w:rPr>
          <w:b/>
        </w:rPr>
        <w:t>per</w:t>
      </w:r>
      <w:r w:rsidR="00981BB1" w:rsidRPr="0052155B">
        <w:rPr>
          <w:b/>
        </w:rPr>
        <w:t xml:space="preserve">iod of time not </w:t>
      </w:r>
      <w:r w:rsidR="008362E3">
        <w:rPr>
          <w:b/>
        </w:rPr>
        <w:t>specified</w:t>
      </w:r>
      <w:r w:rsidR="008362E3" w:rsidRPr="0052155B">
        <w:rPr>
          <w:b/>
        </w:rPr>
        <w:t xml:space="preserve"> </w:t>
      </w:r>
      <w:r w:rsidR="00981BB1" w:rsidRPr="0052155B">
        <w:rPr>
          <w:b/>
        </w:rPr>
        <w:t>above</w:t>
      </w:r>
      <w:r w:rsidR="006062EE" w:rsidRPr="0052155B">
        <w:rPr>
          <w:b/>
        </w:rPr>
        <w:t xml:space="preserve"> </w:t>
      </w:r>
    </w:p>
    <w:p w14:paraId="52D675E5" w14:textId="77777777" w:rsidR="002D409B" w:rsidRDefault="002D409B" w:rsidP="002D409B">
      <w:pPr>
        <w:spacing w:before="0"/>
        <w:ind w:left="0"/>
      </w:pPr>
    </w:p>
    <w:p w14:paraId="0F9815C4" w14:textId="1A81C935" w:rsidR="00CA17FC" w:rsidRDefault="006E4056" w:rsidP="000725D8">
      <w:pPr>
        <w:spacing w:before="0"/>
        <w:ind w:left="0"/>
      </w:pPr>
      <w:r>
        <w:t>Options two and three would</w:t>
      </w:r>
      <w:r w:rsidR="002F35F1" w:rsidRPr="002F35F1">
        <w:t xml:space="preserve"> result in a significant reduction in the regulatory burden</w:t>
      </w:r>
      <w:r>
        <w:t>s</w:t>
      </w:r>
      <w:r w:rsidR="002F35F1" w:rsidRPr="002F35F1">
        <w:t xml:space="preserve"> on the industry and </w:t>
      </w:r>
      <w:r>
        <w:t>Ofcom. Firstly</w:t>
      </w:r>
      <w:r w:rsidR="00CA17FC">
        <w:t>, these options</w:t>
      </w:r>
      <w:r>
        <w:t xml:space="preserve"> would </w:t>
      </w:r>
      <w:r w:rsidR="00CA17FC">
        <w:t>remove</w:t>
      </w:r>
      <w:r w:rsidR="002F35F1" w:rsidRPr="002F35F1">
        <w:t xml:space="preserve"> the costs industry would </w:t>
      </w:r>
      <w:r w:rsidR="00CA17FC">
        <w:t xml:space="preserve">incur and the administrative burden it would bear </w:t>
      </w:r>
      <w:r w:rsidR="002F35F1" w:rsidRPr="002F35F1">
        <w:t xml:space="preserve">should </w:t>
      </w:r>
      <w:r w:rsidR="00006CE3">
        <w:t>stations</w:t>
      </w:r>
      <w:r w:rsidR="00006CE3" w:rsidRPr="002F35F1">
        <w:t xml:space="preserve"> </w:t>
      </w:r>
      <w:r w:rsidR="002F35F1" w:rsidRPr="002F35F1">
        <w:t xml:space="preserve">have to re-compete for licences. </w:t>
      </w:r>
      <w:r>
        <w:t xml:space="preserve">Secondly, these options would </w:t>
      </w:r>
      <w:r w:rsidR="00CA17FC">
        <w:t>lift a</w:t>
      </w:r>
      <w:r w:rsidR="002F35F1" w:rsidRPr="002F35F1">
        <w:t xml:space="preserve"> significant administrative and financial burden on Ofcom, who would have to run a lengthy licensing process for </w:t>
      </w:r>
      <w:r w:rsidR="00FE69E8">
        <w:t>over</w:t>
      </w:r>
      <w:r w:rsidR="002F35F1" w:rsidRPr="002F35F1">
        <w:t xml:space="preserve"> 60 individual stations if existing licences were </w:t>
      </w:r>
      <w:r w:rsidR="002F35F1">
        <w:t>l</w:t>
      </w:r>
      <w:r w:rsidR="002F35F1" w:rsidRPr="002F35F1">
        <w:t>eft to expire between 2017 and 2021.</w:t>
      </w:r>
      <w:r w:rsidR="00006CE3">
        <w:t xml:space="preserve"> </w:t>
      </w:r>
      <w:r>
        <w:t xml:space="preserve">We therefore </w:t>
      </w:r>
      <w:r w:rsidR="00FE7513">
        <w:t>plan</w:t>
      </w:r>
      <w:r>
        <w:t xml:space="preserve"> to take forward any </w:t>
      </w:r>
      <w:r w:rsidR="00CA17FC">
        <w:t>action via a</w:t>
      </w:r>
      <w:r>
        <w:t xml:space="preserve"> Legislative Reform Order</w:t>
      </w:r>
      <w:r w:rsidR="00CA17FC">
        <w:t xml:space="preserve"> (LRO). LROs may be used where a burden has been identified which is intended to be removed or reduced. Ministers must also be satisfied that the preconditions set out in section 3 of the </w:t>
      </w:r>
      <w:r w:rsidR="00CA17FC" w:rsidRPr="00CA17FC">
        <w:t>Legislative Regulatory Reform Act 2006</w:t>
      </w:r>
      <w:r w:rsidR="00CA17FC">
        <w:t xml:space="preserve"> </w:t>
      </w:r>
      <w:r w:rsidR="00BA5412">
        <w:t xml:space="preserve">(LRRA) </w:t>
      </w:r>
      <w:r w:rsidR="00CA17FC">
        <w:t>must also be met before a LRO is made. Further details are set out on page 16 of this consultation document.</w:t>
      </w:r>
    </w:p>
    <w:p w14:paraId="462C6305" w14:textId="77777777" w:rsidR="00BA5412" w:rsidRDefault="00BA5412" w:rsidP="000725D8">
      <w:pPr>
        <w:spacing w:before="0"/>
        <w:ind w:left="0"/>
      </w:pPr>
    </w:p>
    <w:p w14:paraId="52D675E6" w14:textId="6BCFA49F" w:rsidR="000725D8" w:rsidRDefault="008C34C0" w:rsidP="000725D8">
      <w:pPr>
        <w:spacing w:before="0"/>
        <w:ind w:left="0"/>
      </w:pPr>
      <w:r>
        <w:t>Th</w:t>
      </w:r>
      <w:r w:rsidR="00CA17FC">
        <w:t>is</w:t>
      </w:r>
      <w:r w:rsidR="000725D8" w:rsidRPr="000725D8">
        <w:t xml:space="preserve"> consultation is</w:t>
      </w:r>
      <w:r w:rsidR="00CA17FC">
        <w:t xml:space="preserve"> </w:t>
      </w:r>
      <w:r w:rsidR="000725D8" w:rsidRPr="000725D8">
        <w:t xml:space="preserve">being made in accordance </w:t>
      </w:r>
      <w:r w:rsidR="005B238A">
        <w:t>with</w:t>
      </w:r>
      <w:r w:rsidR="000725D8" w:rsidRPr="000725D8">
        <w:t xml:space="preserve"> the Legislative Regulatory Reform Act 2006</w:t>
      </w:r>
      <w:r w:rsidR="006E4056">
        <w:t>, as well as</w:t>
      </w:r>
      <w:r w:rsidR="000725D8" w:rsidRPr="000725D8">
        <w:t xml:space="preserve"> the terms of the Gover</w:t>
      </w:r>
      <w:r w:rsidR="000725D8">
        <w:t xml:space="preserve">nment’s consultation principles: </w:t>
      </w:r>
      <w:hyperlink r:id="rId14" w:history="1">
        <w:r w:rsidR="000725D8" w:rsidRPr="00173FF8">
          <w:rPr>
            <w:rStyle w:val="Hyperlink"/>
            <w:sz w:val="24"/>
          </w:rPr>
          <w:t>http://www.cabinetoffice.gov.uk/resource-library/consultation-principles-guidance</w:t>
        </w:r>
      </w:hyperlink>
      <w:r w:rsidR="000725D8">
        <w:t xml:space="preserve"> </w:t>
      </w:r>
    </w:p>
    <w:p w14:paraId="52D675E7" w14:textId="77777777" w:rsidR="000725D8" w:rsidRPr="002D409B" w:rsidRDefault="000725D8" w:rsidP="002D409B">
      <w:pPr>
        <w:spacing w:before="0"/>
        <w:ind w:left="0"/>
      </w:pPr>
    </w:p>
    <w:p w14:paraId="52D675E8" w14:textId="4F710DB0" w:rsidR="002F35F1" w:rsidRDefault="002F35F1" w:rsidP="002F35F1">
      <w:pPr>
        <w:spacing w:before="0"/>
        <w:ind w:left="0"/>
      </w:pPr>
      <w:r>
        <w:t xml:space="preserve">The consultation </w:t>
      </w:r>
      <w:r w:rsidR="00006CE3">
        <w:t xml:space="preserve">period </w:t>
      </w:r>
      <w:r>
        <w:t>has been set a</w:t>
      </w:r>
      <w:r w:rsidR="000F236A">
        <w:t xml:space="preserve">t </w:t>
      </w:r>
      <w:r w:rsidR="00704506">
        <w:rPr>
          <w:b/>
        </w:rPr>
        <w:t>four</w:t>
      </w:r>
      <w:r w:rsidRPr="00006CE3">
        <w:rPr>
          <w:b/>
        </w:rPr>
        <w:t xml:space="preserve"> weeks</w:t>
      </w:r>
      <w:r>
        <w:t xml:space="preserve"> in order to give the Government the option of bringing forward </w:t>
      </w:r>
      <w:r w:rsidR="00FE7513">
        <w:t>any</w:t>
      </w:r>
      <w:r>
        <w:t xml:space="preserve"> legislative changes by March 2015. In view of this, DCMS will be organising a </w:t>
      </w:r>
      <w:r w:rsidR="00704506">
        <w:t>number</w:t>
      </w:r>
      <w:r>
        <w:t xml:space="preserve"> of </w:t>
      </w:r>
      <w:r w:rsidR="00D504AF">
        <w:t>workshops</w:t>
      </w:r>
      <w:r>
        <w:t xml:space="preserve"> across the UK </w:t>
      </w:r>
      <w:r w:rsidR="00311DD3">
        <w:t>during November.</w:t>
      </w:r>
      <w:r w:rsidRPr="00311DD3">
        <w:t xml:space="preserve"> </w:t>
      </w:r>
      <w:r w:rsidRPr="00B30F99">
        <w:t>More details of how to register an interest for these sessions can be found on Page 1</w:t>
      </w:r>
      <w:r w:rsidR="009D0CE3" w:rsidRPr="00B30F99">
        <w:t>4</w:t>
      </w:r>
      <w:r w:rsidRPr="00B30F99">
        <w:t>.</w:t>
      </w:r>
    </w:p>
    <w:p w14:paraId="4E7E60B8" w14:textId="77777777" w:rsidR="00116D8A" w:rsidRDefault="00116D8A">
      <w:pPr>
        <w:spacing w:before="0"/>
        <w:ind w:left="0"/>
      </w:pPr>
    </w:p>
    <w:p w14:paraId="52D675E9" w14:textId="60C7634A" w:rsidR="00FF1083" w:rsidRDefault="00704506">
      <w:pPr>
        <w:spacing w:before="0"/>
        <w:ind w:left="0"/>
      </w:pPr>
      <w:r>
        <w:t>The c</w:t>
      </w:r>
      <w:r w:rsidR="00906777">
        <w:t xml:space="preserve">onsultation will close at </w:t>
      </w:r>
      <w:r w:rsidR="00F4553F" w:rsidRPr="001C6AAD">
        <w:rPr>
          <w:b/>
          <w:u w:val="single"/>
        </w:rPr>
        <w:t>5pm on Monday 1 December</w:t>
      </w:r>
      <w:r w:rsidR="00116D8A" w:rsidRPr="001C6AAD">
        <w:rPr>
          <w:b/>
          <w:u w:val="single"/>
        </w:rPr>
        <w:t xml:space="preserve"> 2014.</w:t>
      </w:r>
      <w:r w:rsidR="00FF1083">
        <w:br w:type="page"/>
      </w:r>
    </w:p>
    <w:p w14:paraId="52D675EA" w14:textId="77777777" w:rsidR="002D409B" w:rsidRDefault="0058442A" w:rsidP="00E22E84">
      <w:pPr>
        <w:pStyle w:val="Heading1"/>
      </w:pPr>
      <w:bookmarkStart w:id="2" w:name="_Toc399854909"/>
      <w:r>
        <w:lastRenderedPageBreak/>
        <w:t>Policy</w:t>
      </w:r>
      <w:r w:rsidR="002D409B">
        <w:t xml:space="preserve"> background</w:t>
      </w:r>
      <w:bookmarkEnd w:id="2"/>
    </w:p>
    <w:p w14:paraId="52D675EB" w14:textId="1541E776" w:rsidR="000A7D14" w:rsidRDefault="002D409B" w:rsidP="00663ECE">
      <w:pPr>
        <w:pStyle w:val="ListParagraph"/>
        <w:numPr>
          <w:ilvl w:val="0"/>
          <w:numId w:val="24"/>
        </w:numPr>
        <w:spacing w:before="0" w:line="247" w:lineRule="auto"/>
        <w:ind w:hanging="502"/>
      </w:pPr>
      <w:bookmarkStart w:id="3" w:name="_Ref399172592"/>
      <w:r w:rsidRPr="002D409B">
        <w:t>The Digital Economy Act 2010</w:t>
      </w:r>
      <w:r w:rsidR="00CA6EA2">
        <w:t xml:space="preserve"> (“the 2010 Act”)</w:t>
      </w:r>
      <w:r w:rsidR="00D86F06">
        <w:t>, which came into force in April 2010</w:t>
      </w:r>
      <w:r w:rsidR="00F50114">
        <w:t>,</w:t>
      </w:r>
      <w:r w:rsidR="00D86F06">
        <w:t xml:space="preserve"> gave Ofcom new powers </w:t>
      </w:r>
      <w:r w:rsidRPr="002D409B">
        <w:t>to grant licence renewals to FM and AM stations</w:t>
      </w:r>
      <w:r w:rsidR="00104C80">
        <w:t>,</w:t>
      </w:r>
      <w:r w:rsidR="00E76476">
        <w:t xml:space="preserve"> to support the migration to digital radio</w:t>
      </w:r>
      <w:r w:rsidR="00D86F06">
        <w:t xml:space="preserve">. </w:t>
      </w:r>
      <w:r w:rsidR="00E76476">
        <w:t>Radio s</w:t>
      </w:r>
      <w:r w:rsidR="00D86F06">
        <w:t xml:space="preserve">tations </w:t>
      </w:r>
      <w:r w:rsidR="00E76476">
        <w:t xml:space="preserve">that </w:t>
      </w:r>
      <w:r w:rsidR="00F50114">
        <w:t xml:space="preserve">were </w:t>
      </w:r>
      <w:r w:rsidRPr="002D409B">
        <w:t xml:space="preserve">licensed on or after 8 April 2010, or which had already been renewed for 12 years under section 104A </w:t>
      </w:r>
      <w:r w:rsidR="00340B82">
        <w:t>or s</w:t>
      </w:r>
      <w:r w:rsidR="00006CE3">
        <w:t xml:space="preserve">ection </w:t>
      </w:r>
      <w:r w:rsidR="00340B82">
        <w:t xml:space="preserve">103A </w:t>
      </w:r>
      <w:r w:rsidRPr="002D409B">
        <w:t>of the Broadcasting Act</w:t>
      </w:r>
      <w:r w:rsidR="00F24D31">
        <w:t xml:space="preserve"> 1990</w:t>
      </w:r>
      <w:r w:rsidRPr="002D409B">
        <w:t xml:space="preserve">, </w:t>
      </w:r>
      <w:r w:rsidR="00D86F06">
        <w:t xml:space="preserve">were able to apply to Ofcom to </w:t>
      </w:r>
      <w:r w:rsidR="00CA6EA2">
        <w:t>renew</w:t>
      </w:r>
      <w:r w:rsidR="00D86F06">
        <w:t xml:space="preserve"> their licence </w:t>
      </w:r>
      <w:r w:rsidRPr="002D409B">
        <w:t xml:space="preserve">for one </w:t>
      </w:r>
      <w:r w:rsidR="00F928E1">
        <w:t xml:space="preserve">further </w:t>
      </w:r>
      <w:r w:rsidRPr="002D409B">
        <w:t>period of seven year</w:t>
      </w:r>
      <w:r w:rsidR="004A6BBF">
        <w:t>s</w:t>
      </w:r>
      <w:r w:rsidR="00F50114">
        <w:t xml:space="preserve">. </w:t>
      </w:r>
    </w:p>
    <w:p w14:paraId="52D675EC" w14:textId="77777777" w:rsidR="000A7D14" w:rsidRDefault="000A7D14" w:rsidP="00663ECE">
      <w:pPr>
        <w:pStyle w:val="ListParagraph"/>
        <w:spacing w:before="0" w:line="247" w:lineRule="auto"/>
        <w:ind w:left="786" w:hanging="502"/>
      </w:pPr>
    </w:p>
    <w:p w14:paraId="52D675ED" w14:textId="77777777" w:rsidR="00BF164D" w:rsidRDefault="00006CE3" w:rsidP="00663ECE">
      <w:pPr>
        <w:pStyle w:val="ListParagraph"/>
        <w:numPr>
          <w:ilvl w:val="0"/>
          <w:numId w:val="24"/>
        </w:numPr>
        <w:spacing w:before="0" w:line="247" w:lineRule="auto"/>
        <w:ind w:hanging="502"/>
      </w:pPr>
      <w:r>
        <w:t>In order t</w:t>
      </w:r>
      <w:r w:rsidR="0052155B">
        <w:t xml:space="preserve">o qualify for the </w:t>
      </w:r>
      <w:r w:rsidR="00CA6EA2">
        <w:t>renewal</w:t>
      </w:r>
      <w:r w:rsidR="0052155B">
        <w:t xml:space="preserve">, </w:t>
      </w:r>
      <w:r w:rsidR="00782184">
        <w:t xml:space="preserve">licensees </w:t>
      </w:r>
      <w:r w:rsidR="000405AD">
        <w:t xml:space="preserve">were required </w:t>
      </w:r>
      <w:r w:rsidR="0052155B">
        <w:t xml:space="preserve">to </w:t>
      </w:r>
      <w:r w:rsidR="00F50114">
        <w:t xml:space="preserve">simulcast the </w:t>
      </w:r>
      <w:r w:rsidR="00782184">
        <w:t xml:space="preserve">service on </w:t>
      </w:r>
      <w:r w:rsidR="00BF164D">
        <w:t xml:space="preserve">an appropriate </w:t>
      </w:r>
      <w:r w:rsidR="00782184">
        <w:t>DAB</w:t>
      </w:r>
      <w:r w:rsidR="00BF164D">
        <w:t xml:space="preserve"> multiplex</w:t>
      </w:r>
      <w:r w:rsidR="002D409B" w:rsidRPr="002D409B">
        <w:t>. Th</w:t>
      </w:r>
      <w:r w:rsidR="00782184">
        <w:t>e purpose of th</w:t>
      </w:r>
      <w:r w:rsidR="00F105A2">
        <w:t>e</w:t>
      </w:r>
      <w:r w:rsidR="00782184">
        <w:t xml:space="preserve"> </w:t>
      </w:r>
      <w:r w:rsidR="00D86F06">
        <w:t xml:space="preserve">change </w:t>
      </w:r>
      <w:r w:rsidR="00782184">
        <w:t>was to</w:t>
      </w:r>
      <w:r w:rsidR="002D409B" w:rsidRPr="002D409B">
        <w:t xml:space="preserve"> provid</w:t>
      </w:r>
      <w:r w:rsidR="00782184">
        <w:t>e</w:t>
      </w:r>
      <w:r w:rsidR="002D409B" w:rsidRPr="002D409B">
        <w:t xml:space="preserve"> a further incentive to commer</w:t>
      </w:r>
      <w:r w:rsidR="00782184">
        <w:t xml:space="preserve">cial radio to support </w:t>
      </w:r>
      <w:r w:rsidR="00F105A2">
        <w:t xml:space="preserve">the development of </w:t>
      </w:r>
      <w:r w:rsidR="00782184">
        <w:t>DAB</w:t>
      </w:r>
      <w:r w:rsidR="008857E4">
        <w:t xml:space="preserve">. </w:t>
      </w:r>
      <w:r w:rsidR="00BF164D">
        <w:t xml:space="preserve">The </w:t>
      </w:r>
      <w:r w:rsidR="00CA6EA2">
        <w:t xml:space="preserve">2010 </w:t>
      </w:r>
      <w:r w:rsidR="00BF164D">
        <w:t>Act provides  the regulatory framework necessary to facilitate the delivery of a digital switchover</w:t>
      </w:r>
      <w:r w:rsidR="005B238A">
        <w:t xml:space="preserve"> of radio services and contains</w:t>
      </w:r>
      <w:r w:rsidR="00BF164D">
        <w:t xml:space="preserve"> powers to:</w:t>
      </w:r>
      <w:bookmarkEnd w:id="3"/>
    </w:p>
    <w:p w14:paraId="52D675EE" w14:textId="77777777" w:rsidR="00BF164D" w:rsidRDefault="00BF164D" w:rsidP="00663ECE">
      <w:pPr>
        <w:pStyle w:val="ListParagraph"/>
        <w:spacing w:before="0" w:line="247" w:lineRule="auto"/>
        <w:ind w:left="786" w:hanging="502"/>
      </w:pPr>
    </w:p>
    <w:p w14:paraId="52D675EF" w14:textId="77777777" w:rsidR="00BF164D" w:rsidRDefault="00BF164D" w:rsidP="00663ECE">
      <w:pPr>
        <w:pStyle w:val="ListParagraph"/>
        <w:numPr>
          <w:ilvl w:val="0"/>
          <w:numId w:val="28"/>
        </w:numPr>
        <w:spacing w:before="0" w:line="247" w:lineRule="auto"/>
        <w:ind w:left="1276" w:hanging="502"/>
      </w:pPr>
      <w:r>
        <w:t xml:space="preserve">terminate relevant analogue licences by the nominated date for digital switchover without licence holders’ consent, subject to a minimum notice period of 2 years; </w:t>
      </w:r>
    </w:p>
    <w:p w14:paraId="52D675F0" w14:textId="77777777" w:rsidR="00BF164D" w:rsidRDefault="00BF164D" w:rsidP="00663ECE">
      <w:pPr>
        <w:pStyle w:val="ListParagraph"/>
        <w:spacing w:before="0" w:line="247" w:lineRule="auto"/>
        <w:ind w:left="1276" w:hanging="502"/>
      </w:pPr>
    </w:p>
    <w:p w14:paraId="52D675F1" w14:textId="77777777" w:rsidR="00BF164D" w:rsidRDefault="00BF164D" w:rsidP="00663ECE">
      <w:pPr>
        <w:pStyle w:val="ListParagraph"/>
        <w:numPr>
          <w:ilvl w:val="0"/>
          <w:numId w:val="28"/>
        </w:numPr>
        <w:spacing w:before="0" w:line="247" w:lineRule="auto"/>
        <w:ind w:left="1276" w:hanging="502"/>
      </w:pPr>
      <w:r>
        <w:t>allow for variation of the frequency or coverage area of a multiplex licence, with the aim of improving the coverage of DAB</w:t>
      </w:r>
      <w:r w:rsidR="00A119CA">
        <w:t>;</w:t>
      </w:r>
    </w:p>
    <w:p w14:paraId="52D675F2" w14:textId="77777777" w:rsidR="00CE77F5" w:rsidRDefault="00CE77F5" w:rsidP="00663ECE">
      <w:pPr>
        <w:pStyle w:val="ListParagraph"/>
        <w:ind w:left="1276" w:hanging="502"/>
      </w:pPr>
    </w:p>
    <w:p w14:paraId="52D675F3" w14:textId="77777777" w:rsidR="00CE77F5" w:rsidRDefault="00CA6EA2" w:rsidP="00663ECE">
      <w:pPr>
        <w:pStyle w:val="ListParagraph"/>
        <w:numPr>
          <w:ilvl w:val="0"/>
          <w:numId w:val="28"/>
        </w:numPr>
        <w:spacing w:before="0" w:line="247" w:lineRule="auto"/>
        <w:ind w:left="1276" w:hanging="502"/>
      </w:pPr>
      <w:r>
        <w:t>renew</w:t>
      </w:r>
      <w:r w:rsidR="00CE77F5">
        <w:t xml:space="preserve"> multiplex licences to facilitate investment in DAB coverage</w:t>
      </w:r>
      <w:r w:rsidR="00A119CA">
        <w:t>.</w:t>
      </w:r>
    </w:p>
    <w:p w14:paraId="52D675F4" w14:textId="77777777" w:rsidR="00BF164D" w:rsidRDefault="00BF164D" w:rsidP="00663ECE">
      <w:pPr>
        <w:pStyle w:val="ListParagraph"/>
        <w:spacing w:before="0" w:line="247" w:lineRule="auto"/>
        <w:ind w:left="786" w:hanging="502"/>
      </w:pPr>
    </w:p>
    <w:p w14:paraId="52D675F5" w14:textId="58662FBF" w:rsidR="00D86F06" w:rsidRDefault="00BF164D" w:rsidP="00663ECE">
      <w:pPr>
        <w:pStyle w:val="ListParagraph"/>
        <w:numPr>
          <w:ilvl w:val="0"/>
          <w:numId w:val="24"/>
        </w:numPr>
        <w:spacing w:before="0" w:line="247" w:lineRule="auto"/>
        <w:ind w:hanging="502"/>
      </w:pPr>
      <w:r>
        <w:t xml:space="preserve">The </w:t>
      </w:r>
      <w:r w:rsidR="00F24D31">
        <w:t>2010</w:t>
      </w:r>
      <w:r w:rsidR="000A7D14">
        <w:t xml:space="preserve"> Act</w:t>
      </w:r>
      <w:r>
        <w:t xml:space="preserve"> also sought to reduce regulatory burdens by enabling local stations to share premises and administrative costs within an area approved by O</w:t>
      </w:r>
      <w:r w:rsidR="00006CE3">
        <w:t>fcom</w:t>
      </w:r>
    </w:p>
    <w:p w14:paraId="52D675F6" w14:textId="77777777" w:rsidR="00D86F06" w:rsidRDefault="00D86F06" w:rsidP="00663ECE">
      <w:pPr>
        <w:spacing w:before="0" w:line="247" w:lineRule="auto"/>
        <w:ind w:left="0" w:hanging="502"/>
      </w:pPr>
    </w:p>
    <w:p w14:paraId="52D675F7" w14:textId="1C75671A" w:rsidR="003E3F33" w:rsidRDefault="00782184" w:rsidP="00663ECE">
      <w:pPr>
        <w:pStyle w:val="ListParagraph"/>
        <w:numPr>
          <w:ilvl w:val="0"/>
          <w:numId w:val="24"/>
        </w:numPr>
        <w:spacing w:before="0" w:line="247" w:lineRule="auto"/>
        <w:ind w:hanging="502"/>
      </w:pPr>
      <w:r>
        <w:t>A</w:t>
      </w:r>
      <w:r w:rsidR="00A119CA">
        <w:t>t the</w:t>
      </w:r>
      <w:r w:rsidR="002D409B" w:rsidRPr="002D409B">
        <w:t xml:space="preserve"> time</w:t>
      </w:r>
      <w:r w:rsidR="00F105A2">
        <w:t xml:space="preserve"> the legislation was enacted</w:t>
      </w:r>
      <w:r w:rsidR="002D409B" w:rsidRPr="002D409B">
        <w:t xml:space="preserve">, </w:t>
      </w:r>
      <w:r w:rsidR="00D86F06">
        <w:t xml:space="preserve">the </w:t>
      </w:r>
      <w:r w:rsidR="002D409B" w:rsidRPr="002D409B">
        <w:t xml:space="preserve">Government and </w:t>
      </w:r>
      <w:r w:rsidR="003E3F33">
        <w:t>radio i</w:t>
      </w:r>
      <w:r w:rsidR="002D409B" w:rsidRPr="002D409B">
        <w:t xml:space="preserve">ndustry anticipated that a timetable for switchover </w:t>
      </w:r>
      <w:r w:rsidR="000405AD">
        <w:t>c</w:t>
      </w:r>
      <w:r w:rsidR="002D409B" w:rsidRPr="002D409B">
        <w:t xml:space="preserve">ould be set </w:t>
      </w:r>
      <w:r w:rsidR="00CE77F5">
        <w:t xml:space="preserve">as early as 2015 </w:t>
      </w:r>
      <w:r w:rsidR="00F105A2">
        <w:t>and that</w:t>
      </w:r>
      <w:r w:rsidR="00006CE3">
        <w:t>,</w:t>
      </w:r>
      <w:r w:rsidR="00F105A2">
        <w:t xml:space="preserve"> with good progress</w:t>
      </w:r>
      <w:r w:rsidR="00006CE3">
        <w:t>,</w:t>
      </w:r>
      <w:r w:rsidR="00F105A2">
        <w:t xml:space="preserve"> </w:t>
      </w:r>
      <w:r w:rsidR="00743318">
        <w:t xml:space="preserve">a switchover </w:t>
      </w:r>
      <w:r w:rsidR="00F105A2">
        <w:t>c</w:t>
      </w:r>
      <w:r w:rsidR="00743318">
        <w:t>ould be c</w:t>
      </w:r>
      <w:r w:rsidR="002D409B" w:rsidRPr="002D409B">
        <w:t xml:space="preserve">ompleted </w:t>
      </w:r>
      <w:r w:rsidR="00F105A2">
        <w:t xml:space="preserve">in </w:t>
      </w:r>
      <w:r w:rsidR="00743318">
        <w:t xml:space="preserve">2017 or </w:t>
      </w:r>
      <w:r w:rsidR="002D409B" w:rsidRPr="002D409B">
        <w:t>2018.</w:t>
      </w:r>
      <w:r w:rsidR="00D86F06">
        <w:t xml:space="preserve"> </w:t>
      </w:r>
      <w:r w:rsidR="002D409B" w:rsidRPr="002D409B">
        <w:t>The proposed seven</w:t>
      </w:r>
      <w:r w:rsidR="00010B6D">
        <w:t>-</w:t>
      </w:r>
      <w:r w:rsidR="002D409B" w:rsidRPr="002D409B">
        <w:t>year duration for licence renewals</w:t>
      </w:r>
      <w:r w:rsidR="00743318">
        <w:t xml:space="preserve"> in </w:t>
      </w:r>
      <w:r w:rsidR="00006CE3">
        <w:t>2010</w:t>
      </w:r>
      <w:r w:rsidR="00743318">
        <w:t xml:space="preserve"> Act </w:t>
      </w:r>
      <w:r w:rsidR="005B238A">
        <w:t xml:space="preserve">therefore </w:t>
      </w:r>
      <w:r w:rsidR="002D409B" w:rsidRPr="002D409B">
        <w:t>reflected this expectation</w:t>
      </w:r>
      <w:r w:rsidR="00517040">
        <w:t>,</w:t>
      </w:r>
      <w:r w:rsidR="005B238A">
        <w:t xml:space="preserve"> as</w:t>
      </w:r>
      <w:r w:rsidR="00F105A2">
        <w:t xml:space="preserve"> </w:t>
      </w:r>
      <w:r w:rsidR="002D409B" w:rsidRPr="002D409B">
        <w:t xml:space="preserve">in </w:t>
      </w:r>
      <w:r w:rsidR="00743318">
        <w:t xml:space="preserve">such a </w:t>
      </w:r>
      <w:r w:rsidR="002D409B" w:rsidRPr="002D409B">
        <w:t xml:space="preserve">scenario it made sense </w:t>
      </w:r>
      <w:r w:rsidR="00646023">
        <w:t>for</w:t>
      </w:r>
      <w:r w:rsidR="00743318">
        <w:t xml:space="preserve"> </w:t>
      </w:r>
      <w:r w:rsidR="002D409B" w:rsidRPr="002D409B">
        <w:t xml:space="preserve">analogue licenses to begin to lapse around this time. </w:t>
      </w:r>
    </w:p>
    <w:p w14:paraId="52D675F8" w14:textId="77777777" w:rsidR="00361FA6" w:rsidRDefault="00361FA6" w:rsidP="00663ECE">
      <w:pPr>
        <w:spacing w:before="0" w:line="247" w:lineRule="auto"/>
        <w:ind w:left="0" w:hanging="502"/>
      </w:pPr>
    </w:p>
    <w:p w14:paraId="52D675F9" w14:textId="77777777" w:rsidR="00361FA6" w:rsidRDefault="000405AD" w:rsidP="00663ECE">
      <w:pPr>
        <w:pStyle w:val="ListParagraph"/>
        <w:numPr>
          <w:ilvl w:val="0"/>
          <w:numId w:val="24"/>
        </w:numPr>
        <w:spacing w:before="0" w:line="247" w:lineRule="auto"/>
        <w:ind w:hanging="502"/>
      </w:pPr>
      <w:r>
        <w:t xml:space="preserve">Following </w:t>
      </w:r>
      <w:r w:rsidR="00361FA6" w:rsidRPr="002D409B">
        <w:t>the 2010 Act</w:t>
      </w:r>
      <w:r w:rsidR="00590413">
        <w:t xml:space="preserve">, </w:t>
      </w:r>
      <w:r>
        <w:t xml:space="preserve">the </w:t>
      </w:r>
      <w:r w:rsidR="00361FA6" w:rsidRPr="002D409B">
        <w:t>Government</w:t>
      </w:r>
      <w:r w:rsidR="00590413">
        <w:t xml:space="preserve">, the radio industry and other stakeholders came together through </w:t>
      </w:r>
      <w:r w:rsidR="00BB0DDA">
        <w:t xml:space="preserve">the </w:t>
      </w:r>
      <w:r>
        <w:t xml:space="preserve">Government/Industry </w:t>
      </w:r>
      <w:r w:rsidR="00361FA6" w:rsidRPr="002D409B">
        <w:t>Digital Radio Action Plan</w:t>
      </w:r>
      <w:r w:rsidR="00590413">
        <w:t xml:space="preserve"> to</w:t>
      </w:r>
      <w:r w:rsidR="00010B6D">
        <w:t xml:space="preserve"> consider </w:t>
      </w:r>
      <w:r w:rsidR="00590413">
        <w:t>whether a radio switchover was feasible and</w:t>
      </w:r>
      <w:r w:rsidR="00010B6D">
        <w:t>,</w:t>
      </w:r>
      <w:r w:rsidR="00590413">
        <w:t xml:space="preserve"> if so</w:t>
      </w:r>
      <w:r w:rsidR="00010B6D">
        <w:t>,</w:t>
      </w:r>
      <w:r w:rsidR="00590413">
        <w:t xml:space="preserve"> how it </w:t>
      </w:r>
      <w:r w:rsidR="00BB0DDA">
        <w:t>c</w:t>
      </w:r>
      <w:r w:rsidR="00590413">
        <w:t>ould be deliver</w:t>
      </w:r>
      <w:r w:rsidR="00BB0DDA">
        <w:t xml:space="preserve">ed and what actions broadcasters, radio manufacturers, retailers and the motor industry </w:t>
      </w:r>
      <w:r w:rsidR="00590413">
        <w:t>would need to take to make switchover a reality</w:t>
      </w:r>
      <w:r w:rsidR="00104C80">
        <w:t>.</w:t>
      </w:r>
      <w:r w:rsidR="00361FA6">
        <w:t xml:space="preserve"> </w:t>
      </w:r>
    </w:p>
    <w:p w14:paraId="52D675FA" w14:textId="77777777" w:rsidR="005E2FDB" w:rsidRDefault="005E2FDB" w:rsidP="00663ECE">
      <w:pPr>
        <w:spacing w:before="0" w:line="247" w:lineRule="auto"/>
        <w:ind w:left="0" w:hanging="502"/>
      </w:pPr>
    </w:p>
    <w:p w14:paraId="52D675FB" w14:textId="77777777" w:rsidR="00E76476" w:rsidRDefault="00CE77F5" w:rsidP="00663ECE">
      <w:pPr>
        <w:pStyle w:val="ListParagraph"/>
        <w:numPr>
          <w:ilvl w:val="0"/>
          <w:numId w:val="24"/>
        </w:numPr>
        <w:spacing w:before="0" w:line="247" w:lineRule="auto"/>
        <w:ind w:hanging="502"/>
      </w:pPr>
      <w:r>
        <w:t xml:space="preserve">Helped by the work of the Action Plan, </w:t>
      </w:r>
      <w:r w:rsidR="000405AD">
        <w:t>d</w:t>
      </w:r>
      <w:r w:rsidR="00010B6D" w:rsidRPr="002D409B">
        <w:t xml:space="preserve">igital radio </w:t>
      </w:r>
      <w:r w:rsidR="00010B6D">
        <w:t xml:space="preserve">listening </w:t>
      </w:r>
      <w:r w:rsidR="00010B6D" w:rsidRPr="002D409B">
        <w:t xml:space="preserve">and ownership of </w:t>
      </w:r>
      <w:r w:rsidR="00010B6D">
        <w:t xml:space="preserve">DAB </w:t>
      </w:r>
      <w:r w:rsidR="00010B6D" w:rsidRPr="002D409B">
        <w:t>sets have both grown</w:t>
      </w:r>
      <w:r w:rsidR="00010B6D">
        <w:t xml:space="preserve"> steadily</w:t>
      </w:r>
      <w:r>
        <w:t xml:space="preserve">. However, the </w:t>
      </w:r>
      <w:r w:rsidR="00010B6D">
        <w:t xml:space="preserve">rate </w:t>
      </w:r>
      <w:r w:rsidR="000405AD">
        <w:t xml:space="preserve">of growth </w:t>
      </w:r>
      <w:r w:rsidR="00A119CA">
        <w:t>has been</w:t>
      </w:r>
      <w:r w:rsidR="000405AD">
        <w:t xml:space="preserve"> slower </w:t>
      </w:r>
      <w:r w:rsidR="00010B6D">
        <w:t>than was forecast in the Digital Britain report</w:t>
      </w:r>
      <w:r w:rsidR="00864CCC">
        <w:t xml:space="preserve"> published by the previous government in </w:t>
      </w:r>
      <w:r w:rsidR="00864CCC">
        <w:lastRenderedPageBreak/>
        <w:t>2009</w:t>
      </w:r>
      <w:r w:rsidR="004171D0">
        <w:t>.</w:t>
      </w:r>
      <w:r w:rsidR="005B238A">
        <w:t xml:space="preserve"> </w:t>
      </w:r>
      <w:r w:rsidR="004171D0">
        <w:t>I</w:t>
      </w:r>
      <w:r>
        <w:t xml:space="preserve">n </w:t>
      </w:r>
      <w:r w:rsidR="00590413">
        <w:t>December 2013, f</w:t>
      </w:r>
      <w:r w:rsidR="003E3F33" w:rsidRPr="003E3F33">
        <w:t>ollowing the completion of work on the Digital Radio Action Plan</w:t>
      </w:r>
      <w:r w:rsidR="000A7D14">
        <w:rPr>
          <w:rStyle w:val="FootnoteReference"/>
        </w:rPr>
        <w:footnoteReference w:id="2"/>
      </w:r>
      <w:r w:rsidR="003E3F33" w:rsidRPr="003E3F33">
        <w:t xml:space="preserve">, the Government concluded that it was not the right time to commit to a radio switchover or </w:t>
      </w:r>
      <w:r w:rsidR="00864CCC">
        <w:t xml:space="preserve">set </w:t>
      </w:r>
      <w:r w:rsidR="005B238A">
        <w:t xml:space="preserve">a </w:t>
      </w:r>
      <w:r w:rsidR="00864CCC">
        <w:t xml:space="preserve">firm or indicative </w:t>
      </w:r>
      <w:r w:rsidR="003E3F33" w:rsidRPr="003E3F33">
        <w:t xml:space="preserve">timetable </w:t>
      </w:r>
      <w:r w:rsidR="00BF164D">
        <w:t xml:space="preserve">for a future switchover. The Government </w:t>
      </w:r>
      <w:r w:rsidR="00864CCC">
        <w:t xml:space="preserve">instead announced </w:t>
      </w:r>
      <w:r w:rsidR="003E3F33" w:rsidRPr="003E3F33">
        <w:t>a package of measures to support the next phase of the radio industry’s transition to digital</w:t>
      </w:r>
      <w:r w:rsidR="00006CE3">
        <w:t>,</w:t>
      </w:r>
      <w:r w:rsidR="003E3F33" w:rsidRPr="003E3F33">
        <w:t xml:space="preserve"> including financial support for the build out of the local DAB network to raise coverage from 72% </w:t>
      </w:r>
      <w:r w:rsidR="00FE3712">
        <w:t xml:space="preserve">of homes </w:t>
      </w:r>
      <w:r w:rsidR="003E3F33" w:rsidRPr="003E3F33">
        <w:t>now</w:t>
      </w:r>
      <w:r w:rsidR="004A6BBF">
        <w:t>,</w:t>
      </w:r>
      <w:r w:rsidR="003E3F33" w:rsidRPr="003E3F33">
        <w:t xml:space="preserve"> to 90% by the end of 2016. </w:t>
      </w:r>
    </w:p>
    <w:p w14:paraId="52D675FC" w14:textId="77777777" w:rsidR="00E76476" w:rsidRDefault="00E76476" w:rsidP="00663ECE">
      <w:pPr>
        <w:spacing w:before="0" w:line="247" w:lineRule="auto"/>
        <w:ind w:left="0" w:hanging="502"/>
      </w:pPr>
    </w:p>
    <w:p w14:paraId="52D675FD" w14:textId="77777777" w:rsidR="00CE77F5" w:rsidRDefault="003E3F33" w:rsidP="00663ECE">
      <w:pPr>
        <w:pStyle w:val="ListParagraph"/>
        <w:numPr>
          <w:ilvl w:val="0"/>
          <w:numId w:val="24"/>
        </w:numPr>
        <w:spacing w:before="0" w:line="247" w:lineRule="auto"/>
        <w:ind w:hanging="502"/>
      </w:pPr>
      <w:r>
        <w:t>As a result of the Government’s decision</w:t>
      </w:r>
      <w:r w:rsidR="00E76476">
        <w:t xml:space="preserve"> last December</w:t>
      </w:r>
      <w:r w:rsidR="00E643E2">
        <w:t>,</w:t>
      </w:r>
      <w:r w:rsidR="00E76476">
        <w:t xml:space="preserve"> </w:t>
      </w:r>
      <w:r w:rsidR="00006CE3">
        <w:t>the licences of over 60</w:t>
      </w:r>
      <w:r w:rsidR="00FE3712">
        <w:t xml:space="preserve"> </w:t>
      </w:r>
      <w:r w:rsidR="00E76476">
        <w:t xml:space="preserve">radio </w:t>
      </w:r>
      <w:r>
        <w:t xml:space="preserve">stations </w:t>
      </w:r>
      <w:r w:rsidR="00006CE3">
        <w:t>which</w:t>
      </w:r>
      <w:r w:rsidR="00A119CA">
        <w:t xml:space="preserve"> were </w:t>
      </w:r>
      <w:r w:rsidR="00CA6EA2">
        <w:t>renew</w:t>
      </w:r>
      <w:r w:rsidR="00A119CA">
        <w:t xml:space="preserve">ed under </w:t>
      </w:r>
      <w:r w:rsidR="008362E3">
        <w:t>the 2010 Act’s</w:t>
      </w:r>
      <w:r w:rsidR="00E76476">
        <w:t xml:space="preserve"> provisions </w:t>
      </w:r>
      <w:r w:rsidR="004A6BBF">
        <w:t xml:space="preserve">will </w:t>
      </w:r>
      <w:r w:rsidR="0044569D">
        <w:t>expire between 2017 and 2021</w:t>
      </w:r>
      <w:r w:rsidR="00006CE3">
        <w:t>,</w:t>
      </w:r>
      <w:r w:rsidR="009D17EC">
        <w:t xml:space="preserve"> </w:t>
      </w:r>
      <w:r w:rsidR="00BF164D">
        <w:t>before the date when a switchover is possible</w:t>
      </w:r>
      <w:r w:rsidR="00010B6D">
        <w:t xml:space="preserve">. Under current legislation, these stations </w:t>
      </w:r>
      <w:r w:rsidR="00BF164D">
        <w:t xml:space="preserve">would need to </w:t>
      </w:r>
      <w:r w:rsidR="00FC0ECE">
        <w:t xml:space="preserve">bid for their </w:t>
      </w:r>
      <w:r w:rsidR="002D409B" w:rsidRPr="002D409B">
        <w:t>licence</w:t>
      </w:r>
      <w:r w:rsidR="004A6BBF">
        <w:t>s</w:t>
      </w:r>
      <w:r w:rsidR="00010B6D">
        <w:t xml:space="preserve"> through a competitive </w:t>
      </w:r>
      <w:r w:rsidR="00864CCC">
        <w:t>process</w:t>
      </w:r>
      <w:r w:rsidR="004A6BBF">
        <w:t xml:space="preserve">. </w:t>
      </w:r>
      <w:r w:rsidR="002D409B" w:rsidRPr="002D409B">
        <w:t xml:space="preserve">All three national licences are affected, </w:t>
      </w:r>
      <w:r w:rsidR="005B238A">
        <w:t>as are over</w:t>
      </w:r>
      <w:r w:rsidR="002D409B" w:rsidRPr="002D409B">
        <w:t xml:space="preserve"> </w:t>
      </w:r>
      <w:r w:rsidR="0044569D">
        <w:t>60</w:t>
      </w:r>
      <w:r w:rsidR="002D409B" w:rsidRPr="002D409B">
        <w:t xml:space="preserve"> local licences</w:t>
      </w:r>
      <w:r w:rsidR="005B238A">
        <w:t>.</w:t>
      </w:r>
    </w:p>
    <w:p w14:paraId="52D675FE" w14:textId="77777777" w:rsidR="005B238A" w:rsidRDefault="005B238A" w:rsidP="00663ECE">
      <w:pPr>
        <w:spacing w:before="0" w:line="247" w:lineRule="auto"/>
        <w:ind w:left="0" w:hanging="502"/>
      </w:pPr>
    </w:p>
    <w:p w14:paraId="52D675FF" w14:textId="6520A8B3" w:rsidR="0068777F" w:rsidRDefault="00864CCC" w:rsidP="00663ECE">
      <w:pPr>
        <w:pStyle w:val="ListParagraph"/>
        <w:numPr>
          <w:ilvl w:val="0"/>
          <w:numId w:val="24"/>
        </w:numPr>
        <w:spacing w:before="0" w:line="247" w:lineRule="auto"/>
        <w:ind w:hanging="502"/>
      </w:pPr>
      <w:r>
        <w:t>T</w:t>
      </w:r>
      <w:r w:rsidR="00010B6D">
        <w:t>he Government wan</w:t>
      </w:r>
      <w:r w:rsidR="002D409B" w:rsidRPr="002D409B">
        <w:t>t</w:t>
      </w:r>
      <w:r w:rsidR="00010B6D">
        <w:t>s</w:t>
      </w:r>
      <w:r w:rsidR="002D409B" w:rsidRPr="002D409B">
        <w:t xml:space="preserve"> </w:t>
      </w:r>
      <w:r w:rsidR="00010B6D">
        <w:t xml:space="preserve">to </w:t>
      </w:r>
      <w:r w:rsidR="002D409B" w:rsidRPr="002D409B">
        <w:t xml:space="preserve">examine whether licences which have </w:t>
      </w:r>
      <w:r w:rsidR="00BB0DDA">
        <w:t xml:space="preserve">been renewed for </w:t>
      </w:r>
      <w:r w:rsidR="00517040">
        <w:t xml:space="preserve">a </w:t>
      </w:r>
      <w:r w:rsidR="002D409B" w:rsidRPr="002D409B">
        <w:t xml:space="preserve">second </w:t>
      </w:r>
      <w:r w:rsidR="00BB0DDA">
        <w:t xml:space="preserve">time </w:t>
      </w:r>
      <w:r w:rsidR="002D409B" w:rsidRPr="002D409B">
        <w:t>(and licences which will</w:t>
      </w:r>
      <w:r w:rsidR="00782184">
        <w:t xml:space="preserve"> soon</w:t>
      </w:r>
      <w:r w:rsidR="002D409B" w:rsidRPr="002D409B">
        <w:t xml:space="preserve"> be eligible for a second renewal) </w:t>
      </w:r>
      <w:r w:rsidR="008027B5">
        <w:t xml:space="preserve">should qualify for a further </w:t>
      </w:r>
      <w:r w:rsidR="00CA6EA2">
        <w:t>renewal</w:t>
      </w:r>
      <w:r w:rsidR="009075B2">
        <w:t xml:space="preserve">. </w:t>
      </w:r>
      <w:r w:rsidR="002D409B" w:rsidRPr="002D409B">
        <w:t xml:space="preserve">Underpinning this is the need to ensure that Government </w:t>
      </w:r>
      <w:r w:rsidR="00E643E2">
        <w:t xml:space="preserve">continues to </w:t>
      </w:r>
      <w:r w:rsidR="002D409B" w:rsidRPr="002D409B">
        <w:t xml:space="preserve">support the sector </w:t>
      </w:r>
      <w:r w:rsidR="00E643E2">
        <w:t xml:space="preserve">as it </w:t>
      </w:r>
      <w:r w:rsidR="0068777F">
        <w:t xml:space="preserve">continues </w:t>
      </w:r>
      <w:r w:rsidR="00640386">
        <w:t xml:space="preserve">to meet the tri-fold challenges of </w:t>
      </w:r>
      <w:r w:rsidR="0068777F">
        <w:t>t</w:t>
      </w:r>
      <w:r w:rsidR="004A6BBF">
        <w:t>he</w:t>
      </w:r>
      <w:r w:rsidR="0068777F">
        <w:t xml:space="preserve"> transition from </w:t>
      </w:r>
      <w:r w:rsidR="00E643E2">
        <w:t>analogue to digital</w:t>
      </w:r>
      <w:r w:rsidR="00A119CA">
        <w:t xml:space="preserve">, </w:t>
      </w:r>
      <w:r w:rsidR="00BB0DDA">
        <w:t>recover</w:t>
      </w:r>
      <w:r w:rsidR="00640386">
        <w:t>y</w:t>
      </w:r>
      <w:r w:rsidR="00BB0DDA">
        <w:t xml:space="preserve"> from the fall in </w:t>
      </w:r>
      <w:r w:rsidR="00340B82">
        <w:t>advertising revenues</w:t>
      </w:r>
      <w:r w:rsidR="00BB0DDA">
        <w:t xml:space="preserve"> between </w:t>
      </w:r>
      <w:r>
        <w:t>2008 and 2009</w:t>
      </w:r>
      <w:r w:rsidR="00A119CA">
        <w:t>,</w:t>
      </w:r>
      <w:r>
        <w:t xml:space="preserve"> </w:t>
      </w:r>
      <w:r w:rsidR="002D409B" w:rsidRPr="002D409B">
        <w:t xml:space="preserve">and </w:t>
      </w:r>
      <w:r w:rsidR="00BB0DDA">
        <w:t>the grow</w:t>
      </w:r>
      <w:r w:rsidR="00640386">
        <w:t>th in</w:t>
      </w:r>
      <w:r w:rsidR="00BB0DDA">
        <w:t xml:space="preserve"> new forms of </w:t>
      </w:r>
      <w:r w:rsidR="002D409B" w:rsidRPr="002D409B">
        <w:t>audio content</w:t>
      </w:r>
      <w:r w:rsidR="008E13A8">
        <w:t>.</w:t>
      </w:r>
    </w:p>
    <w:p w14:paraId="52D67600" w14:textId="77777777" w:rsidR="0068777F" w:rsidRDefault="0068777F" w:rsidP="00663ECE">
      <w:pPr>
        <w:spacing w:before="0" w:line="247" w:lineRule="auto"/>
        <w:ind w:left="0" w:hanging="502"/>
      </w:pPr>
    </w:p>
    <w:p w14:paraId="52D67601" w14:textId="26EE0135" w:rsidR="004C4260" w:rsidRDefault="00E643E2" w:rsidP="00663ECE">
      <w:pPr>
        <w:pStyle w:val="ListParagraph"/>
        <w:numPr>
          <w:ilvl w:val="0"/>
          <w:numId w:val="24"/>
        </w:numPr>
        <w:spacing w:before="0" w:line="247" w:lineRule="auto"/>
        <w:ind w:hanging="502"/>
      </w:pPr>
      <w:r>
        <w:t xml:space="preserve">The Government’s view is that </w:t>
      </w:r>
      <w:r w:rsidR="000A7D14">
        <w:t>following last December’s decision, the commercial radio industry needs a period of stability to complete the build</w:t>
      </w:r>
      <w:r w:rsidR="004C4260">
        <w:t xml:space="preserve"> out of </w:t>
      </w:r>
      <w:r w:rsidR="00615832">
        <w:t xml:space="preserve">digital radio </w:t>
      </w:r>
      <w:r w:rsidR="004C4260">
        <w:t>coverage, to fin</w:t>
      </w:r>
      <w:r w:rsidR="000A7D14">
        <w:t xml:space="preserve">d a </w:t>
      </w:r>
      <w:r w:rsidR="004C4260">
        <w:t xml:space="preserve">practical </w:t>
      </w:r>
      <w:r w:rsidR="000A7D14">
        <w:t xml:space="preserve">digital radio solution for </w:t>
      </w:r>
      <w:r w:rsidR="004C4260">
        <w:t xml:space="preserve">the smallest AM and FM </w:t>
      </w:r>
      <w:r w:rsidR="000A7D14">
        <w:t xml:space="preserve">stations, and </w:t>
      </w:r>
      <w:r w:rsidR="004C4260">
        <w:t xml:space="preserve">to </w:t>
      </w:r>
      <w:r w:rsidR="00615832">
        <w:t>continue</w:t>
      </w:r>
      <w:r w:rsidR="000A7D14">
        <w:t xml:space="preserve"> the excellent progress</w:t>
      </w:r>
      <w:r w:rsidR="00615832">
        <w:t xml:space="preserve"> made</w:t>
      </w:r>
      <w:r w:rsidR="000A7D14">
        <w:t xml:space="preserve"> with </w:t>
      </w:r>
      <w:r w:rsidR="004C4260">
        <w:t xml:space="preserve">the car industry under the </w:t>
      </w:r>
      <w:r w:rsidR="00615832">
        <w:t>D</w:t>
      </w:r>
      <w:r w:rsidR="004C4260">
        <w:t>igital</w:t>
      </w:r>
      <w:r w:rsidR="00615832">
        <w:t xml:space="preserve"> Radio</w:t>
      </w:r>
      <w:r w:rsidR="004C4260">
        <w:t xml:space="preserve"> </w:t>
      </w:r>
      <w:r w:rsidR="00615832">
        <w:t>Action P</w:t>
      </w:r>
      <w:r w:rsidR="004C4260">
        <w:t>lan</w:t>
      </w:r>
      <w:r w:rsidR="000A7D14">
        <w:t xml:space="preserve">. </w:t>
      </w:r>
      <w:r w:rsidR="004C4260" w:rsidRPr="004E13D2">
        <w:t>The Government believes t</w:t>
      </w:r>
      <w:r w:rsidR="000A7D14" w:rsidRPr="004E13D2">
        <w:t xml:space="preserve">his is </w:t>
      </w:r>
      <w:r w:rsidRPr="004E13D2">
        <w:t xml:space="preserve">best achieved by allowing </w:t>
      </w:r>
      <w:r w:rsidR="00BB0DDA" w:rsidRPr="004E13D2">
        <w:t xml:space="preserve">commercial </w:t>
      </w:r>
      <w:r w:rsidRPr="004E13D2">
        <w:t xml:space="preserve">radio stations </w:t>
      </w:r>
      <w:r w:rsidR="00BB0DDA" w:rsidRPr="004E13D2">
        <w:t xml:space="preserve">to renew licences for </w:t>
      </w:r>
      <w:r w:rsidR="00517040" w:rsidRPr="004E13D2">
        <w:t xml:space="preserve">a </w:t>
      </w:r>
      <w:r w:rsidRPr="004E13D2">
        <w:t xml:space="preserve">further period of five years. </w:t>
      </w:r>
      <w:r>
        <w:t>This would bring the</w:t>
      </w:r>
      <w:r w:rsidR="00BB0DDA">
        <w:t xml:space="preserve">se licences </w:t>
      </w:r>
      <w:r>
        <w:t xml:space="preserve">into line with the 12 year period available for new FM licences and </w:t>
      </w:r>
      <w:r w:rsidR="00C145CD">
        <w:t xml:space="preserve">licences renewed under </w:t>
      </w:r>
      <w:r>
        <w:t xml:space="preserve">s104A </w:t>
      </w:r>
      <w:r w:rsidR="00C145CD">
        <w:t>of the Broadcasting Act 199</w:t>
      </w:r>
      <w:r w:rsidR="001621BC">
        <w:t>0</w:t>
      </w:r>
      <w:r w:rsidR="004A6BBF">
        <w:t>,</w:t>
      </w:r>
      <w:r>
        <w:t xml:space="preserve"> which Ofcom </w:t>
      </w:r>
      <w:r w:rsidR="00C145CD">
        <w:t xml:space="preserve">has recently </w:t>
      </w:r>
      <w:r>
        <w:t>introduc</w:t>
      </w:r>
      <w:r w:rsidR="00C145CD">
        <w:t>ed</w:t>
      </w:r>
      <w:r>
        <w:t xml:space="preserve"> following its consultation earlier this year</w:t>
      </w:r>
      <w:r w:rsidR="008362E3">
        <w:t>.</w:t>
      </w:r>
      <w:r w:rsidR="008362E3">
        <w:rPr>
          <w:rStyle w:val="FootnoteReference"/>
        </w:rPr>
        <w:footnoteReference w:id="3"/>
      </w:r>
      <w:r>
        <w:t xml:space="preserve"> </w:t>
      </w:r>
      <w:r w:rsidR="00CE77F5">
        <w:t xml:space="preserve">Such a change would </w:t>
      </w:r>
      <w:r w:rsidR="00F50114">
        <w:t xml:space="preserve">avoid </w:t>
      </w:r>
      <w:r w:rsidR="00640386">
        <w:t>the</w:t>
      </w:r>
      <w:r w:rsidR="00CE77F5">
        <w:t xml:space="preserve"> </w:t>
      </w:r>
      <w:r w:rsidR="00615832">
        <w:t>likely period of instability</w:t>
      </w:r>
      <w:r w:rsidR="00640386">
        <w:t xml:space="preserve"> that would follow</w:t>
      </w:r>
      <w:r w:rsidR="00CE77F5">
        <w:t xml:space="preserve"> all </w:t>
      </w:r>
      <w:r w:rsidR="00F50114">
        <w:t>national and</w:t>
      </w:r>
      <w:r w:rsidR="00646023">
        <w:t xml:space="preserve"> </w:t>
      </w:r>
      <w:r w:rsidR="00CE77F5">
        <w:t xml:space="preserve">many </w:t>
      </w:r>
      <w:r w:rsidR="00F50114">
        <w:t>local licences coming up for renewal</w:t>
      </w:r>
      <w:r w:rsidR="00615832">
        <w:t xml:space="preserve"> </w:t>
      </w:r>
      <w:r w:rsidR="00BB0DDA">
        <w:t xml:space="preserve">over a relatively </w:t>
      </w:r>
      <w:r w:rsidR="00F50114">
        <w:t>short period</w:t>
      </w:r>
      <w:r w:rsidR="00CE77F5">
        <w:t xml:space="preserve">. </w:t>
      </w:r>
      <w:r w:rsidR="004C4260" w:rsidRPr="004E13D2">
        <w:t xml:space="preserve">As well as being a </w:t>
      </w:r>
      <w:r w:rsidR="00F50114" w:rsidRPr="004E13D2">
        <w:t>distract</w:t>
      </w:r>
      <w:r w:rsidR="00CE77F5" w:rsidRPr="004E13D2">
        <w:t>ion</w:t>
      </w:r>
      <w:r w:rsidR="00640386">
        <w:t xml:space="preserve"> from its focus on the continued transition to digital radio,</w:t>
      </w:r>
      <w:r w:rsidR="00CE77F5" w:rsidRPr="004E13D2">
        <w:t xml:space="preserve"> </w:t>
      </w:r>
      <w:r w:rsidR="003E3D08" w:rsidRPr="004E13D2">
        <w:t>the</w:t>
      </w:r>
      <w:r w:rsidR="00640386">
        <w:t xml:space="preserve"> application,</w:t>
      </w:r>
      <w:r w:rsidR="003E3D08" w:rsidRPr="004E13D2">
        <w:t xml:space="preserve"> bidding and awards process would come at a significant cost to </w:t>
      </w:r>
      <w:r w:rsidR="00640386">
        <w:t xml:space="preserve">the radio </w:t>
      </w:r>
      <w:r w:rsidR="003E3D08" w:rsidRPr="004E13D2">
        <w:t>industry, at a time when advertising revenues are still in recovery and the challenges posed by new audio services continue to grow.</w:t>
      </w:r>
      <w:r w:rsidR="003E3D08">
        <w:t xml:space="preserve">  </w:t>
      </w:r>
      <w:r w:rsidR="005D5FFE">
        <w:t xml:space="preserve">  </w:t>
      </w:r>
    </w:p>
    <w:p w14:paraId="52D67602" w14:textId="77777777" w:rsidR="003E3D08" w:rsidRDefault="003E3D08" w:rsidP="00663ECE">
      <w:pPr>
        <w:pStyle w:val="ListParagraph"/>
        <w:spacing w:before="0" w:line="247" w:lineRule="auto"/>
        <w:ind w:left="786" w:hanging="502"/>
      </w:pPr>
    </w:p>
    <w:p w14:paraId="52D67603" w14:textId="77777777" w:rsidR="00E5441E" w:rsidRDefault="00CE77F5" w:rsidP="00663ECE">
      <w:pPr>
        <w:pStyle w:val="ListParagraph"/>
        <w:numPr>
          <w:ilvl w:val="0"/>
          <w:numId w:val="24"/>
        </w:numPr>
        <w:spacing w:before="0" w:line="247" w:lineRule="auto"/>
        <w:ind w:hanging="502"/>
      </w:pPr>
      <w:r>
        <w:t>T</w:t>
      </w:r>
      <w:r w:rsidR="00C145CD">
        <w:t xml:space="preserve">he Government recognises that such a change </w:t>
      </w:r>
      <w:r w:rsidR="00E5441E">
        <w:t>raise</w:t>
      </w:r>
      <w:r w:rsidR="00615832">
        <w:t>s</w:t>
      </w:r>
      <w:r w:rsidR="00E5441E">
        <w:t xml:space="preserve"> a number of important </w:t>
      </w:r>
      <w:r w:rsidR="00C145CD">
        <w:t xml:space="preserve">public </w:t>
      </w:r>
      <w:r w:rsidR="00E5441E">
        <w:t>policy issues</w:t>
      </w:r>
      <w:r w:rsidR="00615832">
        <w:t>, however,</w:t>
      </w:r>
      <w:r w:rsidR="00E5441E">
        <w:t xml:space="preserve"> and </w:t>
      </w:r>
      <w:r w:rsidR="003E3D08">
        <w:t>wishes</w:t>
      </w:r>
      <w:r>
        <w:t xml:space="preserve"> to consult on changes to determine whether this approach is necessary</w:t>
      </w:r>
      <w:r w:rsidR="00615832">
        <w:t xml:space="preserve"> to support</w:t>
      </w:r>
      <w:r w:rsidR="001D6FAA">
        <w:t xml:space="preserve"> the </w:t>
      </w:r>
      <w:r w:rsidR="00E5441E" w:rsidRPr="002D409B">
        <w:t xml:space="preserve">sustainability of the </w:t>
      </w:r>
      <w:r w:rsidR="00615832">
        <w:t>radio sector.</w:t>
      </w:r>
    </w:p>
    <w:p w14:paraId="52D67604" w14:textId="77777777" w:rsidR="00E5441E" w:rsidRDefault="00E5441E" w:rsidP="00663ECE">
      <w:pPr>
        <w:spacing w:before="0" w:line="247" w:lineRule="auto"/>
        <w:ind w:left="0" w:hanging="502"/>
      </w:pPr>
    </w:p>
    <w:p w14:paraId="52D67605" w14:textId="7481F697" w:rsidR="0068777F" w:rsidRDefault="00E5441E" w:rsidP="00663ECE">
      <w:pPr>
        <w:pStyle w:val="ListParagraph"/>
        <w:numPr>
          <w:ilvl w:val="0"/>
          <w:numId w:val="24"/>
        </w:numPr>
        <w:spacing w:before="0" w:line="247" w:lineRule="auto"/>
        <w:ind w:hanging="502"/>
      </w:pPr>
      <w:r>
        <w:lastRenderedPageBreak/>
        <w:t xml:space="preserve">We therefore want to </w:t>
      </w:r>
      <w:r w:rsidR="0068777F">
        <w:t xml:space="preserve">take views from </w:t>
      </w:r>
      <w:r w:rsidR="00C145CD">
        <w:t xml:space="preserve">across </w:t>
      </w:r>
      <w:r w:rsidR="0068777F">
        <w:t>the radio industry</w:t>
      </w:r>
      <w:r w:rsidR="00615832">
        <w:t>,</w:t>
      </w:r>
      <w:r w:rsidR="0068777F">
        <w:t xml:space="preserve"> and more widely</w:t>
      </w:r>
      <w:r w:rsidR="00615832">
        <w:t>,</w:t>
      </w:r>
      <w:r w:rsidR="0068777F">
        <w:t xml:space="preserve"> to understand </w:t>
      </w:r>
      <w:r w:rsidR="00C145CD">
        <w:t>in greater</w:t>
      </w:r>
      <w:r w:rsidR="00615832">
        <w:t xml:space="preserve"> detail</w:t>
      </w:r>
      <w:r w:rsidR="00C145CD">
        <w:t xml:space="preserve"> </w:t>
      </w:r>
      <w:r w:rsidR="0068777F">
        <w:t>the impacts of making such a change</w:t>
      </w:r>
      <w:r>
        <w:t>. We are particularly interested in the following:</w:t>
      </w:r>
      <w:r w:rsidR="0068777F">
        <w:t xml:space="preserve"> </w:t>
      </w:r>
    </w:p>
    <w:p w14:paraId="52D67606" w14:textId="77777777" w:rsidR="0068777F" w:rsidRDefault="0068777F" w:rsidP="00663ECE">
      <w:pPr>
        <w:spacing w:before="0" w:line="247" w:lineRule="auto"/>
        <w:ind w:left="0" w:hanging="502"/>
      </w:pPr>
    </w:p>
    <w:p w14:paraId="0010B712" w14:textId="7D489C0A" w:rsidR="00FE7513" w:rsidRDefault="00FE7513" w:rsidP="00663ECE">
      <w:pPr>
        <w:pStyle w:val="ListParagraph"/>
        <w:numPr>
          <w:ilvl w:val="0"/>
          <w:numId w:val="30"/>
        </w:numPr>
        <w:spacing w:before="0" w:line="247" w:lineRule="auto"/>
        <w:ind w:hanging="502"/>
      </w:pPr>
      <w:r>
        <w:t>the potential cost impact on stations of re-competing for licences</w:t>
      </w:r>
    </w:p>
    <w:p w14:paraId="4179EB67" w14:textId="77777777" w:rsidR="00FE7513" w:rsidRDefault="00FE7513" w:rsidP="00FE7513">
      <w:pPr>
        <w:pStyle w:val="ListParagraph"/>
        <w:spacing w:before="0" w:line="247" w:lineRule="auto"/>
        <w:ind w:left="1080"/>
      </w:pPr>
    </w:p>
    <w:p w14:paraId="52D67607" w14:textId="659732BA" w:rsidR="0068777F" w:rsidRDefault="00FE7513" w:rsidP="00663ECE">
      <w:pPr>
        <w:pStyle w:val="ListParagraph"/>
        <w:numPr>
          <w:ilvl w:val="0"/>
          <w:numId w:val="30"/>
        </w:numPr>
        <w:spacing w:before="0" w:line="247" w:lineRule="auto"/>
        <w:ind w:hanging="502"/>
      </w:pPr>
      <w:r>
        <w:t xml:space="preserve">the effect </w:t>
      </w:r>
      <w:r w:rsidR="00C145CD">
        <w:t>o</w:t>
      </w:r>
      <w:r w:rsidR="00477DB2">
        <w:t>n</w:t>
      </w:r>
      <w:r w:rsidR="00E5441E">
        <w:t xml:space="preserve"> </w:t>
      </w:r>
      <w:r w:rsidR="00C145CD">
        <w:t xml:space="preserve">markets and </w:t>
      </w:r>
      <w:r w:rsidR="00BB6F1C">
        <w:t>competition</w:t>
      </w:r>
      <w:r w:rsidR="0068777F">
        <w:t xml:space="preserve"> between different radio stations and groups</w:t>
      </w:r>
      <w:r w:rsidR="004A6BBF">
        <w:t>,</w:t>
      </w:r>
      <w:r w:rsidR="0068777F">
        <w:t xml:space="preserve"> including smaller stations </w:t>
      </w:r>
      <w:r w:rsidR="002D409B" w:rsidRPr="002D409B">
        <w:t xml:space="preserve"> </w:t>
      </w:r>
    </w:p>
    <w:p w14:paraId="52D67608" w14:textId="77777777" w:rsidR="0068777F" w:rsidRDefault="0068777F" w:rsidP="00663ECE">
      <w:pPr>
        <w:pStyle w:val="ListParagraph"/>
        <w:spacing w:before="0" w:line="247" w:lineRule="auto"/>
        <w:ind w:hanging="502"/>
      </w:pPr>
    </w:p>
    <w:p w14:paraId="52D67609" w14:textId="38DDE3B6" w:rsidR="005E2FDB" w:rsidRDefault="00FE7513" w:rsidP="00663ECE">
      <w:pPr>
        <w:pStyle w:val="ListParagraph"/>
        <w:numPr>
          <w:ilvl w:val="0"/>
          <w:numId w:val="30"/>
        </w:numPr>
        <w:spacing w:before="0" w:line="247" w:lineRule="auto"/>
        <w:ind w:hanging="502"/>
      </w:pPr>
      <w:r>
        <w:t xml:space="preserve">the effect </w:t>
      </w:r>
      <w:r w:rsidR="00E5441E">
        <w:t xml:space="preserve">on </w:t>
      </w:r>
      <w:r w:rsidR="00F50114">
        <w:t>po</w:t>
      </w:r>
      <w:r w:rsidR="00E5441E">
        <w:t xml:space="preserve">tential </w:t>
      </w:r>
      <w:r w:rsidR="00F50114">
        <w:t>new entrants to the market</w:t>
      </w:r>
      <w:r w:rsidR="004A6BBF">
        <w:t>,</w:t>
      </w:r>
      <w:r w:rsidR="00F50114">
        <w:t xml:space="preserve"> and </w:t>
      </w:r>
      <w:r w:rsidR="004A6BBF">
        <w:t xml:space="preserve">whether </w:t>
      </w:r>
      <w:r w:rsidR="0068777F">
        <w:t xml:space="preserve">the </w:t>
      </w:r>
      <w:r w:rsidR="001621BC">
        <w:t xml:space="preserve">further </w:t>
      </w:r>
      <w:r w:rsidR="0068777F">
        <w:t>renewal of existing analogue</w:t>
      </w:r>
      <w:r w:rsidR="004A6BBF">
        <w:t xml:space="preserve"> licences</w:t>
      </w:r>
      <w:r w:rsidR="0068777F">
        <w:t xml:space="preserve"> is the right approach to maintaining </w:t>
      </w:r>
      <w:r w:rsidR="00C145CD">
        <w:t xml:space="preserve">and sustaining </w:t>
      </w:r>
      <w:r w:rsidR="0068777F">
        <w:t>investment in content by commercial radio</w:t>
      </w:r>
      <w:r w:rsidR="004A6BBF">
        <w:t>,</w:t>
      </w:r>
      <w:r w:rsidR="0068777F">
        <w:t xml:space="preserve"> which might </w:t>
      </w:r>
      <w:r w:rsidR="004A6BBF">
        <w:t>be</w:t>
      </w:r>
      <w:r w:rsidR="0068777F">
        <w:t xml:space="preserve"> enhanced by a competitive process for licences</w:t>
      </w:r>
    </w:p>
    <w:p w14:paraId="52D6760A" w14:textId="77777777" w:rsidR="005E2FDB" w:rsidRDefault="005E2FDB" w:rsidP="00663ECE">
      <w:pPr>
        <w:pStyle w:val="ListParagraph"/>
        <w:spacing w:line="247" w:lineRule="auto"/>
        <w:ind w:hanging="502"/>
      </w:pPr>
    </w:p>
    <w:p w14:paraId="52D6760B" w14:textId="33758353" w:rsidR="006B3F1B" w:rsidRDefault="00FE7513" w:rsidP="00663ECE">
      <w:pPr>
        <w:pStyle w:val="ListParagraph"/>
        <w:numPr>
          <w:ilvl w:val="0"/>
          <w:numId w:val="30"/>
        </w:numPr>
        <w:spacing w:before="0" w:line="247" w:lineRule="auto"/>
        <w:ind w:hanging="502"/>
      </w:pPr>
      <w:r>
        <w:t xml:space="preserve">the effect </w:t>
      </w:r>
      <w:r w:rsidR="00E5441E">
        <w:t xml:space="preserve">on the Government’s long-term support for an industry-led </w:t>
      </w:r>
      <w:r w:rsidR="0068777F">
        <w:t xml:space="preserve">migration to digital </w:t>
      </w:r>
      <w:r w:rsidR="00E5441E">
        <w:t>radio and a future switchover</w:t>
      </w:r>
      <w:r w:rsidR="004A6BBF">
        <w:t>,</w:t>
      </w:r>
      <w:r w:rsidR="00E5441E">
        <w:t xml:space="preserve"> </w:t>
      </w:r>
      <w:r w:rsidR="0068777F">
        <w:t xml:space="preserve">whether the changes are </w:t>
      </w:r>
      <w:r w:rsidR="00F50114">
        <w:t xml:space="preserve">necessary to </w:t>
      </w:r>
      <w:r w:rsidR="0068777F">
        <w:t xml:space="preserve">support the transition </w:t>
      </w:r>
      <w:r w:rsidR="00F50114">
        <w:t>to digital radio</w:t>
      </w:r>
      <w:r w:rsidR="0068777F">
        <w:t xml:space="preserve"> </w:t>
      </w:r>
      <w:r w:rsidR="00F50114">
        <w:t xml:space="preserve">or </w:t>
      </w:r>
      <w:r w:rsidR="00640386">
        <w:t>to what extent</w:t>
      </w:r>
      <w:r w:rsidR="00F50114">
        <w:t xml:space="preserve"> they will have </w:t>
      </w:r>
      <w:r w:rsidR="00640386">
        <w:t>any</w:t>
      </w:r>
      <w:r w:rsidR="00F50114">
        <w:t xml:space="preserve"> effect on incentives for commercial radio to continue with investment in digital radio</w:t>
      </w:r>
      <w:r w:rsidR="005E2FDB">
        <w:t>.</w:t>
      </w:r>
    </w:p>
    <w:p w14:paraId="52D6760C" w14:textId="77777777" w:rsidR="006B3F1B" w:rsidRDefault="006B3F1B" w:rsidP="00E22E84">
      <w:pPr>
        <w:spacing w:before="0" w:line="247" w:lineRule="auto"/>
        <w:ind w:left="0"/>
      </w:pPr>
    </w:p>
    <w:p w14:paraId="52D6760D" w14:textId="63173611" w:rsidR="008B3050" w:rsidRDefault="00F928E1" w:rsidP="00E22E84">
      <w:pPr>
        <w:spacing w:before="0" w:line="247" w:lineRule="auto"/>
        <w:ind w:left="426"/>
        <w:rPr>
          <w:u w:val="single"/>
        </w:rPr>
      </w:pPr>
      <w:r>
        <w:rPr>
          <w:u w:val="single"/>
        </w:rPr>
        <w:t xml:space="preserve">Analogue </w:t>
      </w:r>
      <w:r w:rsidR="00906777">
        <w:rPr>
          <w:u w:val="single"/>
        </w:rPr>
        <w:t>l</w:t>
      </w:r>
      <w:r w:rsidR="008B3050">
        <w:rPr>
          <w:u w:val="single"/>
        </w:rPr>
        <w:t xml:space="preserve">icensing process </w:t>
      </w:r>
    </w:p>
    <w:p w14:paraId="52D6760E" w14:textId="77777777" w:rsidR="008B3050" w:rsidRDefault="008B3050" w:rsidP="00E22E84">
      <w:pPr>
        <w:spacing w:before="0" w:line="247" w:lineRule="auto"/>
        <w:ind w:left="426"/>
        <w:rPr>
          <w:u w:val="single"/>
        </w:rPr>
      </w:pPr>
    </w:p>
    <w:p w14:paraId="52D6760F" w14:textId="393DB734" w:rsidR="00F928E1" w:rsidRDefault="008B3050" w:rsidP="00663ECE">
      <w:pPr>
        <w:pStyle w:val="ListParagraph"/>
        <w:numPr>
          <w:ilvl w:val="0"/>
          <w:numId w:val="24"/>
        </w:numPr>
        <w:spacing w:before="0" w:line="247" w:lineRule="auto"/>
        <w:ind w:hanging="502"/>
      </w:pPr>
      <w:r>
        <w:t xml:space="preserve">National </w:t>
      </w:r>
      <w:r w:rsidR="00F928E1">
        <w:t xml:space="preserve">radio </w:t>
      </w:r>
      <w:r w:rsidR="00F24D31">
        <w:t>licenc</w:t>
      </w:r>
      <w:r>
        <w:t xml:space="preserve">es were </w:t>
      </w:r>
      <w:r w:rsidR="0089744C">
        <w:t xml:space="preserve">first advertised in 1991 and </w:t>
      </w:r>
      <w:r>
        <w:t xml:space="preserve">originally awarded </w:t>
      </w:r>
      <w:r w:rsidR="00C145CD">
        <w:t xml:space="preserve">to applicants who </w:t>
      </w:r>
      <w:r>
        <w:t xml:space="preserve">submitted the highest cash bid. The Broadcasting Act 1990 </w:t>
      </w:r>
      <w:r w:rsidR="00D347CB">
        <w:t xml:space="preserve">prescribed </w:t>
      </w:r>
      <w:r>
        <w:t xml:space="preserve">that two of the three national licences must be awarded to </w:t>
      </w:r>
      <w:r w:rsidR="00615832">
        <w:t xml:space="preserve">specific </w:t>
      </w:r>
      <w:r>
        <w:t xml:space="preserve">formats: </w:t>
      </w:r>
      <w:r w:rsidR="00C145CD">
        <w:t xml:space="preserve">the FM national </w:t>
      </w:r>
      <w:r>
        <w:t xml:space="preserve">licence must be for a 'non-pop' station (this was awarded to Classic FM), and one </w:t>
      </w:r>
      <w:r w:rsidR="00C145CD">
        <w:t xml:space="preserve">of the two AM licences </w:t>
      </w:r>
      <w:r>
        <w:t xml:space="preserve">must be for a predominantly speech-based service (awarded to TalkSport). The third licence </w:t>
      </w:r>
      <w:r w:rsidR="00C145CD">
        <w:t xml:space="preserve">on AM was </w:t>
      </w:r>
      <w:r>
        <w:t>open to 'all-comers' and was awarded to Virgin Radio (a rock and pop service</w:t>
      </w:r>
      <w:r w:rsidR="00615832">
        <w:t>, latterly Absolute Radio</w:t>
      </w:r>
      <w:r>
        <w:t>).</w:t>
      </w:r>
      <w:r w:rsidR="00F928E1">
        <w:t xml:space="preserve"> All three licences were previously renewed in 1999/2000 and then again under </w:t>
      </w:r>
      <w:r w:rsidR="00F928E1" w:rsidRPr="00F928E1">
        <w:t>sections 103B</w:t>
      </w:r>
      <w:r w:rsidR="00640386">
        <w:t xml:space="preserve"> of the Broadcasting Act 1990</w:t>
      </w:r>
      <w:r w:rsidR="00F928E1" w:rsidRPr="00F928E1">
        <w:t xml:space="preserve"> </w:t>
      </w:r>
      <w:r w:rsidR="00F928E1">
        <w:t xml:space="preserve">for a further </w:t>
      </w:r>
      <w:r w:rsidR="00C84DB0">
        <w:t>seven</w:t>
      </w:r>
      <w:r w:rsidR="00F928E1">
        <w:t xml:space="preserve"> year period</w:t>
      </w:r>
      <w:r w:rsidR="001621BC">
        <w:t xml:space="preserve">, and are due to expire </w:t>
      </w:r>
      <w:r w:rsidR="00340B82">
        <w:t>from 2018.</w:t>
      </w:r>
    </w:p>
    <w:p w14:paraId="52D67610" w14:textId="77777777" w:rsidR="00B61E11" w:rsidRDefault="00B61E11" w:rsidP="00663ECE">
      <w:pPr>
        <w:pStyle w:val="ListParagraph"/>
        <w:spacing w:before="0" w:line="247" w:lineRule="auto"/>
        <w:ind w:left="786" w:hanging="502"/>
      </w:pPr>
    </w:p>
    <w:p w14:paraId="52D67611" w14:textId="77777777" w:rsidR="008B3050" w:rsidRDefault="0089744C" w:rsidP="009D17EC">
      <w:pPr>
        <w:pStyle w:val="ListParagraph"/>
        <w:numPr>
          <w:ilvl w:val="0"/>
          <w:numId w:val="24"/>
        </w:numPr>
        <w:spacing w:before="0" w:line="247" w:lineRule="auto"/>
      </w:pPr>
      <w:r>
        <w:t>Under the current legislative framework, local commercial radio licences</w:t>
      </w:r>
      <w:r w:rsidRPr="00E22E84">
        <w:t xml:space="preserve"> are </w:t>
      </w:r>
      <w:r w:rsidR="00517040">
        <w:t>initially</w:t>
      </w:r>
      <w:r w:rsidR="001D6FAA">
        <w:t xml:space="preserve"> awarded</w:t>
      </w:r>
      <w:r>
        <w:t xml:space="preserve"> through a </w:t>
      </w:r>
      <w:r w:rsidR="008B3050">
        <w:t>‘beauty parade’</w:t>
      </w:r>
      <w:r>
        <w:t xml:space="preserve"> process. </w:t>
      </w:r>
      <w:r w:rsidR="008B3050">
        <w:t xml:space="preserve"> Applicants </w:t>
      </w:r>
      <w:r w:rsidR="00F928E1">
        <w:t xml:space="preserve">for local licences </w:t>
      </w:r>
      <w:r w:rsidR="001D6FAA">
        <w:t>nee</w:t>
      </w:r>
      <w:r w:rsidR="00F928E1">
        <w:t xml:space="preserve">d to </w:t>
      </w:r>
      <w:r w:rsidR="008B3050">
        <w:t>include proposals in their application for how they would cater to the interests of people in the relevant locality and broaden the range of programmes available. In awarding licences</w:t>
      </w:r>
      <w:r w:rsidR="00F928E1">
        <w:t xml:space="preserve">, Ofcom </w:t>
      </w:r>
      <w:r w:rsidR="001D6FAA">
        <w:t>a</w:t>
      </w:r>
      <w:r w:rsidR="00F928E1">
        <w:t xml:space="preserve">re required to consider a range of </w:t>
      </w:r>
      <w:r w:rsidR="008B3050">
        <w:t>factors including the ability of the applicant to maintain the service, the extent to which the proposed service would cater to the relevant locality, the extent to which the proposed service would broaden the range of programmes available in that area, and the extent to which the application is supported by people in the locality.</w:t>
      </w:r>
      <w:r w:rsidR="00F928E1">
        <w:t xml:space="preserve"> </w:t>
      </w:r>
    </w:p>
    <w:p w14:paraId="52D67612" w14:textId="77777777" w:rsidR="00F928E1" w:rsidRDefault="00F928E1" w:rsidP="00663ECE">
      <w:pPr>
        <w:pStyle w:val="ListParagraph"/>
        <w:spacing w:before="0" w:line="247" w:lineRule="auto"/>
        <w:ind w:left="786" w:hanging="502"/>
      </w:pPr>
    </w:p>
    <w:p w14:paraId="52D67613" w14:textId="77777777" w:rsidR="008B3050" w:rsidRDefault="008B3050" w:rsidP="00663ECE">
      <w:pPr>
        <w:pStyle w:val="ListParagraph"/>
        <w:numPr>
          <w:ilvl w:val="0"/>
          <w:numId w:val="24"/>
        </w:numPr>
        <w:spacing w:before="0" w:line="247" w:lineRule="auto"/>
        <w:ind w:hanging="502"/>
      </w:pPr>
      <w:r w:rsidRPr="00E22E84">
        <w:t xml:space="preserve">Ofcom </w:t>
      </w:r>
      <w:r w:rsidR="004C4260">
        <w:t xml:space="preserve">also </w:t>
      </w:r>
      <w:r w:rsidR="00F928E1">
        <w:t xml:space="preserve">sets </w:t>
      </w:r>
      <w:r>
        <w:t>conditions as part of granting the licence, known as a station’s format</w:t>
      </w:r>
      <w:r w:rsidR="00F928E1">
        <w:t xml:space="preserve">, which reflect the commitments made in the </w:t>
      </w:r>
      <w:r w:rsidR="005B6F88">
        <w:t xml:space="preserve">original </w:t>
      </w:r>
      <w:r w:rsidR="00F928E1">
        <w:t xml:space="preserve">application. </w:t>
      </w:r>
      <w:r>
        <w:t xml:space="preserve">The format sets out the type of broadcast output that each commercial radio station is required to deliver, and encapsulates the character of the service a station is obliged to deliver as a condition of its licence. Licensees must also adhere to a common set of standards, including around taste and decency, and due accuracy and impartiality in news. </w:t>
      </w:r>
    </w:p>
    <w:p w14:paraId="52D67614" w14:textId="77777777" w:rsidR="001D6FAA" w:rsidRDefault="001D6FAA" w:rsidP="00663ECE">
      <w:pPr>
        <w:pStyle w:val="ListParagraph"/>
        <w:spacing w:before="0" w:line="247" w:lineRule="auto"/>
        <w:ind w:left="786" w:hanging="502"/>
      </w:pPr>
    </w:p>
    <w:p w14:paraId="52D67615" w14:textId="2C7E55A5" w:rsidR="001D6FAA" w:rsidRDefault="001D6FAA" w:rsidP="00663ECE">
      <w:pPr>
        <w:pStyle w:val="ListParagraph"/>
        <w:numPr>
          <w:ilvl w:val="0"/>
          <w:numId w:val="24"/>
        </w:numPr>
        <w:spacing w:before="0" w:line="247" w:lineRule="auto"/>
        <w:ind w:hanging="502"/>
      </w:pPr>
      <w:r>
        <w:lastRenderedPageBreak/>
        <w:t xml:space="preserve">National licences can be renewed if stations elect to broadcast a service on the appropriate national or local multiplex </w:t>
      </w:r>
      <w:r w:rsidRPr="001D6FAA">
        <w:t>provid</w:t>
      </w:r>
      <w:r>
        <w:t>ed</w:t>
      </w:r>
      <w:r w:rsidRPr="001D6FAA">
        <w:t xml:space="preserve"> that the analogue and digital services share at least 80% of their content</w:t>
      </w:r>
      <w:r>
        <w:t xml:space="preserve">. </w:t>
      </w:r>
      <w:r w:rsidRPr="001D6FAA">
        <w:t xml:space="preserve">Radio stations that were licensed on or after 8 April 2010, or which had already been renewed for 12 years under section </w:t>
      </w:r>
      <w:r w:rsidR="00340B82">
        <w:t xml:space="preserve">103A or </w:t>
      </w:r>
      <w:r w:rsidRPr="001D6FAA">
        <w:t xml:space="preserve">104A of the 1990 Broadcasting Act, were able to apply to Ofcom to </w:t>
      </w:r>
      <w:r w:rsidR="00CA6EA2">
        <w:t>renew</w:t>
      </w:r>
      <w:r w:rsidRPr="001D6FAA">
        <w:t xml:space="preserve"> their licence for one further period of seven years.</w:t>
      </w:r>
      <w:r>
        <w:t xml:space="preserve"> To date </w:t>
      </w:r>
      <w:r w:rsidR="0044569D">
        <w:t>over 60 stations</w:t>
      </w:r>
      <w:r w:rsidR="002D3E57">
        <w:t xml:space="preserve"> have </w:t>
      </w:r>
      <w:r w:rsidR="00517040">
        <w:t xml:space="preserve">elected for </w:t>
      </w:r>
      <w:r w:rsidR="002D3E57">
        <w:t xml:space="preserve">a second renewal (including the three national AM and FM stations) and </w:t>
      </w:r>
      <w:r w:rsidR="001F5463">
        <w:t xml:space="preserve">are not eligible for a further renewal. </w:t>
      </w:r>
      <w:r w:rsidR="0044569D">
        <w:t>Over</w:t>
      </w:r>
      <w:r w:rsidR="002D3E57">
        <w:t xml:space="preserve"> </w:t>
      </w:r>
      <w:r w:rsidR="002D3E57" w:rsidRPr="0044569D">
        <w:t>75</w:t>
      </w:r>
      <w:r w:rsidR="002D3E57">
        <w:t xml:space="preserve"> </w:t>
      </w:r>
      <w:r w:rsidR="0044569D">
        <w:t xml:space="preserve">further </w:t>
      </w:r>
      <w:r w:rsidR="001F5463">
        <w:t>stations are eligible for a second renewal when their licences expire between now and 2026.</w:t>
      </w:r>
    </w:p>
    <w:p w14:paraId="52D67616" w14:textId="77777777" w:rsidR="008B3050" w:rsidRDefault="008B3050" w:rsidP="00663ECE">
      <w:pPr>
        <w:spacing w:before="0" w:line="247" w:lineRule="auto"/>
        <w:ind w:left="426" w:hanging="502"/>
      </w:pPr>
    </w:p>
    <w:p w14:paraId="52D67617" w14:textId="77777777" w:rsidR="006E76D0" w:rsidRDefault="006E76D0" w:rsidP="00663ECE">
      <w:pPr>
        <w:pStyle w:val="ListParagraph"/>
        <w:spacing w:line="247" w:lineRule="auto"/>
        <w:ind w:hanging="502"/>
      </w:pPr>
    </w:p>
    <w:p w14:paraId="52D67618" w14:textId="77777777" w:rsidR="004A6BBF" w:rsidRPr="005E2FDB" w:rsidRDefault="005E2FDB" w:rsidP="00E22E84">
      <w:pPr>
        <w:pStyle w:val="Heading1"/>
      </w:pPr>
      <w:bookmarkStart w:id="4" w:name="_Toc399854910"/>
      <w:r>
        <w:lastRenderedPageBreak/>
        <w:t>Policy options in detail</w:t>
      </w:r>
      <w:bookmarkEnd w:id="4"/>
    </w:p>
    <w:p w14:paraId="52D67619" w14:textId="77777777" w:rsidR="004A6BBF" w:rsidRPr="005E2FDB" w:rsidRDefault="004A6BBF" w:rsidP="004E13D2">
      <w:pPr>
        <w:pStyle w:val="ListParagraph"/>
        <w:numPr>
          <w:ilvl w:val="0"/>
          <w:numId w:val="24"/>
        </w:numPr>
        <w:ind w:hanging="502"/>
      </w:pPr>
      <w:r w:rsidRPr="005E2FDB">
        <w:t>The Government wishes to take views on three approaches</w:t>
      </w:r>
      <w:r w:rsidR="005E2FDB">
        <w:t>,</w:t>
      </w:r>
      <w:r w:rsidRPr="005E2FDB">
        <w:t xml:space="preserve"> which are set out below. </w:t>
      </w:r>
    </w:p>
    <w:p w14:paraId="52D6761A" w14:textId="77777777" w:rsidR="004A6BBF" w:rsidRPr="004A6BBF" w:rsidRDefault="004A6BBF" w:rsidP="004A6BBF">
      <w:pPr>
        <w:spacing w:before="0"/>
        <w:ind w:left="0"/>
        <w:rPr>
          <w:b/>
        </w:rPr>
      </w:pPr>
    </w:p>
    <w:tbl>
      <w:tblPr>
        <w:tblStyle w:val="TableGrid"/>
        <w:tblW w:w="0" w:type="auto"/>
        <w:tblInd w:w="138" w:type="dxa"/>
        <w:tblLook w:val="04A0" w:firstRow="1" w:lastRow="0" w:firstColumn="1" w:lastColumn="0" w:noHBand="0" w:noVBand="1"/>
      </w:tblPr>
      <w:tblGrid>
        <w:gridCol w:w="9942"/>
      </w:tblGrid>
      <w:tr w:rsidR="00814965" w14:paraId="52D6761E" w14:textId="77777777" w:rsidTr="004A6BBF">
        <w:tc>
          <w:tcPr>
            <w:tcW w:w="9942" w:type="dxa"/>
          </w:tcPr>
          <w:p w14:paraId="52D6761B" w14:textId="77777777" w:rsidR="005E2FDB" w:rsidRDefault="005E2FDB" w:rsidP="005E2FDB">
            <w:pPr>
              <w:pStyle w:val="ListParagraph"/>
              <w:spacing w:before="0"/>
              <w:rPr>
                <w:b/>
              </w:rPr>
            </w:pPr>
          </w:p>
          <w:p w14:paraId="52D6761C" w14:textId="77777777" w:rsidR="00814965" w:rsidRPr="005E2FDB" w:rsidRDefault="006B6106" w:rsidP="00E22E84">
            <w:pPr>
              <w:pStyle w:val="ListParagraph"/>
              <w:numPr>
                <w:ilvl w:val="0"/>
                <w:numId w:val="25"/>
              </w:numPr>
              <w:spacing w:before="0"/>
              <w:ind w:left="288" w:hanging="288"/>
              <w:rPr>
                <w:b/>
                <w:sz w:val="24"/>
              </w:rPr>
            </w:pPr>
            <w:r>
              <w:rPr>
                <w:b/>
                <w:sz w:val="24"/>
              </w:rPr>
              <w:t>Do nothing: n</w:t>
            </w:r>
            <w:r w:rsidR="005E2FDB" w:rsidRPr="005E2FDB">
              <w:rPr>
                <w:b/>
                <w:sz w:val="24"/>
              </w:rPr>
              <w:t>ot to legislate, but instead to allow licences to expire and be re-advertised in the usual way by Ofcom</w:t>
            </w:r>
            <w:r w:rsidR="00896B96">
              <w:rPr>
                <w:b/>
                <w:sz w:val="24"/>
              </w:rPr>
              <w:t xml:space="preserve"> </w:t>
            </w:r>
          </w:p>
          <w:p w14:paraId="52D6761D" w14:textId="77777777" w:rsidR="005E2FDB" w:rsidRDefault="005E2FDB" w:rsidP="005E2FDB">
            <w:pPr>
              <w:pStyle w:val="ListParagraph"/>
              <w:spacing w:before="0"/>
              <w:rPr>
                <w:b/>
              </w:rPr>
            </w:pPr>
          </w:p>
        </w:tc>
      </w:tr>
    </w:tbl>
    <w:p w14:paraId="52D6761F" w14:textId="77777777" w:rsidR="002D409B" w:rsidRPr="00411A25" w:rsidRDefault="002D409B" w:rsidP="004A6BBF">
      <w:pPr>
        <w:pStyle w:val="ListParagraph"/>
        <w:spacing w:before="0"/>
        <w:rPr>
          <w:b/>
        </w:rPr>
      </w:pPr>
    </w:p>
    <w:p w14:paraId="52D67620" w14:textId="471D77E0" w:rsidR="00214793" w:rsidRDefault="002D409B" w:rsidP="00663ECE">
      <w:pPr>
        <w:pStyle w:val="ListParagraph"/>
        <w:numPr>
          <w:ilvl w:val="0"/>
          <w:numId w:val="24"/>
        </w:numPr>
        <w:spacing w:before="0"/>
        <w:ind w:hanging="502"/>
        <w:rPr>
          <w:lang w:val="en"/>
        </w:rPr>
      </w:pPr>
      <w:r w:rsidRPr="002D409B">
        <w:t xml:space="preserve">The </w:t>
      </w:r>
      <w:r w:rsidR="002122B9">
        <w:t xml:space="preserve">purpose </w:t>
      </w:r>
      <w:r w:rsidRPr="002D409B">
        <w:t xml:space="preserve">of the licence renewal </w:t>
      </w:r>
      <w:r w:rsidR="002122B9">
        <w:t xml:space="preserve">provisions </w:t>
      </w:r>
      <w:r w:rsidR="00814965">
        <w:t>set out i</w:t>
      </w:r>
      <w:r w:rsidR="005B238A">
        <w:t xml:space="preserve">n the </w:t>
      </w:r>
      <w:r w:rsidR="00F24D31">
        <w:t>2010</w:t>
      </w:r>
      <w:r w:rsidRPr="002D409B">
        <w:t xml:space="preserve"> Act </w:t>
      </w:r>
      <w:r w:rsidR="006B6106">
        <w:t>(</w:t>
      </w:r>
      <w:r w:rsidRPr="002D409B">
        <w:t>whereby</w:t>
      </w:r>
      <w:r w:rsidRPr="005E2FDB">
        <w:rPr>
          <w:lang w:val="en"/>
        </w:rPr>
        <w:t xml:space="preserve"> national and local analogue radio</w:t>
      </w:r>
      <w:r w:rsidRPr="002D409B">
        <w:t xml:space="preserve"> licensees could be granted a further renewal of seven years as long as they </w:t>
      </w:r>
      <w:r w:rsidRPr="005E2FDB">
        <w:rPr>
          <w:lang w:val="en"/>
        </w:rPr>
        <w:t>also provided content in a digital service via a multiplex</w:t>
      </w:r>
      <w:r w:rsidR="006B6106">
        <w:rPr>
          <w:lang w:val="en"/>
        </w:rPr>
        <w:t>)</w:t>
      </w:r>
      <w:r w:rsidRPr="005E2FDB">
        <w:rPr>
          <w:lang w:val="en"/>
        </w:rPr>
        <w:t xml:space="preserve"> was</w:t>
      </w:r>
      <w:r w:rsidR="00214793">
        <w:rPr>
          <w:lang w:val="en"/>
        </w:rPr>
        <w:t xml:space="preserve"> </w:t>
      </w:r>
      <w:r w:rsidR="00814965" w:rsidRPr="005E2FDB">
        <w:rPr>
          <w:lang w:val="en"/>
        </w:rPr>
        <w:t xml:space="preserve">to </w:t>
      </w:r>
      <w:r w:rsidRPr="005E2FDB">
        <w:rPr>
          <w:lang w:val="en"/>
        </w:rPr>
        <w:t xml:space="preserve">promote </w:t>
      </w:r>
      <w:r w:rsidR="00814965" w:rsidRPr="005E2FDB">
        <w:rPr>
          <w:lang w:val="en"/>
        </w:rPr>
        <w:t xml:space="preserve">and maintain </w:t>
      </w:r>
      <w:r w:rsidRPr="005E2FDB">
        <w:rPr>
          <w:lang w:val="en"/>
        </w:rPr>
        <w:t xml:space="preserve">investment in and support for digital radio. </w:t>
      </w:r>
    </w:p>
    <w:p w14:paraId="52D67621" w14:textId="77777777" w:rsidR="00214793" w:rsidRDefault="00214793" w:rsidP="00663ECE">
      <w:pPr>
        <w:pStyle w:val="ListParagraph"/>
        <w:spacing w:before="0"/>
        <w:ind w:left="786" w:hanging="502"/>
        <w:rPr>
          <w:lang w:val="en"/>
        </w:rPr>
      </w:pPr>
    </w:p>
    <w:p w14:paraId="52D67622" w14:textId="2B634FD2" w:rsidR="00814965" w:rsidRPr="005E2FDB" w:rsidRDefault="00814965" w:rsidP="00663ECE">
      <w:pPr>
        <w:pStyle w:val="ListParagraph"/>
        <w:numPr>
          <w:ilvl w:val="0"/>
          <w:numId w:val="24"/>
        </w:numPr>
        <w:spacing w:before="0"/>
        <w:ind w:hanging="502"/>
        <w:rPr>
          <w:lang w:val="en"/>
        </w:rPr>
      </w:pPr>
      <w:r w:rsidRPr="005E2FDB">
        <w:rPr>
          <w:lang w:val="en"/>
        </w:rPr>
        <w:t xml:space="preserve">With </w:t>
      </w:r>
      <w:r w:rsidR="00C84DB0">
        <w:rPr>
          <w:lang w:val="en"/>
        </w:rPr>
        <w:t>around</w:t>
      </w:r>
      <w:r w:rsidR="00C84DB0" w:rsidRPr="005E2FDB">
        <w:rPr>
          <w:lang w:val="en"/>
        </w:rPr>
        <w:t xml:space="preserve"> </w:t>
      </w:r>
      <w:r w:rsidRPr="005E2FDB">
        <w:rPr>
          <w:lang w:val="en"/>
        </w:rPr>
        <w:t>50% of households having at least one digital radio, digital radio listening at around 37% of listening nationwide and approach</w:t>
      </w:r>
      <w:r w:rsidR="004A6BBF" w:rsidRPr="005E2FDB">
        <w:rPr>
          <w:lang w:val="en"/>
        </w:rPr>
        <w:t>ing</w:t>
      </w:r>
      <w:r w:rsidRPr="005E2FDB">
        <w:rPr>
          <w:lang w:val="en"/>
        </w:rPr>
        <w:t xml:space="preserve"> 50% in London, it is </w:t>
      </w:r>
      <w:r w:rsidR="00214793">
        <w:rPr>
          <w:lang w:val="en"/>
        </w:rPr>
        <w:t xml:space="preserve">certainly </w:t>
      </w:r>
      <w:r w:rsidRPr="005E2FDB">
        <w:rPr>
          <w:lang w:val="en"/>
        </w:rPr>
        <w:t>a</w:t>
      </w:r>
      <w:r w:rsidR="002D409B" w:rsidRPr="005E2FDB">
        <w:rPr>
          <w:lang w:val="en"/>
        </w:rPr>
        <w:t>rguabl</w:t>
      </w:r>
      <w:r w:rsidRPr="005E2FDB">
        <w:rPr>
          <w:lang w:val="en"/>
        </w:rPr>
        <w:t xml:space="preserve">e whether the </w:t>
      </w:r>
      <w:r w:rsidR="002D409B" w:rsidRPr="005E2FDB">
        <w:rPr>
          <w:lang w:val="en"/>
        </w:rPr>
        <w:t xml:space="preserve">licensing regime </w:t>
      </w:r>
      <w:r w:rsidR="00214793">
        <w:rPr>
          <w:lang w:val="en"/>
        </w:rPr>
        <w:t xml:space="preserve">still </w:t>
      </w:r>
      <w:r w:rsidR="002D409B" w:rsidRPr="005E2FDB">
        <w:rPr>
          <w:lang w:val="en"/>
        </w:rPr>
        <w:t xml:space="preserve">needs to </w:t>
      </w:r>
      <w:r w:rsidR="00214793">
        <w:rPr>
          <w:lang w:val="en"/>
        </w:rPr>
        <w:t xml:space="preserve">include requirements to broadcast on </w:t>
      </w:r>
      <w:r w:rsidR="002D409B" w:rsidRPr="005E2FDB">
        <w:rPr>
          <w:lang w:val="en"/>
        </w:rPr>
        <w:t xml:space="preserve">DAB. </w:t>
      </w:r>
      <w:r w:rsidR="00214793">
        <w:rPr>
          <w:lang w:val="en"/>
        </w:rPr>
        <w:t xml:space="preserve">The majority of </w:t>
      </w:r>
      <w:r w:rsidR="002D409B" w:rsidRPr="005E2FDB">
        <w:rPr>
          <w:lang w:val="en"/>
        </w:rPr>
        <w:t xml:space="preserve">the </w:t>
      </w:r>
      <w:r w:rsidRPr="005E2FDB">
        <w:rPr>
          <w:lang w:val="en"/>
        </w:rPr>
        <w:t xml:space="preserve">radio stations that have </w:t>
      </w:r>
      <w:r w:rsidR="00214793">
        <w:rPr>
          <w:lang w:val="en"/>
        </w:rPr>
        <w:t xml:space="preserve">benefited from the seven year renewal under the </w:t>
      </w:r>
      <w:r w:rsidR="00F24D31">
        <w:rPr>
          <w:lang w:val="en"/>
        </w:rPr>
        <w:t>2010</w:t>
      </w:r>
      <w:r w:rsidR="00214793">
        <w:rPr>
          <w:lang w:val="en"/>
        </w:rPr>
        <w:t xml:space="preserve"> Act changes </w:t>
      </w:r>
      <w:r w:rsidR="002D409B" w:rsidRPr="005E2FDB">
        <w:rPr>
          <w:lang w:val="en"/>
        </w:rPr>
        <w:t>are now firmly established on DAB</w:t>
      </w:r>
      <w:r w:rsidR="00C84DB0">
        <w:rPr>
          <w:lang w:val="en"/>
        </w:rPr>
        <w:t>,</w:t>
      </w:r>
      <w:r w:rsidR="002D409B" w:rsidRPr="005E2FDB">
        <w:rPr>
          <w:lang w:val="en"/>
        </w:rPr>
        <w:t xml:space="preserve"> </w:t>
      </w:r>
      <w:r w:rsidRPr="005E2FDB">
        <w:rPr>
          <w:lang w:val="en"/>
        </w:rPr>
        <w:t>with little prospect of t</w:t>
      </w:r>
      <w:r w:rsidR="00214793">
        <w:rPr>
          <w:lang w:val="en"/>
        </w:rPr>
        <w:t xml:space="preserve">hem moving from </w:t>
      </w:r>
      <w:r w:rsidR="004A6BBF" w:rsidRPr="005E2FDB">
        <w:rPr>
          <w:lang w:val="en"/>
        </w:rPr>
        <w:t>the platform</w:t>
      </w:r>
      <w:r w:rsidR="002D409B" w:rsidRPr="005E2FDB">
        <w:rPr>
          <w:lang w:val="en"/>
        </w:rPr>
        <w:t xml:space="preserve">. </w:t>
      </w:r>
      <w:r w:rsidR="00477DB2" w:rsidRPr="005E2FDB">
        <w:rPr>
          <w:lang w:val="en"/>
        </w:rPr>
        <w:t>O</w:t>
      </w:r>
      <w:r w:rsidR="0081003F">
        <w:rPr>
          <w:lang w:val="en"/>
        </w:rPr>
        <w:t>f</w:t>
      </w:r>
      <w:r w:rsidR="00477DB2" w:rsidRPr="005E2FDB">
        <w:rPr>
          <w:lang w:val="en"/>
        </w:rPr>
        <w:t>c</w:t>
      </w:r>
      <w:r w:rsidR="0081003F">
        <w:rPr>
          <w:lang w:val="en"/>
        </w:rPr>
        <w:t>o</w:t>
      </w:r>
      <w:r w:rsidR="00477DB2" w:rsidRPr="005E2FDB">
        <w:rPr>
          <w:lang w:val="en"/>
        </w:rPr>
        <w:t>m’s</w:t>
      </w:r>
      <w:r w:rsidRPr="005E2FDB">
        <w:rPr>
          <w:lang w:val="en"/>
        </w:rPr>
        <w:t xml:space="preserve"> advertisement </w:t>
      </w:r>
      <w:r w:rsidR="004A6BBF" w:rsidRPr="005E2FDB">
        <w:rPr>
          <w:lang w:val="en"/>
        </w:rPr>
        <w:t>of</w:t>
      </w:r>
      <w:r w:rsidRPr="005E2FDB">
        <w:rPr>
          <w:lang w:val="en"/>
        </w:rPr>
        <w:t xml:space="preserve"> the second national commercial </w:t>
      </w:r>
      <w:r w:rsidR="00340B82" w:rsidRPr="005E2FDB">
        <w:rPr>
          <w:lang w:val="en"/>
        </w:rPr>
        <w:t>multiplex earlier</w:t>
      </w:r>
      <w:r w:rsidR="006B6106">
        <w:rPr>
          <w:lang w:val="en"/>
        </w:rPr>
        <w:t xml:space="preserve"> this year</w:t>
      </w:r>
      <w:r w:rsidRPr="005E2FDB">
        <w:rPr>
          <w:lang w:val="en"/>
        </w:rPr>
        <w:t xml:space="preserve"> signals strong demand for further national capacity</w:t>
      </w:r>
      <w:r w:rsidR="004A6BBF" w:rsidRPr="005E2FDB">
        <w:rPr>
          <w:lang w:val="en"/>
        </w:rPr>
        <w:t>,</w:t>
      </w:r>
      <w:r w:rsidRPr="005E2FDB">
        <w:rPr>
          <w:lang w:val="en"/>
        </w:rPr>
        <w:t xml:space="preserve"> compl</w:t>
      </w:r>
      <w:r w:rsidR="005B6F88">
        <w:rPr>
          <w:lang w:val="en"/>
        </w:rPr>
        <w:t>e</w:t>
      </w:r>
      <w:r w:rsidRPr="005E2FDB">
        <w:rPr>
          <w:lang w:val="en"/>
        </w:rPr>
        <w:t xml:space="preserve">mented by the Government’s support for the </w:t>
      </w:r>
      <w:r w:rsidR="005B6F88">
        <w:rPr>
          <w:lang w:val="en"/>
        </w:rPr>
        <w:t>upgrade</w:t>
      </w:r>
      <w:r w:rsidRPr="005E2FDB">
        <w:rPr>
          <w:lang w:val="en"/>
        </w:rPr>
        <w:t xml:space="preserve"> of local DAB.</w:t>
      </w:r>
    </w:p>
    <w:p w14:paraId="52D67623" w14:textId="77777777" w:rsidR="00814965" w:rsidRDefault="00814965" w:rsidP="00663ECE">
      <w:pPr>
        <w:spacing w:before="0"/>
        <w:ind w:left="0" w:hanging="502"/>
        <w:rPr>
          <w:lang w:val="en"/>
        </w:rPr>
      </w:pPr>
    </w:p>
    <w:p w14:paraId="52D67624" w14:textId="13B11D4F" w:rsidR="002D409B" w:rsidRPr="005E2FDB" w:rsidRDefault="00214793" w:rsidP="00663ECE">
      <w:pPr>
        <w:pStyle w:val="ListParagraph"/>
        <w:numPr>
          <w:ilvl w:val="0"/>
          <w:numId w:val="24"/>
        </w:numPr>
        <w:spacing w:before="0"/>
        <w:ind w:hanging="502"/>
        <w:rPr>
          <w:lang w:val="en"/>
        </w:rPr>
      </w:pPr>
      <w:r>
        <w:rPr>
          <w:lang w:val="en"/>
        </w:rPr>
        <w:t xml:space="preserve">Radio stations </w:t>
      </w:r>
      <w:r w:rsidR="002122B9">
        <w:rPr>
          <w:lang w:val="en"/>
        </w:rPr>
        <w:t>are</w:t>
      </w:r>
      <w:r w:rsidR="00C84DB0">
        <w:rPr>
          <w:lang w:val="en"/>
        </w:rPr>
        <w:t xml:space="preserve"> also</w:t>
      </w:r>
      <w:r w:rsidR="002122B9">
        <w:rPr>
          <w:lang w:val="en"/>
        </w:rPr>
        <w:t xml:space="preserve"> increasingly </w:t>
      </w:r>
      <w:r w:rsidR="006B6106">
        <w:rPr>
          <w:lang w:val="en"/>
        </w:rPr>
        <w:t>taking advantage of</w:t>
      </w:r>
      <w:r w:rsidR="002122B9">
        <w:rPr>
          <w:lang w:val="en"/>
        </w:rPr>
        <w:t xml:space="preserve"> the </w:t>
      </w:r>
      <w:r w:rsidR="002D409B" w:rsidRPr="005E2FDB">
        <w:rPr>
          <w:lang w:val="en"/>
        </w:rPr>
        <w:t xml:space="preserve">commercial opportunities DAB presents, such as cross-promotion of services </w:t>
      </w:r>
      <w:r w:rsidR="00411A25" w:rsidRPr="005E2FDB">
        <w:rPr>
          <w:lang w:val="en"/>
        </w:rPr>
        <w:t>across sister stations</w:t>
      </w:r>
      <w:r w:rsidR="004A6BBF" w:rsidRPr="005E2FDB">
        <w:rPr>
          <w:lang w:val="en"/>
        </w:rPr>
        <w:t xml:space="preserve"> and </w:t>
      </w:r>
      <w:r w:rsidR="00411A25" w:rsidRPr="005E2FDB">
        <w:rPr>
          <w:lang w:val="en"/>
        </w:rPr>
        <w:t>common but distinct branding</w:t>
      </w:r>
      <w:r w:rsidR="00615832">
        <w:rPr>
          <w:lang w:val="en"/>
        </w:rPr>
        <w:t>,</w:t>
      </w:r>
      <w:r>
        <w:rPr>
          <w:lang w:val="en"/>
        </w:rPr>
        <w:t xml:space="preserve"> and </w:t>
      </w:r>
      <w:r w:rsidR="00615832">
        <w:rPr>
          <w:lang w:val="en"/>
        </w:rPr>
        <w:t>becoming</w:t>
      </w:r>
      <w:r>
        <w:rPr>
          <w:lang w:val="en"/>
        </w:rPr>
        <w:t xml:space="preserve"> broader media business</w:t>
      </w:r>
      <w:r w:rsidR="00646023">
        <w:rPr>
          <w:lang w:val="en"/>
        </w:rPr>
        <w:t>es</w:t>
      </w:r>
      <w:r>
        <w:rPr>
          <w:lang w:val="en"/>
        </w:rPr>
        <w:t xml:space="preserve"> investing in online and social media. A number of stations </w:t>
      </w:r>
      <w:r w:rsidR="00814965" w:rsidRPr="005E2FDB">
        <w:rPr>
          <w:lang w:val="en"/>
        </w:rPr>
        <w:t xml:space="preserve">have </w:t>
      </w:r>
      <w:r w:rsidR="002122B9">
        <w:rPr>
          <w:lang w:val="en"/>
        </w:rPr>
        <w:t xml:space="preserve">also been able to </w:t>
      </w:r>
      <w:r w:rsidR="00615832">
        <w:rPr>
          <w:lang w:val="en"/>
        </w:rPr>
        <w:t>take advantage of</w:t>
      </w:r>
      <w:r w:rsidR="002122B9">
        <w:rPr>
          <w:lang w:val="en"/>
        </w:rPr>
        <w:t xml:space="preserve"> </w:t>
      </w:r>
      <w:r w:rsidR="00615832">
        <w:rPr>
          <w:lang w:val="en"/>
        </w:rPr>
        <w:t>other</w:t>
      </w:r>
      <w:r>
        <w:rPr>
          <w:lang w:val="en"/>
        </w:rPr>
        <w:t xml:space="preserve"> </w:t>
      </w:r>
      <w:r w:rsidR="00814965" w:rsidRPr="005E2FDB">
        <w:rPr>
          <w:lang w:val="en"/>
        </w:rPr>
        <w:t xml:space="preserve">changes introduced by the </w:t>
      </w:r>
      <w:r w:rsidR="00CA6EA2">
        <w:rPr>
          <w:lang w:val="en"/>
        </w:rPr>
        <w:t>2010 Act</w:t>
      </w:r>
      <w:r>
        <w:rPr>
          <w:lang w:val="en"/>
        </w:rPr>
        <w:t xml:space="preserve">, </w:t>
      </w:r>
      <w:r w:rsidR="00615832">
        <w:rPr>
          <w:lang w:val="en"/>
        </w:rPr>
        <w:t xml:space="preserve">for example </w:t>
      </w:r>
      <w:r w:rsidR="006B6106">
        <w:rPr>
          <w:lang w:val="en"/>
        </w:rPr>
        <w:t>allowing</w:t>
      </w:r>
      <w:r>
        <w:rPr>
          <w:lang w:val="en"/>
        </w:rPr>
        <w:t xml:space="preserve"> local stations to </w:t>
      </w:r>
      <w:r w:rsidR="00814965" w:rsidRPr="005E2FDB">
        <w:rPr>
          <w:lang w:val="en"/>
        </w:rPr>
        <w:t>network more programming outside the morning peak period</w:t>
      </w:r>
      <w:r w:rsidR="002122B9">
        <w:rPr>
          <w:lang w:val="en"/>
        </w:rPr>
        <w:t xml:space="preserve"> to help support</w:t>
      </w:r>
      <w:r w:rsidR="00615832">
        <w:rPr>
          <w:lang w:val="en"/>
        </w:rPr>
        <w:t xml:space="preserve"> their</w:t>
      </w:r>
      <w:r w:rsidR="002122B9">
        <w:rPr>
          <w:lang w:val="en"/>
        </w:rPr>
        <w:t xml:space="preserve"> investment</w:t>
      </w:r>
      <w:r w:rsidR="00814965" w:rsidRPr="005E2FDB">
        <w:rPr>
          <w:lang w:val="en"/>
        </w:rPr>
        <w:t xml:space="preserve">. </w:t>
      </w:r>
    </w:p>
    <w:p w14:paraId="52D67625" w14:textId="77777777" w:rsidR="00814965" w:rsidRDefault="00814965" w:rsidP="00663ECE">
      <w:pPr>
        <w:spacing w:before="0"/>
        <w:ind w:left="0" w:hanging="502"/>
        <w:rPr>
          <w:lang w:val="en"/>
        </w:rPr>
      </w:pPr>
    </w:p>
    <w:p w14:paraId="52D67626" w14:textId="77777777" w:rsidR="002D409B" w:rsidRPr="002D409B" w:rsidRDefault="002D409B" w:rsidP="00663ECE">
      <w:pPr>
        <w:pStyle w:val="ListParagraph"/>
        <w:numPr>
          <w:ilvl w:val="0"/>
          <w:numId w:val="24"/>
        </w:numPr>
        <w:spacing w:before="0"/>
        <w:ind w:hanging="502"/>
      </w:pPr>
      <w:r w:rsidRPr="002D409B">
        <w:t xml:space="preserve">The primary benefit of </w:t>
      </w:r>
      <w:r w:rsidR="00814965">
        <w:t>not</w:t>
      </w:r>
      <w:r w:rsidR="00C84DB0">
        <w:t xml:space="preserve"> allowing</w:t>
      </w:r>
      <w:r w:rsidR="00814965">
        <w:t xml:space="preserve"> </w:t>
      </w:r>
      <w:r w:rsidR="001621BC">
        <w:t>further</w:t>
      </w:r>
      <w:r w:rsidR="005B6F88">
        <w:t xml:space="preserve"> </w:t>
      </w:r>
      <w:r w:rsidR="00CA6EA2">
        <w:t>renew</w:t>
      </w:r>
      <w:r w:rsidR="00C84DB0">
        <w:t>al of</w:t>
      </w:r>
      <w:r w:rsidR="00814965">
        <w:t xml:space="preserve"> licences </w:t>
      </w:r>
      <w:r w:rsidR="004A6BBF">
        <w:t xml:space="preserve">is </w:t>
      </w:r>
      <w:r w:rsidRPr="002D409B">
        <w:t xml:space="preserve">that it </w:t>
      </w:r>
      <w:r w:rsidR="00814965">
        <w:t xml:space="preserve">enables Ofcom to </w:t>
      </w:r>
      <w:r w:rsidR="00C84DB0">
        <w:t>advertise</w:t>
      </w:r>
      <w:r w:rsidR="002122B9">
        <w:t xml:space="preserve"> national and </w:t>
      </w:r>
      <w:r w:rsidR="0050217D">
        <w:t xml:space="preserve">local </w:t>
      </w:r>
      <w:r w:rsidR="00814965">
        <w:t xml:space="preserve">licences to </w:t>
      </w:r>
      <w:r w:rsidR="005B6F88">
        <w:t xml:space="preserve">potential </w:t>
      </w:r>
      <w:r w:rsidRPr="002D409B">
        <w:t>new entrants to the market, encouraging competition between both existing and new providers</w:t>
      </w:r>
      <w:r w:rsidR="007B306F">
        <w:t xml:space="preserve">. </w:t>
      </w:r>
      <w:r w:rsidRPr="002D409B">
        <w:t>At best, it</w:t>
      </w:r>
      <w:r w:rsidR="007B306F">
        <w:t xml:space="preserve"> could give Ofcom an </w:t>
      </w:r>
      <w:r w:rsidRPr="002D409B">
        <w:t xml:space="preserve">opportunity to secure </w:t>
      </w:r>
      <w:r w:rsidR="002122B9">
        <w:t xml:space="preserve">a stronger commitment </w:t>
      </w:r>
      <w:r w:rsidR="006B6106">
        <w:t xml:space="preserve">to </w:t>
      </w:r>
      <w:r w:rsidR="002122B9">
        <w:t xml:space="preserve">high quality </w:t>
      </w:r>
      <w:r w:rsidR="00411A25">
        <w:t xml:space="preserve">radio </w:t>
      </w:r>
      <w:r w:rsidR="002122B9">
        <w:t xml:space="preserve">content </w:t>
      </w:r>
      <w:r w:rsidR="00411A25">
        <w:t>for listeners</w:t>
      </w:r>
      <w:r w:rsidR="002122B9">
        <w:t xml:space="preserve"> and increase commitments to </w:t>
      </w:r>
      <w:r w:rsidR="00411A25">
        <w:t>local content</w:t>
      </w:r>
      <w:r w:rsidR="004A6BBF">
        <w:t>.</w:t>
      </w:r>
    </w:p>
    <w:p w14:paraId="52D67627" w14:textId="77777777" w:rsidR="00814965" w:rsidRDefault="00814965" w:rsidP="00663ECE">
      <w:pPr>
        <w:spacing w:before="0"/>
        <w:ind w:left="0" w:hanging="502"/>
      </w:pPr>
    </w:p>
    <w:p w14:paraId="52D67628" w14:textId="0CBE1C05" w:rsidR="007B306F" w:rsidRDefault="002D409B" w:rsidP="00663ECE">
      <w:pPr>
        <w:pStyle w:val="ListParagraph"/>
        <w:numPr>
          <w:ilvl w:val="0"/>
          <w:numId w:val="24"/>
        </w:numPr>
        <w:spacing w:before="0"/>
        <w:ind w:hanging="502"/>
      </w:pPr>
      <w:r w:rsidRPr="002D409B">
        <w:t>However, re-advertis</w:t>
      </w:r>
      <w:r w:rsidR="00BA6271">
        <w:t xml:space="preserve">ing national and local </w:t>
      </w:r>
      <w:r w:rsidR="005E2FDB">
        <w:t xml:space="preserve">licences </w:t>
      </w:r>
      <w:r w:rsidR="002122B9">
        <w:t xml:space="preserve">in this way </w:t>
      </w:r>
      <w:r w:rsidR="00615832">
        <w:t>c</w:t>
      </w:r>
      <w:r w:rsidR="002122B9">
        <w:t xml:space="preserve">ould </w:t>
      </w:r>
      <w:r w:rsidR="006B6106">
        <w:t xml:space="preserve">also </w:t>
      </w:r>
      <w:r w:rsidR="002122B9">
        <w:t xml:space="preserve">create </w:t>
      </w:r>
      <w:r w:rsidR="00615832">
        <w:t xml:space="preserve">a </w:t>
      </w:r>
      <w:r w:rsidR="00BA6271">
        <w:t xml:space="preserve">considerable degree of </w:t>
      </w:r>
      <w:r w:rsidR="002122B9">
        <w:t xml:space="preserve">insecurity </w:t>
      </w:r>
      <w:r w:rsidRPr="002D409B">
        <w:t xml:space="preserve">for </w:t>
      </w:r>
      <w:r w:rsidR="002122B9">
        <w:t xml:space="preserve">the </w:t>
      </w:r>
      <w:r w:rsidRPr="002D409B">
        <w:t>industry</w:t>
      </w:r>
      <w:r w:rsidR="00BA6271">
        <w:t xml:space="preserve"> </w:t>
      </w:r>
      <w:r w:rsidR="007B306F">
        <w:t xml:space="preserve">as </w:t>
      </w:r>
      <w:r w:rsidR="002122B9">
        <w:t>a whole</w:t>
      </w:r>
      <w:r w:rsidR="00646023">
        <w:t>.</w:t>
      </w:r>
      <w:r w:rsidRPr="002D409B">
        <w:t xml:space="preserve"> </w:t>
      </w:r>
      <w:r w:rsidR="00C84DB0">
        <w:t xml:space="preserve">The competitive process for each licence </w:t>
      </w:r>
      <w:r w:rsidR="00CA2FF9">
        <w:t>would have</w:t>
      </w:r>
      <w:r w:rsidR="00C84DB0">
        <w:t xml:space="preserve"> significant cost implication</w:t>
      </w:r>
      <w:r w:rsidR="00CA2FF9">
        <w:t>s</w:t>
      </w:r>
      <w:r w:rsidR="00C84DB0">
        <w:t xml:space="preserve"> for broadcasters, with the costs o</w:t>
      </w:r>
      <w:r w:rsidR="00CA2FF9">
        <w:t>f bidding for and award of licences being met by industry through licence application fees charged by Ofcom.</w:t>
      </w:r>
      <w:r w:rsidR="00C84DB0">
        <w:t xml:space="preserve"> </w:t>
      </w:r>
      <w:r w:rsidR="008857E4">
        <w:t xml:space="preserve"> </w:t>
      </w:r>
      <w:r w:rsidR="00CA2FF9">
        <w:t xml:space="preserve">This </w:t>
      </w:r>
      <w:r w:rsidR="00BA6271">
        <w:t xml:space="preserve">could </w:t>
      </w:r>
      <w:r w:rsidR="00CA2FF9">
        <w:t xml:space="preserve">also </w:t>
      </w:r>
      <w:r w:rsidR="00BA6271">
        <w:t>affect investment in</w:t>
      </w:r>
      <w:r w:rsidR="002122B9">
        <w:t xml:space="preserve"> </w:t>
      </w:r>
      <w:r w:rsidR="008857E4">
        <w:t xml:space="preserve">DAB in </w:t>
      </w:r>
      <w:r w:rsidR="00BA6271">
        <w:t xml:space="preserve">the run up to </w:t>
      </w:r>
      <w:r w:rsidR="007B306F">
        <w:t xml:space="preserve">what might be a lengthy </w:t>
      </w:r>
      <w:r w:rsidR="00BA6271">
        <w:t xml:space="preserve">licence </w:t>
      </w:r>
      <w:r w:rsidR="005B6F88">
        <w:t xml:space="preserve">bidding and </w:t>
      </w:r>
      <w:r w:rsidR="00BA6271">
        <w:t xml:space="preserve">award process. </w:t>
      </w:r>
      <w:r w:rsidRPr="002D409B">
        <w:t xml:space="preserve">There </w:t>
      </w:r>
      <w:r w:rsidR="00BA6271">
        <w:lastRenderedPageBreak/>
        <w:t xml:space="preserve">would also be </w:t>
      </w:r>
      <w:r w:rsidR="004A6BBF">
        <w:t xml:space="preserve">a </w:t>
      </w:r>
      <w:r w:rsidR="007B306F">
        <w:t xml:space="preserve">significant </w:t>
      </w:r>
      <w:r w:rsidR="00CA2FF9">
        <w:t>administrative burden</w:t>
      </w:r>
      <w:r w:rsidR="00CA2FF9" w:rsidRPr="002D409B">
        <w:t xml:space="preserve"> </w:t>
      </w:r>
      <w:r w:rsidR="005B238A">
        <w:t>to</w:t>
      </w:r>
      <w:r w:rsidR="00BA6271">
        <w:t xml:space="preserve"> O</w:t>
      </w:r>
      <w:r w:rsidRPr="002D409B">
        <w:t xml:space="preserve">fcom </w:t>
      </w:r>
      <w:r w:rsidR="004A6BBF">
        <w:t xml:space="preserve">in </w:t>
      </w:r>
      <w:r w:rsidRPr="002D409B">
        <w:t>running a competitive process for each licence</w:t>
      </w:r>
      <w:r w:rsidR="007B306F">
        <w:t xml:space="preserve"> </w:t>
      </w:r>
      <w:r w:rsidR="00340B82">
        <w:t>over a</w:t>
      </w:r>
      <w:r w:rsidR="007B306F">
        <w:t xml:space="preserve"> </w:t>
      </w:r>
      <w:r w:rsidR="005B6F88">
        <w:t xml:space="preserve">relatively </w:t>
      </w:r>
      <w:r w:rsidR="007B306F">
        <w:t xml:space="preserve">short </w:t>
      </w:r>
      <w:r w:rsidR="008857E4">
        <w:t xml:space="preserve">period. </w:t>
      </w:r>
    </w:p>
    <w:p w14:paraId="52D67629" w14:textId="77777777" w:rsidR="002122B9" w:rsidRDefault="002122B9" w:rsidP="00663ECE">
      <w:pPr>
        <w:pStyle w:val="ListParagraph"/>
        <w:spacing w:before="0"/>
        <w:ind w:left="786" w:hanging="502"/>
      </w:pPr>
    </w:p>
    <w:p w14:paraId="52D6762A" w14:textId="77777777" w:rsidR="002D409B" w:rsidRPr="002D409B" w:rsidRDefault="004A6BBF" w:rsidP="00663ECE">
      <w:pPr>
        <w:pStyle w:val="ListParagraph"/>
        <w:numPr>
          <w:ilvl w:val="0"/>
          <w:numId w:val="24"/>
        </w:numPr>
        <w:spacing w:before="0"/>
        <w:ind w:hanging="502"/>
      </w:pPr>
      <w:r>
        <w:t>T</w:t>
      </w:r>
      <w:r w:rsidR="00BA6271">
        <w:t xml:space="preserve">he Government’s </w:t>
      </w:r>
      <w:r w:rsidR="007B306F">
        <w:t xml:space="preserve">current </w:t>
      </w:r>
      <w:r w:rsidR="00BA6271">
        <w:t xml:space="preserve">view is that </w:t>
      </w:r>
      <w:r w:rsidR="007B306F">
        <w:t xml:space="preserve">whilst </w:t>
      </w:r>
      <w:r w:rsidR="00BA6271">
        <w:t xml:space="preserve">not introducing legislation </w:t>
      </w:r>
      <w:r w:rsidR="002122B9">
        <w:t xml:space="preserve">does have </w:t>
      </w:r>
      <w:r w:rsidR="007B306F">
        <w:t xml:space="preserve">attractions, it </w:t>
      </w:r>
      <w:r w:rsidR="00BA6271">
        <w:t>car</w:t>
      </w:r>
      <w:r w:rsidR="007B306F">
        <w:t>r</w:t>
      </w:r>
      <w:r w:rsidR="00BA6271">
        <w:t xml:space="preserve">ies </w:t>
      </w:r>
      <w:r w:rsidR="007B306F">
        <w:t xml:space="preserve">with it </w:t>
      </w:r>
      <w:r w:rsidR="00BA6271">
        <w:t xml:space="preserve">a significant risk of </w:t>
      </w:r>
      <w:r w:rsidR="002D409B" w:rsidRPr="002D409B">
        <w:t xml:space="preserve">destabilising </w:t>
      </w:r>
      <w:r w:rsidR="0053677B">
        <w:t>the</w:t>
      </w:r>
      <w:r w:rsidR="00BA6271">
        <w:t xml:space="preserve"> whole </w:t>
      </w:r>
      <w:r w:rsidR="002D409B" w:rsidRPr="002D409B">
        <w:t xml:space="preserve">industry </w:t>
      </w:r>
      <w:r w:rsidR="00BA6271">
        <w:t>at a time</w:t>
      </w:r>
      <w:r w:rsidR="002122B9">
        <w:t xml:space="preserve"> of change</w:t>
      </w:r>
      <w:r w:rsidR="00CA2FF9">
        <w:t>,</w:t>
      </w:r>
      <w:r w:rsidR="009D17EC">
        <w:t xml:space="preserve"> and </w:t>
      </w:r>
      <w:r w:rsidR="00BA6271">
        <w:t xml:space="preserve">when the recovery of </w:t>
      </w:r>
      <w:r w:rsidR="00EB2A18" w:rsidRPr="00EB2A18">
        <w:t>advertising revenues</w:t>
      </w:r>
      <w:r w:rsidR="00BA6271">
        <w:t xml:space="preserve"> remains fragile</w:t>
      </w:r>
      <w:r w:rsidR="00EB2A18">
        <w:t>, and</w:t>
      </w:r>
      <w:r w:rsidR="002D409B" w:rsidRPr="002D409B">
        <w:t xml:space="preserve"> certainty on the direction of travel is crucial to giving companies the confidence to invest</w:t>
      </w:r>
      <w:r w:rsidR="00EB2A18">
        <w:t xml:space="preserve">. </w:t>
      </w:r>
      <w:r w:rsidR="007B306F">
        <w:t xml:space="preserve">More importantly perhaps, there is </w:t>
      </w:r>
      <w:r w:rsidR="0053677B">
        <w:t xml:space="preserve">a </w:t>
      </w:r>
      <w:r w:rsidR="00EB2A18">
        <w:t>potential</w:t>
      </w:r>
      <w:r w:rsidR="002D409B" w:rsidRPr="002D409B">
        <w:t xml:space="preserve"> impact on listeners</w:t>
      </w:r>
      <w:r>
        <w:t>,</w:t>
      </w:r>
      <w:r w:rsidR="00BA6271" w:rsidRPr="00BA6271">
        <w:t xml:space="preserve"> </w:t>
      </w:r>
      <w:r w:rsidR="00BA6271">
        <w:t>particularly those listening on analogue</w:t>
      </w:r>
      <w:r w:rsidR="00EB2A18">
        <w:t>,</w:t>
      </w:r>
      <w:r w:rsidR="002D409B" w:rsidRPr="002D409B">
        <w:t xml:space="preserve"> who could face the l</w:t>
      </w:r>
      <w:r w:rsidR="00EB2A18">
        <w:t xml:space="preserve">oss of their </w:t>
      </w:r>
      <w:r w:rsidR="007B306F">
        <w:t xml:space="preserve">long-standing and </w:t>
      </w:r>
      <w:r w:rsidR="00EB2A18">
        <w:t>favourite services</w:t>
      </w:r>
      <w:r w:rsidR="007B306F">
        <w:t xml:space="preserve"> if </w:t>
      </w:r>
      <w:r w:rsidR="0053677B">
        <w:t>station</w:t>
      </w:r>
      <w:r w:rsidR="001621BC">
        <w:t>s’</w:t>
      </w:r>
      <w:r w:rsidR="0053677B">
        <w:t xml:space="preserve"> </w:t>
      </w:r>
      <w:r w:rsidR="002D409B" w:rsidRPr="002D409B">
        <w:t xml:space="preserve">licences </w:t>
      </w:r>
      <w:r w:rsidR="00615832">
        <w:t xml:space="preserve">were </w:t>
      </w:r>
      <w:r w:rsidR="002D409B" w:rsidRPr="002D409B">
        <w:t>simply allowed to expire.</w:t>
      </w:r>
    </w:p>
    <w:p w14:paraId="52D6762B" w14:textId="77777777" w:rsidR="002D409B" w:rsidRPr="002D409B" w:rsidRDefault="002D409B" w:rsidP="002D409B">
      <w:pPr>
        <w:spacing w:before="0"/>
        <w:ind w:left="0"/>
      </w:pPr>
    </w:p>
    <w:p w14:paraId="52D6762C" w14:textId="77777777" w:rsidR="007B306F" w:rsidRPr="00E22E84" w:rsidRDefault="007B306F" w:rsidP="002D409B">
      <w:pPr>
        <w:spacing w:before="0"/>
        <w:ind w:left="0"/>
        <w:rPr>
          <w:b/>
          <w:u w:val="single"/>
        </w:rPr>
      </w:pPr>
    </w:p>
    <w:p w14:paraId="52D6762D" w14:textId="59D5CAA3" w:rsidR="002D409B" w:rsidRDefault="00BA6271" w:rsidP="002D409B">
      <w:pPr>
        <w:spacing w:before="0"/>
        <w:ind w:left="0"/>
        <w:rPr>
          <w:b/>
        </w:rPr>
      </w:pPr>
      <w:r w:rsidRPr="005E2FDB">
        <w:rPr>
          <w:b/>
          <w:u w:val="single"/>
        </w:rPr>
        <w:t>Question 1</w:t>
      </w:r>
      <w:r w:rsidRPr="004A6BBF">
        <w:rPr>
          <w:b/>
        </w:rPr>
        <w:t xml:space="preserve"> – </w:t>
      </w:r>
      <w:r w:rsidR="00FE7513">
        <w:rPr>
          <w:b/>
        </w:rPr>
        <w:t xml:space="preserve">What is the likely impact on the radio sector if legislation is not changed? In particular, what is the likely cost impact of rebidding for licences, the impact on investment in content, and the impact on </w:t>
      </w:r>
      <w:r w:rsidR="00FE7513" w:rsidRPr="00665B2A">
        <w:rPr>
          <w:b/>
        </w:rPr>
        <w:t>competition between radio stations and groups</w:t>
      </w:r>
      <w:r w:rsidR="00FE7513">
        <w:rPr>
          <w:b/>
        </w:rPr>
        <w:t>?</w:t>
      </w:r>
    </w:p>
    <w:p w14:paraId="52D6762E" w14:textId="77777777" w:rsidR="00591AFB" w:rsidRDefault="00591AFB" w:rsidP="002D409B">
      <w:pPr>
        <w:spacing w:before="0"/>
        <w:ind w:left="0"/>
        <w:rPr>
          <w:b/>
        </w:rPr>
      </w:pPr>
    </w:p>
    <w:p w14:paraId="6F022DB3" w14:textId="274E8766" w:rsidR="00FE7513" w:rsidRDefault="00591AFB" w:rsidP="002D409B">
      <w:pPr>
        <w:spacing w:before="0"/>
        <w:ind w:left="0"/>
        <w:rPr>
          <w:b/>
        </w:rPr>
      </w:pPr>
      <w:r w:rsidRPr="005E2FDB">
        <w:rPr>
          <w:b/>
          <w:u w:val="single"/>
        </w:rPr>
        <w:t>Question 2</w:t>
      </w:r>
      <w:r>
        <w:rPr>
          <w:b/>
        </w:rPr>
        <w:t xml:space="preserve"> – </w:t>
      </w:r>
      <w:r w:rsidR="00FE7513" w:rsidRPr="004A6BBF">
        <w:rPr>
          <w:b/>
        </w:rPr>
        <w:t>Do you agree that the disadvantages to the radio industry and to individual stations of not allowing a further renewal period outweigh any potential benefits in requirin</w:t>
      </w:r>
      <w:r w:rsidR="00FE7513">
        <w:rPr>
          <w:b/>
        </w:rPr>
        <w:t>g stations to rebid for licences? If not, could you set out the benefits of this to radio listeners and the wider radio industry?</w:t>
      </w:r>
    </w:p>
    <w:p w14:paraId="52D67630" w14:textId="77777777" w:rsidR="005E2FDB" w:rsidRDefault="005E2FDB" w:rsidP="002D409B">
      <w:pPr>
        <w:spacing w:before="0"/>
        <w:ind w:left="0"/>
        <w:rPr>
          <w:b/>
        </w:rPr>
      </w:pPr>
    </w:p>
    <w:p w14:paraId="52D67631" w14:textId="77777777" w:rsidR="000747CE" w:rsidRPr="00E22E84" w:rsidRDefault="000747CE" w:rsidP="002D409B">
      <w:pPr>
        <w:spacing w:before="0"/>
        <w:ind w:left="0"/>
        <w:rPr>
          <w:b/>
        </w:rPr>
      </w:pPr>
    </w:p>
    <w:tbl>
      <w:tblPr>
        <w:tblStyle w:val="TableGrid"/>
        <w:tblW w:w="0" w:type="auto"/>
        <w:tblInd w:w="108" w:type="dxa"/>
        <w:tblLook w:val="04A0" w:firstRow="1" w:lastRow="0" w:firstColumn="1" w:lastColumn="0" w:noHBand="0" w:noVBand="1"/>
      </w:tblPr>
      <w:tblGrid>
        <w:gridCol w:w="9972"/>
      </w:tblGrid>
      <w:tr w:rsidR="00591AFB" w:rsidRPr="005E2FDB" w14:paraId="52D67634" w14:textId="77777777" w:rsidTr="00591AFB">
        <w:tc>
          <w:tcPr>
            <w:tcW w:w="9972" w:type="dxa"/>
          </w:tcPr>
          <w:p w14:paraId="52D67632" w14:textId="77777777" w:rsidR="005E2FDB" w:rsidRPr="005E2FDB" w:rsidRDefault="005E2FDB" w:rsidP="00E22E84">
            <w:pPr>
              <w:pStyle w:val="ListParagraph"/>
              <w:numPr>
                <w:ilvl w:val="0"/>
                <w:numId w:val="25"/>
              </w:numPr>
              <w:ind w:left="318" w:hanging="284"/>
              <w:rPr>
                <w:b/>
                <w:sz w:val="24"/>
              </w:rPr>
            </w:pPr>
            <w:r w:rsidRPr="005E2FDB">
              <w:rPr>
                <w:b/>
                <w:sz w:val="24"/>
              </w:rPr>
              <w:t xml:space="preserve">Allow the </w:t>
            </w:r>
            <w:r w:rsidR="00CA6EA2">
              <w:rPr>
                <w:b/>
                <w:sz w:val="24"/>
              </w:rPr>
              <w:t>renewal</w:t>
            </w:r>
            <w:r w:rsidRPr="005E2FDB">
              <w:rPr>
                <w:b/>
                <w:sz w:val="24"/>
              </w:rPr>
              <w:t xml:space="preserve"> of licences for a further five year period for licences </w:t>
            </w:r>
            <w:r w:rsidR="00CA6EA2">
              <w:rPr>
                <w:b/>
                <w:sz w:val="24"/>
              </w:rPr>
              <w:t>renew</w:t>
            </w:r>
            <w:r w:rsidRPr="005E2FDB">
              <w:rPr>
                <w:b/>
                <w:sz w:val="24"/>
              </w:rPr>
              <w:t xml:space="preserve">ed under s103B </w:t>
            </w:r>
            <w:r w:rsidR="009D0CE3">
              <w:rPr>
                <w:b/>
                <w:sz w:val="24"/>
              </w:rPr>
              <w:t xml:space="preserve">and s104AA </w:t>
            </w:r>
            <w:r w:rsidRPr="005E2FDB">
              <w:rPr>
                <w:b/>
                <w:sz w:val="24"/>
              </w:rPr>
              <w:t>of the 1990 Broadcasting Act, and twelve years for stations that have not yet been renewed under s103B</w:t>
            </w:r>
            <w:r w:rsidR="009D0CE3">
              <w:rPr>
                <w:b/>
                <w:sz w:val="24"/>
              </w:rPr>
              <w:t xml:space="preserve"> or s104AA</w:t>
            </w:r>
          </w:p>
          <w:p w14:paraId="52D67633" w14:textId="77777777" w:rsidR="00591AFB" w:rsidRPr="005E2FDB" w:rsidRDefault="00591AFB" w:rsidP="002D409B">
            <w:pPr>
              <w:spacing w:before="0"/>
              <w:ind w:left="0"/>
              <w:rPr>
                <w:sz w:val="24"/>
              </w:rPr>
            </w:pPr>
          </w:p>
        </w:tc>
      </w:tr>
    </w:tbl>
    <w:p w14:paraId="52D67635" w14:textId="77777777" w:rsidR="00EB2A18" w:rsidRPr="002D409B" w:rsidRDefault="00EB2A18" w:rsidP="002D409B">
      <w:pPr>
        <w:spacing w:before="0"/>
        <w:ind w:left="0"/>
        <w:rPr>
          <w:b/>
        </w:rPr>
      </w:pPr>
    </w:p>
    <w:p w14:paraId="52D67636" w14:textId="5CDB2FCB" w:rsidR="002122B9" w:rsidRDefault="00E00CAE" w:rsidP="00663ECE">
      <w:pPr>
        <w:pStyle w:val="ListParagraph"/>
        <w:numPr>
          <w:ilvl w:val="0"/>
          <w:numId w:val="24"/>
        </w:numPr>
        <w:spacing w:before="0"/>
        <w:ind w:hanging="502"/>
      </w:pPr>
      <w:r>
        <w:t xml:space="preserve">As outlined </w:t>
      </w:r>
      <w:r w:rsidR="00591AFB">
        <w:t>in para</w:t>
      </w:r>
      <w:r w:rsidR="006B6106">
        <w:t>graph</w:t>
      </w:r>
      <w:r w:rsidR="00591AFB">
        <w:t xml:space="preserve"> </w:t>
      </w:r>
      <w:r w:rsidR="0050217D">
        <w:t>1</w:t>
      </w:r>
      <w:r w:rsidR="00B43DD3">
        <w:t>6</w:t>
      </w:r>
      <w:r w:rsidR="00591AFB">
        <w:t xml:space="preserve">, </w:t>
      </w:r>
      <w:r>
        <w:t>t</w:t>
      </w:r>
      <w:r w:rsidRPr="00E00CAE">
        <w:t xml:space="preserve">he 2010 </w:t>
      </w:r>
      <w:r w:rsidR="002C553E">
        <w:t xml:space="preserve">Act </w:t>
      </w:r>
      <w:r w:rsidR="00591AFB">
        <w:t xml:space="preserve">introduced changes to </w:t>
      </w:r>
      <w:r w:rsidR="00BB39FB">
        <w:t xml:space="preserve">the </w:t>
      </w:r>
      <w:r w:rsidRPr="00E00CAE">
        <w:t>Broadcasting Act</w:t>
      </w:r>
      <w:r w:rsidR="00B43DD3">
        <w:t xml:space="preserve"> 1990</w:t>
      </w:r>
      <w:r w:rsidRPr="00E00CAE">
        <w:t xml:space="preserve"> to allow Ofcom to grant a further licence </w:t>
      </w:r>
      <w:r w:rsidR="00CA6EA2">
        <w:t>renewal</w:t>
      </w:r>
      <w:r w:rsidRPr="00E00CAE">
        <w:t xml:space="preserve"> to FM and AM stations licensed before </w:t>
      </w:r>
      <w:r w:rsidR="0058442A">
        <w:t>8</w:t>
      </w:r>
      <w:r w:rsidR="00117D26">
        <w:t xml:space="preserve"> April 2010</w:t>
      </w:r>
      <w:r w:rsidRPr="00E00CAE">
        <w:t xml:space="preserve"> for one period of </w:t>
      </w:r>
      <w:r w:rsidR="00C84DB0">
        <w:t>seven</w:t>
      </w:r>
      <w:r w:rsidRPr="00E00CAE">
        <w:t xml:space="preserve"> years, on the condition that </w:t>
      </w:r>
      <w:r w:rsidR="00EB2A18">
        <w:t xml:space="preserve">licensees also </w:t>
      </w:r>
      <w:r w:rsidRPr="00E00CAE">
        <w:t>broadcast</w:t>
      </w:r>
      <w:r w:rsidR="00EB2A18">
        <w:t xml:space="preserve"> a service</w:t>
      </w:r>
      <w:r w:rsidRPr="00E00CAE">
        <w:t xml:space="preserve"> on DAB.  The seven year </w:t>
      </w:r>
      <w:r w:rsidR="00CA6EA2">
        <w:t>renewal</w:t>
      </w:r>
      <w:r w:rsidRPr="00E00CAE">
        <w:t xml:space="preserve"> </w:t>
      </w:r>
      <w:r w:rsidR="00663ECE">
        <w:t xml:space="preserve">period </w:t>
      </w:r>
      <w:r w:rsidRPr="00E00CAE">
        <w:t xml:space="preserve">was intended to reflect a switchover taking place by 2017-18, and flexibility to </w:t>
      </w:r>
      <w:r w:rsidR="00CA6EA2">
        <w:t>renew</w:t>
      </w:r>
      <w:r w:rsidRPr="00E00CAE">
        <w:t xml:space="preserve"> licences further was not included in the legislation</w:t>
      </w:r>
      <w:r w:rsidR="006B6106">
        <w:t>,</w:t>
      </w:r>
      <w:r w:rsidRPr="00E00CAE">
        <w:t xml:space="preserve"> in order to create certainty of direction for industry. However, in December 2013</w:t>
      </w:r>
      <w:r w:rsidR="00663ECE">
        <w:t xml:space="preserve"> following the completion of the Digital Radio </w:t>
      </w:r>
      <w:r w:rsidR="00AC5DCB">
        <w:t>Action</w:t>
      </w:r>
      <w:r w:rsidR="00663ECE">
        <w:t xml:space="preserve"> Plan, </w:t>
      </w:r>
      <w:r w:rsidRPr="00E00CAE">
        <w:t xml:space="preserve">the Government </w:t>
      </w:r>
      <w:r w:rsidR="00663ECE">
        <w:t xml:space="preserve">concluded </w:t>
      </w:r>
      <w:r w:rsidRPr="00E00CAE">
        <w:t>it was not the right time to comm</w:t>
      </w:r>
      <w:r w:rsidR="00117D26">
        <w:t>it to a switchover</w:t>
      </w:r>
      <w:r w:rsidR="00B43DD3">
        <w:t>,</w:t>
      </w:r>
      <w:r w:rsidR="00117D26">
        <w:t xml:space="preserve"> or set dates</w:t>
      </w:r>
      <w:r w:rsidR="00B43DD3">
        <w:t>,</w:t>
      </w:r>
      <w:r w:rsidR="002122B9">
        <w:t xml:space="preserve"> and that further progress was needed towards </w:t>
      </w:r>
      <w:r w:rsidR="006B6106">
        <w:t xml:space="preserve">meeting </w:t>
      </w:r>
      <w:r w:rsidR="002122B9">
        <w:t>the criteria for a switchover first set in 200</w:t>
      </w:r>
      <w:r w:rsidR="001621BC">
        <w:t>9</w:t>
      </w:r>
      <w:r w:rsidR="002122B9">
        <w:t xml:space="preserve"> and confirmed by the Government in July 2010. Th</w:t>
      </w:r>
      <w:r w:rsidR="006B6106">
        <w:t>ose</w:t>
      </w:r>
      <w:r w:rsidR="002122B9">
        <w:t xml:space="preserve"> criteria are</w:t>
      </w:r>
      <w:r w:rsidR="00FE69E8">
        <w:t xml:space="preserve"> that</w:t>
      </w:r>
      <w:r w:rsidR="002122B9">
        <w:t>:</w:t>
      </w:r>
    </w:p>
    <w:p w14:paraId="52D67637" w14:textId="77777777" w:rsidR="002122B9" w:rsidRDefault="002122B9" w:rsidP="00663ECE">
      <w:pPr>
        <w:pStyle w:val="ListParagraph"/>
        <w:spacing w:before="0"/>
        <w:ind w:left="0" w:hanging="502"/>
      </w:pPr>
    </w:p>
    <w:p w14:paraId="52D67638" w14:textId="77777777" w:rsidR="00C55809" w:rsidRDefault="00C55809" w:rsidP="00663ECE">
      <w:pPr>
        <w:pStyle w:val="ListParagraph"/>
        <w:numPr>
          <w:ilvl w:val="0"/>
          <w:numId w:val="31"/>
        </w:numPr>
        <w:spacing w:before="0"/>
        <w:ind w:left="1701" w:hanging="502"/>
      </w:pPr>
      <w:r>
        <w:t>50 per cent of all listening is to digital; and</w:t>
      </w:r>
    </w:p>
    <w:p w14:paraId="52D67639" w14:textId="77777777" w:rsidR="00C55809" w:rsidRDefault="00C55809" w:rsidP="00663ECE">
      <w:pPr>
        <w:pStyle w:val="ListParagraph"/>
        <w:spacing w:before="0"/>
        <w:ind w:left="1701" w:hanging="502"/>
      </w:pPr>
    </w:p>
    <w:p w14:paraId="52D6763A" w14:textId="77777777" w:rsidR="00C55809" w:rsidRDefault="00C55809" w:rsidP="00663ECE">
      <w:pPr>
        <w:pStyle w:val="ListParagraph"/>
        <w:numPr>
          <w:ilvl w:val="0"/>
          <w:numId w:val="31"/>
        </w:numPr>
        <w:spacing w:before="0"/>
        <w:ind w:left="1701" w:hanging="502"/>
      </w:pPr>
      <w:r>
        <w:t>national DAB coverage is comparable to FM, and local DAB reaches 90 per cent of the population and all major roads.</w:t>
      </w:r>
    </w:p>
    <w:p w14:paraId="52D6763B" w14:textId="77777777" w:rsidR="00117D26" w:rsidRDefault="00117D26" w:rsidP="00663ECE">
      <w:pPr>
        <w:spacing w:before="0"/>
        <w:ind w:left="0" w:hanging="502"/>
      </w:pPr>
    </w:p>
    <w:p w14:paraId="52D6763C" w14:textId="5D981E76" w:rsidR="00DB7369" w:rsidRDefault="00117D26" w:rsidP="00663ECE">
      <w:pPr>
        <w:pStyle w:val="ListParagraph"/>
        <w:numPr>
          <w:ilvl w:val="0"/>
          <w:numId w:val="24"/>
        </w:numPr>
        <w:spacing w:before="0"/>
        <w:ind w:hanging="502"/>
      </w:pPr>
      <w:r>
        <w:t>Based on</w:t>
      </w:r>
      <w:r w:rsidR="00EB2A18">
        <w:t xml:space="preserve"> the current </w:t>
      </w:r>
      <w:r w:rsidR="002122B9">
        <w:t xml:space="preserve">trends, the </w:t>
      </w:r>
      <w:r>
        <w:t>digital listening</w:t>
      </w:r>
      <w:r w:rsidR="00C55809">
        <w:t xml:space="preserve"> criteria will not be reached until late 2016 or early 2017. </w:t>
      </w:r>
      <w:r w:rsidR="00F266C6">
        <w:t xml:space="preserve">A </w:t>
      </w:r>
      <w:r w:rsidR="00663ECE">
        <w:t xml:space="preserve">five </w:t>
      </w:r>
      <w:r w:rsidR="00F266C6">
        <w:t xml:space="preserve">year </w:t>
      </w:r>
      <w:r w:rsidR="00CA6EA2">
        <w:t>renewal</w:t>
      </w:r>
      <w:r w:rsidR="00F266C6">
        <w:t xml:space="preserve"> would there</w:t>
      </w:r>
      <w:r w:rsidR="00C55809">
        <w:t>fore</w:t>
      </w:r>
      <w:r w:rsidR="00F266C6">
        <w:t xml:space="preserve"> align</w:t>
      </w:r>
      <w:r w:rsidR="00EB2A18">
        <w:t xml:space="preserve"> broadly</w:t>
      </w:r>
      <w:r w:rsidR="00F266C6">
        <w:t xml:space="preserve"> with the </w:t>
      </w:r>
      <w:r w:rsidR="00C55809">
        <w:t xml:space="preserve">earliest </w:t>
      </w:r>
      <w:r w:rsidR="00C55809">
        <w:lastRenderedPageBreak/>
        <w:t xml:space="preserve">possible date for a future </w:t>
      </w:r>
      <w:r w:rsidR="00F266C6">
        <w:t>switchover</w:t>
      </w:r>
      <w:r w:rsidR="00C55809">
        <w:t xml:space="preserve"> (from 2019). It would – in effect – convert the seven year period introduced by the </w:t>
      </w:r>
      <w:r w:rsidR="002C553E">
        <w:t>2010 Act</w:t>
      </w:r>
      <w:r w:rsidR="00C55809">
        <w:t xml:space="preserve"> into a 12 year</w:t>
      </w:r>
      <w:r w:rsidR="009D17EC">
        <w:t xml:space="preserve"> </w:t>
      </w:r>
      <w:r w:rsidR="00C55809">
        <w:t xml:space="preserve">term, thus aligning with </w:t>
      </w:r>
      <w:r w:rsidR="00F266C6">
        <w:t xml:space="preserve">the original 12 year statutory maximum </w:t>
      </w:r>
      <w:r w:rsidR="00C55809">
        <w:t xml:space="preserve">period </w:t>
      </w:r>
      <w:r w:rsidR="00663ECE">
        <w:t>which, since 16 June 2014</w:t>
      </w:r>
      <w:r w:rsidR="00B43DD3">
        <w:t>,</w:t>
      </w:r>
      <w:r w:rsidR="00663ECE">
        <w:t xml:space="preserve"> applies to</w:t>
      </w:r>
      <w:r w:rsidR="00B43DD3">
        <w:t xml:space="preserve"> all new</w:t>
      </w:r>
      <w:r w:rsidR="00663ECE">
        <w:t xml:space="preserve"> </w:t>
      </w:r>
      <w:r w:rsidR="00B43DD3">
        <w:t xml:space="preserve">analogue </w:t>
      </w:r>
      <w:r w:rsidR="00663ECE">
        <w:t xml:space="preserve">licences issued </w:t>
      </w:r>
      <w:r w:rsidR="00C55809">
        <w:t>by Ofcom</w:t>
      </w:r>
      <w:r w:rsidR="00663ECE">
        <w:rPr>
          <w:rStyle w:val="FootnoteReference"/>
        </w:rPr>
        <w:footnoteReference w:id="4"/>
      </w:r>
      <w:r w:rsidR="00F266C6">
        <w:t xml:space="preserve">. </w:t>
      </w:r>
      <w:r w:rsidR="004C4260">
        <w:t>Such a change would create a period of certainty for industry, enabling licensees to continue to make a return on their</w:t>
      </w:r>
      <w:r w:rsidR="00B43DD3">
        <w:t xml:space="preserve"> original</w:t>
      </w:r>
      <w:r w:rsidR="004C4260">
        <w:t xml:space="preserve"> investment. </w:t>
      </w:r>
      <w:r w:rsidR="00FE69E8">
        <w:t xml:space="preserve">In addition, </w:t>
      </w:r>
      <w:r w:rsidR="00405412">
        <w:t xml:space="preserve">this option </w:t>
      </w:r>
      <w:r w:rsidR="00BD2D0B">
        <w:t xml:space="preserve">would </w:t>
      </w:r>
      <w:r w:rsidR="00405412">
        <w:t>avoid</w:t>
      </w:r>
      <w:r w:rsidR="00BD2D0B">
        <w:t xml:space="preserve"> </w:t>
      </w:r>
      <w:r w:rsidR="00405412">
        <w:t>the extensive and ongoing process of re-advertising and re-awarding licences, significantly reducing both the cost and administrative burden on both the</w:t>
      </w:r>
      <w:r w:rsidR="00BD2D0B">
        <w:t xml:space="preserve"> </w:t>
      </w:r>
      <w:r w:rsidR="00FE69E8">
        <w:t xml:space="preserve">industry </w:t>
      </w:r>
      <w:r w:rsidR="00405412">
        <w:t>and Ofcom.</w:t>
      </w:r>
      <w:r w:rsidR="00405412" w:rsidRPr="00405412">
        <w:t xml:space="preserve"> </w:t>
      </w:r>
      <w:r w:rsidR="00405412">
        <w:t>Finally, i</w:t>
      </w:r>
      <w:r w:rsidR="00625EBB">
        <w:t xml:space="preserve">t also strikes a balance between </w:t>
      </w:r>
      <w:r w:rsidR="006B6106">
        <w:t xml:space="preserve">providing </w:t>
      </w:r>
      <w:r w:rsidR="00625EBB">
        <w:t>flexibil</w:t>
      </w:r>
      <w:r w:rsidR="00EB2A18">
        <w:t>ity for Government and industry</w:t>
      </w:r>
      <w:r w:rsidR="00B43DD3">
        <w:t>,</w:t>
      </w:r>
      <w:r w:rsidR="00625EBB">
        <w:t xml:space="preserve"> </w:t>
      </w:r>
      <w:r w:rsidR="00EB2A18">
        <w:t>and</w:t>
      </w:r>
      <w:r w:rsidR="00625EBB">
        <w:t xml:space="preserve"> providing further certainty on the way forward.</w:t>
      </w:r>
      <w:r w:rsidR="00C55809">
        <w:t xml:space="preserve"> The period would only cover renewals made before a future </w:t>
      </w:r>
      <w:r w:rsidR="00B43DD3">
        <w:t>d</w:t>
      </w:r>
      <w:r w:rsidR="00C55809">
        <w:t xml:space="preserve">igital </w:t>
      </w:r>
      <w:r w:rsidR="00B43DD3">
        <w:t>s</w:t>
      </w:r>
      <w:r w:rsidR="00C55809">
        <w:t>witchover decision</w:t>
      </w:r>
      <w:r w:rsidR="005B238A">
        <w:t>,</w:t>
      </w:r>
      <w:r w:rsidR="00C55809">
        <w:t xml:space="preserve"> and all licences </w:t>
      </w:r>
      <w:r w:rsidR="006B6106">
        <w:t>(</w:t>
      </w:r>
      <w:r w:rsidR="00C55809">
        <w:t xml:space="preserve">including those </w:t>
      </w:r>
      <w:r w:rsidR="00CA6EA2">
        <w:t>renew</w:t>
      </w:r>
      <w:r w:rsidR="00C55809">
        <w:t>ed under a new provision</w:t>
      </w:r>
      <w:r w:rsidR="006B6106">
        <w:t>)</w:t>
      </w:r>
      <w:r w:rsidR="005B238A">
        <w:t xml:space="preserve"> </w:t>
      </w:r>
      <w:r w:rsidR="00C55809">
        <w:t xml:space="preserve">would be subject to termination with two years notice </w:t>
      </w:r>
      <w:r w:rsidR="005B238A" w:rsidRPr="005B238A">
        <w:t>at the point at which a switchover date was nominated</w:t>
      </w:r>
      <w:r w:rsidR="005B238A">
        <w:t>,</w:t>
      </w:r>
      <w:r w:rsidR="005B238A" w:rsidRPr="005B238A">
        <w:t xml:space="preserve"> </w:t>
      </w:r>
      <w:r w:rsidR="00C55809">
        <w:t>as provided for under s</w:t>
      </w:r>
      <w:r w:rsidR="00DB7369">
        <w:t>30 of the Digital Economy Act 2010</w:t>
      </w:r>
      <w:r w:rsidR="00BB39FB">
        <w:t xml:space="preserve">. </w:t>
      </w:r>
      <w:r w:rsidR="00873CF4">
        <w:t xml:space="preserve">However, this approach is also likely to be </w:t>
      </w:r>
      <w:r w:rsidR="005B238A">
        <w:t>of most advantage</w:t>
      </w:r>
      <w:r w:rsidR="00DB7369">
        <w:t xml:space="preserve"> to incumbents</w:t>
      </w:r>
      <w:r w:rsidR="00B43DD3">
        <w:t>,</w:t>
      </w:r>
      <w:r w:rsidR="001B4E2F">
        <w:t xml:space="preserve"> and</w:t>
      </w:r>
      <w:r w:rsidR="00873CF4">
        <w:t xml:space="preserve"> to</w:t>
      </w:r>
      <w:r w:rsidR="00DB7369">
        <w:t xml:space="preserve"> the </w:t>
      </w:r>
      <w:r w:rsidR="004C4260">
        <w:t>detriment</w:t>
      </w:r>
      <w:r w:rsidR="00DB7369">
        <w:t xml:space="preserve"> of potential new entrants</w:t>
      </w:r>
      <w:r w:rsidR="00B43DD3">
        <w:t>, who will be unable to apply for the licences which are due to expire.</w:t>
      </w:r>
      <w:r w:rsidR="00DB7369">
        <w:t xml:space="preserve"> </w:t>
      </w:r>
    </w:p>
    <w:p w14:paraId="52D6763D" w14:textId="77777777" w:rsidR="00DB7369" w:rsidRDefault="00DB7369" w:rsidP="003E3D08">
      <w:pPr>
        <w:spacing w:before="0"/>
        <w:ind w:left="0"/>
      </w:pPr>
    </w:p>
    <w:p w14:paraId="52D6763E" w14:textId="77777777" w:rsidR="00DB7369" w:rsidRDefault="00DB7369" w:rsidP="00E22E84">
      <w:pPr>
        <w:spacing w:before="0"/>
      </w:pPr>
    </w:p>
    <w:p w14:paraId="52D6763F" w14:textId="0C75F334" w:rsidR="005E2FDB" w:rsidRDefault="005E2FDB" w:rsidP="005E2FDB">
      <w:pPr>
        <w:spacing w:before="0"/>
        <w:ind w:left="0"/>
        <w:rPr>
          <w:b/>
        </w:rPr>
      </w:pPr>
      <w:r w:rsidRPr="006B3F1B">
        <w:rPr>
          <w:b/>
          <w:u w:val="single"/>
        </w:rPr>
        <w:t>Question 3</w:t>
      </w:r>
      <w:r>
        <w:rPr>
          <w:b/>
        </w:rPr>
        <w:t xml:space="preserve"> – Do you agree</w:t>
      </w:r>
      <w:r w:rsidR="005C0326">
        <w:rPr>
          <w:b/>
        </w:rPr>
        <w:t xml:space="preserve"> that a five year </w:t>
      </w:r>
      <w:r w:rsidR="00DB7369">
        <w:rPr>
          <w:b/>
        </w:rPr>
        <w:t xml:space="preserve">period </w:t>
      </w:r>
      <w:r w:rsidR="005B238A">
        <w:rPr>
          <w:b/>
        </w:rPr>
        <w:t>of</w:t>
      </w:r>
      <w:r w:rsidR="00DB7369">
        <w:rPr>
          <w:b/>
        </w:rPr>
        <w:t xml:space="preserve"> </w:t>
      </w:r>
      <w:r w:rsidR="00CA6EA2">
        <w:rPr>
          <w:b/>
        </w:rPr>
        <w:t>renewal</w:t>
      </w:r>
      <w:r w:rsidR="005C0326">
        <w:rPr>
          <w:b/>
        </w:rPr>
        <w:t xml:space="preserve"> </w:t>
      </w:r>
      <w:r w:rsidR="0032655E">
        <w:rPr>
          <w:b/>
        </w:rPr>
        <w:t xml:space="preserve">would </w:t>
      </w:r>
      <w:r w:rsidR="00665B2A">
        <w:rPr>
          <w:b/>
        </w:rPr>
        <w:t>p</w:t>
      </w:r>
      <w:r w:rsidR="00900DAA">
        <w:rPr>
          <w:b/>
        </w:rPr>
        <w:t xml:space="preserve">rovide </w:t>
      </w:r>
      <w:r w:rsidR="005C0326">
        <w:rPr>
          <w:b/>
        </w:rPr>
        <w:t>sufficient certainty to licensees</w:t>
      </w:r>
      <w:r w:rsidR="00FE7513">
        <w:rPr>
          <w:b/>
        </w:rPr>
        <w:t xml:space="preserve"> </w:t>
      </w:r>
      <w:r w:rsidR="0032655E">
        <w:rPr>
          <w:b/>
        </w:rPr>
        <w:t>about</w:t>
      </w:r>
      <w:r w:rsidR="00FE7513">
        <w:rPr>
          <w:b/>
        </w:rPr>
        <w:t xml:space="preserve"> a continued transition to digital</w:t>
      </w:r>
      <w:r w:rsidR="005C0326">
        <w:rPr>
          <w:b/>
        </w:rPr>
        <w:t xml:space="preserve">, </w:t>
      </w:r>
      <w:r w:rsidR="00FE7513">
        <w:rPr>
          <w:b/>
        </w:rPr>
        <w:t>and</w:t>
      </w:r>
      <w:r w:rsidR="005C0326">
        <w:rPr>
          <w:b/>
        </w:rPr>
        <w:t xml:space="preserve"> </w:t>
      </w:r>
      <w:r w:rsidR="00FE7513">
        <w:rPr>
          <w:b/>
        </w:rPr>
        <w:t>encourage continued investment</w:t>
      </w:r>
      <w:r w:rsidR="005C0326">
        <w:rPr>
          <w:b/>
        </w:rPr>
        <w:t>?</w:t>
      </w:r>
      <w:r w:rsidR="00B922EC">
        <w:rPr>
          <w:b/>
        </w:rPr>
        <w:t xml:space="preserve"> </w:t>
      </w:r>
    </w:p>
    <w:p w14:paraId="52D67642" w14:textId="77777777" w:rsidR="000A7D14" w:rsidRDefault="000A7D14" w:rsidP="005C0326">
      <w:pPr>
        <w:spacing w:before="0"/>
        <w:ind w:left="0"/>
      </w:pPr>
    </w:p>
    <w:p w14:paraId="52D67643" w14:textId="5BA2EB26" w:rsidR="005C0326" w:rsidRPr="00E4661B" w:rsidRDefault="000A7D14" w:rsidP="005C0326">
      <w:pPr>
        <w:spacing w:before="0"/>
        <w:ind w:left="0"/>
        <w:rPr>
          <w:b/>
        </w:rPr>
      </w:pPr>
      <w:r w:rsidRPr="00E22E84">
        <w:rPr>
          <w:b/>
          <w:u w:val="single"/>
        </w:rPr>
        <w:t xml:space="preserve">Question </w:t>
      </w:r>
      <w:r w:rsidR="00540F3C">
        <w:rPr>
          <w:b/>
          <w:u w:val="single"/>
        </w:rPr>
        <w:t>4</w:t>
      </w:r>
      <w:r w:rsidRPr="00E22E84">
        <w:rPr>
          <w:b/>
        </w:rPr>
        <w:t xml:space="preserve"> – We would also welcome views on whether </w:t>
      </w:r>
      <w:r>
        <w:rPr>
          <w:b/>
        </w:rPr>
        <w:t>all analogue licences should be treated in the same way</w:t>
      </w:r>
      <w:r w:rsidR="00B43DD3">
        <w:rPr>
          <w:b/>
        </w:rPr>
        <w:t>,</w:t>
      </w:r>
      <w:r>
        <w:rPr>
          <w:b/>
        </w:rPr>
        <w:t xml:space="preserve"> or whether the renewal of national licences should be treated differently </w:t>
      </w:r>
      <w:r w:rsidR="00FE7513">
        <w:rPr>
          <w:b/>
        </w:rPr>
        <w:t>to</w:t>
      </w:r>
      <w:r>
        <w:rPr>
          <w:b/>
        </w:rPr>
        <w:t xml:space="preserve"> </w:t>
      </w:r>
      <w:r w:rsidRPr="00E4661B">
        <w:rPr>
          <w:b/>
        </w:rPr>
        <w:t>local licences</w:t>
      </w:r>
      <w:r>
        <w:rPr>
          <w:b/>
        </w:rPr>
        <w:t>.</w:t>
      </w:r>
    </w:p>
    <w:p w14:paraId="52D67644" w14:textId="77777777" w:rsidR="005E2FDB" w:rsidRPr="005E2FDB" w:rsidRDefault="005E2FDB" w:rsidP="005E2FDB">
      <w:pPr>
        <w:spacing w:before="0"/>
        <w:ind w:left="0"/>
        <w:rPr>
          <w:b/>
        </w:rPr>
      </w:pPr>
    </w:p>
    <w:p w14:paraId="52D67645" w14:textId="77777777" w:rsidR="005E2FDB" w:rsidRPr="002D409B" w:rsidRDefault="005E2FDB" w:rsidP="005E2FDB">
      <w:pPr>
        <w:spacing w:before="0"/>
        <w:ind w:left="0"/>
      </w:pPr>
    </w:p>
    <w:tbl>
      <w:tblPr>
        <w:tblStyle w:val="TableGrid"/>
        <w:tblW w:w="0" w:type="auto"/>
        <w:tblInd w:w="108" w:type="dxa"/>
        <w:tblLook w:val="04A0" w:firstRow="1" w:lastRow="0" w:firstColumn="1" w:lastColumn="0" w:noHBand="0" w:noVBand="1"/>
      </w:tblPr>
      <w:tblGrid>
        <w:gridCol w:w="9972"/>
      </w:tblGrid>
      <w:tr w:rsidR="005E2FDB" w:rsidRPr="005E2FDB" w14:paraId="52D67648" w14:textId="77777777" w:rsidTr="001F5463">
        <w:tc>
          <w:tcPr>
            <w:tcW w:w="9972" w:type="dxa"/>
          </w:tcPr>
          <w:p w14:paraId="52D67646" w14:textId="2F41A34E" w:rsidR="005E2FDB" w:rsidRPr="005E2FDB" w:rsidRDefault="005E2FDB" w:rsidP="005E2FDB">
            <w:pPr>
              <w:pStyle w:val="ListParagraph"/>
              <w:numPr>
                <w:ilvl w:val="0"/>
                <w:numId w:val="25"/>
              </w:numPr>
              <w:rPr>
                <w:b/>
                <w:sz w:val="24"/>
              </w:rPr>
            </w:pPr>
            <w:r w:rsidRPr="005E2FDB">
              <w:rPr>
                <w:b/>
                <w:sz w:val="24"/>
              </w:rPr>
              <w:t xml:space="preserve">Allow the </w:t>
            </w:r>
            <w:r w:rsidR="00CA6EA2">
              <w:rPr>
                <w:b/>
                <w:sz w:val="24"/>
              </w:rPr>
              <w:t>renewal</w:t>
            </w:r>
            <w:r w:rsidRPr="005E2FDB">
              <w:rPr>
                <w:b/>
                <w:sz w:val="24"/>
              </w:rPr>
              <w:t xml:space="preserve"> of licences for a longer period of time not </w:t>
            </w:r>
            <w:r w:rsidR="00C15929">
              <w:rPr>
                <w:b/>
                <w:sz w:val="24"/>
              </w:rPr>
              <w:t>specified</w:t>
            </w:r>
            <w:r w:rsidRPr="005E2FDB">
              <w:rPr>
                <w:b/>
                <w:sz w:val="24"/>
              </w:rPr>
              <w:t xml:space="preserve"> abov</w:t>
            </w:r>
            <w:r w:rsidR="00646023">
              <w:rPr>
                <w:b/>
                <w:sz w:val="24"/>
              </w:rPr>
              <w:t>e or an indefinite period until</w:t>
            </w:r>
            <w:r w:rsidRPr="005E2FDB">
              <w:rPr>
                <w:b/>
                <w:sz w:val="24"/>
              </w:rPr>
              <w:t xml:space="preserve"> </w:t>
            </w:r>
            <w:r w:rsidR="0015775F">
              <w:rPr>
                <w:b/>
                <w:sz w:val="24"/>
              </w:rPr>
              <w:t xml:space="preserve">the point of a radio switchover </w:t>
            </w:r>
          </w:p>
          <w:p w14:paraId="52D67647" w14:textId="77777777" w:rsidR="005E2FDB" w:rsidRPr="005E2FDB" w:rsidRDefault="005E2FDB" w:rsidP="001F5463">
            <w:pPr>
              <w:spacing w:before="0"/>
              <w:ind w:left="0"/>
              <w:rPr>
                <w:sz w:val="24"/>
              </w:rPr>
            </w:pPr>
          </w:p>
        </w:tc>
      </w:tr>
    </w:tbl>
    <w:p w14:paraId="52D67649" w14:textId="77777777" w:rsidR="002D409B" w:rsidRDefault="002D409B" w:rsidP="002D409B">
      <w:pPr>
        <w:spacing w:before="0"/>
        <w:ind w:left="0"/>
      </w:pPr>
    </w:p>
    <w:p w14:paraId="52D6764A" w14:textId="77777777" w:rsidR="002D409B" w:rsidRPr="002D409B" w:rsidRDefault="002D409B" w:rsidP="002D409B">
      <w:pPr>
        <w:spacing w:before="0"/>
        <w:ind w:left="0"/>
      </w:pPr>
    </w:p>
    <w:p w14:paraId="52D6764B" w14:textId="77777777" w:rsidR="002D409B" w:rsidRDefault="00EB2A18" w:rsidP="00663ECE">
      <w:pPr>
        <w:pStyle w:val="ListParagraph"/>
        <w:numPr>
          <w:ilvl w:val="0"/>
          <w:numId w:val="24"/>
        </w:numPr>
        <w:spacing w:before="0"/>
        <w:ind w:hanging="502"/>
      </w:pPr>
      <w:r>
        <w:t>We</w:t>
      </w:r>
      <w:r w:rsidR="009052F5">
        <w:t xml:space="preserve"> </w:t>
      </w:r>
      <w:r w:rsidR="00900DAA">
        <w:t xml:space="preserve">do not believe there is any benefit </w:t>
      </w:r>
      <w:r w:rsidR="00BB39FB">
        <w:t>in</w:t>
      </w:r>
      <w:r w:rsidR="00900DAA">
        <w:t xml:space="preserve"> </w:t>
      </w:r>
      <w:r w:rsidR="00CA6EA2">
        <w:t>renew</w:t>
      </w:r>
      <w:r w:rsidR="00BB39FB">
        <w:t>ing licences for</w:t>
      </w:r>
      <w:r>
        <w:t xml:space="preserve"> less</w:t>
      </w:r>
      <w:r w:rsidR="002D409B" w:rsidRPr="002D409B">
        <w:t xml:space="preserve"> than five years</w:t>
      </w:r>
      <w:r w:rsidR="00900DAA">
        <w:t xml:space="preserve">. This </w:t>
      </w:r>
      <w:r w:rsidR="004C4260">
        <w:t xml:space="preserve">is </w:t>
      </w:r>
      <w:r w:rsidR="00BB39FB">
        <w:t>because</w:t>
      </w:r>
      <w:r w:rsidR="002D409B" w:rsidRPr="002D409B">
        <w:t xml:space="preserve"> </w:t>
      </w:r>
      <w:r>
        <w:t xml:space="preserve">such a short </w:t>
      </w:r>
      <w:r w:rsidR="00CA6EA2">
        <w:t>renewal</w:t>
      </w:r>
      <w:r>
        <w:t xml:space="preserve"> </w:t>
      </w:r>
      <w:r w:rsidR="00900DAA">
        <w:t xml:space="preserve">will not create the necessary certainty that would </w:t>
      </w:r>
      <w:r>
        <w:t>allow</w:t>
      </w:r>
      <w:r w:rsidR="002D409B" w:rsidRPr="002D409B">
        <w:t xml:space="preserve"> stations to </w:t>
      </w:r>
      <w:r w:rsidR="00900DAA">
        <w:t xml:space="preserve">continue to invest in </w:t>
      </w:r>
      <w:r w:rsidR="00B43DD3">
        <w:t xml:space="preserve">their businesses or </w:t>
      </w:r>
      <w:r w:rsidR="00900DAA">
        <w:t>the transition to digital radio.</w:t>
      </w:r>
    </w:p>
    <w:p w14:paraId="52D6764C" w14:textId="77777777" w:rsidR="009052F5" w:rsidRDefault="009052F5" w:rsidP="00663ECE">
      <w:pPr>
        <w:spacing w:before="0"/>
        <w:ind w:left="0" w:hanging="502"/>
      </w:pPr>
    </w:p>
    <w:p w14:paraId="52D6764D" w14:textId="77777777" w:rsidR="002D409B" w:rsidRPr="002D409B" w:rsidRDefault="009052F5" w:rsidP="00663ECE">
      <w:pPr>
        <w:pStyle w:val="ListParagraph"/>
        <w:numPr>
          <w:ilvl w:val="0"/>
          <w:numId w:val="24"/>
        </w:numPr>
        <w:spacing w:before="0"/>
        <w:ind w:hanging="502"/>
      </w:pPr>
      <w:r>
        <w:t xml:space="preserve">However, </w:t>
      </w:r>
      <w:r w:rsidR="00900DAA">
        <w:t xml:space="preserve">allowing </w:t>
      </w:r>
      <w:r>
        <w:t xml:space="preserve">periods of longer than five years could create </w:t>
      </w:r>
      <w:r w:rsidR="00B43DD3">
        <w:t xml:space="preserve">greater </w:t>
      </w:r>
      <w:r>
        <w:t xml:space="preserve">certainty for licence holders, potentially </w:t>
      </w:r>
      <w:r w:rsidR="002D409B" w:rsidRPr="002D409B">
        <w:t>encouraging further investment</w:t>
      </w:r>
      <w:r>
        <w:t xml:space="preserve"> and offering </w:t>
      </w:r>
      <w:r w:rsidR="002D409B" w:rsidRPr="002D409B">
        <w:t xml:space="preserve">licensees the possibility of </w:t>
      </w:r>
      <w:r w:rsidR="00B43DD3">
        <w:t xml:space="preserve">a longer period of </w:t>
      </w:r>
      <w:r w:rsidR="002D409B" w:rsidRPr="002D409B">
        <w:t xml:space="preserve">continued returns on </w:t>
      </w:r>
      <w:r>
        <w:t xml:space="preserve">that investment. </w:t>
      </w:r>
      <w:r w:rsidR="002D409B" w:rsidRPr="002D409B">
        <w:t xml:space="preserve">Ofcom </w:t>
      </w:r>
      <w:r w:rsidR="00900DAA">
        <w:t xml:space="preserve">would </w:t>
      </w:r>
      <w:r w:rsidR="002D409B" w:rsidRPr="002D409B">
        <w:t xml:space="preserve">retain the power </w:t>
      </w:r>
      <w:r>
        <w:t>to terminate</w:t>
      </w:r>
      <w:r w:rsidR="002D409B" w:rsidRPr="002D409B">
        <w:t xml:space="preserve"> analogue licences </w:t>
      </w:r>
      <w:r w:rsidR="00900DAA">
        <w:t>with two years notice</w:t>
      </w:r>
      <w:r w:rsidR="0015775F">
        <w:t>.</w:t>
      </w:r>
    </w:p>
    <w:p w14:paraId="52D6764E" w14:textId="77777777" w:rsidR="002D409B" w:rsidRDefault="002D409B" w:rsidP="00663ECE">
      <w:pPr>
        <w:spacing w:before="0"/>
        <w:ind w:left="0" w:hanging="502"/>
      </w:pPr>
    </w:p>
    <w:p w14:paraId="52D6764F" w14:textId="77777777" w:rsidR="005E2FDB" w:rsidRDefault="009052F5" w:rsidP="00663ECE">
      <w:pPr>
        <w:pStyle w:val="ListParagraph"/>
        <w:numPr>
          <w:ilvl w:val="0"/>
          <w:numId w:val="24"/>
        </w:numPr>
        <w:spacing w:before="0"/>
        <w:ind w:hanging="502"/>
      </w:pPr>
      <w:r>
        <w:t>On the other hand, very lengthy</w:t>
      </w:r>
      <w:r w:rsidR="00B43DD3">
        <w:t>, or even indefinite,</w:t>
      </w:r>
      <w:r>
        <w:t xml:space="preserve"> </w:t>
      </w:r>
      <w:r w:rsidR="0015775F">
        <w:t xml:space="preserve">licence terms would be a radical change in radio licensing and </w:t>
      </w:r>
      <w:r w:rsidR="00B43DD3">
        <w:t>c</w:t>
      </w:r>
      <w:r w:rsidR="0015775F">
        <w:t>ould disproportionately benefit</w:t>
      </w:r>
      <w:r w:rsidR="00B43DD3">
        <w:t xml:space="preserve"> existing licence holders, particularly the</w:t>
      </w:r>
      <w:r w:rsidR="0015775F">
        <w:t xml:space="preserve"> larger groups</w:t>
      </w:r>
      <w:r w:rsidR="00B43DD3">
        <w:t>,</w:t>
      </w:r>
      <w:r w:rsidR="0015775F">
        <w:t xml:space="preserve"> who </w:t>
      </w:r>
      <w:r w:rsidR="00B43DD3">
        <w:t xml:space="preserve">could conceivably </w:t>
      </w:r>
      <w:r w:rsidR="0015775F">
        <w:t xml:space="preserve">choose to withdraw </w:t>
      </w:r>
      <w:r w:rsidR="0015775F">
        <w:lastRenderedPageBreak/>
        <w:t xml:space="preserve">support for a future digital radio transition in order to extract additional value from the </w:t>
      </w:r>
      <w:r w:rsidR="001B4E2F">
        <w:t xml:space="preserve">extended </w:t>
      </w:r>
      <w:r w:rsidR="0015775F">
        <w:t xml:space="preserve"> FM licence</w:t>
      </w:r>
      <w:r w:rsidR="00BB39FB">
        <w:t>.</w:t>
      </w:r>
      <w:r w:rsidR="00260024">
        <w:t xml:space="preserve"> </w:t>
      </w:r>
    </w:p>
    <w:p w14:paraId="52D67650" w14:textId="77777777" w:rsidR="00260024" w:rsidRDefault="00260024" w:rsidP="00260024">
      <w:pPr>
        <w:pStyle w:val="ListParagraph"/>
      </w:pPr>
    </w:p>
    <w:p w14:paraId="52D67651" w14:textId="77777777" w:rsidR="009D17EC" w:rsidRDefault="0050217D" w:rsidP="00877210">
      <w:pPr>
        <w:pStyle w:val="ListParagraph"/>
        <w:numPr>
          <w:ilvl w:val="0"/>
          <w:numId w:val="24"/>
        </w:numPr>
        <w:spacing w:before="0"/>
      </w:pPr>
      <w:r>
        <w:t xml:space="preserve">A longer </w:t>
      </w:r>
      <w:r w:rsidR="00260024">
        <w:t xml:space="preserve">licence term would </w:t>
      </w:r>
      <w:r w:rsidR="008E1181">
        <w:t xml:space="preserve">also </w:t>
      </w:r>
      <w:r>
        <w:t xml:space="preserve">effectively </w:t>
      </w:r>
      <w:r w:rsidR="00260024">
        <w:t xml:space="preserve">lock out </w:t>
      </w:r>
      <w:r w:rsidR="001B4E2F">
        <w:t xml:space="preserve">potential </w:t>
      </w:r>
      <w:r w:rsidR="00260024">
        <w:t xml:space="preserve">new entrants who may wish to acquire one </w:t>
      </w:r>
      <w:r w:rsidR="00877210">
        <w:t xml:space="preserve">or more </w:t>
      </w:r>
      <w:r w:rsidR="00260024">
        <w:t xml:space="preserve">of the </w:t>
      </w:r>
      <w:r w:rsidR="00663ECE">
        <w:t xml:space="preserve">analogue </w:t>
      </w:r>
      <w:r w:rsidR="00260024">
        <w:t xml:space="preserve">licences </w:t>
      </w:r>
      <w:r w:rsidR="00877210">
        <w:t>which would otherwise expire.</w:t>
      </w:r>
      <w:r w:rsidR="00260024">
        <w:t xml:space="preserve"> </w:t>
      </w:r>
      <w:r w:rsidR="00F74BD7">
        <w:t>We note,</w:t>
      </w:r>
      <w:r w:rsidR="008E1181">
        <w:t xml:space="preserve"> however,</w:t>
      </w:r>
      <w:r w:rsidR="00663ECE" w:rsidRPr="004E13D2">
        <w:t xml:space="preserve"> </w:t>
      </w:r>
      <w:r w:rsidR="00F74BD7">
        <w:t xml:space="preserve">that there are </w:t>
      </w:r>
      <w:r w:rsidR="00663ECE" w:rsidRPr="004E13D2">
        <w:t xml:space="preserve">other avenues </w:t>
      </w:r>
      <w:r w:rsidR="00F74BD7">
        <w:t>available to</w:t>
      </w:r>
      <w:r w:rsidR="00663ECE" w:rsidRPr="004E13D2">
        <w:t xml:space="preserve"> new entrants</w:t>
      </w:r>
      <w:r w:rsidR="00F74BD7">
        <w:t>, including</w:t>
      </w:r>
      <w:r w:rsidR="00663ECE" w:rsidRPr="004E13D2">
        <w:t xml:space="preserve"> station acquisition</w:t>
      </w:r>
      <w:r w:rsidRPr="004E13D2">
        <w:t xml:space="preserve">, competing for </w:t>
      </w:r>
      <w:r w:rsidR="00E60029">
        <w:t xml:space="preserve">any </w:t>
      </w:r>
      <w:r w:rsidR="001621BC">
        <w:t xml:space="preserve">newly available analogue </w:t>
      </w:r>
      <w:r w:rsidRPr="004E13D2">
        <w:t xml:space="preserve">local licences that are advertised </w:t>
      </w:r>
      <w:r w:rsidR="00877210" w:rsidRPr="004E13D2">
        <w:t>by Ofcom</w:t>
      </w:r>
      <w:r w:rsidR="008E1181">
        <w:t>,</w:t>
      </w:r>
      <w:r w:rsidR="00877210" w:rsidRPr="004E13D2">
        <w:t xml:space="preserve"> </w:t>
      </w:r>
      <w:r w:rsidR="00663ECE" w:rsidRPr="004E13D2">
        <w:t xml:space="preserve">or by launching </w:t>
      </w:r>
      <w:r w:rsidRPr="004E13D2">
        <w:t>the</w:t>
      </w:r>
      <w:r w:rsidR="001B4E2F">
        <w:t>ir</w:t>
      </w:r>
      <w:r w:rsidRPr="004E13D2">
        <w:t xml:space="preserve"> station on a local or national </w:t>
      </w:r>
      <w:r w:rsidR="00663ECE" w:rsidRPr="004E13D2">
        <w:t xml:space="preserve">DAB </w:t>
      </w:r>
      <w:r w:rsidRPr="004E13D2">
        <w:t>multiplex</w:t>
      </w:r>
      <w:r w:rsidR="00663ECE" w:rsidRPr="004E13D2">
        <w:t xml:space="preserve">. Ofcom advertised </w:t>
      </w:r>
      <w:r w:rsidR="003E3D08" w:rsidRPr="004E13D2">
        <w:t>the second national multiplex</w:t>
      </w:r>
      <w:r w:rsidR="008E1181">
        <w:t xml:space="preserve"> on </w:t>
      </w:r>
      <w:r w:rsidR="008E1181" w:rsidRPr="008E1181">
        <w:t>1 July 2014</w:t>
      </w:r>
      <w:r w:rsidR="008E1181">
        <w:t xml:space="preserve"> which</w:t>
      </w:r>
      <w:r w:rsidR="00663ECE" w:rsidRPr="004E13D2">
        <w:t xml:space="preserve"> provides </w:t>
      </w:r>
      <w:r w:rsidR="00260024" w:rsidRPr="004E13D2">
        <w:t>the opport</w:t>
      </w:r>
      <w:r w:rsidR="003E3D08" w:rsidRPr="004E13D2">
        <w:t xml:space="preserve">unity for around 10 </w:t>
      </w:r>
      <w:r w:rsidR="00663ECE" w:rsidRPr="004E13D2">
        <w:t>additional n</w:t>
      </w:r>
      <w:r w:rsidR="003E3D08" w:rsidRPr="004E13D2">
        <w:t>ational stations to broadcast</w:t>
      </w:r>
      <w:r w:rsidR="00663ECE" w:rsidRPr="004E13D2">
        <w:t xml:space="preserve"> on DAB and would provide scope for new entrants seeking national coverage.</w:t>
      </w:r>
      <w:r w:rsidR="003E3D08" w:rsidRPr="004E13D2">
        <w:t xml:space="preserve"> Therefore</w:t>
      </w:r>
      <w:r w:rsidR="00F74BD7">
        <w:t xml:space="preserve"> it is arguable</w:t>
      </w:r>
      <w:r w:rsidR="003E3D08" w:rsidRPr="004E13D2">
        <w:t xml:space="preserve"> </w:t>
      </w:r>
      <w:r w:rsidR="00F74BD7">
        <w:t>that</w:t>
      </w:r>
      <w:r w:rsidR="00663ECE" w:rsidRPr="004E13D2">
        <w:t xml:space="preserve"> </w:t>
      </w:r>
      <w:r w:rsidR="00877210" w:rsidRPr="004E13D2">
        <w:t xml:space="preserve">this option </w:t>
      </w:r>
      <w:r w:rsidR="00F74BD7">
        <w:t xml:space="preserve">may not have a significant impact </w:t>
      </w:r>
      <w:r w:rsidR="00663ECE" w:rsidRPr="004E13D2">
        <w:t>on new entrants</w:t>
      </w:r>
      <w:r w:rsidR="00F74BD7">
        <w:t>,</w:t>
      </w:r>
      <w:r w:rsidR="00663ECE" w:rsidRPr="004E13D2">
        <w:t xml:space="preserve"> and</w:t>
      </w:r>
      <w:r w:rsidR="00F74BD7">
        <w:t xml:space="preserve"> indeed</w:t>
      </w:r>
      <w:r w:rsidR="00663ECE" w:rsidRPr="004E13D2">
        <w:t xml:space="preserve"> </w:t>
      </w:r>
      <w:r w:rsidR="00F74BD7">
        <w:t xml:space="preserve">any impact </w:t>
      </w:r>
      <w:r w:rsidR="00663ECE" w:rsidRPr="004E13D2">
        <w:t xml:space="preserve">may diminish over time as digital radio listening and DAB radio penetration increases </w:t>
      </w:r>
      <w:r w:rsidR="00877210" w:rsidRPr="004E13D2">
        <w:t xml:space="preserve">and </w:t>
      </w:r>
      <w:r w:rsidR="00663ECE" w:rsidRPr="004E13D2">
        <w:t>becomes the majority form of radio listening</w:t>
      </w:r>
      <w:r w:rsidR="00260024" w:rsidRPr="004E13D2">
        <w:t>.</w:t>
      </w:r>
      <w:r>
        <w:t xml:space="preserve"> </w:t>
      </w:r>
    </w:p>
    <w:p w14:paraId="52D67652" w14:textId="77777777" w:rsidR="009D17EC" w:rsidRDefault="009D17EC" w:rsidP="009D17EC">
      <w:pPr>
        <w:pStyle w:val="ListParagraph"/>
      </w:pPr>
    </w:p>
    <w:p w14:paraId="52D67653" w14:textId="77777777" w:rsidR="005E2FDB" w:rsidRDefault="008E1181" w:rsidP="00250933">
      <w:pPr>
        <w:pStyle w:val="ListParagraph"/>
        <w:numPr>
          <w:ilvl w:val="0"/>
          <w:numId w:val="24"/>
        </w:numPr>
        <w:spacing w:before="0"/>
      </w:pPr>
      <w:r>
        <w:t xml:space="preserve">This option would also significantly reduce the regulatory and cost burden on industry and Ofcom, as it would </w:t>
      </w:r>
      <w:r w:rsidR="00475BBF">
        <w:t>circumvent</w:t>
      </w:r>
      <w:r>
        <w:t xml:space="preserve"> </w:t>
      </w:r>
      <w:r w:rsidR="00475BBF">
        <w:t>the likely onerous</w:t>
      </w:r>
      <w:r>
        <w:t xml:space="preserve"> process of re</w:t>
      </w:r>
      <w:r w:rsidR="009D17EC">
        <w:t>-</w:t>
      </w:r>
      <w:r>
        <w:t>advertising and re</w:t>
      </w:r>
      <w:r w:rsidR="009D17EC">
        <w:t>-</w:t>
      </w:r>
      <w:r>
        <w:t>awarding</w:t>
      </w:r>
      <w:r w:rsidR="00F74BD7">
        <w:t xml:space="preserve"> so many</w:t>
      </w:r>
      <w:r>
        <w:t xml:space="preserve"> licences</w:t>
      </w:r>
      <w:r w:rsidR="00F74BD7">
        <w:t xml:space="preserve"> in a relatively short period of time</w:t>
      </w:r>
      <w:r>
        <w:t xml:space="preserve">. </w:t>
      </w:r>
      <w:r w:rsidR="00F74BD7">
        <w:t>It is worth noting, h</w:t>
      </w:r>
      <w:r>
        <w:t xml:space="preserve">owever, </w:t>
      </w:r>
      <w:r w:rsidR="0050217D">
        <w:t xml:space="preserve">that </w:t>
      </w:r>
      <w:r w:rsidR="00B61AB9">
        <w:t>any</w:t>
      </w:r>
      <w:r w:rsidR="0050217D">
        <w:t xml:space="preserve"> licence</w:t>
      </w:r>
      <w:r w:rsidR="00877210">
        <w:t xml:space="preserve">s renewed </w:t>
      </w:r>
      <w:r w:rsidR="00F74BD7">
        <w:t>in these terms</w:t>
      </w:r>
      <w:r>
        <w:t xml:space="preserve"> </w:t>
      </w:r>
      <w:r w:rsidR="00B61AB9">
        <w:t>could</w:t>
      </w:r>
      <w:r w:rsidR="00F74BD7">
        <w:t xml:space="preserve"> end up</w:t>
      </w:r>
      <w:r w:rsidR="00B61AB9">
        <w:t xml:space="preserve"> significantly </w:t>
      </w:r>
      <w:r w:rsidR="00877210">
        <w:t>out of line with the 12 year maximum period for re-advertised local commercial licences</w:t>
      </w:r>
      <w:r w:rsidR="00475BBF">
        <w:t xml:space="preserve">: licensees </w:t>
      </w:r>
      <w:r w:rsidR="00250933">
        <w:t>c</w:t>
      </w:r>
      <w:r w:rsidR="00475BBF">
        <w:t xml:space="preserve">ould </w:t>
      </w:r>
      <w:r w:rsidR="00250933">
        <w:t xml:space="preserve">potentially </w:t>
      </w:r>
      <w:r w:rsidR="00475BBF">
        <w:t>benefit from a much longer renewal period than the recipients of</w:t>
      </w:r>
      <w:r w:rsidR="00250933">
        <w:t xml:space="preserve"> the</w:t>
      </w:r>
      <w:r w:rsidR="00475BBF">
        <w:t xml:space="preserve"> re-advertised licences</w:t>
      </w:r>
      <w:r w:rsidR="004E0D16">
        <w:t xml:space="preserve">, </w:t>
      </w:r>
      <w:r w:rsidR="00250933">
        <w:t>securing</w:t>
      </w:r>
      <w:r w:rsidR="00475BBF">
        <w:t xml:space="preserve"> advantages</w:t>
      </w:r>
      <w:r w:rsidR="004E0D16">
        <w:t xml:space="preserve"> that</w:t>
      </w:r>
      <w:r w:rsidR="00475BBF">
        <w:t xml:space="preserve"> could </w:t>
      </w:r>
      <w:r w:rsidR="00475BBF" w:rsidRPr="00475BBF">
        <w:t>includ</w:t>
      </w:r>
      <w:r w:rsidR="00475BBF">
        <w:t>e</w:t>
      </w:r>
      <w:r w:rsidR="00475BBF" w:rsidRPr="00475BBF">
        <w:t xml:space="preserve"> </w:t>
      </w:r>
      <w:r w:rsidR="00475BBF">
        <w:t>continued or greater</w:t>
      </w:r>
      <w:r w:rsidR="00475BBF" w:rsidRPr="00475BBF">
        <w:t xml:space="preserve"> returns on their investment</w:t>
      </w:r>
      <w:r w:rsidR="004E0D16">
        <w:t xml:space="preserve">, </w:t>
      </w:r>
      <w:r w:rsidR="00475BBF" w:rsidRPr="00475BBF">
        <w:t>without having had to compete for that advantage.</w:t>
      </w:r>
      <w:r w:rsidR="00475BBF">
        <w:t xml:space="preserve"> </w:t>
      </w:r>
    </w:p>
    <w:p w14:paraId="52D67654" w14:textId="77777777" w:rsidR="006B3F1B" w:rsidRDefault="006B3F1B" w:rsidP="006B3F1B">
      <w:pPr>
        <w:spacing w:before="0"/>
        <w:ind w:left="0"/>
        <w:rPr>
          <w:b/>
        </w:rPr>
      </w:pPr>
    </w:p>
    <w:p w14:paraId="52D67655" w14:textId="77777777" w:rsidR="00445E04" w:rsidRDefault="00445E04" w:rsidP="006B3F1B">
      <w:pPr>
        <w:spacing w:before="0"/>
        <w:ind w:left="0"/>
        <w:rPr>
          <w:b/>
        </w:rPr>
      </w:pPr>
    </w:p>
    <w:p w14:paraId="52D67656" w14:textId="4A3C1416" w:rsidR="006B3F1B" w:rsidRDefault="006B3F1B" w:rsidP="006B3F1B">
      <w:pPr>
        <w:spacing w:before="0"/>
        <w:ind w:left="360"/>
        <w:rPr>
          <w:b/>
        </w:rPr>
      </w:pPr>
      <w:r w:rsidRPr="006B3F1B">
        <w:rPr>
          <w:b/>
          <w:u w:val="single"/>
        </w:rPr>
        <w:t xml:space="preserve">Question </w:t>
      </w:r>
      <w:r w:rsidR="00540F3C">
        <w:rPr>
          <w:b/>
          <w:u w:val="single"/>
        </w:rPr>
        <w:t>5</w:t>
      </w:r>
      <w:r>
        <w:rPr>
          <w:b/>
        </w:rPr>
        <w:t xml:space="preserve"> </w:t>
      </w:r>
      <w:r w:rsidR="007C639E">
        <w:rPr>
          <w:b/>
        </w:rPr>
        <w:t>–</w:t>
      </w:r>
      <w:r>
        <w:rPr>
          <w:b/>
        </w:rPr>
        <w:t xml:space="preserve"> </w:t>
      </w:r>
      <w:r w:rsidR="007C639E">
        <w:rPr>
          <w:b/>
        </w:rPr>
        <w:t xml:space="preserve">We would welcome views on the advantages and disadvantages </w:t>
      </w:r>
      <w:r w:rsidR="00B922EC">
        <w:rPr>
          <w:b/>
        </w:rPr>
        <w:t>to</w:t>
      </w:r>
      <w:r w:rsidR="007C639E">
        <w:rPr>
          <w:b/>
        </w:rPr>
        <w:t xml:space="preserve"> the </w:t>
      </w:r>
      <w:r w:rsidRPr="006B3F1B">
        <w:rPr>
          <w:b/>
        </w:rPr>
        <w:t xml:space="preserve">radio industry and to individual stations of </w:t>
      </w:r>
      <w:r>
        <w:rPr>
          <w:b/>
        </w:rPr>
        <w:t xml:space="preserve">allowing lengthier licence </w:t>
      </w:r>
      <w:r w:rsidR="00CA6EA2">
        <w:rPr>
          <w:b/>
        </w:rPr>
        <w:t>renewal</w:t>
      </w:r>
      <w:r>
        <w:rPr>
          <w:b/>
        </w:rPr>
        <w:t>s</w:t>
      </w:r>
      <w:r w:rsidRPr="006B3F1B">
        <w:rPr>
          <w:b/>
        </w:rPr>
        <w:t xml:space="preserve"> </w:t>
      </w:r>
      <w:r w:rsidR="0015775F">
        <w:rPr>
          <w:b/>
        </w:rPr>
        <w:t xml:space="preserve">beyond </w:t>
      </w:r>
      <w:r w:rsidR="00663ECE">
        <w:rPr>
          <w:b/>
        </w:rPr>
        <w:t>five</w:t>
      </w:r>
      <w:r w:rsidR="0015775F">
        <w:rPr>
          <w:b/>
        </w:rPr>
        <w:t xml:space="preserve"> </w:t>
      </w:r>
      <w:r w:rsidR="00AC5DCB">
        <w:rPr>
          <w:b/>
        </w:rPr>
        <w:t>years</w:t>
      </w:r>
      <w:r w:rsidR="00F74BD7">
        <w:rPr>
          <w:b/>
        </w:rPr>
        <w:t>.</w:t>
      </w:r>
    </w:p>
    <w:p w14:paraId="52D67657" w14:textId="77777777" w:rsidR="005E2FDB" w:rsidRDefault="005E2FDB" w:rsidP="005E2FDB">
      <w:pPr>
        <w:spacing w:before="0"/>
        <w:ind w:left="360"/>
        <w:rPr>
          <w:b/>
        </w:rPr>
      </w:pPr>
    </w:p>
    <w:p w14:paraId="52D67658" w14:textId="677D4AC5" w:rsidR="005E2FDB" w:rsidRPr="005E2FDB" w:rsidRDefault="005E2FDB" w:rsidP="005E2FDB">
      <w:pPr>
        <w:spacing w:before="0"/>
        <w:ind w:left="360"/>
        <w:rPr>
          <w:b/>
        </w:rPr>
      </w:pPr>
      <w:r w:rsidRPr="006B3F1B">
        <w:rPr>
          <w:b/>
          <w:u w:val="single"/>
        </w:rPr>
        <w:t xml:space="preserve">Question </w:t>
      </w:r>
      <w:r w:rsidR="00540F3C">
        <w:rPr>
          <w:b/>
          <w:u w:val="single"/>
        </w:rPr>
        <w:t>6</w:t>
      </w:r>
      <w:r>
        <w:rPr>
          <w:b/>
        </w:rPr>
        <w:t xml:space="preserve"> – We would </w:t>
      </w:r>
      <w:r w:rsidR="007C639E">
        <w:rPr>
          <w:b/>
        </w:rPr>
        <w:t xml:space="preserve">also </w:t>
      </w:r>
      <w:r>
        <w:rPr>
          <w:b/>
        </w:rPr>
        <w:t xml:space="preserve">welcome further views </w:t>
      </w:r>
      <w:r w:rsidR="00665B2A">
        <w:rPr>
          <w:b/>
        </w:rPr>
        <w:t xml:space="preserve">and evidence </w:t>
      </w:r>
      <w:r>
        <w:rPr>
          <w:b/>
        </w:rPr>
        <w:t>on</w:t>
      </w:r>
      <w:r w:rsidR="005C0326">
        <w:rPr>
          <w:b/>
        </w:rPr>
        <w:t xml:space="preserve"> the impact of a longer, or indefinite, licence </w:t>
      </w:r>
      <w:r w:rsidR="00CA6EA2">
        <w:rPr>
          <w:b/>
        </w:rPr>
        <w:t>renewal</w:t>
      </w:r>
      <w:r w:rsidR="005C0326">
        <w:rPr>
          <w:b/>
        </w:rPr>
        <w:t xml:space="preserve"> on </w:t>
      </w:r>
      <w:r w:rsidR="006B3F1B">
        <w:rPr>
          <w:b/>
        </w:rPr>
        <w:t>competition;</w:t>
      </w:r>
      <w:r w:rsidR="0068777F" w:rsidRPr="006B3F1B">
        <w:rPr>
          <w:b/>
        </w:rPr>
        <w:t xml:space="preserve"> both </w:t>
      </w:r>
      <w:r w:rsidR="00F74BD7">
        <w:rPr>
          <w:b/>
        </w:rPr>
        <w:t>on and between</w:t>
      </w:r>
      <w:r w:rsidR="00F74BD7" w:rsidRPr="006B3F1B">
        <w:rPr>
          <w:b/>
        </w:rPr>
        <w:t xml:space="preserve"> </w:t>
      </w:r>
      <w:r w:rsidR="0068777F" w:rsidRPr="006B3F1B">
        <w:rPr>
          <w:b/>
        </w:rPr>
        <w:t>different radio stations and groups</w:t>
      </w:r>
      <w:r w:rsidR="006B3F1B">
        <w:rPr>
          <w:b/>
        </w:rPr>
        <w:t xml:space="preserve"> and </w:t>
      </w:r>
      <w:r w:rsidR="006B3F1B" w:rsidRPr="006B3F1B">
        <w:rPr>
          <w:b/>
        </w:rPr>
        <w:t>potential new entrants to the market</w:t>
      </w:r>
      <w:r w:rsidR="006B3F1B">
        <w:rPr>
          <w:b/>
        </w:rPr>
        <w:t>.</w:t>
      </w:r>
    </w:p>
    <w:p w14:paraId="52D67659" w14:textId="77777777" w:rsidR="006C514C" w:rsidRDefault="006C514C" w:rsidP="006C514C">
      <w:pPr>
        <w:spacing w:before="0"/>
        <w:ind w:left="0"/>
        <w:rPr>
          <w:b/>
        </w:rPr>
      </w:pPr>
    </w:p>
    <w:p w14:paraId="52D6765A" w14:textId="77777777" w:rsidR="00260024" w:rsidRDefault="00260024" w:rsidP="006C514C">
      <w:pPr>
        <w:spacing w:before="0"/>
        <w:ind w:left="0"/>
        <w:rPr>
          <w:b/>
        </w:rPr>
      </w:pPr>
    </w:p>
    <w:p w14:paraId="52D6765B" w14:textId="77777777" w:rsidR="006E76D0" w:rsidRPr="006E76D0" w:rsidRDefault="006E76D0" w:rsidP="006C514C">
      <w:pPr>
        <w:spacing w:before="0"/>
        <w:ind w:left="0"/>
        <w:rPr>
          <w:u w:val="single"/>
        </w:rPr>
      </w:pPr>
      <w:r>
        <w:rPr>
          <w:u w:val="single"/>
        </w:rPr>
        <w:t>Competition considerations</w:t>
      </w:r>
    </w:p>
    <w:p w14:paraId="52D6765C" w14:textId="77777777" w:rsidR="00003E4F" w:rsidRPr="006C514C" w:rsidRDefault="00003E4F" w:rsidP="006C514C">
      <w:pPr>
        <w:spacing w:before="0"/>
        <w:ind w:left="0"/>
        <w:rPr>
          <w:b/>
        </w:rPr>
      </w:pPr>
    </w:p>
    <w:p w14:paraId="52D6765D" w14:textId="77777777" w:rsidR="0015775F" w:rsidRDefault="0015775F" w:rsidP="00663ECE">
      <w:pPr>
        <w:pStyle w:val="ListParagraph"/>
        <w:numPr>
          <w:ilvl w:val="0"/>
          <w:numId w:val="24"/>
        </w:numPr>
        <w:spacing w:before="0"/>
        <w:ind w:hanging="502"/>
      </w:pPr>
      <w:r>
        <w:t xml:space="preserve">All three options will have an impact </w:t>
      </w:r>
      <w:r w:rsidR="006C514C" w:rsidRPr="002D409B">
        <w:t xml:space="preserve">on </w:t>
      </w:r>
      <w:r>
        <w:t xml:space="preserve">market </w:t>
      </w:r>
      <w:r w:rsidR="006C514C" w:rsidRPr="002D409B">
        <w:t>competition</w:t>
      </w:r>
      <w:r w:rsidR="000A3907">
        <w:t>,</w:t>
      </w:r>
      <w:r w:rsidR="006C514C" w:rsidRPr="002D409B">
        <w:t xml:space="preserve"> </w:t>
      </w:r>
      <w:r>
        <w:t>but the precise effects are dependent on a number of factors</w:t>
      </w:r>
      <w:r w:rsidR="00260024">
        <w:t>,</w:t>
      </w:r>
      <w:r>
        <w:t xml:space="preserve"> including whether the changes result in further consolidation and concentration of ownership</w:t>
      </w:r>
      <w:r w:rsidR="000A3907">
        <w:t xml:space="preserve">, </w:t>
      </w:r>
      <w:r>
        <w:t>the degree to whi</w:t>
      </w:r>
      <w:r w:rsidR="000A3907">
        <w:t xml:space="preserve">ch new entrants are excluded, and </w:t>
      </w:r>
      <w:r>
        <w:t>whether acquisition or launching digital</w:t>
      </w:r>
      <w:r w:rsidR="00260024">
        <w:t>-</w:t>
      </w:r>
      <w:r>
        <w:t>only services continue</w:t>
      </w:r>
      <w:r w:rsidR="00260024">
        <w:t>s</w:t>
      </w:r>
      <w:r>
        <w:t xml:space="preserve"> to be a viable way of entering the market. </w:t>
      </w:r>
    </w:p>
    <w:p w14:paraId="52D6765E" w14:textId="77777777" w:rsidR="0015775F" w:rsidRDefault="0015775F" w:rsidP="00663ECE">
      <w:pPr>
        <w:pStyle w:val="ListParagraph"/>
        <w:spacing w:before="0"/>
        <w:ind w:left="786" w:hanging="502"/>
      </w:pPr>
    </w:p>
    <w:p w14:paraId="52D6765F" w14:textId="310F540D" w:rsidR="00E002AD" w:rsidRDefault="006C514C" w:rsidP="00663ECE">
      <w:pPr>
        <w:pStyle w:val="ListParagraph"/>
        <w:numPr>
          <w:ilvl w:val="0"/>
          <w:numId w:val="24"/>
        </w:numPr>
        <w:tabs>
          <w:tab w:val="left" w:pos="5387"/>
        </w:tabs>
        <w:spacing w:before="0"/>
        <w:ind w:hanging="502"/>
      </w:pPr>
      <w:r w:rsidRPr="002D409B">
        <w:t>Whilst it</w:t>
      </w:r>
      <w:r w:rsidR="00D468FE">
        <w:t xml:space="preserve"> is clear that options 2 and 3 w</w:t>
      </w:r>
      <w:r w:rsidRPr="002D409B">
        <w:t xml:space="preserve">ould prevent new entrants from bidding for the licences due to expire, we </w:t>
      </w:r>
      <w:r w:rsidR="0015775F">
        <w:t xml:space="preserve">have not yet assessed </w:t>
      </w:r>
      <w:r w:rsidRPr="002D409B">
        <w:t>to what extent these options will have either a</w:t>
      </w:r>
      <w:r w:rsidR="00910FE1">
        <w:t xml:space="preserve"> </w:t>
      </w:r>
      <w:r w:rsidRPr="002D409B">
        <w:t>positive or negative effect</w:t>
      </w:r>
      <w:r w:rsidR="00D468FE">
        <w:t>. For many of the</w:t>
      </w:r>
      <w:r w:rsidR="00E002AD">
        <w:t xml:space="preserve"> smaller licences, there is likely to be little or no interest</w:t>
      </w:r>
      <w:r w:rsidR="00260024">
        <w:t xml:space="preserve"> from parties</w:t>
      </w:r>
      <w:r w:rsidR="00E002AD">
        <w:t xml:space="preserve"> other than the incumbent service. The position is likely to be different</w:t>
      </w:r>
      <w:r w:rsidR="00D468FE">
        <w:t>, however,</w:t>
      </w:r>
      <w:r w:rsidR="00E002AD">
        <w:t xml:space="preserve"> in London and other large city markets </w:t>
      </w:r>
      <w:r w:rsidR="00D468FE">
        <w:t>-</w:t>
      </w:r>
      <w:r w:rsidR="00260024">
        <w:t xml:space="preserve"> </w:t>
      </w:r>
      <w:r w:rsidR="00E002AD">
        <w:t xml:space="preserve">and for the three national licences. </w:t>
      </w:r>
      <w:r w:rsidR="0015775F">
        <w:t xml:space="preserve"> </w:t>
      </w:r>
    </w:p>
    <w:p w14:paraId="52D67660" w14:textId="77777777" w:rsidR="00E002AD" w:rsidRDefault="00E002AD" w:rsidP="00663ECE">
      <w:pPr>
        <w:pStyle w:val="ListParagraph"/>
        <w:tabs>
          <w:tab w:val="left" w:pos="5387"/>
        </w:tabs>
        <w:spacing w:before="0"/>
        <w:ind w:left="786" w:hanging="502"/>
      </w:pPr>
    </w:p>
    <w:p w14:paraId="52D67661" w14:textId="4F1BFC33" w:rsidR="006E76D0" w:rsidRPr="004E13D2" w:rsidRDefault="00E002AD" w:rsidP="00663ECE">
      <w:pPr>
        <w:pStyle w:val="ListParagraph"/>
        <w:numPr>
          <w:ilvl w:val="0"/>
          <w:numId w:val="24"/>
        </w:numPr>
        <w:tabs>
          <w:tab w:val="left" w:pos="5387"/>
        </w:tabs>
        <w:spacing w:before="0"/>
        <w:ind w:hanging="502"/>
      </w:pPr>
      <w:r w:rsidRPr="004E13D2">
        <w:lastRenderedPageBreak/>
        <w:t>In order to</w:t>
      </w:r>
      <w:r w:rsidR="009E3183" w:rsidRPr="004E13D2">
        <w:t xml:space="preserve"> help</w:t>
      </w:r>
      <w:r w:rsidRPr="004E13D2">
        <w:t xml:space="preserve"> inform a final decision, we </w:t>
      </w:r>
      <w:r w:rsidR="005B7677">
        <w:t>have commissioned</w:t>
      </w:r>
      <w:r w:rsidR="0015775F" w:rsidRPr="004E13D2">
        <w:t xml:space="preserve"> </w:t>
      </w:r>
      <w:r w:rsidR="006C514C" w:rsidRPr="004E13D2">
        <w:t>research into the potential effect on competition of each of the options we have presented</w:t>
      </w:r>
      <w:r w:rsidRPr="004E13D2">
        <w:t xml:space="preserve">. </w:t>
      </w:r>
      <w:r w:rsidR="005B238A" w:rsidRPr="004E13D2">
        <w:t>We recognise that this is</w:t>
      </w:r>
      <w:r w:rsidR="009E3183" w:rsidRPr="004E13D2">
        <w:t xml:space="preserve"> of interest to respondents to this consultation</w:t>
      </w:r>
      <w:r w:rsidR="003E3D08" w:rsidRPr="004E13D2">
        <w:t xml:space="preserve">, and </w:t>
      </w:r>
      <w:r w:rsidR="005B238A" w:rsidRPr="004E13D2">
        <w:t xml:space="preserve">we </w:t>
      </w:r>
      <w:r w:rsidR="003E3D08" w:rsidRPr="004E13D2">
        <w:t xml:space="preserve">will ensure all </w:t>
      </w:r>
      <w:r w:rsidR="00646023">
        <w:t>respondents</w:t>
      </w:r>
      <w:r w:rsidR="003E3D08" w:rsidRPr="004E13D2">
        <w:t xml:space="preserve"> are given the opportunity to consider and </w:t>
      </w:r>
      <w:r w:rsidR="009E3183" w:rsidRPr="004E13D2">
        <w:t xml:space="preserve">contribute views on the findings of this work. </w:t>
      </w:r>
    </w:p>
    <w:p w14:paraId="52D67662" w14:textId="77777777" w:rsidR="00E002AD" w:rsidRDefault="00E002AD" w:rsidP="00E22E84">
      <w:pPr>
        <w:tabs>
          <w:tab w:val="left" w:pos="5387"/>
        </w:tabs>
        <w:spacing w:before="0"/>
      </w:pPr>
    </w:p>
    <w:p w14:paraId="52D67663" w14:textId="77777777" w:rsidR="00E002AD" w:rsidRDefault="00E002AD" w:rsidP="00E22E84">
      <w:pPr>
        <w:tabs>
          <w:tab w:val="left" w:pos="5387"/>
        </w:tabs>
        <w:spacing w:before="0"/>
      </w:pPr>
    </w:p>
    <w:p w14:paraId="52D67664" w14:textId="3E5C1942" w:rsidR="00E002AD" w:rsidRPr="005E2FDB" w:rsidRDefault="00E002AD" w:rsidP="00E002AD">
      <w:pPr>
        <w:spacing w:before="0"/>
        <w:ind w:left="360"/>
        <w:rPr>
          <w:b/>
        </w:rPr>
      </w:pPr>
      <w:r w:rsidRPr="006B3F1B">
        <w:rPr>
          <w:b/>
          <w:u w:val="single"/>
        </w:rPr>
        <w:t xml:space="preserve">Question </w:t>
      </w:r>
      <w:r w:rsidR="00540F3C">
        <w:rPr>
          <w:b/>
          <w:u w:val="single"/>
        </w:rPr>
        <w:t>7</w:t>
      </w:r>
      <w:r>
        <w:rPr>
          <w:b/>
        </w:rPr>
        <w:t xml:space="preserve"> – We would</w:t>
      </w:r>
      <w:r w:rsidR="00260024">
        <w:rPr>
          <w:b/>
        </w:rPr>
        <w:t xml:space="preserve"> </w:t>
      </w:r>
      <w:r>
        <w:rPr>
          <w:b/>
        </w:rPr>
        <w:t>welcome views from across the radio industry and beyond on</w:t>
      </w:r>
      <w:r w:rsidR="00D468FE">
        <w:rPr>
          <w:b/>
        </w:rPr>
        <w:t xml:space="preserve"> the</w:t>
      </w:r>
      <w:r>
        <w:rPr>
          <w:b/>
        </w:rPr>
        <w:t xml:space="preserve"> impact of </w:t>
      </w:r>
      <w:r w:rsidR="005B7677">
        <w:rPr>
          <w:b/>
        </w:rPr>
        <w:t xml:space="preserve">any </w:t>
      </w:r>
      <w:r>
        <w:rPr>
          <w:b/>
        </w:rPr>
        <w:t>market competition issues resulting from the three options</w:t>
      </w:r>
      <w:r w:rsidR="00D468FE">
        <w:rPr>
          <w:b/>
        </w:rPr>
        <w:t>,</w:t>
      </w:r>
      <w:r>
        <w:rPr>
          <w:b/>
        </w:rPr>
        <w:t xml:space="preserve"> and views on the impact of options 2 and 3 </w:t>
      </w:r>
      <w:r w:rsidR="00260024">
        <w:rPr>
          <w:b/>
        </w:rPr>
        <w:t xml:space="preserve">on </w:t>
      </w:r>
      <w:r>
        <w:rPr>
          <w:b/>
        </w:rPr>
        <w:t>commercial stations in smaller markets.</w:t>
      </w:r>
    </w:p>
    <w:p w14:paraId="52D67665" w14:textId="77777777" w:rsidR="000A7D14" w:rsidRDefault="000A7D14" w:rsidP="006E76D0">
      <w:pPr>
        <w:pStyle w:val="ListParagraph"/>
        <w:spacing w:before="0"/>
      </w:pPr>
    </w:p>
    <w:p w14:paraId="52D67666" w14:textId="77777777" w:rsidR="002D409B" w:rsidRDefault="002D409B" w:rsidP="00E22E84">
      <w:pPr>
        <w:pStyle w:val="Heading1"/>
      </w:pPr>
      <w:bookmarkStart w:id="5" w:name="_Toc399854911"/>
      <w:r>
        <w:lastRenderedPageBreak/>
        <w:t>How to respond</w:t>
      </w:r>
      <w:bookmarkEnd w:id="5"/>
    </w:p>
    <w:p w14:paraId="52D67667" w14:textId="77777777" w:rsidR="002D409B" w:rsidRPr="002D409B" w:rsidRDefault="002D409B" w:rsidP="002D409B">
      <w:pPr>
        <w:spacing w:before="0"/>
        <w:ind w:left="0"/>
      </w:pPr>
    </w:p>
    <w:p w14:paraId="52D67668" w14:textId="77777777" w:rsidR="00E002AD" w:rsidRDefault="007036FE" w:rsidP="002D409B">
      <w:pPr>
        <w:spacing w:before="0"/>
        <w:ind w:left="0"/>
      </w:pPr>
      <w:r>
        <w:t>In responding</w:t>
      </w:r>
      <w:r w:rsidR="002D409B" w:rsidRPr="002D409B">
        <w:t xml:space="preserve">, please explain your reasoning for your preferred option, referring where relevant/possible to any evidence that may support </w:t>
      </w:r>
      <w:r>
        <w:t>this</w:t>
      </w:r>
      <w:r w:rsidR="002D409B" w:rsidRPr="002D409B">
        <w:t>.</w:t>
      </w:r>
      <w:r>
        <w:t xml:space="preserve"> </w:t>
      </w:r>
    </w:p>
    <w:p w14:paraId="52D67669" w14:textId="77777777" w:rsidR="00E002AD" w:rsidRDefault="00E002AD" w:rsidP="002D409B">
      <w:pPr>
        <w:spacing w:before="0"/>
        <w:ind w:left="0"/>
      </w:pPr>
    </w:p>
    <w:p w14:paraId="52D6766A" w14:textId="77777777" w:rsidR="002D409B" w:rsidRPr="002D409B" w:rsidRDefault="007036FE" w:rsidP="002D409B">
      <w:pPr>
        <w:spacing w:before="0"/>
        <w:ind w:left="0"/>
      </w:pPr>
      <w:r w:rsidRPr="001C6AAD">
        <w:rPr>
          <w:b/>
        </w:rPr>
        <w:t xml:space="preserve">We are particularly interested in any evidence </w:t>
      </w:r>
      <w:r w:rsidR="00E11809" w:rsidRPr="001C6AAD">
        <w:rPr>
          <w:b/>
        </w:rPr>
        <w:t xml:space="preserve">that could help us make an assessment of the </w:t>
      </w:r>
      <w:r w:rsidRPr="001C6AAD">
        <w:rPr>
          <w:b/>
        </w:rPr>
        <w:t xml:space="preserve">competitive and commercial impact of each option. </w:t>
      </w:r>
      <w:r w:rsidR="00E11809">
        <w:t xml:space="preserve">We would also welcome any additional wider views relevant to the issues raised in this consultation. </w:t>
      </w:r>
    </w:p>
    <w:p w14:paraId="52D6766B" w14:textId="77777777" w:rsidR="002D409B" w:rsidRPr="002D409B" w:rsidRDefault="007036FE" w:rsidP="007036FE">
      <w:pPr>
        <w:tabs>
          <w:tab w:val="left" w:pos="6444"/>
        </w:tabs>
        <w:spacing w:before="0"/>
        <w:ind w:left="0"/>
      </w:pPr>
      <w:r>
        <w:tab/>
      </w:r>
    </w:p>
    <w:p w14:paraId="52D6766C" w14:textId="664BDB12" w:rsidR="002D409B" w:rsidRPr="00F4553F" w:rsidRDefault="003E6B51" w:rsidP="002D409B">
      <w:pPr>
        <w:spacing w:before="0"/>
        <w:ind w:left="0"/>
      </w:pPr>
      <w:r w:rsidRPr="00F4553F">
        <w:t xml:space="preserve">Please email your response to </w:t>
      </w:r>
      <w:hyperlink r:id="rId15" w:history="1">
        <w:r w:rsidR="00F4553F" w:rsidRPr="00F4553F">
          <w:rPr>
            <w:rStyle w:val="Hyperlink"/>
            <w:sz w:val="24"/>
          </w:rPr>
          <w:t>analoguerenewals@culture.gsi.gov.uk</w:t>
        </w:r>
      </w:hyperlink>
      <w:r w:rsidRPr="00F4553F">
        <w:t>. Alternatively, post it to</w:t>
      </w:r>
      <w:r w:rsidR="00311DD3" w:rsidRPr="00F4553F">
        <w:t xml:space="preserve"> DCMS at </w:t>
      </w:r>
      <w:r w:rsidR="00906777" w:rsidRPr="00F4553F">
        <w:t>4</w:t>
      </w:r>
      <w:r w:rsidR="00906777" w:rsidRPr="00F4553F">
        <w:rPr>
          <w:vertAlign w:val="superscript"/>
        </w:rPr>
        <w:t>th</w:t>
      </w:r>
      <w:r w:rsidR="00906777" w:rsidRPr="00F4553F">
        <w:t xml:space="preserve"> floor, </w:t>
      </w:r>
      <w:r w:rsidR="00311DD3" w:rsidRPr="00F4553F">
        <w:t>100 Parliament Street, London SW1A 2BQ</w:t>
      </w:r>
      <w:r w:rsidRPr="00F4553F">
        <w:t xml:space="preserve">, marked for the attention of </w:t>
      </w:r>
      <w:r w:rsidR="00311DD3" w:rsidRPr="00F4553F">
        <w:t>Joe Lawrence, Media team</w:t>
      </w:r>
      <w:r w:rsidRPr="00F4553F">
        <w:t>.</w:t>
      </w:r>
    </w:p>
    <w:p w14:paraId="52D6766D" w14:textId="77777777" w:rsidR="003E6B51" w:rsidRPr="00D468FE" w:rsidRDefault="003E6B51" w:rsidP="002D409B">
      <w:pPr>
        <w:spacing w:before="0"/>
        <w:ind w:left="0"/>
        <w:rPr>
          <w:highlight w:val="yellow"/>
        </w:rPr>
      </w:pPr>
    </w:p>
    <w:p w14:paraId="52D6766E" w14:textId="201ECBB9" w:rsidR="003E6B51" w:rsidRPr="001C6AAD" w:rsidRDefault="003E6B51" w:rsidP="002D409B">
      <w:pPr>
        <w:spacing w:before="0"/>
        <w:ind w:left="0"/>
        <w:rPr>
          <w:b/>
          <w:u w:val="single"/>
        </w:rPr>
      </w:pPr>
      <w:r w:rsidRPr="001C6AAD">
        <w:rPr>
          <w:b/>
          <w:u w:val="single"/>
        </w:rPr>
        <w:t xml:space="preserve">This consultation will close </w:t>
      </w:r>
      <w:r w:rsidR="00906777" w:rsidRPr="001C6AAD">
        <w:rPr>
          <w:b/>
          <w:u w:val="single"/>
        </w:rPr>
        <w:t xml:space="preserve">at </w:t>
      </w:r>
      <w:r w:rsidR="00F4553F" w:rsidRPr="001C6AAD">
        <w:rPr>
          <w:b/>
          <w:u w:val="single"/>
        </w:rPr>
        <w:t>5pm on Monday 1 December 2014.</w:t>
      </w:r>
    </w:p>
    <w:p w14:paraId="52D6766F" w14:textId="77777777" w:rsidR="00E002AD" w:rsidRPr="00D468FE" w:rsidRDefault="00E002AD" w:rsidP="002D409B">
      <w:pPr>
        <w:spacing w:before="0"/>
        <w:ind w:left="0"/>
        <w:rPr>
          <w:highlight w:val="yellow"/>
        </w:rPr>
      </w:pPr>
    </w:p>
    <w:p w14:paraId="52D67670" w14:textId="57E5A3CE" w:rsidR="00E002AD" w:rsidRPr="00240F1B" w:rsidRDefault="00E002AD" w:rsidP="002D409B">
      <w:pPr>
        <w:spacing w:before="0"/>
        <w:ind w:left="0"/>
        <w:rPr>
          <w:highlight w:val="yellow"/>
        </w:rPr>
      </w:pPr>
      <w:r w:rsidRPr="00B30F99">
        <w:t xml:space="preserve">In addition to the written consultation, we will be organising a series of meetings across the UK to elicit the views of industry </w:t>
      </w:r>
      <w:r w:rsidR="00260024" w:rsidRPr="00B30F99">
        <w:t xml:space="preserve">on </w:t>
      </w:r>
      <w:r w:rsidRPr="00B30F99">
        <w:t xml:space="preserve">the options set out in this consultation document. The sessions will take place </w:t>
      </w:r>
      <w:r w:rsidR="00311DD3">
        <w:t>during November</w:t>
      </w:r>
      <w:r w:rsidRPr="00B30F99">
        <w:t xml:space="preserve"> and</w:t>
      </w:r>
      <w:r w:rsidR="00D504AF">
        <w:t xml:space="preserve"> full</w:t>
      </w:r>
      <w:r w:rsidRPr="00B30F99">
        <w:t xml:space="preserve"> details will be available shortly. If you would like to attend one of </w:t>
      </w:r>
      <w:r w:rsidR="004C4260" w:rsidRPr="00B30F99">
        <w:t>these sessions</w:t>
      </w:r>
      <w:r w:rsidRPr="00B30F99">
        <w:t xml:space="preserve"> please contact us </w:t>
      </w:r>
      <w:r w:rsidR="00311DD3">
        <w:t>using the email address above.</w:t>
      </w:r>
      <w:r>
        <w:t xml:space="preserve"> </w:t>
      </w:r>
    </w:p>
    <w:p w14:paraId="52D67671" w14:textId="77777777" w:rsidR="008857E4" w:rsidRDefault="008857E4" w:rsidP="002D409B">
      <w:pPr>
        <w:spacing w:before="0"/>
        <w:ind w:left="0"/>
      </w:pPr>
    </w:p>
    <w:p w14:paraId="52D67672" w14:textId="77777777" w:rsidR="00505FB2" w:rsidRPr="00505FB2" w:rsidRDefault="00505FB2" w:rsidP="00505FB2">
      <w:pPr>
        <w:spacing w:before="0"/>
        <w:ind w:left="0"/>
      </w:pPr>
      <w:r w:rsidRPr="00505FB2">
        <w:t xml:space="preserve">Please note all information in responses, including personal information, may be subject to publication or disclosure under the Freedom of Information Act 2000. If a correspondent requests confidentiality, this cannot be guaranteed and will only be possible if considered appropriate under the legislation. </w:t>
      </w:r>
    </w:p>
    <w:p w14:paraId="52D67673" w14:textId="77777777" w:rsidR="00505FB2" w:rsidRDefault="00505FB2" w:rsidP="00505FB2">
      <w:pPr>
        <w:spacing w:before="0"/>
        <w:ind w:left="0"/>
      </w:pPr>
    </w:p>
    <w:p w14:paraId="52D67674" w14:textId="77777777" w:rsidR="003E6B51" w:rsidRDefault="003E6B51" w:rsidP="002D409B">
      <w:pPr>
        <w:spacing w:before="0"/>
        <w:ind w:left="0"/>
        <w:rPr>
          <w:b/>
        </w:rPr>
      </w:pPr>
      <w:r>
        <w:rPr>
          <w:b/>
        </w:rPr>
        <w:t>Next steps</w:t>
      </w:r>
    </w:p>
    <w:p w14:paraId="52D67675" w14:textId="77777777" w:rsidR="003E6B51" w:rsidRDefault="003E6B51" w:rsidP="002D409B">
      <w:pPr>
        <w:spacing w:before="0"/>
        <w:ind w:left="0"/>
        <w:rPr>
          <w:b/>
        </w:rPr>
      </w:pPr>
    </w:p>
    <w:p w14:paraId="52D67676" w14:textId="77777777" w:rsidR="003E6B51" w:rsidRPr="003E6B51" w:rsidRDefault="003E6B51" w:rsidP="003E6B51">
      <w:pPr>
        <w:spacing w:before="0"/>
        <w:ind w:left="0"/>
      </w:pPr>
      <w:r>
        <w:t>A summary of responses and a Government response on the way forward will be published in due course following the closure of the consultation. The Government’s response will take all responses submitted to this consultation into account, and will be based on a careful consideration of the points made in consultation responses, not the number of responses received.</w:t>
      </w:r>
    </w:p>
    <w:p w14:paraId="615402FB" w14:textId="77777777" w:rsidR="008C34C0" w:rsidRDefault="008C34C0" w:rsidP="008857E4">
      <w:pPr>
        <w:spacing w:before="0"/>
        <w:ind w:left="0"/>
      </w:pPr>
    </w:p>
    <w:p w14:paraId="52D67678" w14:textId="3D64DBE0" w:rsidR="00505FB2" w:rsidRDefault="008857E4" w:rsidP="008857E4">
      <w:pPr>
        <w:spacing w:before="0"/>
        <w:ind w:left="0"/>
      </w:pPr>
      <w:r w:rsidRPr="008857E4">
        <w:t xml:space="preserve">This consultation is being conducted in accordance with the provisions of section 13 of the LRRA. Information on LROs can be found at: </w:t>
      </w:r>
      <w:hyperlink r:id="rId16" w:history="1">
        <w:r w:rsidR="00505FB2" w:rsidRPr="00173FF8">
          <w:rPr>
            <w:rStyle w:val="Hyperlink"/>
            <w:sz w:val="24"/>
          </w:rPr>
          <w:t>http://www.parliament.uk/business/committees/committees-archive/regulatory-reform-committee/regulatory-reform-orders/</w:t>
        </w:r>
      </w:hyperlink>
      <w:r w:rsidR="00505FB2">
        <w:t xml:space="preserve">. </w:t>
      </w:r>
      <w:r w:rsidRPr="008857E4">
        <w:t xml:space="preserve"> </w:t>
      </w:r>
    </w:p>
    <w:p w14:paraId="52D67679" w14:textId="77777777" w:rsidR="00505FB2" w:rsidRDefault="00505FB2" w:rsidP="008857E4">
      <w:pPr>
        <w:spacing w:before="0"/>
        <w:ind w:left="0"/>
      </w:pPr>
    </w:p>
    <w:p w14:paraId="52D6767A" w14:textId="77777777" w:rsidR="00505FB2" w:rsidRDefault="008857E4" w:rsidP="008857E4">
      <w:pPr>
        <w:spacing w:before="0"/>
        <w:ind w:left="0"/>
      </w:pPr>
      <w:r w:rsidRPr="008857E4">
        <w:t xml:space="preserve">Further information on the consultation principles can be found at </w:t>
      </w:r>
      <w:hyperlink r:id="rId17" w:history="1">
        <w:r w:rsidR="00505FB2" w:rsidRPr="00173FF8">
          <w:rPr>
            <w:rStyle w:val="Hyperlink"/>
            <w:sz w:val="24"/>
          </w:rPr>
          <w:t>http://www.cabinetoffice.gov.uk/resource-library/consultation-principles-guidance</w:t>
        </w:r>
      </w:hyperlink>
      <w:r w:rsidRPr="008857E4">
        <w:t xml:space="preserve">. </w:t>
      </w:r>
    </w:p>
    <w:p w14:paraId="52D6767B" w14:textId="77777777" w:rsidR="00505FB2" w:rsidRDefault="00505FB2" w:rsidP="008857E4">
      <w:pPr>
        <w:spacing w:before="0"/>
        <w:ind w:left="0"/>
      </w:pPr>
    </w:p>
    <w:p w14:paraId="52D6767C" w14:textId="77777777" w:rsidR="008857E4" w:rsidRPr="008857E4" w:rsidRDefault="008857E4" w:rsidP="008857E4">
      <w:pPr>
        <w:spacing w:before="0"/>
        <w:ind w:left="0"/>
      </w:pPr>
      <w:r w:rsidRPr="008857E4">
        <w:t>Views are invited on all aspects of the consultation paper.</w:t>
      </w:r>
    </w:p>
    <w:p w14:paraId="52D6767D" w14:textId="77777777" w:rsidR="008857E4" w:rsidRPr="008857E4" w:rsidRDefault="008857E4" w:rsidP="008857E4">
      <w:pPr>
        <w:spacing w:before="0"/>
        <w:ind w:left="0"/>
      </w:pPr>
    </w:p>
    <w:p w14:paraId="52D6767E" w14:textId="77777777" w:rsidR="008857E4" w:rsidRDefault="008857E4" w:rsidP="008857E4">
      <w:pPr>
        <w:spacing w:before="0"/>
        <w:ind w:left="0"/>
        <w:rPr>
          <w:b/>
          <w:bCs/>
        </w:rPr>
      </w:pPr>
      <w:r w:rsidRPr="008857E4">
        <w:rPr>
          <w:b/>
          <w:bCs/>
        </w:rPr>
        <w:lastRenderedPageBreak/>
        <w:t xml:space="preserve">Parliamentary Scrutiny </w:t>
      </w:r>
    </w:p>
    <w:p w14:paraId="52D6767F" w14:textId="77777777" w:rsidR="00505FB2" w:rsidRPr="008857E4" w:rsidRDefault="00505FB2" w:rsidP="008857E4">
      <w:pPr>
        <w:spacing w:before="0"/>
        <w:ind w:left="0"/>
      </w:pPr>
    </w:p>
    <w:p w14:paraId="52D67680" w14:textId="77777777" w:rsidR="008857E4" w:rsidRPr="008857E4" w:rsidRDefault="008857E4" w:rsidP="008857E4">
      <w:pPr>
        <w:spacing w:before="0"/>
        <w:ind w:left="0"/>
      </w:pPr>
      <w:r w:rsidRPr="008857E4">
        <w:t xml:space="preserve">Both Houses of Parliament scrutinise draft LROs. This is done by the Regulatory Reform Committee in the House of Commons and the Delegated Powers and Regulatory Reform </w:t>
      </w:r>
      <w:r w:rsidR="00505FB2">
        <w:t>Committee in the House of Lords. E</w:t>
      </w:r>
      <w:r w:rsidRPr="008857E4">
        <w:t xml:space="preserve">ach Committee might take oral or written evidence to help it decide these matters, and each Committee would then be expected to report. </w:t>
      </w:r>
    </w:p>
    <w:p w14:paraId="52D67681" w14:textId="77777777" w:rsidR="00505FB2" w:rsidRDefault="00505FB2" w:rsidP="008857E4">
      <w:pPr>
        <w:spacing w:before="0"/>
        <w:ind w:left="0"/>
      </w:pPr>
    </w:p>
    <w:p w14:paraId="52D67682" w14:textId="77777777" w:rsidR="008857E4" w:rsidRDefault="008857E4" w:rsidP="008857E4">
      <w:pPr>
        <w:spacing w:before="0"/>
        <w:ind w:left="0"/>
      </w:pPr>
      <w:r w:rsidRPr="008857E4">
        <w:t>Copies of Committees’ reports are availab</w:t>
      </w:r>
      <w:r w:rsidR="00505FB2">
        <w:t xml:space="preserve">le on the Parliament website: </w:t>
      </w:r>
    </w:p>
    <w:p w14:paraId="52D67683" w14:textId="77777777" w:rsidR="00505FB2" w:rsidRDefault="00505FB2" w:rsidP="008857E4">
      <w:pPr>
        <w:spacing w:before="0"/>
        <w:ind w:left="0"/>
      </w:pPr>
    </w:p>
    <w:p w14:paraId="52D67684" w14:textId="77777777" w:rsidR="008857E4" w:rsidRPr="008857E4" w:rsidRDefault="008857E4" w:rsidP="00505FB2">
      <w:pPr>
        <w:pStyle w:val="ListParagraph"/>
        <w:numPr>
          <w:ilvl w:val="0"/>
          <w:numId w:val="33"/>
        </w:numPr>
        <w:spacing w:before="0"/>
      </w:pPr>
      <w:r w:rsidRPr="008857E4">
        <w:t>Regulatory Reform Committee in the Commons</w:t>
      </w:r>
      <w:r w:rsidR="00505FB2">
        <w:t xml:space="preserve">: </w:t>
      </w:r>
      <w:hyperlink r:id="rId18" w:history="1">
        <w:r w:rsidR="00505FB2" w:rsidRPr="00505FB2">
          <w:rPr>
            <w:rStyle w:val="Hyperlink"/>
            <w:sz w:val="24"/>
          </w:rPr>
          <w:t>http://www.parliament.uk/business/committees/committees-a-z/commons-select/regulatory-reform-committee/</w:t>
        </w:r>
      </w:hyperlink>
      <w:r w:rsidR="00505FB2">
        <w:t xml:space="preserve"> </w:t>
      </w:r>
    </w:p>
    <w:p w14:paraId="52D67685" w14:textId="77777777" w:rsidR="008857E4" w:rsidRPr="008857E4" w:rsidRDefault="008857E4" w:rsidP="00505FB2">
      <w:pPr>
        <w:pStyle w:val="ListParagraph"/>
        <w:numPr>
          <w:ilvl w:val="0"/>
          <w:numId w:val="33"/>
        </w:numPr>
        <w:spacing w:before="0"/>
      </w:pPr>
      <w:r w:rsidRPr="008857E4">
        <w:t>Delegated Powers and Regulator</w:t>
      </w:r>
      <w:r w:rsidR="00505FB2">
        <w:t xml:space="preserve">y Reform Committee in the Lords: </w:t>
      </w:r>
      <w:hyperlink r:id="rId19" w:history="1">
        <w:r w:rsidR="00505FB2" w:rsidRPr="00505FB2">
          <w:rPr>
            <w:rStyle w:val="Hyperlink"/>
            <w:sz w:val="24"/>
          </w:rPr>
          <w:t>http://www.parliament.uk/business/committees/committees-a-z/lords-select/delegated-powers-and-regulatory-reform-committee/role/</w:t>
        </w:r>
      </w:hyperlink>
      <w:r w:rsidR="00505FB2">
        <w:t xml:space="preserve"> </w:t>
      </w:r>
    </w:p>
    <w:p w14:paraId="52D67686" w14:textId="77777777" w:rsidR="008857E4" w:rsidRPr="008857E4" w:rsidRDefault="008857E4" w:rsidP="008857E4">
      <w:pPr>
        <w:spacing w:before="0"/>
        <w:ind w:left="0"/>
      </w:pPr>
    </w:p>
    <w:p w14:paraId="52D67687" w14:textId="77777777" w:rsidR="008857E4" w:rsidRDefault="008857E4" w:rsidP="008857E4">
      <w:pPr>
        <w:spacing w:before="0"/>
        <w:ind w:left="0"/>
        <w:rPr>
          <w:b/>
          <w:bCs/>
        </w:rPr>
      </w:pPr>
      <w:r w:rsidRPr="008857E4">
        <w:rPr>
          <w:b/>
          <w:bCs/>
        </w:rPr>
        <w:t xml:space="preserve">How to Make Your Views Known </w:t>
      </w:r>
    </w:p>
    <w:p w14:paraId="52D67688" w14:textId="77777777" w:rsidR="00505FB2" w:rsidRPr="008857E4" w:rsidRDefault="00505FB2" w:rsidP="008857E4">
      <w:pPr>
        <w:spacing w:before="0"/>
        <w:ind w:left="0"/>
      </w:pPr>
    </w:p>
    <w:p w14:paraId="52D67689" w14:textId="5C6D5A28" w:rsidR="00505FB2" w:rsidRDefault="008857E4" w:rsidP="008857E4">
      <w:pPr>
        <w:spacing w:before="0"/>
        <w:ind w:left="0"/>
      </w:pPr>
      <w:r w:rsidRPr="008857E4">
        <w:t xml:space="preserve">Responding to this consultation document is your first and main opportunity to make your views known to the relevant department as part of the consultation process. You should send your views to the </w:t>
      </w:r>
      <w:r w:rsidR="00E219E2">
        <w:t>contact</w:t>
      </w:r>
      <w:r w:rsidRPr="008857E4">
        <w:t xml:space="preserve"> named in the consultation </w:t>
      </w:r>
      <w:r w:rsidRPr="00E219E2">
        <w:t>document</w:t>
      </w:r>
      <w:r w:rsidR="00311DD3">
        <w:t>.</w:t>
      </w:r>
    </w:p>
    <w:p w14:paraId="52D6768A" w14:textId="77777777" w:rsidR="00505FB2" w:rsidRDefault="00505FB2" w:rsidP="008857E4">
      <w:pPr>
        <w:spacing w:before="0"/>
        <w:ind w:left="0"/>
      </w:pPr>
    </w:p>
    <w:p w14:paraId="52D6768B" w14:textId="77777777" w:rsidR="00505FB2" w:rsidRDefault="008857E4" w:rsidP="008857E4">
      <w:pPr>
        <w:spacing w:before="0"/>
        <w:ind w:left="0"/>
      </w:pPr>
      <w:r w:rsidRPr="008857E4">
        <w:t xml:space="preserve">When the Minister lays proposals before Parliament you are welcome to put your views before either or both of the Scrutiny Committees. In the first instance, this should be in writing. The Committees will normally decide on the basis of written submissions whether to take oral evidence. Your submission should be as concise as possible, and should focus on one or more of the criteria listed below that a Legislative Reform Order needs to meet, as set out in section 3 of the Legislative Regulatory Reform Act 2006: </w:t>
      </w:r>
    </w:p>
    <w:p w14:paraId="52D6768C" w14:textId="77777777" w:rsidR="00505FB2" w:rsidRPr="008857E4" w:rsidRDefault="00505FB2" w:rsidP="008857E4">
      <w:pPr>
        <w:spacing w:before="0"/>
        <w:ind w:left="0"/>
      </w:pPr>
    </w:p>
    <w:p w14:paraId="52D6768D" w14:textId="77777777" w:rsidR="008857E4" w:rsidRPr="008857E4" w:rsidRDefault="008857E4" w:rsidP="00505FB2">
      <w:pPr>
        <w:pStyle w:val="ListParagraph"/>
        <w:numPr>
          <w:ilvl w:val="0"/>
          <w:numId w:val="34"/>
        </w:numPr>
        <w:spacing w:before="0"/>
      </w:pPr>
      <w:r w:rsidRPr="008857E4">
        <w:t xml:space="preserve">There are no non-legislative alternatives that will achieve the intended outcome of the provision; </w:t>
      </w:r>
    </w:p>
    <w:p w14:paraId="52D6768E" w14:textId="77777777" w:rsidR="008857E4" w:rsidRPr="008857E4" w:rsidRDefault="008857E4" w:rsidP="00505FB2">
      <w:pPr>
        <w:pStyle w:val="ListParagraph"/>
        <w:numPr>
          <w:ilvl w:val="0"/>
          <w:numId w:val="34"/>
        </w:numPr>
        <w:spacing w:before="0"/>
      </w:pPr>
      <w:r w:rsidRPr="008857E4">
        <w:t xml:space="preserve">The effect of the provision is proportionate to the policy objective; </w:t>
      </w:r>
    </w:p>
    <w:p w14:paraId="52D6768F" w14:textId="77777777" w:rsidR="008857E4" w:rsidRPr="008857E4" w:rsidRDefault="008857E4" w:rsidP="00505FB2">
      <w:pPr>
        <w:pStyle w:val="ListParagraph"/>
        <w:numPr>
          <w:ilvl w:val="0"/>
          <w:numId w:val="34"/>
        </w:numPr>
        <w:spacing w:before="0"/>
      </w:pPr>
      <w:r w:rsidRPr="008857E4">
        <w:t xml:space="preserve">The provision strikes a fair balance between the public interest and the interests of any person adversely affected by it; </w:t>
      </w:r>
    </w:p>
    <w:p w14:paraId="52D67690" w14:textId="77777777" w:rsidR="008857E4" w:rsidRPr="008857E4" w:rsidRDefault="008857E4" w:rsidP="00505FB2">
      <w:pPr>
        <w:pStyle w:val="ListParagraph"/>
        <w:numPr>
          <w:ilvl w:val="0"/>
          <w:numId w:val="34"/>
        </w:numPr>
        <w:spacing w:before="0"/>
      </w:pPr>
      <w:r w:rsidRPr="008857E4">
        <w:t xml:space="preserve">The provision does not remove any necessary protection; </w:t>
      </w:r>
    </w:p>
    <w:p w14:paraId="52D67691" w14:textId="77777777" w:rsidR="008857E4" w:rsidRPr="008857E4" w:rsidRDefault="008857E4" w:rsidP="00505FB2">
      <w:pPr>
        <w:pStyle w:val="ListParagraph"/>
        <w:numPr>
          <w:ilvl w:val="0"/>
          <w:numId w:val="34"/>
        </w:numPr>
        <w:spacing w:before="0"/>
      </w:pPr>
      <w:r w:rsidRPr="008857E4">
        <w:t xml:space="preserve">The provision does not prevent anyone from continuing to exercise any right or freedom which they might reasonably expect to continue to exercise; </w:t>
      </w:r>
    </w:p>
    <w:p w14:paraId="52D67692" w14:textId="77777777" w:rsidR="00505FB2" w:rsidRDefault="008857E4" w:rsidP="00505FB2">
      <w:pPr>
        <w:pStyle w:val="ListParagraph"/>
        <w:numPr>
          <w:ilvl w:val="0"/>
          <w:numId w:val="34"/>
        </w:numPr>
        <w:spacing w:before="0"/>
      </w:pPr>
      <w:r w:rsidRPr="008857E4">
        <w:t xml:space="preserve">The provision is not constitutionally significant; and </w:t>
      </w:r>
    </w:p>
    <w:p w14:paraId="52D67693" w14:textId="77777777" w:rsidR="008857E4" w:rsidRPr="008857E4" w:rsidRDefault="008857E4" w:rsidP="00505FB2">
      <w:pPr>
        <w:pStyle w:val="ListParagraph"/>
        <w:numPr>
          <w:ilvl w:val="0"/>
          <w:numId w:val="34"/>
        </w:numPr>
        <w:spacing w:before="0"/>
      </w:pPr>
      <w:r w:rsidRPr="008857E4">
        <w:t xml:space="preserve">Where a provision will restate an enactment, it makes the law more accessible or more easily understood. </w:t>
      </w:r>
    </w:p>
    <w:p w14:paraId="52D67694" w14:textId="77777777" w:rsidR="008857E4" w:rsidRPr="008857E4" w:rsidRDefault="008857E4" w:rsidP="008857E4">
      <w:pPr>
        <w:spacing w:before="0"/>
        <w:ind w:left="0"/>
      </w:pPr>
    </w:p>
    <w:p w14:paraId="52D67695" w14:textId="77777777" w:rsidR="008857E4" w:rsidRPr="008857E4" w:rsidRDefault="008857E4" w:rsidP="008857E4">
      <w:pPr>
        <w:spacing w:before="0"/>
        <w:ind w:left="0"/>
      </w:pPr>
      <w:r w:rsidRPr="008857E4">
        <w:t xml:space="preserve">The Scrutiny Committees appointed to scrutinise Legislative Reform Orders can be contacted at: </w:t>
      </w:r>
    </w:p>
    <w:p w14:paraId="52D67696" w14:textId="77777777" w:rsidR="008857E4" w:rsidRPr="008857E4" w:rsidRDefault="008857E4" w:rsidP="008857E4">
      <w:pPr>
        <w:spacing w:before="0"/>
        <w:ind w:left="0"/>
        <w:rPr>
          <w:b/>
          <w:bCs/>
        </w:rPr>
      </w:pPr>
    </w:p>
    <w:p w14:paraId="52D67697" w14:textId="77777777" w:rsidR="008857E4" w:rsidRPr="008857E4" w:rsidRDefault="008857E4" w:rsidP="008857E4">
      <w:pPr>
        <w:spacing w:before="0"/>
        <w:ind w:left="0"/>
      </w:pPr>
      <w:r w:rsidRPr="008857E4">
        <w:rPr>
          <w:b/>
          <w:bCs/>
        </w:rPr>
        <w:t xml:space="preserve">Regulatory Reform Committee </w:t>
      </w:r>
    </w:p>
    <w:p w14:paraId="52D67698" w14:textId="77777777" w:rsidR="008857E4" w:rsidRPr="008857E4" w:rsidRDefault="008857E4" w:rsidP="008857E4">
      <w:pPr>
        <w:spacing w:before="0"/>
        <w:ind w:left="0"/>
      </w:pPr>
      <w:r w:rsidRPr="008857E4">
        <w:t xml:space="preserve">House of Commons </w:t>
      </w:r>
    </w:p>
    <w:p w14:paraId="52D67699" w14:textId="77777777" w:rsidR="008857E4" w:rsidRPr="008857E4" w:rsidRDefault="008857E4" w:rsidP="008857E4">
      <w:pPr>
        <w:spacing w:before="0"/>
        <w:ind w:left="0"/>
      </w:pPr>
      <w:r w:rsidRPr="008857E4">
        <w:t xml:space="preserve">17 Millbank </w:t>
      </w:r>
    </w:p>
    <w:p w14:paraId="52D6769A" w14:textId="77777777" w:rsidR="008857E4" w:rsidRPr="008857E4" w:rsidRDefault="008857E4" w:rsidP="008857E4">
      <w:pPr>
        <w:spacing w:before="0"/>
        <w:ind w:left="0"/>
      </w:pPr>
      <w:r w:rsidRPr="008857E4">
        <w:t xml:space="preserve">London SW1P 3JA </w:t>
      </w:r>
    </w:p>
    <w:p w14:paraId="52D6769B" w14:textId="77777777" w:rsidR="008857E4" w:rsidRPr="008857E4" w:rsidRDefault="008857E4" w:rsidP="008857E4">
      <w:pPr>
        <w:spacing w:before="0"/>
        <w:ind w:left="0"/>
      </w:pPr>
      <w:r w:rsidRPr="008857E4">
        <w:t xml:space="preserve">Tel: 020 7219 2830 </w:t>
      </w:r>
    </w:p>
    <w:p w14:paraId="52D6769C" w14:textId="77777777" w:rsidR="008857E4" w:rsidRPr="008857E4" w:rsidRDefault="008857E4" w:rsidP="008857E4">
      <w:pPr>
        <w:spacing w:before="0"/>
        <w:ind w:left="0"/>
      </w:pPr>
      <w:r w:rsidRPr="008857E4">
        <w:t xml:space="preserve">Mail to: regrefcom@parliament.uk </w:t>
      </w:r>
    </w:p>
    <w:p w14:paraId="52D6769D" w14:textId="77777777" w:rsidR="008857E4" w:rsidRPr="008857E4" w:rsidRDefault="008857E4" w:rsidP="008857E4">
      <w:pPr>
        <w:spacing w:before="0"/>
        <w:ind w:left="0"/>
        <w:rPr>
          <w:b/>
          <w:bCs/>
        </w:rPr>
      </w:pPr>
    </w:p>
    <w:p w14:paraId="52D6769E" w14:textId="77777777" w:rsidR="008857E4" w:rsidRPr="008857E4" w:rsidRDefault="008857E4" w:rsidP="008857E4">
      <w:pPr>
        <w:spacing w:before="0"/>
        <w:ind w:left="0"/>
      </w:pPr>
      <w:r w:rsidRPr="008857E4">
        <w:rPr>
          <w:b/>
          <w:bCs/>
        </w:rPr>
        <w:lastRenderedPageBreak/>
        <w:t xml:space="preserve">Delegated Powers and Regulatory Reform Committee </w:t>
      </w:r>
    </w:p>
    <w:p w14:paraId="52D6769F" w14:textId="77777777" w:rsidR="008857E4" w:rsidRPr="008857E4" w:rsidRDefault="008857E4" w:rsidP="008857E4">
      <w:pPr>
        <w:spacing w:before="0"/>
        <w:ind w:left="0"/>
      </w:pPr>
      <w:r w:rsidRPr="008857E4">
        <w:t xml:space="preserve">House of Lords </w:t>
      </w:r>
    </w:p>
    <w:p w14:paraId="52D676A0" w14:textId="77777777" w:rsidR="008857E4" w:rsidRPr="008857E4" w:rsidRDefault="008857E4" w:rsidP="008857E4">
      <w:pPr>
        <w:spacing w:before="0"/>
        <w:ind w:left="0"/>
      </w:pPr>
      <w:r w:rsidRPr="008857E4">
        <w:t xml:space="preserve">London SW1A 0PW </w:t>
      </w:r>
    </w:p>
    <w:p w14:paraId="52D676A1" w14:textId="77777777" w:rsidR="008857E4" w:rsidRPr="008857E4" w:rsidRDefault="008857E4" w:rsidP="008857E4">
      <w:pPr>
        <w:spacing w:before="0"/>
        <w:ind w:left="0"/>
      </w:pPr>
      <w:r w:rsidRPr="008857E4">
        <w:t xml:space="preserve">Tel: 020 7219 3103 </w:t>
      </w:r>
    </w:p>
    <w:p w14:paraId="52D676A2" w14:textId="77777777" w:rsidR="008857E4" w:rsidRPr="008857E4" w:rsidRDefault="008857E4" w:rsidP="008857E4">
      <w:pPr>
        <w:spacing w:before="0"/>
        <w:ind w:left="0"/>
      </w:pPr>
      <w:r w:rsidRPr="008857E4">
        <w:t xml:space="preserve">Mail to: DPRR@parliament.uk </w:t>
      </w:r>
    </w:p>
    <w:p w14:paraId="52D676A3" w14:textId="77777777" w:rsidR="008857E4" w:rsidRPr="008857E4" w:rsidRDefault="008857E4" w:rsidP="008857E4">
      <w:pPr>
        <w:spacing w:before="0"/>
        <w:ind w:left="0"/>
      </w:pPr>
    </w:p>
    <w:p w14:paraId="52D676A4" w14:textId="77777777" w:rsidR="008857E4" w:rsidRDefault="008857E4" w:rsidP="008857E4">
      <w:pPr>
        <w:spacing w:before="0"/>
        <w:ind w:left="0"/>
        <w:rPr>
          <w:b/>
          <w:bCs/>
        </w:rPr>
      </w:pPr>
      <w:r w:rsidRPr="008857E4">
        <w:rPr>
          <w:b/>
          <w:bCs/>
        </w:rPr>
        <w:t xml:space="preserve">Non-disclosure of responses </w:t>
      </w:r>
    </w:p>
    <w:p w14:paraId="52D676A5" w14:textId="77777777" w:rsidR="00505FB2" w:rsidRPr="008857E4" w:rsidRDefault="00505FB2" w:rsidP="008857E4">
      <w:pPr>
        <w:spacing w:before="0"/>
        <w:ind w:left="0"/>
      </w:pPr>
    </w:p>
    <w:p w14:paraId="52D676A6" w14:textId="77777777" w:rsidR="008857E4" w:rsidRDefault="008857E4" w:rsidP="008857E4">
      <w:pPr>
        <w:spacing w:before="0"/>
        <w:ind w:left="0"/>
      </w:pPr>
      <w:r w:rsidRPr="008857E4">
        <w:t xml:space="preserve">Section 14(3) of the LRRA provides what should happen when someone responding to the consultation exercise on a proposed LRO requests that their response should not be disclosed. The name of the person who has made representations will always be disclosed to Parliament. If you ask for your representation not to be disclosed, the Minister should not disclose the content of that representation without your express consent and, if the representation relates to a third party, their consent too. Alternatively, the Minister may disclose the content of the representation in such a way as to preserve your anonymity and that of any third party involved. </w:t>
      </w:r>
    </w:p>
    <w:p w14:paraId="52D676A7" w14:textId="77777777" w:rsidR="00505FB2" w:rsidRPr="008857E4" w:rsidRDefault="00505FB2" w:rsidP="008857E4">
      <w:pPr>
        <w:spacing w:before="0"/>
        <w:ind w:left="0"/>
      </w:pPr>
    </w:p>
    <w:p w14:paraId="52D676A8" w14:textId="77777777" w:rsidR="008857E4" w:rsidRDefault="008857E4" w:rsidP="008857E4">
      <w:pPr>
        <w:spacing w:before="0"/>
        <w:ind w:left="0"/>
        <w:rPr>
          <w:b/>
          <w:bCs/>
        </w:rPr>
      </w:pPr>
      <w:r w:rsidRPr="008857E4">
        <w:rPr>
          <w:b/>
          <w:bCs/>
        </w:rPr>
        <w:t xml:space="preserve">Information about Third Parties </w:t>
      </w:r>
    </w:p>
    <w:p w14:paraId="52D676A9" w14:textId="77777777" w:rsidR="00505FB2" w:rsidRPr="008857E4" w:rsidRDefault="00505FB2" w:rsidP="008857E4">
      <w:pPr>
        <w:spacing w:before="0"/>
        <w:ind w:left="0"/>
      </w:pPr>
    </w:p>
    <w:p w14:paraId="52D676AA" w14:textId="77777777" w:rsidR="008857E4" w:rsidRPr="008857E4" w:rsidRDefault="008857E4" w:rsidP="008857E4">
      <w:pPr>
        <w:spacing w:before="0"/>
        <w:ind w:left="0"/>
      </w:pPr>
      <w:r w:rsidRPr="008857E4">
        <w:t>If you give information about a third party which the Minister believes may be damaging to the interests of that third party, the Minister does not have to pass on such information to Parliament if he does not believe it is true or he is unable to obtain the consent of the third party to disclose. This applies whether or not you ask for your representation not to be disclosed. The Scrutiny Committees may, however, be given access on request to all representations as originally submitted, as a safeguard against improper influence being brought to bear on Ministers in their formulation of legislative reform orders.</w:t>
      </w:r>
    </w:p>
    <w:p w14:paraId="52D676AB" w14:textId="77777777" w:rsidR="008857E4" w:rsidRPr="002D409B" w:rsidRDefault="008857E4" w:rsidP="002D409B">
      <w:pPr>
        <w:spacing w:before="0"/>
        <w:ind w:left="0"/>
      </w:pPr>
    </w:p>
    <w:p w14:paraId="52D676AC" w14:textId="77777777" w:rsidR="002D409B" w:rsidRPr="002D409B" w:rsidRDefault="002D409B" w:rsidP="002D409B">
      <w:pPr>
        <w:spacing w:before="0"/>
        <w:ind w:left="0"/>
      </w:pPr>
    </w:p>
    <w:p w14:paraId="52D676AD" w14:textId="77777777" w:rsidR="002D409B" w:rsidRPr="00FA2772" w:rsidRDefault="005B7677" w:rsidP="00FA2772">
      <w:pPr>
        <w:pStyle w:val="Heading1Numbered"/>
        <w:numPr>
          <w:ilvl w:val="0"/>
          <w:numId w:val="0"/>
        </w:numPr>
        <w:spacing w:before="0" w:after="0"/>
      </w:pPr>
      <w:bookmarkStart w:id="6" w:name="_Toc399854912"/>
      <w:r>
        <w:lastRenderedPageBreak/>
        <w:t>Annex - List of affected licences</w:t>
      </w:r>
      <w:bookmarkEnd w:id="6"/>
    </w:p>
    <w:p w14:paraId="52D676AE" w14:textId="77777777" w:rsidR="00FA2772" w:rsidRDefault="00FA2772" w:rsidP="00FA2772">
      <w:pPr>
        <w:spacing w:before="0"/>
        <w:ind w:left="0"/>
        <w:rPr>
          <w:b/>
          <w:u w:val="single"/>
        </w:rPr>
      </w:pPr>
    </w:p>
    <w:p w14:paraId="52D676AF" w14:textId="77777777" w:rsidR="00FA2772" w:rsidRDefault="00FA2772" w:rsidP="00FA2772">
      <w:pPr>
        <w:spacing w:before="0"/>
        <w:ind w:left="0"/>
        <w:rPr>
          <w:b/>
          <w:u w:val="single"/>
        </w:rPr>
      </w:pPr>
    </w:p>
    <w:p w14:paraId="52D676B0" w14:textId="77777777" w:rsidR="00FA2772" w:rsidRDefault="00FA2772" w:rsidP="00FA2772">
      <w:pPr>
        <w:spacing w:before="0"/>
        <w:ind w:left="0"/>
        <w:rPr>
          <w:b/>
        </w:rPr>
      </w:pPr>
      <w:r>
        <w:rPr>
          <w:b/>
        </w:rPr>
        <w:t>National</w:t>
      </w:r>
    </w:p>
    <w:p w14:paraId="52D676B1" w14:textId="77777777" w:rsidR="00FA2772" w:rsidRDefault="00FA2772" w:rsidP="00FA2772">
      <w:pPr>
        <w:spacing w:before="0"/>
        <w:ind w:left="0"/>
        <w:rPr>
          <w:b/>
        </w:rPr>
      </w:pPr>
    </w:p>
    <w:p w14:paraId="52D676B2" w14:textId="77777777" w:rsidR="00FA2772" w:rsidRDefault="00FA2772" w:rsidP="00FA2772">
      <w:pPr>
        <w:spacing w:before="0"/>
        <w:ind w:left="0"/>
      </w:pPr>
      <w:r>
        <w:t>Classic FM</w:t>
      </w:r>
    </w:p>
    <w:p w14:paraId="52D676B3" w14:textId="77777777" w:rsidR="00FA2772" w:rsidRDefault="00FA2772" w:rsidP="00FA2772">
      <w:pPr>
        <w:spacing w:before="0"/>
        <w:ind w:left="0"/>
      </w:pPr>
      <w:r>
        <w:t>Absolute</w:t>
      </w:r>
    </w:p>
    <w:p w14:paraId="52D676B4" w14:textId="77777777" w:rsidR="00FA2772" w:rsidRPr="00FA2772" w:rsidRDefault="00FA2772" w:rsidP="00FA2772">
      <w:pPr>
        <w:spacing w:before="0"/>
        <w:ind w:left="0"/>
      </w:pPr>
      <w:r>
        <w:t>TalkSport</w:t>
      </w:r>
    </w:p>
    <w:p w14:paraId="52D676B5" w14:textId="77777777" w:rsidR="00FA2772" w:rsidRDefault="00FA2772" w:rsidP="00FA2772">
      <w:pPr>
        <w:spacing w:before="0"/>
        <w:ind w:left="0"/>
        <w:jc w:val="both"/>
        <w:rPr>
          <w:b/>
        </w:rPr>
      </w:pPr>
    </w:p>
    <w:p w14:paraId="52D676B6" w14:textId="77777777" w:rsidR="00FA2772" w:rsidRDefault="00FA2772" w:rsidP="00FA2772">
      <w:pPr>
        <w:spacing w:before="0"/>
        <w:ind w:left="0"/>
        <w:jc w:val="both"/>
        <w:rPr>
          <w:b/>
        </w:rPr>
      </w:pPr>
      <w:r>
        <w:rPr>
          <w:b/>
        </w:rPr>
        <w:t>Local</w:t>
      </w:r>
    </w:p>
    <w:p w14:paraId="52D676B7" w14:textId="77777777" w:rsidR="00FA2772" w:rsidRDefault="00FA2772" w:rsidP="00FA2772">
      <w:pPr>
        <w:spacing w:before="0"/>
        <w:ind w:left="0"/>
        <w:jc w:val="both"/>
        <w:rPr>
          <w:b/>
        </w:rPr>
      </w:pPr>
    </w:p>
    <w:tbl>
      <w:tblPr>
        <w:tblStyle w:val="TableGrid"/>
        <w:tblW w:w="0" w:type="auto"/>
        <w:tblLook w:val="04A0" w:firstRow="1" w:lastRow="0" w:firstColumn="1" w:lastColumn="0" w:noHBand="0" w:noVBand="1"/>
      </w:tblPr>
      <w:tblGrid>
        <w:gridCol w:w="1958"/>
        <w:gridCol w:w="2732"/>
      </w:tblGrid>
      <w:tr w:rsidR="00FA2772" w:rsidRPr="00733D78" w14:paraId="52D676BA" w14:textId="77777777" w:rsidTr="009D0CE3">
        <w:trPr>
          <w:trHeight w:val="297"/>
        </w:trPr>
        <w:tc>
          <w:tcPr>
            <w:tcW w:w="1951" w:type="dxa"/>
            <w:noWrap/>
            <w:hideMark/>
          </w:tcPr>
          <w:p w14:paraId="52D676B8" w14:textId="77777777" w:rsidR="00FA2772" w:rsidRPr="00733D78" w:rsidRDefault="00FA2772" w:rsidP="00733D78">
            <w:pPr>
              <w:spacing w:before="0"/>
              <w:ind w:left="0"/>
              <w:rPr>
                <w:b/>
                <w:bCs/>
                <w:sz w:val="18"/>
                <w:szCs w:val="20"/>
              </w:rPr>
            </w:pPr>
            <w:r w:rsidRPr="00733D78">
              <w:rPr>
                <w:b/>
                <w:bCs/>
                <w:sz w:val="18"/>
                <w:szCs w:val="20"/>
              </w:rPr>
              <w:t>Licence Area</w:t>
            </w:r>
          </w:p>
        </w:tc>
        <w:tc>
          <w:tcPr>
            <w:tcW w:w="2732" w:type="dxa"/>
            <w:noWrap/>
            <w:hideMark/>
          </w:tcPr>
          <w:p w14:paraId="52D676B9" w14:textId="77777777" w:rsidR="00FA2772" w:rsidRPr="00733D78" w:rsidRDefault="00FA2772" w:rsidP="00733D78">
            <w:pPr>
              <w:spacing w:before="0"/>
              <w:ind w:left="0"/>
              <w:rPr>
                <w:b/>
                <w:bCs/>
                <w:sz w:val="18"/>
                <w:szCs w:val="20"/>
              </w:rPr>
            </w:pPr>
            <w:r w:rsidRPr="00733D78">
              <w:rPr>
                <w:b/>
                <w:bCs/>
                <w:sz w:val="18"/>
                <w:szCs w:val="20"/>
              </w:rPr>
              <w:t>Station</w:t>
            </w:r>
          </w:p>
        </w:tc>
      </w:tr>
      <w:tr w:rsidR="00FA2772" w:rsidRPr="00733D78" w14:paraId="52D676BD" w14:textId="77777777" w:rsidTr="009D0CE3">
        <w:trPr>
          <w:trHeight w:val="276"/>
        </w:trPr>
        <w:tc>
          <w:tcPr>
            <w:tcW w:w="1951" w:type="dxa"/>
            <w:noWrap/>
            <w:hideMark/>
          </w:tcPr>
          <w:p w14:paraId="52D676BB" w14:textId="77777777" w:rsidR="00FA2772" w:rsidRPr="00733D78" w:rsidRDefault="00FA2772" w:rsidP="00733D78">
            <w:pPr>
              <w:spacing w:before="0"/>
              <w:ind w:left="0"/>
              <w:rPr>
                <w:sz w:val="18"/>
                <w:szCs w:val="20"/>
              </w:rPr>
            </w:pPr>
            <w:r w:rsidRPr="00733D78">
              <w:rPr>
                <w:sz w:val="18"/>
                <w:szCs w:val="20"/>
              </w:rPr>
              <w:t>Paisley</w:t>
            </w:r>
          </w:p>
        </w:tc>
        <w:tc>
          <w:tcPr>
            <w:tcW w:w="2732" w:type="dxa"/>
            <w:noWrap/>
            <w:hideMark/>
          </w:tcPr>
          <w:p w14:paraId="52D676BC" w14:textId="77777777" w:rsidR="00FA2772" w:rsidRPr="00733D78" w:rsidRDefault="00FA2772" w:rsidP="00733D78">
            <w:pPr>
              <w:spacing w:before="0"/>
              <w:ind w:left="0"/>
              <w:rPr>
                <w:sz w:val="18"/>
                <w:szCs w:val="20"/>
              </w:rPr>
            </w:pPr>
            <w:r w:rsidRPr="00733D78">
              <w:rPr>
                <w:sz w:val="18"/>
                <w:szCs w:val="20"/>
              </w:rPr>
              <w:t>XFM</w:t>
            </w:r>
          </w:p>
        </w:tc>
      </w:tr>
      <w:tr w:rsidR="00FA2772" w:rsidRPr="00733D78" w14:paraId="52D676C0" w14:textId="77777777" w:rsidTr="009D0CE3">
        <w:trPr>
          <w:trHeight w:val="276"/>
        </w:trPr>
        <w:tc>
          <w:tcPr>
            <w:tcW w:w="1951" w:type="dxa"/>
            <w:noWrap/>
            <w:hideMark/>
          </w:tcPr>
          <w:p w14:paraId="52D676BE" w14:textId="77777777" w:rsidR="00FA2772" w:rsidRPr="00733D78" w:rsidRDefault="00FA2772" w:rsidP="00733D78">
            <w:pPr>
              <w:spacing w:before="0"/>
              <w:ind w:left="0"/>
              <w:rPr>
                <w:sz w:val="18"/>
                <w:szCs w:val="20"/>
              </w:rPr>
            </w:pPr>
            <w:r w:rsidRPr="00733D78">
              <w:rPr>
                <w:sz w:val="18"/>
                <w:szCs w:val="20"/>
              </w:rPr>
              <w:t>Greater London</w:t>
            </w:r>
          </w:p>
        </w:tc>
        <w:tc>
          <w:tcPr>
            <w:tcW w:w="2732" w:type="dxa"/>
            <w:noWrap/>
            <w:hideMark/>
          </w:tcPr>
          <w:p w14:paraId="52D676BF" w14:textId="77777777" w:rsidR="00FA2772" w:rsidRPr="00733D78" w:rsidRDefault="00FA2772" w:rsidP="00733D78">
            <w:pPr>
              <w:spacing w:before="0"/>
              <w:ind w:left="0"/>
              <w:rPr>
                <w:sz w:val="18"/>
                <w:szCs w:val="20"/>
              </w:rPr>
            </w:pPr>
            <w:r w:rsidRPr="00733D78">
              <w:rPr>
                <w:sz w:val="18"/>
                <w:szCs w:val="20"/>
              </w:rPr>
              <w:t>Radio 1458</w:t>
            </w:r>
          </w:p>
        </w:tc>
      </w:tr>
      <w:tr w:rsidR="00FA2772" w:rsidRPr="00733D78" w14:paraId="52D676C3" w14:textId="77777777" w:rsidTr="009D0CE3">
        <w:trPr>
          <w:trHeight w:val="276"/>
        </w:trPr>
        <w:tc>
          <w:tcPr>
            <w:tcW w:w="1951" w:type="dxa"/>
            <w:noWrap/>
            <w:hideMark/>
          </w:tcPr>
          <w:p w14:paraId="52D676C1" w14:textId="77777777" w:rsidR="00FA2772" w:rsidRPr="00733D78" w:rsidRDefault="00FA2772" w:rsidP="00733D78">
            <w:pPr>
              <w:spacing w:before="0"/>
              <w:ind w:left="0"/>
              <w:rPr>
                <w:sz w:val="18"/>
                <w:szCs w:val="20"/>
              </w:rPr>
            </w:pPr>
            <w:r w:rsidRPr="00733D78">
              <w:rPr>
                <w:sz w:val="18"/>
                <w:szCs w:val="20"/>
              </w:rPr>
              <w:t>Aberdeen</w:t>
            </w:r>
          </w:p>
        </w:tc>
        <w:tc>
          <w:tcPr>
            <w:tcW w:w="2732" w:type="dxa"/>
            <w:noWrap/>
            <w:hideMark/>
          </w:tcPr>
          <w:p w14:paraId="52D676C2" w14:textId="77777777" w:rsidR="00FA2772" w:rsidRPr="00733D78" w:rsidRDefault="00FA2772" w:rsidP="00733D78">
            <w:pPr>
              <w:spacing w:before="0"/>
              <w:ind w:left="0"/>
              <w:rPr>
                <w:sz w:val="18"/>
                <w:szCs w:val="20"/>
              </w:rPr>
            </w:pPr>
            <w:r w:rsidRPr="00733D78">
              <w:rPr>
                <w:sz w:val="18"/>
                <w:szCs w:val="20"/>
              </w:rPr>
              <w:t>NORTHSOUND 1</w:t>
            </w:r>
          </w:p>
        </w:tc>
      </w:tr>
      <w:tr w:rsidR="00FA2772" w:rsidRPr="00733D78" w14:paraId="52D676C6" w14:textId="77777777" w:rsidTr="009D0CE3">
        <w:trPr>
          <w:trHeight w:val="276"/>
        </w:trPr>
        <w:tc>
          <w:tcPr>
            <w:tcW w:w="1951" w:type="dxa"/>
            <w:noWrap/>
            <w:hideMark/>
          </w:tcPr>
          <w:p w14:paraId="52D676C4" w14:textId="77777777" w:rsidR="00FA2772" w:rsidRPr="00733D78" w:rsidRDefault="00FA2772" w:rsidP="00733D78">
            <w:pPr>
              <w:spacing w:before="0"/>
              <w:ind w:left="0"/>
              <w:rPr>
                <w:sz w:val="18"/>
                <w:szCs w:val="20"/>
              </w:rPr>
            </w:pPr>
            <w:r w:rsidRPr="00733D78">
              <w:rPr>
                <w:sz w:val="18"/>
                <w:szCs w:val="20"/>
              </w:rPr>
              <w:t>Aberdeen</w:t>
            </w:r>
          </w:p>
        </w:tc>
        <w:tc>
          <w:tcPr>
            <w:tcW w:w="2732" w:type="dxa"/>
            <w:noWrap/>
            <w:hideMark/>
          </w:tcPr>
          <w:p w14:paraId="52D676C5" w14:textId="77777777" w:rsidR="00FA2772" w:rsidRPr="00733D78" w:rsidRDefault="00FA2772" w:rsidP="00733D78">
            <w:pPr>
              <w:spacing w:before="0"/>
              <w:ind w:left="0"/>
              <w:rPr>
                <w:sz w:val="18"/>
                <w:szCs w:val="20"/>
              </w:rPr>
            </w:pPr>
            <w:r w:rsidRPr="00733D78">
              <w:rPr>
                <w:sz w:val="18"/>
                <w:szCs w:val="20"/>
              </w:rPr>
              <w:t>NORTHSOUND 2</w:t>
            </w:r>
          </w:p>
        </w:tc>
      </w:tr>
      <w:tr w:rsidR="00FA2772" w:rsidRPr="00733D78" w14:paraId="52D676C9" w14:textId="77777777" w:rsidTr="009D0CE3">
        <w:trPr>
          <w:trHeight w:val="276"/>
        </w:trPr>
        <w:tc>
          <w:tcPr>
            <w:tcW w:w="1951" w:type="dxa"/>
            <w:noWrap/>
            <w:hideMark/>
          </w:tcPr>
          <w:p w14:paraId="52D676C7" w14:textId="77777777" w:rsidR="00FA2772" w:rsidRPr="00733D78" w:rsidRDefault="00FA2772" w:rsidP="00733D78">
            <w:pPr>
              <w:spacing w:before="0"/>
              <w:ind w:left="0"/>
              <w:rPr>
                <w:sz w:val="18"/>
                <w:szCs w:val="20"/>
              </w:rPr>
            </w:pPr>
            <w:r w:rsidRPr="00733D78">
              <w:rPr>
                <w:sz w:val="18"/>
                <w:szCs w:val="20"/>
              </w:rPr>
              <w:t>Leeds</w:t>
            </w:r>
          </w:p>
        </w:tc>
        <w:tc>
          <w:tcPr>
            <w:tcW w:w="2732" w:type="dxa"/>
            <w:noWrap/>
            <w:hideMark/>
          </w:tcPr>
          <w:p w14:paraId="52D676C8" w14:textId="77777777" w:rsidR="00FA2772" w:rsidRPr="00733D78" w:rsidRDefault="00FA2772" w:rsidP="00733D78">
            <w:pPr>
              <w:spacing w:before="0"/>
              <w:ind w:left="0"/>
              <w:rPr>
                <w:sz w:val="18"/>
                <w:szCs w:val="20"/>
              </w:rPr>
            </w:pPr>
            <w:r w:rsidRPr="00733D78">
              <w:rPr>
                <w:sz w:val="18"/>
                <w:szCs w:val="20"/>
              </w:rPr>
              <w:t>RADIO AIRE</w:t>
            </w:r>
          </w:p>
        </w:tc>
      </w:tr>
      <w:tr w:rsidR="00FA2772" w:rsidRPr="00733D78" w14:paraId="52D676CC" w14:textId="77777777" w:rsidTr="009D0CE3">
        <w:trPr>
          <w:trHeight w:val="276"/>
        </w:trPr>
        <w:tc>
          <w:tcPr>
            <w:tcW w:w="1951" w:type="dxa"/>
            <w:noWrap/>
            <w:hideMark/>
          </w:tcPr>
          <w:p w14:paraId="52D676CA" w14:textId="77777777" w:rsidR="00FA2772" w:rsidRPr="00733D78" w:rsidRDefault="00FA2772" w:rsidP="00733D78">
            <w:pPr>
              <w:spacing w:before="0"/>
              <w:ind w:left="0"/>
              <w:rPr>
                <w:sz w:val="18"/>
                <w:szCs w:val="20"/>
              </w:rPr>
            </w:pPr>
            <w:r w:rsidRPr="00733D78">
              <w:rPr>
                <w:sz w:val="18"/>
                <w:szCs w:val="20"/>
              </w:rPr>
              <w:t>Leeds</w:t>
            </w:r>
          </w:p>
        </w:tc>
        <w:tc>
          <w:tcPr>
            <w:tcW w:w="2732" w:type="dxa"/>
            <w:noWrap/>
            <w:hideMark/>
          </w:tcPr>
          <w:p w14:paraId="52D676CB" w14:textId="77777777" w:rsidR="00FA2772" w:rsidRPr="00733D78" w:rsidRDefault="00FA2772" w:rsidP="00733D78">
            <w:pPr>
              <w:spacing w:before="0"/>
              <w:ind w:left="0"/>
              <w:rPr>
                <w:sz w:val="18"/>
                <w:szCs w:val="20"/>
              </w:rPr>
            </w:pPr>
            <w:r w:rsidRPr="00733D78">
              <w:rPr>
                <w:sz w:val="18"/>
                <w:szCs w:val="20"/>
              </w:rPr>
              <w:t>MAGIC 828</w:t>
            </w:r>
          </w:p>
        </w:tc>
      </w:tr>
      <w:tr w:rsidR="00FA2772" w:rsidRPr="00733D78" w14:paraId="52D676CF" w14:textId="77777777" w:rsidTr="009D0CE3">
        <w:trPr>
          <w:trHeight w:val="276"/>
        </w:trPr>
        <w:tc>
          <w:tcPr>
            <w:tcW w:w="1951" w:type="dxa"/>
            <w:noWrap/>
            <w:hideMark/>
          </w:tcPr>
          <w:p w14:paraId="52D676CD" w14:textId="77777777" w:rsidR="00FA2772" w:rsidRPr="00733D78" w:rsidRDefault="00FA2772" w:rsidP="00733D78">
            <w:pPr>
              <w:spacing w:before="0"/>
              <w:ind w:left="0"/>
              <w:rPr>
                <w:sz w:val="18"/>
                <w:szCs w:val="20"/>
              </w:rPr>
            </w:pPr>
            <w:r w:rsidRPr="00733D78">
              <w:rPr>
                <w:sz w:val="18"/>
                <w:szCs w:val="20"/>
              </w:rPr>
              <w:t>North-East England</w:t>
            </w:r>
          </w:p>
        </w:tc>
        <w:tc>
          <w:tcPr>
            <w:tcW w:w="2732" w:type="dxa"/>
            <w:noWrap/>
            <w:hideMark/>
          </w:tcPr>
          <w:p w14:paraId="52D676CE" w14:textId="77777777" w:rsidR="00FA2772" w:rsidRPr="00733D78" w:rsidRDefault="00FA2772" w:rsidP="00733D78">
            <w:pPr>
              <w:spacing w:before="0"/>
              <w:ind w:left="0"/>
              <w:rPr>
                <w:sz w:val="18"/>
                <w:szCs w:val="20"/>
              </w:rPr>
            </w:pPr>
            <w:r w:rsidRPr="00733D78">
              <w:rPr>
                <w:sz w:val="18"/>
                <w:szCs w:val="20"/>
              </w:rPr>
              <w:t>REAL RADIO</w:t>
            </w:r>
          </w:p>
        </w:tc>
      </w:tr>
      <w:tr w:rsidR="00FA2772" w:rsidRPr="00733D78" w14:paraId="52D676D2" w14:textId="77777777" w:rsidTr="009D0CE3">
        <w:trPr>
          <w:trHeight w:val="276"/>
        </w:trPr>
        <w:tc>
          <w:tcPr>
            <w:tcW w:w="1951" w:type="dxa"/>
            <w:noWrap/>
            <w:hideMark/>
          </w:tcPr>
          <w:p w14:paraId="52D676D0" w14:textId="77777777" w:rsidR="00FA2772" w:rsidRPr="00733D78" w:rsidRDefault="00FA2772" w:rsidP="00733D78">
            <w:pPr>
              <w:spacing w:before="0"/>
              <w:ind w:left="0"/>
              <w:rPr>
                <w:sz w:val="18"/>
                <w:szCs w:val="20"/>
              </w:rPr>
            </w:pPr>
            <w:r w:rsidRPr="00733D78">
              <w:rPr>
                <w:sz w:val="18"/>
                <w:szCs w:val="20"/>
              </w:rPr>
              <w:t>North-West England</w:t>
            </w:r>
          </w:p>
        </w:tc>
        <w:tc>
          <w:tcPr>
            <w:tcW w:w="2732" w:type="dxa"/>
            <w:noWrap/>
            <w:hideMark/>
          </w:tcPr>
          <w:p w14:paraId="52D676D1" w14:textId="77777777" w:rsidR="00FA2772" w:rsidRPr="00733D78" w:rsidRDefault="00FA2772" w:rsidP="00733D78">
            <w:pPr>
              <w:spacing w:before="0"/>
              <w:ind w:left="0"/>
              <w:rPr>
                <w:sz w:val="18"/>
                <w:szCs w:val="20"/>
              </w:rPr>
            </w:pPr>
            <w:r w:rsidRPr="00733D78">
              <w:rPr>
                <w:sz w:val="18"/>
                <w:szCs w:val="20"/>
              </w:rPr>
              <w:t>SMOOTH RADIO</w:t>
            </w:r>
          </w:p>
        </w:tc>
      </w:tr>
      <w:tr w:rsidR="00FA2772" w:rsidRPr="00733D78" w14:paraId="52D676D5" w14:textId="77777777" w:rsidTr="009D0CE3">
        <w:trPr>
          <w:trHeight w:val="276"/>
        </w:trPr>
        <w:tc>
          <w:tcPr>
            <w:tcW w:w="1951" w:type="dxa"/>
            <w:noWrap/>
            <w:hideMark/>
          </w:tcPr>
          <w:p w14:paraId="52D676D3" w14:textId="77777777" w:rsidR="00FA2772" w:rsidRPr="00733D78" w:rsidRDefault="00FA2772" w:rsidP="00733D78">
            <w:pPr>
              <w:spacing w:before="0"/>
              <w:ind w:left="0"/>
              <w:rPr>
                <w:sz w:val="18"/>
                <w:szCs w:val="20"/>
              </w:rPr>
            </w:pPr>
            <w:r w:rsidRPr="00733D78">
              <w:rPr>
                <w:sz w:val="18"/>
                <w:szCs w:val="20"/>
              </w:rPr>
              <w:t>Greater London</w:t>
            </w:r>
          </w:p>
        </w:tc>
        <w:tc>
          <w:tcPr>
            <w:tcW w:w="2732" w:type="dxa"/>
            <w:noWrap/>
            <w:hideMark/>
          </w:tcPr>
          <w:p w14:paraId="52D676D4" w14:textId="77777777" w:rsidR="00FA2772" w:rsidRPr="00733D78" w:rsidRDefault="00FA2772" w:rsidP="00733D78">
            <w:pPr>
              <w:spacing w:before="0"/>
              <w:ind w:left="0"/>
              <w:rPr>
                <w:sz w:val="18"/>
                <w:szCs w:val="20"/>
              </w:rPr>
            </w:pPr>
            <w:r w:rsidRPr="00733D78">
              <w:rPr>
                <w:sz w:val="18"/>
                <w:szCs w:val="20"/>
              </w:rPr>
              <w:t>Radio 1035</w:t>
            </w:r>
          </w:p>
        </w:tc>
      </w:tr>
      <w:tr w:rsidR="00FA2772" w:rsidRPr="00733D78" w14:paraId="52D676D8" w14:textId="77777777" w:rsidTr="009D0CE3">
        <w:trPr>
          <w:trHeight w:val="276"/>
        </w:trPr>
        <w:tc>
          <w:tcPr>
            <w:tcW w:w="1951" w:type="dxa"/>
            <w:noWrap/>
            <w:hideMark/>
          </w:tcPr>
          <w:p w14:paraId="52D676D6" w14:textId="77777777" w:rsidR="00FA2772" w:rsidRPr="00733D78" w:rsidRDefault="00FA2772" w:rsidP="00733D78">
            <w:pPr>
              <w:spacing w:before="0"/>
              <w:ind w:left="0"/>
              <w:rPr>
                <w:sz w:val="18"/>
                <w:szCs w:val="20"/>
              </w:rPr>
            </w:pPr>
            <w:r w:rsidRPr="00733D78">
              <w:rPr>
                <w:sz w:val="18"/>
                <w:szCs w:val="20"/>
              </w:rPr>
              <w:t>Severn Estuary</w:t>
            </w:r>
          </w:p>
        </w:tc>
        <w:tc>
          <w:tcPr>
            <w:tcW w:w="2732" w:type="dxa"/>
            <w:noWrap/>
            <w:hideMark/>
          </w:tcPr>
          <w:p w14:paraId="52D676D7" w14:textId="77777777" w:rsidR="00FA2772" w:rsidRPr="00733D78" w:rsidRDefault="00FA2772" w:rsidP="00733D78">
            <w:pPr>
              <w:spacing w:before="0"/>
              <w:ind w:left="0"/>
              <w:rPr>
                <w:sz w:val="18"/>
                <w:szCs w:val="20"/>
              </w:rPr>
            </w:pPr>
            <w:r w:rsidRPr="00733D78">
              <w:rPr>
                <w:sz w:val="18"/>
                <w:szCs w:val="20"/>
              </w:rPr>
              <w:t>KISS</w:t>
            </w:r>
          </w:p>
        </w:tc>
      </w:tr>
      <w:tr w:rsidR="00FA2772" w:rsidRPr="00733D78" w14:paraId="52D676DB" w14:textId="77777777" w:rsidTr="009D0CE3">
        <w:trPr>
          <w:trHeight w:val="276"/>
        </w:trPr>
        <w:tc>
          <w:tcPr>
            <w:tcW w:w="1951" w:type="dxa"/>
            <w:noWrap/>
            <w:hideMark/>
          </w:tcPr>
          <w:p w14:paraId="52D676D9" w14:textId="77777777" w:rsidR="00FA2772" w:rsidRPr="00733D78" w:rsidRDefault="00FA2772" w:rsidP="00733D78">
            <w:pPr>
              <w:spacing w:before="0"/>
              <w:ind w:left="0"/>
              <w:rPr>
                <w:sz w:val="18"/>
                <w:szCs w:val="20"/>
              </w:rPr>
            </w:pPr>
            <w:r w:rsidRPr="00733D78">
              <w:rPr>
                <w:sz w:val="18"/>
                <w:szCs w:val="20"/>
              </w:rPr>
              <w:t>West Midlands</w:t>
            </w:r>
          </w:p>
        </w:tc>
        <w:tc>
          <w:tcPr>
            <w:tcW w:w="2732" w:type="dxa"/>
            <w:noWrap/>
            <w:hideMark/>
          </w:tcPr>
          <w:p w14:paraId="52D676DA" w14:textId="77777777" w:rsidR="00FA2772" w:rsidRPr="00733D78" w:rsidRDefault="00FA2772" w:rsidP="00733D78">
            <w:pPr>
              <w:spacing w:before="0"/>
              <w:ind w:left="0"/>
              <w:rPr>
                <w:sz w:val="18"/>
                <w:szCs w:val="20"/>
              </w:rPr>
            </w:pPr>
            <w:r w:rsidRPr="00733D78">
              <w:rPr>
                <w:sz w:val="18"/>
                <w:szCs w:val="20"/>
              </w:rPr>
              <w:t>HEART</w:t>
            </w:r>
          </w:p>
        </w:tc>
      </w:tr>
      <w:tr w:rsidR="00FA2772" w:rsidRPr="00733D78" w14:paraId="52D676DE" w14:textId="77777777" w:rsidTr="009D0CE3">
        <w:trPr>
          <w:trHeight w:val="276"/>
        </w:trPr>
        <w:tc>
          <w:tcPr>
            <w:tcW w:w="1951" w:type="dxa"/>
            <w:noWrap/>
            <w:hideMark/>
          </w:tcPr>
          <w:p w14:paraId="52D676DC" w14:textId="77777777" w:rsidR="00FA2772" w:rsidRPr="00733D78" w:rsidRDefault="00FA2772" w:rsidP="00733D78">
            <w:pPr>
              <w:spacing w:before="0"/>
              <w:ind w:left="0"/>
              <w:rPr>
                <w:sz w:val="18"/>
                <w:szCs w:val="20"/>
              </w:rPr>
            </w:pPr>
            <w:r w:rsidRPr="00733D78">
              <w:rPr>
                <w:sz w:val="18"/>
                <w:szCs w:val="20"/>
              </w:rPr>
              <w:t>Southend/Chelmsford</w:t>
            </w:r>
          </w:p>
        </w:tc>
        <w:tc>
          <w:tcPr>
            <w:tcW w:w="2732" w:type="dxa"/>
            <w:noWrap/>
            <w:hideMark/>
          </w:tcPr>
          <w:p w14:paraId="52D676DD" w14:textId="77777777" w:rsidR="00FA2772" w:rsidRPr="00733D78" w:rsidRDefault="00FA2772" w:rsidP="00733D78">
            <w:pPr>
              <w:spacing w:before="0"/>
              <w:ind w:left="0"/>
              <w:rPr>
                <w:sz w:val="18"/>
                <w:szCs w:val="20"/>
              </w:rPr>
            </w:pPr>
            <w:r w:rsidRPr="00733D78">
              <w:rPr>
                <w:sz w:val="18"/>
                <w:szCs w:val="20"/>
              </w:rPr>
              <w:t>HEART</w:t>
            </w:r>
          </w:p>
        </w:tc>
      </w:tr>
      <w:tr w:rsidR="00FA2772" w:rsidRPr="00733D78" w14:paraId="52D676E1" w14:textId="77777777" w:rsidTr="009D0CE3">
        <w:trPr>
          <w:trHeight w:val="276"/>
        </w:trPr>
        <w:tc>
          <w:tcPr>
            <w:tcW w:w="1951" w:type="dxa"/>
            <w:noWrap/>
            <w:hideMark/>
          </w:tcPr>
          <w:p w14:paraId="52D676DF" w14:textId="77777777" w:rsidR="00FA2772" w:rsidRPr="00733D78" w:rsidRDefault="00FA2772" w:rsidP="00733D78">
            <w:pPr>
              <w:spacing w:before="0"/>
              <w:ind w:left="0"/>
              <w:rPr>
                <w:sz w:val="18"/>
                <w:szCs w:val="20"/>
              </w:rPr>
            </w:pPr>
            <w:r w:rsidRPr="00733D78">
              <w:rPr>
                <w:sz w:val="18"/>
                <w:szCs w:val="20"/>
              </w:rPr>
              <w:t>Central Scotland</w:t>
            </w:r>
          </w:p>
        </w:tc>
        <w:tc>
          <w:tcPr>
            <w:tcW w:w="2732" w:type="dxa"/>
            <w:noWrap/>
            <w:hideMark/>
          </w:tcPr>
          <w:p w14:paraId="52D676E0" w14:textId="77777777" w:rsidR="00FA2772" w:rsidRPr="00733D78" w:rsidRDefault="00FA2772" w:rsidP="00733D78">
            <w:pPr>
              <w:spacing w:before="0"/>
              <w:ind w:left="0"/>
              <w:rPr>
                <w:sz w:val="18"/>
                <w:szCs w:val="20"/>
              </w:rPr>
            </w:pPr>
            <w:r w:rsidRPr="00733D78">
              <w:rPr>
                <w:sz w:val="18"/>
                <w:szCs w:val="20"/>
              </w:rPr>
              <w:t>Heart</w:t>
            </w:r>
          </w:p>
        </w:tc>
      </w:tr>
      <w:tr w:rsidR="00FA2772" w:rsidRPr="00733D78" w14:paraId="52D676E4" w14:textId="77777777" w:rsidTr="009D0CE3">
        <w:trPr>
          <w:trHeight w:val="276"/>
        </w:trPr>
        <w:tc>
          <w:tcPr>
            <w:tcW w:w="1951" w:type="dxa"/>
            <w:noWrap/>
            <w:hideMark/>
          </w:tcPr>
          <w:p w14:paraId="52D676E2" w14:textId="77777777" w:rsidR="00FA2772" w:rsidRPr="00733D78" w:rsidRDefault="00FA2772" w:rsidP="00733D78">
            <w:pPr>
              <w:spacing w:before="0"/>
              <w:ind w:left="0"/>
              <w:rPr>
                <w:sz w:val="18"/>
                <w:szCs w:val="20"/>
              </w:rPr>
            </w:pPr>
            <w:r w:rsidRPr="00733D78">
              <w:rPr>
                <w:sz w:val="18"/>
                <w:szCs w:val="20"/>
              </w:rPr>
              <w:t>Greater London</w:t>
            </w:r>
          </w:p>
        </w:tc>
        <w:tc>
          <w:tcPr>
            <w:tcW w:w="2732" w:type="dxa"/>
            <w:noWrap/>
            <w:hideMark/>
          </w:tcPr>
          <w:p w14:paraId="52D676E3" w14:textId="77777777" w:rsidR="00FA2772" w:rsidRPr="00733D78" w:rsidRDefault="00FA2772" w:rsidP="00733D78">
            <w:pPr>
              <w:spacing w:before="0"/>
              <w:ind w:left="0"/>
              <w:rPr>
                <w:sz w:val="18"/>
                <w:szCs w:val="20"/>
              </w:rPr>
            </w:pPr>
            <w:r w:rsidRPr="00733D78">
              <w:rPr>
                <w:sz w:val="18"/>
                <w:szCs w:val="20"/>
              </w:rPr>
              <w:t>LBC 97.3</w:t>
            </w:r>
          </w:p>
        </w:tc>
      </w:tr>
      <w:tr w:rsidR="00FA2772" w:rsidRPr="00733D78" w14:paraId="52D676E7" w14:textId="77777777" w:rsidTr="009D0CE3">
        <w:trPr>
          <w:trHeight w:val="276"/>
        </w:trPr>
        <w:tc>
          <w:tcPr>
            <w:tcW w:w="1951" w:type="dxa"/>
            <w:noWrap/>
            <w:hideMark/>
          </w:tcPr>
          <w:p w14:paraId="52D676E5" w14:textId="77777777" w:rsidR="00FA2772" w:rsidRPr="00733D78" w:rsidRDefault="00FA2772" w:rsidP="00733D78">
            <w:pPr>
              <w:spacing w:before="0"/>
              <w:ind w:left="0"/>
              <w:rPr>
                <w:sz w:val="18"/>
                <w:szCs w:val="20"/>
              </w:rPr>
            </w:pPr>
            <w:r w:rsidRPr="00733D78">
              <w:rPr>
                <w:sz w:val="18"/>
                <w:szCs w:val="20"/>
              </w:rPr>
              <w:t>Greater London</w:t>
            </w:r>
          </w:p>
        </w:tc>
        <w:tc>
          <w:tcPr>
            <w:tcW w:w="2732" w:type="dxa"/>
            <w:noWrap/>
            <w:hideMark/>
          </w:tcPr>
          <w:p w14:paraId="52D676E6" w14:textId="77777777" w:rsidR="00FA2772" w:rsidRPr="00733D78" w:rsidRDefault="00FA2772" w:rsidP="00733D78">
            <w:pPr>
              <w:spacing w:before="0"/>
              <w:ind w:left="0"/>
              <w:rPr>
                <w:sz w:val="18"/>
                <w:szCs w:val="20"/>
              </w:rPr>
            </w:pPr>
            <w:r w:rsidRPr="00733D78">
              <w:rPr>
                <w:sz w:val="18"/>
                <w:szCs w:val="20"/>
              </w:rPr>
              <w:t>LBC NEWS 1152</w:t>
            </w:r>
          </w:p>
        </w:tc>
      </w:tr>
      <w:tr w:rsidR="00FA2772" w:rsidRPr="00733D78" w14:paraId="52D676EA" w14:textId="77777777" w:rsidTr="009D0CE3">
        <w:trPr>
          <w:trHeight w:val="276"/>
        </w:trPr>
        <w:tc>
          <w:tcPr>
            <w:tcW w:w="1951" w:type="dxa"/>
            <w:noWrap/>
            <w:hideMark/>
          </w:tcPr>
          <w:p w14:paraId="52D676E8" w14:textId="77777777" w:rsidR="00FA2772" w:rsidRPr="00733D78" w:rsidRDefault="00FA2772" w:rsidP="00733D78">
            <w:pPr>
              <w:spacing w:before="0"/>
              <w:ind w:left="0"/>
              <w:rPr>
                <w:sz w:val="18"/>
                <w:szCs w:val="20"/>
              </w:rPr>
            </w:pPr>
            <w:r w:rsidRPr="00733D78">
              <w:rPr>
                <w:sz w:val="18"/>
                <w:szCs w:val="20"/>
              </w:rPr>
              <w:t>Bedford/Luton</w:t>
            </w:r>
          </w:p>
        </w:tc>
        <w:tc>
          <w:tcPr>
            <w:tcW w:w="2732" w:type="dxa"/>
            <w:noWrap/>
            <w:hideMark/>
          </w:tcPr>
          <w:p w14:paraId="52D676E9" w14:textId="77777777" w:rsidR="00FA2772" w:rsidRPr="00733D78" w:rsidRDefault="00FA2772" w:rsidP="00733D78">
            <w:pPr>
              <w:spacing w:before="0"/>
              <w:ind w:left="0"/>
              <w:rPr>
                <w:sz w:val="18"/>
                <w:szCs w:val="20"/>
              </w:rPr>
            </w:pPr>
            <w:r w:rsidRPr="00733D78">
              <w:rPr>
                <w:sz w:val="18"/>
                <w:szCs w:val="20"/>
              </w:rPr>
              <w:t>HEART</w:t>
            </w:r>
          </w:p>
        </w:tc>
      </w:tr>
      <w:tr w:rsidR="00FA2772" w:rsidRPr="00733D78" w14:paraId="52D676ED" w14:textId="77777777" w:rsidTr="009D0CE3">
        <w:trPr>
          <w:trHeight w:val="276"/>
        </w:trPr>
        <w:tc>
          <w:tcPr>
            <w:tcW w:w="1951" w:type="dxa"/>
            <w:noWrap/>
            <w:hideMark/>
          </w:tcPr>
          <w:p w14:paraId="52D676EB" w14:textId="77777777" w:rsidR="00FA2772" w:rsidRPr="00733D78" w:rsidRDefault="00FA2772" w:rsidP="00733D78">
            <w:pPr>
              <w:spacing w:before="0"/>
              <w:ind w:left="0"/>
              <w:rPr>
                <w:sz w:val="18"/>
                <w:szCs w:val="20"/>
              </w:rPr>
            </w:pPr>
            <w:r w:rsidRPr="00733D78">
              <w:rPr>
                <w:sz w:val="18"/>
                <w:szCs w:val="20"/>
              </w:rPr>
              <w:t>Greater Manchester</w:t>
            </w:r>
          </w:p>
        </w:tc>
        <w:tc>
          <w:tcPr>
            <w:tcW w:w="2732" w:type="dxa"/>
            <w:noWrap/>
            <w:hideMark/>
          </w:tcPr>
          <w:p w14:paraId="52D676EC" w14:textId="77777777" w:rsidR="00FA2772" w:rsidRPr="00733D78" w:rsidRDefault="00FA2772" w:rsidP="00733D78">
            <w:pPr>
              <w:spacing w:before="0"/>
              <w:ind w:left="0"/>
              <w:rPr>
                <w:sz w:val="18"/>
                <w:szCs w:val="20"/>
              </w:rPr>
            </w:pPr>
            <w:r w:rsidRPr="00733D78">
              <w:rPr>
                <w:sz w:val="18"/>
                <w:szCs w:val="20"/>
              </w:rPr>
              <w:t>CAPITAL FM</w:t>
            </w:r>
          </w:p>
        </w:tc>
      </w:tr>
      <w:tr w:rsidR="00FA2772" w:rsidRPr="00733D78" w14:paraId="52D676F0" w14:textId="77777777" w:rsidTr="009D0CE3">
        <w:trPr>
          <w:trHeight w:val="276"/>
        </w:trPr>
        <w:tc>
          <w:tcPr>
            <w:tcW w:w="1951" w:type="dxa"/>
            <w:noWrap/>
            <w:hideMark/>
          </w:tcPr>
          <w:p w14:paraId="52D676EE" w14:textId="77777777" w:rsidR="00FA2772" w:rsidRPr="00733D78" w:rsidRDefault="00FA2772" w:rsidP="00733D78">
            <w:pPr>
              <w:spacing w:before="0"/>
              <w:ind w:left="0"/>
              <w:rPr>
                <w:sz w:val="18"/>
                <w:szCs w:val="20"/>
              </w:rPr>
            </w:pPr>
            <w:r w:rsidRPr="00733D78">
              <w:rPr>
                <w:sz w:val="18"/>
                <w:szCs w:val="20"/>
              </w:rPr>
              <w:t>Ayr</w:t>
            </w:r>
          </w:p>
        </w:tc>
        <w:tc>
          <w:tcPr>
            <w:tcW w:w="2732" w:type="dxa"/>
            <w:noWrap/>
            <w:hideMark/>
          </w:tcPr>
          <w:p w14:paraId="52D676EF" w14:textId="77777777" w:rsidR="00FA2772" w:rsidRPr="00733D78" w:rsidRDefault="00FA2772" w:rsidP="00733D78">
            <w:pPr>
              <w:spacing w:before="0"/>
              <w:ind w:left="0"/>
              <w:rPr>
                <w:sz w:val="18"/>
                <w:szCs w:val="20"/>
              </w:rPr>
            </w:pPr>
            <w:r w:rsidRPr="00733D78">
              <w:rPr>
                <w:sz w:val="18"/>
                <w:szCs w:val="20"/>
              </w:rPr>
              <w:t>WEST FM</w:t>
            </w:r>
          </w:p>
        </w:tc>
      </w:tr>
      <w:tr w:rsidR="00FA2772" w:rsidRPr="00733D78" w14:paraId="52D676F3" w14:textId="77777777" w:rsidTr="009D0CE3">
        <w:trPr>
          <w:trHeight w:val="276"/>
        </w:trPr>
        <w:tc>
          <w:tcPr>
            <w:tcW w:w="1951" w:type="dxa"/>
            <w:noWrap/>
            <w:hideMark/>
          </w:tcPr>
          <w:p w14:paraId="52D676F1" w14:textId="77777777" w:rsidR="00FA2772" w:rsidRPr="00733D78" w:rsidRDefault="00FA2772" w:rsidP="00733D78">
            <w:pPr>
              <w:spacing w:before="0"/>
              <w:ind w:left="0"/>
              <w:rPr>
                <w:sz w:val="18"/>
                <w:szCs w:val="20"/>
              </w:rPr>
            </w:pPr>
            <w:r w:rsidRPr="00733D78">
              <w:rPr>
                <w:sz w:val="18"/>
                <w:szCs w:val="20"/>
              </w:rPr>
              <w:t>Ayr</w:t>
            </w:r>
          </w:p>
        </w:tc>
        <w:tc>
          <w:tcPr>
            <w:tcW w:w="2732" w:type="dxa"/>
            <w:noWrap/>
            <w:hideMark/>
          </w:tcPr>
          <w:p w14:paraId="52D676F2" w14:textId="77777777" w:rsidR="00FA2772" w:rsidRPr="00733D78" w:rsidRDefault="00FA2772" w:rsidP="00733D78">
            <w:pPr>
              <w:spacing w:before="0"/>
              <w:ind w:left="0"/>
              <w:rPr>
                <w:sz w:val="18"/>
                <w:szCs w:val="20"/>
              </w:rPr>
            </w:pPr>
            <w:r w:rsidRPr="00733D78">
              <w:rPr>
                <w:sz w:val="18"/>
                <w:szCs w:val="20"/>
              </w:rPr>
              <w:t>WEST SOUND</w:t>
            </w:r>
          </w:p>
        </w:tc>
      </w:tr>
      <w:tr w:rsidR="00FA2772" w:rsidRPr="00733D78" w14:paraId="52D676F6" w14:textId="77777777" w:rsidTr="009D0CE3">
        <w:trPr>
          <w:trHeight w:val="276"/>
        </w:trPr>
        <w:tc>
          <w:tcPr>
            <w:tcW w:w="1951" w:type="dxa"/>
            <w:noWrap/>
            <w:hideMark/>
          </w:tcPr>
          <w:p w14:paraId="52D676F4" w14:textId="77777777" w:rsidR="00FA2772" w:rsidRPr="00733D78" w:rsidRDefault="00FA2772" w:rsidP="00733D78">
            <w:pPr>
              <w:spacing w:before="0"/>
              <w:ind w:left="0"/>
              <w:rPr>
                <w:sz w:val="18"/>
                <w:szCs w:val="20"/>
              </w:rPr>
            </w:pPr>
            <w:r w:rsidRPr="00733D78">
              <w:rPr>
                <w:sz w:val="18"/>
                <w:szCs w:val="20"/>
              </w:rPr>
              <w:t>Bristol and Bath</w:t>
            </w:r>
          </w:p>
        </w:tc>
        <w:tc>
          <w:tcPr>
            <w:tcW w:w="2732" w:type="dxa"/>
            <w:noWrap/>
            <w:hideMark/>
          </w:tcPr>
          <w:p w14:paraId="52D676F5" w14:textId="77777777" w:rsidR="00FA2772" w:rsidRPr="00733D78" w:rsidRDefault="00FA2772" w:rsidP="00733D78">
            <w:pPr>
              <w:spacing w:before="0"/>
              <w:ind w:left="0"/>
              <w:rPr>
                <w:sz w:val="18"/>
                <w:szCs w:val="20"/>
              </w:rPr>
            </w:pPr>
            <w:r w:rsidRPr="00733D78">
              <w:rPr>
                <w:sz w:val="18"/>
                <w:szCs w:val="20"/>
              </w:rPr>
              <w:t>HEART</w:t>
            </w:r>
          </w:p>
        </w:tc>
      </w:tr>
      <w:tr w:rsidR="00FA2772" w:rsidRPr="00733D78" w14:paraId="52D676F9" w14:textId="77777777" w:rsidTr="009D0CE3">
        <w:trPr>
          <w:trHeight w:val="276"/>
        </w:trPr>
        <w:tc>
          <w:tcPr>
            <w:tcW w:w="1951" w:type="dxa"/>
            <w:noWrap/>
            <w:hideMark/>
          </w:tcPr>
          <w:p w14:paraId="52D676F7" w14:textId="77777777" w:rsidR="00FA2772" w:rsidRPr="00733D78" w:rsidRDefault="00FA2772" w:rsidP="00733D78">
            <w:pPr>
              <w:spacing w:before="0"/>
              <w:ind w:left="0"/>
              <w:rPr>
                <w:sz w:val="18"/>
                <w:szCs w:val="20"/>
              </w:rPr>
            </w:pPr>
            <w:r w:rsidRPr="00733D78">
              <w:rPr>
                <w:sz w:val="18"/>
                <w:szCs w:val="20"/>
              </w:rPr>
              <w:t>Bournemouth</w:t>
            </w:r>
          </w:p>
        </w:tc>
        <w:tc>
          <w:tcPr>
            <w:tcW w:w="2732" w:type="dxa"/>
            <w:noWrap/>
            <w:hideMark/>
          </w:tcPr>
          <w:p w14:paraId="52D676F8" w14:textId="77777777" w:rsidR="00FA2772" w:rsidRPr="00733D78" w:rsidRDefault="00FA2772" w:rsidP="00733D78">
            <w:pPr>
              <w:spacing w:before="0"/>
              <w:ind w:left="0"/>
              <w:rPr>
                <w:sz w:val="18"/>
                <w:szCs w:val="20"/>
              </w:rPr>
            </w:pPr>
            <w:r w:rsidRPr="00733D78">
              <w:rPr>
                <w:sz w:val="18"/>
                <w:szCs w:val="20"/>
              </w:rPr>
              <w:t>Smooth</w:t>
            </w:r>
          </w:p>
        </w:tc>
      </w:tr>
      <w:tr w:rsidR="00FA2772" w:rsidRPr="00733D78" w14:paraId="52D676FC" w14:textId="77777777" w:rsidTr="009D0CE3">
        <w:trPr>
          <w:trHeight w:val="276"/>
        </w:trPr>
        <w:tc>
          <w:tcPr>
            <w:tcW w:w="1951" w:type="dxa"/>
            <w:noWrap/>
            <w:hideMark/>
          </w:tcPr>
          <w:p w14:paraId="52D676FA" w14:textId="77777777" w:rsidR="00FA2772" w:rsidRPr="00733D78" w:rsidRDefault="00FA2772" w:rsidP="00733D78">
            <w:pPr>
              <w:spacing w:before="0"/>
              <w:ind w:left="0"/>
              <w:rPr>
                <w:sz w:val="18"/>
                <w:szCs w:val="20"/>
              </w:rPr>
            </w:pPr>
            <w:r w:rsidRPr="00733D78">
              <w:rPr>
                <w:sz w:val="18"/>
                <w:szCs w:val="20"/>
              </w:rPr>
              <w:t>Peterborough</w:t>
            </w:r>
          </w:p>
        </w:tc>
        <w:tc>
          <w:tcPr>
            <w:tcW w:w="2732" w:type="dxa"/>
            <w:noWrap/>
            <w:hideMark/>
          </w:tcPr>
          <w:p w14:paraId="52D676FB" w14:textId="77777777" w:rsidR="00FA2772" w:rsidRPr="00733D78" w:rsidRDefault="00FA2772" w:rsidP="00733D78">
            <w:pPr>
              <w:spacing w:before="0"/>
              <w:ind w:left="0"/>
              <w:rPr>
                <w:sz w:val="18"/>
                <w:szCs w:val="20"/>
              </w:rPr>
            </w:pPr>
            <w:r w:rsidRPr="00733D78">
              <w:rPr>
                <w:sz w:val="18"/>
                <w:szCs w:val="20"/>
              </w:rPr>
              <w:t>Smooth</w:t>
            </w:r>
          </w:p>
        </w:tc>
      </w:tr>
      <w:tr w:rsidR="00FA2772" w:rsidRPr="00733D78" w14:paraId="52D676FF" w14:textId="77777777" w:rsidTr="009D0CE3">
        <w:trPr>
          <w:trHeight w:val="276"/>
        </w:trPr>
        <w:tc>
          <w:tcPr>
            <w:tcW w:w="1951" w:type="dxa"/>
            <w:noWrap/>
            <w:hideMark/>
          </w:tcPr>
          <w:p w14:paraId="52D676FD" w14:textId="77777777" w:rsidR="00FA2772" w:rsidRPr="00733D78" w:rsidRDefault="00FA2772" w:rsidP="00733D78">
            <w:pPr>
              <w:spacing w:before="0"/>
              <w:ind w:left="0"/>
              <w:rPr>
                <w:sz w:val="18"/>
                <w:szCs w:val="20"/>
              </w:rPr>
            </w:pPr>
            <w:r w:rsidRPr="00733D78">
              <w:rPr>
                <w:sz w:val="18"/>
                <w:szCs w:val="20"/>
              </w:rPr>
              <w:t>Bristol and Bath</w:t>
            </w:r>
          </w:p>
        </w:tc>
        <w:tc>
          <w:tcPr>
            <w:tcW w:w="2732" w:type="dxa"/>
            <w:noWrap/>
            <w:hideMark/>
          </w:tcPr>
          <w:p w14:paraId="52D676FE" w14:textId="77777777" w:rsidR="00FA2772" w:rsidRPr="00733D78" w:rsidRDefault="00FA2772" w:rsidP="00733D78">
            <w:pPr>
              <w:spacing w:before="0"/>
              <w:ind w:left="0"/>
              <w:rPr>
                <w:sz w:val="18"/>
                <w:szCs w:val="20"/>
              </w:rPr>
            </w:pPr>
            <w:r w:rsidRPr="00733D78">
              <w:rPr>
                <w:sz w:val="18"/>
                <w:szCs w:val="20"/>
              </w:rPr>
              <w:t>Smooth</w:t>
            </w:r>
          </w:p>
        </w:tc>
      </w:tr>
      <w:tr w:rsidR="00FA2772" w:rsidRPr="00733D78" w14:paraId="52D67702" w14:textId="77777777" w:rsidTr="009D0CE3">
        <w:trPr>
          <w:trHeight w:val="276"/>
        </w:trPr>
        <w:tc>
          <w:tcPr>
            <w:tcW w:w="1951" w:type="dxa"/>
            <w:noWrap/>
            <w:hideMark/>
          </w:tcPr>
          <w:p w14:paraId="52D67700" w14:textId="77777777" w:rsidR="00FA2772" w:rsidRPr="00733D78" w:rsidRDefault="00FA2772" w:rsidP="00733D78">
            <w:pPr>
              <w:spacing w:before="0"/>
              <w:ind w:left="0"/>
              <w:rPr>
                <w:sz w:val="18"/>
                <w:szCs w:val="20"/>
              </w:rPr>
            </w:pPr>
            <w:r w:rsidRPr="00733D78">
              <w:rPr>
                <w:sz w:val="18"/>
                <w:szCs w:val="20"/>
              </w:rPr>
              <w:t>Southend/Chelmsford</w:t>
            </w:r>
          </w:p>
        </w:tc>
        <w:tc>
          <w:tcPr>
            <w:tcW w:w="2732" w:type="dxa"/>
            <w:noWrap/>
            <w:hideMark/>
          </w:tcPr>
          <w:p w14:paraId="52D67701" w14:textId="77777777" w:rsidR="00FA2772" w:rsidRPr="00733D78" w:rsidRDefault="00FA2772" w:rsidP="00733D78">
            <w:pPr>
              <w:spacing w:before="0"/>
              <w:ind w:left="0"/>
              <w:rPr>
                <w:sz w:val="18"/>
                <w:szCs w:val="20"/>
              </w:rPr>
            </w:pPr>
            <w:r w:rsidRPr="00733D78">
              <w:rPr>
                <w:sz w:val="18"/>
                <w:szCs w:val="20"/>
              </w:rPr>
              <w:t>Smooth</w:t>
            </w:r>
          </w:p>
        </w:tc>
      </w:tr>
      <w:tr w:rsidR="00FA2772" w:rsidRPr="00733D78" w14:paraId="52D67705" w14:textId="77777777" w:rsidTr="009D0CE3">
        <w:trPr>
          <w:trHeight w:val="276"/>
        </w:trPr>
        <w:tc>
          <w:tcPr>
            <w:tcW w:w="1951" w:type="dxa"/>
            <w:noWrap/>
            <w:hideMark/>
          </w:tcPr>
          <w:p w14:paraId="52D67703" w14:textId="77777777" w:rsidR="00FA2772" w:rsidRPr="00733D78" w:rsidRDefault="00FA2772" w:rsidP="00733D78">
            <w:pPr>
              <w:spacing w:before="0"/>
              <w:ind w:left="0"/>
              <w:rPr>
                <w:sz w:val="18"/>
                <w:szCs w:val="20"/>
              </w:rPr>
            </w:pPr>
            <w:r w:rsidRPr="00733D78">
              <w:rPr>
                <w:sz w:val="18"/>
                <w:szCs w:val="20"/>
              </w:rPr>
              <w:t>Cardiff/Newport</w:t>
            </w:r>
          </w:p>
        </w:tc>
        <w:tc>
          <w:tcPr>
            <w:tcW w:w="2732" w:type="dxa"/>
            <w:noWrap/>
            <w:hideMark/>
          </w:tcPr>
          <w:p w14:paraId="52D67704" w14:textId="77777777" w:rsidR="00FA2772" w:rsidRPr="00733D78" w:rsidRDefault="00FA2772" w:rsidP="00733D78">
            <w:pPr>
              <w:spacing w:before="0"/>
              <w:ind w:left="0"/>
              <w:rPr>
                <w:sz w:val="18"/>
                <w:szCs w:val="20"/>
              </w:rPr>
            </w:pPr>
            <w:r w:rsidRPr="00733D78">
              <w:rPr>
                <w:sz w:val="18"/>
                <w:szCs w:val="20"/>
              </w:rPr>
              <w:t>Smooth</w:t>
            </w:r>
          </w:p>
        </w:tc>
      </w:tr>
      <w:tr w:rsidR="00FA2772" w:rsidRPr="00733D78" w14:paraId="52D67708" w14:textId="77777777" w:rsidTr="009D0CE3">
        <w:trPr>
          <w:trHeight w:val="276"/>
        </w:trPr>
        <w:tc>
          <w:tcPr>
            <w:tcW w:w="1951" w:type="dxa"/>
            <w:noWrap/>
            <w:hideMark/>
          </w:tcPr>
          <w:p w14:paraId="52D67706" w14:textId="77777777" w:rsidR="00FA2772" w:rsidRPr="00733D78" w:rsidRDefault="00FA2772" w:rsidP="00733D78">
            <w:pPr>
              <w:spacing w:before="0"/>
              <w:ind w:left="0"/>
              <w:rPr>
                <w:sz w:val="18"/>
                <w:szCs w:val="20"/>
              </w:rPr>
            </w:pPr>
            <w:r w:rsidRPr="00733D78">
              <w:rPr>
                <w:sz w:val="18"/>
                <w:szCs w:val="20"/>
              </w:rPr>
              <w:t>Cardiff/Newport</w:t>
            </w:r>
          </w:p>
        </w:tc>
        <w:tc>
          <w:tcPr>
            <w:tcW w:w="2732" w:type="dxa"/>
            <w:noWrap/>
            <w:hideMark/>
          </w:tcPr>
          <w:p w14:paraId="52D67707" w14:textId="77777777" w:rsidR="00FA2772" w:rsidRPr="00733D78" w:rsidRDefault="00FA2772" w:rsidP="00733D78">
            <w:pPr>
              <w:spacing w:before="0"/>
              <w:ind w:left="0"/>
              <w:rPr>
                <w:sz w:val="18"/>
                <w:szCs w:val="20"/>
              </w:rPr>
            </w:pPr>
            <w:r w:rsidRPr="00733D78">
              <w:rPr>
                <w:sz w:val="18"/>
                <w:szCs w:val="20"/>
              </w:rPr>
              <w:t>CAPITAL FM</w:t>
            </w:r>
          </w:p>
        </w:tc>
      </w:tr>
      <w:tr w:rsidR="00FA2772" w:rsidRPr="00733D78" w14:paraId="52D6770B" w14:textId="77777777" w:rsidTr="009D0CE3">
        <w:trPr>
          <w:trHeight w:val="276"/>
        </w:trPr>
        <w:tc>
          <w:tcPr>
            <w:tcW w:w="1951" w:type="dxa"/>
            <w:noWrap/>
            <w:hideMark/>
          </w:tcPr>
          <w:p w14:paraId="52D67709" w14:textId="77777777" w:rsidR="00FA2772" w:rsidRPr="00733D78" w:rsidRDefault="00FA2772" w:rsidP="00733D78">
            <w:pPr>
              <w:spacing w:before="0"/>
              <w:ind w:left="0"/>
              <w:rPr>
                <w:sz w:val="18"/>
                <w:szCs w:val="20"/>
              </w:rPr>
            </w:pPr>
            <w:r w:rsidRPr="00733D78">
              <w:rPr>
                <w:sz w:val="18"/>
                <w:szCs w:val="20"/>
              </w:rPr>
              <w:t xml:space="preserve">Exeter/Torbay </w:t>
            </w:r>
          </w:p>
        </w:tc>
        <w:tc>
          <w:tcPr>
            <w:tcW w:w="2732" w:type="dxa"/>
            <w:noWrap/>
            <w:hideMark/>
          </w:tcPr>
          <w:p w14:paraId="52D6770A" w14:textId="77777777" w:rsidR="00FA2772" w:rsidRPr="00733D78" w:rsidRDefault="00FA2772" w:rsidP="00733D78">
            <w:pPr>
              <w:spacing w:before="0"/>
              <w:ind w:left="0"/>
              <w:rPr>
                <w:sz w:val="18"/>
                <w:szCs w:val="20"/>
              </w:rPr>
            </w:pPr>
            <w:r w:rsidRPr="00733D78">
              <w:rPr>
                <w:sz w:val="18"/>
                <w:szCs w:val="20"/>
              </w:rPr>
              <w:t>HEART</w:t>
            </w:r>
          </w:p>
        </w:tc>
      </w:tr>
      <w:tr w:rsidR="00FA2772" w:rsidRPr="00733D78" w14:paraId="52D6770E" w14:textId="77777777" w:rsidTr="009D0CE3">
        <w:trPr>
          <w:trHeight w:val="276"/>
        </w:trPr>
        <w:tc>
          <w:tcPr>
            <w:tcW w:w="1951" w:type="dxa"/>
            <w:noWrap/>
            <w:hideMark/>
          </w:tcPr>
          <w:p w14:paraId="52D6770C" w14:textId="77777777" w:rsidR="00FA2772" w:rsidRPr="00733D78" w:rsidRDefault="00733D78" w:rsidP="00733D78">
            <w:pPr>
              <w:spacing w:before="0"/>
              <w:ind w:left="0"/>
              <w:rPr>
                <w:sz w:val="18"/>
                <w:szCs w:val="20"/>
              </w:rPr>
            </w:pPr>
            <w:r w:rsidRPr="00733D78">
              <w:rPr>
                <w:sz w:val="18"/>
                <w:szCs w:val="20"/>
              </w:rPr>
              <w:t xml:space="preserve">Peterborough </w:t>
            </w:r>
            <w:r w:rsidR="00FA2772" w:rsidRPr="00733D78">
              <w:rPr>
                <w:sz w:val="18"/>
                <w:szCs w:val="20"/>
              </w:rPr>
              <w:t>and surrounding</w:t>
            </w:r>
          </w:p>
        </w:tc>
        <w:tc>
          <w:tcPr>
            <w:tcW w:w="2732" w:type="dxa"/>
            <w:noWrap/>
            <w:hideMark/>
          </w:tcPr>
          <w:p w14:paraId="52D6770D" w14:textId="77777777" w:rsidR="00FA2772" w:rsidRPr="00733D78" w:rsidRDefault="00FA2772" w:rsidP="00733D78">
            <w:pPr>
              <w:spacing w:before="0"/>
              <w:ind w:left="0"/>
              <w:rPr>
                <w:sz w:val="18"/>
                <w:szCs w:val="20"/>
              </w:rPr>
            </w:pPr>
            <w:r w:rsidRPr="00733D78">
              <w:rPr>
                <w:sz w:val="18"/>
                <w:szCs w:val="20"/>
              </w:rPr>
              <w:t>HEART</w:t>
            </w:r>
          </w:p>
        </w:tc>
      </w:tr>
      <w:tr w:rsidR="00FA2772" w:rsidRPr="00733D78" w14:paraId="52D67711" w14:textId="77777777" w:rsidTr="009D0CE3">
        <w:trPr>
          <w:trHeight w:val="276"/>
        </w:trPr>
        <w:tc>
          <w:tcPr>
            <w:tcW w:w="1951" w:type="dxa"/>
            <w:noWrap/>
            <w:hideMark/>
          </w:tcPr>
          <w:p w14:paraId="52D6770F" w14:textId="77777777" w:rsidR="00FA2772" w:rsidRPr="00733D78" w:rsidRDefault="00FA2772" w:rsidP="00733D78">
            <w:pPr>
              <w:spacing w:before="0"/>
              <w:ind w:left="0"/>
              <w:rPr>
                <w:sz w:val="18"/>
                <w:szCs w:val="20"/>
              </w:rPr>
            </w:pPr>
            <w:r w:rsidRPr="00733D78">
              <w:rPr>
                <w:sz w:val="18"/>
                <w:szCs w:val="20"/>
              </w:rPr>
              <w:t>Brixton</w:t>
            </w:r>
          </w:p>
        </w:tc>
        <w:tc>
          <w:tcPr>
            <w:tcW w:w="2732" w:type="dxa"/>
            <w:noWrap/>
            <w:hideMark/>
          </w:tcPr>
          <w:p w14:paraId="52D67710" w14:textId="77777777" w:rsidR="00FA2772" w:rsidRPr="00733D78" w:rsidRDefault="00FA2772" w:rsidP="00733D78">
            <w:pPr>
              <w:spacing w:before="0"/>
              <w:ind w:left="0"/>
              <w:rPr>
                <w:sz w:val="18"/>
                <w:szCs w:val="20"/>
              </w:rPr>
            </w:pPr>
            <w:r w:rsidRPr="00733D78">
              <w:rPr>
                <w:sz w:val="18"/>
                <w:szCs w:val="20"/>
              </w:rPr>
              <w:t>Capital Xtra</w:t>
            </w:r>
          </w:p>
        </w:tc>
      </w:tr>
      <w:tr w:rsidR="00FA2772" w:rsidRPr="00733D78" w14:paraId="52D67714" w14:textId="77777777" w:rsidTr="009D0CE3">
        <w:trPr>
          <w:trHeight w:val="276"/>
        </w:trPr>
        <w:tc>
          <w:tcPr>
            <w:tcW w:w="1951" w:type="dxa"/>
            <w:noWrap/>
            <w:hideMark/>
          </w:tcPr>
          <w:p w14:paraId="52D67712" w14:textId="77777777" w:rsidR="00FA2772" w:rsidRPr="00733D78" w:rsidRDefault="00FA2772" w:rsidP="00733D78">
            <w:pPr>
              <w:spacing w:before="0"/>
              <w:ind w:left="0"/>
              <w:rPr>
                <w:sz w:val="18"/>
                <w:szCs w:val="20"/>
              </w:rPr>
            </w:pPr>
            <w:r w:rsidRPr="00733D78">
              <w:rPr>
                <w:sz w:val="18"/>
                <w:szCs w:val="20"/>
              </w:rPr>
              <w:t>Birmingham</w:t>
            </w:r>
          </w:p>
        </w:tc>
        <w:tc>
          <w:tcPr>
            <w:tcW w:w="2732" w:type="dxa"/>
            <w:noWrap/>
            <w:hideMark/>
          </w:tcPr>
          <w:p w14:paraId="52D67713" w14:textId="77777777" w:rsidR="00FA2772" w:rsidRPr="00733D78" w:rsidRDefault="00FA2772" w:rsidP="00733D78">
            <w:pPr>
              <w:spacing w:before="0"/>
              <w:ind w:left="0"/>
              <w:rPr>
                <w:sz w:val="18"/>
                <w:szCs w:val="20"/>
              </w:rPr>
            </w:pPr>
            <w:r w:rsidRPr="00733D78">
              <w:rPr>
                <w:sz w:val="18"/>
                <w:szCs w:val="20"/>
              </w:rPr>
              <w:t xml:space="preserve">CAPITAL FM </w:t>
            </w:r>
          </w:p>
        </w:tc>
      </w:tr>
      <w:tr w:rsidR="00FA2772" w:rsidRPr="00733D78" w14:paraId="52D67717" w14:textId="77777777" w:rsidTr="009D0CE3">
        <w:trPr>
          <w:trHeight w:val="276"/>
        </w:trPr>
        <w:tc>
          <w:tcPr>
            <w:tcW w:w="1951" w:type="dxa"/>
            <w:noWrap/>
            <w:hideMark/>
          </w:tcPr>
          <w:p w14:paraId="52D67715" w14:textId="77777777" w:rsidR="00FA2772" w:rsidRPr="00733D78" w:rsidRDefault="00FA2772" w:rsidP="00733D78">
            <w:pPr>
              <w:spacing w:before="0"/>
              <w:ind w:left="0"/>
              <w:rPr>
                <w:sz w:val="18"/>
                <w:szCs w:val="20"/>
              </w:rPr>
            </w:pPr>
            <w:r w:rsidRPr="00733D78">
              <w:rPr>
                <w:sz w:val="18"/>
                <w:szCs w:val="20"/>
              </w:rPr>
              <w:t>Bradford</w:t>
            </w:r>
          </w:p>
        </w:tc>
        <w:tc>
          <w:tcPr>
            <w:tcW w:w="2732" w:type="dxa"/>
            <w:noWrap/>
            <w:hideMark/>
          </w:tcPr>
          <w:p w14:paraId="52D67716" w14:textId="77777777" w:rsidR="00FA2772" w:rsidRPr="00733D78" w:rsidRDefault="00FA2772" w:rsidP="00733D78">
            <w:pPr>
              <w:spacing w:before="0"/>
              <w:ind w:left="0"/>
              <w:rPr>
                <w:sz w:val="18"/>
                <w:szCs w:val="20"/>
              </w:rPr>
            </w:pPr>
            <w:r w:rsidRPr="00733D78">
              <w:rPr>
                <w:sz w:val="18"/>
                <w:szCs w:val="20"/>
              </w:rPr>
              <w:t>SUNRISE FM</w:t>
            </w:r>
          </w:p>
        </w:tc>
      </w:tr>
      <w:tr w:rsidR="00FA2772" w:rsidRPr="00733D78" w14:paraId="52D6771A" w14:textId="77777777" w:rsidTr="009D0CE3">
        <w:trPr>
          <w:trHeight w:val="276"/>
        </w:trPr>
        <w:tc>
          <w:tcPr>
            <w:tcW w:w="1951" w:type="dxa"/>
            <w:noWrap/>
            <w:hideMark/>
          </w:tcPr>
          <w:p w14:paraId="52D67718" w14:textId="77777777" w:rsidR="00FA2772" w:rsidRPr="00733D78" w:rsidRDefault="00FA2772" w:rsidP="00733D78">
            <w:pPr>
              <w:spacing w:before="0"/>
              <w:ind w:left="0"/>
              <w:rPr>
                <w:sz w:val="18"/>
                <w:szCs w:val="20"/>
              </w:rPr>
            </w:pPr>
            <w:r w:rsidRPr="00733D78">
              <w:rPr>
                <w:sz w:val="18"/>
                <w:szCs w:val="20"/>
              </w:rPr>
              <w:t>Bournemouth</w:t>
            </w:r>
          </w:p>
        </w:tc>
        <w:tc>
          <w:tcPr>
            <w:tcW w:w="2732" w:type="dxa"/>
            <w:noWrap/>
            <w:hideMark/>
          </w:tcPr>
          <w:p w14:paraId="52D67719" w14:textId="77777777" w:rsidR="00FA2772" w:rsidRPr="00733D78" w:rsidRDefault="00FA2772" w:rsidP="00733D78">
            <w:pPr>
              <w:spacing w:before="0"/>
              <w:ind w:left="0"/>
              <w:rPr>
                <w:sz w:val="18"/>
                <w:szCs w:val="20"/>
              </w:rPr>
            </w:pPr>
            <w:r w:rsidRPr="00733D78">
              <w:rPr>
                <w:sz w:val="18"/>
                <w:szCs w:val="20"/>
              </w:rPr>
              <w:t>HEART</w:t>
            </w:r>
          </w:p>
        </w:tc>
      </w:tr>
      <w:tr w:rsidR="00FA2772" w:rsidRPr="00733D78" w14:paraId="52D6771D" w14:textId="77777777" w:rsidTr="009D0CE3">
        <w:trPr>
          <w:trHeight w:val="276"/>
        </w:trPr>
        <w:tc>
          <w:tcPr>
            <w:tcW w:w="1951" w:type="dxa"/>
            <w:noWrap/>
            <w:hideMark/>
          </w:tcPr>
          <w:p w14:paraId="52D6771B" w14:textId="77777777" w:rsidR="00FA2772" w:rsidRPr="00733D78" w:rsidRDefault="00FA2772" w:rsidP="00733D78">
            <w:pPr>
              <w:spacing w:before="0"/>
              <w:ind w:left="0"/>
              <w:rPr>
                <w:sz w:val="18"/>
                <w:szCs w:val="20"/>
              </w:rPr>
            </w:pPr>
            <w:r w:rsidRPr="00733D78">
              <w:rPr>
                <w:sz w:val="18"/>
                <w:szCs w:val="20"/>
              </w:rPr>
              <w:t xml:space="preserve">Belfast </w:t>
            </w:r>
          </w:p>
        </w:tc>
        <w:tc>
          <w:tcPr>
            <w:tcW w:w="2732" w:type="dxa"/>
            <w:noWrap/>
            <w:hideMark/>
          </w:tcPr>
          <w:p w14:paraId="52D6771C" w14:textId="77777777" w:rsidR="00FA2772" w:rsidRPr="00733D78" w:rsidRDefault="00FA2772" w:rsidP="00733D78">
            <w:pPr>
              <w:spacing w:before="0"/>
              <w:ind w:left="0"/>
              <w:rPr>
                <w:sz w:val="18"/>
                <w:szCs w:val="20"/>
              </w:rPr>
            </w:pPr>
            <w:r w:rsidRPr="00733D78">
              <w:rPr>
                <w:sz w:val="18"/>
                <w:szCs w:val="20"/>
              </w:rPr>
              <w:t>CITYBEAT</w:t>
            </w:r>
          </w:p>
        </w:tc>
      </w:tr>
      <w:tr w:rsidR="00FA2772" w:rsidRPr="00733D78" w14:paraId="52D67720" w14:textId="77777777" w:rsidTr="009D0CE3">
        <w:trPr>
          <w:trHeight w:val="276"/>
        </w:trPr>
        <w:tc>
          <w:tcPr>
            <w:tcW w:w="1951" w:type="dxa"/>
            <w:noWrap/>
            <w:hideMark/>
          </w:tcPr>
          <w:p w14:paraId="52D6771E" w14:textId="77777777" w:rsidR="00FA2772" w:rsidRPr="00733D78" w:rsidRDefault="00FA2772" w:rsidP="00733D78">
            <w:pPr>
              <w:spacing w:before="0"/>
              <w:ind w:left="0"/>
              <w:rPr>
                <w:sz w:val="18"/>
                <w:szCs w:val="20"/>
              </w:rPr>
            </w:pPr>
            <w:r w:rsidRPr="00733D78">
              <w:rPr>
                <w:sz w:val="18"/>
                <w:szCs w:val="20"/>
              </w:rPr>
              <w:t>Dundee/Perth</w:t>
            </w:r>
          </w:p>
        </w:tc>
        <w:tc>
          <w:tcPr>
            <w:tcW w:w="2732" w:type="dxa"/>
            <w:noWrap/>
            <w:hideMark/>
          </w:tcPr>
          <w:p w14:paraId="52D6771F" w14:textId="77777777" w:rsidR="00FA2772" w:rsidRPr="00733D78" w:rsidRDefault="00FA2772" w:rsidP="00733D78">
            <w:pPr>
              <w:spacing w:before="0"/>
              <w:ind w:left="0"/>
              <w:rPr>
                <w:sz w:val="18"/>
                <w:szCs w:val="20"/>
              </w:rPr>
            </w:pPr>
            <w:r w:rsidRPr="00733D78">
              <w:rPr>
                <w:sz w:val="18"/>
                <w:szCs w:val="20"/>
              </w:rPr>
              <w:t>TAY AM</w:t>
            </w:r>
          </w:p>
        </w:tc>
      </w:tr>
      <w:tr w:rsidR="00FA2772" w:rsidRPr="00733D78" w14:paraId="52D67723" w14:textId="77777777" w:rsidTr="009D0CE3">
        <w:trPr>
          <w:trHeight w:val="276"/>
        </w:trPr>
        <w:tc>
          <w:tcPr>
            <w:tcW w:w="1951" w:type="dxa"/>
            <w:noWrap/>
            <w:hideMark/>
          </w:tcPr>
          <w:p w14:paraId="52D67721" w14:textId="77777777" w:rsidR="00FA2772" w:rsidRPr="00733D78" w:rsidRDefault="00FA2772" w:rsidP="00733D78">
            <w:pPr>
              <w:spacing w:before="0"/>
              <w:ind w:left="0"/>
              <w:rPr>
                <w:sz w:val="18"/>
                <w:szCs w:val="20"/>
              </w:rPr>
            </w:pPr>
            <w:r w:rsidRPr="00733D78">
              <w:rPr>
                <w:sz w:val="18"/>
                <w:szCs w:val="20"/>
              </w:rPr>
              <w:t>Dundee/Perth</w:t>
            </w:r>
          </w:p>
        </w:tc>
        <w:tc>
          <w:tcPr>
            <w:tcW w:w="2732" w:type="dxa"/>
            <w:noWrap/>
            <w:hideMark/>
          </w:tcPr>
          <w:p w14:paraId="52D67722" w14:textId="77777777" w:rsidR="00FA2772" w:rsidRPr="00733D78" w:rsidRDefault="00FA2772" w:rsidP="00733D78">
            <w:pPr>
              <w:spacing w:before="0"/>
              <w:ind w:left="0"/>
              <w:rPr>
                <w:sz w:val="18"/>
                <w:szCs w:val="20"/>
              </w:rPr>
            </w:pPr>
            <w:r w:rsidRPr="00733D78">
              <w:rPr>
                <w:sz w:val="18"/>
                <w:szCs w:val="20"/>
              </w:rPr>
              <w:t>TAY FM</w:t>
            </w:r>
          </w:p>
        </w:tc>
      </w:tr>
      <w:tr w:rsidR="00FA2772" w:rsidRPr="00733D78" w14:paraId="52D67726" w14:textId="77777777" w:rsidTr="009D0CE3">
        <w:trPr>
          <w:trHeight w:val="276"/>
        </w:trPr>
        <w:tc>
          <w:tcPr>
            <w:tcW w:w="1951" w:type="dxa"/>
            <w:noWrap/>
            <w:hideMark/>
          </w:tcPr>
          <w:p w14:paraId="52D67724" w14:textId="77777777" w:rsidR="00FA2772" w:rsidRPr="00733D78" w:rsidRDefault="00FA2772" w:rsidP="00733D78">
            <w:pPr>
              <w:spacing w:before="0"/>
              <w:ind w:left="0"/>
              <w:rPr>
                <w:sz w:val="18"/>
                <w:szCs w:val="20"/>
              </w:rPr>
            </w:pPr>
            <w:r w:rsidRPr="00733D78">
              <w:rPr>
                <w:sz w:val="18"/>
                <w:szCs w:val="20"/>
              </w:rPr>
              <w:t>Coventry</w:t>
            </w:r>
          </w:p>
        </w:tc>
        <w:tc>
          <w:tcPr>
            <w:tcW w:w="2732" w:type="dxa"/>
            <w:noWrap/>
            <w:hideMark/>
          </w:tcPr>
          <w:p w14:paraId="52D67725" w14:textId="77777777" w:rsidR="00FA2772" w:rsidRPr="00733D78" w:rsidRDefault="00FA2772" w:rsidP="00733D78">
            <w:pPr>
              <w:spacing w:before="0"/>
              <w:ind w:left="0"/>
              <w:rPr>
                <w:sz w:val="18"/>
                <w:szCs w:val="20"/>
              </w:rPr>
            </w:pPr>
            <w:r w:rsidRPr="00733D78">
              <w:rPr>
                <w:sz w:val="18"/>
                <w:szCs w:val="20"/>
              </w:rPr>
              <w:t>FREE RADIO 80's</w:t>
            </w:r>
          </w:p>
        </w:tc>
      </w:tr>
      <w:tr w:rsidR="00FA2772" w:rsidRPr="00733D78" w14:paraId="52D67729" w14:textId="77777777" w:rsidTr="009D0CE3">
        <w:trPr>
          <w:trHeight w:val="276"/>
        </w:trPr>
        <w:tc>
          <w:tcPr>
            <w:tcW w:w="1951" w:type="dxa"/>
            <w:noWrap/>
            <w:hideMark/>
          </w:tcPr>
          <w:p w14:paraId="52D67727" w14:textId="77777777" w:rsidR="00FA2772" w:rsidRPr="00733D78" w:rsidRDefault="00FA2772" w:rsidP="00733D78">
            <w:pPr>
              <w:spacing w:before="0"/>
              <w:ind w:left="0"/>
              <w:rPr>
                <w:sz w:val="18"/>
                <w:szCs w:val="20"/>
              </w:rPr>
            </w:pPr>
            <w:r w:rsidRPr="00733D78">
              <w:rPr>
                <w:sz w:val="18"/>
                <w:szCs w:val="20"/>
              </w:rPr>
              <w:lastRenderedPageBreak/>
              <w:t>Greater London</w:t>
            </w:r>
          </w:p>
        </w:tc>
        <w:tc>
          <w:tcPr>
            <w:tcW w:w="2732" w:type="dxa"/>
            <w:noWrap/>
            <w:hideMark/>
          </w:tcPr>
          <w:p w14:paraId="52D67728" w14:textId="77777777" w:rsidR="00FA2772" w:rsidRPr="00733D78" w:rsidRDefault="00FA2772" w:rsidP="00733D78">
            <w:pPr>
              <w:spacing w:before="0"/>
              <w:ind w:left="0"/>
              <w:rPr>
                <w:sz w:val="18"/>
                <w:szCs w:val="20"/>
              </w:rPr>
            </w:pPr>
            <w:r w:rsidRPr="00733D78">
              <w:rPr>
                <w:sz w:val="18"/>
                <w:szCs w:val="20"/>
              </w:rPr>
              <w:t xml:space="preserve">SMOOTH RADIO </w:t>
            </w:r>
          </w:p>
        </w:tc>
      </w:tr>
      <w:tr w:rsidR="00FA2772" w:rsidRPr="00733D78" w14:paraId="52D6772C" w14:textId="77777777" w:rsidTr="009D0CE3">
        <w:trPr>
          <w:trHeight w:val="276"/>
        </w:trPr>
        <w:tc>
          <w:tcPr>
            <w:tcW w:w="1951" w:type="dxa"/>
            <w:noWrap/>
            <w:hideMark/>
          </w:tcPr>
          <w:p w14:paraId="52D6772A" w14:textId="77777777" w:rsidR="00FA2772" w:rsidRPr="00733D78" w:rsidRDefault="00FA2772" w:rsidP="00733D78">
            <w:pPr>
              <w:spacing w:before="0"/>
              <w:ind w:left="0"/>
              <w:rPr>
                <w:sz w:val="18"/>
                <w:szCs w:val="20"/>
              </w:rPr>
            </w:pPr>
            <w:r w:rsidRPr="00733D78">
              <w:rPr>
                <w:sz w:val="18"/>
                <w:szCs w:val="20"/>
              </w:rPr>
              <w:t>Greater London</w:t>
            </w:r>
          </w:p>
        </w:tc>
        <w:tc>
          <w:tcPr>
            <w:tcW w:w="2732" w:type="dxa"/>
            <w:noWrap/>
            <w:hideMark/>
          </w:tcPr>
          <w:p w14:paraId="52D6772B" w14:textId="77777777" w:rsidR="00FA2772" w:rsidRPr="00733D78" w:rsidRDefault="00FA2772" w:rsidP="00733D78">
            <w:pPr>
              <w:spacing w:before="0"/>
              <w:ind w:left="0"/>
              <w:rPr>
                <w:sz w:val="18"/>
                <w:szCs w:val="20"/>
              </w:rPr>
            </w:pPr>
            <w:r w:rsidRPr="00733D78">
              <w:rPr>
                <w:sz w:val="18"/>
                <w:szCs w:val="20"/>
              </w:rPr>
              <w:t xml:space="preserve">KISS </w:t>
            </w:r>
          </w:p>
        </w:tc>
      </w:tr>
      <w:tr w:rsidR="00FA2772" w:rsidRPr="00733D78" w14:paraId="52D6772F" w14:textId="77777777" w:rsidTr="009D0CE3">
        <w:trPr>
          <w:trHeight w:val="276"/>
        </w:trPr>
        <w:tc>
          <w:tcPr>
            <w:tcW w:w="1951" w:type="dxa"/>
            <w:noWrap/>
            <w:hideMark/>
          </w:tcPr>
          <w:p w14:paraId="52D6772D" w14:textId="77777777" w:rsidR="00FA2772" w:rsidRPr="00733D78" w:rsidRDefault="00FA2772" w:rsidP="00733D78">
            <w:pPr>
              <w:spacing w:before="0"/>
              <w:ind w:left="0"/>
              <w:rPr>
                <w:sz w:val="18"/>
                <w:szCs w:val="20"/>
              </w:rPr>
            </w:pPr>
            <w:r w:rsidRPr="00733D78">
              <w:rPr>
                <w:sz w:val="18"/>
                <w:szCs w:val="20"/>
              </w:rPr>
              <w:t>Greater London</w:t>
            </w:r>
          </w:p>
        </w:tc>
        <w:tc>
          <w:tcPr>
            <w:tcW w:w="2732" w:type="dxa"/>
            <w:noWrap/>
            <w:hideMark/>
          </w:tcPr>
          <w:p w14:paraId="52D6772E" w14:textId="77777777" w:rsidR="00FA2772" w:rsidRPr="00733D78" w:rsidRDefault="00FA2772" w:rsidP="00733D78">
            <w:pPr>
              <w:spacing w:before="0"/>
              <w:ind w:left="0"/>
              <w:rPr>
                <w:sz w:val="18"/>
                <w:szCs w:val="20"/>
              </w:rPr>
            </w:pPr>
            <w:r w:rsidRPr="00733D78">
              <w:rPr>
                <w:sz w:val="18"/>
                <w:szCs w:val="20"/>
              </w:rPr>
              <w:t>MAGIC 105.4</w:t>
            </w:r>
          </w:p>
        </w:tc>
      </w:tr>
      <w:tr w:rsidR="00FA2772" w:rsidRPr="00733D78" w14:paraId="52D67732" w14:textId="77777777" w:rsidTr="009D0CE3">
        <w:trPr>
          <w:trHeight w:val="276"/>
        </w:trPr>
        <w:tc>
          <w:tcPr>
            <w:tcW w:w="1951" w:type="dxa"/>
            <w:noWrap/>
            <w:hideMark/>
          </w:tcPr>
          <w:p w14:paraId="52D67730" w14:textId="77777777" w:rsidR="00FA2772" w:rsidRPr="00733D78" w:rsidRDefault="00FA2772" w:rsidP="00733D78">
            <w:pPr>
              <w:spacing w:before="0"/>
              <w:ind w:left="0"/>
              <w:rPr>
                <w:sz w:val="18"/>
                <w:szCs w:val="20"/>
              </w:rPr>
            </w:pPr>
            <w:r w:rsidRPr="00733D78">
              <w:rPr>
                <w:sz w:val="18"/>
                <w:szCs w:val="20"/>
              </w:rPr>
              <w:t>Coventry and surrounding</w:t>
            </w:r>
          </w:p>
        </w:tc>
        <w:tc>
          <w:tcPr>
            <w:tcW w:w="2732" w:type="dxa"/>
            <w:noWrap/>
            <w:hideMark/>
          </w:tcPr>
          <w:p w14:paraId="52D67731" w14:textId="77777777" w:rsidR="00FA2772" w:rsidRPr="00733D78" w:rsidRDefault="00FA2772" w:rsidP="00733D78">
            <w:pPr>
              <w:spacing w:before="0"/>
              <w:ind w:left="0"/>
              <w:rPr>
                <w:sz w:val="18"/>
                <w:szCs w:val="20"/>
              </w:rPr>
            </w:pPr>
            <w:r w:rsidRPr="00733D78">
              <w:rPr>
                <w:sz w:val="18"/>
                <w:szCs w:val="20"/>
              </w:rPr>
              <w:t>FREE RADIO</w:t>
            </w:r>
          </w:p>
        </w:tc>
      </w:tr>
      <w:tr w:rsidR="00FA2772" w:rsidRPr="00733D78" w14:paraId="52D67735" w14:textId="77777777" w:rsidTr="009D0CE3">
        <w:trPr>
          <w:trHeight w:val="276"/>
        </w:trPr>
        <w:tc>
          <w:tcPr>
            <w:tcW w:w="1951" w:type="dxa"/>
            <w:noWrap/>
            <w:hideMark/>
          </w:tcPr>
          <w:p w14:paraId="52D67733" w14:textId="77777777" w:rsidR="00FA2772" w:rsidRPr="00733D78" w:rsidRDefault="00FA2772" w:rsidP="00733D78">
            <w:pPr>
              <w:spacing w:before="0"/>
              <w:ind w:left="0"/>
              <w:rPr>
                <w:sz w:val="18"/>
                <w:szCs w:val="20"/>
              </w:rPr>
            </w:pPr>
            <w:r w:rsidRPr="00733D78">
              <w:rPr>
                <w:sz w:val="18"/>
                <w:szCs w:val="20"/>
              </w:rPr>
              <w:t>Greater London</w:t>
            </w:r>
          </w:p>
        </w:tc>
        <w:tc>
          <w:tcPr>
            <w:tcW w:w="2732" w:type="dxa"/>
            <w:noWrap/>
            <w:hideMark/>
          </w:tcPr>
          <w:p w14:paraId="52D67734" w14:textId="77777777" w:rsidR="00FA2772" w:rsidRPr="00733D78" w:rsidRDefault="00FA2772" w:rsidP="00733D78">
            <w:pPr>
              <w:spacing w:before="0"/>
              <w:ind w:left="0"/>
              <w:rPr>
                <w:sz w:val="18"/>
                <w:szCs w:val="20"/>
              </w:rPr>
            </w:pPr>
            <w:r w:rsidRPr="00733D78">
              <w:rPr>
                <w:sz w:val="18"/>
                <w:szCs w:val="20"/>
              </w:rPr>
              <w:t>SPECTRUM RADIO</w:t>
            </w:r>
          </w:p>
        </w:tc>
      </w:tr>
      <w:tr w:rsidR="00FA2772" w:rsidRPr="00733D78" w14:paraId="52D67738" w14:textId="77777777" w:rsidTr="009D0CE3">
        <w:trPr>
          <w:trHeight w:val="276"/>
        </w:trPr>
        <w:tc>
          <w:tcPr>
            <w:tcW w:w="1951" w:type="dxa"/>
            <w:noWrap/>
            <w:hideMark/>
          </w:tcPr>
          <w:p w14:paraId="52D67736" w14:textId="77777777" w:rsidR="00FA2772" w:rsidRPr="00733D78" w:rsidRDefault="00FA2772" w:rsidP="00733D78">
            <w:pPr>
              <w:spacing w:before="0"/>
              <w:ind w:left="0"/>
              <w:rPr>
                <w:sz w:val="18"/>
                <w:szCs w:val="20"/>
              </w:rPr>
            </w:pPr>
            <w:r w:rsidRPr="00733D78">
              <w:rPr>
                <w:sz w:val="18"/>
                <w:szCs w:val="20"/>
              </w:rPr>
              <w:t>Inverness</w:t>
            </w:r>
          </w:p>
        </w:tc>
        <w:tc>
          <w:tcPr>
            <w:tcW w:w="2732" w:type="dxa"/>
            <w:noWrap/>
            <w:hideMark/>
          </w:tcPr>
          <w:p w14:paraId="52D67737" w14:textId="77777777" w:rsidR="00FA2772" w:rsidRPr="00733D78" w:rsidRDefault="00FA2772" w:rsidP="00733D78">
            <w:pPr>
              <w:spacing w:before="0"/>
              <w:ind w:left="0"/>
              <w:rPr>
                <w:sz w:val="18"/>
                <w:szCs w:val="20"/>
              </w:rPr>
            </w:pPr>
            <w:r w:rsidRPr="00733D78">
              <w:rPr>
                <w:sz w:val="18"/>
                <w:szCs w:val="20"/>
              </w:rPr>
              <w:t>MORAY FIRTH RADIO AM</w:t>
            </w:r>
          </w:p>
        </w:tc>
      </w:tr>
      <w:tr w:rsidR="00FA2772" w:rsidRPr="00733D78" w14:paraId="52D6773B" w14:textId="77777777" w:rsidTr="009D0CE3">
        <w:trPr>
          <w:trHeight w:val="276"/>
        </w:trPr>
        <w:tc>
          <w:tcPr>
            <w:tcW w:w="1951" w:type="dxa"/>
            <w:noWrap/>
            <w:hideMark/>
          </w:tcPr>
          <w:p w14:paraId="52D67739" w14:textId="77777777" w:rsidR="00FA2772" w:rsidRPr="00733D78" w:rsidRDefault="00FA2772" w:rsidP="00733D78">
            <w:pPr>
              <w:spacing w:before="0"/>
              <w:ind w:left="0"/>
              <w:rPr>
                <w:sz w:val="18"/>
                <w:szCs w:val="20"/>
              </w:rPr>
            </w:pPr>
            <w:r w:rsidRPr="00733D78">
              <w:rPr>
                <w:sz w:val="18"/>
                <w:szCs w:val="20"/>
              </w:rPr>
              <w:t>Inverness</w:t>
            </w:r>
          </w:p>
        </w:tc>
        <w:tc>
          <w:tcPr>
            <w:tcW w:w="2732" w:type="dxa"/>
            <w:noWrap/>
            <w:hideMark/>
          </w:tcPr>
          <w:p w14:paraId="52D6773A" w14:textId="77777777" w:rsidR="00FA2772" w:rsidRPr="00733D78" w:rsidRDefault="00FA2772" w:rsidP="00733D78">
            <w:pPr>
              <w:spacing w:before="0"/>
              <w:ind w:left="0"/>
              <w:rPr>
                <w:sz w:val="18"/>
                <w:szCs w:val="20"/>
              </w:rPr>
            </w:pPr>
            <w:r w:rsidRPr="00733D78">
              <w:rPr>
                <w:sz w:val="18"/>
                <w:szCs w:val="20"/>
              </w:rPr>
              <w:t>MORAY FIRTH RADIO FM</w:t>
            </w:r>
          </w:p>
        </w:tc>
      </w:tr>
      <w:tr w:rsidR="00FA2772" w:rsidRPr="00733D78" w14:paraId="52D6773E" w14:textId="77777777" w:rsidTr="009D0CE3">
        <w:trPr>
          <w:trHeight w:val="276"/>
        </w:trPr>
        <w:tc>
          <w:tcPr>
            <w:tcW w:w="1951" w:type="dxa"/>
            <w:noWrap/>
            <w:hideMark/>
          </w:tcPr>
          <w:p w14:paraId="52D6773C" w14:textId="77777777" w:rsidR="00FA2772" w:rsidRPr="00733D78" w:rsidRDefault="00FA2772" w:rsidP="00733D78">
            <w:pPr>
              <w:spacing w:before="0"/>
              <w:ind w:left="0"/>
              <w:rPr>
                <w:sz w:val="18"/>
                <w:szCs w:val="20"/>
              </w:rPr>
            </w:pPr>
            <w:r w:rsidRPr="00733D78">
              <w:rPr>
                <w:sz w:val="18"/>
                <w:szCs w:val="20"/>
              </w:rPr>
              <w:t>Greater London</w:t>
            </w:r>
          </w:p>
        </w:tc>
        <w:tc>
          <w:tcPr>
            <w:tcW w:w="2732" w:type="dxa"/>
            <w:noWrap/>
            <w:hideMark/>
          </w:tcPr>
          <w:p w14:paraId="52D6773D" w14:textId="77777777" w:rsidR="00FA2772" w:rsidRPr="00733D78" w:rsidRDefault="00FA2772" w:rsidP="00733D78">
            <w:pPr>
              <w:spacing w:before="0"/>
              <w:ind w:left="0"/>
              <w:rPr>
                <w:sz w:val="18"/>
                <w:szCs w:val="20"/>
              </w:rPr>
            </w:pPr>
            <w:r w:rsidRPr="00733D78">
              <w:rPr>
                <w:sz w:val="18"/>
                <w:szCs w:val="20"/>
              </w:rPr>
              <w:t xml:space="preserve">ABSOLUTE RADIO </w:t>
            </w:r>
          </w:p>
        </w:tc>
      </w:tr>
      <w:tr w:rsidR="00FA2772" w:rsidRPr="00733D78" w14:paraId="52D67741" w14:textId="77777777" w:rsidTr="009D0CE3">
        <w:trPr>
          <w:trHeight w:val="276"/>
        </w:trPr>
        <w:tc>
          <w:tcPr>
            <w:tcW w:w="1951" w:type="dxa"/>
            <w:noWrap/>
            <w:hideMark/>
          </w:tcPr>
          <w:p w14:paraId="52D6773F" w14:textId="77777777" w:rsidR="00FA2772" w:rsidRPr="00733D78" w:rsidRDefault="00FA2772" w:rsidP="00733D78">
            <w:pPr>
              <w:spacing w:before="0"/>
              <w:ind w:left="0"/>
              <w:rPr>
                <w:sz w:val="18"/>
                <w:szCs w:val="20"/>
              </w:rPr>
            </w:pPr>
            <w:r w:rsidRPr="00733D78">
              <w:rPr>
                <w:sz w:val="18"/>
                <w:szCs w:val="20"/>
              </w:rPr>
              <w:t>West Midlands</w:t>
            </w:r>
          </w:p>
        </w:tc>
        <w:tc>
          <w:tcPr>
            <w:tcW w:w="2732" w:type="dxa"/>
            <w:noWrap/>
            <w:hideMark/>
          </w:tcPr>
          <w:p w14:paraId="52D67740" w14:textId="77777777" w:rsidR="00FA2772" w:rsidRPr="00733D78" w:rsidRDefault="00FA2772" w:rsidP="00733D78">
            <w:pPr>
              <w:spacing w:before="0"/>
              <w:ind w:left="0"/>
              <w:rPr>
                <w:sz w:val="18"/>
                <w:szCs w:val="20"/>
              </w:rPr>
            </w:pPr>
            <w:r w:rsidRPr="00733D78">
              <w:rPr>
                <w:sz w:val="18"/>
                <w:szCs w:val="20"/>
              </w:rPr>
              <w:t>RADIO XL</w:t>
            </w:r>
          </w:p>
        </w:tc>
      </w:tr>
      <w:tr w:rsidR="00FA2772" w:rsidRPr="00FA2772" w14:paraId="52D67744" w14:textId="77777777" w:rsidTr="009D0CE3">
        <w:trPr>
          <w:trHeight w:val="276"/>
        </w:trPr>
        <w:tc>
          <w:tcPr>
            <w:tcW w:w="1951" w:type="dxa"/>
            <w:noWrap/>
            <w:hideMark/>
          </w:tcPr>
          <w:p w14:paraId="52D67742"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Greater London</w:t>
            </w:r>
          </w:p>
        </w:tc>
        <w:tc>
          <w:tcPr>
            <w:tcW w:w="2732" w:type="dxa"/>
            <w:noWrap/>
            <w:hideMark/>
          </w:tcPr>
          <w:p w14:paraId="52D67743"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 xml:space="preserve">HEART </w:t>
            </w:r>
          </w:p>
        </w:tc>
      </w:tr>
      <w:tr w:rsidR="00FA2772" w:rsidRPr="00FA2772" w14:paraId="52D67747" w14:textId="77777777" w:rsidTr="009D0CE3">
        <w:trPr>
          <w:trHeight w:val="276"/>
        </w:trPr>
        <w:tc>
          <w:tcPr>
            <w:tcW w:w="1951" w:type="dxa"/>
            <w:noWrap/>
            <w:hideMark/>
          </w:tcPr>
          <w:p w14:paraId="52D67745"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Leicester</w:t>
            </w:r>
          </w:p>
        </w:tc>
        <w:tc>
          <w:tcPr>
            <w:tcW w:w="2732" w:type="dxa"/>
            <w:noWrap/>
            <w:hideMark/>
          </w:tcPr>
          <w:p w14:paraId="52D67746"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SABRAS RADIO</w:t>
            </w:r>
          </w:p>
        </w:tc>
      </w:tr>
      <w:tr w:rsidR="00FA2772" w:rsidRPr="00FA2772" w14:paraId="52D6774A" w14:textId="77777777" w:rsidTr="009D0CE3">
        <w:trPr>
          <w:trHeight w:val="276"/>
        </w:trPr>
        <w:tc>
          <w:tcPr>
            <w:tcW w:w="1951" w:type="dxa"/>
            <w:noWrap/>
            <w:hideMark/>
          </w:tcPr>
          <w:p w14:paraId="52D67748"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Leicester</w:t>
            </w:r>
          </w:p>
        </w:tc>
        <w:tc>
          <w:tcPr>
            <w:tcW w:w="2732" w:type="dxa"/>
            <w:noWrap/>
            <w:hideMark/>
          </w:tcPr>
          <w:p w14:paraId="52D67749"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 xml:space="preserve">CAPITAL FM </w:t>
            </w:r>
          </w:p>
        </w:tc>
      </w:tr>
      <w:tr w:rsidR="00FA2772" w:rsidRPr="00FA2772" w14:paraId="52D6774D" w14:textId="77777777" w:rsidTr="009D0CE3">
        <w:trPr>
          <w:trHeight w:val="276"/>
        </w:trPr>
        <w:tc>
          <w:tcPr>
            <w:tcW w:w="1951" w:type="dxa"/>
            <w:noWrap/>
            <w:hideMark/>
          </w:tcPr>
          <w:p w14:paraId="52D6774B"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Preston and Blackpool</w:t>
            </w:r>
          </w:p>
        </w:tc>
        <w:tc>
          <w:tcPr>
            <w:tcW w:w="2732" w:type="dxa"/>
            <w:noWrap/>
            <w:hideMark/>
          </w:tcPr>
          <w:p w14:paraId="52D6774C"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MAGIC 999</w:t>
            </w:r>
          </w:p>
        </w:tc>
      </w:tr>
      <w:tr w:rsidR="00FA2772" w:rsidRPr="00FA2772" w14:paraId="52D67750" w14:textId="77777777" w:rsidTr="009D0CE3">
        <w:trPr>
          <w:trHeight w:val="276"/>
        </w:trPr>
        <w:tc>
          <w:tcPr>
            <w:tcW w:w="1951" w:type="dxa"/>
            <w:noWrap/>
            <w:hideMark/>
          </w:tcPr>
          <w:p w14:paraId="52D6774E"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Preston and Blackpool</w:t>
            </w:r>
          </w:p>
        </w:tc>
        <w:tc>
          <w:tcPr>
            <w:tcW w:w="2732" w:type="dxa"/>
            <w:noWrap/>
            <w:hideMark/>
          </w:tcPr>
          <w:p w14:paraId="52D6774F"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ROCK FM</w:t>
            </w:r>
          </w:p>
        </w:tc>
      </w:tr>
      <w:tr w:rsidR="00FA2772" w:rsidRPr="00FA2772" w14:paraId="52D67753" w14:textId="77777777" w:rsidTr="009D0CE3">
        <w:trPr>
          <w:trHeight w:val="276"/>
        </w:trPr>
        <w:tc>
          <w:tcPr>
            <w:tcW w:w="1951" w:type="dxa"/>
            <w:noWrap/>
            <w:hideMark/>
          </w:tcPr>
          <w:p w14:paraId="52D67751"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Swindon/West Wiltshire</w:t>
            </w:r>
          </w:p>
        </w:tc>
        <w:tc>
          <w:tcPr>
            <w:tcW w:w="2732" w:type="dxa"/>
            <w:noWrap/>
            <w:hideMark/>
          </w:tcPr>
          <w:p w14:paraId="52D67752"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 xml:space="preserve">HEART </w:t>
            </w:r>
          </w:p>
        </w:tc>
      </w:tr>
      <w:tr w:rsidR="00FA2772" w:rsidRPr="00FA2772" w14:paraId="52D67756" w14:textId="77777777" w:rsidTr="009D0CE3">
        <w:trPr>
          <w:trHeight w:val="276"/>
        </w:trPr>
        <w:tc>
          <w:tcPr>
            <w:tcW w:w="1951" w:type="dxa"/>
            <w:noWrap/>
            <w:hideMark/>
          </w:tcPr>
          <w:p w14:paraId="52D67754"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Swindon/West Wiltshire</w:t>
            </w:r>
          </w:p>
        </w:tc>
        <w:tc>
          <w:tcPr>
            <w:tcW w:w="2732" w:type="dxa"/>
            <w:noWrap/>
            <w:hideMark/>
          </w:tcPr>
          <w:p w14:paraId="52D67755"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Smooth</w:t>
            </w:r>
          </w:p>
        </w:tc>
      </w:tr>
      <w:tr w:rsidR="00FA2772" w:rsidRPr="00FA2772" w14:paraId="52D67759" w14:textId="77777777" w:rsidTr="009D0CE3">
        <w:trPr>
          <w:trHeight w:val="276"/>
        </w:trPr>
        <w:tc>
          <w:tcPr>
            <w:tcW w:w="1951" w:type="dxa"/>
            <w:noWrap/>
            <w:hideMark/>
          </w:tcPr>
          <w:p w14:paraId="52D67757"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Greater London</w:t>
            </w:r>
          </w:p>
        </w:tc>
        <w:tc>
          <w:tcPr>
            <w:tcW w:w="2732" w:type="dxa"/>
            <w:noWrap/>
            <w:hideMark/>
          </w:tcPr>
          <w:p w14:paraId="52D67758"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CAPITAL FM</w:t>
            </w:r>
          </w:p>
        </w:tc>
      </w:tr>
      <w:tr w:rsidR="00FA2772" w:rsidRPr="00FA2772" w14:paraId="52D6775C" w14:textId="77777777" w:rsidTr="009D0CE3">
        <w:trPr>
          <w:trHeight w:val="276"/>
        </w:trPr>
        <w:tc>
          <w:tcPr>
            <w:tcW w:w="1951" w:type="dxa"/>
            <w:noWrap/>
            <w:hideMark/>
          </w:tcPr>
          <w:p w14:paraId="52D6775A"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Greater London</w:t>
            </w:r>
          </w:p>
        </w:tc>
        <w:tc>
          <w:tcPr>
            <w:tcW w:w="2732" w:type="dxa"/>
            <w:noWrap/>
            <w:hideMark/>
          </w:tcPr>
          <w:p w14:paraId="52D6775B"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 xml:space="preserve">GOLD </w:t>
            </w:r>
          </w:p>
        </w:tc>
      </w:tr>
      <w:tr w:rsidR="00FA2772" w:rsidRPr="00FA2772" w14:paraId="52D6775F" w14:textId="77777777" w:rsidTr="009D0CE3">
        <w:trPr>
          <w:trHeight w:val="276"/>
        </w:trPr>
        <w:tc>
          <w:tcPr>
            <w:tcW w:w="1951" w:type="dxa"/>
            <w:noWrap/>
            <w:hideMark/>
          </w:tcPr>
          <w:p w14:paraId="52D6775D"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Bradford / Huddersfield</w:t>
            </w:r>
          </w:p>
        </w:tc>
        <w:tc>
          <w:tcPr>
            <w:tcW w:w="2732" w:type="dxa"/>
            <w:noWrap/>
            <w:hideMark/>
          </w:tcPr>
          <w:p w14:paraId="52D6775E"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PULSE GOLD</w:t>
            </w:r>
          </w:p>
        </w:tc>
      </w:tr>
      <w:tr w:rsidR="00FA2772" w:rsidRPr="00FA2772" w14:paraId="52D67762" w14:textId="77777777" w:rsidTr="009D0CE3">
        <w:trPr>
          <w:trHeight w:val="276"/>
        </w:trPr>
        <w:tc>
          <w:tcPr>
            <w:tcW w:w="1951" w:type="dxa"/>
            <w:noWrap/>
            <w:hideMark/>
          </w:tcPr>
          <w:p w14:paraId="52D67760"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Bradford / Huddersfield</w:t>
            </w:r>
          </w:p>
        </w:tc>
        <w:tc>
          <w:tcPr>
            <w:tcW w:w="2732" w:type="dxa"/>
            <w:noWrap/>
            <w:hideMark/>
          </w:tcPr>
          <w:p w14:paraId="52D67761"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THE PULSE</w:t>
            </w:r>
          </w:p>
        </w:tc>
      </w:tr>
      <w:tr w:rsidR="00FA2772" w:rsidRPr="00FA2772" w14:paraId="52D67765" w14:textId="77777777" w:rsidTr="009D0CE3">
        <w:trPr>
          <w:trHeight w:val="276"/>
        </w:trPr>
        <w:tc>
          <w:tcPr>
            <w:tcW w:w="1951" w:type="dxa"/>
            <w:noWrap/>
            <w:hideMark/>
          </w:tcPr>
          <w:p w14:paraId="52D67763"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Clyde and West Central Scotland</w:t>
            </w:r>
          </w:p>
        </w:tc>
        <w:tc>
          <w:tcPr>
            <w:tcW w:w="2732" w:type="dxa"/>
            <w:noWrap/>
            <w:hideMark/>
          </w:tcPr>
          <w:p w14:paraId="52D67764"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CLYDE 1</w:t>
            </w:r>
          </w:p>
        </w:tc>
      </w:tr>
      <w:tr w:rsidR="00FA2772" w:rsidRPr="00FA2772" w14:paraId="52D67768" w14:textId="77777777" w:rsidTr="009D0CE3">
        <w:trPr>
          <w:trHeight w:val="276"/>
        </w:trPr>
        <w:tc>
          <w:tcPr>
            <w:tcW w:w="1951" w:type="dxa"/>
            <w:noWrap/>
            <w:hideMark/>
          </w:tcPr>
          <w:p w14:paraId="52D67766"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Glasgow and West Central Scotland</w:t>
            </w:r>
          </w:p>
        </w:tc>
        <w:tc>
          <w:tcPr>
            <w:tcW w:w="2732" w:type="dxa"/>
            <w:noWrap/>
            <w:hideMark/>
          </w:tcPr>
          <w:p w14:paraId="52D67767"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CLYDE 2</w:t>
            </w:r>
          </w:p>
        </w:tc>
      </w:tr>
      <w:tr w:rsidR="00FA2772" w:rsidRPr="00FA2772" w14:paraId="52D6776B" w14:textId="77777777" w:rsidTr="009D0CE3">
        <w:trPr>
          <w:trHeight w:val="276"/>
        </w:trPr>
        <w:tc>
          <w:tcPr>
            <w:tcW w:w="1951" w:type="dxa"/>
            <w:noWrap/>
            <w:hideMark/>
          </w:tcPr>
          <w:p w14:paraId="52D67769"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Birmingham</w:t>
            </w:r>
          </w:p>
        </w:tc>
        <w:tc>
          <w:tcPr>
            <w:tcW w:w="2732" w:type="dxa"/>
            <w:noWrap/>
            <w:hideMark/>
          </w:tcPr>
          <w:p w14:paraId="52D6776A"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 xml:space="preserve">FREE RADIO 80's </w:t>
            </w:r>
          </w:p>
        </w:tc>
      </w:tr>
      <w:tr w:rsidR="00FA2772" w:rsidRPr="00FA2772" w14:paraId="52D6776E" w14:textId="77777777" w:rsidTr="009D0CE3">
        <w:trPr>
          <w:trHeight w:val="276"/>
        </w:trPr>
        <w:tc>
          <w:tcPr>
            <w:tcW w:w="1951" w:type="dxa"/>
            <w:noWrap/>
            <w:hideMark/>
          </w:tcPr>
          <w:p w14:paraId="52D6776C"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Greater Manchester</w:t>
            </w:r>
          </w:p>
        </w:tc>
        <w:tc>
          <w:tcPr>
            <w:tcW w:w="2732" w:type="dxa"/>
            <w:noWrap/>
            <w:hideMark/>
          </w:tcPr>
          <w:p w14:paraId="52D6776D"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MAGIC 1152</w:t>
            </w:r>
          </w:p>
        </w:tc>
      </w:tr>
      <w:tr w:rsidR="00FA2772" w:rsidRPr="00FA2772" w14:paraId="52D67771" w14:textId="77777777" w:rsidTr="009D0CE3">
        <w:trPr>
          <w:trHeight w:val="276"/>
        </w:trPr>
        <w:tc>
          <w:tcPr>
            <w:tcW w:w="1951" w:type="dxa"/>
            <w:noWrap/>
            <w:hideMark/>
          </w:tcPr>
          <w:p w14:paraId="52D6776F"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Greater Manchester</w:t>
            </w:r>
          </w:p>
        </w:tc>
        <w:tc>
          <w:tcPr>
            <w:tcW w:w="2732" w:type="dxa"/>
            <w:noWrap/>
            <w:hideMark/>
          </w:tcPr>
          <w:p w14:paraId="52D67770"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KEY 103</w:t>
            </w:r>
          </w:p>
        </w:tc>
      </w:tr>
      <w:tr w:rsidR="00FA2772" w:rsidRPr="00FA2772" w14:paraId="52D67774" w14:textId="77777777" w:rsidTr="009D0CE3">
        <w:trPr>
          <w:trHeight w:val="276"/>
        </w:trPr>
        <w:tc>
          <w:tcPr>
            <w:tcW w:w="1951" w:type="dxa"/>
            <w:noWrap/>
            <w:hideMark/>
          </w:tcPr>
          <w:p w14:paraId="52D67772"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East Lancashire</w:t>
            </w:r>
          </w:p>
        </w:tc>
        <w:tc>
          <w:tcPr>
            <w:tcW w:w="2732" w:type="dxa"/>
            <w:noWrap/>
            <w:hideMark/>
          </w:tcPr>
          <w:p w14:paraId="52D67773" w14:textId="77777777" w:rsidR="00FA2772" w:rsidRPr="00FA2772" w:rsidRDefault="00FA2772" w:rsidP="00733D78">
            <w:pPr>
              <w:spacing w:before="0"/>
              <w:ind w:left="0"/>
              <w:rPr>
                <w:rFonts w:cs="Arial"/>
                <w:color w:val="000000"/>
                <w:sz w:val="18"/>
                <w:szCs w:val="20"/>
              </w:rPr>
            </w:pPr>
            <w:r w:rsidRPr="00FA2772">
              <w:rPr>
                <w:rFonts w:cs="Arial"/>
                <w:color w:val="000000"/>
                <w:sz w:val="18"/>
                <w:szCs w:val="20"/>
              </w:rPr>
              <w:t>ASIAN SOUND RADIO</w:t>
            </w:r>
          </w:p>
        </w:tc>
      </w:tr>
    </w:tbl>
    <w:p w14:paraId="52D67775" w14:textId="77777777" w:rsidR="00FA2772" w:rsidRPr="00FA2772" w:rsidRDefault="00FA2772" w:rsidP="00FA2772">
      <w:pPr>
        <w:spacing w:before="0"/>
        <w:ind w:left="0"/>
        <w:jc w:val="both"/>
      </w:pPr>
    </w:p>
    <w:p w14:paraId="52D67776" w14:textId="77777777" w:rsidR="00FA2772" w:rsidRDefault="00FA2772" w:rsidP="00FA2772">
      <w:pPr>
        <w:spacing w:before="0"/>
        <w:ind w:left="0"/>
      </w:pPr>
    </w:p>
    <w:p w14:paraId="52D67777" w14:textId="77777777" w:rsidR="00FA2772" w:rsidRDefault="00FA2772" w:rsidP="00FA2772">
      <w:pPr>
        <w:spacing w:before="0"/>
        <w:ind w:left="0"/>
      </w:pPr>
    </w:p>
    <w:p w14:paraId="52D67778" w14:textId="77777777" w:rsidR="00FA2772" w:rsidRDefault="00FA2772" w:rsidP="00FA2772">
      <w:pPr>
        <w:spacing w:before="0"/>
        <w:ind w:left="0"/>
        <w:sectPr w:rsidR="00FA2772" w:rsidSect="0023155C">
          <w:pgSz w:w="11906" w:h="16838" w:code="9"/>
          <w:pgMar w:top="1418" w:right="1021" w:bottom="1134" w:left="1021" w:header="539" w:footer="709" w:gutter="0"/>
          <w:cols w:space="708"/>
          <w:docGrid w:linePitch="360"/>
        </w:sectPr>
      </w:pPr>
    </w:p>
    <w:p w14:paraId="52D67779" w14:textId="77777777" w:rsidR="00125909" w:rsidRPr="00D04FA6" w:rsidRDefault="00BD592B" w:rsidP="00FA2772">
      <w:pPr>
        <w:spacing w:before="0"/>
        <w:ind w:left="0"/>
        <w:rPr>
          <w:rFonts w:cs="Arial"/>
        </w:rPr>
      </w:pPr>
      <w:r w:rsidRPr="00D04FA6">
        <w:rPr>
          <w:rFonts w:cs="Arial"/>
          <w:noProof/>
          <w:lang w:val="en-US" w:eastAsia="en-US"/>
        </w:rPr>
        <w:lastRenderedPageBreak/>
        <w:drawing>
          <wp:anchor distT="0" distB="0" distL="114300" distR="114300" simplePos="0" relativeHeight="251665920" behindDoc="0" locked="0" layoutInCell="0" allowOverlap="1" wp14:anchorId="52D6777E" wp14:editId="52D6777F">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rFonts w:cs="Arial"/>
          <w:noProof/>
          <w:lang w:val="en-US" w:eastAsia="en-US"/>
        </w:rPr>
        <mc:AlternateContent>
          <mc:Choice Requires="wps">
            <w:drawing>
              <wp:anchor distT="0" distB="0" distL="114300" distR="114300" simplePos="0" relativeHeight="251658752" behindDoc="0" locked="0" layoutInCell="1" allowOverlap="1" wp14:anchorId="52D67780" wp14:editId="52D67781">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677B1" w14:textId="77777777" w:rsidR="00BA5412" w:rsidRPr="00E97289" w:rsidRDefault="00BA5412" w:rsidP="00E97289">
                            <w:pPr>
                              <w:pStyle w:val="WebAddress"/>
                              <w:rPr>
                                <w:b w:val="0"/>
                              </w:rPr>
                            </w:pPr>
                            <w:r w:rsidRPr="00E97289">
                              <w:rPr>
                                <w:b w:val="0"/>
                              </w:rPr>
                              <w:t>4th Floor, 100 Parliament Street</w:t>
                            </w:r>
                          </w:p>
                          <w:p w14:paraId="52D677B2" w14:textId="77777777" w:rsidR="00BA5412" w:rsidRDefault="00BA5412" w:rsidP="00E97289">
                            <w:pPr>
                              <w:pStyle w:val="WebAddress"/>
                              <w:rPr>
                                <w:b w:val="0"/>
                              </w:rPr>
                            </w:pPr>
                            <w:r w:rsidRPr="00E97289">
                              <w:rPr>
                                <w:b w:val="0"/>
                              </w:rPr>
                              <w:t>London SW1A 2BQ</w:t>
                            </w:r>
                          </w:p>
                          <w:p w14:paraId="52D677B3" w14:textId="77777777" w:rsidR="00BA5412" w:rsidRDefault="00BA5412"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14:paraId="52D677B1" w14:textId="77777777" w:rsidR="00BA5412" w:rsidRPr="00E97289" w:rsidRDefault="00BA5412" w:rsidP="00E97289">
                      <w:pPr>
                        <w:pStyle w:val="WebAddress"/>
                        <w:rPr>
                          <w:b w:val="0"/>
                        </w:rPr>
                      </w:pPr>
                      <w:r w:rsidRPr="00E97289">
                        <w:rPr>
                          <w:b w:val="0"/>
                        </w:rPr>
                        <w:t>4th Floor, 100 Parliament Street</w:t>
                      </w:r>
                    </w:p>
                    <w:p w14:paraId="52D677B2" w14:textId="77777777" w:rsidR="00BA5412" w:rsidRDefault="00BA5412" w:rsidP="00E97289">
                      <w:pPr>
                        <w:pStyle w:val="WebAddress"/>
                        <w:rPr>
                          <w:b w:val="0"/>
                        </w:rPr>
                      </w:pPr>
                      <w:r w:rsidRPr="00E97289">
                        <w:rPr>
                          <w:b w:val="0"/>
                        </w:rPr>
                        <w:t>London SW1A 2BQ</w:t>
                      </w:r>
                    </w:p>
                    <w:p w14:paraId="52D677B3" w14:textId="77777777" w:rsidR="00BA5412" w:rsidRDefault="00BA5412" w:rsidP="00E97289">
                      <w:pPr>
                        <w:pStyle w:val="WebAddress"/>
                      </w:pPr>
                      <w:r w:rsidRPr="00E97289">
                        <w:t>www.gov.uk/dcms</w:t>
                      </w:r>
                    </w:p>
                  </w:txbxContent>
                </v:textbox>
              </v:shape>
            </w:pict>
          </mc:Fallback>
        </mc:AlternateContent>
      </w:r>
    </w:p>
    <w:sectPr w:rsidR="00125909" w:rsidRPr="00D04FA6" w:rsidSect="002D3E77">
      <w:headerReference w:type="even" r:id="rId20"/>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15E09" w14:textId="77777777" w:rsidR="006301D1" w:rsidRDefault="006301D1" w:rsidP="00FD27B8">
      <w:pPr>
        <w:pStyle w:val="Header"/>
      </w:pPr>
      <w:r>
        <w:separator/>
      </w:r>
    </w:p>
    <w:p w14:paraId="68515BBB" w14:textId="77777777" w:rsidR="006301D1" w:rsidRDefault="006301D1"/>
  </w:endnote>
  <w:endnote w:type="continuationSeparator" w:id="0">
    <w:p w14:paraId="6801AA07" w14:textId="77777777" w:rsidR="006301D1" w:rsidRDefault="006301D1" w:rsidP="00FD27B8">
      <w:pPr>
        <w:pStyle w:val="Header"/>
      </w:pPr>
      <w:r>
        <w:continuationSeparator/>
      </w:r>
    </w:p>
    <w:p w14:paraId="22E4D03F" w14:textId="77777777" w:rsidR="006301D1" w:rsidRDefault="006301D1"/>
  </w:endnote>
  <w:endnote w:type="continuationNotice" w:id="1">
    <w:p w14:paraId="411F29A7" w14:textId="77777777" w:rsidR="006301D1" w:rsidRDefault="006301D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604AF" w14:textId="77777777" w:rsidR="006301D1" w:rsidRDefault="006301D1" w:rsidP="00FD27B8">
      <w:pPr>
        <w:pStyle w:val="Header"/>
      </w:pPr>
    </w:p>
    <w:p w14:paraId="664E9E6B" w14:textId="77777777" w:rsidR="006301D1" w:rsidRDefault="006301D1"/>
  </w:footnote>
  <w:footnote w:type="continuationSeparator" w:id="0">
    <w:p w14:paraId="7F6CB5F5" w14:textId="77777777" w:rsidR="006301D1" w:rsidRDefault="006301D1" w:rsidP="00FD27B8">
      <w:pPr>
        <w:pStyle w:val="Header"/>
      </w:pPr>
      <w:r>
        <w:continuationSeparator/>
      </w:r>
    </w:p>
    <w:p w14:paraId="088D7177" w14:textId="77777777" w:rsidR="006301D1" w:rsidRDefault="006301D1"/>
  </w:footnote>
  <w:footnote w:type="continuationNotice" w:id="1">
    <w:p w14:paraId="7273B532" w14:textId="77777777" w:rsidR="006301D1" w:rsidRDefault="006301D1">
      <w:pPr>
        <w:spacing w:before="0"/>
      </w:pPr>
    </w:p>
  </w:footnote>
  <w:footnote w:id="2">
    <w:p w14:paraId="52D677A9" w14:textId="77777777" w:rsidR="00BA5412" w:rsidRPr="00663ECE" w:rsidRDefault="00BA5412" w:rsidP="00E22E84">
      <w:pPr>
        <w:pStyle w:val="FootnoteText"/>
        <w:ind w:left="567"/>
        <w:rPr>
          <w:sz w:val="18"/>
          <w:szCs w:val="18"/>
        </w:rPr>
      </w:pPr>
      <w:r w:rsidRPr="00663ECE">
        <w:rPr>
          <w:rStyle w:val="FootnoteReference"/>
          <w:sz w:val="18"/>
          <w:szCs w:val="18"/>
        </w:rPr>
        <w:footnoteRef/>
      </w:r>
      <w:r w:rsidRPr="00663ECE">
        <w:rPr>
          <w:sz w:val="18"/>
          <w:szCs w:val="18"/>
        </w:rPr>
        <w:t xml:space="preserve"> Digital Radio Action Plan – DCMS 9 January 2014. https://www.gov.uk/government/publications/digital-radio-action-plan</w:t>
      </w:r>
    </w:p>
  </w:footnote>
  <w:footnote w:id="3">
    <w:p w14:paraId="52D677AA" w14:textId="77777777" w:rsidR="00BA5412" w:rsidRDefault="00BA5412" w:rsidP="00663ECE">
      <w:pPr>
        <w:pStyle w:val="FootnoteText"/>
        <w:ind w:left="567"/>
      </w:pPr>
      <w:r w:rsidRPr="00663ECE">
        <w:rPr>
          <w:rStyle w:val="FootnoteReference"/>
          <w:sz w:val="18"/>
          <w:szCs w:val="18"/>
        </w:rPr>
        <w:footnoteRef/>
      </w:r>
      <w:r w:rsidRPr="00663ECE">
        <w:rPr>
          <w:sz w:val="18"/>
          <w:szCs w:val="18"/>
        </w:rPr>
        <w:t xml:space="preserve"> Local commercial radio analogue licence durations consultation, March 2014 - http://stakeholders.ofcom.org.uk/consultations/local-radio-durations/?a=0</w:t>
      </w:r>
    </w:p>
  </w:footnote>
  <w:footnote w:id="4">
    <w:p w14:paraId="52D677AB" w14:textId="77777777" w:rsidR="00BA5412" w:rsidRPr="004E13D2" w:rsidRDefault="00BA5412" w:rsidP="004E13D2">
      <w:pPr>
        <w:pStyle w:val="FootnoteText"/>
        <w:ind w:left="426"/>
        <w:rPr>
          <w:sz w:val="18"/>
          <w:szCs w:val="18"/>
        </w:rPr>
      </w:pPr>
      <w:r w:rsidRPr="004E13D2">
        <w:rPr>
          <w:rStyle w:val="FootnoteReference"/>
          <w:sz w:val="18"/>
          <w:szCs w:val="18"/>
        </w:rPr>
        <w:footnoteRef/>
      </w:r>
      <w:r w:rsidRPr="004E13D2">
        <w:rPr>
          <w:sz w:val="18"/>
          <w:szCs w:val="18"/>
        </w:rPr>
        <w:t xml:space="preserve"> Ofcom: Local commercial analogue radio licence durations</w:t>
      </w:r>
      <w:r>
        <w:rPr>
          <w:sz w:val="18"/>
          <w:szCs w:val="18"/>
        </w:rPr>
        <w:t>. 16 June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BA5412" w14:paraId="52D6778D" w14:textId="77777777" w:rsidTr="00A35E9E">
      <w:tc>
        <w:tcPr>
          <w:tcW w:w="10080" w:type="dxa"/>
        </w:tcPr>
        <w:p w14:paraId="52D6778C" w14:textId="77777777" w:rsidR="00BA5412" w:rsidRDefault="00BA5412">
          <w:pPr>
            <w:pStyle w:val="Header"/>
          </w:pPr>
          <w:r>
            <w:t>Department for Culture, Media and Sport</w:t>
          </w:r>
        </w:p>
      </w:tc>
    </w:tr>
    <w:tr w:rsidR="00BA5412" w14:paraId="52D6778F" w14:textId="77777777" w:rsidTr="00A35E9E">
      <w:tc>
        <w:tcPr>
          <w:tcW w:w="10080" w:type="dxa"/>
        </w:tcPr>
        <w:p w14:paraId="52D6778E" w14:textId="77777777" w:rsidR="00BA5412" w:rsidRDefault="00BA5412" w:rsidP="00F51926">
          <w:pPr>
            <w:pStyle w:val="HeaderBold"/>
          </w:pPr>
          <w:r>
            <w:t>DocumentTitle</w:t>
          </w:r>
        </w:p>
      </w:tc>
    </w:tr>
  </w:tbl>
  <w:p w14:paraId="52D67790" w14:textId="77777777" w:rsidR="00BA5412" w:rsidRDefault="00BA5412" w:rsidP="00A35E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BA5412" w14:paraId="52D67792" w14:textId="77777777" w:rsidTr="00A35E9E">
      <w:tc>
        <w:tcPr>
          <w:tcW w:w="10080" w:type="dxa"/>
        </w:tcPr>
        <w:p w14:paraId="52D67791" w14:textId="77777777" w:rsidR="00BA5412" w:rsidRDefault="00BA5412" w:rsidP="00FA3AF7">
          <w:pPr>
            <w:pStyle w:val="Header"/>
          </w:pPr>
          <w:r>
            <w:t>Department for Culture, Media &amp; Sport</w:t>
          </w:r>
        </w:p>
      </w:tc>
    </w:tr>
    <w:tr w:rsidR="00BA5412" w14:paraId="52D67794" w14:textId="77777777" w:rsidTr="00A35E9E">
      <w:tc>
        <w:tcPr>
          <w:tcW w:w="10080" w:type="dxa"/>
        </w:tcPr>
        <w:p w14:paraId="52D67793" w14:textId="77777777" w:rsidR="00BA5412" w:rsidRDefault="00BA5412" w:rsidP="00F51926">
          <w:pPr>
            <w:pStyle w:val="HeaderBold"/>
          </w:pPr>
          <w:r>
            <w:t>Renewal of analogue commercial radio licences</w:t>
          </w:r>
        </w:p>
      </w:tc>
    </w:tr>
  </w:tbl>
  <w:p w14:paraId="52D67795" w14:textId="77777777" w:rsidR="00BA5412" w:rsidRDefault="00BA5412" w:rsidP="00A35E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BA5412" w14:paraId="52D67798" w14:textId="77777777" w:rsidTr="00645DC4">
      <w:tc>
        <w:tcPr>
          <w:tcW w:w="648" w:type="dxa"/>
        </w:tcPr>
        <w:p w14:paraId="52D67796" w14:textId="146E8BE3" w:rsidR="00BA5412" w:rsidRDefault="00BA5412" w:rsidP="004E5986">
          <w:pPr>
            <w:pStyle w:val="Header"/>
            <w:jc w:val="right"/>
          </w:pPr>
          <w:r>
            <w:rPr>
              <w:noProof/>
              <w:lang w:val="en-US" w:eastAsia="en-US"/>
            </w:rPr>
            <mc:AlternateContent>
              <mc:Choice Requires="wps">
                <w:drawing>
                  <wp:anchor distT="0" distB="0" distL="114300" distR="114300" simplePos="0" relativeHeight="251657728" behindDoc="0" locked="0" layoutInCell="1" allowOverlap="1" wp14:anchorId="52D677A5" wp14:editId="52D677A6">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2D677B4" w14:textId="77777777" w:rsidR="00BA5412" w:rsidRDefault="00BA5412" w:rsidP="00FE5D2B">
                                <w:pPr>
                                  <w:pStyle w:val="HeaderBold"/>
                                  <w:jc w:val="center"/>
                                </w:pPr>
                                <w:r>
                                  <w:fldChar w:fldCharType="begin"/>
                                </w:r>
                                <w:r>
                                  <w:instrText xml:space="preserve"> PAGE  \* Arabic  \* MERGEFORMAT </w:instrText>
                                </w:r>
                                <w:r>
                                  <w:fldChar w:fldCharType="separate"/>
                                </w:r>
                                <w:r w:rsidR="00ED6B31">
                                  <w:rPr>
                                    <w:noProof/>
                                  </w:rPr>
                                  <w:t>4</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14:paraId="52D677B4" w14:textId="77777777" w:rsidR="00BA5412" w:rsidRDefault="00BA5412" w:rsidP="00FE5D2B">
                          <w:pPr>
                            <w:pStyle w:val="HeaderBold"/>
                            <w:jc w:val="center"/>
                          </w:pPr>
                          <w:r>
                            <w:fldChar w:fldCharType="begin"/>
                          </w:r>
                          <w:r>
                            <w:instrText xml:space="preserve"> PAGE  \* Arabic  \* MERGEFORMAT </w:instrText>
                          </w:r>
                          <w:r>
                            <w:fldChar w:fldCharType="separate"/>
                          </w:r>
                          <w:r w:rsidR="00731FD0">
                            <w:rPr>
                              <w:noProof/>
                            </w:rPr>
                            <w:t>8</w:t>
                          </w:r>
                          <w:r>
                            <w:fldChar w:fldCharType="end"/>
                          </w:r>
                        </w:p>
                      </w:txbxContent>
                    </v:textbox>
                  </v:shape>
                </w:pict>
              </mc:Fallback>
            </mc:AlternateContent>
          </w:r>
        </w:p>
      </w:tc>
      <w:tc>
        <w:tcPr>
          <w:tcW w:w="9360" w:type="dxa"/>
        </w:tcPr>
        <w:p w14:paraId="52D67797" w14:textId="77777777" w:rsidR="00BA5412" w:rsidRDefault="00BA5412" w:rsidP="001B13C9">
          <w:pPr>
            <w:pStyle w:val="Header"/>
          </w:pPr>
          <w:r>
            <w:t>Department for Culture, Media &amp; Sport</w:t>
          </w:r>
        </w:p>
      </w:tc>
    </w:tr>
    <w:tr w:rsidR="00BA5412" w14:paraId="52D6779B" w14:textId="77777777" w:rsidTr="00645DC4">
      <w:tc>
        <w:tcPr>
          <w:tcW w:w="648" w:type="dxa"/>
        </w:tcPr>
        <w:p w14:paraId="52D67799" w14:textId="77777777" w:rsidR="00BA5412" w:rsidRDefault="00BA5412" w:rsidP="004E5986">
          <w:pPr>
            <w:pStyle w:val="HeaderBold"/>
            <w:jc w:val="right"/>
          </w:pPr>
        </w:p>
      </w:tc>
      <w:tc>
        <w:tcPr>
          <w:tcW w:w="9360" w:type="dxa"/>
        </w:tcPr>
        <w:p w14:paraId="52D6779A" w14:textId="77777777" w:rsidR="00BA5412" w:rsidRDefault="00BA5412" w:rsidP="00645DC4">
          <w:pPr>
            <w:pStyle w:val="HeaderBold"/>
          </w:pPr>
          <w:r>
            <w:t>Renewal of analogue commercial radio licences</w:t>
          </w:r>
        </w:p>
      </w:tc>
    </w:tr>
  </w:tbl>
  <w:p w14:paraId="52D6779C" w14:textId="77777777" w:rsidR="00BA5412" w:rsidRDefault="00BA5412" w:rsidP="00A35E9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BA5412" w14:paraId="52D6779F" w14:textId="77777777" w:rsidTr="00645DC4">
      <w:tc>
        <w:tcPr>
          <w:tcW w:w="8618" w:type="dxa"/>
        </w:tcPr>
        <w:p w14:paraId="52D6779D" w14:textId="3878532C" w:rsidR="00BA5412" w:rsidRDefault="00BA5412" w:rsidP="001B13C9">
          <w:pPr>
            <w:pStyle w:val="Header"/>
            <w:jc w:val="right"/>
          </w:pPr>
          <w:r>
            <w:t>Department for Culture, Media &amp; Sport</w:t>
          </w:r>
        </w:p>
      </w:tc>
      <w:tc>
        <w:tcPr>
          <w:tcW w:w="720" w:type="dxa"/>
        </w:tcPr>
        <w:p w14:paraId="52D6779E" w14:textId="77777777" w:rsidR="00BA5412" w:rsidRDefault="00BA5412">
          <w:pPr>
            <w:pStyle w:val="Header"/>
          </w:pPr>
          <w:r>
            <w:rPr>
              <w:noProof/>
              <w:lang w:val="en-US" w:eastAsia="en-US"/>
            </w:rPr>
            <mc:AlternateContent>
              <mc:Choice Requires="wps">
                <w:drawing>
                  <wp:anchor distT="0" distB="0" distL="114300" distR="114300" simplePos="0" relativeHeight="251656704" behindDoc="0" locked="0" layoutInCell="1" allowOverlap="1" wp14:anchorId="52D677A7" wp14:editId="52D677A8">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2D677B5" w14:textId="77777777" w:rsidR="00BA5412" w:rsidRDefault="00BA5412" w:rsidP="00FE5D2B">
                                <w:pPr>
                                  <w:pStyle w:val="HeaderBold"/>
                                  <w:jc w:val="center"/>
                                </w:pPr>
                                <w:r>
                                  <w:fldChar w:fldCharType="begin"/>
                                </w:r>
                                <w:r>
                                  <w:instrText xml:space="preserve"> PAGE  \* Arabic  \* MERGEFORMAT </w:instrText>
                                </w:r>
                                <w:r>
                                  <w:fldChar w:fldCharType="separate"/>
                                </w:r>
                                <w:r w:rsidR="00ED6B31">
                                  <w:rPr>
                                    <w:noProof/>
                                  </w:rPr>
                                  <w:t>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52D677B5" w14:textId="77777777" w:rsidR="00BA5412" w:rsidRDefault="00BA5412" w:rsidP="00FE5D2B">
                          <w:pPr>
                            <w:pStyle w:val="HeaderBold"/>
                            <w:jc w:val="center"/>
                          </w:pPr>
                          <w:r>
                            <w:fldChar w:fldCharType="begin"/>
                          </w:r>
                          <w:r>
                            <w:instrText xml:space="preserve"> PAGE  \* Arabic  \* MERGEFORMAT </w:instrText>
                          </w:r>
                          <w:r>
                            <w:fldChar w:fldCharType="separate"/>
                          </w:r>
                          <w:r w:rsidR="00731FD0">
                            <w:rPr>
                              <w:noProof/>
                            </w:rPr>
                            <w:t>9</w:t>
                          </w:r>
                          <w:r>
                            <w:fldChar w:fldCharType="end"/>
                          </w:r>
                        </w:p>
                      </w:txbxContent>
                    </v:textbox>
                  </v:shape>
                </w:pict>
              </mc:Fallback>
            </mc:AlternateContent>
          </w:r>
        </w:p>
      </w:tc>
    </w:tr>
    <w:tr w:rsidR="00BA5412" w14:paraId="52D677A2" w14:textId="77777777" w:rsidTr="00645DC4">
      <w:tc>
        <w:tcPr>
          <w:tcW w:w="8618" w:type="dxa"/>
        </w:tcPr>
        <w:p w14:paraId="52D677A0" w14:textId="77777777" w:rsidR="00BA5412" w:rsidRDefault="00BA5412" w:rsidP="00645DC4">
          <w:pPr>
            <w:pStyle w:val="HeaderBold"/>
            <w:jc w:val="right"/>
          </w:pPr>
          <w:r>
            <w:t>Renewal of analogue commercial radio licences</w:t>
          </w:r>
        </w:p>
      </w:tc>
      <w:tc>
        <w:tcPr>
          <w:tcW w:w="720" w:type="dxa"/>
        </w:tcPr>
        <w:p w14:paraId="52D677A1" w14:textId="77777777" w:rsidR="00BA5412" w:rsidRDefault="00BA5412" w:rsidP="001663B0">
          <w:pPr>
            <w:pStyle w:val="HeaderBold"/>
          </w:pPr>
        </w:p>
      </w:tc>
    </w:tr>
  </w:tbl>
  <w:p w14:paraId="52D677A3" w14:textId="77777777" w:rsidR="00BA5412" w:rsidRDefault="00BA541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77A4" w14:textId="77777777" w:rsidR="00BA5412" w:rsidRDefault="00BA5412" w:rsidP="00A35E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244295A"/>
    <w:multiLevelType w:val="hybridMultilevel"/>
    <w:tmpl w:val="12742A36"/>
    <w:lvl w:ilvl="0" w:tplc="9C80729A">
      <w:start w:val="8"/>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916486E"/>
    <w:multiLevelType w:val="hybridMultilevel"/>
    <w:tmpl w:val="BBB46E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1F3DCD"/>
    <w:multiLevelType w:val="hybridMultilevel"/>
    <w:tmpl w:val="E9946A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525A84"/>
    <w:multiLevelType w:val="hybridMultilevel"/>
    <w:tmpl w:val="78D635F2"/>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887956"/>
    <w:multiLevelType w:val="hybridMultilevel"/>
    <w:tmpl w:val="638EA128"/>
    <w:lvl w:ilvl="0" w:tplc="F580E40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6A141E"/>
    <w:multiLevelType w:val="hybridMultilevel"/>
    <w:tmpl w:val="CDCA3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CA6F48"/>
    <w:multiLevelType w:val="hybridMultilevel"/>
    <w:tmpl w:val="2CE6C9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943273"/>
    <w:multiLevelType w:val="hybridMultilevel"/>
    <w:tmpl w:val="638EA128"/>
    <w:lvl w:ilvl="0" w:tplc="F580E4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4">
    <w:nsid w:val="2EB33B1F"/>
    <w:multiLevelType w:val="hybridMultilevel"/>
    <w:tmpl w:val="D97888A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3C1A17"/>
    <w:multiLevelType w:val="multilevel"/>
    <w:tmpl w:val="4B42AF7E"/>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6">
    <w:nsid w:val="355C5AEC"/>
    <w:multiLevelType w:val="hybridMultilevel"/>
    <w:tmpl w:val="99BAE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1F4466"/>
    <w:multiLevelType w:val="hybridMultilevel"/>
    <w:tmpl w:val="298080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04EFF"/>
    <w:multiLevelType w:val="hybridMultilevel"/>
    <w:tmpl w:val="8864D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F1A18"/>
    <w:multiLevelType w:val="hybridMultilevel"/>
    <w:tmpl w:val="CDCA3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7D4370"/>
    <w:multiLevelType w:val="hybridMultilevel"/>
    <w:tmpl w:val="41F26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5365A9"/>
    <w:multiLevelType w:val="hybridMultilevel"/>
    <w:tmpl w:val="600074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6B34B4"/>
    <w:multiLevelType w:val="hybridMultilevel"/>
    <w:tmpl w:val="2B84D90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3">
    <w:nsid w:val="4B6E0E09"/>
    <w:multiLevelType w:val="hybridMultilevel"/>
    <w:tmpl w:val="4F70F0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5A7226"/>
    <w:multiLevelType w:val="hybridMultilevel"/>
    <w:tmpl w:val="F8A0D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61A4A48"/>
    <w:multiLevelType w:val="hybridMultilevel"/>
    <w:tmpl w:val="CDCA3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1B6206"/>
    <w:multiLevelType w:val="hybridMultilevel"/>
    <w:tmpl w:val="06904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28">
    <w:nsid w:val="6EA57E12"/>
    <w:multiLevelType w:val="hybridMultilevel"/>
    <w:tmpl w:val="8DCA06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6A01A7"/>
    <w:multiLevelType w:val="hybridMultilevel"/>
    <w:tmpl w:val="070E1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2811A2"/>
    <w:multiLevelType w:val="hybridMultilevel"/>
    <w:tmpl w:val="638EA128"/>
    <w:lvl w:ilvl="0" w:tplc="F580E4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B955FB"/>
    <w:multiLevelType w:val="hybridMultilevel"/>
    <w:tmpl w:val="B068F8E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2">
    <w:nsid w:val="7E030875"/>
    <w:multiLevelType w:val="hybridMultilevel"/>
    <w:tmpl w:val="939EA32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5"/>
  </w:num>
  <w:num w:numId="2">
    <w:abstractNumId w:val="13"/>
  </w:num>
  <w:num w:numId="3">
    <w:abstractNumId w:val="27"/>
  </w:num>
  <w:num w:numId="4">
    <w:abstractNumId w:val="0"/>
  </w:num>
  <w:num w:numId="5">
    <w:abstractNumId w:val="3"/>
  </w:num>
  <w:num w:numId="6">
    <w:abstractNumId w:val="5"/>
  </w:num>
  <w:num w:numId="7">
    <w:abstractNumId w:val="1"/>
  </w:num>
  <w:num w:numId="8">
    <w:abstractNumId w:val="2"/>
  </w:num>
  <w:num w:numId="9">
    <w:abstractNumId w:val="27"/>
  </w:num>
  <w:num w:numId="10">
    <w:abstractNumId w:val="15"/>
  </w:num>
  <w:num w:numId="11">
    <w:abstractNumId w:val="30"/>
  </w:num>
  <w:num w:numId="12">
    <w:abstractNumId w:val="18"/>
  </w:num>
  <w:num w:numId="13">
    <w:abstractNumId w:val="23"/>
  </w:num>
  <w:num w:numId="14">
    <w:abstractNumId w:val="7"/>
  </w:num>
  <w:num w:numId="15">
    <w:abstractNumId w:val="6"/>
  </w:num>
  <w:num w:numId="16">
    <w:abstractNumId w:val="11"/>
  </w:num>
  <w:num w:numId="17">
    <w:abstractNumId w:val="21"/>
  </w:num>
  <w:num w:numId="18">
    <w:abstractNumId w:val="29"/>
  </w:num>
  <w:num w:numId="19">
    <w:abstractNumId w:val="16"/>
  </w:num>
  <w:num w:numId="20">
    <w:abstractNumId w:val="19"/>
  </w:num>
  <w:num w:numId="21">
    <w:abstractNumId w:val="10"/>
  </w:num>
  <w:num w:numId="22">
    <w:abstractNumId w:val="25"/>
  </w:num>
  <w:num w:numId="23">
    <w:abstractNumId w:val="4"/>
  </w:num>
  <w:num w:numId="24">
    <w:abstractNumId w:val="14"/>
  </w:num>
  <w:num w:numId="25">
    <w:abstractNumId w:val="26"/>
  </w:num>
  <w:num w:numId="26">
    <w:abstractNumId w:val="12"/>
  </w:num>
  <w:num w:numId="27">
    <w:abstractNumId w:val="9"/>
  </w:num>
  <w:num w:numId="28">
    <w:abstractNumId w:val="8"/>
  </w:num>
  <w:num w:numId="29">
    <w:abstractNumId w:val="32"/>
  </w:num>
  <w:num w:numId="30">
    <w:abstractNumId w:val="24"/>
  </w:num>
  <w:num w:numId="31">
    <w:abstractNumId w:val="22"/>
  </w:num>
  <w:num w:numId="32">
    <w:abstractNumId w:val="31"/>
  </w:num>
  <w:num w:numId="33">
    <w:abstractNumId w:val="17"/>
  </w:num>
  <w:num w:numId="34">
    <w:abstractNumId w:val="2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83"/>
    <w:rsid w:val="00003E4F"/>
    <w:rsid w:val="00006CE3"/>
    <w:rsid w:val="00010B6D"/>
    <w:rsid w:val="000119DD"/>
    <w:rsid w:val="00015B61"/>
    <w:rsid w:val="000272A7"/>
    <w:rsid w:val="00027F57"/>
    <w:rsid w:val="000405AD"/>
    <w:rsid w:val="00041739"/>
    <w:rsid w:val="00042868"/>
    <w:rsid w:val="0004306B"/>
    <w:rsid w:val="00052A3E"/>
    <w:rsid w:val="00052F76"/>
    <w:rsid w:val="0005654A"/>
    <w:rsid w:val="00060D5C"/>
    <w:rsid w:val="0006134D"/>
    <w:rsid w:val="0006321D"/>
    <w:rsid w:val="00070A1E"/>
    <w:rsid w:val="000718D4"/>
    <w:rsid w:val="000725D8"/>
    <w:rsid w:val="000747CE"/>
    <w:rsid w:val="0007598B"/>
    <w:rsid w:val="0008195A"/>
    <w:rsid w:val="00082A8E"/>
    <w:rsid w:val="000A3907"/>
    <w:rsid w:val="000A6FFC"/>
    <w:rsid w:val="000A7D14"/>
    <w:rsid w:val="000C6A0C"/>
    <w:rsid w:val="000F236A"/>
    <w:rsid w:val="000F4864"/>
    <w:rsid w:val="00104C80"/>
    <w:rsid w:val="001062B9"/>
    <w:rsid w:val="00111B1F"/>
    <w:rsid w:val="001145D3"/>
    <w:rsid w:val="00116D8A"/>
    <w:rsid w:val="00117D26"/>
    <w:rsid w:val="00125909"/>
    <w:rsid w:val="00131A3F"/>
    <w:rsid w:val="00135142"/>
    <w:rsid w:val="001369EA"/>
    <w:rsid w:val="00155080"/>
    <w:rsid w:val="0015775F"/>
    <w:rsid w:val="00157A69"/>
    <w:rsid w:val="00157C15"/>
    <w:rsid w:val="001621BC"/>
    <w:rsid w:val="001663B0"/>
    <w:rsid w:val="00187DF4"/>
    <w:rsid w:val="001B13C9"/>
    <w:rsid w:val="001B3035"/>
    <w:rsid w:val="001B4E2F"/>
    <w:rsid w:val="001C35F0"/>
    <w:rsid w:val="001C6AAD"/>
    <w:rsid w:val="001D187C"/>
    <w:rsid w:val="001D1BD4"/>
    <w:rsid w:val="001D6E42"/>
    <w:rsid w:val="001D6FAA"/>
    <w:rsid w:val="001E1826"/>
    <w:rsid w:val="001E2003"/>
    <w:rsid w:val="001E4EE9"/>
    <w:rsid w:val="001F0A37"/>
    <w:rsid w:val="001F4ACA"/>
    <w:rsid w:val="001F5463"/>
    <w:rsid w:val="00211F4F"/>
    <w:rsid w:val="002122B9"/>
    <w:rsid w:val="00214793"/>
    <w:rsid w:val="00220892"/>
    <w:rsid w:val="00223F10"/>
    <w:rsid w:val="00225872"/>
    <w:rsid w:val="0023155C"/>
    <w:rsid w:val="0024027B"/>
    <w:rsid w:val="00240F1B"/>
    <w:rsid w:val="002436C4"/>
    <w:rsid w:val="00245AA5"/>
    <w:rsid w:val="00246FC5"/>
    <w:rsid w:val="00247145"/>
    <w:rsid w:val="00250933"/>
    <w:rsid w:val="00253104"/>
    <w:rsid w:val="00255C4F"/>
    <w:rsid w:val="00260024"/>
    <w:rsid w:val="00265479"/>
    <w:rsid w:val="00267D9A"/>
    <w:rsid w:val="002729F5"/>
    <w:rsid w:val="002803C8"/>
    <w:rsid w:val="00283206"/>
    <w:rsid w:val="0029345A"/>
    <w:rsid w:val="002941A0"/>
    <w:rsid w:val="002A2D0A"/>
    <w:rsid w:val="002B19A2"/>
    <w:rsid w:val="002B1B33"/>
    <w:rsid w:val="002B5C17"/>
    <w:rsid w:val="002C1B99"/>
    <w:rsid w:val="002C553E"/>
    <w:rsid w:val="002C5DF6"/>
    <w:rsid w:val="002C65F2"/>
    <w:rsid w:val="002D2A86"/>
    <w:rsid w:val="002D3E57"/>
    <w:rsid w:val="002D3E77"/>
    <w:rsid w:val="002D409B"/>
    <w:rsid w:val="002D7321"/>
    <w:rsid w:val="002D772A"/>
    <w:rsid w:val="002E2379"/>
    <w:rsid w:val="002E391C"/>
    <w:rsid w:val="002E512C"/>
    <w:rsid w:val="002E649F"/>
    <w:rsid w:val="002E7561"/>
    <w:rsid w:val="002F2EBC"/>
    <w:rsid w:val="002F35F1"/>
    <w:rsid w:val="002F69CC"/>
    <w:rsid w:val="00311DD3"/>
    <w:rsid w:val="00322B3F"/>
    <w:rsid w:val="0032655E"/>
    <w:rsid w:val="00327818"/>
    <w:rsid w:val="00334D06"/>
    <w:rsid w:val="00340B82"/>
    <w:rsid w:val="00357561"/>
    <w:rsid w:val="00361FA6"/>
    <w:rsid w:val="0037282F"/>
    <w:rsid w:val="003774A1"/>
    <w:rsid w:val="003A11CC"/>
    <w:rsid w:val="003B01BF"/>
    <w:rsid w:val="003C5C92"/>
    <w:rsid w:val="003D222F"/>
    <w:rsid w:val="003D7B62"/>
    <w:rsid w:val="003E2C43"/>
    <w:rsid w:val="003E3D08"/>
    <w:rsid w:val="003E3F33"/>
    <w:rsid w:val="003E5929"/>
    <w:rsid w:val="003E6B51"/>
    <w:rsid w:val="003F0099"/>
    <w:rsid w:val="003F720D"/>
    <w:rsid w:val="00401173"/>
    <w:rsid w:val="00401C56"/>
    <w:rsid w:val="00404E0B"/>
    <w:rsid w:val="00405412"/>
    <w:rsid w:val="004075A3"/>
    <w:rsid w:val="00410759"/>
    <w:rsid w:val="00411A25"/>
    <w:rsid w:val="004171D0"/>
    <w:rsid w:val="004247E4"/>
    <w:rsid w:val="00435158"/>
    <w:rsid w:val="0044569D"/>
    <w:rsid w:val="00445E04"/>
    <w:rsid w:val="00454FA7"/>
    <w:rsid w:val="004563B9"/>
    <w:rsid w:val="00475BBF"/>
    <w:rsid w:val="00477478"/>
    <w:rsid w:val="00477DB2"/>
    <w:rsid w:val="00492820"/>
    <w:rsid w:val="00493B5C"/>
    <w:rsid w:val="00494FE2"/>
    <w:rsid w:val="00497E55"/>
    <w:rsid w:val="004A627C"/>
    <w:rsid w:val="004A6BBF"/>
    <w:rsid w:val="004B7EBD"/>
    <w:rsid w:val="004C1548"/>
    <w:rsid w:val="004C2265"/>
    <w:rsid w:val="004C4260"/>
    <w:rsid w:val="004D6E11"/>
    <w:rsid w:val="004E0D16"/>
    <w:rsid w:val="004E0FF0"/>
    <w:rsid w:val="004E13D2"/>
    <w:rsid w:val="004E584F"/>
    <w:rsid w:val="004E5986"/>
    <w:rsid w:val="0050217D"/>
    <w:rsid w:val="00505FB2"/>
    <w:rsid w:val="0051143B"/>
    <w:rsid w:val="00517040"/>
    <w:rsid w:val="0052155B"/>
    <w:rsid w:val="00525BB3"/>
    <w:rsid w:val="0053677B"/>
    <w:rsid w:val="00540F3C"/>
    <w:rsid w:val="00542840"/>
    <w:rsid w:val="00543F2B"/>
    <w:rsid w:val="00550F5A"/>
    <w:rsid w:val="00565B50"/>
    <w:rsid w:val="00577B52"/>
    <w:rsid w:val="00583CF2"/>
    <w:rsid w:val="0058442A"/>
    <w:rsid w:val="00590413"/>
    <w:rsid w:val="00591AFB"/>
    <w:rsid w:val="005A51C7"/>
    <w:rsid w:val="005A5B84"/>
    <w:rsid w:val="005A5D21"/>
    <w:rsid w:val="005A76B6"/>
    <w:rsid w:val="005B04B7"/>
    <w:rsid w:val="005B238A"/>
    <w:rsid w:val="005B39EB"/>
    <w:rsid w:val="005B3AFA"/>
    <w:rsid w:val="005B6F88"/>
    <w:rsid w:val="005B7677"/>
    <w:rsid w:val="005C0326"/>
    <w:rsid w:val="005C0743"/>
    <w:rsid w:val="005C4984"/>
    <w:rsid w:val="005C6AA9"/>
    <w:rsid w:val="005D1207"/>
    <w:rsid w:val="005D3906"/>
    <w:rsid w:val="005D5FFE"/>
    <w:rsid w:val="005E09C7"/>
    <w:rsid w:val="005E2EFA"/>
    <w:rsid w:val="005E2FDB"/>
    <w:rsid w:val="005E332B"/>
    <w:rsid w:val="00606109"/>
    <w:rsid w:val="006062EE"/>
    <w:rsid w:val="00615832"/>
    <w:rsid w:val="00615ACC"/>
    <w:rsid w:val="00625EBB"/>
    <w:rsid w:val="006301D1"/>
    <w:rsid w:val="00630254"/>
    <w:rsid w:val="00631751"/>
    <w:rsid w:val="006351E3"/>
    <w:rsid w:val="00640386"/>
    <w:rsid w:val="00642D1B"/>
    <w:rsid w:val="00645DC4"/>
    <w:rsid w:val="00646023"/>
    <w:rsid w:val="00650B64"/>
    <w:rsid w:val="00661E19"/>
    <w:rsid w:val="00663ECE"/>
    <w:rsid w:val="00665B2A"/>
    <w:rsid w:val="006702A6"/>
    <w:rsid w:val="00671E89"/>
    <w:rsid w:val="0068195C"/>
    <w:rsid w:val="0068777F"/>
    <w:rsid w:val="0069013D"/>
    <w:rsid w:val="006A2792"/>
    <w:rsid w:val="006A5E7F"/>
    <w:rsid w:val="006B161C"/>
    <w:rsid w:val="006B3F1B"/>
    <w:rsid w:val="006B6106"/>
    <w:rsid w:val="006B7645"/>
    <w:rsid w:val="006C0520"/>
    <w:rsid w:val="006C1D0C"/>
    <w:rsid w:val="006C33E3"/>
    <w:rsid w:val="006C514C"/>
    <w:rsid w:val="006D16F6"/>
    <w:rsid w:val="006E4056"/>
    <w:rsid w:val="006E76D0"/>
    <w:rsid w:val="00702421"/>
    <w:rsid w:val="007036FE"/>
    <w:rsid w:val="00704506"/>
    <w:rsid w:val="007065AC"/>
    <w:rsid w:val="00710B0E"/>
    <w:rsid w:val="007161D5"/>
    <w:rsid w:val="00716A50"/>
    <w:rsid w:val="00720ECD"/>
    <w:rsid w:val="00724E7C"/>
    <w:rsid w:val="00726EC3"/>
    <w:rsid w:val="00731FD0"/>
    <w:rsid w:val="00733D78"/>
    <w:rsid w:val="00740BB4"/>
    <w:rsid w:val="00743318"/>
    <w:rsid w:val="00746AE3"/>
    <w:rsid w:val="0075134B"/>
    <w:rsid w:val="00760628"/>
    <w:rsid w:val="00761E9A"/>
    <w:rsid w:val="00767F75"/>
    <w:rsid w:val="00782184"/>
    <w:rsid w:val="007A182D"/>
    <w:rsid w:val="007A4A49"/>
    <w:rsid w:val="007B1027"/>
    <w:rsid w:val="007B306F"/>
    <w:rsid w:val="007C12E9"/>
    <w:rsid w:val="007C639E"/>
    <w:rsid w:val="007D0AD1"/>
    <w:rsid w:val="007D12BA"/>
    <w:rsid w:val="007D2BED"/>
    <w:rsid w:val="007D2BEF"/>
    <w:rsid w:val="007D35B7"/>
    <w:rsid w:val="007D38A0"/>
    <w:rsid w:val="007D67A2"/>
    <w:rsid w:val="007F75E6"/>
    <w:rsid w:val="008027B5"/>
    <w:rsid w:val="0081003F"/>
    <w:rsid w:val="00812DA1"/>
    <w:rsid w:val="00814965"/>
    <w:rsid w:val="00830E51"/>
    <w:rsid w:val="00831470"/>
    <w:rsid w:val="008362E3"/>
    <w:rsid w:val="0084105C"/>
    <w:rsid w:val="00841BC2"/>
    <w:rsid w:val="008500BD"/>
    <w:rsid w:val="00861A6B"/>
    <w:rsid w:val="00864CCC"/>
    <w:rsid w:val="00870449"/>
    <w:rsid w:val="00873CF4"/>
    <w:rsid w:val="00877210"/>
    <w:rsid w:val="008857E4"/>
    <w:rsid w:val="00896B96"/>
    <w:rsid w:val="0089744C"/>
    <w:rsid w:val="008A4F4F"/>
    <w:rsid w:val="008B3050"/>
    <w:rsid w:val="008C34C0"/>
    <w:rsid w:val="008D1852"/>
    <w:rsid w:val="008D3B91"/>
    <w:rsid w:val="008D7B48"/>
    <w:rsid w:val="008E1181"/>
    <w:rsid w:val="008E13A8"/>
    <w:rsid w:val="00900DAA"/>
    <w:rsid w:val="009042D3"/>
    <w:rsid w:val="009052F5"/>
    <w:rsid w:val="00906777"/>
    <w:rsid w:val="009075B2"/>
    <w:rsid w:val="00910FE1"/>
    <w:rsid w:val="00911BF5"/>
    <w:rsid w:val="00920EAC"/>
    <w:rsid w:val="0092196E"/>
    <w:rsid w:val="00921ECE"/>
    <w:rsid w:val="009253DB"/>
    <w:rsid w:val="00933613"/>
    <w:rsid w:val="00942EA8"/>
    <w:rsid w:val="009456CE"/>
    <w:rsid w:val="00950AEB"/>
    <w:rsid w:val="00962D11"/>
    <w:rsid w:val="0097556C"/>
    <w:rsid w:val="00976A5D"/>
    <w:rsid w:val="00981BB1"/>
    <w:rsid w:val="00985957"/>
    <w:rsid w:val="00987BD5"/>
    <w:rsid w:val="0099052D"/>
    <w:rsid w:val="00996262"/>
    <w:rsid w:val="009A5A04"/>
    <w:rsid w:val="009A6CA2"/>
    <w:rsid w:val="009B069B"/>
    <w:rsid w:val="009B0D32"/>
    <w:rsid w:val="009B3D14"/>
    <w:rsid w:val="009C1B73"/>
    <w:rsid w:val="009C4DEC"/>
    <w:rsid w:val="009D0CE3"/>
    <w:rsid w:val="009D17EC"/>
    <w:rsid w:val="009E1A86"/>
    <w:rsid w:val="009E3183"/>
    <w:rsid w:val="009E78C9"/>
    <w:rsid w:val="00A119CA"/>
    <w:rsid w:val="00A14050"/>
    <w:rsid w:val="00A22541"/>
    <w:rsid w:val="00A35E9E"/>
    <w:rsid w:val="00A5182D"/>
    <w:rsid w:val="00A56E1C"/>
    <w:rsid w:val="00A677F3"/>
    <w:rsid w:val="00A71451"/>
    <w:rsid w:val="00A81933"/>
    <w:rsid w:val="00A9448C"/>
    <w:rsid w:val="00AA0178"/>
    <w:rsid w:val="00AA40E7"/>
    <w:rsid w:val="00AB2AB1"/>
    <w:rsid w:val="00AC5DCB"/>
    <w:rsid w:val="00AE2A0A"/>
    <w:rsid w:val="00AE7933"/>
    <w:rsid w:val="00AF094D"/>
    <w:rsid w:val="00AF150D"/>
    <w:rsid w:val="00AF50C8"/>
    <w:rsid w:val="00AF775C"/>
    <w:rsid w:val="00B06E13"/>
    <w:rsid w:val="00B073E4"/>
    <w:rsid w:val="00B11880"/>
    <w:rsid w:val="00B15705"/>
    <w:rsid w:val="00B16196"/>
    <w:rsid w:val="00B263BD"/>
    <w:rsid w:val="00B30F99"/>
    <w:rsid w:val="00B34FA9"/>
    <w:rsid w:val="00B36397"/>
    <w:rsid w:val="00B43DD3"/>
    <w:rsid w:val="00B466D2"/>
    <w:rsid w:val="00B52CB1"/>
    <w:rsid w:val="00B5482B"/>
    <w:rsid w:val="00B61AB9"/>
    <w:rsid w:val="00B61E11"/>
    <w:rsid w:val="00B91E98"/>
    <w:rsid w:val="00B922EC"/>
    <w:rsid w:val="00B928E4"/>
    <w:rsid w:val="00BA5412"/>
    <w:rsid w:val="00BA6271"/>
    <w:rsid w:val="00BA715A"/>
    <w:rsid w:val="00BB0DDA"/>
    <w:rsid w:val="00BB39FB"/>
    <w:rsid w:val="00BB6F1C"/>
    <w:rsid w:val="00BC770A"/>
    <w:rsid w:val="00BD2D0B"/>
    <w:rsid w:val="00BD3C7C"/>
    <w:rsid w:val="00BD3D34"/>
    <w:rsid w:val="00BD592B"/>
    <w:rsid w:val="00BE4A27"/>
    <w:rsid w:val="00BF164D"/>
    <w:rsid w:val="00BF5395"/>
    <w:rsid w:val="00C01BDF"/>
    <w:rsid w:val="00C03131"/>
    <w:rsid w:val="00C07DC1"/>
    <w:rsid w:val="00C145CD"/>
    <w:rsid w:val="00C15929"/>
    <w:rsid w:val="00C17844"/>
    <w:rsid w:val="00C275B7"/>
    <w:rsid w:val="00C52E8C"/>
    <w:rsid w:val="00C55809"/>
    <w:rsid w:val="00C6497E"/>
    <w:rsid w:val="00C713C3"/>
    <w:rsid w:val="00C748D0"/>
    <w:rsid w:val="00C767AD"/>
    <w:rsid w:val="00C84DB0"/>
    <w:rsid w:val="00C95C8D"/>
    <w:rsid w:val="00CA17FC"/>
    <w:rsid w:val="00CA2FF9"/>
    <w:rsid w:val="00CA6EA2"/>
    <w:rsid w:val="00CC02EF"/>
    <w:rsid w:val="00CC1B2D"/>
    <w:rsid w:val="00CC4E3B"/>
    <w:rsid w:val="00CE0A8D"/>
    <w:rsid w:val="00CE51DC"/>
    <w:rsid w:val="00CE77F5"/>
    <w:rsid w:val="00CF0597"/>
    <w:rsid w:val="00CF096A"/>
    <w:rsid w:val="00D019B7"/>
    <w:rsid w:val="00D03D99"/>
    <w:rsid w:val="00D04FA6"/>
    <w:rsid w:val="00D05FBF"/>
    <w:rsid w:val="00D1194B"/>
    <w:rsid w:val="00D134B1"/>
    <w:rsid w:val="00D13843"/>
    <w:rsid w:val="00D16A56"/>
    <w:rsid w:val="00D255EF"/>
    <w:rsid w:val="00D2732F"/>
    <w:rsid w:val="00D315E2"/>
    <w:rsid w:val="00D347CB"/>
    <w:rsid w:val="00D4258B"/>
    <w:rsid w:val="00D468FE"/>
    <w:rsid w:val="00D504AF"/>
    <w:rsid w:val="00D6339E"/>
    <w:rsid w:val="00D64443"/>
    <w:rsid w:val="00D66317"/>
    <w:rsid w:val="00D73CC1"/>
    <w:rsid w:val="00D804E9"/>
    <w:rsid w:val="00D8513B"/>
    <w:rsid w:val="00D86F06"/>
    <w:rsid w:val="00D9489F"/>
    <w:rsid w:val="00DA248B"/>
    <w:rsid w:val="00DA7BB4"/>
    <w:rsid w:val="00DB69E8"/>
    <w:rsid w:val="00DB7369"/>
    <w:rsid w:val="00DD3BA0"/>
    <w:rsid w:val="00DD4B6B"/>
    <w:rsid w:val="00DE0B98"/>
    <w:rsid w:val="00DE4BD9"/>
    <w:rsid w:val="00DE5CAA"/>
    <w:rsid w:val="00E002AD"/>
    <w:rsid w:val="00E00CAE"/>
    <w:rsid w:val="00E033EA"/>
    <w:rsid w:val="00E06BD7"/>
    <w:rsid w:val="00E1082D"/>
    <w:rsid w:val="00E11809"/>
    <w:rsid w:val="00E15968"/>
    <w:rsid w:val="00E219E2"/>
    <w:rsid w:val="00E22E84"/>
    <w:rsid w:val="00E27C51"/>
    <w:rsid w:val="00E41EE6"/>
    <w:rsid w:val="00E4661B"/>
    <w:rsid w:val="00E5441E"/>
    <w:rsid w:val="00E60029"/>
    <w:rsid w:val="00E62E9B"/>
    <w:rsid w:val="00E643E2"/>
    <w:rsid w:val="00E76476"/>
    <w:rsid w:val="00E7796B"/>
    <w:rsid w:val="00E916EB"/>
    <w:rsid w:val="00E92CC8"/>
    <w:rsid w:val="00E94D71"/>
    <w:rsid w:val="00E97289"/>
    <w:rsid w:val="00EB2A18"/>
    <w:rsid w:val="00EB35BA"/>
    <w:rsid w:val="00EB5DF4"/>
    <w:rsid w:val="00EC0841"/>
    <w:rsid w:val="00EC6521"/>
    <w:rsid w:val="00ED6B31"/>
    <w:rsid w:val="00EE7FDC"/>
    <w:rsid w:val="00EF4A0F"/>
    <w:rsid w:val="00EF55CC"/>
    <w:rsid w:val="00F02588"/>
    <w:rsid w:val="00F05B3D"/>
    <w:rsid w:val="00F066E3"/>
    <w:rsid w:val="00F105A2"/>
    <w:rsid w:val="00F1306B"/>
    <w:rsid w:val="00F21E39"/>
    <w:rsid w:val="00F234B1"/>
    <w:rsid w:val="00F24D31"/>
    <w:rsid w:val="00F266C6"/>
    <w:rsid w:val="00F40E07"/>
    <w:rsid w:val="00F4553F"/>
    <w:rsid w:val="00F50114"/>
    <w:rsid w:val="00F51926"/>
    <w:rsid w:val="00F545C4"/>
    <w:rsid w:val="00F666D9"/>
    <w:rsid w:val="00F74BD7"/>
    <w:rsid w:val="00F80452"/>
    <w:rsid w:val="00F878CE"/>
    <w:rsid w:val="00F928E1"/>
    <w:rsid w:val="00F9791D"/>
    <w:rsid w:val="00FA2772"/>
    <w:rsid w:val="00FA396B"/>
    <w:rsid w:val="00FA3AF7"/>
    <w:rsid w:val="00FA526F"/>
    <w:rsid w:val="00FA57BC"/>
    <w:rsid w:val="00FA5A08"/>
    <w:rsid w:val="00FB4543"/>
    <w:rsid w:val="00FB74E7"/>
    <w:rsid w:val="00FC0ECE"/>
    <w:rsid w:val="00FD125B"/>
    <w:rsid w:val="00FD27B8"/>
    <w:rsid w:val="00FD50E3"/>
    <w:rsid w:val="00FD63D7"/>
    <w:rsid w:val="00FD7232"/>
    <w:rsid w:val="00FE10BB"/>
    <w:rsid w:val="00FE3712"/>
    <w:rsid w:val="00FE5D2B"/>
    <w:rsid w:val="00FE69E8"/>
    <w:rsid w:val="00FE6E85"/>
    <w:rsid w:val="00FE7513"/>
    <w:rsid w:val="00FF1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D6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782184"/>
    <w:pPr>
      <w:ind w:left="720"/>
      <w:contextualSpacing/>
    </w:pPr>
  </w:style>
  <w:style w:type="character" w:styleId="CommentReference">
    <w:name w:val="annotation reference"/>
    <w:basedOn w:val="DefaultParagraphFont"/>
    <w:rsid w:val="00591AFB"/>
    <w:rPr>
      <w:sz w:val="16"/>
      <w:szCs w:val="16"/>
    </w:rPr>
  </w:style>
  <w:style w:type="paragraph" w:styleId="CommentText">
    <w:name w:val="annotation text"/>
    <w:basedOn w:val="Normal"/>
    <w:link w:val="CommentTextChar"/>
    <w:rsid w:val="00591AFB"/>
    <w:rPr>
      <w:sz w:val="20"/>
      <w:szCs w:val="20"/>
    </w:rPr>
  </w:style>
  <w:style w:type="character" w:customStyle="1" w:styleId="CommentTextChar">
    <w:name w:val="Comment Text Char"/>
    <w:basedOn w:val="DefaultParagraphFont"/>
    <w:link w:val="CommentText"/>
    <w:rsid w:val="00591AFB"/>
    <w:rPr>
      <w:sz w:val="20"/>
      <w:szCs w:val="20"/>
    </w:rPr>
  </w:style>
  <w:style w:type="paragraph" w:styleId="CommentSubject">
    <w:name w:val="annotation subject"/>
    <w:basedOn w:val="CommentText"/>
    <w:next w:val="CommentText"/>
    <w:link w:val="CommentSubjectChar"/>
    <w:rsid w:val="00591AFB"/>
    <w:rPr>
      <w:b/>
      <w:bCs/>
    </w:rPr>
  </w:style>
  <w:style w:type="character" w:customStyle="1" w:styleId="CommentSubjectChar">
    <w:name w:val="Comment Subject Char"/>
    <w:basedOn w:val="CommentTextChar"/>
    <w:link w:val="CommentSubject"/>
    <w:rsid w:val="00591AFB"/>
    <w:rPr>
      <w:b/>
      <w:bCs/>
      <w:sz w:val="20"/>
      <w:szCs w:val="20"/>
    </w:rPr>
  </w:style>
  <w:style w:type="paragraph" w:styleId="EndnoteText">
    <w:name w:val="endnote text"/>
    <w:basedOn w:val="Normal"/>
    <w:link w:val="EndnoteTextChar"/>
    <w:rsid w:val="000A7D14"/>
    <w:pPr>
      <w:spacing w:before="0"/>
    </w:pPr>
    <w:rPr>
      <w:sz w:val="20"/>
      <w:szCs w:val="20"/>
    </w:rPr>
  </w:style>
  <w:style w:type="character" w:customStyle="1" w:styleId="EndnoteTextChar">
    <w:name w:val="Endnote Text Char"/>
    <w:basedOn w:val="DefaultParagraphFont"/>
    <w:link w:val="EndnoteText"/>
    <w:rsid w:val="000A7D14"/>
    <w:rPr>
      <w:sz w:val="20"/>
      <w:szCs w:val="20"/>
    </w:rPr>
  </w:style>
  <w:style w:type="character" w:styleId="EndnoteReference">
    <w:name w:val="endnote reference"/>
    <w:basedOn w:val="DefaultParagraphFont"/>
    <w:rsid w:val="000A7D14"/>
    <w:rPr>
      <w:vertAlign w:val="superscript"/>
    </w:rPr>
  </w:style>
  <w:style w:type="character" w:styleId="FollowedHyperlink">
    <w:name w:val="FollowedHyperlink"/>
    <w:basedOn w:val="DefaultParagraphFont"/>
    <w:rsid w:val="000725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782184"/>
    <w:pPr>
      <w:ind w:left="720"/>
      <w:contextualSpacing/>
    </w:pPr>
  </w:style>
  <w:style w:type="character" w:styleId="CommentReference">
    <w:name w:val="annotation reference"/>
    <w:basedOn w:val="DefaultParagraphFont"/>
    <w:rsid w:val="00591AFB"/>
    <w:rPr>
      <w:sz w:val="16"/>
      <w:szCs w:val="16"/>
    </w:rPr>
  </w:style>
  <w:style w:type="paragraph" w:styleId="CommentText">
    <w:name w:val="annotation text"/>
    <w:basedOn w:val="Normal"/>
    <w:link w:val="CommentTextChar"/>
    <w:rsid w:val="00591AFB"/>
    <w:rPr>
      <w:sz w:val="20"/>
      <w:szCs w:val="20"/>
    </w:rPr>
  </w:style>
  <w:style w:type="character" w:customStyle="1" w:styleId="CommentTextChar">
    <w:name w:val="Comment Text Char"/>
    <w:basedOn w:val="DefaultParagraphFont"/>
    <w:link w:val="CommentText"/>
    <w:rsid w:val="00591AFB"/>
    <w:rPr>
      <w:sz w:val="20"/>
      <w:szCs w:val="20"/>
    </w:rPr>
  </w:style>
  <w:style w:type="paragraph" w:styleId="CommentSubject">
    <w:name w:val="annotation subject"/>
    <w:basedOn w:val="CommentText"/>
    <w:next w:val="CommentText"/>
    <w:link w:val="CommentSubjectChar"/>
    <w:rsid w:val="00591AFB"/>
    <w:rPr>
      <w:b/>
      <w:bCs/>
    </w:rPr>
  </w:style>
  <w:style w:type="character" w:customStyle="1" w:styleId="CommentSubjectChar">
    <w:name w:val="Comment Subject Char"/>
    <w:basedOn w:val="CommentTextChar"/>
    <w:link w:val="CommentSubject"/>
    <w:rsid w:val="00591AFB"/>
    <w:rPr>
      <w:b/>
      <w:bCs/>
      <w:sz w:val="20"/>
      <w:szCs w:val="20"/>
    </w:rPr>
  </w:style>
  <w:style w:type="paragraph" w:styleId="EndnoteText">
    <w:name w:val="endnote text"/>
    <w:basedOn w:val="Normal"/>
    <w:link w:val="EndnoteTextChar"/>
    <w:rsid w:val="000A7D14"/>
    <w:pPr>
      <w:spacing w:before="0"/>
    </w:pPr>
    <w:rPr>
      <w:sz w:val="20"/>
      <w:szCs w:val="20"/>
    </w:rPr>
  </w:style>
  <w:style w:type="character" w:customStyle="1" w:styleId="EndnoteTextChar">
    <w:name w:val="Endnote Text Char"/>
    <w:basedOn w:val="DefaultParagraphFont"/>
    <w:link w:val="EndnoteText"/>
    <w:rsid w:val="000A7D14"/>
    <w:rPr>
      <w:sz w:val="20"/>
      <w:szCs w:val="20"/>
    </w:rPr>
  </w:style>
  <w:style w:type="character" w:styleId="EndnoteReference">
    <w:name w:val="endnote reference"/>
    <w:basedOn w:val="DefaultParagraphFont"/>
    <w:rsid w:val="000A7D14"/>
    <w:rPr>
      <w:vertAlign w:val="superscript"/>
    </w:rPr>
  </w:style>
  <w:style w:type="character" w:styleId="FollowedHyperlink">
    <w:name w:val="FollowedHyperlink"/>
    <w:basedOn w:val="DefaultParagraphFont"/>
    <w:rsid w:val="00072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3795">
      <w:bodyDiv w:val="1"/>
      <w:marLeft w:val="0"/>
      <w:marRight w:val="0"/>
      <w:marTop w:val="0"/>
      <w:marBottom w:val="0"/>
      <w:divBdr>
        <w:top w:val="none" w:sz="0" w:space="0" w:color="auto"/>
        <w:left w:val="none" w:sz="0" w:space="0" w:color="auto"/>
        <w:bottom w:val="none" w:sz="0" w:space="0" w:color="auto"/>
        <w:right w:val="none" w:sz="0" w:space="0" w:color="auto"/>
      </w:divBdr>
    </w:div>
    <w:div w:id="250548115">
      <w:bodyDiv w:val="1"/>
      <w:marLeft w:val="0"/>
      <w:marRight w:val="0"/>
      <w:marTop w:val="0"/>
      <w:marBottom w:val="0"/>
      <w:divBdr>
        <w:top w:val="none" w:sz="0" w:space="0" w:color="auto"/>
        <w:left w:val="none" w:sz="0" w:space="0" w:color="auto"/>
        <w:bottom w:val="none" w:sz="0" w:space="0" w:color="auto"/>
        <w:right w:val="none" w:sz="0" w:space="0" w:color="auto"/>
      </w:divBdr>
      <w:divsChild>
        <w:div w:id="188035906">
          <w:marLeft w:val="0"/>
          <w:marRight w:val="0"/>
          <w:marTop w:val="0"/>
          <w:marBottom w:val="0"/>
          <w:divBdr>
            <w:top w:val="none" w:sz="0" w:space="0" w:color="auto"/>
            <w:left w:val="none" w:sz="0" w:space="0" w:color="auto"/>
            <w:bottom w:val="none" w:sz="0" w:space="0" w:color="auto"/>
            <w:right w:val="none" w:sz="0" w:space="0" w:color="auto"/>
          </w:divBdr>
          <w:divsChild>
            <w:div w:id="2098209818">
              <w:marLeft w:val="0"/>
              <w:marRight w:val="0"/>
              <w:marTop w:val="0"/>
              <w:marBottom w:val="0"/>
              <w:divBdr>
                <w:top w:val="single" w:sz="2" w:space="0" w:color="FFFFFF"/>
                <w:left w:val="single" w:sz="6" w:space="0" w:color="FFFFFF"/>
                <w:bottom w:val="single" w:sz="6" w:space="0" w:color="FFFFFF"/>
                <w:right w:val="single" w:sz="6" w:space="0" w:color="FFFFFF"/>
              </w:divBdr>
              <w:divsChild>
                <w:div w:id="1732459130">
                  <w:marLeft w:val="0"/>
                  <w:marRight w:val="0"/>
                  <w:marTop w:val="0"/>
                  <w:marBottom w:val="0"/>
                  <w:divBdr>
                    <w:top w:val="single" w:sz="6" w:space="1" w:color="D3D3D3"/>
                    <w:left w:val="none" w:sz="0" w:space="0" w:color="auto"/>
                    <w:bottom w:val="none" w:sz="0" w:space="0" w:color="auto"/>
                    <w:right w:val="none" w:sz="0" w:space="0" w:color="auto"/>
                  </w:divBdr>
                  <w:divsChild>
                    <w:div w:id="440614305">
                      <w:marLeft w:val="0"/>
                      <w:marRight w:val="0"/>
                      <w:marTop w:val="0"/>
                      <w:marBottom w:val="0"/>
                      <w:divBdr>
                        <w:top w:val="none" w:sz="0" w:space="0" w:color="auto"/>
                        <w:left w:val="none" w:sz="0" w:space="0" w:color="auto"/>
                        <w:bottom w:val="none" w:sz="0" w:space="0" w:color="auto"/>
                        <w:right w:val="none" w:sz="0" w:space="0" w:color="auto"/>
                      </w:divBdr>
                      <w:divsChild>
                        <w:div w:id="8795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74264">
      <w:bodyDiv w:val="1"/>
      <w:marLeft w:val="0"/>
      <w:marRight w:val="0"/>
      <w:marTop w:val="0"/>
      <w:marBottom w:val="0"/>
      <w:divBdr>
        <w:top w:val="none" w:sz="0" w:space="0" w:color="auto"/>
        <w:left w:val="none" w:sz="0" w:space="0" w:color="auto"/>
        <w:bottom w:val="none" w:sz="0" w:space="0" w:color="auto"/>
        <w:right w:val="none" w:sz="0" w:space="0" w:color="auto"/>
      </w:divBdr>
    </w:div>
    <w:div w:id="700595369">
      <w:bodyDiv w:val="1"/>
      <w:marLeft w:val="0"/>
      <w:marRight w:val="0"/>
      <w:marTop w:val="0"/>
      <w:marBottom w:val="0"/>
      <w:divBdr>
        <w:top w:val="none" w:sz="0" w:space="0" w:color="auto"/>
        <w:left w:val="none" w:sz="0" w:space="0" w:color="auto"/>
        <w:bottom w:val="none" w:sz="0" w:space="0" w:color="auto"/>
        <w:right w:val="none" w:sz="0" w:space="0" w:color="auto"/>
      </w:divBdr>
    </w:div>
    <w:div w:id="750467579">
      <w:bodyDiv w:val="1"/>
      <w:marLeft w:val="0"/>
      <w:marRight w:val="0"/>
      <w:marTop w:val="0"/>
      <w:marBottom w:val="0"/>
      <w:divBdr>
        <w:top w:val="none" w:sz="0" w:space="0" w:color="auto"/>
        <w:left w:val="none" w:sz="0" w:space="0" w:color="auto"/>
        <w:bottom w:val="none" w:sz="0" w:space="0" w:color="auto"/>
        <w:right w:val="none" w:sz="0" w:space="0" w:color="auto"/>
      </w:divBdr>
    </w:div>
    <w:div w:id="944575146">
      <w:bodyDiv w:val="1"/>
      <w:marLeft w:val="0"/>
      <w:marRight w:val="0"/>
      <w:marTop w:val="0"/>
      <w:marBottom w:val="0"/>
      <w:divBdr>
        <w:top w:val="none" w:sz="0" w:space="0" w:color="auto"/>
        <w:left w:val="none" w:sz="0" w:space="0" w:color="auto"/>
        <w:bottom w:val="none" w:sz="0" w:space="0" w:color="auto"/>
        <w:right w:val="none" w:sz="0" w:space="0" w:color="auto"/>
      </w:divBdr>
    </w:div>
    <w:div w:id="974212001">
      <w:bodyDiv w:val="1"/>
      <w:marLeft w:val="0"/>
      <w:marRight w:val="0"/>
      <w:marTop w:val="0"/>
      <w:marBottom w:val="0"/>
      <w:divBdr>
        <w:top w:val="none" w:sz="0" w:space="0" w:color="auto"/>
        <w:left w:val="none" w:sz="0" w:space="0" w:color="auto"/>
        <w:bottom w:val="none" w:sz="0" w:space="0" w:color="auto"/>
        <w:right w:val="none" w:sz="0" w:space="0" w:color="auto"/>
      </w:divBdr>
    </w:div>
    <w:div w:id="1131360954">
      <w:bodyDiv w:val="1"/>
      <w:marLeft w:val="0"/>
      <w:marRight w:val="0"/>
      <w:marTop w:val="0"/>
      <w:marBottom w:val="0"/>
      <w:divBdr>
        <w:top w:val="none" w:sz="0" w:space="0" w:color="auto"/>
        <w:left w:val="none" w:sz="0" w:space="0" w:color="auto"/>
        <w:bottom w:val="none" w:sz="0" w:space="0" w:color="auto"/>
        <w:right w:val="none" w:sz="0" w:space="0" w:color="auto"/>
      </w:divBdr>
    </w:div>
    <w:div w:id="1226719251">
      <w:bodyDiv w:val="1"/>
      <w:marLeft w:val="0"/>
      <w:marRight w:val="0"/>
      <w:marTop w:val="0"/>
      <w:marBottom w:val="0"/>
      <w:divBdr>
        <w:top w:val="none" w:sz="0" w:space="0" w:color="auto"/>
        <w:left w:val="none" w:sz="0" w:space="0" w:color="auto"/>
        <w:bottom w:val="none" w:sz="0" w:space="0" w:color="auto"/>
        <w:right w:val="none" w:sz="0" w:space="0" w:color="auto"/>
      </w:divBdr>
    </w:div>
    <w:div w:id="1380058276">
      <w:bodyDiv w:val="1"/>
      <w:marLeft w:val="0"/>
      <w:marRight w:val="0"/>
      <w:marTop w:val="0"/>
      <w:marBottom w:val="0"/>
      <w:divBdr>
        <w:top w:val="none" w:sz="0" w:space="0" w:color="auto"/>
        <w:left w:val="none" w:sz="0" w:space="0" w:color="auto"/>
        <w:bottom w:val="none" w:sz="0" w:space="0" w:color="auto"/>
        <w:right w:val="none" w:sz="0" w:space="0" w:color="auto"/>
      </w:divBdr>
    </w:div>
    <w:div w:id="1835561920">
      <w:bodyDiv w:val="1"/>
      <w:marLeft w:val="0"/>
      <w:marRight w:val="0"/>
      <w:marTop w:val="0"/>
      <w:marBottom w:val="0"/>
      <w:divBdr>
        <w:top w:val="none" w:sz="0" w:space="0" w:color="auto"/>
        <w:left w:val="none" w:sz="0" w:space="0" w:color="auto"/>
        <w:bottom w:val="none" w:sz="0" w:space="0" w:color="auto"/>
        <w:right w:val="none" w:sz="0" w:space="0" w:color="auto"/>
      </w:divBdr>
    </w:div>
    <w:div w:id="21364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yperlink" Target="http://www.cabinetoffice.gov.uk/resource-library/consultation-principles-guidance" TargetMode="External"/><Relationship Id="rId15" Type="http://schemas.openxmlformats.org/officeDocument/2006/relationships/hyperlink" Target="mailto:analoguerenewals@culture.gsi.gov.uk" TargetMode="External"/><Relationship Id="rId16" Type="http://schemas.openxmlformats.org/officeDocument/2006/relationships/hyperlink" Target="http://www.parliament.uk/business/committees/committees-archive/regulatory-reform-committee/regulatory-reform-orders/" TargetMode="External"/><Relationship Id="rId17" Type="http://schemas.openxmlformats.org/officeDocument/2006/relationships/hyperlink" Target="http://www.cabinetoffice.gov.uk/resource-library/consultation-principles-guidance" TargetMode="External"/><Relationship Id="rId18" Type="http://schemas.openxmlformats.org/officeDocument/2006/relationships/hyperlink" Target="http://www.parliament.uk/business/committees/committees-a-z/commons-select/regulatory-reform-committee/" TargetMode="External"/><Relationship Id="rId19" Type="http://schemas.openxmlformats.org/officeDocument/2006/relationships/hyperlink" Target="http://www.parliament.uk/business/committees/committees-a-z/lords-select/delegated-powers-and-regulatory-reform-committee/ro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56AC-8EB9-1C47-AE94-39909810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Office\Templates\DCMS\Standard DCMS\Publication.dotm</Template>
  <TotalTime>0</TotalTime>
  <Pages>20</Pages>
  <Words>5071</Words>
  <Characters>28909</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33913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BAYLIS, Sarah</dc:creator>
  <cp:lastModifiedBy>OFFICE</cp:lastModifiedBy>
  <cp:revision>2</cp:revision>
  <cp:lastPrinted>2014-09-30T12:50:00Z</cp:lastPrinted>
  <dcterms:created xsi:type="dcterms:W3CDTF">2015-03-24T14:25:00Z</dcterms:created>
  <dcterms:modified xsi:type="dcterms:W3CDTF">2015-03-24T14:25:00Z</dcterms:modified>
</cp:coreProperties>
</file>