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42" w:rsidRPr="0053529E" w:rsidRDefault="002C3142" w:rsidP="003956BE">
      <w:pPr>
        <w:pStyle w:val="Heading2"/>
        <w:spacing w:after="120"/>
        <w:rPr>
          <w:rStyle w:val="StyleArialBold"/>
          <w:sz w:val="14"/>
        </w:rPr>
      </w:pPr>
      <w:r w:rsidRPr="0053529E">
        <w:t>HSCIC Pseudonymisation Review Steering Group</w:t>
      </w:r>
    </w:p>
    <w:p w:rsidR="002C3142" w:rsidRPr="00064564" w:rsidRDefault="002C3142" w:rsidP="003956BE">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rsidTr="00251392">
        <w:tc>
          <w:tcPr>
            <w:tcW w:w="1526" w:type="dxa"/>
          </w:tcPr>
          <w:p w:rsidR="002C3142" w:rsidRPr="00D54309" w:rsidRDefault="002C3142" w:rsidP="003956BE">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rsidR="002C3142" w:rsidRPr="00D54309" w:rsidRDefault="002C3142" w:rsidP="00625107">
            <w:pPr>
              <w:spacing w:after="120"/>
              <w:jc w:val="both"/>
              <w:rPr>
                <w:rFonts w:asciiTheme="minorHAnsi" w:hAnsiTheme="minorHAnsi" w:cstheme="minorHAnsi"/>
                <w:b/>
              </w:rPr>
            </w:pPr>
            <w:r w:rsidRPr="00D54309">
              <w:rPr>
                <w:rFonts w:asciiTheme="minorHAnsi" w:hAnsiTheme="minorHAnsi" w:cstheme="minorHAnsi"/>
                <w:b/>
              </w:rPr>
              <w:t xml:space="preserve">Wednesday </w:t>
            </w:r>
            <w:r w:rsidR="00D4489E">
              <w:rPr>
                <w:rFonts w:asciiTheme="minorHAnsi" w:hAnsiTheme="minorHAnsi" w:cstheme="minorHAnsi"/>
                <w:b/>
              </w:rPr>
              <w:t>1</w:t>
            </w:r>
            <w:r w:rsidR="00625107">
              <w:rPr>
                <w:rFonts w:asciiTheme="minorHAnsi" w:hAnsiTheme="minorHAnsi" w:cstheme="minorHAnsi"/>
                <w:b/>
              </w:rPr>
              <w:t>4</w:t>
            </w:r>
            <w:r w:rsidR="00A06968">
              <w:rPr>
                <w:rFonts w:asciiTheme="minorHAnsi" w:hAnsiTheme="minorHAnsi" w:cstheme="minorHAnsi"/>
                <w:b/>
              </w:rPr>
              <w:t xml:space="preserve"> </w:t>
            </w:r>
            <w:r w:rsidR="00D4489E">
              <w:rPr>
                <w:rFonts w:asciiTheme="minorHAnsi" w:hAnsiTheme="minorHAnsi" w:cstheme="minorHAnsi"/>
                <w:b/>
              </w:rPr>
              <w:t>January 2015</w:t>
            </w:r>
          </w:p>
        </w:tc>
        <w:tc>
          <w:tcPr>
            <w:tcW w:w="1843" w:type="dxa"/>
          </w:tcPr>
          <w:p w:rsidR="002C3142" w:rsidRPr="00D54309" w:rsidRDefault="002C3142" w:rsidP="003956BE">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rsidR="002C3142" w:rsidRPr="00D54309" w:rsidRDefault="00D4489E" w:rsidP="003956BE">
            <w:pPr>
              <w:spacing w:after="120"/>
              <w:jc w:val="both"/>
              <w:rPr>
                <w:rFonts w:asciiTheme="minorHAnsi" w:hAnsiTheme="minorHAnsi" w:cstheme="minorHAnsi"/>
                <w:b/>
              </w:rPr>
            </w:pPr>
            <w:r>
              <w:rPr>
                <w:rFonts w:asciiTheme="minorHAnsi" w:hAnsiTheme="minorHAnsi" w:cstheme="minorHAnsi"/>
                <w:b/>
              </w:rPr>
              <w:t>8</w:t>
            </w:r>
          </w:p>
        </w:tc>
      </w:tr>
      <w:tr w:rsidR="002C3142" w:rsidRPr="00D54309" w:rsidTr="00251392">
        <w:tc>
          <w:tcPr>
            <w:tcW w:w="1526" w:type="dxa"/>
          </w:tcPr>
          <w:p w:rsidR="002C3142" w:rsidRPr="00D54309" w:rsidRDefault="002C3142" w:rsidP="003956BE">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rsidR="002C3142" w:rsidRPr="00D54309" w:rsidRDefault="00625107" w:rsidP="003956BE">
            <w:pPr>
              <w:spacing w:after="120"/>
              <w:jc w:val="both"/>
              <w:rPr>
                <w:rFonts w:asciiTheme="minorHAnsi" w:hAnsiTheme="minorHAnsi" w:cstheme="minorHAnsi"/>
                <w:b/>
              </w:rPr>
            </w:pPr>
            <w:r>
              <w:rPr>
                <w:rFonts w:asciiTheme="minorHAnsi" w:hAnsiTheme="minorHAnsi" w:cstheme="minorHAnsi"/>
                <w:b/>
              </w:rPr>
              <w:t>By Conference Call</w:t>
            </w:r>
          </w:p>
        </w:tc>
      </w:tr>
      <w:tr w:rsidR="002C3142" w:rsidRPr="00D54309" w:rsidTr="00251392">
        <w:tc>
          <w:tcPr>
            <w:tcW w:w="1526" w:type="dxa"/>
          </w:tcPr>
          <w:p w:rsidR="002C3142" w:rsidRPr="00D54309" w:rsidRDefault="002C3142" w:rsidP="003956BE">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rsidR="002C3142" w:rsidRPr="00D54309" w:rsidRDefault="00DF73D8" w:rsidP="003956BE">
            <w:pPr>
              <w:spacing w:after="120"/>
              <w:jc w:val="both"/>
              <w:rPr>
                <w:rFonts w:asciiTheme="minorHAnsi" w:hAnsiTheme="minorHAnsi" w:cstheme="minorHAnsi"/>
                <w:b/>
              </w:rPr>
            </w:pPr>
            <w:r>
              <w:rPr>
                <w:rFonts w:asciiTheme="minorHAnsi" w:hAnsiTheme="minorHAnsi" w:cstheme="minorHAnsi"/>
                <w:b/>
              </w:rPr>
              <w:t>Ratified at</w:t>
            </w:r>
            <w:r w:rsidR="00E07BF9">
              <w:rPr>
                <w:rFonts w:asciiTheme="minorHAnsi" w:hAnsiTheme="minorHAnsi" w:cstheme="minorHAnsi"/>
                <w:b/>
              </w:rPr>
              <w:t xml:space="preserve"> February Stee</w:t>
            </w:r>
            <w:r w:rsidR="00D4489E">
              <w:rPr>
                <w:rFonts w:asciiTheme="minorHAnsi" w:hAnsiTheme="minorHAnsi" w:cstheme="minorHAnsi"/>
                <w:b/>
              </w:rPr>
              <w:t>r</w:t>
            </w:r>
            <w:r w:rsidR="00E07BF9">
              <w:rPr>
                <w:rFonts w:asciiTheme="minorHAnsi" w:hAnsiTheme="minorHAnsi" w:cstheme="minorHAnsi"/>
                <w:b/>
              </w:rPr>
              <w:t>i</w:t>
            </w:r>
            <w:r w:rsidR="00D4489E">
              <w:rPr>
                <w:rFonts w:asciiTheme="minorHAnsi" w:hAnsiTheme="minorHAnsi" w:cstheme="minorHAnsi"/>
                <w:b/>
              </w:rPr>
              <w:t>ng Group</w:t>
            </w:r>
          </w:p>
        </w:tc>
      </w:tr>
    </w:tbl>
    <w:p w:rsidR="00473743" w:rsidRPr="00064564" w:rsidRDefault="00473743" w:rsidP="003956BE">
      <w:pPr>
        <w:spacing w:after="120"/>
        <w:textboxTightWrap w:val="none"/>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910"/>
      </w:tblGrid>
      <w:tr w:rsidR="007B4324" w:rsidRPr="00A06288" w:rsidTr="00064564">
        <w:trPr>
          <w:trHeight w:val="340"/>
        </w:trPr>
        <w:tc>
          <w:tcPr>
            <w:tcW w:w="2660" w:type="dxa"/>
            <w:tcBorders>
              <w:bottom w:val="single" w:sz="4" w:space="0" w:color="auto"/>
            </w:tcBorders>
          </w:tcPr>
          <w:p w:rsidR="00D017D9" w:rsidRPr="002D2A56" w:rsidRDefault="00E63F97" w:rsidP="00B029F7">
            <w:pPr>
              <w:spacing w:after="60"/>
              <w:textboxTightWrap w:val="none"/>
              <w:rPr>
                <w:rFonts w:cs="Arial"/>
                <w:color w:val="000000"/>
                <w:sz w:val="22"/>
                <w:szCs w:val="22"/>
              </w:rPr>
            </w:pPr>
            <w:r w:rsidRPr="002D2A56">
              <w:rPr>
                <w:rFonts w:cs="Arial"/>
                <w:b/>
                <w:color w:val="000000"/>
                <w:sz w:val="22"/>
                <w:szCs w:val="22"/>
              </w:rPr>
              <w:t>Attendees</w:t>
            </w:r>
            <w:r w:rsidR="00A06288" w:rsidRPr="002D2A56">
              <w:rPr>
                <w:rFonts w:cs="Arial"/>
                <w:b/>
                <w:color w:val="000000"/>
                <w:sz w:val="22"/>
                <w:szCs w:val="22"/>
              </w:rPr>
              <w:t>:</w:t>
            </w:r>
          </w:p>
        </w:tc>
        <w:tc>
          <w:tcPr>
            <w:tcW w:w="3827" w:type="dxa"/>
            <w:tcBorders>
              <w:bottom w:val="single" w:sz="4" w:space="0" w:color="auto"/>
            </w:tcBorders>
          </w:tcPr>
          <w:p w:rsidR="00D017D9" w:rsidRPr="002D2A56" w:rsidRDefault="00EE2EE5" w:rsidP="00B029F7">
            <w:pPr>
              <w:spacing w:after="60"/>
              <w:textboxTightWrap w:val="none"/>
              <w:rPr>
                <w:rFonts w:cs="Arial"/>
                <w:b/>
                <w:sz w:val="22"/>
                <w:szCs w:val="22"/>
              </w:rPr>
            </w:pPr>
            <w:r w:rsidRPr="002D2A56">
              <w:rPr>
                <w:rFonts w:cs="Arial"/>
                <w:b/>
                <w:sz w:val="22"/>
                <w:szCs w:val="22"/>
              </w:rPr>
              <w:t>Role</w:t>
            </w:r>
          </w:p>
        </w:tc>
        <w:tc>
          <w:tcPr>
            <w:tcW w:w="3910" w:type="dxa"/>
            <w:tcBorders>
              <w:bottom w:val="single" w:sz="4" w:space="0" w:color="auto"/>
            </w:tcBorders>
          </w:tcPr>
          <w:p w:rsidR="00D017D9" w:rsidRPr="002D2A56" w:rsidRDefault="00EE2EE5" w:rsidP="00B029F7">
            <w:pPr>
              <w:spacing w:after="60"/>
              <w:textboxTightWrap w:val="none"/>
              <w:rPr>
                <w:rFonts w:cs="Arial"/>
                <w:sz w:val="22"/>
                <w:szCs w:val="22"/>
              </w:rPr>
            </w:pPr>
            <w:r w:rsidRPr="002D2A56">
              <w:rPr>
                <w:rFonts w:cs="Arial"/>
                <w:b/>
                <w:sz w:val="22"/>
                <w:szCs w:val="22"/>
              </w:rPr>
              <w:t>Organisation</w:t>
            </w:r>
          </w:p>
        </w:tc>
      </w:tr>
      <w:tr w:rsidR="006824F0" w:rsidRPr="00A06288" w:rsidTr="00064564">
        <w:trPr>
          <w:trHeight w:val="340"/>
        </w:trPr>
        <w:tc>
          <w:tcPr>
            <w:tcW w:w="2660" w:type="dxa"/>
            <w:tcBorders>
              <w:top w:val="single" w:sz="4" w:space="0" w:color="auto"/>
            </w:tcBorders>
          </w:tcPr>
          <w:p w:rsidR="006824F0" w:rsidRDefault="006824F0" w:rsidP="00B029F7">
            <w:pPr>
              <w:spacing w:after="60"/>
              <w:textboxTightWrap w:val="none"/>
              <w:rPr>
                <w:rFonts w:cs="Arial"/>
                <w:sz w:val="22"/>
                <w:szCs w:val="22"/>
              </w:rPr>
            </w:pPr>
            <w:r>
              <w:rPr>
                <w:rFonts w:cs="Arial"/>
                <w:sz w:val="22"/>
                <w:szCs w:val="22"/>
              </w:rPr>
              <w:t>Anthony Chuter</w:t>
            </w:r>
          </w:p>
        </w:tc>
        <w:tc>
          <w:tcPr>
            <w:tcW w:w="3827" w:type="dxa"/>
            <w:tcBorders>
              <w:top w:val="single" w:sz="4" w:space="0" w:color="auto"/>
            </w:tcBorders>
          </w:tcPr>
          <w:p w:rsidR="006824F0" w:rsidRDefault="006824F0" w:rsidP="00B029F7">
            <w:pPr>
              <w:spacing w:after="60"/>
              <w:textboxTightWrap w:val="none"/>
              <w:rPr>
                <w:rFonts w:cs="Arial"/>
                <w:color w:val="000000"/>
                <w:sz w:val="22"/>
                <w:szCs w:val="22"/>
              </w:rPr>
            </w:pPr>
            <w:r>
              <w:rPr>
                <w:rFonts w:cs="Arial"/>
                <w:color w:val="000000"/>
                <w:sz w:val="22"/>
                <w:szCs w:val="22"/>
              </w:rPr>
              <w:t>Patient Representative</w:t>
            </w:r>
          </w:p>
        </w:tc>
        <w:tc>
          <w:tcPr>
            <w:tcW w:w="3910" w:type="dxa"/>
            <w:tcBorders>
              <w:top w:val="single" w:sz="4" w:space="0" w:color="auto"/>
            </w:tcBorders>
          </w:tcPr>
          <w:p w:rsidR="006824F0" w:rsidRDefault="006824F0" w:rsidP="00B029F7">
            <w:pPr>
              <w:spacing w:after="60"/>
              <w:textboxTightWrap w:val="none"/>
              <w:rPr>
                <w:rFonts w:cs="Arial"/>
                <w:sz w:val="22"/>
                <w:szCs w:val="22"/>
              </w:rPr>
            </w:pPr>
          </w:p>
        </w:tc>
      </w:tr>
      <w:tr w:rsidR="007B4324" w:rsidRPr="00A06288" w:rsidTr="00064564">
        <w:trPr>
          <w:trHeight w:val="340"/>
        </w:trPr>
        <w:tc>
          <w:tcPr>
            <w:tcW w:w="2660" w:type="dxa"/>
          </w:tcPr>
          <w:p w:rsidR="00672F43" w:rsidRPr="002D2A56" w:rsidRDefault="00672F43" w:rsidP="00B029F7">
            <w:pPr>
              <w:spacing w:after="60"/>
              <w:textboxTightWrap w:val="none"/>
              <w:rPr>
                <w:rFonts w:cs="Arial"/>
                <w:sz w:val="22"/>
                <w:szCs w:val="22"/>
              </w:rPr>
            </w:pPr>
            <w:proofErr w:type="spellStart"/>
            <w:r>
              <w:rPr>
                <w:rFonts w:cs="Arial"/>
                <w:sz w:val="22"/>
                <w:szCs w:val="22"/>
              </w:rPr>
              <w:t>Kambiz</w:t>
            </w:r>
            <w:proofErr w:type="spellEnd"/>
            <w:r>
              <w:rPr>
                <w:rFonts w:cs="Arial"/>
                <w:sz w:val="22"/>
                <w:szCs w:val="22"/>
              </w:rPr>
              <w:t xml:space="preserve"> Boomla</w:t>
            </w:r>
          </w:p>
        </w:tc>
        <w:tc>
          <w:tcPr>
            <w:tcW w:w="3827" w:type="dxa"/>
          </w:tcPr>
          <w:p w:rsidR="00672F43" w:rsidRPr="002D2A56" w:rsidRDefault="00672F43" w:rsidP="00B029F7">
            <w:pPr>
              <w:spacing w:after="60"/>
              <w:textboxTightWrap w:val="none"/>
              <w:rPr>
                <w:rFonts w:cs="Arial"/>
                <w:color w:val="000000"/>
                <w:sz w:val="22"/>
                <w:szCs w:val="22"/>
              </w:rPr>
            </w:pPr>
            <w:r>
              <w:rPr>
                <w:rFonts w:cs="Arial"/>
                <w:color w:val="000000"/>
                <w:sz w:val="22"/>
                <w:szCs w:val="22"/>
              </w:rPr>
              <w:t>Observer</w:t>
            </w:r>
          </w:p>
        </w:tc>
        <w:tc>
          <w:tcPr>
            <w:tcW w:w="3910" w:type="dxa"/>
          </w:tcPr>
          <w:p w:rsidR="00672F43" w:rsidRPr="002D2A56" w:rsidRDefault="00672F43" w:rsidP="00B029F7">
            <w:pPr>
              <w:spacing w:after="60"/>
              <w:textboxTightWrap w:val="none"/>
              <w:rPr>
                <w:rFonts w:cs="Arial"/>
                <w:sz w:val="22"/>
                <w:szCs w:val="22"/>
              </w:rPr>
            </w:pPr>
            <w:r>
              <w:rPr>
                <w:rFonts w:cs="Arial"/>
                <w:sz w:val="22"/>
                <w:szCs w:val="22"/>
              </w:rPr>
              <w:t>Confidentiality Advis</w:t>
            </w:r>
            <w:bookmarkStart w:id="0" w:name="_GoBack"/>
            <w:bookmarkEnd w:id="0"/>
            <w:r>
              <w:rPr>
                <w:rFonts w:cs="Arial"/>
                <w:sz w:val="22"/>
                <w:szCs w:val="22"/>
              </w:rPr>
              <w:t>ory Group</w:t>
            </w:r>
          </w:p>
        </w:tc>
      </w:tr>
      <w:tr w:rsidR="005E4AD5" w:rsidRPr="00A06288" w:rsidTr="00064564">
        <w:trPr>
          <w:trHeight w:val="340"/>
        </w:trPr>
        <w:tc>
          <w:tcPr>
            <w:tcW w:w="2660" w:type="dxa"/>
          </w:tcPr>
          <w:p w:rsidR="005E4AD5" w:rsidRPr="002D2A56" w:rsidRDefault="005E4AD5" w:rsidP="005E4AD5">
            <w:pPr>
              <w:tabs>
                <w:tab w:val="right" w:pos="2444"/>
              </w:tabs>
              <w:spacing w:after="60"/>
              <w:textboxTightWrap w:val="none"/>
              <w:rPr>
                <w:rFonts w:cs="Arial"/>
                <w:sz w:val="22"/>
                <w:szCs w:val="22"/>
              </w:rPr>
            </w:pPr>
            <w:r>
              <w:rPr>
                <w:rFonts w:cs="Arial"/>
                <w:sz w:val="22"/>
                <w:szCs w:val="22"/>
              </w:rPr>
              <w:t>Ian Herbert</w:t>
            </w:r>
          </w:p>
        </w:tc>
        <w:tc>
          <w:tcPr>
            <w:tcW w:w="3827" w:type="dxa"/>
          </w:tcPr>
          <w:p w:rsidR="005E4AD5" w:rsidRPr="002D2A56" w:rsidRDefault="005E4AD5" w:rsidP="00B029F7">
            <w:pPr>
              <w:spacing w:after="60"/>
              <w:textboxTightWrap w:val="none"/>
              <w:rPr>
                <w:rFonts w:cs="Arial"/>
                <w:sz w:val="22"/>
                <w:szCs w:val="22"/>
              </w:rPr>
            </w:pPr>
            <w:r>
              <w:rPr>
                <w:rFonts w:cs="Arial"/>
                <w:sz w:val="22"/>
                <w:szCs w:val="22"/>
              </w:rPr>
              <w:t>Primary Health Care IT Specialist</w:t>
            </w:r>
          </w:p>
        </w:tc>
        <w:tc>
          <w:tcPr>
            <w:tcW w:w="3910" w:type="dxa"/>
          </w:tcPr>
          <w:p w:rsidR="005E4AD5" w:rsidRPr="002D2A56" w:rsidRDefault="005E4AD5" w:rsidP="00B029F7">
            <w:pPr>
              <w:spacing w:after="60"/>
              <w:textboxTightWrap w:val="none"/>
              <w:rPr>
                <w:rFonts w:cs="Arial"/>
                <w:sz w:val="22"/>
                <w:szCs w:val="22"/>
              </w:rPr>
            </w:pPr>
            <w:r>
              <w:rPr>
                <w:rFonts w:cs="Arial"/>
                <w:sz w:val="22"/>
                <w:szCs w:val="22"/>
              </w:rPr>
              <w:t>BCS</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color w:val="000000"/>
                <w:sz w:val="22"/>
                <w:szCs w:val="22"/>
              </w:rPr>
              <w:t xml:space="preserve">Nicholas </w:t>
            </w:r>
            <w:r w:rsidR="00570759">
              <w:rPr>
                <w:rFonts w:cs="Arial"/>
                <w:color w:val="000000"/>
                <w:sz w:val="22"/>
                <w:szCs w:val="22"/>
              </w:rPr>
              <w:t>Oughtibridge</w:t>
            </w:r>
          </w:p>
        </w:tc>
        <w:tc>
          <w:tcPr>
            <w:tcW w:w="3827" w:type="dxa"/>
          </w:tcPr>
          <w:p w:rsidR="005E4AD5" w:rsidRPr="002D2A56" w:rsidRDefault="005E4AD5" w:rsidP="00B029F7">
            <w:pPr>
              <w:spacing w:after="60"/>
              <w:textboxTightWrap w:val="none"/>
              <w:rPr>
                <w:rFonts w:cs="Arial"/>
                <w:sz w:val="22"/>
                <w:szCs w:val="22"/>
              </w:rPr>
            </w:pPr>
            <w:r w:rsidRPr="005E4AD5">
              <w:rPr>
                <w:rFonts w:cs="Arial"/>
                <w:color w:val="000000"/>
                <w:sz w:val="22"/>
                <w:szCs w:val="22"/>
              </w:rPr>
              <w:t>Lead – Code of Practice for Confidentiality</w:t>
            </w:r>
          </w:p>
        </w:tc>
        <w:tc>
          <w:tcPr>
            <w:tcW w:w="3910" w:type="dxa"/>
          </w:tcPr>
          <w:p w:rsidR="005E4AD5" w:rsidRPr="002D2A56" w:rsidRDefault="005E4AD5" w:rsidP="00B029F7">
            <w:pPr>
              <w:spacing w:after="60"/>
              <w:textboxTightWrap w:val="none"/>
              <w:rPr>
                <w:rFonts w:cs="Arial"/>
                <w:sz w:val="22"/>
                <w:szCs w:val="22"/>
              </w:rPr>
            </w:pPr>
            <w:r>
              <w:rPr>
                <w:rFonts w:cs="Arial"/>
                <w:sz w:val="22"/>
                <w:szCs w:val="22"/>
              </w:rPr>
              <w:t>HSCIC</w:t>
            </w:r>
          </w:p>
        </w:tc>
      </w:tr>
      <w:tr w:rsidR="005E4AD5" w:rsidRPr="00A06288" w:rsidTr="00064564">
        <w:trPr>
          <w:trHeight w:val="340"/>
        </w:trPr>
        <w:tc>
          <w:tcPr>
            <w:tcW w:w="2660" w:type="dxa"/>
          </w:tcPr>
          <w:p w:rsidR="005E4AD5" w:rsidRDefault="005E4AD5" w:rsidP="00B029F7">
            <w:pPr>
              <w:spacing w:after="60"/>
              <w:textboxTightWrap w:val="none"/>
              <w:rPr>
                <w:rFonts w:cs="Arial"/>
                <w:color w:val="000000"/>
                <w:sz w:val="22"/>
                <w:szCs w:val="22"/>
              </w:rPr>
            </w:pPr>
            <w:r>
              <w:rPr>
                <w:rFonts w:cs="Arial"/>
                <w:color w:val="000000"/>
                <w:sz w:val="22"/>
                <w:szCs w:val="22"/>
              </w:rPr>
              <w:t>John Parry</w:t>
            </w:r>
          </w:p>
        </w:tc>
        <w:tc>
          <w:tcPr>
            <w:tcW w:w="3827" w:type="dxa"/>
          </w:tcPr>
          <w:p w:rsidR="005E4AD5" w:rsidRDefault="005E4AD5" w:rsidP="00B029F7">
            <w:pPr>
              <w:spacing w:after="60"/>
              <w:textboxTightWrap w:val="none"/>
              <w:rPr>
                <w:rFonts w:cs="Arial"/>
                <w:color w:val="000000"/>
                <w:sz w:val="22"/>
                <w:szCs w:val="22"/>
              </w:rPr>
            </w:pPr>
            <w:r w:rsidRPr="005E4AD5">
              <w:rPr>
                <w:rFonts w:cs="Arial"/>
                <w:color w:val="000000"/>
                <w:sz w:val="22"/>
                <w:szCs w:val="22"/>
              </w:rPr>
              <w:t>Medical Director</w:t>
            </w:r>
          </w:p>
        </w:tc>
        <w:tc>
          <w:tcPr>
            <w:tcW w:w="3910" w:type="dxa"/>
          </w:tcPr>
          <w:p w:rsidR="005E4AD5" w:rsidRDefault="005E4AD5" w:rsidP="00B029F7">
            <w:pPr>
              <w:spacing w:after="60"/>
              <w:textboxTightWrap w:val="none"/>
              <w:rPr>
                <w:rFonts w:cs="Arial"/>
                <w:sz w:val="22"/>
                <w:szCs w:val="22"/>
              </w:rPr>
            </w:pPr>
            <w:proofErr w:type="spellStart"/>
            <w:r>
              <w:rPr>
                <w:rFonts w:cs="Arial"/>
                <w:sz w:val="22"/>
                <w:szCs w:val="22"/>
              </w:rPr>
              <w:t>TechUK</w:t>
            </w:r>
            <w:proofErr w:type="spellEnd"/>
          </w:p>
        </w:tc>
      </w:tr>
      <w:tr w:rsidR="005E4AD5" w:rsidRPr="00A06288" w:rsidTr="00064564">
        <w:trPr>
          <w:trHeight w:val="340"/>
        </w:trPr>
        <w:tc>
          <w:tcPr>
            <w:tcW w:w="2660" w:type="dxa"/>
            <w:hideMark/>
          </w:tcPr>
          <w:p w:rsidR="005E4AD5" w:rsidRPr="002D2A56" w:rsidRDefault="005E4AD5" w:rsidP="00B029F7">
            <w:pPr>
              <w:spacing w:after="60"/>
              <w:textboxTightWrap w:val="none"/>
              <w:rPr>
                <w:rFonts w:cs="Arial"/>
                <w:sz w:val="22"/>
                <w:szCs w:val="22"/>
              </w:rPr>
            </w:pPr>
            <w:r>
              <w:rPr>
                <w:rFonts w:cs="Arial"/>
                <w:color w:val="000000"/>
                <w:sz w:val="22"/>
                <w:szCs w:val="22"/>
              </w:rPr>
              <w:t>Hashim Reza</w:t>
            </w:r>
          </w:p>
        </w:tc>
        <w:tc>
          <w:tcPr>
            <w:tcW w:w="3827" w:type="dxa"/>
            <w:hideMark/>
          </w:tcPr>
          <w:p w:rsidR="005E4AD5" w:rsidRPr="002D2A56" w:rsidRDefault="005E4AD5" w:rsidP="00B029F7">
            <w:pPr>
              <w:spacing w:after="60"/>
              <w:textboxTightWrap w:val="none"/>
              <w:rPr>
                <w:rFonts w:cs="Arial"/>
                <w:sz w:val="22"/>
                <w:szCs w:val="22"/>
              </w:rPr>
            </w:pPr>
            <w:r>
              <w:rPr>
                <w:rFonts w:cs="Arial"/>
                <w:color w:val="000000"/>
                <w:sz w:val="22"/>
                <w:szCs w:val="22"/>
              </w:rPr>
              <w:t>Consultant Psychiatrist</w:t>
            </w:r>
          </w:p>
        </w:tc>
        <w:tc>
          <w:tcPr>
            <w:tcW w:w="3910" w:type="dxa"/>
            <w:hideMark/>
          </w:tcPr>
          <w:p w:rsidR="005E4AD5" w:rsidRPr="002D2A56" w:rsidRDefault="005E4AD5" w:rsidP="00B029F7">
            <w:pPr>
              <w:spacing w:after="60"/>
              <w:textboxTightWrap w:val="none"/>
              <w:rPr>
                <w:rFonts w:cs="Arial"/>
                <w:sz w:val="22"/>
                <w:szCs w:val="22"/>
              </w:rPr>
            </w:pPr>
            <w:proofErr w:type="spellStart"/>
            <w:r>
              <w:rPr>
                <w:rFonts w:cs="Arial"/>
                <w:sz w:val="22"/>
                <w:szCs w:val="22"/>
              </w:rPr>
              <w:t>Oxleas</w:t>
            </w:r>
            <w:proofErr w:type="spellEnd"/>
            <w:r>
              <w:rPr>
                <w:rFonts w:cs="Arial"/>
                <w:sz w:val="22"/>
                <w:szCs w:val="22"/>
              </w:rPr>
              <w:t xml:space="preserve"> NHS Foundation Trust</w:t>
            </w:r>
          </w:p>
        </w:tc>
      </w:tr>
      <w:tr w:rsidR="005E4AD5" w:rsidRPr="00A06288" w:rsidTr="00064564">
        <w:trPr>
          <w:trHeight w:val="340"/>
        </w:trPr>
        <w:tc>
          <w:tcPr>
            <w:tcW w:w="2660" w:type="dxa"/>
          </w:tcPr>
          <w:p w:rsidR="005E4AD5" w:rsidRDefault="005E4AD5" w:rsidP="00B029F7">
            <w:pPr>
              <w:spacing w:after="60"/>
              <w:textboxTightWrap w:val="none"/>
              <w:rPr>
                <w:rFonts w:cs="Arial"/>
                <w:color w:val="000000"/>
                <w:sz w:val="22"/>
                <w:szCs w:val="22"/>
              </w:rPr>
            </w:pPr>
            <w:r>
              <w:rPr>
                <w:rFonts w:cs="Arial"/>
                <w:color w:val="000000"/>
                <w:sz w:val="22"/>
                <w:szCs w:val="22"/>
              </w:rPr>
              <w:t xml:space="preserve">Jill Reeve </w:t>
            </w:r>
          </w:p>
        </w:tc>
        <w:tc>
          <w:tcPr>
            <w:tcW w:w="3827" w:type="dxa"/>
          </w:tcPr>
          <w:p w:rsidR="005E4AD5" w:rsidRDefault="005E4AD5" w:rsidP="00B029F7">
            <w:pPr>
              <w:spacing w:after="60"/>
              <w:textboxTightWrap w:val="none"/>
              <w:rPr>
                <w:rFonts w:cs="Arial"/>
                <w:color w:val="000000"/>
                <w:sz w:val="22"/>
                <w:szCs w:val="22"/>
              </w:rPr>
            </w:pPr>
            <w:r>
              <w:rPr>
                <w:rFonts w:cs="Arial"/>
                <w:color w:val="000000"/>
                <w:sz w:val="22"/>
                <w:szCs w:val="22"/>
              </w:rPr>
              <w:t>Project Support Officer</w:t>
            </w:r>
          </w:p>
        </w:tc>
        <w:tc>
          <w:tcPr>
            <w:tcW w:w="3910" w:type="dxa"/>
          </w:tcPr>
          <w:p w:rsidR="005E4AD5" w:rsidRDefault="005E4AD5" w:rsidP="00B029F7">
            <w:pPr>
              <w:spacing w:after="60"/>
              <w:textboxTightWrap w:val="none"/>
              <w:rPr>
                <w:rFonts w:cs="Arial"/>
                <w:sz w:val="22"/>
                <w:szCs w:val="22"/>
              </w:rPr>
            </w:pPr>
            <w:r>
              <w:rPr>
                <w:rFonts w:cs="Arial"/>
                <w:sz w:val="22"/>
                <w:szCs w:val="22"/>
              </w:rPr>
              <w:t>HSCIC</w:t>
            </w:r>
          </w:p>
        </w:tc>
      </w:tr>
      <w:tr w:rsidR="005E4AD5" w:rsidRPr="00A06288" w:rsidTr="00064564">
        <w:trPr>
          <w:trHeight w:val="340"/>
        </w:trPr>
        <w:tc>
          <w:tcPr>
            <w:tcW w:w="2660" w:type="dxa"/>
          </w:tcPr>
          <w:p w:rsidR="005E4AD5" w:rsidRDefault="005E4AD5" w:rsidP="00B029F7">
            <w:pPr>
              <w:spacing w:after="60"/>
              <w:textboxTightWrap w:val="none"/>
              <w:rPr>
                <w:rFonts w:cs="Arial"/>
                <w:color w:val="000000"/>
                <w:sz w:val="22"/>
                <w:szCs w:val="22"/>
              </w:rPr>
            </w:pPr>
            <w:r w:rsidRPr="002D2A56">
              <w:rPr>
                <w:rFonts w:cs="Arial"/>
                <w:color w:val="000000"/>
                <w:sz w:val="22"/>
                <w:szCs w:val="22"/>
              </w:rPr>
              <w:t>Chris Roebuck</w:t>
            </w:r>
            <w:r>
              <w:rPr>
                <w:rFonts w:cs="Arial"/>
                <w:color w:val="000000"/>
                <w:sz w:val="22"/>
                <w:szCs w:val="22"/>
              </w:rPr>
              <w:t xml:space="preserve"> (Chair)</w:t>
            </w:r>
          </w:p>
        </w:tc>
        <w:tc>
          <w:tcPr>
            <w:tcW w:w="3827" w:type="dxa"/>
          </w:tcPr>
          <w:p w:rsidR="005E4AD5" w:rsidRDefault="005E4AD5" w:rsidP="00B029F7">
            <w:pPr>
              <w:spacing w:after="60"/>
              <w:textboxTightWrap w:val="none"/>
              <w:rPr>
                <w:rFonts w:cs="Arial"/>
                <w:color w:val="000000"/>
                <w:sz w:val="22"/>
                <w:szCs w:val="22"/>
              </w:rPr>
            </w:pPr>
            <w:r w:rsidRPr="002D2A56">
              <w:rPr>
                <w:rFonts w:cs="Arial"/>
                <w:color w:val="000000"/>
                <w:sz w:val="22"/>
                <w:szCs w:val="22"/>
              </w:rPr>
              <w:t xml:space="preserve">Benefits </w:t>
            </w:r>
            <w:r>
              <w:rPr>
                <w:rFonts w:cs="Arial"/>
                <w:color w:val="000000"/>
                <w:sz w:val="22"/>
                <w:szCs w:val="22"/>
              </w:rPr>
              <w:t>&amp;</w:t>
            </w:r>
            <w:r w:rsidRPr="002D2A56">
              <w:rPr>
                <w:rFonts w:cs="Arial"/>
                <w:color w:val="000000"/>
                <w:sz w:val="22"/>
                <w:szCs w:val="22"/>
              </w:rPr>
              <w:t xml:space="preserve"> Utilisation </w:t>
            </w:r>
            <w:r>
              <w:rPr>
                <w:rFonts w:cs="Arial"/>
                <w:color w:val="000000"/>
                <w:sz w:val="22"/>
                <w:szCs w:val="22"/>
              </w:rPr>
              <w:t xml:space="preserve">Director </w:t>
            </w:r>
            <w:r w:rsidRPr="002D2A56">
              <w:rPr>
                <w:rFonts w:cs="Arial"/>
                <w:color w:val="000000"/>
                <w:sz w:val="22"/>
                <w:szCs w:val="22"/>
              </w:rPr>
              <w:t>and Review Co-ordinator</w:t>
            </w:r>
          </w:p>
        </w:tc>
        <w:tc>
          <w:tcPr>
            <w:tcW w:w="3910" w:type="dxa"/>
          </w:tcPr>
          <w:p w:rsidR="005E4AD5" w:rsidRDefault="005E4AD5" w:rsidP="00B029F7">
            <w:pPr>
              <w:spacing w:after="60"/>
              <w:textboxTightWrap w:val="none"/>
              <w:rPr>
                <w:rFonts w:cs="Arial"/>
                <w:sz w:val="22"/>
                <w:szCs w:val="22"/>
              </w:rPr>
            </w:pPr>
            <w:r w:rsidRPr="002D2A56">
              <w:rPr>
                <w:rFonts w:cs="Arial"/>
                <w:sz w:val="22"/>
                <w:szCs w:val="22"/>
              </w:rPr>
              <w:t xml:space="preserve">HSCIC </w:t>
            </w:r>
          </w:p>
        </w:tc>
      </w:tr>
      <w:tr w:rsidR="005E4AD5" w:rsidRPr="00A06288" w:rsidTr="00064564">
        <w:trPr>
          <w:trHeight w:val="340"/>
        </w:trPr>
        <w:tc>
          <w:tcPr>
            <w:tcW w:w="2660" w:type="dxa"/>
          </w:tcPr>
          <w:p w:rsidR="005E4AD5" w:rsidRDefault="005E4AD5" w:rsidP="00B029F7">
            <w:pPr>
              <w:spacing w:after="60"/>
              <w:textboxTightWrap w:val="none"/>
              <w:rPr>
                <w:rFonts w:cs="Arial"/>
                <w:color w:val="000000"/>
                <w:sz w:val="22"/>
                <w:szCs w:val="22"/>
              </w:rPr>
            </w:pPr>
            <w:r w:rsidRPr="002D2A56">
              <w:rPr>
                <w:rFonts w:cs="Arial"/>
                <w:sz w:val="22"/>
                <w:szCs w:val="22"/>
              </w:rPr>
              <w:t>Matt Spencer</w:t>
            </w:r>
          </w:p>
        </w:tc>
        <w:tc>
          <w:tcPr>
            <w:tcW w:w="3827" w:type="dxa"/>
          </w:tcPr>
          <w:p w:rsidR="005E4AD5" w:rsidRPr="003A732A" w:rsidRDefault="005E4AD5" w:rsidP="00B029F7">
            <w:pPr>
              <w:spacing w:after="60"/>
              <w:textboxTightWrap w:val="none"/>
              <w:rPr>
                <w:rFonts w:cs="Arial"/>
                <w:color w:val="000000"/>
                <w:sz w:val="22"/>
                <w:szCs w:val="22"/>
              </w:rPr>
            </w:pPr>
            <w:r w:rsidRPr="002D2A56">
              <w:rPr>
                <w:rFonts w:cs="Arial"/>
                <w:sz w:val="22"/>
                <w:szCs w:val="22"/>
              </w:rPr>
              <w:t>Pseudo Review Project Manager</w:t>
            </w:r>
          </w:p>
        </w:tc>
        <w:tc>
          <w:tcPr>
            <w:tcW w:w="3910" w:type="dxa"/>
          </w:tcPr>
          <w:p w:rsidR="005E4AD5" w:rsidRPr="003A732A" w:rsidRDefault="005E4AD5" w:rsidP="00B029F7">
            <w:pPr>
              <w:spacing w:after="60"/>
              <w:textboxTightWrap w:val="none"/>
              <w:rPr>
                <w:rFonts w:cs="Arial"/>
                <w:sz w:val="22"/>
                <w:szCs w:val="22"/>
              </w:rPr>
            </w:pPr>
            <w:r>
              <w:rPr>
                <w:rFonts w:cs="Arial"/>
                <w:color w:val="000000"/>
                <w:sz w:val="22"/>
                <w:szCs w:val="22"/>
              </w:rPr>
              <w:t>HSCIC</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color w:val="000000"/>
                <w:sz w:val="22"/>
                <w:szCs w:val="22"/>
              </w:rPr>
            </w:pPr>
            <w:r>
              <w:rPr>
                <w:rFonts w:cs="Arial"/>
                <w:sz w:val="22"/>
                <w:szCs w:val="22"/>
              </w:rPr>
              <w:t>Dave Wilby</w:t>
            </w:r>
          </w:p>
        </w:tc>
        <w:tc>
          <w:tcPr>
            <w:tcW w:w="3827" w:type="dxa"/>
          </w:tcPr>
          <w:p w:rsidR="005E4AD5" w:rsidRPr="002D2A56" w:rsidRDefault="005E4AD5" w:rsidP="00B029F7">
            <w:pPr>
              <w:spacing w:after="60"/>
              <w:textboxTightWrap w:val="none"/>
              <w:rPr>
                <w:rFonts w:cs="Arial"/>
                <w:color w:val="000000"/>
                <w:sz w:val="22"/>
                <w:szCs w:val="22"/>
              </w:rPr>
            </w:pPr>
            <w:r>
              <w:rPr>
                <w:rFonts w:cs="Arial"/>
                <w:sz w:val="22"/>
                <w:szCs w:val="22"/>
              </w:rPr>
              <w:t>Business Analyst</w:t>
            </w:r>
          </w:p>
        </w:tc>
        <w:tc>
          <w:tcPr>
            <w:tcW w:w="3910" w:type="dxa"/>
          </w:tcPr>
          <w:p w:rsidR="005E4AD5" w:rsidRPr="002D2A56" w:rsidRDefault="005E4AD5" w:rsidP="00B029F7">
            <w:pPr>
              <w:spacing w:after="60"/>
              <w:textboxTightWrap w:val="none"/>
              <w:rPr>
                <w:rFonts w:cs="Arial"/>
                <w:sz w:val="22"/>
                <w:szCs w:val="22"/>
              </w:rPr>
            </w:pPr>
            <w:r>
              <w:rPr>
                <w:rFonts w:cs="Arial"/>
                <w:color w:val="000000"/>
                <w:sz w:val="22"/>
                <w:szCs w:val="22"/>
              </w:rPr>
              <w:t>HSCIC</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Tim Williams</w:t>
            </w:r>
          </w:p>
        </w:tc>
        <w:tc>
          <w:tcPr>
            <w:tcW w:w="3827" w:type="dxa"/>
          </w:tcPr>
          <w:p w:rsidR="005E4AD5" w:rsidRDefault="005E4AD5" w:rsidP="00B029F7">
            <w:pPr>
              <w:spacing w:after="60"/>
              <w:textboxTightWrap w:val="none"/>
              <w:rPr>
                <w:rFonts w:cs="Arial"/>
                <w:sz w:val="22"/>
                <w:szCs w:val="22"/>
              </w:rPr>
            </w:pPr>
            <w:r>
              <w:rPr>
                <w:rFonts w:cs="Arial"/>
                <w:sz w:val="22"/>
                <w:szCs w:val="22"/>
              </w:rPr>
              <w:t>Observer</w:t>
            </w:r>
          </w:p>
        </w:tc>
        <w:tc>
          <w:tcPr>
            <w:tcW w:w="3910" w:type="dxa"/>
          </w:tcPr>
          <w:p w:rsidR="005E4AD5" w:rsidRDefault="005E4AD5" w:rsidP="00B029F7">
            <w:pPr>
              <w:spacing w:after="60"/>
              <w:textboxTightWrap w:val="none"/>
              <w:rPr>
                <w:rFonts w:cs="Arial"/>
                <w:color w:val="000000"/>
                <w:sz w:val="22"/>
                <w:szCs w:val="22"/>
              </w:rPr>
            </w:pPr>
            <w:r w:rsidRPr="005E4AD5">
              <w:rPr>
                <w:rFonts w:cs="Arial"/>
                <w:color w:val="000000"/>
                <w:sz w:val="22"/>
                <w:szCs w:val="22"/>
              </w:rPr>
              <w:t>Clinical Practice Research Data Link</w:t>
            </w:r>
          </w:p>
        </w:tc>
      </w:tr>
      <w:tr w:rsidR="005E4AD5" w:rsidRPr="00A06288" w:rsidTr="00064564">
        <w:trPr>
          <w:trHeight w:val="340"/>
        </w:trPr>
        <w:tc>
          <w:tcPr>
            <w:tcW w:w="2660" w:type="dxa"/>
            <w:tcBorders>
              <w:bottom w:val="single" w:sz="4" w:space="0" w:color="auto"/>
            </w:tcBorders>
            <w:hideMark/>
          </w:tcPr>
          <w:p w:rsidR="005E4AD5" w:rsidRPr="002D2A56" w:rsidRDefault="005E4AD5" w:rsidP="00B029F7">
            <w:pPr>
              <w:spacing w:after="60"/>
              <w:textboxTightWrap w:val="none"/>
              <w:rPr>
                <w:rFonts w:cs="Arial"/>
                <w:color w:val="000000"/>
                <w:sz w:val="22"/>
                <w:szCs w:val="22"/>
              </w:rPr>
            </w:pPr>
            <w:r w:rsidRPr="002D2A56">
              <w:rPr>
                <w:rFonts w:cs="Arial"/>
                <w:b/>
                <w:sz w:val="22"/>
                <w:szCs w:val="22"/>
              </w:rPr>
              <w:t>Apologies</w:t>
            </w:r>
          </w:p>
        </w:tc>
        <w:tc>
          <w:tcPr>
            <w:tcW w:w="3827" w:type="dxa"/>
            <w:tcBorders>
              <w:bottom w:val="single" w:sz="4" w:space="0" w:color="auto"/>
            </w:tcBorders>
            <w:hideMark/>
          </w:tcPr>
          <w:p w:rsidR="005E4AD5" w:rsidRPr="002D2A56" w:rsidRDefault="005E4AD5" w:rsidP="00B029F7">
            <w:pPr>
              <w:spacing w:after="60"/>
              <w:textboxTightWrap w:val="none"/>
              <w:rPr>
                <w:rFonts w:cs="Arial"/>
                <w:color w:val="000000"/>
                <w:sz w:val="22"/>
                <w:szCs w:val="22"/>
              </w:rPr>
            </w:pPr>
          </w:p>
        </w:tc>
        <w:tc>
          <w:tcPr>
            <w:tcW w:w="3910" w:type="dxa"/>
            <w:tcBorders>
              <w:bottom w:val="single" w:sz="4" w:space="0" w:color="auto"/>
            </w:tcBorders>
            <w:hideMark/>
          </w:tcPr>
          <w:p w:rsidR="005E4AD5" w:rsidRPr="002D2A56" w:rsidRDefault="005E4AD5" w:rsidP="00B029F7">
            <w:pPr>
              <w:spacing w:after="60"/>
              <w:textboxTightWrap w:val="none"/>
              <w:rPr>
                <w:rFonts w:cs="Arial"/>
                <w:sz w:val="22"/>
                <w:szCs w:val="22"/>
              </w:rPr>
            </w:pPr>
          </w:p>
        </w:tc>
      </w:tr>
      <w:tr w:rsidR="00064564" w:rsidRPr="00A06288" w:rsidTr="00064564">
        <w:trPr>
          <w:trHeight w:val="340"/>
        </w:trPr>
        <w:tc>
          <w:tcPr>
            <w:tcW w:w="2660" w:type="dxa"/>
            <w:tcBorders>
              <w:top w:val="single" w:sz="4" w:space="0" w:color="auto"/>
            </w:tcBorders>
          </w:tcPr>
          <w:p w:rsidR="00064564" w:rsidRDefault="00064564" w:rsidP="00B029F7">
            <w:pPr>
              <w:spacing w:after="60"/>
              <w:textboxTightWrap w:val="none"/>
              <w:rPr>
                <w:rFonts w:cs="Arial"/>
                <w:sz w:val="22"/>
                <w:szCs w:val="22"/>
              </w:rPr>
            </w:pPr>
            <w:r>
              <w:rPr>
                <w:rFonts w:cs="Arial"/>
                <w:sz w:val="22"/>
                <w:szCs w:val="22"/>
              </w:rPr>
              <w:t>Paul Croft</w:t>
            </w:r>
          </w:p>
        </w:tc>
        <w:tc>
          <w:tcPr>
            <w:tcW w:w="3827" w:type="dxa"/>
            <w:tcBorders>
              <w:top w:val="single" w:sz="4" w:space="0" w:color="auto"/>
            </w:tcBorders>
          </w:tcPr>
          <w:p w:rsidR="00064564" w:rsidRDefault="00064564" w:rsidP="00B029F7">
            <w:pPr>
              <w:spacing w:after="60"/>
              <w:textboxTightWrap w:val="none"/>
              <w:rPr>
                <w:rFonts w:cs="Arial"/>
                <w:sz w:val="22"/>
                <w:szCs w:val="22"/>
              </w:rPr>
            </w:pPr>
            <w:r>
              <w:rPr>
                <w:rFonts w:cs="Arial"/>
                <w:sz w:val="22"/>
                <w:szCs w:val="22"/>
              </w:rPr>
              <w:t>Business Requirements Analyst</w:t>
            </w:r>
          </w:p>
        </w:tc>
        <w:tc>
          <w:tcPr>
            <w:tcW w:w="3910" w:type="dxa"/>
            <w:tcBorders>
              <w:top w:val="single" w:sz="4" w:space="0" w:color="auto"/>
            </w:tcBorders>
          </w:tcPr>
          <w:p w:rsidR="00064564" w:rsidRDefault="00064564" w:rsidP="00B029F7">
            <w:pPr>
              <w:spacing w:after="60"/>
              <w:textboxTightWrap w:val="none"/>
              <w:rPr>
                <w:rFonts w:cs="Arial"/>
                <w:color w:val="000000"/>
                <w:sz w:val="22"/>
                <w:szCs w:val="22"/>
              </w:rPr>
            </w:pPr>
            <w:r>
              <w:rPr>
                <w:rFonts w:cs="Arial"/>
                <w:color w:val="000000"/>
                <w:sz w:val="22"/>
                <w:szCs w:val="22"/>
              </w:rPr>
              <w:t>HSCIC</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Paul Cundy</w:t>
            </w:r>
          </w:p>
        </w:tc>
        <w:tc>
          <w:tcPr>
            <w:tcW w:w="3827" w:type="dxa"/>
          </w:tcPr>
          <w:p w:rsidR="005E4AD5" w:rsidRPr="002D2A56" w:rsidRDefault="005E4AD5" w:rsidP="00064564">
            <w:pPr>
              <w:spacing w:after="60"/>
              <w:textboxTightWrap w:val="none"/>
              <w:rPr>
                <w:rFonts w:cs="Arial"/>
                <w:sz w:val="22"/>
                <w:szCs w:val="22"/>
              </w:rPr>
            </w:pPr>
            <w:r>
              <w:rPr>
                <w:rFonts w:cs="Arial"/>
                <w:sz w:val="22"/>
                <w:szCs w:val="22"/>
              </w:rPr>
              <w:t>GP</w:t>
            </w:r>
          </w:p>
        </w:tc>
        <w:tc>
          <w:tcPr>
            <w:tcW w:w="3910" w:type="dxa"/>
          </w:tcPr>
          <w:p w:rsidR="005E4AD5" w:rsidRPr="002D2A56" w:rsidRDefault="005E4AD5" w:rsidP="00B029F7">
            <w:pPr>
              <w:spacing w:after="60"/>
              <w:textboxTightWrap w:val="none"/>
              <w:rPr>
                <w:rFonts w:cs="Arial"/>
                <w:color w:val="000000"/>
                <w:sz w:val="22"/>
                <w:szCs w:val="22"/>
              </w:rPr>
            </w:pPr>
            <w:r>
              <w:rPr>
                <w:rFonts w:cs="Arial"/>
                <w:color w:val="000000"/>
                <w:sz w:val="22"/>
                <w:szCs w:val="22"/>
              </w:rPr>
              <w:t>General Practitioners Committee &amp; BMA</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Harvey Goldstein</w:t>
            </w:r>
          </w:p>
        </w:tc>
        <w:tc>
          <w:tcPr>
            <w:tcW w:w="3827" w:type="dxa"/>
          </w:tcPr>
          <w:p w:rsidR="005E4AD5" w:rsidRPr="002D2A56" w:rsidRDefault="005E4AD5" w:rsidP="00B029F7">
            <w:pPr>
              <w:spacing w:after="60"/>
              <w:textboxTightWrap w:val="none"/>
              <w:rPr>
                <w:rFonts w:cs="Arial"/>
                <w:sz w:val="22"/>
                <w:szCs w:val="22"/>
              </w:rPr>
            </w:pPr>
            <w:r w:rsidRPr="005E4AD5">
              <w:rPr>
                <w:rFonts w:cs="Arial"/>
                <w:sz w:val="22"/>
                <w:szCs w:val="22"/>
              </w:rPr>
              <w:t>Academic expert on Data Linkage</w:t>
            </w:r>
          </w:p>
        </w:tc>
        <w:tc>
          <w:tcPr>
            <w:tcW w:w="3910" w:type="dxa"/>
          </w:tcPr>
          <w:p w:rsidR="005E4AD5" w:rsidRPr="002D2A56" w:rsidRDefault="005E4AD5" w:rsidP="00B029F7">
            <w:pPr>
              <w:spacing w:after="60"/>
              <w:textboxTightWrap w:val="none"/>
              <w:rPr>
                <w:rFonts w:cs="Arial"/>
                <w:color w:val="000000"/>
                <w:sz w:val="22"/>
                <w:szCs w:val="22"/>
              </w:rPr>
            </w:pPr>
            <w:r>
              <w:rPr>
                <w:rFonts w:cs="Arial"/>
                <w:color w:val="000000"/>
                <w:sz w:val="22"/>
                <w:szCs w:val="22"/>
              </w:rPr>
              <w:t>UCL &amp; University of Bristol</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Wally Gowing</w:t>
            </w:r>
          </w:p>
        </w:tc>
        <w:tc>
          <w:tcPr>
            <w:tcW w:w="3827" w:type="dxa"/>
          </w:tcPr>
          <w:p w:rsidR="005E4AD5" w:rsidRPr="002D2A56" w:rsidRDefault="005E4AD5" w:rsidP="00B029F7">
            <w:pPr>
              <w:spacing w:after="60"/>
              <w:textboxTightWrap w:val="none"/>
              <w:rPr>
                <w:rFonts w:cs="Arial"/>
                <w:color w:val="000000"/>
                <w:sz w:val="22"/>
                <w:szCs w:val="22"/>
              </w:rPr>
            </w:pPr>
            <w:r>
              <w:rPr>
                <w:rFonts w:cs="Arial"/>
                <w:sz w:val="22"/>
                <w:szCs w:val="22"/>
              </w:rPr>
              <w:t>Pseudonymisation Advisor</w:t>
            </w:r>
          </w:p>
        </w:tc>
        <w:tc>
          <w:tcPr>
            <w:tcW w:w="3910" w:type="dxa"/>
          </w:tcPr>
          <w:p w:rsidR="005E4AD5" w:rsidRPr="002D2A56" w:rsidRDefault="005E4AD5" w:rsidP="00B029F7">
            <w:pPr>
              <w:spacing w:after="60"/>
              <w:textboxTightWrap w:val="none"/>
              <w:rPr>
                <w:rFonts w:cs="Arial"/>
                <w:sz w:val="22"/>
                <w:szCs w:val="22"/>
              </w:rPr>
            </w:pPr>
            <w:r>
              <w:rPr>
                <w:rFonts w:cs="Arial"/>
                <w:color w:val="000000"/>
                <w:sz w:val="22"/>
                <w:szCs w:val="22"/>
              </w:rPr>
              <w:t>Observer</w:t>
            </w:r>
          </w:p>
        </w:tc>
      </w:tr>
      <w:tr w:rsidR="005E4AD5" w:rsidRPr="00FC2A6B"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Xanthe Hannah</w:t>
            </w:r>
          </w:p>
        </w:tc>
        <w:tc>
          <w:tcPr>
            <w:tcW w:w="3827" w:type="dxa"/>
          </w:tcPr>
          <w:p w:rsidR="005E4AD5" w:rsidRDefault="005E4AD5" w:rsidP="00B029F7">
            <w:pPr>
              <w:spacing w:after="60"/>
              <w:textboxTightWrap w:val="none"/>
              <w:rPr>
                <w:rFonts w:cs="Arial"/>
                <w:sz w:val="22"/>
                <w:szCs w:val="22"/>
              </w:rPr>
            </w:pPr>
            <w:r>
              <w:rPr>
                <w:rFonts w:cs="Arial"/>
                <w:sz w:val="22"/>
                <w:szCs w:val="22"/>
              </w:rPr>
              <w:t>Observer</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NHS England</w:t>
            </w:r>
          </w:p>
        </w:tc>
      </w:tr>
      <w:tr w:rsidR="005E4AD5" w:rsidRPr="00FC2A6B"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Alan Hassey</w:t>
            </w:r>
          </w:p>
        </w:tc>
        <w:tc>
          <w:tcPr>
            <w:tcW w:w="3827" w:type="dxa"/>
          </w:tcPr>
          <w:p w:rsidR="005E4AD5" w:rsidRPr="002D2A56" w:rsidRDefault="005E4AD5" w:rsidP="00B029F7">
            <w:pPr>
              <w:spacing w:after="60"/>
              <w:textboxTightWrap w:val="none"/>
              <w:rPr>
                <w:rFonts w:cs="Arial"/>
                <w:sz w:val="22"/>
                <w:szCs w:val="22"/>
              </w:rPr>
            </w:pPr>
            <w:r>
              <w:rPr>
                <w:rFonts w:cs="Arial"/>
                <w:sz w:val="22"/>
                <w:szCs w:val="22"/>
              </w:rPr>
              <w:t>GP</w:t>
            </w:r>
          </w:p>
        </w:tc>
        <w:tc>
          <w:tcPr>
            <w:tcW w:w="3910" w:type="dxa"/>
          </w:tcPr>
          <w:p w:rsidR="005E4AD5" w:rsidRPr="002D2A56" w:rsidRDefault="005E4AD5" w:rsidP="00B029F7">
            <w:pPr>
              <w:spacing w:after="60"/>
              <w:textboxTightWrap w:val="none"/>
              <w:rPr>
                <w:rFonts w:cs="Arial"/>
                <w:sz w:val="22"/>
                <w:szCs w:val="22"/>
              </w:rPr>
            </w:pPr>
            <w:r>
              <w:rPr>
                <w:rFonts w:cs="Arial"/>
                <w:color w:val="000000"/>
                <w:sz w:val="22"/>
                <w:szCs w:val="22"/>
              </w:rPr>
              <w:t>IIGOP</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Julia Hippisley-Cox</w:t>
            </w:r>
          </w:p>
        </w:tc>
        <w:tc>
          <w:tcPr>
            <w:tcW w:w="3827" w:type="dxa"/>
          </w:tcPr>
          <w:p w:rsidR="005E4AD5" w:rsidRDefault="005E4AD5" w:rsidP="00B029F7">
            <w:pPr>
              <w:spacing w:after="60"/>
              <w:textboxTightWrap w:val="none"/>
              <w:rPr>
                <w:rFonts w:cs="Arial"/>
                <w:sz w:val="22"/>
                <w:szCs w:val="22"/>
              </w:rPr>
            </w:pPr>
            <w:r w:rsidRPr="005E4AD5">
              <w:rPr>
                <w:rFonts w:cs="Arial"/>
                <w:sz w:val="22"/>
                <w:szCs w:val="22"/>
              </w:rPr>
              <w:t>Academic expert on Data Linkage</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Nottingham University</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David Ibbotson</w:t>
            </w:r>
          </w:p>
        </w:tc>
        <w:tc>
          <w:tcPr>
            <w:tcW w:w="3827" w:type="dxa"/>
          </w:tcPr>
          <w:p w:rsidR="005E4AD5" w:rsidRPr="002D2A56" w:rsidRDefault="005E4AD5" w:rsidP="00B029F7">
            <w:pPr>
              <w:spacing w:after="60"/>
              <w:textboxTightWrap w:val="none"/>
              <w:rPr>
                <w:rFonts w:cs="Arial"/>
                <w:sz w:val="22"/>
                <w:szCs w:val="22"/>
              </w:rPr>
            </w:pPr>
            <w:r>
              <w:rPr>
                <w:rFonts w:cs="Arial"/>
                <w:sz w:val="22"/>
                <w:szCs w:val="22"/>
              </w:rPr>
              <w:t>Programme Head, Care.data</w:t>
            </w:r>
          </w:p>
        </w:tc>
        <w:tc>
          <w:tcPr>
            <w:tcW w:w="3910" w:type="dxa"/>
          </w:tcPr>
          <w:p w:rsidR="005E4AD5" w:rsidRPr="002D2A56" w:rsidRDefault="005E4AD5" w:rsidP="00B029F7">
            <w:pPr>
              <w:spacing w:after="60"/>
              <w:textboxTightWrap w:val="none"/>
              <w:rPr>
                <w:rFonts w:cs="Arial"/>
                <w:color w:val="000000"/>
                <w:sz w:val="22"/>
                <w:szCs w:val="22"/>
              </w:rPr>
            </w:pPr>
            <w:r>
              <w:rPr>
                <w:rFonts w:cs="Arial"/>
                <w:color w:val="000000"/>
                <w:sz w:val="22"/>
                <w:szCs w:val="22"/>
              </w:rPr>
              <w:t>HSCIC</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Phil Koczan</w:t>
            </w:r>
          </w:p>
        </w:tc>
        <w:tc>
          <w:tcPr>
            <w:tcW w:w="3827" w:type="dxa"/>
          </w:tcPr>
          <w:p w:rsidR="005E4AD5" w:rsidRDefault="005E4AD5" w:rsidP="00B029F7">
            <w:pPr>
              <w:spacing w:after="60"/>
              <w:textboxTightWrap w:val="none"/>
              <w:rPr>
                <w:rFonts w:cs="Arial"/>
                <w:sz w:val="22"/>
                <w:szCs w:val="22"/>
              </w:rPr>
            </w:pPr>
            <w:r>
              <w:rPr>
                <w:rFonts w:cs="Arial"/>
                <w:sz w:val="22"/>
                <w:szCs w:val="22"/>
              </w:rPr>
              <w:t>GP</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RCGP/Health Informatics Group</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Geraint Lewis</w:t>
            </w:r>
          </w:p>
        </w:tc>
        <w:tc>
          <w:tcPr>
            <w:tcW w:w="3827" w:type="dxa"/>
          </w:tcPr>
          <w:p w:rsidR="005E4AD5" w:rsidRDefault="005E4AD5" w:rsidP="00B029F7">
            <w:pPr>
              <w:spacing w:after="60"/>
              <w:textboxTightWrap w:val="none"/>
              <w:rPr>
                <w:rFonts w:cs="Arial"/>
                <w:sz w:val="22"/>
                <w:szCs w:val="22"/>
              </w:rPr>
            </w:pPr>
            <w:r>
              <w:rPr>
                <w:rFonts w:cs="Arial"/>
                <w:sz w:val="22"/>
                <w:szCs w:val="22"/>
              </w:rPr>
              <w:t>Chief Data Officer</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NHS England</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John Madsen</w:t>
            </w:r>
          </w:p>
        </w:tc>
        <w:tc>
          <w:tcPr>
            <w:tcW w:w="3827" w:type="dxa"/>
          </w:tcPr>
          <w:p w:rsidR="005E4AD5" w:rsidRDefault="005E4AD5" w:rsidP="00B029F7">
            <w:pPr>
              <w:spacing w:after="60"/>
              <w:textboxTightWrap w:val="none"/>
              <w:rPr>
                <w:rFonts w:cs="Arial"/>
                <w:sz w:val="22"/>
                <w:szCs w:val="22"/>
              </w:rPr>
            </w:pPr>
            <w:r>
              <w:rPr>
                <w:rFonts w:cs="Arial"/>
                <w:sz w:val="22"/>
                <w:szCs w:val="22"/>
              </w:rPr>
              <w:t>Head of Productivity &amp; Efficiency</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HSCIC</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Dawn Monaghan</w:t>
            </w:r>
          </w:p>
        </w:tc>
        <w:tc>
          <w:tcPr>
            <w:tcW w:w="3827" w:type="dxa"/>
          </w:tcPr>
          <w:p w:rsidR="005E4AD5" w:rsidRDefault="005E4AD5" w:rsidP="00B029F7">
            <w:pPr>
              <w:spacing w:after="60"/>
              <w:textboxTightWrap w:val="none"/>
              <w:rPr>
                <w:rFonts w:cs="Arial"/>
                <w:sz w:val="22"/>
                <w:szCs w:val="22"/>
              </w:rPr>
            </w:pPr>
            <w:r>
              <w:rPr>
                <w:rFonts w:cs="Arial"/>
                <w:sz w:val="22"/>
                <w:szCs w:val="22"/>
              </w:rPr>
              <w:t>Observer</w:t>
            </w:r>
          </w:p>
        </w:tc>
        <w:tc>
          <w:tcPr>
            <w:tcW w:w="3910" w:type="dxa"/>
          </w:tcPr>
          <w:p w:rsidR="005E4AD5" w:rsidRDefault="005E4AD5" w:rsidP="00B029F7">
            <w:pPr>
              <w:spacing w:after="60"/>
              <w:textboxTightWrap w:val="none"/>
              <w:rPr>
                <w:rFonts w:cs="Arial"/>
                <w:color w:val="000000"/>
                <w:sz w:val="22"/>
                <w:szCs w:val="22"/>
              </w:rPr>
            </w:pPr>
            <w:r>
              <w:rPr>
                <w:rFonts w:cs="Arial"/>
                <w:color w:val="000000"/>
                <w:sz w:val="22"/>
                <w:szCs w:val="22"/>
              </w:rPr>
              <w:t>Information Commissioners’ Office</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Richard Pantlin</w:t>
            </w:r>
          </w:p>
        </w:tc>
        <w:tc>
          <w:tcPr>
            <w:tcW w:w="3827" w:type="dxa"/>
          </w:tcPr>
          <w:p w:rsidR="005E4AD5" w:rsidRDefault="005E4AD5" w:rsidP="00B029F7">
            <w:pPr>
              <w:spacing w:after="60"/>
              <w:textboxTightWrap w:val="none"/>
              <w:rPr>
                <w:rFonts w:cs="Arial"/>
                <w:sz w:val="22"/>
                <w:szCs w:val="22"/>
              </w:rPr>
            </w:pPr>
            <w:r>
              <w:rPr>
                <w:rFonts w:cs="Arial"/>
                <w:sz w:val="22"/>
                <w:szCs w:val="22"/>
              </w:rPr>
              <w:t>Social Care Representative</w:t>
            </w:r>
          </w:p>
        </w:tc>
        <w:tc>
          <w:tcPr>
            <w:tcW w:w="3910" w:type="dxa"/>
          </w:tcPr>
          <w:p w:rsidR="005E4AD5" w:rsidRDefault="005E4AD5" w:rsidP="00B029F7">
            <w:pPr>
              <w:spacing w:after="60"/>
              <w:textboxTightWrap w:val="none"/>
              <w:rPr>
                <w:rFonts w:cs="Arial"/>
                <w:color w:val="000000"/>
                <w:sz w:val="22"/>
                <w:szCs w:val="22"/>
              </w:rPr>
            </w:pP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Pr>
                <w:rFonts w:cs="Arial"/>
                <w:sz w:val="22"/>
                <w:szCs w:val="22"/>
              </w:rPr>
              <w:t>John Parkinson</w:t>
            </w:r>
          </w:p>
        </w:tc>
        <w:tc>
          <w:tcPr>
            <w:tcW w:w="3827" w:type="dxa"/>
          </w:tcPr>
          <w:p w:rsidR="005E4AD5" w:rsidRDefault="005E4AD5" w:rsidP="00B029F7">
            <w:pPr>
              <w:spacing w:after="60"/>
              <w:textboxTightWrap w:val="none"/>
              <w:rPr>
                <w:rFonts w:cs="Arial"/>
                <w:sz w:val="22"/>
                <w:szCs w:val="22"/>
              </w:rPr>
            </w:pPr>
            <w:r>
              <w:rPr>
                <w:rFonts w:cs="Arial"/>
                <w:sz w:val="22"/>
                <w:szCs w:val="22"/>
              </w:rPr>
              <w:t>Observer</w:t>
            </w:r>
          </w:p>
        </w:tc>
        <w:tc>
          <w:tcPr>
            <w:tcW w:w="3910" w:type="dxa"/>
          </w:tcPr>
          <w:p w:rsidR="005E4AD5" w:rsidRDefault="005E4AD5" w:rsidP="00B029F7">
            <w:pPr>
              <w:spacing w:after="60"/>
              <w:textboxTightWrap w:val="none"/>
              <w:rPr>
                <w:rFonts w:cs="Arial"/>
                <w:color w:val="000000"/>
                <w:sz w:val="22"/>
                <w:szCs w:val="22"/>
              </w:rPr>
            </w:pPr>
            <w:r w:rsidRPr="00D4489E">
              <w:rPr>
                <w:rFonts w:cs="Arial"/>
                <w:sz w:val="22"/>
                <w:szCs w:val="22"/>
              </w:rPr>
              <w:t>Clinical Practice Research Data Link</w:t>
            </w:r>
          </w:p>
        </w:tc>
      </w:tr>
      <w:tr w:rsidR="005E4AD5" w:rsidRPr="00A06288" w:rsidTr="00064564">
        <w:trPr>
          <w:trHeight w:val="340"/>
        </w:trPr>
        <w:tc>
          <w:tcPr>
            <w:tcW w:w="2660" w:type="dxa"/>
          </w:tcPr>
          <w:p w:rsidR="005E4AD5" w:rsidRDefault="005E4AD5" w:rsidP="00B029F7">
            <w:pPr>
              <w:spacing w:after="60"/>
              <w:textboxTightWrap w:val="none"/>
              <w:rPr>
                <w:rFonts w:cs="Arial"/>
                <w:sz w:val="22"/>
                <w:szCs w:val="22"/>
              </w:rPr>
            </w:pPr>
            <w:r w:rsidRPr="002D2A56">
              <w:rPr>
                <w:rFonts w:cs="Arial"/>
                <w:sz w:val="22"/>
                <w:szCs w:val="22"/>
              </w:rPr>
              <w:t>Daniel Ray</w:t>
            </w:r>
          </w:p>
        </w:tc>
        <w:tc>
          <w:tcPr>
            <w:tcW w:w="3827" w:type="dxa"/>
          </w:tcPr>
          <w:p w:rsidR="005E4AD5" w:rsidRDefault="005E4AD5" w:rsidP="00B029F7">
            <w:pPr>
              <w:spacing w:after="60"/>
              <w:textboxTightWrap w:val="none"/>
              <w:rPr>
                <w:rFonts w:cs="Arial"/>
                <w:sz w:val="22"/>
                <w:szCs w:val="22"/>
              </w:rPr>
            </w:pPr>
            <w:r>
              <w:rPr>
                <w:rFonts w:cs="Arial"/>
                <w:sz w:val="22"/>
                <w:szCs w:val="22"/>
              </w:rPr>
              <w:t xml:space="preserve">Head of </w:t>
            </w:r>
            <w:r w:rsidRPr="002D2A56">
              <w:rPr>
                <w:rFonts w:cs="Arial"/>
                <w:sz w:val="22"/>
                <w:szCs w:val="22"/>
              </w:rPr>
              <w:t>Chief Information Officer Network</w:t>
            </w:r>
          </w:p>
        </w:tc>
        <w:tc>
          <w:tcPr>
            <w:tcW w:w="3910" w:type="dxa"/>
          </w:tcPr>
          <w:p w:rsidR="005E4AD5" w:rsidRDefault="005E4AD5" w:rsidP="00B029F7">
            <w:pPr>
              <w:spacing w:after="60"/>
              <w:textboxTightWrap w:val="none"/>
              <w:rPr>
                <w:rFonts w:cs="Arial"/>
                <w:color w:val="000000"/>
                <w:sz w:val="22"/>
                <w:szCs w:val="22"/>
              </w:rPr>
            </w:pPr>
            <w:r w:rsidRPr="002D2A56">
              <w:rPr>
                <w:rFonts w:cs="Arial"/>
                <w:sz w:val="22"/>
                <w:szCs w:val="22"/>
              </w:rPr>
              <w:t>University Hospital Birmingham</w:t>
            </w:r>
          </w:p>
        </w:tc>
      </w:tr>
      <w:tr w:rsidR="005E4AD5" w:rsidRPr="00A06288" w:rsidTr="00064564">
        <w:trPr>
          <w:trHeight w:val="340"/>
        </w:trPr>
        <w:tc>
          <w:tcPr>
            <w:tcW w:w="2660" w:type="dxa"/>
            <w:hideMark/>
          </w:tcPr>
          <w:p w:rsidR="005E4AD5" w:rsidRPr="002D2A56" w:rsidRDefault="005E4AD5" w:rsidP="00E07C2B">
            <w:pPr>
              <w:spacing w:after="60"/>
              <w:textboxTightWrap w:val="none"/>
              <w:rPr>
                <w:rFonts w:cs="Arial"/>
                <w:sz w:val="22"/>
                <w:szCs w:val="22"/>
              </w:rPr>
            </w:pPr>
            <w:r w:rsidRPr="002D2A56">
              <w:rPr>
                <w:rFonts w:cs="Arial"/>
                <w:sz w:val="22"/>
                <w:szCs w:val="22"/>
              </w:rPr>
              <w:t>Eve Roodhouse</w:t>
            </w:r>
            <w:r>
              <w:rPr>
                <w:rFonts w:cs="Arial"/>
                <w:sz w:val="22"/>
                <w:szCs w:val="22"/>
              </w:rPr>
              <w:t xml:space="preserve"> </w:t>
            </w:r>
          </w:p>
        </w:tc>
        <w:tc>
          <w:tcPr>
            <w:tcW w:w="3827" w:type="dxa"/>
            <w:hideMark/>
          </w:tcPr>
          <w:p w:rsidR="005E4AD5" w:rsidRPr="002D2A56" w:rsidRDefault="005E4AD5" w:rsidP="00B029F7">
            <w:pPr>
              <w:spacing w:after="60"/>
              <w:textboxTightWrap w:val="none"/>
              <w:rPr>
                <w:rFonts w:cs="Arial"/>
                <w:sz w:val="22"/>
                <w:szCs w:val="22"/>
              </w:rPr>
            </w:pPr>
            <w:r w:rsidRPr="002D2A56">
              <w:rPr>
                <w:rFonts w:cs="Arial"/>
                <w:sz w:val="22"/>
                <w:szCs w:val="22"/>
              </w:rPr>
              <w:t>Director care.data</w:t>
            </w:r>
          </w:p>
        </w:tc>
        <w:tc>
          <w:tcPr>
            <w:tcW w:w="3910" w:type="dxa"/>
            <w:hideMark/>
          </w:tcPr>
          <w:p w:rsidR="005E4AD5" w:rsidRPr="002D2A56" w:rsidRDefault="005E4AD5" w:rsidP="00E07C2B">
            <w:pPr>
              <w:spacing w:after="60"/>
              <w:textboxTightWrap w:val="none"/>
              <w:rPr>
                <w:rFonts w:cs="Arial"/>
                <w:color w:val="000000"/>
                <w:sz w:val="22"/>
                <w:szCs w:val="22"/>
              </w:rPr>
            </w:pPr>
            <w:r w:rsidRPr="002D2A56">
              <w:rPr>
                <w:rFonts w:cs="Arial"/>
                <w:sz w:val="22"/>
                <w:szCs w:val="22"/>
              </w:rPr>
              <w:t>HSCIC</w:t>
            </w:r>
          </w:p>
        </w:tc>
      </w:tr>
      <w:tr w:rsidR="005E4AD5" w:rsidRPr="00A06288" w:rsidTr="00064564">
        <w:trPr>
          <w:trHeight w:val="340"/>
        </w:trPr>
        <w:tc>
          <w:tcPr>
            <w:tcW w:w="2660" w:type="dxa"/>
          </w:tcPr>
          <w:p w:rsidR="005E4AD5" w:rsidRPr="002D2A56" w:rsidRDefault="005E4AD5" w:rsidP="00B029F7">
            <w:pPr>
              <w:spacing w:after="60"/>
              <w:textboxTightWrap w:val="none"/>
              <w:rPr>
                <w:rFonts w:cs="Arial"/>
                <w:sz w:val="22"/>
                <w:szCs w:val="22"/>
              </w:rPr>
            </w:pPr>
            <w:r>
              <w:rPr>
                <w:rFonts w:cs="Arial"/>
                <w:sz w:val="22"/>
                <w:szCs w:val="22"/>
              </w:rPr>
              <w:t>James Wood</w:t>
            </w:r>
          </w:p>
        </w:tc>
        <w:tc>
          <w:tcPr>
            <w:tcW w:w="3827" w:type="dxa"/>
          </w:tcPr>
          <w:p w:rsidR="005E4AD5" w:rsidRPr="002D2A56" w:rsidRDefault="005E4AD5" w:rsidP="00B029F7">
            <w:pPr>
              <w:spacing w:after="60"/>
              <w:textboxTightWrap w:val="none"/>
              <w:rPr>
                <w:rFonts w:cs="Arial"/>
                <w:sz w:val="22"/>
                <w:szCs w:val="22"/>
              </w:rPr>
            </w:pPr>
            <w:r>
              <w:rPr>
                <w:rFonts w:cs="Arial"/>
                <w:sz w:val="22"/>
                <w:szCs w:val="22"/>
              </w:rPr>
              <w:t>Head of Infrastructure Security</w:t>
            </w:r>
          </w:p>
        </w:tc>
        <w:tc>
          <w:tcPr>
            <w:tcW w:w="3910" w:type="dxa"/>
          </w:tcPr>
          <w:p w:rsidR="005E4AD5" w:rsidRPr="002D2A56" w:rsidRDefault="005E4AD5" w:rsidP="00B029F7">
            <w:pPr>
              <w:spacing w:after="60"/>
              <w:textboxTightWrap w:val="none"/>
              <w:rPr>
                <w:rFonts w:cs="Arial"/>
                <w:sz w:val="22"/>
                <w:szCs w:val="22"/>
              </w:rPr>
            </w:pPr>
            <w:r>
              <w:rPr>
                <w:rFonts w:cs="Arial"/>
                <w:sz w:val="22"/>
                <w:szCs w:val="22"/>
              </w:rPr>
              <w:t>HSCIC</w:t>
            </w:r>
          </w:p>
        </w:tc>
      </w:tr>
    </w:tbl>
    <w:p w:rsidR="00064564" w:rsidRPr="00064564" w:rsidRDefault="00064564">
      <w:pPr>
        <w:rPr>
          <w:sz w:val="22"/>
        </w:rPr>
      </w:pPr>
    </w:p>
    <w:p w:rsidR="00064564" w:rsidRPr="00064564" w:rsidRDefault="00064564">
      <w:pPr>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99"/>
        <w:gridCol w:w="8597"/>
      </w:tblGrid>
      <w:tr w:rsidR="007157A9" w:rsidRPr="00A06288" w:rsidTr="00064564">
        <w:trPr>
          <w:trHeight w:val="340"/>
        </w:trPr>
        <w:tc>
          <w:tcPr>
            <w:tcW w:w="901" w:type="dxa"/>
          </w:tcPr>
          <w:p w:rsidR="007157A9" w:rsidRPr="007157A9" w:rsidRDefault="007157A9" w:rsidP="00E72BB3">
            <w:pPr>
              <w:spacing w:after="120"/>
              <w:textboxTightWrap w:val="none"/>
              <w:rPr>
                <w:rFonts w:cs="Arial"/>
                <w:b/>
                <w:sz w:val="22"/>
                <w:szCs w:val="22"/>
              </w:rPr>
            </w:pPr>
            <w:r>
              <w:rPr>
                <w:rFonts w:cs="Arial"/>
                <w:b/>
                <w:sz w:val="22"/>
                <w:szCs w:val="22"/>
              </w:rPr>
              <w:lastRenderedPageBreak/>
              <w:t>1.0</w:t>
            </w:r>
          </w:p>
        </w:tc>
        <w:tc>
          <w:tcPr>
            <w:tcW w:w="9496" w:type="dxa"/>
            <w:gridSpan w:val="2"/>
          </w:tcPr>
          <w:p w:rsidR="007157A9" w:rsidRPr="007157A9" w:rsidRDefault="007157A9" w:rsidP="00E72BB3">
            <w:pPr>
              <w:spacing w:after="120"/>
              <w:jc w:val="both"/>
              <w:rPr>
                <w:b/>
                <w:sz w:val="22"/>
                <w:szCs w:val="22"/>
              </w:rPr>
            </w:pPr>
            <w:r>
              <w:rPr>
                <w:b/>
                <w:sz w:val="22"/>
                <w:szCs w:val="22"/>
              </w:rPr>
              <w:t>Welcome and Introductions</w:t>
            </w:r>
          </w:p>
        </w:tc>
      </w:tr>
      <w:tr w:rsidR="00E07C2B" w:rsidRPr="00E07C2B" w:rsidTr="00064564">
        <w:trPr>
          <w:trHeight w:val="340"/>
        </w:trPr>
        <w:tc>
          <w:tcPr>
            <w:tcW w:w="901" w:type="dxa"/>
          </w:tcPr>
          <w:p w:rsidR="00A14BAF" w:rsidRPr="00E07C2B" w:rsidRDefault="00A14BAF" w:rsidP="00E72BB3">
            <w:pPr>
              <w:spacing w:after="120"/>
              <w:textboxTightWrap w:val="none"/>
              <w:rPr>
                <w:rFonts w:cs="Arial"/>
                <w:sz w:val="22"/>
                <w:szCs w:val="22"/>
              </w:rPr>
            </w:pPr>
            <w:r w:rsidRPr="00E07C2B">
              <w:rPr>
                <w:rFonts w:cs="Arial"/>
                <w:sz w:val="22"/>
                <w:szCs w:val="22"/>
              </w:rPr>
              <w:t>1.1</w:t>
            </w:r>
          </w:p>
        </w:tc>
        <w:tc>
          <w:tcPr>
            <w:tcW w:w="9496" w:type="dxa"/>
            <w:gridSpan w:val="2"/>
          </w:tcPr>
          <w:p w:rsidR="00A14BAF" w:rsidRPr="00E07C2B" w:rsidRDefault="00625107" w:rsidP="00E07C2B">
            <w:pPr>
              <w:spacing w:after="120"/>
              <w:jc w:val="both"/>
              <w:rPr>
                <w:sz w:val="22"/>
                <w:szCs w:val="22"/>
              </w:rPr>
            </w:pPr>
            <w:r w:rsidRPr="00E07C2B">
              <w:rPr>
                <w:sz w:val="22"/>
                <w:szCs w:val="22"/>
              </w:rPr>
              <w:t xml:space="preserve">The Chair asked that the Review’s project </w:t>
            </w:r>
            <w:r w:rsidR="00E07BF9" w:rsidRPr="00E07C2B">
              <w:rPr>
                <w:sz w:val="22"/>
                <w:szCs w:val="22"/>
              </w:rPr>
              <w:t xml:space="preserve">manager </w:t>
            </w:r>
            <w:r w:rsidRPr="00E07C2B">
              <w:rPr>
                <w:sz w:val="22"/>
                <w:szCs w:val="22"/>
              </w:rPr>
              <w:t xml:space="preserve">confirms attendees for future </w:t>
            </w:r>
            <w:r w:rsidR="00570759" w:rsidRPr="00E07C2B">
              <w:rPr>
                <w:sz w:val="22"/>
                <w:szCs w:val="22"/>
              </w:rPr>
              <w:t>meetings,</w:t>
            </w:r>
            <w:r w:rsidRPr="00E07C2B">
              <w:rPr>
                <w:sz w:val="22"/>
                <w:szCs w:val="22"/>
              </w:rPr>
              <w:t xml:space="preserve"> February and March, to ensure the meetings will be quorate.</w:t>
            </w:r>
          </w:p>
        </w:tc>
      </w:tr>
      <w:tr w:rsidR="00E07C2B" w:rsidRPr="00E07C2B" w:rsidTr="00064564">
        <w:trPr>
          <w:trHeight w:val="340"/>
        </w:trPr>
        <w:tc>
          <w:tcPr>
            <w:tcW w:w="901" w:type="dxa"/>
          </w:tcPr>
          <w:p w:rsidR="00E07C2B" w:rsidRPr="00E07C2B" w:rsidRDefault="00E07C2B" w:rsidP="001A65FA">
            <w:pPr>
              <w:spacing w:after="120"/>
              <w:textboxTightWrap w:val="none"/>
              <w:rPr>
                <w:rFonts w:cs="Arial"/>
                <w:sz w:val="22"/>
                <w:szCs w:val="22"/>
              </w:rPr>
            </w:pPr>
          </w:p>
        </w:tc>
        <w:tc>
          <w:tcPr>
            <w:tcW w:w="9496" w:type="dxa"/>
            <w:gridSpan w:val="2"/>
          </w:tcPr>
          <w:p w:rsidR="00E07C2B" w:rsidRPr="00E07C2B" w:rsidRDefault="00E07C2B" w:rsidP="00E13290">
            <w:pPr>
              <w:spacing w:after="120"/>
              <w:jc w:val="both"/>
              <w:rPr>
                <w:sz w:val="22"/>
                <w:szCs w:val="22"/>
              </w:rPr>
            </w:pPr>
            <w:r w:rsidRPr="00E07C2B">
              <w:rPr>
                <w:sz w:val="22"/>
                <w:szCs w:val="22"/>
              </w:rPr>
              <w:t>The Chair gave an update on HSCIC by confirming the recent Code of Practice</w:t>
            </w:r>
            <w:r w:rsidR="00E13290">
              <w:rPr>
                <w:sz w:val="22"/>
                <w:szCs w:val="22"/>
              </w:rPr>
              <w:t xml:space="preserve"> on confidential Information</w:t>
            </w:r>
            <w:r w:rsidRPr="00E07C2B">
              <w:rPr>
                <w:sz w:val="22"/>
                <w:szCs w:val="22"/>
              </w:rPr>
              <w:t xml:space="preserve"> (</w:t>
            </w:r>
            <w:proofErr w:type="spellStart"/>
            <w:r w:rsidRPr="00E07C2B">
              <w:rPr>
                <w:sz w:val="22"/>
                <w:szCs w:val="22"/>
              </w:rPr>
              <w:t>CoP</w:t>
            </w:r>
            <w:proofErr w:type="spellEnd"/>
            <w:r w:rsidRPr="00E07C2B">
              <w:rPr>
                <w:sz w:val="22"/>
                <w:szCs w:val="22"/>
              </w:rPr>
              <w:t xml:space="preserve">) has been approved by the Secretary of State, Dan </w:t>
            </w:r>
            <w:proofErr w:type="spellStart"/>
            <w:r w:rsidRPr="00E07C2B">
              <w:rPr>
                <w:sz w:val="22"/>
                <w:szCs w:val="22"/>
              </w:rPr>
              <w:t>Poulter</w:t>
            </w:r>
            <w:proofErr w:type="spellEnd"/>
            <w:r w:rsidRPr="00E07C2B">
              <w:rPr>
                <w:sz w:val="22"/>
                <w:szCs w:val="22"/>
              </w:rPr>
              <w:t xml:space="preserve">, NHS England and the wider </w:t>
            </w:r>
            <w:r w:rsidR="00E13290">
              <w:rPr>
                <w:sz w:val="22"/>
                <w:szCs w:val="22"/>
              </w:rPr>
              <w:t>HSCIC</w:t>
            </w:r>
            <w:r w:rsidR="00E13290" w:rsidRPr="00E07C2B">
              <w:rPr>
                <w:sz w:val="22"/>
                <w:szCs w:val="22"/>
              </w:rPr>
              <w:t xml:space="preserve"> </w:t>
            </w:r>
            <w:r w:rsidRPr="00E07C2B">
              <w:rPr>
                <w:sz w:val="22"/>
                <w:szCs w:val="22"/>
              </w:rPr>
              <w:t>and that it has now been published.</w:t>
            </w:r>
          </w:p>
        </w:tc>
      </w:tr>
      <w:tr w:rsidR="00E07C2B" w:rsidRPr="00E07C2B" w:rsidTr="00064564">
        <w:trPr>
          <w:trHeight w:val="340"/>
        </w:trPr>
        <w:tc>
          <w:tcPr>
            <w:tcW w:w="901" w:type="dxa"/>
          </w:tcPr>
          <w:p w:rsidR="00E07C2B" w:rsidRPr="00E07C2B" w:rsidRDefault="00E07C2B" w:rsidP="001A65FA">
            <w:pPr>
              <w:spacing w:after="120"/>
              <w:textboxTightWrap w:val="none"/>
              <w:rPr>
                <w:rFonts w:cs="Arial"/>
                <w:sz w:val="22"/>
                <w:szCs w:val="22"/>
              </w:rPr>
            </w:pPr>
          </w:p>
        </w:tc>
        <w:tc>
          <w:tcPr>
            <w:tcW w:w="9496" w:type="dxa"/>
            <w:gridSpan w:val="2"/>
          </w:tcPr>
          <w:p w:rsidR="00E07C2B" w:rsidRPr="00E07C2B" w:rsidRDefault="00E07C2B" w:rsidP="00E13290">
            <w:pPr>
              <w:spacing w:after="120"/>
              <w:jc w:val="both"/>
              <w:rPr>
                <w:sz w:val="22"/>
                <w:szCs w:val="22"/>
              </w:rPr>
            </w:pPr>
            <w:r w:rsidRPr="00E07C2B">
              <w:rPr>
                <w:sz w:val="22"/>
                <w:szCs w:val="22"/>
              </w:rPr>
              <w:t>A member mentioned the Code of Practice has been reviewed by the Information Commissioners Office (ICO)</w:t>
            </w:r>
            <w:r w:rsidR="00E13290">
              <w:rPr>
                <w:sz w:val="22"/>
                <w:szCs w:val="22"/>
              </w:rPr>
              <w:t xml:space="preserve"> as part of its development.</w:t>
            </w:r>
            <w:r w:rsidRPr="00E07C2B">
              <w:rPr>
                <w:sz w:val="22"/>
                <w:szCs w:val="22"/>
              </w:rPr>
              <w:t xml:space="preserve"> </w:t>
            </w:r>
            <w:r w:rsidR="00E13290">
              <w:rPr>
                <w:sz w:val="22"/>
                <w:szCs w:val="22"/>
              </w:rPr>
              <w:t>T</w:t>
            </w:r>
            <w:r w:rsidRPr="00E07C2B">
              <w:rPr>
                <w:sz w:val="22"/>
                <w:szCs w:val="22"/>
              </w:rPr>
              <w:t xml:space="preserve">he definition of </w:t>
            </w:r>
            <w:r w:rsidR="00E13290">
              <w:rPr>
                <w:sz w:val="22"/>
                <w:szCs w:val="22"/>
              </w:rPr>
              <w:t xml:space="preserve">good practice for </w:t>
            </w:r>
            <w:r w:rsidRPr="00E07C2B">
              <w:rPr>
                <w:sz w:val="22"/>
                <w:szCs w:val="22"/>
              </w:rPr>
              <w:t xml:space="preserve">pseudonymisation was identified as requiring further </w:t>
            </w:r>
            <w:r w:rsidR="00E13290">
              <w:rPr>
                <w:sz w:val="22"/>
                <w:szCs w:val="22"/>
              </w:rPr>
              <w:t>development as an output of the pseudonymisation review</w:t>
            </w:r>
            <w:r w:rsidRPr="00E07C2B">
              <w:rPr>
                <w:sz w:val="22"/>
                <w:szCs w:val="22"/>
              </w:rPr>
              <w:t>.</w:t>
            </w:r>
          </w:p>
        </w:tc>
      </w:tr>
      <w:tr w:rsidR="00E07C2B" w:rsidRPr="00E07C2B" w:rsidTr="00064564">
        <w:trPr>
          <w:trHeight w:val="340"/>
        </w:trPr>
        <w:tc>
          <w:tcPr>
            <w:tcW w:w="901" w:type="dxa"/>
          </w:tcPr>
          <w:p w:rsidR="00E07C2B" w:rsidRPr="00E07C2B" w:rsidRDefault="00E07C2B" w:rsidP="001A65FA">
            <w:pPr>
              <w:spacing w:after="120"/>
              <w:textboxTightWrap w:val="none"/>
              <w:rPr>
                <w:rFonts w:cs="Arial"/>
                <w:sz w:val="22"/>
                <w:szCs w:val="22"/>
              </w:rPr>
            </w:pPr>
          </w:p>
        </w:tc>
        <w:tc>
          <w:tcPr>
            <w:tcW w:w="9496" w:type="dxa"/>
            <w:gridSpan w:val="2"/>
          </w:tcPr>
          <w:p w:rsidR="00E07C2B" w:rsidRPr="00E07C2B" w:rsidRDefault="00E07C2B" w:rsidP="00E13290">
            <w:pPr>
              <w:spacing w:after="120"/>
              <w:jc w:val="both"/>
              <w:rPr>
                <w:sz w:val="22"/>
                <w:szCs w:val="22"/>
              </w:rPr>
            </w:pPr>
            <w:r w:rsidRPr="00E07C2B">
              <w:rPr>
                <w:sz w:val="22"/>
                <w:szCs w:val="22"/>
              </w:rPr>
              <w:t xml:space="preserve">The Chair stated there is strong desire from the </w:t>
            </w:r>
            <w:proofErr w:type="spellStart"/>
            <w:r w:rsidRPr="00E07C2B">
              <w:rPr>
                <w:sz w:val="22"/>
                <w:szCs w:val="22"/>
              </w:rPr>
              <w:t>SofS</w:t>
            </w:r>
            <w:proofErr w:type="spellEnd"/>
            <w:r w:rsidRPr="00E07C2B">
              <w:rPr>
                <w:sz w:val="22"/>
                <w:szCs w:val="22"/>
              </w:rPr>
              <w:t xml:space="preserve"> and Dan </w:t>
            </w:r>
            <w:proofErr w:type="spellStart"/>
            <w:r w:rsidRPr="00E07C2B">
              <w:rPr>
                <w:sz w:val="22"/>
                <w:szCs w:val="22"/>
              </w:rPr>
              <w:t>Poulter</w:t>
            </w:r>
            <w:proofErr w:type="spellEnd"/>
            <w:r w:rsidRPr="00E07C2B">
              <w:rPr>
                <w:sz w:val="22"/>
                <w:szCs w:val="22"/>
              </w:rPr>
              <w:t xml:space="preserve"> to deliver on the </w:t>
            </w:r>
            <w:proofErr w:type="spellStart"/>
            <w:r w:rsidRPr="00E07C2B">
              <w:rPr>
                <w:sz w:val="22"/>
                <w:szCs w:val="22"/>
              </w:rPr>
              <w:t>CoP</w:t>
            </w:r>
            <w:proofErr w:type="spellEnd"/>
            <w:r w:rsidRPr="00E07C2B">
              <w:rPr>
                <w:sz w:val="22"/>
                <w:szCs w:val="22"/>
              </w:rPr>
              <w:t xml:space="preserve"> and that the </w:t>
            </w:r>
            <w:r w:rsidR="00E13290">
              <w:rPr>
                <w:sz w:val="22"/>
                <w:szCs w:val="22"/>
              </w:rPr>
              <w:t xml:space="preserve">additional practices on </w:t>
            </w:r>
            <w:r w:rsidRPr="00E07C2B">
              <w:rPr>
                <w:sz w:val="22"/>
                <w:szCs w:val="22"/>
              </w:rPr>
              <w:t>pseudonymisation mentioned above should be addressed.</w:t>
            </w:r>
          </w:p>
        </w:tc>
      </w:tr>
      <w:tr w:rsidR="00E07C2B" w:rsidRPr="00E07C2B" w:rsidTr="00064564">
        <w:trPr>
          <w:trHeight w:val="340"/>
        </w:trPr>
        <w:tc>
          <w:tcPr>
            <w:tcW w:w="901" w:type="dxa"/>
          </w:tcPr>
          <w:p w:rsidR="00E07C2B" w:rsidRPr="00E07C2B" w:rsidRDefault="00E07C2B" w:rsidP="001A65FA">
            <w:pPr>
              <w:spacing w:after="120"/>
              <w:textboxTightWrap w:val="none"/>
              <w:rPr>
                <w:rFonts w:cs="Arial"/>
                <w:sz w:val="22"/>
                <w:szCs w:val="22"/>
              </w:rPr>
            </w:pPr>
          </w:p>
        </w:tc>
        <w:tc>
          <w:tcPr>
            <w:tcW w:w="9496" w:type="dxa"/>
            <w:gridSpan w:val="2"/>
          </w:tcPr>
          <w:p w:rsidR="00E07C2B" w:rsidRPr="00E07C2B" w:rsidRDefault="00E07C2B" w:rsidP="00E07C2B">
            <w:pPr>
              <w:spacing w:after="120"/>
              <w:jc w:val="both"/>
              <w:rPr>
                <w:sz w:val="22"/>
                <w:szCs w:val="22"/>
              </w:rPr>
            </w:pPr>
            <w:r w:rsidRPr="00E07C2B">
              <w:rPr>
                <w:sz w:val="22"/>
                <w:szCs w:val="22"/>
              </w:rPr>
              <w:t>The Chair updated the group on progress made on Data Applications processed by the HSCIC and that the Data Release Register, showing who and for what purpose had received data from the HSCIC, has been published on the HSCIC website. This is the fourth version of the register and will be updated on a quarterly basis.</w:t>
            </w:r>
          </w:p>
        </w:tc>
      </w:tr>
      <w:tr w:rsidR="0072545B" w:rsidRPr="00081BB7" w:rsidTr="00064564">
        <w:trPr>
          <w:trHeight w:val="340"/>
        </w:trPr>
        <w:tc>
          <w:tcPr>
            <w:tcW w:w="901" w:type="dxa"/>
          </w:tcPr>
          <w:p w:rsidR="0072545B" w:rsidRPr="00081BB7" w:rsidRDefault="000A4F7C" w:rsidP="00251392">
            <w:pPr>
              <w:spacing w:after="120"/>
              <w:textboxTightWrap w:val="none"/>
              <w:rPr>
                <w:rFonts w:cs="Arial"/>
                <w:b/>
                <w:sz w:val="22"/>
                <w:szCs w:val="22"/>
              </w:rPr>
            </w:pPr>
            <w:r w:rsidRPr="00081BB7">
              <w:rPr>
                <w:rFonts w:cs="Arial"/>
                <w:b/>
                <w:sz w:val="22"/>
                <w:szCs w:val="22"/>
              </w:rPr>
              <w:t>2</w:t>
            </w:r>
            <w:r w:rsidR="00081BB7">
              <w:rPr>
                <w:rFonts w:cs="Arial"/>
                <w:b/>
                <w:sz w:val="22"/>
                <w:szCs w:val="22"/>
              </w:rPr>
              <w:t>.0</w:t>
            </w:r>
          </w:p>
        </w:tc>
        <w:tc>
          <w:tcPr>
            <w:tcW w:w="9496" w:type="dxa"/>
            <w:gridSpan w:val="2"/>
          </w:tcPr>
          <w:p w:rsidR="0072545B" w:rsidRPr="00081BB7" w:rsidRDefault="000A4F7C" w:rsidP="00251392">
            <w:pPr>
              <w:spacing w:after="120"/>
              <w:jc w:val="both"/>
              <w:rPr>
                <w:b/>
                <w:sz w:val="22"/>
                <w:szCs w:val="22"/>
              </w:rPr>
            </w:pPr>
            <w:r w:rsidRPr="00081BB7">
              <w:rPr>
                <w:b/>
                <w:sz w:val="22"/>
                <w:szCs w:val="22"/>
              </w:rPr>
              <w:t>Review of Minutes/Actions</w:t>
            </w:r>
          </w:p>
        </w:tc>
      </w:tr>
      <w:tr w:rsidR="00E07C2B" w:rsidRPr="00E07C2B" w:rsidTr="00064564">
        <w:trPr>
          <w:trHeight w:val="1289"/>
        </w:trPr>
        <w:tc>
          <w:tcPr>
            <w:tcW w:w="901" w:type="dxa"/>
          </w:tcPr>
          <w:p w:rsidR="00850303" w:rsidRPr="00E07C2B" w:rsidRDefault="00850303" w:rsidP="00251392">
            <w:pPr>
              <w:spacing w:after="120"/>
              <w:textboxTightWrap w:val="none"/>
              <w:rPr>
                <w:rFonts w:cs="Arial"/>
                <w:sz w:val="22"/>
                <w:szCs w:val="22"/>
              </w:rPr>
            </w:pPr>
            <w:r w:rsidRPr="00E07C2B">
              <w:rPr>
                <w:rFonts w:cs="Arial"/>
                <w:sz w:val="22"/>
                <w:szCs w:val="22"/>
              </w:rPr>
              <w:t xml:space="preserve">2.1 </w:t>
            </w:r>
          </w:p>
        </w:tc>
        <w:tc>
          <w:tcPr>
            <w:tcW w:w="9496" w:type="dxa"/>
            <w:gridSpan w:val="2"/>
          </w:tcPr>
          <w:p w:rsidR="00850303" w:rsidRPr="00E07C2B" w:rsidRDefault="00850303" w:rsidP="00E07BF9">
            <w:pPr>
              <w:spacing w:after="120"/>
              <w:jc w:val="both"/>
              <w:rPr>
                <w:sz w:val="22"/>
                <w:szCs w:val="22"/>
              </w:rPr>
            </w:pPr>
            <w:r w:rsidRPr="00E07C2B">
              <w:rPr>
                <w:sz w:val="22"/>
                <w:szCs w:val="22"/>
              </w:rPr>
              <w:t>The November minutes (amended from December steering group) were reviewed</w:t>
            </w:r>
            <w:r w:rsidR="003D37BE" w:rsidRPr="00E07C2B">
              <w:rPr>
                <w:sz w:val="22"/>
                <w:szCs w:val="22"/>
              </w:rPr>
              <w:t xml:space="preserve">. The project manager advised comments </w:t>
            </w:r>
            <w:r w:rsidR="002F397D" w:rsidRPr="00E07C2B">
              <w:rPr>
                <w:sz w:val="22"/>
                <w:szCs w:val="22"/>
              </w:rPr>
              <w:t xml:space="preserve">were </w:t>
            </w:r>
            <w:r w:rsidR="00570759" w:rsidRPr="00E07C2B">
              <w:rPr>
                <w:sz w:val="22"/>
                <w:szCs w:val="22"/>
              </w:rPr>
              <w:t>received</w:t>
            </w:r>
            <w:r w:rsidR="003D37BE" w:rsidRPr="00E07C2B">
              <w:rPr>
                <w:sz w:val="22"/>
                <w:szCs w:val="22"/>
              </w:rPr>
              <w:t xml:space="preserve"> electronically from a member</w:t>
            </w:r>
            <w:r w:rsidRPr="00E07C2B">
              <w:rPr>
                <w:sz w:val="22"/>
                <w:szCs w:val="22"/>
              </w:rPr>
              <w:t xml:space="preserve"> </w:t>
            </w:r>
            <w:r w:rsidR="003D37BE" w:rsidRPr="00E07C2B">
              <w:rPr>
                <w:sz w:val="22"/>
                <w:szCs w:val="22"/>
              </w:rPr>
              <w:t xml:space="preserve">and amendments </w:t>
            </w:r>
            <w:r w:rsidR="002F397D" w:rsidRPr="00E07C2B">
              <w:rPr>
                <w:sz w:val="22"/>
                <w:szCs w:val="22"/>
              </w:rPr>
              <w:t xml:space="preserve">were </w:t>
            </w:r>
            <w:r w:rsidR="003D37BE" w:rsidRPr="00E07C2B">
              <w:rPr>
                <w:sz w:val="22"/>
                <w:szCs w:val="22"/>
              </w:rPr>
              <w:t xml:space="preserve">made </w:t>
            </w:r>
            <w:r w:rsidR="002F397D" w:rsidRPr="00E07C2B">
              <w:rPr>
                <w:sz w:val="22"/>
                <w:szCs w:val="22"/>
              </w:rPr>
              <w:t xml:space="preserve">and </w:t>
            </w:r>
            <w:r w:rsidR="003D37BE" w:rsidRPr="00E07C2B">
              <w:rPr>
                <w:sz w:val="22"/>
                <w:szCs w:val="22"/>
              </w:rPr>
              <w:t>approved by that member</w:t>
            </w:r>
            <w:r w:rsidR="002F397D" w:rsidRPr="00E07C2B">
              <w:rPr>
                <w:sz w:val="22"/>
                <w:szCs w:val="22"/>
              </w:rPr>
              <w:t xml:space="preserve">, these changes are </w:t>
            </w:r>
            <w:r w:rsidR="003D37BE" w:rsidRPr="00E07C2B">
              <w:rPr>
                <w:sz w:val="22"/>
                <w:szCs w:val="22"/>
              </w:rPr>
              <w:t>included in the version being revi</w:t>
            </w:r>
            <w:r w:rsidR="002F397D" w:rsidRPr="00E07C2B">
              <w:rPr>
                <w:sz w:val="22"/>
                <w:szCs w:val="22"/>
              </w:rPr>
              <w:t>e</w:t>
            </w:r>
            <w:r w:rsidR="003D37BE" w:rsidRPr="00E07C2B">
              <w:rPr>
                <w:sz w:val="22"/>
                <w:szCs w:val="22"/>
              </w:rPr>
              <w:t>wed at today’s meeting. A page by page walkthrough confirmed the changes made and no further comments were raised by the group. The group there</w:t>
            </w:r>
            <w:r w:rsidRPr="00E07C2B">
              <w:rPr>
                <w:sz w:val="22"/>
                <w:szCs w:val="22"/>
              </w:rPr>
              <w:t xml:space="preserve">fore </w:t>
            </w:r>
            <w:r w:rsidR="00E07BF9" w:rsidRPr="00E07C2B">
              <w:rPr>
                <w:sz w:val="22"/>
                <w:szCs w:val="22"/>
              </w:rPr>
              <w:t>ratified</w:t>
            </w:r>
            <w:r w:rsidRPr="00E07C2B">
              <w:rPr>
                <w:sz w:val="22"/>
                <w:szCs w:val="22"/>
              </w:rPr>
              <w:t xml:space="preserve"> the minutes and that they </w:t>
            </w:r>
            <w:r w:rsidR="00E07BF9" w:rsidRPr="00E07C2B">
              <w:rPr>
                <w:sz w:val="22"/>
                <w:szCs w:val="22"/>
              </w:rPr>
              <w:t xml:space="preserve">should </w:t>
            </w:r>
            <w:r w:rsidRPr="00E07C2B">
              <w:rPr>
                <w:sz w:val="22"/>
                <w:szCs w:val="22"/>
              </w:rPr>
              <w:t>be published on the Review’s website.</w:t>
            </w:r>
          </w:p>
        </w:tc>
      </w:tr>
      <w:tr w:rsidR="00E07C2B" w:rsidRPr="00E07C2B" w:rsidTr="00064564">
        <w:trPr>
          <w:trHeight w:val="340"/>
        </w:trPr>
        <w:tc>
          <w:tcPr>
            <w:tcW w:w="901" w:type="dxa"/>
          </w:tcPr>
          <w:p w:rsidR="0072545B" w:rsidRPr="00E07C2B" w:rsidRDefault="000A4F7C" w:rsidP="00850303">
            <w:pPr>
              <w:spacing w:after="120"/>
              <w:textboxTightWrap w:val="none"/>
              <w:rPr>
                <w:rFonts w:cs="Arial"/>
                <w:sz w:val="22"/>
                <w:szCs w:val="22"/>
              </w:rPr>
            </w:pPr>
            <w:r w:rsidRPr="00E07C2B">
              <w:rPr>
                <w:rFonts w:cs="Arial"/>
                <w:sz w:val="22"/>
                <w:szCs w:val="22"/>
              </w:rPr>
              <w:t>2.</w:t>
            </w:r>
            <w:r w:rsidR="00850303" w:rsidRPr="00E07C2B">
              <w:rPr>
                <w:rFonts w:cs="Arial"/>
                <w:sz w:val="22"/>
                <w:szCs w:val="22"/>
              </w:rPr>
              <w:t>2</w:t>
            </w:r>
          </w:p>
        </w:tc>
        <w:tc>
          <w:tcPr>
            <w:tcW w:w="9496" w:type="dxa"/>
            <w:gridSpan w:val="2"/>
          </w:tcPr>
          <w:p w:rsidR="009A2F55" w:rsidRPr="00E07C2B" w:rsidRDefault="000A4F7C" w:rsidP="00850303">
            <w:pPr>
              <w:spacing w:after="120"/>
              <w:jc w:val="both"/>
              <w:rPr>
                <w:rFonts w:cs="Arial"/>
                <w:sz w:val="22"/>
                <w:szCs w:val="22"/>
              </w:rPr>
            </w:pPr>
            <w:r w:rsidRPr="00E07C2B">
              <w:rPr>
                <w:sz w:val="22"/>
                <w:szCs w:val="22"/>
              </w:rPr>
              <w:t xml:space="preserve">The </w:t>
            </w:r>
            <w:r w:rsidR="00850303" w:rsidRPr="00E07C2B">
              <w:rPr>
                <w:sz w:val="22"/>
                <w:szCs w:val="22"/>
              </w:rPr>
              <w:t>December minutes were revi</w:t>
            </w:r>
            <w:r w:rsidR="003D37BE" w:rsidRPr="00E07C2B">
              <w:rPr>
                <w:sz w:val="22"/>
                <w:szCs w:val="22"/>
              </w:rPr>
              <w:t>e</w:t>
            </w:r>
            <w:r w:rsidR="00850303" w:rsidRPr="00E07C2B">
              <w:rPr>
                <w:sz w:val="22"/>
                <w:szCs w:val="22"/>
              </w:rPr>
              <w:t>wed with following comments raised.</w:t>
            </w:r>
          </w:p>
        </w:tc>
      </w:tr>
      <w:tr w:rsidR="00E07C2B" w:rsidRPr="00E07C2B" w:rsidTr="00064564">
        <w:trPr>
          <w:trHeight w:val="340"/>
        </w:trPr>
        <w:tc>
          <w:tcPr>
            <w:tcW w:w="901" w:type="dxa"/>
          </w:tcPr>
          <w:p w:rsidR="000A4F7C" w:rsidRPr="00E07C2B" w:rsidRDefault="000A4F7C" w:rsidP="00251392">
            <w:pPr>
              <w:spacing w:after="120"/>
              <w:textboxTightWrap w:val="none"/>
              <w:rPr>
                <w:rFonts w:cs="Arial"/>
                <w:sz w:val="22"/>
                <w:szCs w:val="22"/>
              </w:rPr>
            </w:pPr>
          </w:p>
        </w:tc>
        <w:tc>
          <w:tcPr>
            <w:tcW w:w="899" w:type="dxa"/>
          </w:tcPr>
          <w:p w:rsidR="000A4F7C" w:rsidRPr="00E07C2B" w:rsidRDefault="000A4F7C" w:rsidP="00850303">
            <w:pPr>
              <w:spacing w:after="120"/>
              <w:jc w:val="both"/>
              <w:textboxTightWrap w:val="none"/>
              <w:rPr>
                <w:rFonts w:cs="Arial"/>
                <w:sz w:val="22"/>
                <w:szCs w:val="22"/>
              </w:rPr>
            </w:pPr>
            <w:r w:rsidRPr="00E07C2B">
              <w:rPr>
                <w:rFonts w:cs="Arial"/>
                <w:sz w:val="22"/>
                <w:szCs w:val="22"/>
              </w:rPr>
              <w:t>2.</w:t>
            </w:r>
            <w:r w:rsidR="00850303" w:rsidRPr="00E07C2B">
              <w:rPr>
                <w:rFonts w:cs="Arial"/>
                <w:sz w:val="22"/>
                <w:szCs w:val="22"/>
              </w:rPr>
              <w:t>2</w:t>
            </w:r>
            <w:r w:rsidRPr="00E07C2B">
              <w:rPr>
                <w:rFonts w:cs="Arial"/>
                <w:sz w:val="22"/>
                <w:szCs w:val="22"/>
              </w:rPr>
              <w:t>.1</w:t>
            </w:r>
          </w:p>
        </w:tc>
        <w:tc>
          <w:tcPr>
            <w:tcW w:w="8597" w:type="dxa"/>
          </w:tcPr>
          <w:p w:rsidR="000A4F7C" w:rsidRPr="00E07C2B" w:rsidRDefault="00850303" w:rsidP="00061970">
            <w:pPr>
              <w:spacing w:after="120"/>
              <w:jc w:val="both"/>
              <w:rPr>
                <w:sz w:val="22"/>
                <w:szCs w:val="22"/>
              </w:rPr>
            </w:pPr>
            <w:r w:rsidRPr="00E07C2B">
              <w:rPr>
                <w:sz w:val="22"/>
                <w:szCs w:val="22"/>
              </w:rPr>
              <w:t>The Patient representat</w:t>
            </w:r>
            <w:r w:rsidR="00061970" w:rsidRPr="00E07C2B">
              <w:rPr>
                <w:sz w:val="22"/>
                <w:szCs w:val="22"/>
              </w:rPr>
              <w:t>ive</w:t>
            </w:r>
            <w:r w:rsidR="00E07C2B" w:rsidRPr="00E07C2B">
              <w:rPr>
                <w:sz w:val="22"/>
                <w:szCs w:val="22"/>
              </w:rPr>
              <w:t xml:space="preserve"> stated he was in attendance.</w:t>
            </w:r>
          </w:p>
        </w:tc>
      </w:tr>
      <w:tr w:rsidR="00E07C2B" w:rsidRPr="00E07C2B" w:rsidTr="00064564">
        <w:trPr>
          <w:trHeight w:val="340"/>
        </w:trPr>
        <w:tc>
          <w:tcPr>
            <w:tcW w:w="901" w:type="dxa"/>
          </w:tcPr>
          <w:p w:rsidR="000A4F7C" w:rsidRPr="00E07C2B" w:rsidRDefault="000A4F7C" w:rsidP="00251392">
            <w:pPr>
              <w:spacing w:after="120"/>
              <w:textboxTightWrap w:val="none"/>
              <w:rPr>
                <w:rFonts w:cs="Arial"/>
                <w:sz w:val="22"/>
                <w:szCs w:val="22"/>
              </w:rPr>
            </w:pPr>
          </w:p>
        </w:tc>
        <w:tc>
          <w:tcPr>
            <w:tcW w:w="899" w:type="dxa"/>
          </w:tcPr>
          <w:p w:rsidR="000A4F7C" w:rsidRPr="00E07C2B" w:rsidRDefault="000A4F7C" w:rsidP="00850303">
            <w:pPr>
              <w:spacing w:after="120"/>
              <w:jc w:val="both"/>
              <w:textboxTightWrap w:val="none"/>
              <w:rPr>
                <w:rFonts w:cs="Arial"/>
                <w:sz w:val="22"/>
                <w:szCs w:val="22"/>
              </w:rPr>
            </w:pPr>
            <w:r w:rsidRPr="00E07C2B">
              <w:rPr>
                <w:rFonts w:cs="Arial"/>
                <w:sz w:val="22"/>
                <w:szCs w:val="22"/>
              </w:rPr>
              <w:t>2.</w:t>
            </w:r>
            <w:r w:rsidR="00850303" w:rsidRPr="00E07C2B">
              <w:rPr>
                <w:rFonts w:cs="Arial"/>
                <w:sz w:val="22"/>
                <w:szCs w:val="22"/>
              </w:rPr>
              <w:t>2</w:t>
            </w:r>
            <w:r w:rsidRPr="00E07C2B">
              <w:rPr>
                <w:rFonts w:cs="Arial"/>
                <w:sz w:val="22"/>
                <w:szCs w:val="22"/>
              </w:rPr>
              <w:t>.2</w:t>
            </w:r>
          </w:p>
        </w:tc>
        <w:tc>
          <w:tcPr>
            <w:tcW w:w="8597" w:type="dxa"/>
          </w:tcPr>
          <w:p w:rsidR="000A4F7C" w:rsidRPr="00E07C2B" w:rsidRDefault="00061970" w:rsidP="002F397D">
            <w:pPr>
              <w:spacing w:after="120"/>
              <w:jc w:val="both"/>
              <w:textboxTightWrap w:val="none"/>
              <w:rPr>
                <w:rFonts w:cs="Arial"/>
                <w:sz w:val="22"/>
                <w:szCs w:val="22"/>
              </w:rPr>
            </w:pPr>
            <w:r w:rsidRPr="00E07C2B">
              <w:rPr>
                <w:sz w:val="22"/>
                <w:szCs w:val="22"/>
              </w:rPr>
              <w:t>The Chair stated that Carl Vince</w:t>
            </w:r>
            <w:r w:rsidR="00E07BF9" w:rsidRPr="00E07C2B">
              <w:rPr>
                <w:sz w:val="22"/>
                <w:szCs w:val="22"/>
              </w:rPr>
              <w:t>nt responsibilities for Informa</w:t>
            </w:r>
            <w:r w:rsidRPr="00E07C2B">
              <w:rPr>
                <w:sz w:val="22"/>
                <w:szCs w:val="22"/>
              </w:rPr>
              <w:t>t</w:t>
            </w:r>
            <w:r w:rsidR="00E07BF9" w:rsidRPr="00E07C2B">
              <w:rPr>
                <w:sz w:val="22"/>
                <w:szCs w:val="22"/>
              </w:rPr>
              <w:t>i</w:t>
            </w:r>
            <w:r w:rsidRPr="00E07C2B">
              <w:rPr>
                <w:sz w:val="22"/>
                <w:szCs w:val="22"/>
              </w:rPr>
              <w:t xml:space="preserve">on &amp; Analytics </w:t>
            </w:r>
            <w:r w:rsidR="002F397D" w:rsidRPr="00E07C2B">
              <w:rPr>
                <w:sz w:val="22"/>
                <w:szCs w:val="22"/>
              </w:rPr>
              <w:t>are</w:t>
            </w:r>
            <w:r w:rsidRPr="00E07C2B">
              <w:rPr>
                <w:sz w:val="22"/>
                <w:szCs w:val="22"/>
              </w:rPr>
              <w:t xml:space="preserve"> on an interim basis. The text in para 1.1 to be amended to reflect this</w:t>
            </w:r>
            <w:r w:rsidR="00570759" w:rsidRPr="00E07C2B">
              <w:rPr>
                <w:sz w:val="22"/>
                <w:szCs w:val="22"/>
              </w:rPr>
              <w:t>.</w:t>
            </w:r>
            <w:r w:rsidR="00E86BC5" w:rsidRPr="00E07C2B">
              <w:rPr>
                <w:sz w:val="22"/>
                <w:szCs w:val="22"/>
              </w:rPr>
              <w:t xml:space="preserve"> </w:t>
            </w:r>
          </w:p>
        </w:tc>
      </w:tr>
      <w:tr w:rsidR="00E07C2B" w:rsidRPr="00E07C2B" w:rsidTr="00064564">
        <w:trPr>
          <w:trHeight w:val="340"/>
        </w:trPr>
        <w:tc>
          <w:tcPr>
            <w:tcW w:w="901" w:type="dxa"/>
          </w:tcPr>
          <w:p w:rsidR="000A4F7C" w:rsidRPr="00E07C2B" w:rsidRDefault="000A4F7C" w:rsidP="00251392">
            <w:pPr>
              <w:spacing w:after="120"/>
              <w:textboxTightWrap w:val="none"/>
              <w:rPr>
                <w:rFonts w:cs="Arial"/>
                <w:sz w:val="22"/>
                <w:szCs w:val="22"/>
              </w:rPr>
            </w:pPr>
          </w:p>
        </w:tc>
        <w:tc>
          <w:tcPr>
            <w:tcW w:w="899" w:type="dxa"/>
          </w:tcPr>
          <w:p w:rsidR="00C80FE5" w:rsidRPr="00E07C2B" w:rsidRDefault="000A4F7C" w:rsidP="00E07C2B">
            <w:pPr>
              <w:spacing w:after="120"/>
              <w:jc w:val="both"/>
              <w:textboxTightWrap w:val="none"/>
              <w:rPr>
                <w:rFonts w:cs="Arial"/>
                <w:sz w:val="22"/>
                <w:szCs w:val="22"/>
              </w:rPr>
            </w:pPr>
            <w:r w:rsidRPr="00E07C2B">
              <w:rPr>
                <w:rFonts w:cs="Arial"/>
                <w:sz w:val="22"/>
                <w:szCs w:val="22"/>
              </w:rPr>
              <w:t>2.</w:t>
            </w:r>
            <w:r w:rsidR="00850303" w:rsidRPr="00E07C2B">
              <w:rPr>
                <w:rFonts w:cs="Arial"/>
                <w:sz w:val="22"/>
                <w:szCs w:val="22"/>
              </w:rPr>
              <w:t>2</w:t>
            </w:r>
            <w:r w:rsidRPr="00E07C2B">
              <w:rPr>
                <w:rFonts w:cs="Arial"/>
                <w:sz w:val="22"/>
                <w:szCs w:val="22"/>
              </w:rPr>
              <w:t>.3</w:t>
            </w:r>
          </w:p>
        </w:tc>
        <w:tc>
          <w:tcPr>
            <w:tcW w:w="8597" w:type="dxa"/>
          </w:tcPr>
          <w:p w:rsidR="00C80FE5" w:rsidRPr="00E07C2B" w:rsidRDefault="002F397D" w:rsidP="00601DBC">
            <w:pPr>
              <w:spacing w:after="120"/>
              <w:jc w:val="both"/>
              <w:textboxTightWrap w:val="none"/>
              <w:rPr>
                <w:rFonts w:cs="Arial"/>
                <w:sz w:val="22"/>
                <w:szCs w:val="22"/>
              </w:rPr>
            </w:pPr>
            <w:r w:rsidRPr="00E07C2B">
              <w:rPr>
                <w:sz w:val="22"/>
                <w:szCs w:val="22"/>
              </w:rPr>
              <w:t xml:space="preserve">A member commented on the </w:t>
            </w:r>
            <w:r w:rsidR="00C80FE5" w:rsidRPr="00E07C2B">
              <w:rPr>
                <w:sz w:val="22"/>
                <w:szCs w:val="22"/>
              </w:rPr>
              <w:t xml:space="preserve">statement in para 2.2.4 – Action </w:t>
            </w:r>
            <w:r w:rsidR="00570759" w:rsidRPr="00E07C2B">
              <w:rPr>
                <w:sz w:val="22"/>
                <w:szCs w:val="22"/>
              </w:rPr>
              <w:t>35, regarding</w:t>
            </w:r>
            <w:r w:rsidR="00C80FE5" w:rsidRPr="00E07C2B">
              <w:rPr>
                <w:sz w:val="22"/>
                <w:szCs w:val="22"/>
              </w:rPr>
              <w:t xml:space="preserve"> Patient Objections, </w:t>
            </w:r>
            <w:r w:rsidR="00601DBC" w:rsidRPr="00E07C2B">
              <w:rPr>
                <w:sz w:val="22"/>
                <w:szCs w:val="22"/>
              </w:rPr>
              <w:t xml:space="preserve">which was closed in December’s </w:t>
            </w:r>
            <w:r w:rsidR="00570759" w:rsidRPr="00E07C2B">
              <w:rPr>
                <w:sz w:val="22"/>
                <w:szCs w:val="22"/>
              </w:rPr>
              <w:t>meeting</w:t>
            </w:r>
            <w:r w:rsidR="00601DBC" w:rsidRPr="00E07C2B">
              <w:rPr>
                <w:sz w:val="22"/>
                <w:szCs w:val="22"/>
              </w:rPr>
              <w:t>. Had t</w:t>
            </w:r>
            <w:r w:rsidR="00C80FE5" w:rsidRPr="00E07C2B">
              <w:rPr>
                <w:sz w:val="22"/>
                <w:szCs w:val="22"/>
              </w:rPr>
              <w:t xml:space="preserve">here been any development on new codes </w:t>
            </w:r>
            <w:r w:rsidR="00570759" w:rsidRPr="00E07C2B">
              <w:rPr>
                <w:sz w:val="22"/>
                <w:szCs w:val="22"/>
              </w:rPr>
              <w:t>associated</w:t>
            </w:r>
            <w:r w:rsidR="00C80FE5" w:rsidRPr="00E07C2B">
              <w:rPr>
                <w:sz w:val="22"/>
                <w:szCs w:val="22"/>
              </w:rPr>
              <w:t xml:space="preserve"> with patient objections and the need for sharing based on consent by 2020. The Chair suggested this topic be picked up as an </w:t>
            </w:r>
            <w:r w:rsidR="00E07C2B" w:rsidRPr="00E07C2B">
              <w:rPr>
                <w:sz w:val="22"/>
                <w:szCs w:val="22"/>
              </w:rPr>
              <w:t>AOB item in today’s meeting.</w:t>
            </w:r>
          </w:p>
        </w:tc>
      </w:tr>
      <w:tr w:rsidR="00AC2E77" w:rsidRPr="00BD46DF" w:rsidTr="00064564">
        <w:trPr>
          <w:trHeight w:val="340"/>
        </w:trPr>
        <w:tc>
          <w:tcPr>
            <w:tcW w:w="1800" w:type="dxa"/>
            <w:gridSpan w:val="2"/>
          </w:tcPr>
          <w:p w:rsidR="00AC2E77" w:rsidRDefault="00AC2E77" w:rsidP="00E72BB3">
            <w:pPr>
              <w:spacing w:after="120"/>
              <w:jc w:val="both"/>
              <w:textboxTightWrap w:val="none"/>
              <w:rPr>
                <w:rFonts w:cs="Arial"/>
                <w:sz w:val="22"/>
                <w:szCs w:val="22"/>
              </w:rPr>
            </w:pPr>
            <w:r w:rsidRPr="0072545B">
              <w:rPr>
                <w:b/>
                <w:sz w:val="22"/>
                <w:szCs w:val="22"/>
              </w:rPr>
              <w:t>Action No. 1</w:t>
            </w:r>
            <w:r>
              <w:rPr>
                <w:b/>
                <w:sz w:val="22"/>
                <w:szCs w:val="22"/>
              </w:rPr>
              <w:t>:</w:t>
            </w:r>
          </w:p>
        </w:tc>
        <w:tc>
          <w:tcPr>
            <w:tcW w:w="8597" w:type="dxa"/>
          </w:tcPr>
          <w:p w:rsidR="00AC2E77" w:rsidRPr="00BD46DF" w:rsidRDefault="00AC2E77" w:rsidP="00AC2E77">
            <w:pPr>
              <w:spacing w:after="120"/>
              <w:jc w:val="both"/>
              <w:textboxTightWrap w:val="none"/>
              <w:rPr>
                <w:sz w:val="22"/>
                <w:szCs w:val="22"/>
              </w:rPr>
            </w:pPr>
            <w:r w:rsidRPr="0072545B">
              <w:rPr>
                <w:b/>
                <w:sz w:val="22"/>
                <w:szCs w:val="22"/>
              </w:rPr>
              <w:t xml:space="preserve">Project Manager to amend </w:t>
            </w:r>
            <w:r>
              <w:rPr>
                <w:b/>
                <w:sz w:val="22"/>
                <w:szCs w:val="22"/>
              </w:rPr>
              <w:t xml:space="preserve">December minutes to reflect above comments and publish </w:t>
            </w:r>
            <w:r w:rsidR="00E07BF9">
              <w:rPr>
                <w:b/>
                <w:sz w:val="22"/>
                <w:szCs w:val="22"/>
              </w:rPr>
              <w:t xml:space="preserve">both November’s and December’s minutes </w:t>
            </w:r>
            <w:r>
              <w:rPr>
                <w:b/>
                <w:sz w:val="22"/>
                <w:szCs w:val="22"/>
              </w:rPr>
              <w:t>on the Review’s website.</w:t>
            </w:r>
          </w:p>
        </w:tc>
      </w:tr>
      <w:tr w:rsidR="0070620D" w:rsidRPr="002D2A56" w:rsidTr="00064564">
        <w:trPr>
          <w:trHeight w:val="340"/>
        </w:trPr>
        <w:tc>
          <w:tcPr>
            <w:tcW w:w="901" w:type="dxa"/>
          </w:tcPr>
          <w:p w:rsidR="0070620D" w:rsidRPr="002D2A56" w:rsidRDefault="0070620D" w:rsidP="00AC2E77">
            <w:pPr>
              <w:spacing w:after="120"/>
              <w:textboxTightWrap w:val="none"/>
              <w:rPr>
                <w:rFonts w:cs="Arial"/>
                <w:sz w:val="22"/>
                <w:szCs w:val="22"/>
              </w:rPr>
            </w:pPr>
            <w:r>
              <w:rPr>
                <w:rFonts w:cs="Arial"/>
                <w:sz w:val="22"/>
                <w:szCs w:val="22"/>
              </w:rPr>
              <w:t>2.</w:t>
            </w:r>
            <w:r w:rsidR="00AC2E77">
              <w:rPr>
                <w:rFonts w:cs="Arial"/>
                <w:sz w:val="22"/>
                <w:szCs w:val="22"/>
              </w:rPr>
              <w:t>3</w:t>
            </w:r>
          </w:p>
        </w:tc>
        <w:tc>
          <w:tcPr>
            <w:tcW w:w="9496" w:type="dxa"/>
            <w:gridSpan w:val="2"/>
          </w:tcPr>
          <w:p w:rsidR="0070620D" w:rsidRPr="003A23DD" w:rsidRDefault="0070620D" w:rsidP="00E72BB3">
            <w:pPr>
              <w:spacing w:after="120"/>
              <w:jc w:val="both"/>
              <w:rPr>
                <w:rFonts w:cs="Arial"/>
                <w:b/>
                <w:sz w:val="22"/>
                <w:szCs w:val="22"/>
              </w:rPr>
            </w:pPr>
            <w:r w:rsidRPr="003A23DD">
              <w:rPr>
                <w:b/>
                <w:sz w:val="22"/>
                <w:szCs w:val="22"/>
              </w:rPr>
              <w:t>Review of Actions</w:t>
            </w:r>
          </w:p>
        </w:tc>
      </w:tr>
      <w:tr w:rsidR="00A14BAF" w:rsidRPr="00A14BAF" w:rsidTr="00064564">
        <w:trPr>
          <w:trHeight w:val="340"/>
        </w:trPr>
        <w:tc>
          <w:tcPr>
            <w:tcW w:w="901" w:type="dxa"/>
          </w:tcPr>
          <w:p w:rsidR="00A14BAF" w:rsidRPr="00A14BAF" w:rsidRDefault="00A14BAF" w:rsidP="00E72BB3">
            <w:pPr>
              <w:spacing w:after="120"/>
              <w:textboxTightWrap w:val="none"/>
              <w:rPr>
                <w:rFonts w:cs="Arial"/>
                <w:sz w:val="22"/>
                <w:szCs w:val="22"/>
              </w:rPr>
            </w:pPr>
          </w:p>
        </w:tc>
        <w:tc>
          <w:tcPr>
            <w:tcW w:w="899" w:type="dxa"/>
          </w:tcPr>
          <w:p w:rsidR="00A14BAF" w:rsidRPr="00A14BAF" w:rsidRDefault="00A14BAF" w:rsidP="00AC2E77">
            <w:pPr>
              <w:spacing w:after="120"/>
              <w:jc w:val="both"/>
              <w:textboxTightWrap w:val="none"/>
              <w:rPr>
                <w:rFonts w:cs="Arial"/>
                <w:sz w:val="22"/>
                <w:szCs w:val="22"/>
              </w:rPr>
            </w:pPr>
            <w:r>
              <w:rPr>
                <w:rFonts w:cs="Arial"/>
                <w:sz w:val="22"/>
                <w:szCs w:val="22"/>
              </w:rPr>
              <w:t>2.</w:t>
            </w:r>
            <w:r w:rsidR="00AC2E77">
              <w:rPr>
                <w:rFonts w:cs="Arial"/>
                <w:sz w:val="22"/>
                <w:szCs w:val="22"/>
              </w:rPr>
              <w:t>3</w:t>
            </w:r>
            <w:r w:rsidR="0070620D">
              <w:rPr>
                <w:rFonts w:cs="Arial"/>
                <w:sz w:val="22"/>
                <w:szCs w:val="22"/>
              </w:rPr>
              <w:t>.1</w:t>
            </w:r>
          </w:p>
        </w:tc>
        <w:tc>
          <w:tcPr>
            <w:tcW w:w="8597" w:type="dxa"/>
          </w:tcPr>
          <w:p w:rsidR="009A5572" w:rsidRPr="00A14BAF" w:rsidRDefault="00A14BAF" w:rsidP="009A5572">
            <w:pPr>
              <w:spacing w:after="120"/>
              <w:jc w:val="both"/>
              <w:textboxTightWrap w:val="none"/>
              <w:rPr>
                <w:rFonts w:cs="Arial"/>
                <w:sz w:val="22"/>
                <w:szCs w:val="22"/>
              </w:rPr>
            </w:pPr>
            <w:r w:rsidRPr="00570759">
              <w:rPr>
                <w:rFonts w:cs="Arial"/>
                <w:b/>
                <w:color w:val="001830" w:themeColor="text1"/>
                <w:sz w:val="22"/>
                <w:szCs w:val="22"/>
              </w:rPr>
              <w:t xml:space="preserve">Action </w:t>
            </w:r>
            <w:r w:rsidR="00AC2E77" w:rsidRPr="00570759">
              <w:rPr>
                <w:rFonts w:cs="Arial"/>
                <w:b/>
                <w:color w:val="001830" w:themeColor="text1"/>
                <w:sz w:val="22"/>
                <w:szCs w:val="22"/>
              </w:rPr>
              <w:t>35</w:t>
            </w:r>
            <w:r w:rsidR="00AC2E77" w:rsidRPr="00570759">
              <w:rPr>
                <w:rFonts w:cs="Arial"/>
                <w:color w:val="001830" w:themeColor="text1"/>
                <w:sz w:val="22"/>
                <w:szCs w:val="22"/>
              </w:rPr>
              <w:t xml:space="preserve"> –</w:t>
            </w:r>
            <w:r w:rsidR="009A5572" w:rsidRPr="009A5572">
              <w:rPr>
                <w:rFonts w:cs="Arial"/>
                <w:sz w:val="22"/>
                <w:szCs w:val="22"/>
              </w:rPr>
              <w:t xml:space="preserve">An update on Patient Objections, following comment </w:t>
            </w:r>
            <w:proofErr w:type="gramStart"/>
            <w:r w:rsidR="009A5572" w:rsidRPr="009A5572">
              <w:rPr>
                <w:rFonts w:cs="Arial"/>
                <w:sz w:val="22"/>
                <w:szCs w:val="22"/>
              </w:rPr>
              <w:t>raised</w:t>
            </w:r>
            <w:proofErr w:type="gramEnd"/>
            <w:r w:rsidR="009A5572" w:rsidRPr="009A5572">
              <w:rPr>
                <w:rFonts w:cs="Arial"/>
                <w:sz w:val="22"/>
                <w:szCs w:val="22"/>
              </w:rPr>
              <w:t xml:space="preserve"> in para 2.2.3 above, was provided by the Chair. The HSCIC Board has been carefully considering the issue. The position on GP data that uses codes for Patient Objections affects two read codes which require reviewing for impact on patient objections. This information has not been extracted from GP systems yet.</w:t>
            </w:r>
          </w:p>
        </w:tc>
      </w:tr>
      <w:tr w:rsidR="00E07C2B" w:rsidRPr="00E07C2B" w:rsidTr="00064564">
        <w:trPr>
          <w:trHeight w:val="340"/>
        </w:trPr>
        <w:tc>
          <w:tcPr>
            <w:tcW w:w="901" w:type="dxa"/>
          </w:tcPr>
          <w:p w:rsidR="00A14BAF" w:rsidRPr="00E07C2B" w:rsidRDefault="00A14BAF" w:rsidP="00E72BB3">
            <w:pPr>
              <w:spacing w:after="120"/>
              <w:textboxTightWrap w:val="none"/>
              <w:rPr>
                <w:rFonts w:cs="Arial"/>
                <w:sz w:val="22"/>
                <w:szCs w:val="22"/>
              </w:rPr>
            </w:pPr>
          </w:p>
        </w:tc>
        <w:tc>
          <w:tcPr>
            <w:tcW w:w="899" w:type="dxa"/>
          </w:tcPr>
          <w:p w:rsidR="00A14BAF" w:rsidRPr="00E07C2B" w:rsidRDefault="0070620D" w:rsidP="00AC2E77">
            <w:pPr>
              <w:spacing w:after="120"/>
              <w:jc w:val="both"/>
              <w:textboxTightWrap w:val="none"/>
              <w:rPr>
                <w:rFonts w:cs="Arial"/>
                <w:sz w:val="22"/>
                <w:szCs w:val="22"/>
              </w:rPr>
            </w:pPr>
            <w:r w:rsidRPr="00E07C2B">
              <w:rPr>
                <w:rFonts w:cs="Arial"/>
                <w:sz w:val="22"/>
                <w:szCs w:val="22"/>
              </w:rPr>
              <w:t>2.</w:t>
            </w:r>
            <w:r w:rsidR="00AC2E77" w:rsidRPr="00E07C2B">
              <w:rPr>
                <w:rFonts w:cs="Arial"/>
                <w:sz w:val="22"/>
                <w:szCs w:val="22"/>
              </w:rPr>
              <w:t>3</w:t>
            </w:r>
            <w:r w:rsidRPr="00E07C2B">
              <w:rPr>
                <w:rFonts w:cs="Arial"/>
                <w:sz w:val="22"/>
                <w:szCs w:val="22"/>
              </w:rPr>
              <w:t>.2</w:t>
            </w:r>
          </w:p>
        </w:tc>
        <w:tc>
          <w:tcPr>
            <w:tcW w:w="8597" w:type="dxa"/>
          </w:tcPr>
          <w:p w:rsidR="00A14BAF" w:rsidRDefault="00AC2E77" w:rsidP="008F64E3">
            <w:pPr>
              <w:spacing w:after="120"/>
              <w:jc w:val="both"/>
              <w:textboxTightWrap w:val="none"/>
              <w:rPr>
                <w:rFonts w:cs="Arial"/>
                <w:sz w:val="22"/>
                <w:szCs w:val="22"/>
              </w:rPr>
            </w:pPr>
            <w:r w:rsidRPr="00E07C2B">
              <w:rPr>
                <w:rFonts w:cs="Arial"/>
                <w:sz w:val="22"/>
                <w:szCs w:val="22"/>
              </w:rPr>
              <w:t xml:space="preserve"> </w:t>
            </w:r>
          </w:p>
          <w:p w:rsidR="009A5572" w:rsidRPr="00E07C2B" w:rsidRDefault="009A5572" w:rsidP="008F64E3">
            <w:pPr>
              <w:spacing w:after="120"/>
              <w:jc w:val="both"/>
              <w:textboxTightWrap w:val="none"/>
              <w:rPr>
                <w:rFonts w:cs="Arial"/>
                <w:sz w:val="22"/>
                <w:szCs w:val="22"/>
              </w:rPr>
            </w:pPr>
            <w:r w:rsidRPr="009A5572">
              <w:rPr>
                <w:rFonts w:cs="Arial"/>
                <w:sz w:val="22"/>
                <w:szCs w:val="22"/>
              </w:rPr>
              <w:t>The member raising the query, in para 2.2.3, commented that GP data has a lot of</w:t>
            </w:r>
            <w:r>
              <w:rPr>
                <w:rFonts w:ascii="Times New Roman" w:hAnsi="Times New Roman"/>
                <w:sz w:val="22"/>
                <w:szCs w:val="22"/>
              </w:rPr>
              <w:t xml:space="preserve"> read codes e.g. Diabetes dataset. National Information Board has looked at this issue.</w:t>
            </w:r>
          </w:p>
        </w:tc>
      </w:tr>
      <w:tr w:rsidR="00E07C2B" w:rsidRPr="00E07C2B" w:rsidTr="00064564">
        <w:trPr>
          <w:trHeight w:val="340"/>
        </w:trPr>
        <w:tc>
          <w:tcPr>
            <w:tcW w:w="901" w:type="dxa"/>
          </w:tcPr>
          <w:p w:rsidR="00A14BAF" w:rsidRPr="00E07C2B" w:rsidRDefault="00A14BAF" w:rsidP="00251392">
            <w:pPr>
              <w:spacing w:after="120"/>
              <w:textboxTightWrap w:val="none"/>
              <w:rPr>
                <w:rFonts w:cs="Arial"/>
                <w:sz w:val="22"/>
                <w:szCs w:val="22"/>
              </w:rPr>
            </w:pPr>
          </w:p>
        </w:tc>
        <w:tc>
          <w:tcPr>
            <w:tcW w:w="899" w:type="dxa"/>
          </w:tcPr>
          <w:p w:rsidR="00A14BAF" w:rsidRPr="00E07C2B" w:rsidRDefault="0070620D" w:rsidP="00AC2E77">
            <w:pPr>
              <w:spacing w:after="120"/>
              <w:jc w:val="both"/>
              <w:textboxTightWrap w:val="none"/>
              <w:rPr>
                <w:rFonts w:cs="Arial"/>
                <w:sz w:val="22"/>
                <w:szCs w:val="22"/>
              </w:rPr>
            </w:pPr>
            <w:r w:rsidRPr="00E07C2B">
              <w:rPr>
                <w:rFonts w:cs="Arial"/>
                <w:sz w:val="22"/>
                <w:szCs w:val="22"/>
              </w:rPr>
              <w:t>2.</w:t>
            </w:r>
            <w:r w:rsidR="00AC2E77" w:rsidRPr="00E07C2B">
              <w:rPr>
                <w:rFonts w:cs="Arial"/>
                <w:sz w:val="22"/>
                <w:szCs w:val="22"/>
              </w:rPr>
              <w:t>3</w:t>
            </w:r>
            <w:r w:rsidRPr="00E07C2B">
              <w:rPr>
                <w:rFonts w:cs="Arial"/>
                <w:sz w:val="22"/>
                <w:szCs w:val="22"/>
              </w:rPr>
              <w:t>.3</w:t>
            </w:r>
          </w:p>
        </w:tc>
        <w:tc>
          <w:tcPr>
            <w:tcW w:w="8597" w:type="dxa"/>
          </w:tcPr>
          <w:p w:rsidR="009A5572" w:rsidRPr="00E07C2B" w:rsidRDefault="009A5572" w:rsidP="00570759">
            <w:pPr>
              <w:spacing w:after="120"/>
              <w:jc w:val="both"/>
              <w:textboxTightWrap w:val="none"/>
              <w:rPr>
                <w:rFonts w:cs="Arial"/>
                <w:sz w:val="22"/>
                <w:szCs w:val="22"/>
              </w:rPr>
            </w:pPr>
            <w:r w:rsidRPr="009A5572">
              <w:rPr>
                <w:rFonts w:cs="Arial"/>
                <w:sz w:val="22"/>
                <w:szCs w:val="22"/>
              </w:rPr>
              <w:t>The Chair stated the challenge is to come up with the best possible solution in the short term and alongside this determine and make steps towards an optimum longer term solution for objection and consent management across the system. The Review should be aware of developments of this work.</w:t>
            </w:r>
          </w:p>
        </w:tc>
      </w:tr>
      <w:tr w:rsidR="00A14BAF" w:rsidRPr="00A06288" w:rsidTr="00064564">
        <w:trPr>
          <w:trHeight w:val="340"/>
        </w:trPr>
        <w:tc>
          <w:tcPr>
            <w:tcW w:w="901" w:type="dxa"/>
          </w:tcPr>
          <w:p w:rsidR="00A14BAF" w:rsidRPr="002D2A56" w:rsidRDefault="00A14BAF" w:rsidP="00251392">
            <w:pPr>
              <w:spacing w:after="120"/>
              <w:textboxTightWrap w:val="none"/>
              <w:rPr>
                <w:rFonts w:cs="Arial"/>
                <w:sz w:val="22"/>
                <w:szCs w:val="22"/>
              </w:rPr>
            </w:pPr>
          </w:p>
        </w:tc>
        <w:tc>
          <w:tcPr>
            <w:tcW w:w="899" w:type="dxa"/>
          </w:tcPr>
          <w:p w:rsidR="00601DBC" w:rsidRPr="002D2A56" w:rsidRDefault="0070620D" w:rsidP="00E07C2B">
            <w:pPr>
              <w:spacing w:after="120"/>
              <w:jc w:val="both"/>
              <w:textboxTightWrap w:val="none"/>
              <w:rPr>
                <w:rFonts w:cs="Arial"/>
                <w:sz w:val="22"/>
                <w:szCs w:val="22"/>
              </w:rPr>
            </w:pPr>
            <w:r>
              <w:rPr>
                <w:rFonts w:cs="Arial"/>
                <w:sz w:val="22"/>
                <w:szCs w:val="22"/>
              </w:rPr>
              <w:t>2.</w:t>
            </w:r>
            <w:r w:rsidR="00AC2E77">
              <w:rPr>
                <w:rFonts w:cs="Arial"/>
                <w:sz w:val="22"/>
                <w:szCs w:val="22"/>
              </w:rPr>
              <w:t>3</w:t>
            </w:r>
            <w:r w:rsidRPr="0070620D">
              <w:rPr>
                <w:rFonts w:cs="Arial"/>
                <w:sz w:val="22"/>
                <w:szCs w:val="22"/>
              </w:rPr>
              <w:t>.</w:t>
            </w:r>
            <w:r>
              <w:rPr>
                <w:rFonts w:cs="Arial"/>
                <w:sz w:val="22"/>
                <w:szCs w:val="22"/>
              </w:rPr>
              <w:t>4</w:t>
            </w:r>
          </w:p>
        </w:tc>
        <w:tc>
          <w:tcPr>
            <w:tcW w:w="8597" w:type="dxa"/>
          </w:tcPr>
          <w:p w:rsidR="00601DBC" w:rsidRPr="00A14BAF" w:rsidRDefault="00A14BAF" w:rsidP="00601DBC">
            <w:pPr>
              <w:spacing w:after="120"/>
              <w:jc w:val="both"/>
              <w:textboxTightWrap w:val="none"/>
              <w:rPr>
                <w:rFonts w:cs="Arial"/>
                <w:sz w:val="22"/>
                <w:szCs w:val="22"/>
              </w:rPr>
            </w:pPr>
            <w:r>
              <w:rPr>
                <w:rFonts w:cs="Arial"/>
                <w:b/>
                <w:sz w:val="22"/>
                <w:szCs w:val="22"/>
              </w:rPr>
              <w:t xml:space="preserve">Action </w:t>
            </w:r>
            <w:r w:rsidR="00601DBC">
              <w:rPr>
                <w:rFonts w:cs="Arial"/>
                <w:b/>
                <w:sz w:val="22"/>
                <w:szCs w:val="22"/>
              </w:rPr>
              <w:t>23</w:t>
            </w:r>
            <w:r>
              <w:rPr>
                <w:rFonts w:cs="Arial"/>
                <w:sz w:val="22"/>
                <w:szCs w:val="22"/>
              </w:rPr>
              <w:t xml:space="preserve"> </w:t>
            </w:r>
            <w:r w:rsidRPr="00E07C2B">
              <w:rPr>
                <w:rFonts w:cs="Arial"/>
                <w:sz w:val="22"/>
                <w:szCs w:val="22"/>
              </w:rPr>
              <w:t xml:space="preserve">– </w:t>
            </w:r>
            <w:r w:rsidR="00601DBC" w:rsidRPr="00E07C2B">
              <w:rPr>
                <w:rFonts w:cs="Arial"/>
                <w:sz w:val="22"/>
                <w:szCs w:val="22"/>
              </w:rPr>
              <w:t xml:space="preserve">The project </w:t>
            </w:r>
            <w:r w:rsidR="00570759" w:rsidRPr="00E07C2B">
              <w:rPr>
                <w:rFonts w:cs="Arial"/>
                <w:sz w:val="22"/>
                <w:szCs w:val="22"/>
              </w:rPr>
              <w:t>manager</w:t>
            </w:r>
            <w:r w:rsidR="00601DBC" w:rsidRPr="00E07C2B">
              <w:rPr>
                <w:rFonts w:cs="Arial"/>
                <w:sz w:val="22"/>
                <w:szCs w:val="22"/>
              </w:rPr>
              <w:t xml:space="preserve"> confirmed there had b</w:t>
            </w:r>
            <w:r w:rsidR="00E07BF9" w:rsidRPr="00E07C2B">
              <w:rPr>
                <w:rFonts w:cs="Arial"/>
                <w:sz w:val="22"/>
                <w:szCs w:val="22"/>
              </w:rPr>
              <w:t xml:space="preserve">een no response </w:t>
            </w:r>
            <w:r w:rsidR="00570759" w:rsidRPr="00E07C2B">
              <w:rPr>
                <w:rFonts w:cs="Arial"/>
                <w:sz w:val="22"/>
                <w:szCs w:val="22"/>
              </w:rPr>
              <w:t>received</w:t>
            </w:r>
            <w:r w:rsidR="00601DBC" w:rsidRPr="00E07C2B">
              <w:rPr>
                <w:rFonts w:cs="Arial"/>
                <w:sz w:val="22"/>
                <w:szCs w:val="22"/>
              </w:rPr>
              <w:t xml:space="preserve"> form Mark Elliot – University of Manchester for early sight of his ‘Best Practice’ book. </w:t>
            </w:r>
            <w:r w:rsidR="00601DBC" w:rsidRPr="00E07C2B">
              <w:rPr>
                <w:rFonts w:cs="Arial"/>
                <w:sz w:val="22"/>
                <w:szCs w:val="22"/>
              </w:rPr>
              <w:lastRenderedPageBreak/>
              <w:t xml:space="preserve">The project manager </w:t>
            </w:r>
            <w:r w:rsidR="00E07BF9" w:rsidRPr="00E07C2B">
              <w:rPr>
                <w:rFonts w:cs="Arial"/>
                <w:sz w:val="22"/>
                <w:szCs w:val="22"/>
              </w:rPr>
              <w:t xml:space="preserve">will continue </w:t>
            </w:r>
            <w:r w:rsidR="00601DBC" w:rsidRPr="00E07C2B">
              <w:rPr>
                <w:rFonts w:cs="Arial"/>
                <w:sz w:val="22"/>
                <w:szCs w:val="22"/>
              </w:rPr>
              <w:t xml:space="preserve">to chase up Mark Elliott. </w:t>
            </w:r>
          </w:p>
        </w:tc>
      </w:tr>
      <w:tr w:rsidR="00601DBC" w:rsidRPr="00E07C2B" w:rsidTr="00064564">
        <w:trPr>
          <w:trHeight w:val="340"/>
        </w:trPr>
        <w:tc>
          <w:tcPr>
            <w:tcW w:w="901" w:type="dxa"/>
          </w:tcPr>
          <w:p w:rsidR="00601DBC" w:rsidRPr="00E07C2B" w:rsidRDefault="00601DBC" w:rsidP="00251392">
            <w:pPr>
              <w:spacing w:after="120"/>
              <w:textboxTightWrap w:val="none"/>
              <w:rPr>
                <w:rFonts w:cs="Arial"/>
                <w:sz w:val="22"/>
                <w:szCs w:val="22"/>
              </w:rPr>
            </w:pPr>
          </w:p>
        </w:tc>
        <w:tc>
          <w:tcPr>
            <w:tcW w:w="899" w:type="dxa"/>
          </w:tcPr>
          <w:p w:rsidR="00601DBC" w:rsidRPr="00E07C2B" w:rsidRDefault="00601DBC" w:rsidP="00E07C2B">
            <w:pPr>
              <w:spacing w:after="120"/>
              <w:jc w:val="both"/>
              <w:textboxTightWrap w:val="none"/>
              <w:rPr>
                <w:rFonts w:cs="Arial"/>
                <w:sz w:val="22"/>
                <w:szCs w:val="22"/>
              </w:rPr>
            </w:pPr>
            <w:r w:rsidRPr="00E07C2B">
              <w:rPr>
                <w:rFonts w:cs="Arial"/>
                <w:sz w:val="22"/>
                <w:szCs w:val="22"/>
              </w:rPr>
              <w:t>2.3.5</w:t>
            </w:r>
          </w:p>
        </w:tc>
        <w:tc>
          <w:tcPr>
            <w:tcW w:w="8597" w:type="dxa"/>
          </w:tcPr>
          <w:p w:rsidR="00601DBC" w:rsidRPr="00E07C2B" w:rsidRDefault="00601DBC" w:rsidP="00E07BF9">
            <w:pPr>
              <w:spacing w:after="120"/>
              <w:jc w:val="both"/>
              <w:textboxTightWrap w:val="none"/>
              <w:rPr>
                <w:rFonts w:cs="Arial"/>
                <w:sz w:val="22"/>
                <w:szCs w:val="22"/>
              </w:rPr>
            </w:pPr>
            <w:r w:rsidRPr="00E07C2B">
              <w:rPr>
                <w:rFonts w:cs="Arial"/>
                <w:b/>
                <w:sz w:val="22"/>
                <w:szCs w:val="22"/>
              </w:rPr>
              <w:t>Action 31</w:t>
            </w:r>
            <w:r w:rsidRPr="00E07C2B">
              <w:rPr>
                <w:rFonts w:cs="Arial"/>
                <w:sz w:val="22"/>
                <w:szCs w:val="22"/>
              </w:rPr>
              <w:t xml:space="preserve"> – The </w:t>
            </w:r>
            <w:proofErr w:type="spellStart"/>
            <w:r w:rsidR="00543606" w:rsidRPr="00E07C2B">
              <w:rPr>
                <w:rFonts w:cs="Arial"/>
                <w:sz w:val="22"/>
                <w:szCs w:val="22"/>
              </w:rPr>
              <w:t>ToR</w:t>
            </w:r>
            <w:proofErr w:type="spellEnd"/>
            <w:r w:rsidR="00543606" w:rsidRPr="00E07C2B">
              <w:rPr>
                <w:rFonts w:cs="Arial"/>
                <w:sz w:val="22"/>
                <w:szCs w:val="22"/>
              </w:rPr>
              <w:t xml:space="preserve"> for Pseudo @ Source sub-group is still outstanding. The project manager </w:t>
            </w:r>
            <w:r w:rsidR="00E07BF9" w:rsidRPr="00E07C2B">
              <w:rPr>
                <w:rFonts w:cs="Arial"/>
                <w:sz w:val="22"/>
                <w:szCs w:val="22"/>
              </w:rPr>
              <w:t xml:space="preserve">will </w:t>
            </w:r>
            <w:r w:rsidR="00543606" w:rsidRPr="00E07C2B">
              <w:rPr>
                <w:rFonts w:cs="Arial"/>
                <w:sz w:val="22"/>
                <w:szCs w:val="22"/>
              </w:rPr>
              <w:t xml:space="preserve">continue chasing </w:t>
            </w:r>
            <w:r w:rsidR="00E07BF9" w:rsidRPr="00E07C2B">
              <w:rPr>
                <w:rFonts w:cs="Arial"/>
                <w:sz w:val="22"/>
                <w:szCs w:val="22"/>
              </w:rPr>
              <w:t>t</w:t>
            </w:r>
            <w:r w:rsidR="00543606" w:rsidRPr="00E07C2B">
              <w:rPr>
                <w:rFonts w:cs="Arial"/>
                <w:sz w:val="22"/>
                <w:szCs w:val="22"/>
              </w:rPr>
              <w:t xml:space="preserve">he </w:t>
            </w:r>
            <w:proofErr w:type="spellStart"/>
            <w:r w:rsidR="00543606" w:rsidRPr="00E07C2B">
              <w:rPr>
                <w:rFonts w:cs="Arial"/>
                <w:sz w:val="22"/>
                <w:szCs w:val="22"/>
              </w:rPr>
              <w:t>ToR</w:t>
            </w:r>
            <w:proofErr w:type="spellEnd"/>
            <w:r w:rsidR="00543606" w:rsidRPr="00E07C2B">
              <w:rPr>
                <w:rFonts w:cs="Arial"/>
                <w:sz w:val="22"/>
                <w:szCs w:val="22"/>
              </w:rPr>
              <w:t xml:space="preserve"> and </w:t>
            </w:r>
            <w:r w:rsidR="00570759" w:rsidRPr="00E07C2B">
              <w:rPr>
                <w:rFonts w:cs="Arial"/>
                <w:sz w:val="22"/>
                <w:szCs w:val="22"/>
              </w:rPr>
              <w:t>its</w:t>
            </w:r>
            <w:r w:rsidR="00543606" w:rsidRPr="00E07C2B">
              <w:rPr>
                <w:rFonts w:cs="Arial"/>
                <w:sz w:val="22"/>
                <w:szCs w:val="22"/>
              </w:rPr>
              <w:t xml:space="preserve"> publication on the Review’s website.</w:t>
            </w:r>
          </w:p>
        </w:tc>
      </w:tr>
      <w:tr w:rsidR="00E07C2B" w:rsidRPr="00A06288" w:rsidTr="00064564">
        <w:trPr>
          <w:trHeight w:val="340"/>
        </w:trPr>
        <w:tc>
          <w:tcPr>
            <w:tcW w:w="901" w:type="dxa"/>
          </w:tcPr>
          <w:p w:rsidR="00E07C2B" w:rsidRPr="002D2A56" w:rsidRDefault="00E07C2B" w:rsidP="001A65FA">
            <w:pPr>
              <w:spacing w:after="120"/>
              <w:textboxTightWrap w:val="none"/>
              <w:rPr>
                <w:rFonts w:cs="Arial"/>
                <w:sz w:val="22"/>
                <w:szCs w:val="22"/>
              </w:rPr>
            </w:pPr>
          </w:p>
        </w:tc>
        <w:tc>
          <w:tcPr>
            <w:tcW w:w="899" w:type="dxa"/>
          </w:tcPr>
          <w:p w:rsidR="00E07C2B" w:rsidRDefault="00E07C2B" w:rsidP="001A65FA">
            <w:pPr>
              <w:spacing w:after="120"/>
              <w:jc w:val="both"/>
              <w:textboxTightWrap w:val="none"/>
              <w:rPr>
                <w:rFonts w:cs="Arial"/>
                <w:sz w:val="22"/>
                <w:szCs w:val="22"/>
              </w:rPr>
            </w:pPr>
            <w:r>
              <w:rPr>
                <w:rFonts w:cs="Arial"/>
                <w:sz w:val="22"/>
                <w:szCs w:val="22"/>
              </w:rPr>
              <w:t>2.3</w:t>
            </w:r>
            <w:r w:rsidRPr="0070620D">
              <w:rPr>
                <w:rFonts w:cs="Arial"/>
                <w:sz w:val="22"/>
                <w:szCs w:val="22"/>
              </w:rPr>
              <w:t>.</w:t>
            </w:r>
            <w:r>
              <w:rPr>
                <w:rFonts w:cs="Arial"/>
                <w:sz w:val="22"/>
                <w:szCs w:val="22"/>
              </w:rPr>
              <w:t>6</w:t>
            </w:r>
          </w:p>
        </w:tc>
        <w:tc>
          <w:tcPr>
            <w:tcW w:w="8597" w:type="dxa"/>
          </w:tcPr>
          <w:p w:rsidR="00E07C2B" w:rsidRPr="00E07C2B" w:rsidRDefault="00E07C2B" w:rsidP="001A65FA">
            <w:pPr>
              <w:spacing w:after="120"/>
              <w:jc w:val="both"/>
              <w:textboxTightWrap w:val="none"/>
              <w:rPr>
                <w:rFonts w:cs="Arial"/>
                <w:sz w:val="22"/>
                <w:szCs w:val="22"/>
              </w:rPr>
            </w:pPr>
            <w:r>
              <w:rPr>
                <w:rFonts w:cs="Arial"/>
                <w:b/>
                <w:sz w:val="22"/>
                <w:szCs w:val="22"/>
              </w:rPr>
              <w:t>Action 37</w:t>
            </w:r>
            <w:r>
              <w:rPr>
                <w:rFonts w:cs="Arial"/>
                <w:sz w:val="22"/>
                <w:szCs w:val="22"/>
              </w:rPr>
              <w:t xml:space="preserve"> – A Standards &amp; Terminology sub-group member updated the group on progress on the Pseudonymisation Context paper. A number of drafts have been in circulation amongst the S&amp;T sub-group and comments addressed including those where agreement could not be achieved. There is still considerable concern about Pseudonymisation as a term.</w:t>
            </w:r>
          </w:p>
        </w:tc>
      </w:tr>
      <w:tr w:rsidR="00E07C2B" w:rsidRPr="00E07C2B" w:rsidTr="00064564">
        <w:trPr>
          <w:trHeight w:val="340"/>
        </w:trPr>
        <w:tc>
          <w:tcPr>
            <w:tcW w:w="901" w:type="dxa"/>
          </w:tcPr>
          <w:p w:rsidR="00E07C2B" w:rsidRPr="00E07C2B" w:rsidRDefault="00E07C2B" w:rsidP="00251392">
            <w:pPr>
              <w:spacing w:after="120"/>
              <w:textboxTightWrap w:val="none"/>
              <w:rPr>
                <w:rFonts w:cs="Arial"/>
                <w:sz w:val="22"/>
                <w:szCs w:val="22"/>
              </w:rPr>
            </w:pPr>
          </w:p>
        </w:tc>
        <w:tc>
          <w:tcPr>
            <w:tcW w:w="899" w:type="dxa"/>
          </w:tcPr>
          <w:p w:rsidR="00E07C2B" w:rsidRPr="00E07C2B" w:rsidRDefault="009A5572" w:rsidP="00E72BB3">
            <w:pPr>
              <w:spacing w:after="120"/>
              <w:jc w:val="both"/>
              <w:textboxTightWrap w:val="none"/>
              <w:rPr>
                <w:rFonts w:cs="Arial"/>
                <w:sz w:val="22"/>
                <w:szCs w:val="22"/>
              </w:rPr>
            </w:pPr>
            <w:r>
              <w:rPr>
                <w:rFonts w:cs="Arial"/>
                <w:sz w:val="22"/>
                <w:szCs w:val="22"/>
              </w:rPr>
              <w:t>2.3.7</w:t>
            </w:r>
          </w:p>
        </w:tc>
        <w:tc>
          <w:tcPr>
            <w:tcW w:w="8597" w:type="dxa"/>
          </w:tcPr>
          <w:p w:rsidR="00E07C2B" w:rsidRPr="00E07C2B" w:rsidRDefault="00E07C2B" w:rsidP="00E13290">
            <w:pPr>
              <w:spacing w:after="120"/>
              <w:jc w:val="both"/>
              <w:textboxTightWrap w:val="none"/>
              <w:rPr>
                <w:rFonts w:cs="Arial"/>
                <w:sz w:val="22"/>
                <w:szCs w:val="22"/>
              </w:rPr>
            </w:pPr>
            <w:r w:rsidRPr="00E07C2B">
              <w:rPr>
                <w:rFonts w:cs="Arial"/>
                <w:sz w:val="22"/>
                <w:szCs w:val="22"/>
              </w:rPr>
              <w:t xml:space="preserve">Another member commented that the term is a legal term but has overlap with the Anonymisation term. If the data is able to be discovered then the data is not anonymised. The HSCIC Code of Practice has definitions </w:t>
            </w:r>
            <w:r w:rsidR="00E13290">
              <w:rPr>
                <w:rFonts w:cs="Arial"/>
                <w:sz w:val="22"/>
                <w:szCs w:val="22"/>
              </w:rPr>
              <w:t>for</w:t>
            </w:r>
            <w:r w:rsidR="00E13290" w:rsidRPr="00E07C2B">
              <w:rPr>
                <w:rFonts w:cs="Arial"/>
                <w:sz w:val="22"/>
                <w:szCs w:val="22"/>
              </w:rPr>
              <w:t xml:space="preserve"> </w:t>
            </w:r>
            <w:r w:rsidR="00E13290">
              <w:rPr>
                <w:rFonts w:cs="Arial"/>
                <w:sz w:val="22"/>
                <w:szCs w:val="22"/>
              </w:rPr>
              <w:t>pseudonymised data and anonymised data</w:t>
            </w:r>
            <w:r w:rsidR="00E13290" w:rsidRPr="00E07C2B">
              <w:rPr>
                <w:rFonts w:cs="Arial"/>
                <w:sz w:val="22"/>
                <w:szCs w:val="22"/>
              </w:rPr>
              <w:t xml:space="preserve"> </w:t>
            </w:r>
            <w:r w:rsidRPr="00E07C2B">
              <w:rPr>
                <w:rFonts w:cs="Arial"/>
                <w:sz w:val="22"/>
                <w:szCs w:val="22"/>
              </w:rPr>
              <w:t>and offered to circulate a copy of the Code to the Steering group.</w:t>
            </w:r>
          </w:p>
        </w:tc>
      </w:tr>
      <w:tr w:rsidR="00B11BDE" w:rsidRPr="00A06288" w:rsidTr="00064564">
        <w:trPr>
          <w:trHeight w:val="340"/>
        </w:trPr>
        <w:tc>
          <w:tcPr>
            <w:tcW w:w="901" w:type="dxa"/>
          </w:tcPr>
          <w:p w:rsidR="00B11BDE" w:rsidRPr="002D2A56" w:rsidRDefault="00B11BDE" w:rsidP="00251392">
            <w:pPr>
              <w:spacing w:after="120"/>
              <w:textboxTightWrap w:val="none"/>
              <w:rPr>
                <w:rFonts w:cs="Arial"/>
                <w:sz w:val="22"/>
                <w:szCs w:val="22"/>
              </w:rPr>
            </w:pPr>
          </w:p>
        </w:tc>
        <w:tc>
          <w:tcPr>
            <w:tcW w:w="899" w:type="dxa"/>
          </w:tcPr>
          <w:p w:rsidR="00B11BDE" w:rsidRPr="002D2A56" w:rsidRDefault="009A5572" w:rsidP="00E07C2B">
            <w:pPr>
              <w:spacing w:after="120"/>
              <w:jc w:val="both"/>
              <w:textboxTightWrap w:val="none"/>
              <w:rPr>
                <w:rFonts w:cs="Arial"/>
                <w:sz w:val="22"/>
                <w:szCs w:val="22"/>
              </w:rPr>
            </w:pPr>
            <w:r>
              <w:rPr>
                <w:rFonts w:cs="Arial"/>
                <w:sz w:val="22"/>
                <w:szCs w:val="22"/>
              </w:rPr>
              <w:t>2.3.8</w:t>
            </w:r>
          </w:p>
        </w:tc>
        <w:tc>
          <w:tcPr>
            <w:tcW w:w="8597" w:type="dxa"/>
          </w:tcPr>
          <w:p w:rsidR="007343DF" w:rsidRPr="002D2A56" w:rsidRDefault="007343DF" w:rsidP="00E07C2B">
            <w:pPr>
              <w:spacing w:after="120"/>
              <w:jc w:val="both"/>
              <w:textboxTightWrap w:val="none"/>
              <w:rPr>
                <w:rFonts w:cs="Arial"/>
                <w:sz w:val="22"/>
                <w:szCs w:val="22"/>
              </w:rPr>
            </w:pPr>
            <w:r>
              <w:rPr>
                <w:rFonts w:cs="Arial"/>
                <w:sz w:val="22"/>
                <w:szCs w:val="22"/>
              </w:rPr>
              <w:t xml:space="preserve">The S&amp;T sub-group member asked steering group to review the latest Pseudonymisation Context paper and </w:t>
            </w:r>
            <w:r w:rsidR="00E07BF9">
              <w:rPr>
                <w:rFonts w:cs="Arial"/>
                <w:sz w:val="22"/>
                <w:szCs w:val="22"/>
              </w:rPr>
              <w:t>provide any comme</w:t>
            </w:r>
            <w:r>
              <w:rPr>
                <w:rFonts w:cs="Arial"/>
                <w:sz w:val="22"/>
                <w:szCs w:val="22"/>
              </w:rPr>
              <w:t>n</w:t>
            </w:r>
            <w:r w:rsidR="00E07BF9">
              <w:rPr>
                <w:rFonts w:cs="Arial"/>
                <w:sz w:val="22"/>
                <w:szCs w:val="22"/>
              </w:rPr>
              <w:t>t</w:t>
            </w:r>
            <w:r>
              <w:rPr>
                <w:rFonts w:cs="Arial"/>
                <w:sz w:val="22"/>
                <w:szCs w:val="22"/>
              </w:rPr>
              <w:t xml:space="preserve">s within a fixed time </w:t>
            </w:r>
            <w:r w:rsidR="00E07BF9">
              <w:rPr>
                <w:rFonts w:cs="Arial"/>
                <w:sz w:val="22"/>
                <w:szCs w:val="22"/>
              </w:rPr>
              <w:t xml:space="preserve">so </w:t>
            </w:r>
            <w:r>
              <w:rPr>
                <w:rFonts w:cs="Arial"/>
                <w:sz w:val="22"/>
                <w:szCs w:val="22"/>
              </w:rPr>
              <w:t>changes can be made in time for February’s steering group meeting. Subse</w:t>
            </w:r>
            <w:r w:rsidR="00E07BF9">
              <w:rPr>
                <w:rFonts w:cs="Arial"/>
                <w:sz w:val="22"/>
                <w:szCs w:val="22"/>
              </w:rPr>
              <w:t xml:space="preserve">quent </w:t>
            </w:r>
            <w:r>
              <w:rPr>
                <w:rFonts w:cs="Arial"/>
                <w:sz w:val="22"/>
                <w:szCs w:val="22"/>
              </w:rPr>
              <w:t xml:space="preserve">to the meeting the paper was circulated </w:t>
            </w:r>
            <w:r w:rsidR="00E07BF9">
              <w:rPr>
                <w:rFonts w:cs="Arial"/>
                <w:sz w:val="22"/>
                <w:szCs w:val="22"/>
              </w:rPr>
              <w:t>with</w:t>
            </w:r>
            <w:r>
              <w:rPr>
                <w:rFonts w:cs="Arial"/>
                <w:sz w:val="22"/>
                <w:szCs w:val="22"/>
              </w:rPr>
              <w:t xml:space="preserve"> a review deadline of Wednesday 21</w:t>
            </w:r>
            <w:r>
              <w:rPr>
                <w:rFonts w:cs="Arial"/>
                <w:sz w:val="22"/>
                <w:szCs w:val="22"/>
                <w:vertAlign w:val="superscript"/>
              </w:rPr>
              <w:t xml:space="preserve"> </w:t>
            </w:r>
            <w:r w:rsidR="00E07BF9">
              <w:rPr>
                <w:rFonts w:cs="Arial"/>
                <w:sz w:val="22"/>
                <w:szCs w:val="22"/>
              </w:rPr>
              <w:t>January.</w:t>
            </w:r>
          </w:p>
        </w:tc>
      </w:tr>
      <w:tr w:rsidR="00B11BDE" w:rsidRPr="00081BB7" w:rsidTr="00064564">
        <w:trPr>
          <w:trHeight w:val="340"/>
        </w:trPr>
        <w:tc>
          <w:tcPr>
            <w:tcW w:w="901" w:type="dxa"/>
          </w:tcPr>
          <w:p w:rsidR="00B11BDE" w:rsidRPr="00081BB7" w:rsidRDefault="00B11BDE" w:rsidP="00251392">
            <w:pPr>
              <w:spacing w:after="120"/>
              <w:textboxTightWrap w:val="none"/>
              <w:rPr>
                <w:rFonts w:cs="Arial"/>
                <w:b/>
                <w:sz w:val="22"/>
                <w:szCs w:val="22"/>
              </w:rPr>
            </w:pPr>
            <w:r w:rsidRPr="00081BB7">
              <w:rPr>
                <w:rFonts w:cs="Arial"/>
                <w:b/>
                <w:sz w:val="22"/>
                <w:szCs w:val="22"/>
              </w:rPr>
              <w:t>3</w:t>
            </w:r>
            <w:r>
              <w:rPr>
                <w:rFonts w:cs="Arial"/>
                <w:b/>
                <w:sz w:val="22"/>
                <w:szCs w:val="22"/>
              </w:rPr>
              <w:t>.0</w:t>
            </w:r>
          </w:p>
        </w:tc>
        <w:tc>
          <w:tcPr>
            <w:tcW w:w="9496" w:type="dxa"/>
            <w:gridSpan w:val="2"/>
          </w:tcPr>
          <w:p w:rsidR="00B11BDE" w:rsidRPr="00081BB7" w:rsidRDefault="00B11BDE" w:rsidP="00251392">
            <w:pPr>
              <w:spacing w:after="120"/>
              <w:jc w:val="both"/>
              <w:rPr>
                <w:rFonts w:cs="Arial"/>
                <w:b/>
                <w:sz w:val="22"/>
                <w:szCs w:val="22"/>
              </w:rPr>
            </w:pPr>
            <w:r w:rsidRPr="00081BB7">
              <w:rPr>
                <w:b/>
                <w:sz w:val="22"/>
                <w:szCs w:val="22"/>
              </w:rPr>
              <w:t>Pseudo @ Source Sub-Group Update</w:t>
            </w:r>
          </w:p>
        </w:tc>
      </w:tr>
      <w:tr w:rsidR="00B11BDE" w:rsidRPr="00A06288" w:rsidTr="00064564">
        <w:trPr>
          <w:trHeight w:val="340"/>
        </w:trPr>
        <w:tc>
          <w:tcPr>
            <w:tcW w:w="901" w:type="dxa"/>
          </w:tcPr>
          <w:p w:rsidR="00B11BDE" w:rsidRPr="002D2A56" w:rsidRDefault="00B11BDE" w:rsidP="00251392">
            <w:pPr>
              <w:spacing w:after="120"/>
              <w:textboxTightWrap w:val="none"/>
              <w:rPr>
                <w:rFonts w:cs="Arial"/>
                <w:sz w:val="22"/>
                <w:szCs w:val="22"/>
              </w:rPr>
            </w:pPr>
            <w:r>
              <w:rPr>
                <w:rFonts w:cs="Arial"/>
                <w:sz w:val="22"/>
                <w:szCs w:val="22"/>
              </w:rPr>
              <w:t>3.1</w:t>
            </w:r>
          </w:p>
        </w:tc>
        <w:tc>
          <w:tcPr>
            <w:tcW w:w="9496" w:type="dxa"/>
            <w:gridSpan w:val="2"/>
          </w:tcPr>
          <w:p w:rsidR="00B11BDE" w:rsidRPr="00C16440" w:rsidRDefault="007343DF" w:rsidP="007343DF">
            <w:pPr>
              <w:spacing w:after="120"/>
              <w:jc w:val="both"/>
              <w:textboxTightWrap w:val="none"/>
              <w:rPr>
                <w:sz w:val="22"/>
                <w:szCs w:val="22"/>
              </w:rPr>
            </w:pPr>
            <w:r>
              <w:rPr>
                <w:sz w:val="22"/>
                <w:szCs w:val="22"/>
              </w:rPr>
              <w:t xml:space="preserve">The </w:t>
            </w:r>
            <w:r w:rsidR="00570759">
              <w:rPr>
                <w:sz w:val="22"/>
                <w:szCs w:val="22"/>
              </w:rPr>
              <w:t>Pseudo</w:t>
            </w:r>
            <w:r>
              <w:rPr>
                <w:sz w:val="22"/>
                <w:szCs w:val="22"/>
              </w:rPr>
              <w:t xml:space="preserve"> at Source chair could not attend today’s meeting but had provided a progress report for review by the group. The project manager provided a </w:t>
            </w:r>
            <w:r w:rsidR="00570759">
              <w:rPr>
                <w:sz w:val="22"/>
                <w:szCs w:val="22"/>
              </w:rPr>
              <w:t>walkthrough</w:t>
            </w:r>
            <w:r>
              <w:rPr>
                <w:sz w:val="22"/>
                <w:szCs w:val="22"/>
              </w:rPr>
              <w:t xml:space="preserve"> of the progress report</w:t>
            </w:r>
            <w:r w:rsidR="00740C97">
              <w:rPr>
                <w:sz w:val="22"/>
                <w:szCs w:val="22"/>
              </w:rPr>
              <w:t>’</w:t>
            </w:r>
            <w:r w:rsidR="008D4FC2">
              <w:rPr>
                <w:sz w:val="22"/>
                <w:szCs w:val="22"/>
              </w:rPr>
              <w:t>s main points.</w:t>
            </w:r>
          </w:p>
        </w:tc>
      </w:tr>
      <w:tr w:rsidR="00B11BDE" w:rsidRPr="00A06288" w:rsidTr="00064564">
        <w:trPr>
          <w:trHeight w:val="340"/>
        </w:trPr>
        <w:tc>
          <w:tcPr>
            <w:tcW w:w="901" w:type="dxa"/>
          </w:tcPr>
          <w:p w:rsidR="00B11BDE" w:rsidRPr="002D2A56" w:rsidRDefault="00B11BDE" w:rsidP="00251392">
            <w:pPr>
              <w:spacing w:after="120"/>
              <w:textboxTightWrap w:val="none"/>
              <w:rPr>
                <w:rFonts w:cs="Arial"/>
                <w:sz w:val="22"/>
                <w:szCs w:val="22"/>
              </w:rPr>
            </w:pPr>
          </w:p>
        </w:tc>
        <w:tc>
          <w:tcPr>
            <w:tcW w:w="899" w:type="dxa"/>
          </w:tcPr>
          <w:p w:rsidR="00B11BDE" w:rsidRPr="00963F3B" w:rsidRDefault="00B11BDE" w:rsidP="00963F3B">
            <w:pPr>
              <w:spacing w:after="120"/>
              <w:jc w:val="both"/>
              <w:textboxTightWrap w:val="none"/>
              <w:rPr>
                <w:rFonts w:cs="Arial"/>
                <w:sz w:val="22"/>
                <w:szCs w:val="22"/>
              </w:rPr>
            </w:pPr>
            <w:r>
              <w:rPr>
                <w:rFonts w:cs="Arial"/>
                <w:sz w:val="22"/>
                <w:szCs w:val="22"/>
              </w:rPr>
              <w:t>3.1.1</w:t>
            </w:r>
          </w:p>
        </w:tc>
        <w:tc>
          <w:tcPr>
            <w:tcW w:w="8597" w:type="dxa"/>
          </w:tcPr>
          <w:p w:rsidR="009A5572" w:rsidRPr="002D2A56" w:rsidRDefault="009A5572" w:rsidP="008D4FC2">
            <w:pPr>
              <w:spacing w:after="120"/>
              <w:jc w:val="both"/>
              <w:textboxTightWrap w:val="none"/>
              <w:rPr>
                <w:rFonts w:cs="Arial"/>
                <w:sz w:val="22"/>
                <w:szCs w:val="22"/>
              </w:rPr>
            </w:pPr>
            <w:r w:rsidRPr="009A5572">
              <w:rPr>
                <w:rFonts w:cs="Arial"/>
                <w:sz w:val="22"/>
                <w:szCs w:val="22"/>
              </w:rPr>
              <w:t>The Review’s Chair commented on para 3 – regarding the meaning of ‘at source’ following on from the supplier forum. “At source” could either be interpreted as meaning physically on the premises of the source data controller, as is typically the case for secondary care, or under the control of the source data controller, but physically held elsewhere, such as in the case of primary care system suppliers.</w:t>
            </w:r>
          </w:p>
        </w:tc>
      </w:tr>
      <w:tr w:rsidR="00740C97" w:rsidRPr="00A06288" w:rsidTr="00064564">
        <w:trPr>
          <w:trHeight w:val="340"/>
        </w:trPr>
        <w:tc>
          <w:tcPr>
            <w:tcW w:w="901" w:type="dxa"/>
          </w:tcPr>
          <w:p w:rsidR="00740C97" w:rsidRPr="002D2A56" w:rsidRDefault="00740C97" w:rsidP="00251392">
            <w:pPr>
              <w:spacing w:after="120"/>
              <w:textboxTightWrap w:val="none"/>
              <w:rPr>
                <w:rFonts w:cs="Arial"/>
                <w:sz w:val="22"/>
                <w:szCs w:val="22"/>
              </w:rPr>
            </w:pPr>
          </w:p>
        </w:tc>
        <w:tc>
          <w:tcPr>
            <w:tcW w:w="899" w:type="dxa"/>
          </w:tcPr>
          <w:p w:rsidR="00740C97" w:rsidRDefault="00740C97" w:rsidP="00251392">
            <w:pPr>
              <w:spacing w:after="120"/>
              <w:jc w:val="both"/>
              <w:textboxTightWrap w:val="none"/>
              <w:rPr>
                <w:rFonts w:cs="Arial"/>
                <w:sz w:val="22"/>
                <w:szCs w:val="22"/>
              </w:rPr>
            </w:pPr>
            <w:r>
              <w:rPr>
                <w:rFonts w:cs="Arial"/>
                <w:sz w:val="22"/>
                <w:szCs w:val="22"/>
              </w:rPr>
              <w:t>3.1.</w:t>
            </w:r>
            <w:r w:rsidR="009A5572">
              <w:rPr>
                <w:rFonts w:cs="Arial"/>
                <w:sz w:val="22"/>
                <w:szCs w:val="22"/>
              </w:rPr>
              <w:t>2</w:t>
            </w:r>
          </w:p>
        </w:tc>
        <w:tc>
          <w:tcPr>
            <w:tcW w:w="8597" w:type="dxa"/>
          </w:tcPr>
          <w:p w:rsidR="009A5572" w:rsidRDefault="00740C97" w:rsidP="008D4FC2">
            <w:pPr>
              <w:spacing w:after="120"/>
              <w:jc w:val="both"/>
              <w:textboxTightWrap w:val="none"/>
              <w:rPr>
                <w:sz w:val="22"/>
                <w:szCs w:val="22"/>
              </w:rPr>
            </w:pPr>
            <w:r>
              <w:rPr>
                <w:sz w:val="22"/>
                <w:szCs w:val="22"/>
              </w:rPr>
              <w:t>Another member commented that control of data @ source and at what geographical location is an interesting discussion but the control is the important consideration not geography.</w:t>
            </w:r>
          </w:p>
        </w:tc>
      </w:tr>
      <w:tr w:rsidR="00740C97" w:rsidRPr="00A06288" w:rsidTr="00064564">
        <w:trPr>
          <w:trHeight w:val="340"/>
        </w:trPr>
        <w:tc>
          <w:tcPr>
            <w:tcW w:w="901" w:type="dxa"/>
          </w:tcPr>
          <w:p w:rsidR="00740C97" w:rsidRPr="002D2A56" w:rsidRDefault="00740C97" w:rsidP="00251392">
            <w:pPr>
              <w:spacing w:after="120"/>
              <w:textboxTightWrap w:val="none"/>
              <w:rPr>
                <w:rFonts w:cs="Arial"/>
                <w:sz w:val="22"/>
                <w:szCs w:val="22"/>
              </w:rPr>
            </w:pPr>
          </w:p>
        </w:tc>
        <w:tc>
          <w:tcPr>
            <w:tcW w:w="899" w:type="dxa"/>
          </w:tcPr>
          <w:p w:rsidR="00740C97" w:rsidRDefault="00740C97" w:rsidP="00251392">
            <w:pPr>
              <w:spacing w:after="120"/>
              <w:jc w:val="both"/>
              <w:textboxTightWrap w:val="none"/>
              <w:rPr>
                <w:rFonts w:cs="Arial"/>
                <w:sz w:val="22"/>
                <w:szCs w:val="22"/>
              </w:rPr>
            </w:pPr>
            <w:r>
              <w:rPr>
                <w:rFonts w:cs="Arial"/>
                <w:sz w:val="22"/>
                <w:szCs w:val="22"/>
              </w:rPr>
              <w:t>3.1.</w:t>
            </w:r>
            <w:r w:rsidR="009A5572">
              <w:rPr>
                <w:rFonts w:cs="Arial"/>
                <w:sz w:val="22"/>
                <w:szCs w:val="22"/>
              </w:rPr>
              <w:t>3</w:t>
            </w:r>
          </w:p>
        </w:tc>
        <w:tc>
          <w:tcPr>
            <w:tcW w:w="8597" w:type="dxa"/>
          </w:tcPr>
          <w:p w:rsidR="009A5572" w:rsidRPr="009A5572" w:rsidRDefault="009A5572" w:rsidP="00740C97">
            <w:pPr>
              <w:spacing w:after="120"/>
              <w:jc w:val="both"/>
              <w:textboxTightWrap w:val="none"/>
              <w:rPr>
                <w:rFonts w:cs="Arial"/>
                <w:sz w:val="22"/>
                <w:szCs w:val="22"/>
              </w:rPr>
            </w:pPr>
            <w:r w:rsidRPr="009A5572">
              <w:rPr>
                <w:rFonts w:cs="Arial"/>
                <w:sz w:val="22"/>
                <w:szCs w:val="22"/>
              </w:rPr>
              <w:t>The Chair commented that two of the points that have been made in favour of pseudonymisation at source have been around 1) retaining local controllership of the data and 2) avoiding having large quantities of data with identifiers held at a single location. He further commented that a situation whereby a few organisations acted as data collators for the identifiable data under controllership of the data suppliers would address point 1), but not point 2).</w:t>
            </w:r>
          </w:p>
        </w:tc>
      </w:tr>
      <w:tr w:rsidR="00074965" w:rsidRPr="00A06288" w:rsidTr="00064564">
        <w:trPr>
          <w:trHeight w:val="340"/>
        </w:trPr>
        <w:tc>
          <w:tcPr>
            <w:tcW w:w="901" w:type="dxa"/>
          </w:tcPr>
          <w:p w:rsidR="00074965" w:rsidRPr="002D2A56" w:rsidRDefault="00074965" w:rsidP="00251392">
            <w:pPr>
              <w:spacing w:after="120"/>
              <w:textboxTightWrap w:val="none"/>
              <w:rPr>
                <w:rFonts w:cs="Arial"/>
                <w:sz w:val="22"/>
                <w:szCs w:val="22"/>
              </w:rPr>
            </w:pPr>
          </w:p>
        </w:tc>
        <w:tc>
          <w:tcPr>
            <w:tcW w:w="899" w:type="dxa"/>
          </w:tcPr>
          <w:p w:rsidR="00074965" w:rsidRDefault="00074965" w:rsidP="00251392">
            <w:pPr>
              <w:spacing w:after="120"/>
              <w:jc w:val="both"/>
              <w:textboxTightWrap w:val="none"/>
              <w:rPr>
                <w:rFonts w:cs="Arial"/>
                <w:sz w:val="22"/>
                <w:szCs w:val="22"/>
              </w:rPr>
            </w:pPr>
            <w:r>
              <w:rPr>
                <w:rFonts w:cs="Arial"/>
                <w:sz w:val="22"/>
                <w:szCs w:val="22"/>
              </w:rPr>
              <w:t>3.1.</w:t>
            </w:r>
            <w:r w:rsidR="009A5572">
              <w:rPr>
                <w:rFonts w:cs="Arial"/>
                <w:sz w:val="22"/>
                <w:szCs w:val="22"/>
              </w:rPr>
              <w:t>4</w:t>
            </w:r>
          </w:p>
        </w:tc>
        <w:tc>
          <w:tcPr>
            <w:tcW w:w="8597" w:type="dxa"/>
          </w:tcPr>
          <w:p w:rsidR="00074965" w:rsidRDefault="00074965" w:rsidP="00E72BB3">
            <w:pPr>
              <w:spacing w:after="120"/>
              <w:textboxTightWrap w:val="none"/>
              <w:rPr>
                <w:sz w:val="22"/>
                <w:szCs w:val="22"/>
              </w:rPr>
            </w:pPr>
            <w:r>
              <w:rPr>
                <w:sz w:val="22"/>
                <w:szCs w:val="22"/>
              </w:rPr>
              <w:t xml:space="preserve">The member who commented at 3.1.3 further commented that size and </w:t>
            </w:r>
            <w:r w:rsidR="00570759">
              <w:rPr>
                <w:sz w:val="22"/>
                <w:szCs w:val="22"/>
              </w:rPr>
              <w:t>characteristics of</w:t>
            </w:r>
            <w:r>
              <w:rPr>
                <w:sz w:val="22"/>
                <w:szCs w:val="22"/>
              </w:rPr>
              <w:t xml:space="preserve"> the organisation is </w:t>
            </w:r>
            <w:proofErr w:type="gramStart"/>
            <w:r>
              <w:rPr>
                <w:sz w:val="22"/>
                <w:szCs w:val="22"/>
              </w:rPr>
              <w:t>key</w:t>
            </w:r>
            <w:proofErr w:type="gramEnd"/>
            <w:r>
              <w:rPr>
                <w:sz w:val="22"/>
                <w:szCs w:val="22"/>
              </w:rPr>
              <w:t xml:space="preserve"> to how Data Controllers </w:t>
            </w:r>
            <w:r w:rsidR="00570759">
              <w:rPr>
                <w:sz w:val="22"/>
                <w:szCs w:val="22"/>
              </w:rPr>
              <w:t>impact</w:t>
            </w:r>
            <w:r>
              <w:rPr>
                <w:sz w:val="22"/>
                <w:szCs w:val="22"/>
              </w:rPr>
              <w:t xml:space="preserve"> assess the level of risk. For paper records the risk is considered to be inherently higher.</w:t>
            </w:r>
          </w:p>
        </w:tc>
      </w:tr>
      <w:tr w:rsidR="00B11BDE" w:rsidRPr="00C8280C" w:rsidTr="00064564">
        <w:trPr>
          <w:trHeight w:val="340"/>
        </w:trPr>
        <w:tc>
          <w:tcPr>
            <w:tcW w:w="901" w:type="dxa"/>
          </w:tcPr>
          <w:p w:rsidR="00B11BDE" w:rsidRPr="00C8280C" w:rsidRDefault="00B11BDE" w:rsidP="00251392">
            <w:pPr>
              <w:spacing w:after="120"/>
              <w:textboxTightWrap w:val="none"/>
              <w:rPr>
                <w:rFonts w:cs="Arial"/>
                <w:b/>
                <w:sz w:val="22"/>
                <w:szCs w:val="22"/>
              </w:rPr>
            </w:pPr>
            <w:r w:rsidRPr="00C8280C">
              <w:rPr>
                <w:rFonts w:cs="Arial"/>
                <w:b/>
                <w:sz w:val="22"/>
                <w:szCs w:val="22"/>
              </w:rPr>
              <w:t>4.0</w:t>
            </w:r>
          </w:p>
        </w:tc>
        <w:tc>
          <w:tcPr>
            <w:tcW w:w="9496" w:type="dxa"/>
            <w:gridSpan w:val="2"/>
          </w:tcPr>
          <w:p w:rsidR="00B11BDE" w:rsidRPr="00C8280C" w:rsidRDefault="00B11BDE" w:rsidP="00251392">
            <w:pPr>
              <w:spacing w:after="120"/>
              <w:jc w:val="both"/>
              <w:rPr>
                <w:b/>
                <w:sz w:val="22"/>
                <w:szCs w:val="22"/>
              </w:rPr>
            </w:pPr>
            <w:r w:rsidRPr="00C8280C">
              <w:rPr>
                <w:b/>
                <w:sz w:val="22"/>
                <w:szCs w:val="22"/>
              </w:rPr>
              <w:t>Data Linkage &amp; Data Quality Sub-group update</w:t>
            </w:r>
          </w:p>
        </w:tc>
      </w:tr>
      <w:tr w:rsidR="00B11BDE" w:rsidRPr="00A06288" w:rsidTr="00064564">
        <w:trPr>
          <w:trHeight w:val="340"/>
        </w:trPr>
        <w:tc>
          <w:tcPr>
            <w:tcW w:w="901" w:type="dxa"/>
          </w:tcPr>
          <w:p w:rsidR="00B11BDE" w:rsidRDefault="00B11BDE" w:rsidP="00251392">
            <w:pPr>
              <w:spacing w:after="120"/>
              <w:textboxTightWrap w:val="none"/>
              <w:rPr>
                <w:rFonts w:cs="Arial"/>
                <w:sz w:val="22"/>
                <w:szCs w:val="22"/>
              </w:rPr>
            </w:pPr>
            <w:r>
              <w:rPr>
                <w:rFonts w:cs="Arial"/>
                <w:sz w:val="22"/>
                <w:szCs w:val="22"/>
              </w:rPr>
              <w:t>4.1</w:t>
            </w:r>
          </w:p>
        </w:tc>
        <w:tc>
          <w:tcPr>
            <w:tcW w:w="9496" w:type="dxa"/>
            <w:gridSpan w:val="2"/>
          </w:tcPr>
          <w:p w:rsidR="00B11BDE" w:rsidRPr="00C8280C" w:rsidRDefault="00B11BDE" w:rsidP="008B2838">
            <w:pPr>
              <w:spacing w:after="120"/>
              <w:jc w:val="both"/>
              <w:rPr>
                <w:sz w:val="22"/>
                <w:szCs w:val="22"/>
              </w:rPr>
            </w:pPr>
            <w:r>
              <w:rPr>
                <w:sz w:val="22"/>
                <w:szCs w:val="22"/>
              </w:rPr>
              <w:t>The Chair of the sub-group updated the steering group on activity.</w:t>
            </w:r>
          </w:p>
        </w:tc>
      </w:tr>
      <w:tr w:rsidR="00B11BDE" w:rsidRPr="00A06288" w:rsidTr="00064564">
        <w:trPr>
          <w:trHeight w:val="340"/>
        </w:trPr>
        <w:tc>
          <w:tcPr>
            <w:tcW w:w="901" w:type="dxa"/>
          </w:tcPr>
          <w:p w:rsidR="00B11BDE" w:rsidRDefault="00B11BDE" w:rsidP="00251392">
            <w:pPr>
              <w:spacing w:after="120"/>
              <w:textboxTightWrap w:val="none"/>
              <w:rPr>
                <w:rFonts w:cs="Arial"/>
                <w:sz w:val="22"/>
                <w:szCs w:val="22"/>
              </w:rPr>
            </w:pPr>
            <w:r>
              <w:rPr>
                <w:rFonts w:cs="Arial"/>
                <w:sz w:val="22"/>
                <w:szCs w:val="22"/>
              </w:rPr>
              <w:t>4.2</w:t>
            </w:r>
          </w:p>
        </w:tc>
        <w:tc>
          <w:tcPr>
            <w:tcW w:w="9496" w:type="dxa"/>
            <w:gridSpan w:val="2"/>
          </w:tcPr>
          <w:p w:rsidR="00B11BDE" w:rsidRPr="00C8280C" w:rsidRDefault="00074965" w:rsidP="00074965">
            <w:pPr>
              <w:spacing w:after="120"/>
              <w:jc w:val="both"/>
              <w:rPr>
                <w:sz w:val="22"/>
                <w:szCs w:val="22"/>
              </w:rPr>
            </w:pPr>
            <w:r>
              <w:rPr>
                <w:sz w:val="22"/>
                <w:szCs w:val="22"/>
              </w:rPr>
              <w:t xml:space="preserve">There has been a refocus of activity towards a </w:t>
            </w:r>
            <w:r w:rsidR="00570759">
              <w:rPr>
                <w:sz w:val="22"/>
                <w:szCs w:val="22"/>
              </w:rPr>
              <w:t>backup</w:t>
            </w:r>
            <w:r>
              <w:rPr>
                <w:sz w:val="22"/>
                <w:szCs w:val="22"/>
              </w:rPr>
              <w:t xml:space="preserve"> plan to deliver the required reports from this sub-group. This has been necessitated by the delay and difficulties in achieving approvals for the use of HES data to support the original data linkage CPR</w:t>
            </w:r>
            <w:r w:rsidR="008D4FC2">
              <w:rPr>
                <w:sz w:val="22"/>
                <w:szCs w:val="22"/>
              </w:rPr>
              <w:t>D/HES protocol.</w:t>
            </w:r>
          </w:p>
        </w:tc>
      </w:tr>
      <w:tr w:rsidR="00B11BDE" w:rsidRPr="00A06288" w:rsidTr="00064564">
        <w:trPr>
          <w:trHeight w:val="340"/>
        </w:trPr>
        <w:tc>
          <w:tcPr>
            <w:tcW w:w="901" w:type="dxa"/>
          </w:tcPr>
          <w:p w:rsidR="00B11BDE" w:rsidRDefault="00B11BDE" w:rsidP="00251392">
            <w:pPr>
              <w:spacing w:after="120"/>
              <w:textboxTightWrap w:val="none"/>
              <w:rPr>
                <w:rFonts w:cs="Arial"/>
                <w:sz w:val="22"/>
                <w:szCs w:val="22"/>
              </w:rPr>
            </w:pPr>
            <w:r>
              <w:rPr>
                <w:rFonts w:cs="Arial"/>
                <w:sz w:val="22"/>
                <w:szCs w:val="22"/>
              </w:rPr>
              <w:t>4.3</w:t>
            </w:r>
          </w:p>
        </w:tc>
        <w:tc>
          <w:tcPr>
            <w:tcW w:w="9496" w:type="dxa"/>
            <w:gridSpan w:val="2"/>
          </w:tcPr>
          <w:p w:rsidR="00B11BDE" w:rsidRPr="00C8280C" w:rsidRDefault="00074965" w:rsidP="008D4FC2">
            <w:pPr>
              <w:spacing w:after="120"/>
              <w:jc w:val="both"/>
              <w:rPr>
                <w:sz w:val="22"/>
                <w:szCs w:val="22"/>
              </w:rPr>
            </w:pPr>
            <w:r>
              <w:rPr>
                <w:sz w:val="22"/>
                <w:szCs w:val="22"/>
              </w:rPr>
              <w:t>An internal HSCIC team is developing a ‘</w:t>
            </w:r>
            <w:r w:rsidR="00570759">
              <w:rPr>
                <w:sz w:val="22"/>
                <w:szCs w:val="22"/>
              </w:rPr>
              <w:t>theoretical</w:t>
            </w:r>
            <w:r>
              <w:rPr>
                <w:sz w:val="22"/>
                <w:szCs w:val="22"/>
              </w:rPr>
              <w:t xml:space="preserve"> paper’ to provide the </w:t>
            </w:r>
            <w:r w:rsidR="00570759">
              <w:rPr>
                <w:sz w:val="22"/>
                <w:szCs w:val="22"/>
              </w:rPr>
              <w:t>logical</w:t>
            </w:r>
            <w:r>
              <w:rPr>
                <w:sz w:val="22"/>
                <w:szCs w:val="22"/>
              </w:rPr>
              <w:t xml:space="preserve"> conclusions on data linkages, data quality and different approaches to linkages. It is also looking to provide a high level view on ‘Probabilistic matching’.</w:t>
            </w:r>
          </w:p>
        </w:tc>
      </w:tr>
      <w:tr w:rsidR="00074965" w:rsidRPr="00A06288" w:rsidTr="00064564">
        <w:trPr>
          <w:trHeight w:val="340"/>
        </w:trPr>
        <w:tc>
          <w:tcPr>
            <w:tcW w:w="901" w:type="dxa"/>
          </w:tcPr>
          <w:p w:rsidR="00074965" w:rsidRDefault="00074965" w:rsidP="00251392">
            <w:pPr>
              <w:spacing w:after="120"/>
              <w:textboxTightWrap w:val="none"/>
              <w:rPr>
                <w:rFonts w:cs="Arial"/>
                <w:sz w:val="22"/>
                <w:szCs w:val="22"/>
              </w:rPr>
            </w:pPr>
            <w:r>
              <w:rPr>
                <w:rFonts w:cs="Arial"/>
                <w:sz w:val="22"/>
                <w:szCs w:val="22"/>
              </w:rPr>
              <w:t>4.4</w:t>
            </w:r>
          </w:p>
        </w:tc>
        <w:tc>
          <w:tcPr>
            <w:tcW w:w="9496" w:type="dxa"/>
            <w:gridSpan w:val="2"/>
          </w:tcPr>
          <w:p w:rsidR="00074965" w:rsidRDefault="00074965" w:rsidP="008D4FC2">
            <w:pPr>
              <w:spacing w:after="120"/>
              <w:jc w:val="both"/>
              <w:rPr>
                <w:sz w:val="22"/>
                <w:szCs w:val="22"/>
              </w:rPr>
            </w:pPr>
            <w:r>
              <w:rPr>
                <w:sz w:val="22"/>
                <w:szCs w:val="22"/>
              </w:rPr>
              <w:t xml:space="preserve">A number of </w:t>
            </w:r>
            <w:r w:rsidR="00570759">
              <w:rPr>
                <w:sz w:val="22"/>
                <w:szCs w:val="22"/>
              </w:rPr>
              <w:t>work streams</w:t>
            </w:r>
            <w:r>
              <w:rPr>
                <w:sz w:val="22"/>
                <w:szCs w:val="22"/>
              </w:rPr>
              <w:t xml:space="preserve"> are being set up with</w:t>
            </w:r>
            <w:r w:rsidR="008C5E92">
              <w:rPr>
                <w:sz w:val="22"/>
                <w:szCs w:val="22"/>
              </w:rPr>
              <w:t xml:space="preserve"> </w:t>
            </w:r>
            <w:r>
              <w:rPr>
                <w:sz w:val="22"/>
                <w:szCs w:val="22"/>
              </w:rPr>
              <w:t xml:space="preserve">internal </w:t>
            </w:r>
            <w:r w:rsidR="008C5E92">
              <w:rPr>
                <w:sz w:val="22"/>
                <w:szCs w:val="22"/>
              </w:rPr>
              <w:t>owners assigned and timelines for delivery to be agreed.</w:t>
            </w:r>
          </w:p>
        </w:tc>
      </w:tr>
      <w:tr w:rsidR="008C5E92" w:rsidRPr="00A06288" w:rsidTr="00064564">
        <w:trPr>
          <w:trHeight w:val="340"/>
        </w:trPr>
        <w:tc>
          <w:tcPr>
            <w:tcW w:w="901" w:type="dxa"/>
          </w:tcPr>
          <w:p w:rsidR="008C5E92" w:rsidRDefault="008C5E92" w:rsidP="00251392">
            <w:pPr>
              <w:spacing w:after="120"/>
              <w:textboxTightWrap w:val="none"/>
              <w:rPr>
                <w:rFonts w:cs="Arial"/>
                <w:sz w:val="22"/>
                <w:szCs w:val="22"/>
              </w:rPr>
            </w:pPr>
            <w:r>
              <w:rPr>
                <w:rFonts w:cs="Arial"/>
                <w:sz w:val="22"/>
                <w:szCs w:val="22"/>
              </w:rPr>
              <w:lastRenderedPageBreak/>
              <w:t>4.5</w:t>
            </w:r>
          </w:p>
        </w:tc>
        <w:tc>
          <w:tcPr>
            <w:tcW w:w="9496" w:type="dxa"/>
            <w:gridSpan w:val="2"/>
          </w:tcPr>
          <w:p w:rsidR="008C5E92" w:rsidRDefault="008C5E92" w:rsidP="008C5E92">
            <w:pPr>
              <w:spacing w:after="120"/>
              <w:jc w:val="both"/>
              <w:rPr>
                <w:sz w:val="22"/>
                <w:szCs w:val="22"/>
              </w:rPr>
            </w:pPr>
            <w:r>
              <w:rPr>
                <w:sz w:val="22"/>
                <w:szCs w:val="22"/>
              </w:rPr>
              <w:t>A sub-group member provided an update on approvals for CPRD data to be used for the CPRD/HES protocol. A position statement has been provided to the CPRD approvals board and this is currently under review in order to provide</w:t>
            </w:r>
            <w:r w:rsidR="00E72BB3">
              <w:rPr>
                <w:sz w:val="22"/>
                <w:szCs w:val="22"/>
              </w:rPr>
              <w:t>,</w:t>
            </w:r>
            <w:r>
              <w:rPr>
                <w:sz w:val="22"/>
                <w:szCs w:val="22"/>
              </w:rPr>
              <w:t xml:space="preserve"> in first week of February</w:t>
            </w:r>
            <w:r w:rsidR="00E72BB3">
              <w:rPr>
                <w:sz w:val="22"/>
                <w:szCs w:val="22"/>
              </w:rPr>
              <w:t>,</w:t>
            </w:r>
            <w:r>
              <w:rPr>
                <w:sz w:val="22"/>
                <w:szCs w:val="22"/>
              </w:rPr>
              <w:t xml:space="preserve"> a final </w:t>
            </w:r>
            <w:r w:rsidR="00570759">
              <w:rPr>
                <w:sz w:val="22"/>
                <w:szCs w:val="22"/>
              </w:rPr>
              <w:t>version</w:t>
            </w:r>
            <w:r>
              <w:rPr>
                <w:sz w:val="22"/>
                <w:szCs w:val="22"/>
              </w:rPr>
              <w:t xml:space="preserve"> for presenting to </w:t>
            </w:r>
            <w:r w:rsidR="00E72BB3">
              <w:rPr>
                <w:sz w:val="22"/>
                <w:szCs w:val="22"/>
              </w:rPr>
              <w:t xml:space="preserve">CAG and or </w:t>
            </w:r>
            <w:r>
              <w:rPr>
                <w:sz w:val="22"/>
                <w:szCs w:val="22"/>
              </w:rPr>
              <w:t>DAAG. The group discussed the current protocol paper and whether it remains fit for purpose. The Chair stated that it remains on the sub-groups work plan but needs to be revi</w:t>
            </w:r>
            <w:r w:rsidR="00E72BB3">
              <w:rPr>
                <w:sz w:val="22"/>
                <w:szCs w:val="22"/>
              </w:rPr>
              <w:t>e</w:t>
            </w:r>
            <w:r>
              <w:rPr>
                <w:sz w:val="22"/>
                <w:szCs w:val="22"/>
              </w:rPr>
              <w:t>wed in light of the proposed theoretical paper being developed.</w:t>
            </w:r>
          </w:p>
        </w:tc>
      </w:tr>
      <w:tr w:rsidR="008C5E92" w:rsidRPr="00A06288" w:rsidTr="00064564">
        <w:trPr>
          <w:trHeight w:val="340"/>
        </w:trPr>
        <w:tc>
          <w:tcPr>
            <w:tcW w:w="901" w:type="dxa"/>
          </w:tcPr>
          <w:p w:rsidR="008C5E92" w:rsidRDefault="008C5E92" w:rsidP="00251392">
            <w:pPr>
              <w:spacing w:after="120"/>
              <w:textboxTightWrap w:val="none"/>
              <w:rPr>
                <w:rFonts w:cs="Arial"/>
                <w:sz w:val="22"/>
                <w:szCs w:val="22"/>
              </w:rPr>
            </w:pPr>
            <w:r>
              <w:rPr>
                <w:rFonts w:cs="Arial"/>
                <w:sz w:val="22"/>
                <w:szCs w:val="22"/>
              </w:rPr>
              <w:t>4.6</w:t>
            </w:r>
          </w:p>
        </w:tc>
        <w:tc>
          <w:tcPr>
            <w:tcW w:w="9496" w:type="dxa"/>
            <w:gridSpan w:val="2"/>
          </w:tcPr>
          <w:p w:rsidR="008C5E92" w:rsidRDefault="008C5E92" w:rsidP="00E72BB3">
            <w:pPr>
              <w:spacing w:after="120"/>
              <w:jc w:val="both"/>
              <w:rPr>
                <w:sz w:val="22"/>
                <w:szCs w:val="22"/>
              </w:rPr>
            </w:pPr>
            <w:r>
              <w:rPr>
                <w:sz w:val="22"/>
                <w:szCs w:val="22"/>
              </w:rPr>
              <w:t xml:space="preserve">The chair of the Data Linkage &amp; </w:t>
            </w:r>
            <w:r w:rsidR="00E72BB3">
              <w:rPr>
                <w:sz w:val="22"/>
                <w:szCs w:val="22"/>
              </w:rPr>
              <w:t xml:space="preserve">Data Quality sub-group </w:t>
            </w:r>
            <w:r>
              <w:rPr>
                <w:sz w:val="22"/>
                <w:szCs w:val="22"/>
              </w:rPr>
              <w:t>in closing his update invited the group to comment on Harvey Goldstein</w:t>
            </w:r>
            <w:r w:rsidR="00E72BB3">
              <w:rPr>
                <w:sz w:val="22"/>
                <w:szCs w:val="22"/>
              </w:rPr>
              <w:t>’s</w:t>
            </w:r>
            <w:r>
              <w:rPr>
                <w:sz w:val="22"/>
                <w:szCs w:val="22"/>
              </w:rPr>
              <w:t xml:space="preserve"> ‘</w:t>
            </w:r>
            <w:r w:rsidR="00570759">
              <w:rPr>
                <w:sz w:val="22"/>
                <w:szCs w:val="22"/>
              </w:rPr>
              <w:t>Privacy</w:t>
            </w:r>
            <w:r>
              <w:rPr>
                <w:sz w:val="22"/>
                <w:szCs w:val="22"/>
              </w:rPr>
              <w:t xml:space="preserve">’ paper. The review’s project manager confirmed </w:t>
            </w:r>
            <w:r w:rsidR="00570759">
              <w:rPr>
                <w:sz w:val="22"/>
                <w:szCs w:val="22"/>
              </w:rPr>
              <w:t>an</w:t>
            </w:r>
            <w:r>
              <w:rPr>
                <w:sz w:val="22"/>
                <w:szCs w:val="22"/>
              </w:rPr>
              <w:t xml:space="preserve"> </w:t>
            </w:r>
            <w:r w:rsidR="00570759">
              <w:rPr>
                <w:sz w:val="22"/>
                <w:szCs w:val="22"/>
              </w:rPr>
              <w:t>updated version</w:t>
            </w:r>
            <w:r>
              <w:rPr>
                <w:sz w:val="22"/>
                <w:szCs w:val="22"/>
              </w:rPr>
              <w:t xml:space="preserve"> of the paper had been provided and this would be circulated to the group for comment.</w:t>
            </w:r>
          </w:p>
        </w:tc>
      </w:tr>
      <w:tr w:rsidR="00B11BDE" w:rsidRPr="00C8280C" w:rsidTr="00064564">
        <w:trPr>
          <w:trHeight w:val="340"/>
        </w:trPr>
        <w:tc>
          <w:tcPr>
            <w:tcW w:w="901" w:type="dxa"/>
          </w:tcPr>
          <w:p w:rsidR="00B11BDE" w:rsidRPr="00C8280C" w:rsidRDefault="00B11BDE" w:rsidP="00251392">
            <w:pPr>
              <w:spacing w:after="120"/>
              <w:textboxTightWrap w:val="none"/>
              <w:rPr>
                <w:rFonts w:cs="Arial"/>
                <w:b/>
                <w:sz w:val="22"/>
                <w:szCs w:val="22"/>
              </w:rPr>
            </w:pPr>
            <w:r w:rsidRPr="00C8280C">
              <w:rPr>
                <w:rFonts w:cs="Arial"/>
                <w:b/>
                <w:sz w:val="22"/>
                <w:szCs w:val="22"/>
              </w:rPr>
              <w:t>5.0</w:t>
            </w:r>
          </w:p>
        </w:tc>
        <w:tc>
          <w:tcPr>
            <w:tcW w:w="9496" w:type="dxa"/>
            <w:gridSpan w:val="2"/>
          </w:tcPr>
          <w:p w:rsidR="00B11BDE" w:rsidRPr="00C8280C" w:rsidRDefault="00B11BDE" w:rsidP="00251392">
            <w:pPr>
              <w:spacing w:after="120"/>
              <w:jc w:val="both"/>
              <w:rPr>
                <w:b/>
                <w:sz w:val="22"/>
                <w:szCs w:val="22"/>
              </w:rPr>
            </w:pPr>
            <w:r w:rsidRPr="00C8280C">
              <w:rPr>
                <w:b/>
                <w:sz w:val="22"/>
                <w:szCs w:val="22"/>
              </w:rPr>
              <w:t>Standards and Terminology sub-group update</w:t>
            </w:r>
          </w:p>
        </w:tc>
      </w:tr>
      <w:tr w:rsidR="00B11BDE" w:rsidRPr="00A06288" w:rsidTr="00064564">
        <w:trPr>
          <w:trHeight w:val="340"/>
        </w:trPr>
        <w:tc>
          <w:tcPr>
            <w:tcW w:w="901" w:type="dxa"/>
          </w:tcPr>
          <w:p w:rsidR="00B11BDE" w:rsidRDefault="00B11BDE" w:rsidP="00251392">
            <w:pPr>
              <w:spacing w:after="120"/>
              <w:textboxTightWrap w:val="none"/>
              <w:rPr>
                <w:rFonts w:cs="Arial"/>
                <w:sz w:val="22"/>
                <w:szCs w:val="22"/>
              </w:rPr>
            </w:pPr>
            <w:r>
              <w:rPr>
                <w:rFonts w:cs="Arial"/>
                <w:sz w:val="22"/>
                <w:szCs w:val="22"/>
              </w:rPr>
              <w:t>5.1</w:t>
            </w:r>
          </w:p>
        </w:tc>
        <w:tc>
          <w:tcPr>
            <w:tcW w:w="9496" w:type="dxa"/>
            <w:gridSpan w:val="2"/>
          </w:tcPr>
          <w:p w:rsidR="00B11BDE" w:rsidRPr="00C8280C" w:rsidRDefault="008C5E92" w:rsidP="00414E68">
            <w:pPr>
              <w:spacing w:after="120"/>
              <w:jc w:val="both"/>
              <w:rPr>
                <w:sz w:val="22"/>
                <w:szCs w:val="22"/>
              </w:rPr>
            </w:pPr>
            <w:r>
              <w:rPr>
                <w:sz w:val="22"/>
                <w:szCs w:val="22"/>
              </w:rPr>
              <w:t>The sub-group chair didn’t attend t</w:t>
            </w:r>
            <w:r w:rsidR="00414E68">
              <w:rPr>
                <w:sz w:val="22"/>
                <w:szCs w:val="22"/>
              </w:rPr>
              <w:t>oday’s meeting. It was noted the</w:t>
            </w:r>
            <w:r>
              <w:rPr>
                <w:sz w:val="22"/>
                <w:szCs w:val="22"/>
              </w:rPr>
              <w:t xml:space="preserve"> discussions </w:t>
            </w:r>
            <w:r w:rsidR="00414E68">
              <w:rPr>
                <w:sz w:val="22"/>
                <w:szCs w:val="22"/>
              </w:rPr>
              <w:t>which ar</w:t>
            </w:r>
            <w:r w:rsidR="00570759">
              <w:rPr>
                <w:sz w:val="22"/>
                <w:szCs w:val="22"/>
              </w:rPr>
              <w:t>ose</w:t>
            </w:r>
            <w:r>
              <w:rPr>
                <w:sz w:val="22"/>
                <w:szCs w:val="22"/>
              </w:rPr>
              <w:t xml:space="preserve"> in above para 2.3.6 had provided the update on current activity of the sub-group. </w:t>
            </w:r>
            <w:r w:rsidR="00273370">
              <w:rPr>
                <w:sz w:val="22"/>
                <w:szCs w:val="22"/>
              </w:rPr>
              <w:t>The project manager advised he would be meeting the S&amp;</w:t>
            </w:r>
            <w:r w:rsidR="00E72BB3">
              <w:rPr>
                <w:sz w:val="22"/>
                <w:szCs w:val="22"/>
              </w:rPr>
              <w:t>T chair w/c 19 Jan</w:t>
            </w:r>
            <w:r w:rsidR="00273370">
              <w:rPr>
                <w:sz w:val="22"/>
                <w:szCs w:val="22"/>
              </w:rPr>
              <w:t>u</w:t>
            </w:r>
            <w:r w:rsidR="00E72BB3">
              <w:rPr>
                <w:sz w:val="22"/>
                <w:szCs w:val="22"/>
              </w:rPr>
              <w:t>a</w:t>
            </w:r>
            <w:r w:rsidR="00273370">
              <w:rPr>
                <w:sz w:val="22"/>
                <w:szCs w:val="22"/>
              </w:rPr>
              <w:t>ry and would circulate the Pseudonymis</w:t>
            </w:r>
            <w:r w:rsidR="00E72BB3">
              <w:rPr>
                <w:sz w:val="22"/>
                <w:szCs w:val="22"/>
              </w:rPr>
              <w:t>a</w:t>
            </w:r>
            <w:r w:rsidR="00273370">
              <w:rPr>
                <w:sz w:val="22"/>
                <w:szCs w:val="22"/>
              </w:rPr>
              <w:t>tion context paper as well as any other updates to the group for comment.</w:t>
            </w:r>
          </w:p>
        </w:tc>
      </w:tr>
      <w:tr w:rsidR="00B11BDE" w:rsidRPr="00A542C3" w:rsidTr="00064564">
        <w:trPr>
          <w:trHeight w:val="340"/>
        </w:trPr>
        <w:tc>
          <w:tcPr>
            <w:tcW w:w="901" w:type="dxa"/>
          </w:tcPr>
          <w:p w:rsidR="00B11BDE" w:rsidRPr="00A542C3" w:rsidRDefault="00B11BDE" w:rsidP="00251392">
            <w:pPr>
              <w:spacing w:after="120"/>
              <w:textboxTightWrap w:val="none"/>
              <w:rPr>
                <w:rFonts w:cs="Arial"/>
                <w:b/>
                <w:sz w:val="22"/>
                <w:szCs w:val="22"/>
              </w:rPr>
            </w:pPr>
            <w:r w:rsidRPr="00A542C3">
              <w:rPr>
                <w:rFonts w:cs="Arial"/>
                <w:b/>
                <w:sz w:val="22"/>
                <w:szCs w:val="22"/>
              </w:rPr>
              <w:t>6</w:t>
            </w:r>
            <w:r>
              <w:rPr>
                <w:rFonts w:cs="Arial"/>
                <w:b/>
                <w:sz w:val="22"/>
                <w:szCs w:val="22"/>
              </w:rPr>
              <w:t>.0</w:t>
            </w:r>
          </w:p>
        </w:tc>
        <w:tc>
          <w:tcPr>
            <w:tcW w:w="9496" w:type="dxa"/>
            <w:gridSpan w:val="2"/>
          </w:tcPr>
          <w:p w:rsidR="00B11BDE" w:rsidRPr="00A542C3" w:rsidRDefault="00273370" w:rsidP="009D1B5E">
            <w:pPr>
              <w:spacing w:after="120"/>
              <w:jc w:val="both"/>
              <w:rPr>
                <w:b/>
                <w:sz w:val="22"/>
                <w:szCs w:val="22"/>
              </w:rPr>
            </w:pPr>
            <w:r>
              <w:rPr>
                <w:b/>
                <w:sz w:val="22"/>
                <w:szCs w:val="22"/>
              </w:rPr>
              <w:t xml:space="preserve">Pseudonymisation </w:t>
            </w:r>
            <w:r w:rsidR="00570759">
              <w:rPr>
                <w:b/>
                <w:sz w:val="22"/>
                <w:szCs w:val="22"/>
              </w:rPr>
              <w:t>Review</w:t>
            </w:r>
            <w:r>
              <w:rPr>
                <w:b/>
                <w:sz w:val="22"/>
                <w:szCs w:val="22"/>
              </w:rPr>
              <w:t xml:space="preserve"> – Work Plan</w:t>
            </w:r>
          </w:p>
        </w:tc>
      </w:tr>
      <w:tr w:rsidR="00B11BDE" w:rsidRPr="00A06288" w:rsidTr="00064564">
        <w:trPr>
          <w:trHeight w:val="340"/>
        </w:trPr>
        <w:tc>
          <w:tcPr>
            <w:tcW w:w="901" w:type="dxa"/>
          </w:tcPr>
          <w:p w:rsidR="00B11BDE" w:rsidRDefault="00B11BDE" w:rsidP="00251392">
            <w:pPr>
              <w:spacing w:after="120"/>
              <w:textboxTightWrap w:val="none"/>
              <w:rPr>
                <w:rFonts w:cs="Arial"/>
                <w:sz w:val="22"/>
                <w:szCs w:val="22"/>
              </w:rPr>
            </w:pPr>
            <w:r>
              <w:rPr>
                <w:rFonts w:cs="Arial"/>
                <w:sz w:val="22"/>
                <w:szCs w:val="22"/>
              </w:rPr>
              <w:t>6.1</w:t>
            </w:r>
          </w:p>
        </w:tc>
        <w:tc>
          <w:tcPr>
            <w:tcW w:w="9496" w:type="dxa"/>
            <w:gridSpan w:val="2"/>
          </w:tcPr>
          <w:p w:rsidR="00B11BDE" w:rsidRPr="00A542C3" w:rsidRDefault="00273370" w:rsidP="00273370">
            <w:pPr>
              <w:spacing w:after="120"/>
              <w:jc w:val="both"/>
              <w:rPr>
                <w:sz w:val="22"/>
                <w:szCs w:val="22"/>
              </w:rPr>
            </w:pPr>
            <w:r>
              <w:rPr>
                <w:sz w:val="22"/>
                <w:szCs w:val="22"/>
              </w:rPr>
              <w:t xml:space="preserve">The Chair commented that there is still much to do and that it is likely the Review’s work will continue beyond the end of March. The current work plan has dependencies on a number of </w:t>
            </w:r>
            <w:r w:rsidR="00570759">
              <w:rPr>
                <w:sz w:val="22"/>
                <w:szCs w:val="22"/>
              </w:rPr>
              <w:t>its</w:t>
            </w:r>
            <w:r>
              <w:rPr>
                <w:sz w:val="22"/>
                <w:szCs w:val="22"/>
              </w:rPr>
              <w:t xml:space="preserve"> deliverables from the Standards &amp; Terminology sub-group and these need prioritising to achieve the timescales in the work plan.</w:t>
            </w:r>
          </w:p>
        </w:tc>
      </w:tr>
      <w:tr w:rsidR="00273370" w:rsidRPr="00A06288" w:rsidTr="00064564">
        <w:trPr>
          <w:trHeight w:val="340"/>
        </w:trPr>
        <w:tc>
          <w:tcPr>
            <w:tcW w:w="901" w:type="dxa"/>
          </w:tcPr>
          <w:p w:rsidR="00273370" w:rsidRDefault="00273370" w:rsidP="00251392">
            <w:pPr>
              <w:spacing w:after="120"/>
              <w:textboxTightWrap w:val="none"/>
              <w:rPr>
                <w:rFonts w:cs="Arial"/>
                <w:sz w:val="22"/>
                <w:szCs w:val="22"/>
              </w:rPr>
            </w:pPr>
            <w:r>
              <w:rPr>
                <w:rFonts w:cs="Arial"/>
                <w:sz w:val="22"/>
                <w:szCs w:val="22"/>
              </w:rPr>
              <w:t>6.2</w:t>
            </w:r>
          </w:p>
        </w:tc>
        <w:tc>
          <w:tcPr>
            <w:tcW w:w="9496" w:type="dxa"/>
            <w:gridSpan w:val="2"/>
          </w:tcPr>
          <w:p w:rsidR="00273370" w:rsidRDefault="00273370" w:rsidP="008D4FC2">
            <w:pPr>
              <w:spacing w:after="120"/>
              <w:jc w:val="both"/>
              <w:rPr>
                <w:sz w:val="22"/>
                <w:szCs w:val="22"/>
              </w:rPr>
            </w:pPr>
            <w:r>
              <w:rPr>
                <w:sz w:val="22"/>
                <w:szCs w:val="22"/>
              </w:rPr>
              <w:t>The Chair further commented that the Review’s Final Report needs to be coherent and use agreed terms from across the Review.</w:t>
            </w:r>
          </w:p>
        </w:tc>
      </w:tr>
      <w:tr w:rsidR="00B11BDE" w:rsidRPr="00A542C3" w:rsidTr="00064564">
        <w:trPr>
          <w:trHeight w:val="306"/>
        </w:trPr>
        <w:tc>
          <w:tcPr>
            <w:tcW w:w="901" w:type="dxa"/>
          </w:tcPr>
          <w:p w:rsidR="00B11BDE" w:rsidRDefault="00B11BDE" w:rsidP="00251392">
            <w:pPr>
              <w:spacing w:after="120"/>
              <w:textboxTightWrap w:val="none"/>
              <w:rPr>
                <w:rFonts w:cs="Arial"/>
                <w:b/>
                <w:sz w:val="22"/>
                <w:szCs w:val="22"/>
              </w:rPr>
            </w:pPr>
            <w:r>
              <w:rPr>
                <w:rFonts w:cs="Arial"/>
                <w:b/>
                <w:sz w:val="22"/>
                <w:szCs w:val="22"/>
              </w:rPr>
              <w:t>7.0</w:t>
            </w:r>
          </w:p>
        </w:tc>
        <w:tc>
          <w:tcPr>
            <w:tcW w:w="9496" w:type="dxa"/>
            <w:gridSpan w:val="2"/>
          </w:tcPr>
          <w:p w:rsidR="00B11BDE" w:rsidRDefault="00273370" w:rsidP="00251392">
            <w:pPr>
              <w:spacing w:after="120"/>
              <w:jc w:val="both"/>
              <w:rPr>
                <w:b/>
                <w:sz w:val="22"/>
                <w:szCs w:val="22"/>
              </w:rPr>
            </w:pPr>
            <w:r>
              <w:rPr>
                <w:b/>
                <w:sz w:val="22"/>
                <w:szCs w:val="22"/>
              </w:rPr>
              <w:t>AOB</w:t>
            </w:r>
          </w:p>
        </w:tc>
      </w:tr>
      <w:tr w:rsidR="00B11BDE" w:rsidRPr="00A542C3" w:rsidTr="00064564">
        <w:trPr>
          <w:trHeight w:val="855"/>
        </w:trPr>
        <w:tc>
          <w:tcPr>
            <w:tcW w:w="901" w:type="dxa"/>
          </w:tcPr>
          <w:p w:rsidR="00B11BDE" w:rsidRPr="009D1B5E" w:rsidRDefault="00B11BDE" w:rsidP="009D1B5E">
            <w:pPr>
              <w:spacing w:after="120"/>
              <w:textboxTightWrap w:val="none"/>
              <w:rPr>
                <w:rFonts w:cs="Arial"/>
                <w:sz w:val="22"/>
                <w:szCs w:val="22"/>
              </w:rPr>
            </w:pPr>
            <w:r w:rsidRPr="009D1B5E">
              <w:rPr>
                <w:rFonts w:cs="Arial"/>
                <w:sz w:val="22"/>
                <w:szCs w:val="22"/>
              </w:rPr>
              <w:t>7.1</w:t>
            </w:r>
          </w:p>
        </w:tc>
        <w:tc>
          <w:tcPr>
            <w:tcW w:w="9496" w:type="dxa"/>
            <w:gridSpan w:val="2"/>
          </w:tcPr>
          <w:p w:rsidR="00B11BDE" w:rsidRPr="00BC1965" w:rsidRDefault="00273370" w:rsidP="00E72BB3">
            <w:pPr>
              <w:spacing w:after="120"/>
              <w:jc w:val="both"/>
              <w:rPr>
                <w:sz w:val="22"/>
                <w:szCs w:val="22"/>
              </w:rPr>
            </w:pPr>
            <w:r>
              <w:rPr>
                <w:sz w:val="22"/>
                <w:szCs w:val="22"/>
              </w:rPr>
              <w:t>The Chair asked for comments on the merits of conducting the groups meet</w:t>
            </w:r>
            <w:r w:rsidR="00E72BB3">
              <w:rPr>
                <w:sz w:val="22"/>
                <w:szCs w:val="22"/>
              </w:rPr>
              <w:t>i</w:t>
            </w:r>
            <w:r>
              <w:rPr>
                <w:sz w:val="22"/>
                <w:szCs w:val="22"/>
              </w:rPr>
              <w:t>ngs by tele confere</w:t>
            </w:r>
            <w:r w:rsidR="00E72BB3">
              <w:rPr>
                <w:sz w:val="22"/>
                <w:szCs w:val="22"/>
              </w:rPr>
              <w:t>nce call or face to face</w:t>
            </w:r>
            <w:r>
              <w:rPr>
                <w:sz w:val="22"/>
                <w:szCs w:val="22"/>
              </w:rPr>
              <w:t xml:space="preserve">. </w:t>
            </w:r>
            <w:r w:rsidR="00570759">
              <w:rPr>
                <w:sz w:val="22"/>
                <w:szCs w:val="22"/>
              </w:rPr>
              <w:t xml:space="preserve">A range of views were expressed by members with some saying face to face is preferable so long as progress was being derived. </w:t>
            </w:r>
            <w:r w:rsidR="00791B45">
              <w:rPr>
                <w:sz w:val="22"/>
                <w:szCs w:val="22"/>
              </w:rPr>
              <w:t xml:space="preserve">Another </w:t>
            </w:r>
            <w:r w:rsidR="00B11BDE">
              <w:rPr>
                <w:sz w:val="22"/>
                <w:szCs w:val="22"/>
              </w:rPr>
              <w:t xml:space="preserve">member </w:t>
            </w:r>
            <w:r w:rsidR="00791B45">
              <w:rPr>
                <w:sz w:val="22"/>
                <w:szCs w:val="22"/>
              </w:rPr>
              <w:t xml:space="preserve">suggested voice quality was better when it was just </w:t>
            </w:r>
            <w:r w:rsidR="00570759">
              <w:rPr>
                <w:sz w:val="22"/>
                <w:szCs w:val="22"/>
              </w:rPr>
              <w:t>an</w:t>
            </w:r>
            <w:r w:rsidR="00791B45">
              <w:rPr>
                <w:sz w:val="22"/>
                <w:szCs w:val="22"/>
              </w:rPr>
              <w:t xml:space="preserve"> audio conference call as having some on a conference phone and some in a face to face meeting caused different levels </w:t>
            </w:r>
            <w:r w:rsidR="00570759">
              <w:rPr>
                <w:sz w:val="22"/>
                <w:szCs w:val="22"/>
              </w:rPr>
              <w:t>of voice</w:t>
            </w:r>
            <w:r w:rsidR="00791B45">
              <w:rPr>
                <w:sz w:val="22"/>
                <w:szCs w:val="22"/>
              </w:rPr>
              <w:t xml:space="preserve"> quality to occur.</w:t>
            </w:r>
            <w:r w:rsidR="00E72BB3">
              <w:rPr>
                <w:sz w:val="22"/>
                <w:szCs w:val="22"/>
              </w:rPr>
              <w:t xml:space="preserve"> </w:t>
            </w:r>
            <w:r w:rsidR="00791B45">
              <w:rPr>
                <w:sz w:val="22"/>
                <w:szCs w:val="22"/>
              </w:rPr>
              <w:t>Video conferencing wa</w:t>
            </w:r>
            <w:r w:rsidR="00E72BB3">
              <w:rPr>
                <w:sz w:val="22"/>
                <w:szCs w:val="22"/>
              </w:rPr>
              <w:t>s al</w:t>
            </w:r>
            <w:r w:rsidR="00791B45">
              <w:rPr>
                <w:sz w:val="22"/>
                <w:szCs w:val="22"/>
              </w:rPr>
              <w:t>s</w:t>
            </w:r>
            <w:r w:rsidR="00E72BB3">
              <w:rPr>
                <w:sz w:val="22"/>
                <w:szCs w:val="22"/>
              </w:rPr>
              <w:t>o</w:t>
            </w:r>
            <w:r w:rsidR="00791B45">
              <w:rPr>
                <w:sz w:val="22"/>
                <w:szCs w:val="22"/>
              </w:rPr>
              <w:t xml:space="preserve"> suggested as an alternative however there may be technology challenges due to the disparate l</w:t>
            </w:r>
            <w:r w:rsidR="00E72BB3">
              <w:rPr>
                <w:sz w:val="22"/>
                <w:szCs w:val="22"/>
              </w:rPr>
              <w:t>o</w:t>
            </w:r>
            <w:r w:rsidR="00791B45">
              <w:rPr>
                <w:sz w:val="22"/>
                <w:szCs w:val="22"/>
              </w:rPr>
              <w:t>cations of group members.</w:t>
            </w:r>
          </w:p>
        </w:tc>
      </w:tr>
      <w:tr w:rsidR="00B11BDE" w:rsidRPr="00A06288" w:rsidTr="00064564">
        <w:trPr>
          <w:trHeight w:val="340"/>
        </w:trPr>
        <w:tc>
          <w:tcPr>
            <w:tcW w:w="901" w:type="dxa"/>
          </w:tcPr>
          <w:p w:rsidR="00B11BDE" w:rsidRPr="009D1B5E" w:rsidRDefault="00B11BDE" w:rsidP="00BC1965">
            <w:pPr>
              <w:spacing w:after="120"/>
              <w:textboxTightWrap w:val="none"/>
              <w:rPr>
                <w:rFonts w:cs="Arial"/>
                <w:sz w:val="22"/>
                <w:szCs w:val="22"/>
              </w:rPr>
            </w:pPr>
            <w:r w:rsidRPr="009D1B5E">
              <w:rPr>
                <w:rFonts w:cs="Arial"/>
                <w:sz w:val="22"/>
                <w:szCs w:val="22"/>
              </w:rPr>
              <w:t>7.2</w:t>
            </w:r>
          </w:p>
        </w:tc>
        <w:tc>
          <w:tcPr>
            <w:tcW w:w="9496" w:type="dxa"/>
            <w:gridSpan w:val="2"/>
          </w:tcPr>
          <w:p w:rsidR="00B11BDE" w:rsidRPr="00A542C3" w:rsidRDefault="00791B45" w:rsidP="00791B45">
            <w:pPr>
              <w:spacing w:after="120"/>
              <w:jc w:val="both"/>
              <w:rPr>
                <w:sz w:val="22"/>
                <w:szCs w:val="22"/>
              </w:rPr>
            </w:pPr>
            <w:r>
              <w:rPr>
                <w:sz w:val="22"/>
                <w:szCs w:val="22"/>
              </w:rPr>
              <w:t>The Review’s project manager confirmed February and March’</w:t>
            </w:r>
            <w:r w:rsidR="00E72BB3">
              <w:rPr>
                <w:sz w:val="22"/>
                <w:szCs w:val="22"/>
              </w:rPr>
              <w:t>s mee</w:t>
            </w:r>
            <w:r>
              <w:rPr>
                <w:sz w:val="22"/>
                <w:szCs w:val="22"/>
              </w:rPr>
              <w:t>t</w:t>
            </w:r>
            <w:r w:rsidR="00E72BB3">
              <w:rPr>
                <w:sz w:val="22"/>
                <w:szCs w:val="22"/>
              </w:rPr>
              <w:t>i</w:t>
            </w:r>
            <w:r>
              <w:rPr>
                <w:sz w:val="22"/>
                <w:szCs w:val="22"/>
              </w:rPr>
              <w:t>ng were to be held at Tavistock House, London. The Chair asked the project manager to canvas views on t</w:t>
            </w:r>
            <w:r w:rsidR="00E72BB3">
              <w:rPr>
                <w:sz w:val="22"/>
                <w:szCs w:val="22"/>
              </w:rPr>
              <w:t>ype of mee</w:t>
            </w:r>
            <w:r>
              <w:rPr>
                <w:sz w:val="22"/>
                <w:szCs w:val="22"/>
              </w:rPr>
              <w:t>t</w:t>
            </w:r>
            <w:r w:rsidR="00E72BB3">
              <w:rPr>
                <w:sz w:val="22"/>
                <w:szCs w:val="22"/>
              </w:rPr>
              <w:t>i</w:t>
            </w:r>
            <w:r>
              <w:rPr>
                <w:sz w:val="22"/>
                <w:szCs w:val="22"/>
              </w:rPr>
              <w:t>ng and to confirm as early as possible the number of confirmed attendees.</w:t>
            </w:r>
          </w:p>
        </w:tc>
      </w:tr>
      <w:tr w:rsidR="00B11BDE" w:rsidRPr="00A542C3" w:rsidTr="00064564">
        <w:trPr>
          <w:trHeight w:val="340"/>
        </w:trPr>
        <w:tc>
          <w:tcPr>
            <w:tcW w:w="901" w:type="dxa"/>
          </w:tcPr>
          <w:p w:rsidR="00B11BDE" w:rsidRPr="00A542C3" w:rsidRDefault="00273370" w:rsidP="00E72BB3">
            <w:pPr>
              <w:spacing w:after="120"/>
              <w:textboxTightWrap w:val="none"/>
              <w:rPr>
                <w:rFonts w:cs="Arial"/>
                <w:b/>
                <w:sz w:val="22"/>
                <w:szCs w:val="22"/>
              </w:rPr>
            </w:pPr>
            <w:r>
              <w:rPr>
                <w:rFonts w:cs="Arial"/>
                <w:b/>
                <w:sz w:val="22"/>
                <w:szCs w:val="22"/>
              </w:rPr>
              <w:t>8</w:t>
            </w:r>
            <w:r w:rsidR="00B11BDE">
              <w:rPr>
                <w:rFonts w:cs="Arial"/>
                <w:b/>
                <w:sz w:val="22"/>
                <w:szCs w:val="22"/>
              </w:rPr>
              <w:t>.0</w:t>
            </w:r>
          </w:p>
        </w:tc>
        <w:tc>
          <w:tcPr>
            <w:tcW w:w="9496" w:type="dxa"/>
            <w:gridSpan w:val="2"/>
          </w:tcPr>
          <w:p w:rsidR="00B11BDE" w:rsidRPr="00A542C3" w:rsidRDefault="00B11BDE" w:rsidP="00E72BB3">
            <w:pPr>
              <w:spacing w:after="120"/>
              <w:jc w:val="both"/>
              <w:rPr>
                <w:b/>
                <w:sz w:val="22"/>
                <w:szCs w:val="22"/>
              </w:rPr>
            </w:pPr>
            <w:r>
              <w:rPr>
                <w:b/>
                <w:sz w:val="22"/>
                <w:szCs w:val="22"/>
              </w:rPr>
              <w:t>Next Meeting</w:t>
            </w:r>
          </w:p>
        </w:tc>
      </w:tr>
      <w:tr w:rsidR="00B11BDE" w:rsidRPr="00A542C3" w:rsidTr="00064564">
        <w:trPr>
          <w:trHeight w:val="340"/>
        </w:trPr>
        <w:tc>
          <w:tcPr>
            <w:tcW w:w="901" w:type="dxa"/>
          </w:tcPr>
          <w:p w:rsidR="00B11BDE" w:rsidRPr="009D1B5E" w:rsidRDefault="00B11BDE" w:rsidP="00E72BB3">
            <w:pPr>
              <w:spacing w:after="120"/>
              <w:textboxTightWrap w:val="none"/>
              <w:rPr>
                <w:rFonts w:cs="Arial"/>
                <w:sz w:val="22"/>
                <w:szCs w:val="22"/>
              </w:rPr>
            </w:pPr>
          </w:p>
        </w:tc>
        <w:tc>
          <w:tcPr>
            <w:tcW w:w="9496" w:type="dxa"/>
            <w:gridSpan w:val="2"/>
          </w:tcPr>
          <w:p w:rsidR="00B11BDE" w:rsidRPr="00A542C3" w:rsidRDefault="00B11BDE" w:rsidP="00273370">
            <w:pPr>
              <w:spacing w:after="120"/>
              <w:jc w:val="both"/>
              <w:rPr>
                <w:sz w:val="22"/>
                <w:szCs w:val="22"/>
              </w:rPr>
            </w:pPr>
            <w:r w:rsidRPr="0072545B">
              <w:rPr>
                <w:sz w:val="22"/>
                <w:szCs w:val="22"/>
              </w:rPr>
              <w:t xml:space="preserve">Wednesday </w:t>
            </w:r>
            <w:r w:rsidR="00273370">
              <w:rPr>
                <w:sz w:val="22"/>
                <w:szCs w:val="22"/>
              </w:rPr>
              <w:t>11</w:t>
            </w:r>
            <w:r>
              <w:rPr>
                <w:sz w:val="22"/>
                <w:szCs w:val="22"/>
              </w:rPr>
              <w:t xml:space="preserve"> </w:t>
            </w:r>
            <w:r w:rsidR="00273370">
              <w:rPr>
                <w:sz w:val="22"/>
                <w:szCs w:val="22"/>
              </w:rPr>
              <w:t xml:space="preserve">February 2015 </w:t>
            </w:r>
            <w:r w:rsidR="00E07C2B">
              <w:rPr>
                <w:sz w:val="22"/>
                <w:szCs w:val="22"/>
              </w:rPr>
              <w:t xml:space="preserve">at </w:t>
            </w:r>
            <w:r w:rsidR="00273370">
              <w:rPr>
                <w:sz w:val="22"/>
                <w:szCs w:val="22"/>
              </w:rPr>
              <w:t>1100 to 13</w:t>
            </w:r>
            <w:r w:rsidRPr="0072545B">
              <w:rPr>
                <w:sz w:val="22"/>
                <w:szCs w:val="22"/>
              </w:rPr>
              <w:t xml:space="preserve">00 at </w:t>
            </w:r>
            <w:r>
              <w:rPr>
                <w:sz w:val="22"/>
                <w:szCs w:val="22"/>
              </w:rPr>
              <w:t>Tavistock House, London</w:t>
            </w:r>
            <w:r w:rsidRPr="0072545B">
              <w:rPr>
                <w:sz w:val="22"/>
                <w:szCs w:val="22"/>
              </w:rPr>
              <w:t>.</w:t>
            </w:r>
          </w:p>
        </w:tc>
      </w:tr>
    </w:tbl>
    <w:p w:rsidR="00BC1965" w:rsidRPr="00E07C2B" w:rsidRDefault="00BC1965" w:rsidP="009D1B5E">
      <w:pPr>
        <w:tabs>
          <w:tab w:val="left" w:pos="1701"/>
        </w:tabs>
        <w:spacing w:after="120"/>
        <w:ind w:left="1701" w:hanging="1701"/>
        <w:jc w:val="both"/>
        <w:rPr>
          <w:rFonts w:cs="Arial"/>
          <w:sz w:val="22"/>
          <w:szCs w:val="22"/>
        </w:rPr>
      </w:pPr>
    </w:p>
    <w:sectPr w:rsidR="00BC1965" w:rsidRPr="00E07C2B" w:rsidSect="00C2753A">
      <w:headerReference w:type="even" r:id="rId12"/>
      <w:headerReference w:type="default" r:id="rId13"/>
      <w:footerReference w:type="even" r:id="rId14"/>
      <w:footerReference w:type="default" r:id="rId15"/>
      <w:headerReference w:type="first" r:id="rId16"/>
      <w:footerReference w:type="first" r:id="rId17"/>
      <w:pgSz w:w="11906" w:h="16838"/>
      <w:pgMar w:top="1701" w:right="1021" w:bottom="284" w:left="102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D4" w:rsidRDefault="00F20DD4" w:rsidP="000C24AF">
      <w:pPr>
        <w:spacing w:after="0"/>
      </w:pPr>
      <w:r>
        <w:separator/>
      </w:r>
    </w:p>
  </w:endnote>
  <w:endnote w:type="continuationSeparator" w:id="0">
    <w:p w:rsidR="00F20DD4" w:rsidRDefault="00F20DD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D8" w:rsidRDefault="00DF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rsidR="00E72BB3" w:rsidRDefault="00E72BB3" w:rsidP="0072545B">
        <w:pPr>
          <w:pStyle w:val="Footer"/>
          <w:jc w:val="right"/>
        </w:pPr>
        <w:r>
          <w:fldChar w:fldCharType="begin"/>
        </w:r>
        <w:r>
          <w:instrText xml:space="preserve"> PAGE   \* MERGEFORMAT </w:instrText>
        </w:r>
        <w:r>
          <w:fldChar w:fldCharType="separate"/>
        </w:r>
        <w:r w:rsidR="00DF73D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D8" w:rsidRDefault="00DF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D4" w:rsidRDefault="00F20DD4" w:rsidP="000C24AF">
      <w:pPr>
        <w:spacing w:after="0"/>
      </w:pPr>
      <w:r>
        <w:separator/>
      </w:r>
    </w:p>
  </w:footnote>
  <w:footnote w:type="continuationSeparator" w:id="0">
    <w:p w:rsidR="00F20DD4" w:rsidRDefault="00F20DD4"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B3" w:rsidRDefault="00F20DD4">
    <w:pPr>
      <w:pStyle w:val="Header"/>
    </w:pPr>
    <w:r>
      <w:rPr>
        <w:noProof/>
      </w:rPr>
      <w:pict w14:anchorId="2E24B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004" o:spid="_x0000_s2050" type="#_x0000_t136" style="position:absolute;margin-left:0;margin-top:0;width:568.95pt;height:126.4pt;rotation:315;z-index:-25165312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B3" w:rsidRDefault="00E72BB3" w:rsidP="00FA22E9">
    <w:pPr>
      <w:tabs>
        <w:tab w:val="left" w:pos="1005"/>
      </w:tabs>
    </w:pPr>
    <w:r>
      <w:rPr>
        <w:noProof/>
        <w:lang w:eastAsia="en-GB"/>
      </w:rPr>
      <w:drawing>
        <wp:anchor distT="0" distB="0" distL="114300" distR="114300" simplePos="0" relativeHeight="251659264" behindDoc="1" locked="0" layoutInCell="1" allowOverlap="1" wp14:anchorId="2013CF87" wp14:editId="330D2DBC">
          <wp:simplePos x="0" y="0"/>
          <wp:positionH relativeFrom="page">
            <wp:posOffset>648335</wp:posOffset>
          </wp:positionH>
          <wp:positionV relativeFrom="page">
            <wp:posOffset>221615</wp:posOffset>
          </wp:positionV>
          <wp:extent cx="2231390" cy="561340"/>
          <wp:effectExtent l="0" t="0" r="0" b="0"/>
          <wp:wrapTight wrapText="bothSides">
            <wp:wrapPolygon edited="0">
              <wp:start x="0" y="0"/>
              <wp:lineTo x="0" y="20525"/>
              <wp:lineTo x="21391" y="20525"/>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r w:rsidR="00F20DD4">
      <w:rPr>
        <w:noProof/>
      </w:rPr>
      <w:pict w14:anchorId="3CB64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005" o:spid="_x0000_s2051" type="#_x0000_t136" style="position:absolute;margin-left:0;margin-top:0;width:568.95pt;height:126.4pt;rotation:315;z-index:-25165107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B3" w:rsidRDefault="00F20DD4">
    <w:pPr>
      <w:pStyle w:val="Header"/>
    </w:pPr>
    <w:r>
      <w:rPr>
        <w:noProof/>
      </w:rPr>
      <w:pict w14:anchorId="107D8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003" o:spid="_x0000_s2049" type="#_x0000_t136" style="position:absolute;margin-left:0;margin-top:0;width:568.95pt;height:126.4pt;rotation:315;z-index:-25165516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07"/>
    <w:multiLevelType w:val="hybridMultilevel"/>
    <w:tmpl w:val="7B0A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24819"/>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7310AE"/>
    <w:multiLevelType w:val="hybridMultilevel"/>
    <w:tmpl w:val="2890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85D78"/>
    <w:multiLevelType w:val="hybridMultilevel"/>
    <w:tmpl w:val="ED58F2F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6B21742"/>
    <w:multiLevelType w:val="hybridMultilevel"/>
    <w:tmpl w:val="956CB6BE"/>
    <w:lvl w:ilvl="0" w:tplc="14729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CF5BE2"/>
    <w:multiLevelType w:val="hybridMultilevel"/>
    <w:tmpl w:val="6652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DB4341"/>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70BEC"/>
    <w:multiLevelType w:val="hybridMultilevel"/>
    <w:tmpl w:val="3B106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E431FF"/>
    <w:multiLevelType w:val="hybridMultilevel"/>
    <w:tmpl w:val="A70E5262"/>
    <w:lvl w:ilvl="0" w:tplc="7E7E220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03F7740"/>
    <w:multiLevelType w:val="hybridMultilevel"/>
    <w:tmpl w:val="20A6DB94"/>
    <w:lvl w:ilvl="0" w:tplc="954293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5E64B4"/>
    <w:multiLevelType w:val="hybridMultilevel"/>
    <w:tmpl w:val="51440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94F0D"/>
    <w:multiLevelType w:val="hybridMultilevel"/>
    <w:tmpl w:val="742058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16464044"/>
    <w:multiLevelType w:val="hybridMultilevel"/>
    <w:tmpl w:val="61D806D2"/>
    <w:lvl w:ilvl="0" w:tplc="8A1E475E">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17344801"/>
    <w:multiLevelType w:val="multilevel"/>
    <w:tmpl w:val="14E61080"/>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nsid w:val="188F5E47"/>
    <w:multiLevelType w:val="hybridMultilevel"/>
    <w:tmpl w:val="1E5C2B88"/>
    <w:lvl w:ilvl="0" w:tplc="9A44A158">
      <w:start w:val="1"/>
      <w:numFmt w:val="lowerLetter"/>
      <w:lvlText w:val="%1."/>
      <w:lvlJc w:val="left"/>
      <w:pPr>
        <w:ind w:left="1608" w:hanging="61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1A445BAD"/>
    <w:multiLevelType w:val="hybridMultilevel"/>
    <w:tmpl w:val="A0DC93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AAD27A3"/>
    <w:multiLevelType w:val="hybridMultilevel"/>
    <w:tmpl w:val="C8144606"/>
    <w:lvl w:ilvl="0" w:tplc="D36456A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C93D98"/>
    <w:multiLevelType w:val="hybridMultilevel"/>
    <w:tmpl w:val="029A3D7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302B7"/>
    <w:multiLevelType w:val="hybridMultilevel"/>
    <w:tmpl w:val="B1C0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60212"/>
    <w:multiLevelType w:val="hybridMultilevel"/>
    <w:tmpl w:val="115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3B74E0"/>
    <w:multiLevelType w:val="hybridMultilevel"/>
    <w:tmpl w:val="2D6E3404"/>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2">
    <w:nsid w:val="22973722"/>
    <w:multiLevelType w:val="hybridMultilevel"/>
    <w:tmpl w:val="4EEAD9D4"/>
    <w:lvl w:ilvl="0" w:tplc="4B42A8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EA51DE"/>
    <w:multiLevelType w:val="hybridMultilevel"/>
    <w:tmpl w:val="07BE52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54A40A3"/>
    <w:multiLevelType w:val="hybridMultilevel"/>
    <w:tmpl w:val="F2B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337E88"/>
    <w:multiLevelType w:val="multilevel"/>
    <w:tmpl w:val="FCD8B2C6"/>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2E112C"/>
    <w:multiLevelType w:val="hybridMultilevel"/>
    <w:tmpl w:val="4B383092"/>
    <w:lvl w:ilvl="0" w:tplc="7B5AD1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BFF7E07"/>
    <w:multiLevelType w:val="hybridMultilevel"/>
    <w:tmpl w:val="630A069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nsid w:val="2FB626DD"/>
    <w:multiLevelType w:val="hybridMultilevel"/>
    <w:tmpl w:val="8F122D30"/>
    <w:lvl w:ilvl="0" w:tplc="FA66DCF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D81B74"/>
    <w:multiLevelType w:val="hybridMultilevel"/>
    <w:tmpl w:val="26C81EA6"/>
    <w:lvl w:ilvl="0" w:tplc="ECA048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E8521B"/>
    <w:multiLevelType w:val="hybridMultilevel"/>
    <w:tmpl w:val="37FA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45723E9"/>
    <w:multiLevelType w:val="hybridMultilevel"/>
    <w:tmpl w:val="BFA46958"/>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D11439"/>
    <w:multiLevelType w:val="multilevel"/>
    <w:tmpl w:val="2B5E3D9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0456760"/>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0EC4F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5E4703E"/>
    <w:multiLevelType w:val="multilevel"/>
    <w:tmpl w:val="7520E74C"/>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A0274B2"/>
    <w:multiLevelType w:val="hybridMultilevel"/>
    <w:tmpl w:val="85C8B8FA"/>
    <w:lvl w:ilvl="0" w:tplc="32FE9CAC">
      <w:start w:val="1"/>
      <w:numFmt w:val="bullet"/>
      <w:lvlText w:val=""/>
      <w:lvlJc w:val="left"/>
      <w:pPr>
        <w:ind w:left="720" w:hanging="360"/>
      </w:pPr>
      <w:rPr>
        <w:rFonts w:ascii="Symbol" w:hAnsi="Symbol" w:hint="default"/>
        <w:color w:val="00335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781E5E"/>
    <w:multiLevelType w:val="hybridMultilevel"/>
    <w:tmpl w:val="3878A350"/>
    <w:lvl w:ilvl="0" w:tplc="A3F0CF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EA4203A"/>
    <w:multiLevelType w:val="hybridMultilevel"/>
    <w:tmpl w:val="2A08D0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55E45ADC"/>
    <w:multiLevelType w:val="hybridMultilevel"/>
    <w:tmpl w:val="CE1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870909"/>
    <w:multiLevelType w:val="hybridMultilevel"/>
    <w:tmpl w:val="3D7E8A0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2">
    <w:nsid w:val="598F04CB"/>
    <w:multiLevelType w:val="hybridMultilevel"/>
    <w:tmpl w:val="2D2AE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C921633"/>
    <w:multiLevelType w:val="multilevel"/>
    <w:tmpl w:val="8F3214CA"/>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40"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CAB45DA"/>
    <w:multiLevelType w:val="multilevel"/>
    <w:tmpl w:val="D9A89BD4"/>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E094245"/>
    <w:multiLevelType w:val="hybridMultilevel"/>
    <w:tmpl w:val="037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8D73DF"/>
    <w:multiLevelType w:val="multilevel"/>
    <w:tmpl w:val="E5463BD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E10C75"/>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023797"/>
    <w:multiLevelType w:val="multilevel"/>
    <w:tmpl w:val="AAF025E4"/>
    <w:lvl w:ilvl="0">
      <w:start w:val="1"/>
      <w:numFmt w:val="decimal"/>
      <w:lvlText w:val="%1."/>
      <w:lvlJc w:val="left"/>
      <w:pPr>
        <w:ind w:left="360" w:hanging="360"/>
      </w:pPr>
      <w:rPr>
        <w:b w:val="0"/>
        <w:i w:val="0"/>
        <w:color w:val="auto"/>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9D04EE"/>
    <w:multiLevelType w:val="hybridMultilevel"/>
    <w:tmpl w:val="80E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543EDD"/>
    <w:multiLevelType w:val="hybridMultilevel"/>
    <w:tmpl w:val="D2BCF7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1">
    <w:nsid w:val="6C832CF1"/>
    <w:multiLevelType w:val="hybridMultilevel"/>
    <w:tmpl w:val="B00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F51E96"/>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84B1C79"/>
    <w:multiLevelType w:val="hybridMultilevel"/>
    <w:tmpl w:val="FAA8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717C42"/>
    <w:multiLevelType w:val="hybridMultilevel"/>
    <w:tmpl w:val="93BAAD62"/>
    <w:lvl w:ilvl="0" w:tplc="F08CED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8"/>
  </w:num>
  <w:num w:numId="4">
    <w:abstractNumId w:val="43"/>
  </w:num>
  <w:num w:numId="5">
    <w:abstractNumId w:val="37"/>
  </w:num>
  <w:num w:numId="6">
    <w:abstractNumId w:val="22"/>
  </w:num>
  <w:num w:numId="7">
    <w:abstractNumId w:val="20"/>
  </w:num>
  <w:num w:numId="8">
    <w:abstractNumId w:val="36"/>
  </w:num>
  <w:num w:numId="9">
    <w:abstractNumId w:val="29"/>
  </w:num>
  <w:num w:numId="10">
    <w:abstractNumId w:val="31"/>
  </w:num>
  <w:num w:numId="11">
    <w:abstractNumId w:val="21"/>
  </w:num>
  <w:num w:numId="12">
    <w:abstractNumId w:val="1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50"/>
  </w:num>
  <w:num w:numId="19">
    <w:abstractNumId w:val="30"/>
  </w:num>
  <w:num w:numId="20">
    <w:abstractNumId w:val="52"/>
  </w:num>
  <w:num w:numId="21">
    <w:abstractNumId w:val="7"/>
  </w:num>
  <w:num w:numId="22">
    <w:abstractNumId w:val="2"/>
  </w:num>
  <w:num w:numId="23">
    <w:abstractNumId w:val="13"/>
  </w:num>
  <w:num w:numId="24">
    <w:abstractNumId w:val="33"/>
  </w:num>
  <w:num w:numId="25">
    <w:abstractNumId w:val="15"/>
  </w:num>
  <w:num w:numId="26">
    <w:abstractNumId w:val="5"/>
  </w:num>
  <w:num w:numId="27">
    <w:abstractNumId w:val="10"/>
  </w:num>
  <w:num w:numId="28">
    <w:abstractNumId w:val="42"/>
  </w:num>
  <w:num w:numId="29">
    <w:abstractNumId w:val="28"/>
  </w:num>
  <w:num w:numId="30">
    <w:abstractNumId w:val="48"/>
  </w:num>
  <w:num w:numId="31">
    <w:abstractNumId w:val="26"/>
  </w:num>
  <w:num w:numId="32">
    <w:abstractNumId w:val="23"/>
  </w:num>
  <w:num w:numId="33">
    <w:abstractNumId w:val="40"/>
  </w:num>
  <w:num w:numId="34">
    <w:abstractNumId w:val="16"/>
  </w:num>
  <w:num w:numId="35">
    <w:abstractNumId w:val="18"/>
  </w:num>
  <w:num w:numId="36">
    <w:abstractNumId w:val="47"/>
  </w:num>
  <w:num w:numId="37">
    <w:abstractNumId w:val="46"/>
  </w:num>
  <w:num w:numId="38">
    <w:abstractNumId w:val="27"/>
  </w:num>
  <w:num w:numId="39">
    <w:abstractNumId w:val="32"/>
  </w:num>
  <w:num w:numId="40">
    <w:abstractNumId w:val="51"/>
  </w:num>
  <w:num w:numId="41">
    <w:abstractNumId w:val="45"/>
  </w:num>
  <w:num w:numId="42">
    <w:abstractNumId w:val="11"/>
  </w:num>
  <w:num w:numId="43">
    <w:abstractNumId w:val="41"/>
  </w:num>
  <w:num w:numId="44">
    <w:abstractNumId w:val="39"/>
  </w:num>
  <w:num w:numId="45">
    <w:abstractNumId w:val="0"/>
  </w:num>
  <w:num w:numId="46">
    <w:abstractNumId w:val="54"/>
  </w:num>
  <w:num w:numId="47">
    <w:abstractNumId w:val="6"/>
  </w:num>
  <w:num w:numId="48">
    <w:abstractNumId w:val="14"/>
  </w:num>
  <w:num w:numId="49">
    <w:abstractNumId w:val="44"/>
  </w:num>
  <w:num w:numId="50">
    <w:abstractNumId w:val="25"/>
  </w:num>
  <w:num w:numId="51">
    <w:abstractNumId w:val="35"/>
  </w:num>
  <w:num w:numId="52">
    <w:abstractNumId w:val="49"/>
  </w:num>
  <w:num w:numId="53">
    <w:abstractNumId w:val="53"/>
  </w:num>
  <w:num w:numId="54">
    <w:abstractNumId w:val="24"/>
  </w:num>
  <w:num w:numId="55">
    <w:abstractNumId w:val="19"/>
  </w:num>
  <w:num w:numId="56">
    <w:abstractNumId w:val="3"/>
  </w:num>
  <w:num w:numId="5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2B37"/>
    <w:rsid w:val="000047A0"/>
    <w:rsid w:val="00004BA0"/>
    <w:rsid w:val="000054EC"/>
    <w:rsid w:val="0000665A"/>
    <w:rsid w:val="00006CAD"/>
    <w:rsid w:val="0001148C"/>
    <w:rsid w:val="00011AA5"/>
    <w:rsid w:val="000128E2"/>
    <w:rsid w:val="00013DFD"/>
    <w:rsid w:val="000146D2"/>
    <w:rsid w:val="0001650E"/>
    <w:rsid w:val="00024DB1"/>
    <w:rsid w:val="0002512B"/>
    <w:rsid w:val="00025A0E"/>
    <w:rsid w:val="0003455B"/>
    <w:rsid w:val="00035062"/>
    <w:rsid w:val="0003533C"/>
    <w:rsid w:val="00037CF7"/>
    <w:rsid w:val="00042999"/>
    <w:rsid w:val="00044FB2"/>
    <w:rsid w:val="000457EE"/>
    <w:rsid w:val="00046977"/>
    <w:rsid w:val="00050865"/>
    <w:rsid w:val="00052F72"/>
    <w:rsid w:val="0005558B"/>
    <w:rsid w:val="00056840"/>
    <w:rsid w:val="00061970"/>
    <w:rsid w:val="0006371F"/>
    <w:rsid w:val="00064564"/>
    <w:rsid w:val="00066E18"/>
    <w:rsid w:val="00071B35"/>
    <w:rsid w:val="00074965"/>
    <w:rsid w:val="0007582C"/>
    <w:rsid w:val="00080347"/>
    <w:rsid w:val="000807AC"/>
    <w:rsid w:val="00081BB7"/>
    <w:rsid w:val="000828B3"/>
    <w:rsid w:val="00085EC3"/>
    <w:rsid w:val="00093AC1"/>
    <w:rsid w:val="0009406A"/>
    <w:rsid w:val="000955AD"/>
    <w:rsid w:val="0009699E"/>
    <w:rsid w:val="000A03C7"/>
    <w:rsid w:val="000A1366"/>
    <w:rsid w:val="000A3580"/>
    <w:rsid w:val="000A4F7C"/>
    <w:rsid w:val="000A51C6"/>
    <w:rsid w:val="000A6965"/>
    <w:rsid w:val="000A71B9"/>
    <w:rsid w:val="000A7297"/>
    <w:rsid w:val="000A74C6"/>
    <w:rsid w:val="000A77F0"/>
    <w:rsid w:val="000B153A"/>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7A2"/>
    <w:rsid w:val="000C721B"/>
    <w:rsid w:val="000C77EA"/>
    <w:rsid w:val="000C7F4F"/>
    <w:rsid w:val="000D3425"/>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584"/>
    <w:rsid w:val="00122F9E"/>
    <w:rsid w:val="00125B17"/>
    <w:rsid w:val="00126D78"/>
    <w:rsid w:val="00127DDA"/>
    <w:rsid w:val="0013071E"/>
    <w:rsid w:val="0013101F"/>
    <w:rsid w:val="00133FE4"/>
    <w:rsid w:val="00135DC5"/>
    <w:rsid w:val="001373EB"/>
    <w:rsid w:val="00140A87"/>
    <w:rsid w:val="00143D6E"/>
    <w:rsid w:val="0014595C"/>
    <w:rsid w:val="00146506"/>
    <w:rsid w:val="001470AC"/>
    <w:rsid w:val="00147EED"/>
    <w:rsid w:val="00150946"/>
    <w:rsid w:val="00154144"/>
    <w:rsid w:val="00154547"/>
    <w:rsid w:val="0015738A"/>
    <w:rsid w:val="00162FCE"/>
    <w:rsid w:val="00163907"/>
    <w:rsid w:val="001712B5"/>
    <w:rsid w:val="00173510"/>
    <w:rsid w:val="00174DEE"/>
    <w:rsid w:val="00176420"/>
    <w:rsid w:val="00180740"/>
    <w:rsid w:val="0018237C"/>
    <w:rsid w:val="00182C9C"/>
    <w:rsid w:val="00184156"/>
    <w:rsid w:val="00186483"/>
    <w:rsid w:val="00190ABB"/>
    <w:rsid w:val="00190C55"/>
    <w:rsid w:val="00190C73"/>
    <w:rsid w:val="0019130E"/>
    <w:rsid w:val="00194099"/>
    <w:rsid w:val="00194131"/>
    <w:rsid w:val="001941A0"/>
    <w:rsid w:val="001944FC"/>
    <w:rsid w:val="00195CF7"/>
    <w:rsid w:val="0019637E"/>
    <w:rsid w:val="001A27CF"/>
    <w:rsid w:val="001A36B0"/>
    <w:rsid w:val="001A3AEF"/>
    <w:rsid w:val="001A61B9"/>
    <w:rsid w:val="001A722F"/>
    <w:rsid w:val="001A74CE"/>
    <w:rsid w:val="001B555F"/>
    <w:rsid w:val="001C0953"/>
    <w:rsid w:val="001C1436"/>
    <w:rsid w:val="001C1DA6"/>
    <w:rsid w:val="001C3A6C"/>
    <w:rsid w:val="001C4CBE"/>
    <w:rsid w:val="001C62E0"/>
    <w:rsid w:val="001C70EC"/>
    <w:rsid w:val="001D21D4"/>
    <w:rsid w:val="001D21DA"/>
    <w:rsid w:val="001D243C"/>
    <w:rsid w:val="001D3B9F"/>
    <w:rsid w:val="001D435C"/>
    <w:rsid w:val="001E0624"/>
    <w:rsid w:val="001E0989"/>
    <w:rsid w:val="001E3A1A"/>
    <w:rsid w:val="001E417A"/>
    <w:rsid w:val="001E5F2B"/>
    <w:rsid w:val="002009F9"/>
    <w:rsid w:val="00201110"/>
    <w:rsid w:val="00201D40"/>
    <w:rsid w:val="00202A74"/>
    <w:rsid w:val="00202BA0"/>
    <w:rsid w:val="00204FF9"/>
    <w:rsid w:val="00205F29"/>
    <w:rsid w:val="00206FAD"/>
    <w:rsid w:val="00207276"/>
    <w:rsid w:val="0021104B"/>
    <w:rsid w:val="0021320F"/>
    <w:rsid w:val="00213EEE"/>
    <w:rsid w:val="0021704F"/>
    <w:rsid w:val="002224F8"/>
    <w:rsid w:val="00222A05"/>
    <w:rsid w:val="0022319A"/>
    <w:rsid w:val="002234D7"/>
    <w:rsid w:val="002236EC"/>
    <w:rsid w:val="00224207"/>
    <w:rsid w:val="00230B0E"/>
    <w:rsid w:val="002326A6"/>
    <w:rsid w:val="00232B53"/>
    <w:rsid w:val="00233D62"/>
    <w:rsid w:val="002352E6"/>
    <w:rsid w:val="00235429"/>
    <w:rsid w:val="00243191"/>
    <w:rsid w:val="00243B0D"/>
    <w:rsid w:val="002444BA"/>
    <w:rsid w:val="00245020"/>
    <w:rsid w:val="0025038F"/>
    <w:rsid w:val="00251392"/>
    <w:rsid w:val="00252391"/>
    <w:rsid w:val="00254A4A"/>
    <w:rsid w:val="002569F6"/>
    <w:rsid w:val="002719E4"/>
    <w:rsid w:val="00271D12"/>
    <w:rsid w:val="0027202F"/>
    <w:rsid w:val="00272862"/>
    <w:rsid w:val="00273370"/>
    <w:rsid w:val="00274551"/>
    <w:rsid w:val="002748BE"/>
    <w:rsid w:val="0028002A"/>
    <w:rsid w:val="00280CB4"/>
    <w:rsid w:val="00282FDD"/>
    <w:rsid w:val="0028518D"/>
    <w:rsid w:val="00286DA6"/>
    <w:rsid w:val="00286FA8"/>
    <w:rsid w:val="002879DB"/>
    <w:rsid w:val="002949BB"/>
    <w:rsid w:val="0029713D"/>
    <w:rsid w:val="002A09E2"/>
    <w:rsid w:val="002A39B3"/>
    <w:rsid w:val="002A3C0C"/>
    <w:rsid w:val="002A3D48"/>
    <w:rsid w:val="002A4267"/>
    <w:rsid w:val="002A5E08"/>
    <w:rsid w:val="002B04F0"/>
    <w:rsid w:val="002B311B"/>
    <w:rsid w:val="002C3142"/>
    <w:rsid w:val="002C4F7A"/>
    <w:rsid w:val="002C554F"/>
    <w:rsid w:val="002C619C"/>
    <w:rsid w:val="002D0076"/>
    <w:rsid w:val="002D0806"/>
    <w:rsid w:val="002D15D1"/>
    <w:rsid w:val="002D15D8"/>
    <w:rsid w:val="002D2A56"/>
    <w:rsid w:val="002D2AEB"/>
    <w:rsid w:val="002D3376"/>
    <w:rsid w:val="002D4702"/>
    <w:rsid w:val="002D4EE7"/>
    <w:rsid w:val="002D5CA0"/>
    <w:rsid w:val="002E008B"/>
    <w:rsid w:val="002E0CCE"/>
    <w:rsid w:val="002E3387"/>
    <w:rsid w:val="002E388A"/>
    <w:rsid w:val="002E3EF0"/>
    <w:rsid w:val="002E57FE"/>
    <w:rsid w:val="002F1977"/>
    <w:rsid w:val="002F397D"/>
    <w:rsid w:val="002F5567"/>
    <w:rsid w:val="002F7E07"/>
    <w:rsid w:val="0030073A"/>
    <w:rsid w:val="003042E7"/>
    <w:rsid w:val="003054F0"/>
    <w:rsid w:val="00307ADB"/>
    <w:rsid w:val="00310BB4"/>
    <w:rsid w:val="0031218B"/>
    <w:rsid w:val="00312335"/>
    <w:rsid w:val="00314189"/>
    <w:rsid w:val="00314CFE"/>
    <w:rsid w:val="0032014D"/>
    <w:rsid w:val="00320936"/>
    <w:rsid w:val="00322C71"/>
    <w:rsid w:val="00323B76"/>
    <w:rsid w:val="00324E95"/>
    <w:rsid w:val="00326CC4"/>
    <w:rsid w:val="00331AD8"/>
    <w:rsid w:val="00333E8C"/>
    <w:rsid w:val="00335B70"/>
    <w:rsid w:val="0033715E"/>
    <w:rsid w:val="003371DE"/>
    <w:rsid w:val="00337998"/>
    <w:rsid w:val="00342AFC"/>
    <w:rsid w:val="00344B2B"/>
    <w:rsid w:val="003450E5"/>
    <w:rsid w:val="00345755"/>
    <w:rsid w:val="0034753B"/>
    <w:rsid w:val="0035151C"/>
    <w:rsid w:val="00352778"/>
    <w:rsid w:val="00352BC4"/>
    <w:rsid w:val="00355F59"/>
    <w:rsid w:val="00361EAF"/>
    <w:rsid w:val="00363B72"/>
    <w:rsid w:val="00364CD3"/>
    <w:rsid w:val="0036736D"/>
    <w:rsid w:val="00367918"/>
    <w:rsid w:val="00373692"/>
    <w:rsid w:val="00373C07"/>
    <w:rsid w:val="00376655"/>
    <w:rsid w:val="0037749B"/>
    <w:rsid w:val="00377A34"/>
    <w:rsid w:val="00377C24"/>
    <w:rsid w:val="003803BF"/>
    <w:rsid w:val="00380CF5"/>
    <w:rsid w:val="00383CFB"/>
    <w:rsid w:val="003843B0"/>
    <w:rsid w:val="00384584"/>
    <w:rsid w:val="00385176"/>
    <w:rsid w:val="00385533"/>
    <w:rsid w:val="00386384"/>
    <w:rsid w:val="00392368"/>
    <w:rsid w:val="00392CE7"/>
    <w:rsid w:val="00392E4B"/>
    <w:rsid w:val="00393377"/>
    <w:rsid w:val="003956BE"/>
    <w:rsid w:val="00397F45"/>
    <w:rsid w:val="003A23DD"/>
    <w:rsid w:val="003A2486"/>
    <w:rsid w:val="003A2CEA"/>
    <w:rsid w:val="003A2E13"/>
    <w:rsid w:val="003A3AA2"/>
    <w:rsid w:val="003A511A"/>
    <w:rsid w:val="003A56A6"/>
    <w:rsid w:val="003A5FFA"/>
    <w:rsid w:val="003A732A"/>
    <w:rsid w:val="003A7977"/>
    <w:rsid w:val="003B3544"/>
    <w:rsid w:val="003B3B35"/>
    <w:rsid w:val="003C00D6"/>
    <w:rsid w:val="003C0BED"/>
    <w:rsid w:val="003C2906"/>
    <w:rsid w:val="003C4068"/>
    <w:rsid w:val="003C5528"/>
    <w:rsid w:val="003C5AAA"/>
    <w:rsid w:val="003C69DF"/>
    <w:rsid w:val="003C7486"/>
    <w:rsid w:val="003C76AD"/>
    <w:rsid w:val="003C78C1"/>
    <w:rsid w:val="003D3184"/>
    <w:rsid w:val="003D37BE"/>
    <w:rsid w:val="003D5252"/>
    <w:rsid w:val="003D73BE"/>
    <w:rsid w:val="003E00AE"/>
    <w:rsid w:val="003E1E91"/>
    <w:rsid w:val="003E210F"/>
    <w:rsid w:val="003E23BF"/>
    <w:rsid w:val="003E2BEC"/>
    <w:rsid w:val="003E2DD9"/>
    <w:rsid w:val="003E4B69"/>
    <w:rsid w:val="003E5BCC"/>
    <w:rsid w:val="003E6A6D"/>
    <w:rsid w:val="003F11BA"/>
    <w:rsid w:val="003F397C"/>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34C"/>
    <w:rsid w:val="00422608"/>
    <w:rsid w:val="00424975"/>
    <w:rsid w:val="00427F30"/>
    <w:rsid w:val="0043201C"/>
    <w:rsid w:val="00434293"/>
    <w:rsid w:val="00434E3D"/>
    <w:rsid w:val="0043571F"/>
    <w:rsid w:val="0044000B"/>
    <w:rsid w:val="00440A8C"/>
    <w:rsid w:val="004417D3"/>
    <w:rsid w:val="00442307"/>
    <w:rsid w:val="004427D6"/>
    <w:rsid w:val="00445B67"/>
    <w:rsid w:val="004501BB"/>
    <w:rsid w:val="00452154"/>
    <w:rsid w:val="00452184"/>
    <w:rsid w:val="004551E6"/>
    <w:rsid w:val="00455B50"/>
    <w:rsid w:val="0045755A"/>
    <w:rsid w:val="00461B12"/>
    <w:rsid w:val="00463798"/>
    <w:rsid w:val="0046517E"/>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91DFF"/>
    <w:rsid w:val="00492F00"/>
    <w:rsid w:val="00493292"/>
    <w:rsid w:val="00494EEE"/>
    <w:rsid w:val="00495888"/>
    <w:rsid w:val="004959AA"/>
    <w:rsid w:val="004959DD"/>
    <w:rsid w:val="004A04B4"/>
    <w:rsid w:val="004A04EC"/>
    <w:rsid w:val="004A1856"/>
    <w:rsid w:val="004A2DD0"/>
    <w:rsid w:val="004A359C"/>
    <w:rsid w:val="004A427C"/>
    <w:rsid w:val="004A7A6F"/>
    <w:rsid w:val="004A7C73"/>
    <w:rsid w:val="004B5B60"/>
    <w:rsid w:val="004C50E5"/>
    <w:rsid w:val="004C579A"/>
    <w:rsid w:val="004C6843"/>
    <w:rsid w:val="004C7528"/>
    <w:rsid w:val="004D5E3F"/>
    <w:rsid w:val="004D6475"/>
    <w:rsid w:val="004D72F4"/>
    <w:rsid w:val="004D7808"/>
    <w:rsid w:val="004E01E2"/>
    <w:rsid w:val="004E03D8"/>
    <w:rsid w:val="004E632D"/>
    <w:rsid w:val="004E652E"/>
    <w:rsid w:val="004E69A9"/>
    <w:rsid w:val="004F0FAF"/>
    <w:rsid w:val="004F2976"/>
    <w:rsid w:val="004F7B92"/>
    <w:rsid w:val="00501056"/>
    <w:rsid w:val="00502338"/>
    <w:rsid w:val="00504347"/>
    <w:rsid w:val="00507585"/>
    <w:rsid w:val="00507B12"/>
    <w:rsid w:val="00510AB6"/>
    <w:rsid w:val="00511B1D"/>
    <w:rsid w:val="00514667"/>
    <w:rsid w:val="00517939"/>
    <w:rsid w:val="00520321"/>
    <w:rsid w:val="00521E83"/>
    <w:rsid w:val="005224EA"/>
    <w:rsid w:val="00522C22"/>
    <w:rsid w:val="00525E0C"/>
    <w:rsid w:val="00526D8D"/>
    <w:rsid w:val="00527FBF"/>
    <w:rsid w:val="005309C2"/>
    <w:rsid w:val="00532744"/>
    <w:rsid w:val="0053529E"/>
    <w:rsid w:val="00540434"/>
    <w:rsid w:val="00541FDE"/>
    <w:rsid w:val="00543606"/>
    <w:rsid w:val="00550EE6"/>
    <w:rsid w:val="00552201"/>
    <w:rsid w:val="00555C12"/>
    <w:rsid w:val="00556F64"/>
    <w:rsid w:val="00557958"/>
    <w:rsid w:val="00561564"/>
    <w:rsid w:val="00562551"/>
    <w:rsid w:val="005629E5"/>
    <w:rsid w:val="00563F26"/>
    <w:rsid w:val="00570439"/>
    <w:rsid w:val="00570759"/>
    <w:rsid w:val="005771DE"/>
    <w:rsid w:val="00581852"/>
    <w:rsid w:val="00582BDF"/>
    <w:rsid w:val="00582EBA"/>
    <w:rsid w:val="00585230"/>
    <w:rsid w:val="005860DF"/>
    <w:rsid w:val="005863A6"/>
    <w:rsid w:val="00586C78"/>
    <w:rsid w:val="00587B0B"/>
    <w:rsid w:val="005918F4"/>
    <w:rsid w:val="00592703"/>
    <w:rsid w:val="00593FC5"/>
    <w:rsid w:val="005A05C7"/>
    <w:rsid w:val="005A0D3F"/>
    <w:rsid w:val="005A1CC0"/>
    <w:rsid w:val="005A2F5A"/>
    <w:rsid w:val="005A34B3"/>
    <w:rsid w:val="005A3C5D"/>
    <w:rsid w:val="005A78C3"/>
    <w:rsid w:val="005B033F"/>
    <w:rsid w:val="005B5B0C"/>
    <w:rsid w:val="005B7BA5"/>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64C3"/>
    <w:rsid w:val="005E6629"/>
    <w:rsid w:val="005E6674"/>
    <w:rsid w:val="005E6BA4"/>
    <w:rsid w:val="005F0A3D"/>
    <w:rsid w:val="005F1FA5"/>
    <w:rsid w:val="005F21D2"/>
    <w:rsid w:val="005F527B"/>
    <w:rsid w:val="005F586E"/>
    <w:rsid w:val="005F5FA0"/>
    <w:rsid w:val="005F649A"/>
    <w:rsid w:val="005F6A32"/>
    <w:rsid w:val="005F6BDE"/>
    <w:rsid w:val="00601D61"/>
    <w:rsid w:val="00601DBC"/>
    <w:rsid w:val="00606FFF"/>
    <w:rsid w:val="006109D4"/>
    <w:rsid w:val="00610CBC"/>
    <w:rsid w:val="00611440"/>
    <w:rsid w:val="00612B18"/>
    <w:rsid w:val="00613653"/>
    <w:rsid w:val="00613866"/>
    <w:rsid w:val="00614215"/>
    <w:rsid w:val="0061493B"/>
    <w:rsid w:val="0061619A"/>
    <w:rsid w:val="00616FB2"/>
    <w:rsid w:val="006226BE"/>
    <w:rsid w:val="0062391F"/>
    <w:rsid w:val="00625107"/>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506D0"/>
    <w:rsid w:val="00653025"/>
    <w:rsid w:val="00653BAA"/>
    <w:rsid w:val="00653BF2"/>
    <w:rsid w:val="00656326"/>
    <w:rsid w:val="0066433D"/>
    <w:rsid w:val="00664F98"/>
    <w:rsid w:val="00665CC6"/>
    <w:rsid w:val="00665D67"/>
    <w:rsid w:val="00665E41"/>
    <w:rsid w:val="00670376"/>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B3D76"/>
    <w:rsid w:val="006B4BF9"/>
    <w:rsid w:val="006C4ABA"/>
    <w:rsid w:val="006C5BB3"/>
    <w:rsid w:val="006C6113"/>
    <w:rsid w:val="006C621E"/>
    <w:rsid w:val="006D1C71"/>
    <w:rsid w:val="006D557F"/>
    <w:rsid w:val="006E1EF8"/>
    <w:rsid w:val="006E5625"/>
    <w:rsid w:val="006E6128"/>
    <w:rsid w:val="006F280F"/>
    <w:rsid w:val="006F7158"/>
    <w:rsid w:val="006F76C7"/>
    <w:rsid w:val="007003C8"/>
    <w:rsid w:val="0070041D"/>
    <w:rsid w:val="00701D52"/>
    <w:rsid w:val="00702B4D"/>
    <w:rsid w:val="00702F4F"/>
    <w:rsid w:val="0070620D"/>
    <w:rsid w:val="0070770B"/>
    <w:rsid w:val="00711990"/>
    <w:rsid w:val="00714BFE"/>
    <w:rsid w:val="007157A9"/>
    <w:rsid w:val="00717EB3"/>
    <w:rsid w:val="00721245"/>
    <w:rsid w:val="0072545B"/>
    <w:rsid w:val="00725945"/>
    <w:rsid w:val="00733005"/>
    <w:rsid w:val="00733298"/>
    <w:rsid w:val="007343DF"/>
    <w:rsid w:val="00736610"/>
    <w:rsid w:val="007369B8"/>
    <w:rsid w:val="00740C97"/>
    <w:rsid w:val="00741D73"/>
    <w:rsid w:val="007448FC"/>
    <w:rsid w:val="00746870"/>
    <w:rsid w:val="00750A77"/>
    <w:rsid w:val="0075187F"/>
    <w:rsid w:val="00752102"/>
    <w:rsid w:val="007524F8"/>
    <w:rsid w:val="007539AB"/>
    <w:rsid w:val="007549D0"/>
    <w:rsid w:val="00754B48"/>
    <w:rsid w:val="007555BF"/>
    <w:rsid w:val="0075664B"/>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C83"/>
    <w:rsid w:val="00794D4B"/>
    <w:rsid w:val="00797411"/>
    <w:rsid w:val="00797BA9"/>
    <w:rsid w:val="007A0F53"/>
    <w:rsid w:val="007A1373"/>
    <w:rsid w:val="007A2373"/>
    <w:rsid w:val="007A2EF5"/>
    <w:rsid w:val="007A61AD"/>
    <w:rsid w:val="007A7741"/>
    <w:rsid w:val="007A7B56"/>
    <w:rsid w:val="007B1783"/>
    <w:rsid w:val="007B253D"/>
    <w:rsid w:val="007B4324"/>
    <w:rsid w:val="007B45F8"/>
    <w:rsid w:val="007B46E7"/>
    <w:rsid w:val="007C2E09"/>
    <w:rsid w:val="007C3A24"/>
    <w:rsid w:val="007C3F28"/>
    <w:rsid w:val="007C6590"/>
    <w:rsid w:val="007C7BA2"/>
    <w:rsid w:val="007D170D"/>
    <w:rsid w:val="007D2953"/>
    <w:rsid w:val="007D48F0"/>
    <w:rsid w:val="007D68F5"/>
    <w:rsid w:val="007E2058"/>
    <w:rsid w:val="007E33AB"/>
    <w:rsid w:val="007E4138"/>
    <w:rsid w:val="007E4823"/>
    <w:rsid w:val="007E64A9"/>
    <w:rsid w:val="007E7448"/>
    <w:rsid w:val="007F1611"/>
    <w:rsid w:val="007F2F46"/>
    <w:rsid w:val="007F521C"/>
    <w:rsid w:val="007F70C5"/>
    <w:rsid w:val="00801C6A"/>
    <w:rsid w:val="008023F1"/>
    <w:rsid w:val="00802683"/>
    <w:rsid w:val="00803E0F"/>
    <w:rsid w:val="00804B1D"/>
    <w:rsid w:val="0080602D"/>
    <w:rsid w:val="00806E06"/>
    <w:rsid w:val="00811E41"/>
    <w:rsid w:val="00814027"/>
    <w:rsid w:val="0081416D"/>
    <w:rsid w:val="008155E2"/>
    <w:rsid w:val="0081616F"/>
    <w:rsid w:val="00822C4E"/>
    <w:rsid w:val="00822C70"/>
    <w:rsid w:val="008258E6"/>
    <w:rsid w:val="00831D16"/>
    <w:rsid w:val="00832045"/>
    <w:rsid w:val="008343E8"/>
    <w:rsid w:val="0083529A"/>
    <w:rsid w:val="0083697E"/>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7D3"/>
    <w:rsid w:val="00872D7B"/>
    <w:rsid w:val="0087307D"/>
    <w:rsid w:val="008753E7"/>
    <w:rsid w:val="008759F4"/>
    <w:rsid w:val="008822E0"/>
    <w:rsid w:val="00890080"/>
    <w:rsid w:val="008911A2"/>
    <w:rsid w:val="008921D2"/>
    <w:rsid w:val="00896B47"/>
    <w:rsid w:val="008A1060"/>
    <w:rsid w:val="008A361F"/>
    <w:rsid w:val="008A53BE"/>
    <w:rsid w:val="008A7A01"/>
    <w:rsid w:val="008A7B2A"/>
    <w:rsid w:val="008B0720"/>
    <w:rsid w:val="008B19D0"/>
    <w:rsid w:val="008B2838"/>
    <w:rsid w:val="008B2E2D"/>
    <w:rsid w:val="008B625C"/>
    <w:rsid w:val="008C0ED4"/>
    <w:rsid w:val="008C186F"/>
    <w:rsid w:val="008C2A04"/>
    <w:rsid w:val="008C2AB1"/>
    <w:rsid w:val="008C2E2F"/>
    <w:rsid w:val="008C40B2"/>
    <w:rsid w:val="008C5031"/>
    <w:rsid w:val="008C5216"/>
    <w:rsid w:val="008C5E92"/>
    <w:rsid w:val="008C60EC"/>
    <w:rsid w:val="008D043E"/>
    <w:rsid w:val="008D0CDB"/>
    <w:rsid w:val="008D4FC2"/>
    <w:rsid w:val="008D534F"/>
    <w:rsid w:val="008D56D6"/>
    <w:rsid w:val="008D5953"/>
    <w:rsid w:val="008D658E"/>
    <w:rsid w:val="008E1EE8"/>
    <w:rsid w:val="008E2C62"/>
    <w:rsid w:val="008E5604"/>
    <w:rsid w:val="008E580E"/>
    <w:rsid w:val="008E61F8"/>
    <w:rsid w:val="008E7F6A"/>
    <w:rsid w:val="008F190E"/>
    <w:rsid w:val="008F1C1D"/>
    <w:rsid w:val="008F2246"/>
    <w:rsid w:val="008F235F"/>
    <w:rsid w:val="008F45BC"/>
    <w:rsid w:val="008F598D"/>
    <w:rsid w:val="008F64E3"/>
    <w:rsid w:val="008F79AE"/>
    <w:rsid w:val="00902273"/>
    <w:rsid w:val="009029C1"/>
    <w:rsid w:val="00902DE3"/>
    <w:rsid w:val="00902F04"/>
    <w:rsid w:val="0090353A"/>
    <w:rsid w:val="00907DE8"/>
    <w:rsid w:val="00910929"/>
    <w:rsid w:val="00913288"/>
    <w:rsid w:val="00916BCA"/>
    <w:rsid w:val="0092246E"/>
    <w:rsid w:val="009273D9"/>
    <w:rsid w:val="00927D53"/>
    <w:rsid w:val="00932BA0"/>
    <w:rsid w:val="00935513"/>
    <w:rsid w:val="009420C5"/>
    <w:rsid w:val="00944CCD"/>
    <w:rsid w:val="0094532F"/>
    <w:rsid w:val="00945982"/>
    <w:rsid w:val="00947DB0"/>
    <w:rsid w:val="00953345"/>
    <w:rsid w:val="00953C4B"/>
    <w:rsid w:val="009540A8"/>
    <w:rsid w:val="00954388"/>
    <w:rsid w:val="00955703"/>
    <w:rsid w:val="00956538"/>
    <w:rsid w:val="009602A5"/>
    <w:rsid w:val="00960DAA"/>
    <w:rsid w:val="009626FF"/>
    <w:rsid w:val="00962FA9"/>
    <w:rsid w:val="00963EFF"/>
    <w:rsid w:val="00963F3B"/>
    <w:rsid w:val="0096514D"/>
    <w:rsid w:val="009705CD"/>
    <w:rsid w:val="00970CA7"/>
    <w:rsid w:val="00976D17"/>
    <w:rsid w:val="0098036A"/>
    <w:rsid w:val="00983581"/>
    <w:rsid w:val="009852A7"/>
    <w:rsid w:val="009860E8"/>
    <w:rsid w:val="00986773"/>
    <w:rsid w:val="009877D6"/>
    <w:rsid w:val="0099028F"/>
    <w:rsid w:val="00992EE0"/>
    <w:rsid w:val="00996D4D"/>
    <w:rsid w:val="00997E54"/>
    <w:rsid w:val="009A2B20"/>
    <w:rsid w:val="009A2BBB"/>
    <w:rsid w:val="009A2F55"/>
    <w:rsid w:val="009A54B9"/>
    <w:rsid w:val="009A5572"/>
    <w:rsid w:val="009A585B"/>
    <w:rsid w:val="009A6B17"/>
    <w:rsid w:val="009B1426"/>
    <w:rsid w:val="009B38FA"/>
    <w:rsid w:val="009B54ED"/>
    <w:rsid w:val="009C5324"/>
    <w:rsid w:val="009C65DA"/>
    <w:rsid w:val="009C7403"/>
    <w:rsid w:val="009D1B5E"/>
    <w:rsid w:val="009D2AAE"/>
    <w:rsid w:val="009D2CEF"/>
    <w:rsid w:val="009D3C21"/>
    <w:rsid w:val="009D65F4"/>
    <w:rsid w:val="009E07BE"/>
    <w:rsid w:val="009E0ED2"/>
    <w:rsid w:val="009E18C1"/>
    <w:rsid w:val="009E1C1C"/>
    <w:rsid w:val="009E28C5"/>
    <w:rsid w:val="009E3AC3"/>
    <w:rsid w:val="009E411E"/>
    <w:rsid w:val="009E7160"/>
    <w:rsid w:val="009F07B7"/>
    <w:rsid w:val="009F237E"/>
    <w:rsid w:val="009F2DA9"/>
    <w:rsid w:val="009F30E8"/>
    <w:rsid w:val="009F43E8"/>
    <w:rsid w:val="009F48DC"/>
    <w:rsid w:val="009F522C"/>
    <w:rsid w:val="00A00FC3"/>
    <w:rsid w:val="00A03DA9"/>
    <w:rsid w:val="00A04E10"/>
    <w:rsid w:val="00A06288"/>
    <w:rsid w:val="00A06968"/>
    <w:rsid w:val="00A124C9"/>
    <w:rsid w:val="00A145A9"/>
    <w:rsid w:val="00A14BAF"/>
    <w:rsid w:val="00A24390"/>
    <w:rsid w:val="00A27293"/>
    <w:rsid w:val="00A27A77"/>
    <w:rsid w:val="00A31520"/>
    <w:rsid w:val="00A31925"/>
    <w:rsid w:val="00A34542"/>
    <w:rsid w:val="00A34E4B"/>
    <w:rsid w:val="00A41761"/>
    <w:rsid w:val="00A42872"/>
    <w:rsid w:val="00A42AE1"/>
    <w:rsid w:val="00A43599"/>
    <w:rsid w:val="00A43B0D"/>
    <w:rsid w:val="00A463A9"/>
    <w:rsid w:val="00A47420"/>
    <w:rsid w:val="00A5146F"/>
    <w:rsid w:val="00A51851"/>
    <w:rsid w:val="00A52804"/>
    <w:rsid w:val="00A542C3"/>
    <w:rsid w:val="00A562C0"/>
    <w:rsid w:val="00A5636C"/>
    <w:rsid w:val="00A57A91"/>
    <w:rsid w:val="00A60439"/>
    <w:rsid w:val="00A60BCE"/>
    <w:rsid w:val="00A61D78"/>
    <w:rsid w:val="00A65804"/>
    <w:rsid w:val="00A66C94"/>
    <w:rsid w:val="00A72B52"/>
    <w:rsid w:val="00A76D50"/>
    <w:rsid w:val="00A823CA"/>
    <w:rsid w:val="00A82739"/>
    <w:rsid w:val="00A8375C"/>
    <w:rsid w:val="00A87617"/>
    <w:rsid w:val="00A920B9"/>
    <w:rsid w:val="00AA0A74"/>
    <w:rsid w:val="00AA1568"/>
    <w:rsid w:val="00AA1ADA"/>
    <w:rsid w:val="00AA20A3"/>
    <w:rsid w:val="00AA2873"/>
    <w:rsid w:val="00AA3313"/>
    <w:rsid w:val="00AA59B4"/>
    <w:rsid w:val="00AA76D5"/>
    <w:rsid w:val="00AB16AA"/>
    <w:rsid w:val="00AC0617"/>
    <w:rsid w:val="00AC0F44"/>
    <w:rsid w:val="00AC2E77"/>
    <w:rsid w:val="00AC49BA"/>
    <w:rsid w:val="00AC6577"/>
    <w:rsid w:val="00AC7D8E"/>
    <w:rsid w:val="00AD1237"/>
    <w:rsid w:val="00AD1F6D"/>
    <w:rsid w:val="00AD300F"/>
    <w:rsid w:val="00AD35AE"/>
    <w:rsid w:val="00AD66ED"/>
    <w:rsid w:val="00AD78FD"/>
    <w:rsid w:val="00AE0691"/>
    <w:rsid w:val="00AE107D"/>
    <w:rsid w:val="00AE3D42"/>
    <w:rsid w:val="00AE5111"/>
    <w:rsid w:val="00AF02D9"/>
    <w:rsid w:val="00AF174E"/>
    <w:rsid w:val="00AF1DA2"/>
    <w:rsid w:val="00AF263C"/>
    <w:rsid w:val="00AF3F83"/>
    <w:rsid w:val="00AF5539"/>
    <w:rsid w:val="00B01AAD"/>
    <w:rsid w:val="00B029F7"/>
    <w:rsid w:val="00B04C95"/>
    <w:rsid w:val="00B05553"/>
    <w:rsid w:val="00B074DB"/>
    <w:rsid w:val="00B07F21"/>
    <w:rsid w:val="00B11BDE"/>
    <w:rsid w:val="00B12389"/>
    <w:rsid w:val="00B12DB6"/>
    <w:rsid w:val="00B13A4F"/>
    <w:rsid w:val="00B13F56"/>
    <w:rsid w:val="00B207AA"/>
    <w:rsid w:val="00B20C1F"/>
    <w:rsid w:val="00B21262"/>
    <w:rsid w:val="00B26974"/>
    <w:rsid w:val="00B31CF3"/>
    <w:rsid w:val="00B345DA"/>
    <w:rsid w:val="00B375B9"/>
    <w:rsid w:val="00B415B9"/>
    <w:rsid w:val="00B44D18"/>
    <w:rsid w:val="00B50F7F"/>
    <w:rsid w:val="00B52586"/>
    <w:rsid w:val="00B55030"/>
    <w:rsid w:val="00B567E4"/>
    <w:rsid w:val="00B56F92"/>
    <w:rsid w:val="00B63BC2"/>
    <w:rsid w:val="00B64355"/>
    <w:rsid w:val="00B656AE"/>
    <w:rsid w:val="00B65C6F"/>
    <w:rsid w:val="00B66F0B"/>
    <w:rsid w:val="00B66F3B"/>
    <w:rsid w:val="00B717DE"/>
    <w:rsid w:val="00B75463"/>
    <w:rsid w:val="00B76AA3"/>
    <w:rsid w:val="00B77957"/>
    <w:rsid w:val="00B77C41"/>
    <w:rsid w:val="00B84060"/>
    <w:rsid w:val="00B84F02"/>
    <w:rsid w:val="00B85B84"/>
    <w:rsid w:val="00B86811"/>
    <w:rsid w:val="00B875AE"/>
    <w:rsid w:val="00B903C0"/>
    <w:rsid w:val="00B914F8"/>
    <w:rsid w:val="00B95E7C"/>
    <w:rsid w:val="00BA1B51"/>
    <w:rsid w:val="00BA224E"/>
    <w:rsid w:val="00BA34FC"/>
    <w:rsid w:val="00BA4469"/>
    <w:rsid w:val="00BA72CB"/>
    <w:rsid w:val="00BB0B57"/>
    <w:rsid w:val="00BB1601"/>
    <w:rsid w:val="00BB2BFD"/>
    <w:rsid w:val="00BB41D9"/>
    <w:rsid w:val="00BB7DB6"/>
    <w:rsid w:val="00BC1965"/>
    <w:rsid w:val="00BC19AB"/>
    <w:rsid w:val="00BC24B0"/>
    <w:rsid w:val="00BC32EA"/>
    <w:rsid w:val="00BD1757"/>
    <w:rsid w:val="00BD4A15"/>
    <w:rsid w:val="00BD4D2A"/>
    <w:rsid w:val="00BD50C7"/>
    <w:rsid w:val="00BD6469"/>
    <w:rsid w:val="00BE1FE9"/>
    <w:rsid w:val="00BE2853"/>
    <w:rsid w:val="00BE2DA9"/>
    <w:rsid w:val="00BE35B3"/>
    <w:rsid w:val="00BE6B3E"/>
    <w:rsid w:val="00BF0E40"/>
    <w:rsid w:val="00BF15DA"/>
    <w:rsid w:val="00BF17BF"/>
    <w:rsid w:val="00BF24CA"/>
    <w:rsid w:val="00BF302A"/>
    <w:rsid w:val="00BF39E2"/>
    <w:rsid w:val="00BF779D"/>
    <w:rsid w:val="00BF7CE6"/>
    <w:rsid w:val="00C002DA"/>
    <w:rsid w:val="00C03F19"/>
    <w:rsid w:val="00C0532A"/>
    <w:rsid w:val="00C064C2"/>
    <w:rsid w:val="00C06EC6"/>
    <w:rsid w:val="00C10E2E"/>
    <w:rsid w:val="00C1114D"/>
    <w:rsid w:val="00C20C18"/>
    <w:rsid w:val="00C26066"/>
    <w:rsid w:val="00C2753A"/>
    <w:rsid w:val="00C33B63"/>
    <w:rsid w:val="00C34D4C"/>
    <w:rsid w:val="00C35BA4"/>
    <w:rsid w:val="00C410EF"/>
    <w:rsid w:val="00C42E6E"/>
    <w:rsid w:val="00C43DA4"/>
    <w:rsid w:val="00C450CD"/>
    <w:rsid w:val="00C4518E"/>
    <w:rsid w:val="00C45A10"/>
    <w:rsid w:val="00C503B9"/>
    <w:rsid w:val="00C5048C"/>
    <w:rsid w:val="00C50F20"/>
    <w:rsid w:val="00C52480"/>
    <w:rsid w:val="00C5342F"/>
    <w:rsid w:val="00C54789"/>
    <w:rsid w:val="00C55B43"/>
    <w:rsid w:val="00C57672"/>
    <w:rsid w:val="00C57ABA"/>
    <w:rsid w:val="00C57BF7"/>
    <w:rsid w:val="00C6019A"/>
    <w:rsid w:val="00C604CF"/>
    <w:rsid w:val="00C61388"/>
    <w:rsid w:val="00C61472"/>
    <w:rsid w:val="00C62D6B"/>
    <w:rsid w:val="00C6697B"/>
    <w:rsid w:val="00C67113"/>
    <w:rsid w:val="00C70DD9"/>
    <w:rsid w:val="00C71D6B"/>
    <w:rsid w:val="00C757CF"/>
    <w:rsid w:val="00C775A8"/>
    <w:rsid w:val="00C80FE5"/>
    <w:rsid w:val="00C81555"/>
    <w:rsid w:val="00C8280C"/>
    <w:rsid w:val="00C82FE5"/>
    <w:rsid w:val="00C845ED"/>
    <w:rsid w:val="00C873D4"/>
    <w:rsid w:val="00C904B2"/>
    <w:rsid w:val="00C90BBC"/>
    <w:rsid w:val="00C91D36"/>
    <w:rsid w:val="00C94D01"/>
    <w:rsid w:val="00C96777"/>
    <w:rsid w:val="00CA0638"/>
    <w:rsid w:val="00CA2481"/>
    <w:rsid w:val="00CA5EDA"/>
    <w:rsid w:val="00CA7088"/>
    <w:rsid w:val="00CB1505"/>
    <w:rsid w:val="00CB4F36"/>
    <w:rsid w:val="00CC0709"/>
    <w:rsid w:val="00CC0FA3"/>
    <w:rsid w:val="00CC386C"/>
    <w:rsid w:val="00CC5514"/>
    <w:rsid w:val="00CC7FFC"/>
    <w:rsid w:val="00CD26BA"/>
    <w:rsid w:val="00CD69EE"/>
    <w:rsid w:val="00CE0BE9"/>
    <w:rsid w:val="00CE17E5"/>
    <w:rsid w:val="00CE2EC5"/>
    <w:rsid w:val="00CE402E"/>
    <w:rsid w:val="00CE54CA"/>
    <w:rsid w:val="00CE5A0A"/>
    <w:rsid w:val="00CF1573"/>
    <w:rsid w:val="00CF1F30"/>
    <w:rsid w:val="00CF246C"/>
    <w:rsid w:val="00CF54ED"/>
    <w:rsid w:val="00CF76BC"/>
    <w:rsid w:val="00CF7C25"/>
    <w:rsid w:val="00D017D9"/>
    <w:rsid w:val="00D028DC"/>
    <w:rsid w:val="00D04DFC"/>
    <w:rsid w:val="00D05364"/>
    <w:rsid w:val="00D05C33"/>
    <w:rsid w:val="00D067F6"/>
    <w:rsid w:val="00D07861"/>
    <w:rsid w:val="00D110E4"/>
    <w:rsid w:val="00D12A9E"/>
    <w:rsid w:val="00D131DB"/>
    <w:rsid w:val="00D141C6"/>
    <w:rsid w:val="00D14B0C"/>
    <w:rsid w:val="00D14EBB"/>
    <w:rsid w:val="00D16278"/>
    <w:rsid w:val="00D16C6F"/>
    <w:rsid w:val="00D17262"/>
    <w:rsid w:val="00D17E13"/>
    <w:rsid w:val="00D25DB7"/>
    <w:rsid w:val="00D32023"/>
    <w:rsid w:val="00D3584C"/>
    <w:rsid w:val="00D35C7A"/>
    <w:rsid w:val="00D37199"/>
    <w:rsid w:val="00D37416"/>
    <w:rsid w:val="00D37420"/>
    <w:rsid w:val="00D408B2"/>
    <w:rsid w:val="00D43580"/>
    <w:rsid w:val="00D4489E"/>
    <w:rsid w:val="00D45070"/>
    <w:rsid w:val="00D461B5"/>
    <w:rsid w:val="00D46CCC"/>
    <w:rsid w:val="00D47247"/>
    <w:rsid w:val="00D47417"/>
    <w:rsid w:val="00D47482"/>
    <w:rsid w:val="00D47854"/>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93D0D"/>
    <w:rsid w:val="00D94291"/>
    <w:rsid w:val="00DA0045"/>
    <w:rsid w:val="00DA248B"/>
    <w:rsid w:val="00DA292F"/>
    <w:rsid w:val="00DA4C5A"/>
    <w:rsid w:val="00DA4D2A"/>
    <w:rsid w:val="00DA778F"/>
    <w:rsid w:val="00DB19FB"/>
    <w:rsid w:val="00DB227C"/>
    <w:rsid w:val="00DB28C5"/>
    <w:rsid w:val="00DB2F2B"/>
    <w:rsid w:val="00DB31CF"/>
    <w:rsid w:val="00DB7978"/>
    <w:rsid w:val="00DC1461"/>
    <w:rsid w:val="00DC1C29"/>
    <w:rsid w:val="00DD01EA"/>
    <w:rsid w:val="00DD52A8"/>
    <w:rsid w:val="00DD5384"/>
    <w:rsid w:val="00DE0667"/>
    <w:rsid w:val="00DE1A64"/>
    <w:rsid w:val="00DE2928"/>
    <w:rsid w:val="00DE2BC9"/>
    <w:rsid w:val="00DE30F2"/>
    <w:rsid w:val="00DE4C62"/>
    <w:rsid w:val="00DE4D0F"/>
    <w:rsid w:val="00DE6579"/>
    <w:rsid w:val="00DE78A7"/>
    <w:rsid w:val="00DF5AEC"/>
    <w:rsid w:val="00DF67B8"/>
    <w:rsid w:val="00DF6D7F"/>
    <w:rsid w:val="00DF73D8"/>
    <w:rsid w:val="00E007C7"/>
    <w:rsid w:val="00E04370"/>
    <w:rsid w:val="00E070C0"/>
    <w:rsid w:val="00E07BF9"/>
    <w:rsid w:val="00E07C2B"/>
    <w:rsid w:val="00E07E36"/>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1CB2"/>
    <w:rsid w:val="00E43AB2"/>
    <w:rsid w:val="00E44879"/>
    <w:rsid w:val="00E45818"/>
    <w:rsid w:val="00E45C31"/>
    <w:rsid w:val="00E45EE6"/>
    <w:rsid w:val="00E46538"/>
    <w:rsid w:val="00E501AB"/>
    <w:rsid w:val="00E50D68"/>
    <w:rsid w:val="00E5460A"/>
    <w:rsid w:val="00E5483A"/>
    <w:rsid w:val="00E55029"/>
    <w:rsid w:val="00E561AB"/>
    <w:rsid w:val="00E576B6"/>
    <w:rsid w:val="00E63F97"/>
    <w:rsid w:val="00E6732E"/>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235F"/>
    <w:rsid w:val="00EA3EB7"/>
    <w:rsid w:val="00EB1195"/>
    <w:rsid w:val="00EB5376"/>
    <w:rsid w:val="00EB730E"/>
    <w:rsid w:val="00EC5565"/>
    <w:rsid w:val="00ED1506"/>
    <w:rsid w:val="00ED3649"/>
    <w:rsid w:val="00ED56E1"/>
    <w:rsid w:val="00EE2EE5"/>
    <w:rsid w:val="00EE40BE"/>
    <w:rsid w:val="00EE482A"/>
    <w:rsid w:val="00EF0BE7"/>
    <w:rsid w:val="00EF1837"/>
    <w:rsid w:val="00EF2493"/>
    <w:rsid w:val="00EF28B7"/>
    <w:rsid w:val="00EF40AA"/>
    <w:rsid w:val="00EF59FB"/>
    <w:rsid w:val="00EF5AD9"/>
    <w:rsid w:val="00EF633F"/>
    <w:rsid w:val="00F019A4"/>
    <w:rsid w:val="00F01FF1"/>
    <w:rsid w:val="00F030CE"/>
    <w:rsid w:val="00F04D2E"/>
    <w:rsid w:val="00F10374"/>
    <w:rsid w:val="00F11AE9"/>
    <w:rsid w:val="00F11C7B"/>
    <w:rsid w:val="00F11FB1"/>
    <w:rsid w:val="00F12FB5"/>
    <w:rsid w:val="00F14E09"/>
    <w:rsid w:val="00F20DD4"/>
    <w:rsid w:val="00F228F3"/>
    <w:rsid w:val="00F2329D"/>
    <w:rsid w:val="00F23E35"/>
    <w:rsid w:val="00F2763C"/>
    <w:rsid w:val="00F31406"/>
    <w:rsid w:val="00F35A90"/>
    <w:rsid w:val="00F4002E"/>
    <w:rsid w:val="00F43DF9"/>
    <w:rsid w:val="00F5288C"/>
    <w:rsid w:val="00F52965"/>
    <w:rsid w:val="00F5388D"/>
    <w:rsid w:val="00F54617"/>
    <w:rsid w:val="00F62208"/>
    <w:rsid w:val="00F64DC3"/>
    <w:rsid w:val="00F65150"/>
    <w:rsid w:val="00F65328"/>
    <w:rsid w:val="00F655C8"/>
    <w:rsid w:val="00F73A36"/>
    <w:rsid w:val="00F773F8"/>
    <w:rsid w:val="00F7765D"/>
    <w:rsid w:val="00F77BAA"/>
    <w:rsid w:val="00F84621"/>
    <w:rsid w:val="00F8582D"/>
    <w:rsid w:val="00F865F6"/>
    <w:rsid w:val="00F916E9"/>
    <w:rsid w:val="00F92137"/>
    <w:rsid w:val="00F95E64"/>
    <w:rsid w:val="00FA22E9"/>
    <w:rsid w:val="00FA2F30"/>
    <w:rsid w:val="00FA3251"/>
    <w:rsid w:val="00FA56C3"/>
    <w:rsid w:val="00FA60F5"/>
    <w:rsid w:val="00FA665F"/>
    <w:rsid w:val="00FA6741"/>
    <w:rsid w:val="00FA74E9"/>
    <w:rsid w:val="00FA7847"/>
    <w:rsid w:val="00FB29A8"/>
    <w:rsid w:val="00FB3DFA"/>
    <w:rsid w:val="00FC0608"/>
    <w:rsid w:val="00FC0E89"/>
    <w:rsid w:val="00FC2995"/>
    <w:rsid w:val="00FC2A6B"/>
    <w:rsid w:val="00FC66DA"/>
    <w:rsid w:val="00FC7A24"/>
    <w:rsid w:val="00FC7F3D"/>
    <w:rsid w:val="00FD2685"/>
    <w:rsid w:val="00FD4359"/>
    <w:rsid w:val="00FE07DC"/>
    <w:rsid w:val="00FE0D3A"/>
    <w:rsid w:val="00FE3712"/>
    <w:rsid w:val="00FE3E65"/>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778"/>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53529E"/>
    <w:pPr>
      <w:keepNext/>
      <w:pBdr>
        <w:bottom w:val="single" w:sz="4" w:space="1" w:color="auto"/>
      </w:pBdr>
      <w:spacing w:after="4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29E"/>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textboxTightWrap w:val="none"/>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textboxTightWrap w:val="none"/>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778"/>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53529E"/>
    <w:pPr>
      <w:keepNext/>
      <w:pBdr>
        <w:bottom w:val="single" w:sz="4" w:space="1" w:color="auto"/>
      </w:pBdr>
      <w:spacing w:after="4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29E"/>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textboxTightWrap w:val="none"/>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textboxTightWrap w:val="none"/>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1060A3-81E9-4D97-B3A1-B5927E2D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Matt Spencer</cp:lastModifiedBy>
  <cp:revision>2</cp:revision>
  <cp:lastPrinted>2015-02-03T15:08:00Z</cp:lastPrinted>
  <dcterms:created xsi:type="dcterms:W3CDTF">2015-02-20T14:39:00Z</dcterms:created>
  <dcterms:modified xsi:type="dcterms:W3CDTF">2015-02-20T14:39:00Z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