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E7" w:rsidRDefault="00C23EE7" w:rsidP="00DE5780">
      <w:pPr>
        <w:rPr>
          <w:b/>
          <w:sz w:val="32"/>
          <w:szCs w:val="32"/>
        </w:rPr>
      </w:pPr>
      <w:r>
        <w:rPr>
          <w:noProof/>
          <w:lang w:eastAsia="en-GB"/>
        </w:rPr>
        <w:drawing>
          <wp:inline distT="0" distB="0" distL="0" distR="0" wp14:anchorId="281E610C" wp14:editId="307DC754">
            <wp:extent cx="1787525" cy="1226185"/>
            <wp:effectExtent l="0" t="0" r="3175" b="0"/>
            <wp:docPr id="3" name="Picture 3" descr="DFID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D_BLK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525" cy="1226185"/>
                    </a:xfrm>
                    <a:prstGeom prst="rect">
                      <a:avLst/>
                    </a:prstGeom>
                    <a:noFill/>
                    <a:ln>
                      <a:noFill/>
                    </a:ln>
                  </pic:spPr>
                </pic:pic>
              </a:graphicData>
            </a:graphic>
          </wp:inline>
        </w:drawing>
      </w:r>
    </w:p>
    <w:p w:rsidR="00EB640C" w:rsidRDefault="00EB640C" w:rsidP="00DE5780">
      <w:pPr>
        <w:rPr>
          <w:b/>
          <w:sz w:val="32"/>
          <w:szCs w:val="32"/>
        </w:rPr>
      </w:pPr>
      <w:r>
        <w:rPr>
          <w:noProof/>
          <w:lang w:eastAsia="en-GB"/>
        </w:rPr>
        <w:drawing>
          <wp:inline distT="0" distB="0" distL="0" distR="0" wp14:anchorId="64549D4E" wp14:editId="1D23B798">
            <wp:extent cx="1574190" cy="1662546"/>
            <wp:effectExtent l="0" t="0" r="6985" b="0"/>
            <wp:docPr id="4" name="Picture 4" descr="UK-AID-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AID-Standard-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063" cy="1662412"/>
                    </a:xfrm>
                    <a:prstGeom prst="rect">
                      <a:avLst/>
                    </a:prstGeom>
                    <a:noFill/>
                    <a:ln>
                      <a:noFill/>
                    </a:ln>
                  </pic:spPr>
                </pic:pic>
              </a:graphicData>
            </a:graphic>
          </wp:inline>
        </w:drawing>
      </w:r>
    </w:p>
    <w:p w:rsidR="00C23EE7" w:rsidRDefault="00C23EE7" w:rsidP="00DE5780">
      <w:pPr>
        <w:rPr>
          <w:b/>
          <w:sz w:val="32"/>
          <w:szCs w:val="32"/>
        </w:rPr>
      </w:pPr>
    </w:p>
    <w:p w:rsidR="00EB640C" w:rsidRDefault="00EB640C" w:rsidP="00DE5780">
      <w:pPr>
        <w:rPr>
          <w:b/>
          <w:sz w:val="32"/>
          <w:szCs w:val="32"/>
        </w:rPr>
      </w:pPr>
    </w:p>
    <w:p w:rsidR="00EB640C" w:rsidRDefault="00EB640C" w:rsidP="00DE5780">
      <w:pPr>
        <w:rPr>
          <w:b/>
          <w:sz w:val="32"/>
          <w:szCs w:val="32"/>
        </w:rPr>
      </w:pPr>
    </w:p>
    <w:p w:rsidR="00EB640C" w:rsidRDefault="00EB640C" w:rsidP="00DE5780">
      <w:pPr>
        <w:rPr>
          <w:b/>
          <w:sz w:val="32"/>
          <w:szCs w:val="32"/>
        </w:rPr>
      </w:pPr>
    </w:p>
    <w:p w:rsidR="00C23EE7" w:rsidRDefault="00C23EE7" w:rsidP="00DE5780">
      <w:pPr>
        <w:rPr>
          <w:b/>
          <w:sz w:val="32"/>
          <w:szCs w:val="32"/>
        </w:rPr>
      </w:pPr>
    </w:p>
    <w:p w:rsidR="00A10ACE" w:rsidRPr="00EB640C" w:rsidRDefault="008958B9" w:rsidP="00EB640C">
      <w:pPr>
        <w:ind w:left="1440" w:firstLine="720"/>
        <w:rPr>
          <w:b/>
          <w:sz w:val="36"/>
          <w:szCs w:val="36"/>
        </w:rPr>
      </w:pPr>
      <w:r w:rsidRPr="00EB640C">
        <w:rPr>
          <w:b/>
          <w:sz w:val="36"/>
          <w:szCs w:val="36"/>
        </w:rPr>
        <w:t>Statistical Consultation</w:t>
      </w:r>
    </w:p>
    <w:p w:rsidR="00EB640C" w:rsidRDefault="00EB640C" w:rsidP="00EB640C">
      <w:pPr>
        <w:ind w:left="1440" w:firstLine="720"/>
        <w:rPr>
          <w:b/>
          <w:sz w:val="32"/>
          <w:szCs w:val="32"/>
        </w:rPr>
      </w:pPr>
    </w:p>
    <w:p w:rsidR="00EB640C" w:rsidRDefault="00EB640C" w:rsidP="00EB640C">
      <w:pPr>
        <w:ind w:left="1440" w:firstLine="720"/>
        <w:rPr>
          <w:b/>
          <w:sz w:val="32"/>
          <w:szCs w:val="32"/>
        </w:rPr>
      </w:pPr>
    </w:p>
    <w:p w:rsidR="009D56DD" w:rsidRDefault="009D56DD" w:rsidP="00DE5780">
      <w:pPr>
        <w:rPr>
          <w:b/>
        </w:rPr>
      </w:pPr>
    </w:p>
    <w:p w:rsidR="008958B9" w:rsidRPr="00EB640C" w:rsidRDefault="009D56DD" w:rsidP="00EB640C">
      <w:pPr>
        <w:jc w:val="center"/>
        <w:rPr>
          <w:b/>
          <w:sz w:val="28"/>
          <w:szCs w:val="28"/>
        </w:rPr>
      </w:pPr>
      <w:r w:rsidRPr="00EB640C">
        <w:rPr>
          <w:b/>
          <w:sz w:val="28"/>
          <w:szCs w:val="28"/>
        </w:rPr>
        <w:t>The reporting of Official Development Assistance from Development Finance Institutions</w:t>
      </w:r>
    </w:p>
    <w:p w:rsidR="008958B9" w:rsidRDefault="008958B9" w:rsidP="00EB640C">
      <w:pPr>
        <w:jc w:val="center"/>
        <w:rPr>
          <w:b/>
          <w:sz w:val="28"/>
          <w:szCs w:val="28"/>
        </w:rPr>
      </w:pPr>
    </w:p>
    <w:p w:rsidR="00EB640C" w:rsidRDefault="00EB640C" w:rsidP="00EB640C">
      <w:pPr>
        <w:jc w:val="center"/>
        <w:rPr>
          <w:b/>
          <w:sz w:val="28"/>
          <w:szCs w:val="28"/>
        </w:rPr>
      </w:pPr>
    </w:p>
    <w:p w:rsidR="00EB640C" w:rsidRDefault="00EB640C" w:rsidP="00EB640C">
      <w:pPr>
        <w:jc w:val="center"/>
        <w:rPr>
          <w:b/>
          <w:sz w:val="28"/>
          <w:szCs w:val="28"/>
        </w:rPr>
      </w:pPr>
    </w:p>
    <w:p w:rsidR="00EB640C" w:rsidRDefault="00EB640C" w:rsidP="00EB640C">
      <w:pPr>
        <w:jc w:val="center"/>
        <w:rPr>
          <w:b/>
          <w:sz w:val="28"/>
          <w:szCs w:val="28"/>
        </w:rPr>
      </w:pPr>
    </w:p>
    <w:p w:rsidR="00EB640C" w:rsidRDefault="00EB640C" w:rsidP="00EB640C">
      <w:pPr>
        <w:jc w:val="center"/>
        <w:rPr>
          <w:b/>
          <w:sz w:val="28"/>
          <w:szCs w:val="28"/>
        </w:rPr>
      </w:pPr>
    </w:p>
    <w:p w:rsidR="00EB640C" w:rsidRDefault="00EB640C" w:rsidP="00EB640C">
      <w:pPr>
        <w:jc w:val="center"/>
        <w:rPr>
          <w:b/>
          <w:sz w:val="28"/>
          <w:szCs w:val="28"/>
        </w:rPr>
      </w:pPr>
    </w:p>
    <w:p w:rsidR="00EB640C" w:rsidRDefault="00EB640C" w:rsidP="00EB640C">
      <w:pPr>
        <w:jc w:val="center"/>
        <w:rPr>
          <w:b/>
          <w:sz w:val="28"/>
          <w:szCs w:val="28"/>
        </w:rPr>
      </w:pPr>
    </w:p>
    <w:p w:rsidR="00EB640C" w:rsidRDefault="00EB640C" w:rsidP="00EB640C">
      <w:pPr>
        <w:jc w:val="center"/>
        <w:rPr>
          <w:b/>
          <w:sz w:val="28"/>
          <w:szCs w:val="28"/>
        </w:rPr>
      </w:pPr>
    </w:p>
    <w:p w:rsidR="00EB640C" w:rsidRDefault="00EB640C" w:rsidP="00EB640C">
      <w:pPr>
        <w:jc w:val="center"/>
        <w:rPr>
          <w:b/>
          <w:sz w:val="28"/>
          <w:szCs w:val="28"/>
        </w:rPr>
      </w:pPr>
    </w:p>
    <w:p w:rsidR="00D703E2" w:rsidRDefault="00D703E2" w:rsidP="00EB640C">
      <w:pPr>
        <w:jc w:val="right"/>
        <w:rPr>
          <w:b/>
          <w:sz w:val="28"/>
          <w:szCs w:val="28"/>
        </w:rPr>
      </w:pPr>
    </w:p>
    <w:p w:rsidR="00D703E2" w:rsidRDefault="00D703E2" w:rsidP="00EB640C">
      <w:pPr>
        <w:jc w:val="right"/>
        <w:rPr>
          <w:b/>
          <w:sz w:val="28"/>
          <w:szCs w:val="28"/>
        </w:rPr>
      </w:pPr>
    </w:p>
    <w:p w:rsidR="00EB640C" w:rsidRPr="00EB640C" w:rsidRDefault="00EB640C" w:rsidP="00EB640C">
      <w:pPr>
        <w:jc w:val="right"/>
        <w:rPr>
          <w:b/>
          <w:sz w:val="28"/>
          <w:szCs w:val="28"/>
        </w:rPr>
      </w:pPr>
      <w:r>
        <w:rPr>
          <w:b/>
          <w:noProof/>
          <w:sz w:val="28"/>
          <w:szCs w:val="28"/>
          <w:lang w:eastAsia="en-GB"/>
        </w:rPr>
        <w:drawing>
          <wp:inline distT="0" distB="0" distL="0" distR="0" wp14:anchorId="7E46F82A" wp14:editId="03AB5B12">
            <wp:extent cx="1481371" cy="962891"/>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jpg"/>
                    <pic:cNvPicPr/>
                  </pic:nvPicPr>
                  <pic:blipFill>
                    <a:blip r:embed="rId11">
                      <a:extLst>
                        <a:ext uri="{28A0092B-C50C-407E-A947-70E740481C1C}">
                          <a14:useLocalDpi xmlns:a14="http://schemas.microsoft.com/office/drawing/2010/main" val="0"/>
                        </a:ext>
                      </a:extLst>
                    </a:blip>
                    <a:stretch>
                      <a:fillRect/>
                    </a:stretch>
                  </pic:blipFill>
                  <pic:spPr>
                    <a:xfrm>
                      <a:off x="0" y="0"/>
                      <a:ext cx="1481371" cy="962891"/>
                    </a:xfrm>
                    <a:prstGeom prst="rect">
                      <a:avLst/>
                    </a:prstGeom>
                  </pic:spPr>
                </pic:pic>
              </a:graphicData>
            </a:graphic>
          </wp:inline>
        </w:drawing>
      </w:r>
    </w:p>
    <w:p w:rsidR="007A1B78" w:rsidRDefault="007A1B78" w:rsidP="00EB640C">
      <w:pPr>
        <w:autoSpaceDE w:val="0"/>
        <w:autoSpaceDN w:val="0"/>
        <w:adjustRightInd w:val="0"/>
        <w:rPr>
          <w:rFonts w:cs="Arial"/>
          <w:b/>
          <w:bCs/>
          <w:color w:val="000000"/>
          <w:sz w:val="28"/>
          <w:szCs w:val="28"/>
          <w:lang w:eastAsia="en-GB"/>
        </w:rPr>
      </w:pPr>
    </w:p>
    <w:p w:rsidR="00EB640C" w:rsidRPr="00EB640C" w:rsidRDefault="00EB640C" w:rsidP="00EB640C">
      <w:pPr>
        <w:autoSpaceDE w:val="0"/>
        <w:autoSpaceDN w:val="0"/>
        <w:adjustRightInd w:val="0"/>
        <w:rPr>
          <w:rFonts w:cs="Arial"/>
          <w:color w:val="000000"/>
          <w:sz w:val="28"/>
          <w:szCs w:val="28"/>
          <w:lang w:eastAsia="en-GB"/>
        </w:rPr>
      </w:pPr>
      <w:r>
        <w:rPr>
          <w:rFonts w:cs="Arial"/>
          <w:b/>
          <w:bCs/>
          <w:color w:val="000000"/>
          <w:sz w:val="28"/>
          <w:szCs w:val="28"/>
          <w:lang w:eastAsia="en-GB"/>
        </w:rPr>
        <w:lastRenderedPageBreak/>
        <w:t>Co</w:t>
      </w:r>
      <w:r w:rsidRPr="00EB640C">
        <w:rPr>
          <w:rFonts w:cs="Arial"/>
          <w:b/>
          <w:bCs/>
          <w:color w:val="000000"/>
          <w:sz w:val="28"/>
          <w:szCs w:val="28"/>
          <w:lang w:eastAsia="en-GB"/>
        </w:rPr>
        <w:t xml:space="preserve">nsultation Details and Contacts </w:t>
      </w:r>
    </w:p>
    <w:p w:rsidR="00EB640C" w:rsidRDefault="00EB640C" w:rsidP="00EB640C">
      <w:pPr>
        <w:autoSpaceDE w:val="0"/>
        <w:autoSpaceDN w:val="0"/>
        <w:adjustRightInd w:val="0"/>
        <w:rPr>
          <w:rFonts w:cs="Arial"/>
          <w:b/>
          <w:bCs/>
          <w:color w:val="000000"/>
          <w:sz w:val="22"/>
          <w:szCs w:val="22"/>
          <w:lang w:eastAsia="en-GB"/>
        </w:rPr>
      </w:pPr>
    </w:p>
    <w:p w:rsidR="00EB640C" w:rsidRPr="00EB640C" w:rsidRDefault="00EB640C" w:rsidP="00EB640C">
      <w:pPr>
        <w:autoSpaceDE w:val="0"/>
        <w:autoSpaceDN w:val="0"/>
        <w:adjustRightInd w:val="0"/>
        <w:rPr>
          <w:rFonts w:cs="Arial"/>
          <w:color w:val="000000"/>
          <w:lang w:eastAsia="en-GB"/>
        </w:rPr>
      </w:pPr>
      <w:r w:rsidRPr="00EB640C">
        <w:rPr>
          <w:rFonts w:cs="Arial"/>
          <w:b/>
          <w:bCs/>
          <w:color w:val="000000"/>
          <w:lang w:eastAsia="en-GB"/>
        </w:rPr>
        <w:t xml:space="preserve">To: </w:t>
      </w:r>
      <w:r w:rsidRPr="00EB640C">
        <w:rPr>
          <w:rFonts w:cs="Arial"/>
          <w:color w:val="000000"/>
          <w:lang w:eastAsia="en-GB"/>
        </w:rPr>
        <w:t xml:space="preserve">Users of official </w:t>
      </w:r>
      <w:r w:rsidRPr="00B4164F">
        <w:rPr>
          <w:rFonts w:cs="Arial"/>
          <w:color w:val="000000"/>
          <w:lang w:eastAsia="en-GB"/>
        </w:rPr>
        <w:t>development assistance</w:t>
      </w:r>
      <w:r w:rsidRPr="00EB640C">
        <w:rPr>
          <w:rFonts w:cs="Arial"/>
          <w:color w:val="000000"/>
          <w:lang w:eastAsia="en-GB"/>
        </w:rPr>
        <w:t xml:space="preserve"> statistics </w:t>
      </w:r>
      <w:r w:rsidRPr="00B4164F">
        <w:rPr>
          <w:rFonts w:cs="Arial"/>
          <w:color w:val="000000"/>
          <w:lang w:eastAsia="en-GB"/>
        </w:rPr>
        <w:t xml:space="preserve">and statistics on international development </w:t>
      </w:r>
      <w:r w:rsidRPr="00EB640C">
        <w:rPr>
          <w:rFonts w:cs="Arial"/>
          <w:color w:val="000000"/>
          <w:lang w:eastAsia="en-GB"/>
        </w:rPr>
        <w:t xml:space="preserve">published by </w:t>
      </w:r>
      <w:r w:rsidRPr="00B4164F">
        <w:rPr>
          <w:rFonts w:cs="Arial"/>
          <w:color w:val="000000"/>
          <w:lang w:eastAsia="en-GB"/>
        </w:rPr>
        <w:t xml:space="preserve">DFID. </w:t>
      </w:r>
      <w:r w:rsidRPr="00EB640C">
        <w:rPr>
          <w:rFonts w:cs="Arial"/>
          <w:color w:val="000000"/>
          <w:lang w:eastAsia="en-GB"/>
        </w:rPr>
        <w:t xml:space="preserve"> </w:t>
      </w:r>
    </w:p>
    <w:p w:rsidR="00EB640C" w:rsidRPr="00B4164F" w:rsidRDefault="00EB640C" w:rsidP="00EB640C">
      <w:pPr>
        <w:autoSpaceDE w:val="0"/>
        <w:autoSpaceDN w:val="0"/>
        <w:adjustRightInd w:val="0"/>
        <w:rPr>
          <w:rFonts w:cs="Arial"/>
          <w:b/>
          <w:bCs/>
          <w:color w:val="000000"/>
          <w:lang w:eastAsia="en-GB"/>
        </w:rPr>
      </w:pPr>
    </w:p>
    <w:p w:rsidR="00EB640C" w:rsidRPr="00EB640C" w:rsidRDefault="00EB640C" w:rsidP="00EB640C">
      <w:pPr>
        <w:autoSpaceDE w:val="0"/>
        <w:autoSpaceDN w:val="0"/>
        <w:adjustRightInd w:val="0"/>
        <w:rPr>
          <w:rFonts w:cs="Arial"/>
          <w:color w:val="000000"/>
          <w:lang w:eastAsia="en-GB"/>
        </w:rPr>
      </w:pPr>
      <w:r w:rsidRPr="00EB640C">
        <w:rPr>
          <w:rFonts w:cs="Arial"/>
          <w:b/>
          <w:bCs/>
          <w:color w:val="000000"/>
          <w:lang w:eastAsia="en-GB"/>
        </w:rPr>
        <w:t xml:space="preserve">Duration: </w:t>
      </w:r>
      <w:r w:rsidRPr="00B4164F">
        <w:rPr>
          <w:rFonts w:cs="Arial"/>
          <w:color w:val="000000"/>
          <w:lang w:eastAsia="en-GB"/>
        </w:rPr>
        <w:t>1</w:t>
      </w:r>
      <w:r w:rsidR="00434481">
        <w:rPr>
          <w:rFonts w:cs="Arial"/>
          <w:color w:val="000000"/>
          <w:lang w:eastAsia="en-GB"/>
        </w:rPr>
        <w:t>9</w:t>
      </w:r>
      <w:r w:rsidRPr="00B4164F">
        <w:rPr>
          <w:rFonts w:cs="Arial"/>
          <w:color w:val="000000"/>
          <w:lang w:eastAsia="en-GB"/>
        </w:rPr>
        <w:t xml:space="preserve"> December 2014 to 5</w:t>
      </w:r>
      <w:r w:rsidRPr="00EB640C">
        <w:rPr>
          <w:rFonts w:cs="Arial"/>
          <w:color w:val="000000"/>
          <w:lang w:eastAsia="en-GB"/>
        </w:rPr>
        <w:t xml:space="preserve"> </w:t>
      </w:r>
      <w:r w:rsidRPr="00B4164F">
        <w:rPr>
          <w:rFonts w:cs="Arial"/>
          <w:color w:val="000000"/>
          <w:lang w:eastAsia="en-GB"/>
        </w:rPr>
        <w:t>February</w:t>
      </w:r>
      <w:r w:rsidRPr="00EB640C">
        <w:rPr>
          <w:rFonts w:cs="Arial"/>
          <w:color w:val="000000"/>
          <w:lang w:eastAsia="en-GB"/>
        </w:rPr>
        <w:t xml:space="preserve"> 201</w:t>
      </w:r>
      <w:r w:rsidRPr="00B4164F">
        <w:rPr>
          <w:rFonts w:cs="Arial"/>
          <w:color w:val="000000"/>
          <w:lang w:eastAsia="en-GB"/>
        </w:rPr>
        <w:t>5</w:t>
      </w:r>
      <w:r w:rsidRPr="00EB640C">
        <w:rPr>
          <w:rFonts w:cs="Arial"/>
          <w:color w:val="000000"/>
          <w:lang w:eastAsia="en-GB"/>
        </w:rPr>
        <w:t xml:space="preserve"> (</w:t>
      </w:r>
      <w:r w:rsidRPr="00B4164F">
        <w:rPr>
          <w:rFonts w:cs="Arial"/>
          <w:color w:val="000000"/>
          <w:lang w:eastAsia="en-GB"/>
        </w:rPr>
        <w:t>7</w:t>
      </w:r>
      <w:r w:rsidRPr="00EB640C">
        <w:rPr>
          <w:rFonts w:cs="Arial"/>
          <w:color w:val="000000"/>
          <w:lang w:eastAsia="en-GB"/>
        </w:rPr>
        <w:t xml:space="preserve"> weeks) </w:t>
      </w:r>
    </w:p>
    <w:p w:rsidR="00EB640C" w:rsidRPr="00B4164F" w:rsidRDefault="00EB640C" w:rsidP="00EB640C">
      <w:pPr>
        <w:autoSpaceDE w:val="0"/>
        <w:autoSpaceDN w:val="0"/>
        <w:adjustRightInd w:val="0"/>
        <w:rPr>
          <w:rFonts w:cs="Arial"/>
          <w:b/>
          <w:bCs/>
          <w:color w:val="000000"/>
          <w:lang w:eastAsia="en-GB"/>
        </w:rPr>
      </w:pPr>
    </w:p>
    <w:p w:rsidR="00EB640C" w:rsidRPr="00EB640C" w:rsidRDefault="00EB640C" w:rsidP="00EB640C">
      <w:pPr>
        <w:autoSpaceDE w:val="0"/>
        <w:autoSpaceDN w:val="0"/>
        <w:adjustRightInd w:val="0"/>
        <w:rPr>
          <w:rFonts w:cs="Arial"/>
          <w:color w:val="000000"/>
          <w:lang w:eastAsia="en-GB"/>
        </w:rPr>
      </w:pPr>
      <w:r w:rsidRPr="00EB640C">
        <w:rPr>
          <w:rFonts w:cs="Arial"/>
          <w:b/>
          <w:bCs/>
          <w:color w:val="000000"/>
          <w:lang w:eastAsia="en-GB"/>
        </w:rPr>
        <w:t xml:space="preserve">Enquiries: </w:t>
      </w:r>
      <w:r w:rsidRPr="00B4164F">
        <w:rPr>
          <w:rFonts w:cs="Arial"/>
          <w:color w:val="000000"/>
          <w:lang w:eastAsia="en-GB"/>
        </w:rPr>
        <w:t>Finance, Performance and Impact team</w:t>
      </w:r>
      <w:r w:rsidRPr="00EB640C">
        <w:rPr>
          <w:rFonts w:cs="Arial"/>
          <w:color w:val="000000"/>
          <w:lang w:eastAsia="en-GB"/>
        </w:rPr>
        <w:t xml:space="preserve">: </w:t>
      </w:r>
      <w:hyperlink r:id="rId12" w:history="1">
        <w:r w:rsidRPr="00B4164F">
          <w:rPr>
            <w:rStyle w:val="Hyperlink"/>
            <w:rFonts w:cs="Arial"/>
            <w:lang w:eastAsia="en-GB"/>
          </w:rPr>
          <w:t>statistics@dfid.gov.uk</w:t>
        </w:r>
      </w:hyperlink>
      <w:r w:rsidRPr="00B4164F">
        <w:rPr>
          <w:rFonts w:cs="Arial"/>
          <w:color w:val="000000"/>
          <w:u w:val="single"/>
          <w:lang w:eastAsia="en-GB"/>
        </w:rPr>
        <w:t xml:space="preserve"> </w:t>
      </w:r>
      <w:r w:rsidRPr="00EB640C">
        <w:rPr>
          <w:rFonts w:cs="Arial"/>
          <w:color w:val="000000"/>
          <w:lang w:eastAsia="en-GB"/>
        </w:rPr>
        <w:t xml:space="preserve">or </w:t>
      </w:r>
      <w:r w:rsidRPr="00B4164F">
        <w:rPr>
          <w:rFonts w:cs="Arial"/>
          <w:color w:val="000000"/>
          <w:lang w:eastAsia="en-GB"/>
        </w:rPr>
        <w:t>+44 (0) 1355 84 3409</w:t>
      </w:r>
    </w:p>
    <w:p w:rsidR="00EB640C" w:rsidRPr="00B4164F" w:rsidRDefault="00EB640C" w:rsidP="00EB640C">
      <w:pPr>
        <w:rPr>
          <w:rFonts w:cs="Arial"/>
          <w:b/>
          <w:bCs/>
          <w:color w:val="000000"/>
          <w:lang w:eastAsia="en-GB"/>
        </w:rPr>
      </w:pPr>
    </w:p>
    <w:p w:rsidR="00EB640C" w:rsidRPr="00B4164F" w:rsidRDefault="00EB640C" w:rsidP="00EB640C">
      <w:r w:rsidRPr="00B4164F">
        <w:rPr>
          <w:rFonts w:cs="Arial"/>
          <w:b/>
          <w:bCs/>
          <w:color w:val="000000"/>
          <w:lang w:eastAsia="en-GB"/>
        </w:rPr>
        <w:t xml:space="preserve">How to respond: </w:t>
      </w:r>
      <w:r w:rsidRPr="00B4164F">
        <w:rPr>
          <w:rFonts w:cs="Arial"/>
          <w:color w:val="000000"/>
          <w:lang w:eastAsia="en-GB"/>
        </w:rPr>
        <w:t xml:space="preserve">Please email responses to </w:t>
      </w:r>
      <w:hyperlink r:id="rId13" w:history="1">
        <w:r w:rsidRPr="00B4164F">
          <w:rPr>
            <w:rStyle w:val="Hyperlink"/>
            <w:rFonts w:cs="Arial"/>
            <w:lang w:eastAsia="en-GB"/>
          </w:rPr>
          <w:t>statistics@dfid.gov.uk</w:t>
        </w:r>
      </w:hyperlink>
      <w:r w:rsidRPr="00B4164F">
        <w:rPr>
          <w:rFonts w:cs="Arial"/>
          <w:color w:val="000000"/>
          <w:u w:val="single"/>
          <w:lang w:eastAsia="en-GB"/>
        </w:rPr>
        <w:t xml:space="preserve"> </w:t>
      </w:r>
      <w:r w:rsidRPr="00B4164F">
        <w:rPr>
          <w:rFonts w:cs="Arial"/>
          <w:color w:val="000000"/>
          <w:lang w:eastAsia="en-GB"/>
        </w:rPr>
        <w:t xml:space="preserve">or send paper responses to: </w:t>
      </w:r>
      <w:bookmarkStart w:id="0" w:name="_GoBack"/>
      <w:r w:rsidRPr="00B4164F">
        <w:rPr>
          <w:rFonts w:cs="Arial"/>
          <w:color w:val="000000"/>
          <w:lang w:eastAsia="en-GB"/>
        </w:rPr>
        <w:t>Finance, Performance and Impact team, 2</w:t>
      </w:r>
      <w:r w:rsidRPr="00B4164F">
        <w:rPr>
          <w:rFonts w:cs="Arial"/>
          <w:color w:val="000000"/>
          <w:vertAlign w:val="superscript"/>
          <w:lang w:eastAsia="en-GB"/>
        </w:rPr>
        <w:t>nd</w:t>
      </w:r>
      <w:r w:rsidRPr="00B4164F">
        <w:rPr>
          <w:rFonts w:cs="Arial"/>
          <w:color w:val="000000"/>
          <w:lang w:eastAsia="en-GB"/>
        </w:rPr>
        <w:t xml:space="preserve"> floor South, Department for International Development, Abercrombie House, Eaglesham Road, East Kilbride, G75 8EA</w:t>
      </w:r>
      <w:bookmarkEnd w:id="0"/>
    </w:p>
    <w:p w:rsidR="00EB640C" w:rsidRDefault="00EB640C" w:rsidP="00DE5780"/>
    <w:p w:rsidR="00FF19D1" w:rsidRDefault="00FF19D1" w:rsidP="00DE5780"/>
    <w:p w:rsidR="00606900" w:rsidRDefault="00606900" w:rsidP="00DE5780"/>
    <w:p w:rsidR="00421683" w:rsidRPr="00B4164F" w:rsidRDefault="00421683" w:rsidP="00DE5780">
      <w:pPr>
        <w:pStyle w:val="ListParagraph"/>
        <w:tabs>
          <w:tab w:val="left" w:pos="709"/>
        </w:tabs>
        <w:ind w:left="0"/>
        <w:rPr>
          <w:b/>
          <w:sz w:val="28"/>
          <w:szCs w:val="28"/>
        </w:rPr>
      </w:pPr>
      <w:r w:rsidRPr="00B4164F">
        <w:rPr>
          <w:b/>
          <w:sz w:val="28"/>
          <w:szCs w:val="28"/>
        </w:rPr>
        <w:t>Introduction</w:t>
      </w:r>
    </w:p>
    <w:p w:rsidR="00421683" w:rsidRPr="00B4164F" w:rsidRDefault="00421683" w:rsidP="00DE5780">
      <w:pPr>
        <w:pStyle w:val="ListParagraph"/>
        <w:tabs>
          <w:tab w:val="left" w:pos="709"/>
        </w:tabs>
        <w:ind w:left="0"/>
        <w:rPr>
          <w:b/>
        </w:rPr>
      </w:pPr>
      <w:r w:rsidRPr="00B4164F">
        <w:t xml:space="preserve"> </w:t>
      </w:r>
    </w:p>
    <w:p w:rsidR="00606900" w:rsidRPr="00B4164F" w:rsidRDefault="00606900" w:rsidP="00606900">
      <w:pPr>
        <w:pStyle w:val="ListParagraph"/>
        <w:tabs>
          <w:tab w:val="left" w:pos="709"/>
        </w:tabs>
        <w:ind w:left="0"/>
      </w:pPr>
      <w:r w:rsidRPr="00B4164F">
        <w:t>DFID reports statistics on how much money has been spent on Official Development Assistance (ODA)</w:t>
      </w:r>
      <w:r w:rsidR="009347A9">
        <w:t xml:space="preserve"> by the UK government. ODA is </w:t>
      </w:r>
      <w:r w:rsidRPr="00B4164F">
        <w:t>the internationally agreed measure of aid spend. The</w:t>
      </w:r>
      <w:r w:rsidR="009347A9">
        <w:t xml:space="preserve"> ODA</w:t>
      </w:r>
      <w:r w:rsidRPr="00B4164F">
        <w:t xml:space="preserve"> statistics include equity investments (shares in businesses) purchased by the UK’s Development Finance Institution, CDC. CDC is an important part of DFID’s portfolio of interventions to promote private sector development. CDC invests in businesses in Africa and South Asia which would struggle to attract investment otherwise. </w:t>
      </w:r>
    </w:p>
    <w:p w:rsidR="00606900" w:rsidRPr="00B4164F" w:rsidRDefault="00606900" w:rsidP="00606900">
      <w:pPr>
        <w:pStyle w:val="ListParagraph"/>
        <w:tabs>
          <w:tab w:val="left" w:pos="709"/>
        </w:tabs>
        <w:ind w:left="0"/>
      </w:pPr>
    </w:p>
    <w:p w:rsidR="00606900" w:rsidRDefault="00606900" w:rsidP="00606900">
      <w:pPr>
        <w:pStyle w:val="ListParagraph"/>
        <w:tabs>
          <w:tab w:val="left" w:pos="709"/>
        </w:tabs>
        <w:ind w:left="0"/>
      </w:pPr>
      <w:r w:rsidRPr="00B4164F">
        <w:t xml:space="preserve">A previous internal quality review recommended that </w:t>
      </w:r>
      <w:r>
        <w:t>DFID statisticians consider whether the UK’s approach is in line wi</w:t>
      </w:r>
      <w:r w:rsidR="00767DCA">
        <w:t xml:space="preserve">th the international rules and </w:t>
      </w:r>
      <w:r>
        <w:t xml:space="preserve">best practice in this area. </w:t>
      </w:r>
      <w:r w:rsidR="00267E3C">
        <w:t>T</w:t>
      </w:r>
      <w:r>
        <w:t xml:space="preserve">here are many different interpretations of how equity investments from a Development Finance Institution are recorded as ODA. This is in contrast to most other areas of ODA statistical reporting where the guidelines are clear and international practice is </w:t>
      </w:r>
      <w:r w:rsidR="001E596F">
        <w:t xml:space="preserve">consistent. </w:t>
      </w:r>
      <w:r>
        <w:t xml:space="preserve"> </w:t>
      </w:r>
    </w:p>
    <w:p w:rsidR="00606900" w:rsidRDefault="00606900" w:rsidP="00606900">
      <w:pPr>
        <w:pStyle w:val="ListParagraph"/>
        <w:tabs>
          <w:tab w:val="left" w:pos="709"/>
        </w:tabs>
        <w:ind w:left="0"/>
      </w:pPr>
    </w:p>
    <w:p w:rsidR="00606900" w:rsidRDefault="00606900" w:rsidP="00606900">
      <w:pPr>
        <w:pStyle w:val="ListParagraph"/>
        <w:tabs>
          <w:tab w:val="left" w:pos="709"/>
        </w:tabs>
        <w:ind w:left="0"/>
      </w:pPr>
      <w:r>
        <w:t xml:space="preserve">This consultation sets out the results of the </w:t>
      </w:r>
      <w:r w:rsidRPr="00B4164F">
        <w:t>internal review</w:t>
      </w:r>
      <w:r w:rsidR="00767DCA">
        <w:t xml:space="preserve">. It also </w:t>
      </w:r>
      <w:r>
        <w:t>requests feedbac</w:t>
      </w:r>
      <w:r w:rsidR="001E596F">
        <w:t>k on</w:t>
      </w:r>
      <w:r w:rsidR="00767DCA">
        <w:t xml:space="preserve"> </w:t>
      </w:r>
      <w:r w:rsidR="001E596F">
        <w:t xml:space="preserve">three </w:t>
      </w:r>
      <w:r w:rsidR="00767DCA">
        <w:t xml:space="preserve">options for reporting this type of ODA in the future:   </w:t>
      </w:r>
    </w:p>
    <w:p w:rsidR="009347A9" w:rsidRDefault="009347A9" w:rsidP="009347A9">
      <w:pPr>
        <w:pStyle w:val="ListParagraph"/>
        <w:numPr>
          <w:ilvl w:val="0"/>
          <w:numId w:val="39"/>
        </w:numPr>
        <w:spacing w:before="120" w:after="120"/>
        <w:contextualSpacing w:val="0"/>
      </w:pPr>
      <w:r>
        <w:t xml:space="preserve">Continue to report the value of equity investments made by CDC as ODA. </w:t>
      </w:r>
    </w:p>
    <w:p w:rsidR="009347A9" w:rsidRDefault="009347A9" w:rsidP="009347A9">
      <w:pPr>
        <w:pStyle w:val="ListParagraph"/>
        <w:numPr>
          <w:ilvl w:val="0"/>
          <w:numId w:val="39"/>
        </w:numPr>
        <w:spacing w:before="120" w:after="120"/>
        <w:contextualSpacing w:val="0"/>
      </w:pPr>
      <w:r>
        <w:t xml:space="preserve">From 2015 flows onwards, report the value of equity investments as OOF rather than ODA. </w:t>
      </w:r>
    </w:p>
    <w:p w:rsidR="009347A9" w:rsidRPr="00D16C91" w:rsidRDefault="009347A9" w:rsidP="009347A9">
      <w:pPr>
        <w:pStyle w:val="ListParagraph"/>
        <w:numPr>
          <w:ilvl w:val="0"/>
          <w:numId w:val="39"/>
        </w:numPr>
        <w:spacing w:before="120" w:after="120"/>
        <w:contextualSpacing w:val="0"/>
      </w:pPr>
      <w:r w:rsidRPr="00D16C91">
        <w:t xml:space="preserve">From 2015 flows onwards, report only the capital flow from the UK government to CDC as ODA but continue to track outflows from CDC. </w:t>
      </w:r>
    </w:p>
    <w:p w:rsidR="007A1B78" w:rsidRDefault="007A1B78" w:rsidP="00DE5780">
      <w:pPr>
        <w:pStyle w:val="ListParagraph"/>
        <w:tabs>
          <w:tab w:val="left" w:pos="709"/>
        </w:tabs>
        <w:ind w:left="0"/>
        <w:rPr>
          <w:b/>
        </w:rPr>
      </w:pPr>
    </w:p>
    <w:p w:rsidR="007A1B78" w:rsidRDefault="007A1B78" w:rsidP="00DE5780">
      <w:pPr>
        <w:pStyle w:val="ListParagraph"/>
        <w:tabs>
          <w:tab w:val="left" w:pos="709"/>
        </w:tabs>
        <w:ind w:left="0"/>
        <w:rPr>
          <w:b/>
        </w:rPr>
      </w:pPr>
    </w:p>
    <w:p w:rsidR="007A1B78" w:rsidRDefault="007A1B78" w:rsidP="00DE5780">
      <w:pPr>
        <w:pStyle w:val="ListParagraph"/>
        <w:tabs>
          <w:tab w:val="left" w:pos="709"/>
        </w:tabs>
        <w:ind w:left="0"/>
        <w:rPr>
          <w:b/>
        </w:rPr>
      </w:pPr>
    </w:p>
    <w:p w:rsidR="007A1B78" w:rsidRDefault="007A1B78" w:rsidP="00DE5780">
      <w:pPr>
        <w:pStyle w:val="ListParagraph"/>
        <w:tabs>
          <w:tab w:val="left" w:pos="709"/>
        </w:tabs>
        <w:ind w:left="0"/>
        <w:rPr>
          <w:b/>
        </w:rPr>
      </w:pPr>
    </w:p>
    <w:p w:rsidR="007A1B78" w:rsidRDefault="007A1B78" w:rsidP="00DE5780">
      <w:pPr>
        <w:pStyle w:val="ListParagraph"/>
        <w:tabs>
          <w:tab w:val="left" w:pos="709"/>
        </w:tabs>
        <w:ind w:left="0"/>
        <w:rPr>
          <w:b/>
        </w:rPr>
      </w:pPr>
    </w:p>
    <w:p w:rsidR="00640969" w:rsidRDefault="00421683" w:rsidP="00DE5780">
      <w:pPr>
        <w:pStyle w:val="ListParagraph"/>
        <w:tabs>
          <w:tab w:val="left" w:pos="709"/>
        </w:tabs>
        <w:ind w:left="0"/>
        <w:rPr>
          <w:b/>
        </w:rPr>
      </w:pPr>
      <w:r>
        <w:rPr>
          <w:b/>
        </w:rPr>
        <w:lastRenderedPageBreak/>
        <w:t>Background</w:t>
      </w:r>
    </w:p>
    <w:p w:rsidR="00D4348E" w:rsidRDefault="00D4348E" w:rsidP="00DE5780">
      <w:pPr>
        <w:pStyle w:val="ListParagraph"/>
        <w:tabs>
          <w:tab w:val="left" w:pos="709"/>
        </w:tabs>
        <w:rPr>
          <w:b/>
        </w:rPr>
      </w:pPr>
    </w:p>
    <w:p w:rsidR="00640969" w:rsidRDefault="00640969" w:rsidP="00DE5780">
      <w:pPr>
        <w:pStyle w:val="ListParagraph"/>
        <w:numPr>
          <w:ilvl w:val="0"/>
          <w:numId w:val="9"/>
        </w:numPr>
        <w:tabs>
          <w:tab w:val="left" w:pos="0"/>
        </w:tabs>
        <w:ind w:left="426" w:hanging="284"/>
      </w:pPr>
      <w:r>
        <w:t xml:space="preserve">In June 2013, the statistics team in DFID’s Finance and Corporate Performance Department carried out a </w:t>
      </w:r>
      <w:hyperlink r:id="rId14" w:anchor="quality-review" w:history="1">
        <w:r w:rsidRPr="008B2554">
          <w:rPr>
            <w:rStyle w:val="Hyperlink"/>
          </w:rPr>
          <w:t>short review</w:t>
        </w:r>
      </w:hyperlink>
      <w:r w:rsidR="007441C2">
        <w:rPr>
          <w:rStyle w:val="FootnoteReference"/>
          <w:color w:val="0000FF" w:themeColor="hyperlink"/>
          <w:u w:val="single"/>
        </w:rPr>
        <w:footnoteReference w:id="2"/>
      </w:r>
      <w:r>
        <w:t xml:space="preserve"> of the quality of DFID’s National Statistics. The findings included a recommendation that the team carry out </w:t>
      </w:r>
      <w:r w:rsidR="007441C2">
        <w:t>a review to consider whether</w:t>
      </w:r>
      <w:r>
        <w:t xml:space="preserve"> </w:t>
      </w:r>
      <w:r w:rsidRPr="00731FAD">
        <w:t>equity</w:t>
      </w:r>
      <w:r>
        <w:t xml:space="preserve"> i</w:t>
      </w:r>
      <w:r w:rsidRPr="00731FAD">
        <w:t>nvestments</w:t>
      </w:r>
      <w:r>
        <w:t xml:space="preserve"> </w:t>
      </w:r>
      <w:r w:rsidR="007441C2">
        <w:t xml:space="preserve">made by </w:t>
      </w:r>
      <w:r>
        <w:t>CDC</w:t>
      </w:r>
      <w:r w:rsidR="00B64C1B">
        <w:rPr>
          <w:rStyle w:val="FootnoteReference"/>
        </w:rPr>
        <w:footnoteReference w:id="3"/>
      </w:r>
      <w:r w:rsidR="00421683">
        <w:t xml:space="preserve"> (formerly known as the Commonwealth Development Corporation)</w:t>
      </w:r>
      <w:r>
        <w:t xml:space="preserve">, the UK’s Development Finance Institution (DFI), fall within the </w:t>
      </w:r>
      <w:r w:rsidR="007441C2">
        <w:t>OECD</w:t>
      </w:r>
      <w:r>
        <w:t xml:space="preserve"> definition of Official Development Assistance (ODA)</w:t>
      </w:r>
      <w:r w:rsidR="009347A9">
        <w:rPr>
          <w:rStyle w:val="FootnoteReference"/>
        </w:rPr>
        <w:footnoteReference w:id="4"/>
      </w:r>
      <w:r>
        <w:t>. It recommended the review consider:</w:t>
      </w:r>
    </w:p>
    <w:p w:rsidR="00D4348E" w:rsidRDefault="00D4348E" w:rsidP="00DE5780">
      <w:pPr>
        <w:pStyle w:val="ListParagraph"/>
        <w:tabs>
          <w:tab w:val="left" w:pos="0"/>
        </w:tabs>
        <w:ind w:left="0"/>
        <w:rPr>
          <w:b/>
        </w:rPr>
      </w:pPr>
    </w:p>
    <w:p w:rsidR="00640969" w:rsidRDefault="00640969" w:rsidP="00DE5780">
      <w:pPr>
        <w:pStyle w:val="ListParagraph"/>
        <w:numPr>
          <w:ilvl w:val="2"/>
          <w:numId w:val="8"/>
        </w:numPr>
        <w:tabs>
          <w:tab w:val="left" w:pos="1134"/>
        </w:tabs>
        <w:ind w:left="1134" w:hanging="425"/>
        <w:rPr>
          <w:b/>
        </w:rPr>
      </w:pPr>
      <w:r w:rsidRPr="00C60B7B">
        <w:t xml:space="preserve">how the existing guidance for ODA </w:t>
      </w:r>
      <w:r>
        <w:t>applies</w:t>
      </w:r>
      <w:r w:rsidRPr="00C60B7B">
        <w:t xml:space="preserve"> to CDC’s equity investments; </w:t>
      </w:r>
    </w:p>
    <w:p w:rsidR="00640969" w:rsidRDefault="00640969" w:rsidP="00DE5780">
      <w:pPr>
        <w:pStyle w:val="ListParagraph"/>
        <w:numPr>
          <w:ilvl w:val="2"/>
          <w:numId w:val="8"/>
        </w:numPr>
        <w:tabs>
          <w:tab w:val="left" w:pos="1134"/>
        </w:tabs>
        <w:ind w:left="1134" w:hanging="425"/>
        <w:rPr>
          <w:b/>
        </w:rPr>
      </w:pPr>
      <w:r w:rsidRPr="00C60B7B">
        <w:t>how UK practice compares with international practice;</w:t>
      </w:r>
    </w:p>
    <w:p w:rsidR="00640969" w:rsidRPr="00640969" w:rsidRDefault="00640969" w:rsidP="00DE5780">
      <w:pPr>
        <w:pStyle w:val="ListParagraph"/>
        <w:numPr>
          <w:ilvl w:val="2"/>
          <w:numId w:val="8"/>
        </w:numPr>
        <w:tabs>
          <w:tab w:val="left" w:pos="1134"/>
        </w:tabs>
        <w:ind w:left="1134" w:hanging="425"/>
        <w:rPr>
          <w:b/>
        </w:rPr>
      </w:pPr>
      <w:r w:rsidRPr="00C60B7B">
        <w:t xml:space="preserve">whether </w:t>
      </w:r>
      <w:r w:rsidR="007441C2">
        <w:t xml:space="preserve">there are </w:t>
      </w:r>
      <w:r w:rsidRPr="00C60B7B">
        <w:t xml:space="preserve">any statistical benefits from making changes to the UK treatment </w:t>
      </w:r>
      <w:r w:rsidR="007441C2">
        <w:t xml:space="preserve">rather than wait </w:t>
      </w:r>
      <w:r w:rsidRPr="00C60B7B">
        <w:t xml:space="preserve">until the </w:t>
      </w:r>
      <w:r w:rsidR="007441C2">
        <w:t xml:space="preserve">OECD Development Assistance Committee (DAC) </w:t>
      </w:r>
      <w:r w:rsidRPr="00C60B7B">
        <w:t xml:space="preserve">has completed its work on possible improvements to the ODA treatment of </w:t>
      </w:r>
      <w:r w:rsidR="009347A9">
        <w:t>DFIs</w:t>
      </w:r>
      <w:r w:rsidR="007441C2">
        <w:t>.</w:t>
      </w:r>
    </w:p>
    <w:p w:rsidR="00640969" w:rsidRDefault="00640969" w:rsidP="00DE5780"/>
    <w:p w:rsidR="00640969" w:rsidRDefault="003A7F22" w:rsidP="00DE5780">
      <w:pPr>
        <w:pStyle w:val="ListParagraph"/>
        <w:numPr>
          <w:ilvl w:val="0"/>
          <w:numId w:val="9"/>
        </w:numPr>
        <w:ind w:left="426" w:hanging="284"/>
      </w:pPr>
      <w:r>
        <w:t xml:space="preserve">This consultation </w:t>
      </w:r>
      <w:r w:rsidR="00640969" w:rsidRPr="00640969">
        <w:t xml:space="preserve">reports on the findings from our review of </w:t>
      </w:r>
      <w:r w:rsidR="007441C2">
        <w:t xml:space="preserve">the ODA </w:t>
      </w:r>
      <w:r w:rsidR="00347E97">
        <w:t>reporting</w:t>
      </w:r>
      <w:r>
        <w:t xml:space="preserve"> of equity investments </w:t>
      </w:r>
      <w:r w:rsidR="007441C2">
        <w:t xml:space="preserve">made by CDC </w:t>
      </w:r>
      <w:r>
        <w:t>and set</w:t>
      </w:r>
      <w:r w:rsidR="00347E97">
        <w:t>s</w:t>
      </w:r>
      <w:r>
        <w:t xml:space="preserve"> out options for </w:t>
      </w:r>
      <w:r w:rsidR="00347E97">
        <w:t>how DFID reports these investments for 2015 flows onwards</w:t>
      </w:r>
      <w:r>
        <w:t>.</w:t>
      </w:r>
      <w:r w:rsidR="00640969" w:rsidRPr="00640969">
        <w:t xml:space="preserve"> </w:t>
      </w:r>
      <w:r w:rsidR="008961FA">
        <w:t xml:space="preserve">The report is </w:t>
      </w:r>
      <w:r w:rsidR="00640969" w:rsidRPr="00640969">
        <w:t>structured as follows:</w:t>
      </w:r>
    </w:p>
    <w:p w:rsidR="004F2866" w:rsidRDefault="004F2866" w:rsidP="00B64C1B">
      <w:pPr>
        <w:pStyle w:val="ListParagraph"/>
        <w:numPr>
          <w:ilvl w:val="0"/>
          <w:numId w:val="11"/>
        </w:numPr>
        <w:ind w:left="2552" w:hanging="1559"/>
      </w:pPr>
      <w:r>
        <w:t xml:space="preserve">Reporting of UK ODA; </w:t>
      </w:r>
    </w:p>
    <w:p w:rsidR="004F2866" w:rsidRDefault="004F2866" w:rsidP="00B64C1B">
      <w:pPr>
        <w:pStyle w:val="ListParagraph"/>
        <w:numPr>
          <w:ilvl w:val="0"/>
          <w:numId w:val="11"/>
        </w:numPr>
        <w:ind w:left="2552" w:hanging="1559"/>
      </w:pPr>
      <w:r>
        <w:t>CDC and current reporting arrangements;</w:t>
      </w:r>
    </w:p>
    <w:p w:rsidR="004F2866" w:rsidRDefault="004F2866" w:rsidP="00B64C1B">
      <w:pPr>
        <w:pStyle w:val="ListParagraph"/>
        <w:numPr>
          <w:ilvl w:val="0"/>
          <w:numId w:val="11"/>
        </w:numPr>
        <w:ind w:left="2552" w:hanging="1559"/>
      </w:pPr>
      <w:r>
        <w:t>Challenges with current approach;</w:t>
      </w:r>
    </w:p>
    <w:p w:rsidR="004F2866" w:rsidRPr="00AF3F72" w:rsidRDefault="009347A9" w:rsidP="00B64C1B">
      <w:pPr>
        <w:pStyle w:val="ListParagraph"/>
        <w:tabs>
          <w:tab w:val="left" w:pos="426"/>
        </w:tabs>
        <w:ind w:left="2552" w:hanging="1559"/>
        <w:rPr>
          <w:bCs/>
        </w:rPr>
      </w:pPr>
      <w:r>
        <w:rPr>
          <w:i/>
        </w:rPr>
        <w:tab/>
      </w:r>
      <w:r w:rsidR="004F2866" w:rsidRPr="00AF3F72">
        <w:rPr>
          <w:i/>
        </w:rPr>
        <w:t>i</w:t>
      </w:r>
      <w:r w:rsidR="004F2866">
        <w:rPr>
          <w:i/>
        </w:rPr>
        <w:t>.</w:t>
      </w:r>
      <w:r w:rsidR="004F2866" w:rsidRPr="0024231A">
        <w:rPr>
          <w:i/>
        </w:rPr>
        <w:t xml:space="preserve"> </w:t>
      </w:r>
      <w:r w:rsidR="004F2866">
        <w:rPr>
          <w:i/>
        </w:rPr>
        <w:t>I</w:t>
      </w:r>
      <w:r w:rsidR="004F2866" w:rsidRPr="0024231A">
        <w:rPr>
          <w:i/>
        </w:rPr>
        <w:t xml:space="preserve">nternational comparability </w:t>
      </w:r>
      <w:r w:rsidR="004F2866">
        <w:rPr>
          <w:i/>
        </w:rPr>
        <w:t>and different interpretations of DAC guidance</w:t>
      </w:r>
      <w:r w:rsidR="004F2866" w:rsidDel="00111767">
        <w:t xml:space="preserve"> </w:t>
      </w:r>
    </w:p>
    <w:p w:rsidR="004F2866" w:rsidRPr="00AF3F72" w:rsidRDefault="009347A9" w:rsidP="00B64C1B">
      <w:pPr>
        <w:pStyle w:val="ListParagraph"/>
        <w:tabs>
          <w:tab w:val="left" w:pos="426"/>
        </w:tabs>
        <w:ind w:left="2552" w:hanging="1559"/>
      </w:pPr>
      <w:r>
        <w:rPr>
          <w:i/>
        </w:rPr>
        <w:tab/>
      </w:r>
      <w:r w:rsidR="004F2866" w:rsidRPr="005366DB">
        <w:rPr>
          <w:i/>
        </w:rPr>
        <w:t xml:space="preserve">ii. </w:t>
      </w:r>
      <w:r w:rsidR="004F2866">
        <w:rPr>
          <w:i/>
        </w:rPr>
        <w:t>Additional concerns with the current approach</w:t>
      </w:r>
    </w:p>
    <w:p w:rsidR="004F2866" w:rsidRDefault="004F2866" w:rsidP="00B64C1B">
      <w:pPr>
        <w:pStyle w:val="ListParagraph"/>
        <w:numPr>
          <w:ilvl w:val="0"/>
          <w:numId w:val="11"/>
        </w:numPr>
        <w:ind w:left="2552" w:hanging="1559"/>
      </w:pPr>
      <w:r>
        <w:t xml:space="preserve">Options for </w:t>
      </w:r>
      <w:r w:rsidRPr="0024231A">
        <w:t xml:space="preserve">how to report CDC’s equity investments in UK ODA statistics </w:t>
      </w:r>
      <w:r>
        <w:t>for</w:t>
      </w:r>
      <w:r w:rsidRPr="0024231A">
        <w:t xml:space="preserve"> 2015 flows onwards</w:t>
      </w:r>
      <w:r>
        <w:t xml:space="preserve"> </w:t>
      </w:r>
    </w:p>
    <w:p w:rsidR="000F01C1" w:rsidRDefault="000F01C1" w:rsidP="00B64C1B">
      <w:pPr>
        <w:pStyle w:val="ListParagraph"/>
        <w:numPr>
          <w:ilvl w:val="0"/>
          <w:numId w:val="11"/>
        </w:numPr>
        <w:ind w:left="2552" w:hanging="1559"/>
      </w:pPr>
      <w:r>
        <w:t>Conclusion</w:t>
      </w:r>
    </w:p>
    <w:p w:rsidR="004F2866" w:rsidRDefault="004F2866" w:rsidP="00B64C1B">
      <w:pPr>
        <w:pStyle w:val="ListParagraph"/>
        <w:numPr>
          <w:ilvl w:val="0"/>
          <w:numId w:val="11"/>
        </w:numPr>
        <w:ind w:left="2552" w:hanging="1559"/>
      </w:pPr>
      <w:r>
        <w:t>Consultation arrangements</w:t>
      </w:r>
    </w:p>
    <w:p w:rsidR="00B64C1B" w:rsidRDefault="00B64C1B" w:rsidP="00B64C1B">
      <w:pPr>
        <w:ind w:left="2552" w:hanging="1559"/>
      </w:pPr>
    </w:p>
    <w:p w:rsidR="00B64C1B" w:rsidRDefault="00B64C1B" w:rsidP="00B64C1B">
      <w:pPr>
        <w:ind w:left="2552" w:hanging="1559"/>
      </w:pPr>
      <w:r>
        <w:t xml:space="preserve">Annex A. </w:t>
      </w:r>
      <w:r>
        <w:tab/>
      </w:r>
      <w:r w:rsidRPr="00B64C1B">
        <w:t>Consultation Response Template</w:t>
      </w:r>
    </w:p>
    <w:p w:rsidR="00B64C1B" w:rsidRDefault="00B64C1B" w:rsidP="00B64C1B">
      <w:pPr>
        <w:ind w:left="2552" w:hanging="1559"/>
      </w:pPr>
      <w:r>
        <w:t xml:space="preserve">Annex B. </w:t>
      </w:r>
      <w:r>
        <w:tab/>
        <w:t>Glossary</w:t>
      </w:r>
    </w:p>
    <w:p w:rsidR="00B64C1B" w:rsidRDefault="00B64C1B" w:rsidP="00B64C1B">
      <w:pPr>
        <w:ind w:left="2552" w:hanging="1559"/>
      </w:pPr>
      <w:r>
        <w:t xml:space="preserve">Annex C. </w:t>
      </w:r>
      <w:r>
        <w:tab/>
        <w:t>Background information on CDC</w:t>
      </w:r>
    </w:p>
    <w:p w:rsidR="004F2866" w:rsidRDefault="004F2866" w:rsidP="004F2866">
      <w:pPr>
        <w:pStyle w:val="ListParagraph"/>
        <w:ind w:left="426"/>
      </w:pPr>
    </w:p>
    <w:p w:rsidR="004F2866" w:rsidRPr="00437106" w:rsidRDefault="004F2866" w:rsidP="004F2866">
      <w:pPr>
        <w:pStyle w:val="Heading2"/>
        <w:numPr>
          <w:ilvl w:val="0"/>
          <w:numId w:val="0"/>
        </w:numPr>
        <w:rPr>
          <w:b w:val="0"/>
          <w:sz w:val="24"/>
          <w:szCs w:val="24"/>
        </w:rPr>
      </w:pPr>
      <w:r w:rsidRPr="00437106">
        <w:rPr>
          <w:b w:val="0"/>
          <w:sz w:val="24"/>
          <w:szCs w:val="24"/>
        </w:rPr>
        <w:t xml:space="preserve">A. Reporting of </w:t>
      </w:r>
      <w:r>
        <w:rPr>
          <w:b w:val="0"/>
          <w:sz w:val="24"/>
          <w:szCs w:val="24"/>
        </w:rPr>
        <w:t xml:space="preserve">UK </w:t>
      </w:r>
      <w:r w:rsidRPr="00437106">
        <w:rPr>
          <w:b w:val="0"/>
          <w:sz w:val="24"/>
          <w:szCs w:val="24"/>
        </w:rPr>
        <w:t xml:space="preserve">ODA </w:t>
      </w:r>
    </w:p>
    <w:p w:rsidR="004F2866" w:rsidRDefault="004F2866" w:rsidP="004F2866">
      <w:pPr>
        <w:pStyle w:val="ListParagraph"/>
        <w:ind w:left="426"/>
      </w:pPr>
    </w:p>
    <w:p w:rsidR="00D4348E" w:rsidRDefault="00437106" w:rsidP="004F2866">
      <w:pPr>
        <w:pStyle w:val="ListParagraph"/>
        <w:numPr>
          <w:ilvl w:val="0"/>
          <w:numId w:val="9"/>
        </w:numPr>
        <w:ind w:left="426" w:hanging="284"/>
      </w:pPr>
      <w:r>
        <w:t>Official Developm</w:t>
      </w:r>
      <w:r w:rsidR="00D4348E">
        <w:t>ent Assistance</w:t>
      </w:r>
      <w:r w:rsidR="00794D64">
        <w:t xml:space="preserve"> (ODA)</w:t>
      </w:r>
      <w:r w:rsidR="00D4348E" w:rsidRPr="00FF6C7F">
        <w:t xml:space="preserve"> is </w:t>
      </w:r>
      <w:r w:rsidR="00D4348E">
        <w:t xml:space="preserve">the measure of aid spent on international development </w:t>
      </w:r>
      <w:r w:rsidR="00D4348E" w:rsidRPr="00FF6C7F">
        <w:t>in accordance with in</w:t>
      </w:r>
      <w:r w:rsidR="00D4348E">
        <w:t xml:space="preserve">ternational standards overseen by the </w:t>
      </w:r>
      <w:r w:rsidR="00D4348E" w:rsidRPr="00FF6C7F">
        <w:t>OECD</w:t>
      </w:r>
      <w:r w:rsidR="00D4348E">
        <w:t xml:space="preserve">. </w:t>
      </w:r>
      <w:r w:rsidR="003A7F22">
        <w:t>DFID</w:t>
      </w:r>
      <w:r w:rsidR="00794D64">
        <w:t xml:space="preserve"> collects ODA data on an annual basis across government and returns this to the OECD. </w:t>
      </w:r>
      <w:r w:rsidR="00D4348E">
        <w:t xml:space="preserve">The indicator </w:t>
      </w:r>
      <w:r w:rsidR="00D4348E" w:rsidRPr="004F2866">
        <w:rPr>
          <w:i/>
        </w:rPr>
        <w:t xml:space="preserve">Official </w:t>
      </w:r>
      <w:r w:rsidR="00D4348E" w:rsidRPr="004F2866">
        <w:rPr>
          <w:i/>
        </w:rPr>
        <w:lastRenderedPageBreak/>
        <w:t xml:space="preserve">Development Assistance (ODA) as a proportion of Gross National Income (GNI) </w:t>
      </w:r>
      <w:r w:rsidR="00D4348E">
        <w:t>is an internationally recognised indicator used to monitor aid spend</w:t>
      </w:r>
      <w:r w:rsidR="00D4348E" w:rsidRPr="004F2866">
        <w:rPr>
          <w:i/>
        </w:rPr>
        <w:t xml:space="preserve">. </w:t>
      </w:r>
      <w:r w:rsidR="00D4348E">
        <w:t>The ODA/GNI ratio is reported within two UK National Statistics publications</w:t>
      </w:r>
      <w:r w:rsidR="00D4348E">
        <w:rPr>
          <w:rStyle w:val="FootnoteReference"/>
        </w:rPr>
        <w:footnoteReference w:id="5"/>
      </w:r>
      <w:r w:rsidR="00D4348E">
        <w:t xml:space="preserve"> and is also reported by DFID to the OECD for inclusion in their statistics on ODA</w:t>
      </w:r>
      <w:r w:rsidR="00D4348E">
        <w:rPr>
          <w:rStyle w:val="FootnoteReference"/>
        </w:rPr>
        <w:footnoteReference w:id="6"/>
      </w:r>
      <w:r w:rsidR="00D4348E">
        <w:t xml:space="preserve">. </w:t>
      </w:r>
      <w:r w:rsidR="00D4348E" w:rsidRPr="009D630C">
        <w:t>In the 2004 Spending Review</w:t>
      </w:r>
      <w:r w:rsidR="00755C5D">
        <w:t>,</w:t>
      </w:r>
      <w:r w:rsidR="00D4348E" w:rsidRPr="009D630C">
        <w:t xml:space="preserve"> the UK Government set </w:t>
      </w:r>
      <w:r w:rsidR="009A5DD7" w:rsidRPr="009D630C">
        <w:t>a</w:t>
      </w:r>
      <w:r w:rsidR="00D4348E" w:rsidRPr="009D630C">
        <w:t xml:space="preserve"> </w:t>
      </w:r>
      <w:r w:rsidR="00D4348E">
        <w:t>target date</w:t>
      </w:r>
      <w:r w:rsidR="00D4348E" w:rsidRPr="009D630C">
        <w:t xml:space="preserve"> to increase total UK Overseas Development Assistance to 0.7 per</w:t>
      </w:r>
      <w:r w:rsidR="00794D64">
        <w:t xml:space="preserve"> </w:t>
      </w:r>
      <w:r w:rsidR="00794D64" w:rsidRPr="009D630C">
        <w:t>cent of GNI by 2013. This target for 2013 has been re-endorsed by successive administrations</w:t>
      </w:r>
      <w:r w:rsidR="008961FA">
        <w:t>. T</w:t>
      </w:r>
      <w:r w:rsidR="00794D64" w:rsidRPr="009D630C">
        <w:t>h</w:t>
      </w:r>
      <w:r w:rsidR="008961FA">
        <w:t>e 2010 Spending Review included</w:t>
      </w:r>
      <w:r w:rsidR="00794D64" w:rsidRPr="009D630C">
        <w:t xml:space="preserve"> funding to increase ODA to 0.7 per cent </w:t>
      </w:r>
      <w:r w:rsidR="008961FA">
        <w:t>from</w:t>
      </w:r>
      <w:r w:rsidR="00794D64" w:rsidRPr="009D630C">
        <w:t xml:space="preserve"> 2013</w:t>
      </w:r>
      <w:r w:rsidR="00E2707B">
        <w:t xml:space="preserve"> and </w:t>
      </w:r>
      <w:r w:rsidR="008961FA">
        <w:t>the remainder of the spending review period.</w:t>
      </w:r>
    </w:p>
    <w:p w:rsidR="00916184" w:rsidRDefault="00916184" w:rsidP="004F2866">
      <w:pPr>
        <w:pStyle w:val="ListParagraph"/>
        <w:numPr>
          <w:ilvl w:val="0"/>
          <w:numId w:val="9"/>
        </w:numPr>
        <w:ind w:left="426" w:hanging="284"/>
      </w:pPr>
      <w:r>
        <w:t xml:space="preserve">An additional measure presented alongside ODA is </w:t>
      </w:r>
      <w:r w:rsidR="009524FC">
        <w:t>‘</w:t>
      </w:r>
      <w:r>
        <w:t>Other Official Flows</w:t>
      </w:r>
      <w:r w:rsidR="009524FC">
        <w:t>’</w:t>
      </w:r>
      <w:r>
        <w:t xml:space="preserve"> (OOF). OOF is a wider measure of official support to developing countries. For a flow to be defined as OOF it must only meet the first two ODA conditions</w:t>
      </w:r>
      <w:r w:rsidRPr="009347A9">
        <w:t xml:space="preserve"> (i.e. can be either non-concessional and convey a grant element of less than 25 per cent or non-developmental purposes or both).</w:t>
      </w:r>
    </w:p>
    <w:p w:rsidR="004F2866" w:rsidRDefault="004F2866" w:rsidP="004F2866">
      <w:pPr>
        <w:pStyle w:val="ListParagraph"/>
        <w:ind w:left="426"/>
      </w:pPr>
    </w:p>
    <w:p w:rsidR="004F2866" w:rsidRPr="00437106" w:rsidRDefault="004F2866" w:rsidP="004F2866">
      <w:pPr>
        <w:rPr>
          <w:i/>
        </w:rPr>
      </w:pPr>
      <w:r w:rsidRPr="00437106">
        <w:rPr>
          <w:i/>
        </w:rPr>
        <w:t>B. CDC and the current reporting arrangements</w:t>
      </w:r>
    </w:p>
    <w:p w:rsidR="004F2866" w:rsidRDefault="004F2866" w:rsidP="004F2866">
      <w:pPr>
        <w:pStyle w:val="ListParagraph"/>
        <w:ind w:left="426"/>
      </w:pPr>
    </w:p>
    <w:p w:rsidR="004F2866" w:rsidRPr="004F2866" w:rsidRDefault="00794D64" w:rsidP="004F2866">
      <w:pPr>
        <w:pStyle w:val="ListParagraph"/>
        <w:numPr>
          <w:ilvl w:val="0"/>
          <w:numId w:val="9"/>
        </w:numPr>
        <w:tabs>
          <w:tab w:val="left" w:pos="426"/>
        </w:tabs>
        <w:ind w:left="426" w:hanging="284"/>
        <w:rPr>
          <w:bCs/>
        </w:rPr>
      </w:pPr>
      <w:r w:rsidRPr="00794D64">
        <w:t>CDC is the UK’s D</w:t>
      </w:r>
      <w:r>
        <w:t xml:space="preserve">evelopment </w:t>
      </w:r>
      <w:r w:rsidRPr="00794D64">
        <w:t>F</w:t>
      </w:r>
      <w:r>
        <w:t xml:space="preserve">inance </w:t>
      </w:r>
      <w:r w:rsidRPr="00794D64">
        <w:t>I</w:t>
      </w:r>
      <w:r>
        <w:t>nstitution (DFI)</w:t>
      </w:r>
      <w:r w:rsidRPr="00794D64">
        <w:t xml:space="preserve">. It is 100% owned by the UK government but </w:t>
      </w:r>
      <w:r w:rsidR="00755C5D">
        <w:t xml:space="preserve">governed by an independent </w:t>
      </w:r>
      <w:r w:rsidRPr="00794D64">
        <w:t xml:space="preserve">board of directors. CDC is an important part of DFID’s portfolio of interventions to promote private sector development. </w:t>
      </w:r>
      <w:r w:rsidR="0073260B">
        <w:t>Profits from successful CDC investments are re-invested back into businesses in Africa and South Asia</w:t>
      </w:r>
      <w:r w:rsidRPr="00794D64">
        <w:t>.</w:t>
      </w:r>
    </w:p>
    <w:p w:rsidR="00794D64" w:rsidRPr="004F2866" w:rsidRDefault="00CB4BFF" w:rsidP="004F2866">
      <w:pPr>
        <w:pStyle w:val="ListParagraph"/>
        <w:numPr>
          <w:ilvl w:val="0"/>
          <w:numId w:val="9"/>
        </w:numPr>
        <w:tabs>
          <w:tab w:val="left" w:pos="426"/>
        </w:tabs>
        <w:ind w:left="426" w:hanging="284"/>
        <w:rPr>
          <w:bCs/>
        </w:rPr>
      </w:pPr>
      <w:r>
        <w:t>Beginning in</w:t>
      </w:r>
      <w:r w:rsidR="00794D64" w:rsidRPr="00794D64">
        <w:t xml:space="preserve"> 2004</w:t>
      </w:r>
      <w:r w:rsidR="00597741">
        <w:t>,</w:t>
      </w:r>
      <w:r w:rsidR="00794D64" w:rsidRPr="00794D64">
        <w:t xml:space="preserve"> CDC operated as a “fund of funds” investing primarily through specialist investment funds which </w:t>
      </w:r>
      <w:r w:rsidR="00597741">
        <w:t xml:space="preserve">then </w:t>
      </w:r>
      <w:r w:rsidR="00794D64" w:rsidRPr="00794D64">
        <w:t>take equity stakes in businesses. In March 2012 CDC published a new strategy agreed</w:t>
      </w:r>
      <w:r w:rsidR="004F2866">
        <w:rPr>
          <w:rStyle w:val="FootnoteReference"/>
        </w:rPr>
        <w:footnoteReference w:id="7"/>
      </w:r>
      <w:r w:rsidR="004F2866" w:rsidRPr="00794D64">
        <w:t xml:space="preserve"> </w:t>
      </w:r>
      <w:r w:rsidR="00794D64" w:rsidRPr="00794D64">
        <w:t xml:space="preserve"> with DFID and HM Treasury. </w:t>
      </w:r>
      <w:r w:rsidR="00597741">
        <w:t>The following changes have been made under the new strategy:</w:t>
      </w:r>
    </w:p>
    <w:p w:rsidR="004F2866" w:rsidRPr="00597741" w:rsidRDefault="004F2866" w:rsidP="004F2866">
      <w:pPr>
        <w:pStyle w:val="ListParagraph"/>
        <w:numPr>
          <w:ilvl w:val="0"/>
          <w:numId w:val="40"/>
        </w:numPr>
        <w:tabs>
          <w:tab w:val="left" w:pos="426"/>
        </w:tabs>
        <w:jc w:val="both"/>
        <w:rPr>
          <w:bCs/>
        </w:rPr>
      </w:pPr>
      <w:r>
        <w:t xml:space="preserve">CDC now invests through different instruments (through funds, direct equity and loans, </w:t>
      </w:r>
      <w:r w:rsidR="006C5BF0">
        <w:t>mezzanine</w:t>
      </w:r>
      <w:r>
        <w:t xml:space="preserve"> products and guarantees),</w:t>
      </w:r>
    </w:p>
    <w:p w:rsidR="004F2866" w:rsidRPr="00597741" w:rsidRDefault="004F2866" w:rsidP="004F2866">
      <w:pPr>
        <w:pStyle w:val="ListParagraph"/>
        <w:numPr>
          <w:ilvl w:val="0"/>
          <w:numId w:val="40"/>
        </w:numPr>
        <w:tabs>
          <w:tab w:val="left" w:pos="426"/>
        </w:tabs>
        <w:jc w:val="both"/>
        <w:rPr>
          <w:bCs/>
        </w:rPr>
      </w:pPr>
      <w:r>
        <w:t>CDC’s geographic remit has narrowed to South Asia and Africa with incentives to invest in countries with more difficult investment climates,</w:t>
      </w:r>
    </w:p>
    <w:p w:rsidR="004F2866" w:rsidRPr="004F2866" w:rsidRDefault="004F2866" w:rsidP="004F2866">
      <w:pPr>
        <w:pStyle w:val="ListParagraph"/>
        <w:numPr>
          <w:ilvl w:val="0"/>
          <w:numId w:val="40"/>
        </w:numPr>
        <w:tabs>
          <w:tab w:val="left" w:pos="426"/>
        </w:tabs>
        <w:jc w:val="both"/>
        <w:rPr>
          <w:bCs/>
        </w:rPr>
      </w:pPr>
      <w:r>
        <w:t xml:space="preserve">CDC’s development mandate is more explicit. </w:t>
      </w:r>
    </w:p>
    <w:p w:rsidR="004F2866" w:rsidRPr="004F2866" w:rsidRDefault="004F2866" w:rsidP="004F2866">
      <w:pPr>
        <w:pStyle w:val="ListParagraph"/>
        <w:tabs>
          <w:tab w:val="left" w:pos="426"/>
        </w:tabs>
        <w:ind w:left="426"/>
        <w:rPr>
          <w:bCs/>
        </w:rPr>
      </w:pPr>
    </w:p>
    <w:p w:rsidR="00794D64" w:rsidRPr="004F2866" w:rsidRDefault="0047466A" w:rsidP="004F2866">
      <w:pPr>
        <w:pStyle w:val="ListParagraph"/>
        <w:numPr>
          <w:ilvl w:val="0"/>
          <w:numId w:val="9"/>
        </w:numPr>
        <w:tabs>
          <w:tab w:val="left" w:pos="426"/>
        </w:tabs>
        <w:ind w:left="426" w:hanging="284"/>
        <w:rPr>
          <w:bCs/>
        </w:rPr>
      </w:pPr>
      <w:r w:rsidRPr="004F2866">
        <w:rPr>
          <w:b/>
        </w:rPr>
        <w:t>Equity</w:t>
      </w:r>
      <w:r w:rsidR="00AF3F72">
        <w:rPr>
          <w:rStyle w:val="FootnoteReference"/>
          <w:b/>
        </w:rPr>
        <w:footnoteReference w:id="8"/>
      </w:r>
      <w:r w:rsidRPr="004F2866">
        <w:rPr>
          <w:b/>
        </w:rPr>
        <w:t>:</w:t>
      </w:r>
      <w:r w:rsidR="00AF3F72" w:rsidRPr="004F2866">
        <w:rPr>
          <w:b/>
        </w:rPr>
        <w:t xml:space="preserve"> </w:t>
      </w:r>
      <w:r w:rsidR="00794D64" w:rsidRPr="00794D64">
        <w:t>CDC’s equity investments</w:t>
      </w:r>
      <w:r w:rsidR="00794D64">
        <w:rPr>
          <w:rStyle w:val="FootnoteReference"/>
        </w:rPr>
        <w:footnoteReference w:id="9"/>
      </w:r>
      <w:r w:rsidR="00794D64" w:rsidRPr="00794D64">
        <w:t xml:space="preserve"> </w:t>
      </w:r>
      <w:r w:rsidR="00597741">
        <w:t xml:space="preserve">score </w:t>
      </w:r>
      <w:r w:rsidR="00794D64" w:rsidRPr="00794D64">
        <w:t xml:space="preserve">as </w:t>
      </w:r>
      <w:r w:rsidR="000C3D53">
        <w:t xml:space="preserve">UK </w:t>
      </w:r>
      <w:r w:rsidR="00794D64" w:rsidRPr="00794D64">
        <w:t xml:space="preserve">ODA. Where CDC takes an equity stake in an enterprise, the value of the investment </w:t>
      </w:r>
      <w:r w:rsidR="000C3D53">
        <w:t>is</w:t>
      </w:r>
      <w:r w:rsidR="00794D64" w:rsidRPr="00794D64">
        <w:t xml:space="preserve"> recorded as positive ODA. When CDC sells the stake, the value of the proceeds is recorded as negative ODA. This means that profitable equity investments</w:t>
      </w:r>
      <w:r w:rsidR="00DF595F">
        <w:t>,</w:t>
      </w:r>
      <w:r w:rsidR="00597741">
        <w:t xml:space="preserve"> </w:t>
      </w:r>
      <w:r w:rsidR="00794D64" w:rsidRPr="00794D64">
        <w:t xml:space="preserve">where the value of realisation exceeds the value of the initial investment, </w:t>
      </w:r>
      <w:r w:rsidR="00794D64" w:rsidRPr="00794D64">
        <w:lastRenderedPageBreak/>
        <w:t xml:space="preserve">will have an overall negative impact on </w:t>
      </w:r>
      <w:r w:rsidR="000C3D53">
        <w:t xml:space="preserve">UK </w:t>
      </w:r>
      <w:r w:rsidR="00794D64" w:rsidRPr="00794D64">
        <w:t>ODA, over the lifetime of the investment.</w:t>
      </w:r>
      <w:r w:rsidR="00B90F69" w:rsidRPr="004F2866">
        <w:rPr>
          <w:bCs/>
        </w:rPr>
        <w:t xml:space="preserve"> </w:t>
      </w:r>
      <w:r w:rsidR="0009640C">
        <w:t>Figure</w:t>
      </w:r>
      <w:r w:rsidR="00794D64" w:rsidRPr="00794D64">
        <w:t xml:space="preserve"> 1 below shows </w:t>
      </w:r>
      <w:r w:rsidR="00BE4598">
        <w:t>how financial flows between different organisations are treated, either as positive ODA flows, negative ODA flows or non-ODA flows</w:t>
      </w:r>
      <w:r w:rsidR="00660762">
        <w:t>.</w:t>
      </w:r>
      <w:r w:rsidR="009E2F34">
        <w:t xml:space="preserve"> Table 1 shows the value of positive, negative and net ODA flows from equity investments over the last 5 years. </w:t>
      </w:r>
    </w:p>
    <w:p w:rsidR="005C16F3" w:rsidRDefault="005C16F3" w:rsidP="00E108AB">
      <w:pPr>
        <w:pStyle w:val="ListParagraph"/>
        <w:tabs>
          <w:tab w:val="left" w:pos="426"/>
        </w:tabs>
        <w:ind w:left="426"/>
      </w:pPr>
    </w:p>
    <w:p w:rsidR="005C16F3" w:rsidRDefault="005C16F3" w:rsidP="00E108AB">
      <w:pPr>
        <w:pStyle w:val="ListParagraph"/>
        <w:tabs>
          <w:tab w:val="left" w:pos="426"/>
        </w:tabs>
        <w:ind w:left="426"/>
        <w:rPr>
          <w:bCs/>
        </w:rPr>
      </w:pPr>
      <w:r>
        <w:rPr>
          <w:noProof/>
          <w:lang w:eastAsia="en-GB"/>
        </w:rPr>
        <w:drawing>
          <wp:inline distT="0" distB="0" distL="0" distR="0" wp14:anchorId="5FD18619" wp14:editId="04124EA5">
            <wp:extent cx="5248077" cy="1085850"/>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8863" cy="1086013"/>
                    </a:xfrm>
                    <a:prstGeom prst="rect">
                      <a:avLst/>
                    </a:prstGeom>
                    <a:noFill/>
                    <a:ln>
                      <a:solidFill>
                        <a:schemeClr val="tx1"/>
                      </a:solidFill>
                    </a:ln>
                  </pic:spPr>
                </pic:pic>
              </a:graphicData>
            </a:graphic>
          </wp:inline>
        </w:drawing>
      </w:r>
    </w:p>
    <w:p w:rsidR="005C16F3" w:rsidRPr="00437106" w:rsidRDefault="005C16F3" w:rsidP="00E108AB">
      <w:pPr>
        <w:pStyle w:val="ListParagraph"/>
        <w:tabs>
          <w:tab w:val="left" w:pos="426"/>
        </w:tabs>
        <w:ind w:left="426"/>
        <w:rPr>
          <w:bCs/>
        </w:rPr>
      </w:pPr>
      <w:r>
        <w:rPr>
          <w:bCs/>
        </w:rPr>
        <w:t xml:space="preserve">Fig 1: Current </w:t>
      </w:r>
      <w:r w:rsidR="00BF572F">
        <w:rPr>
          <w:bCs/>
        </w:rPr>
        <w:t xml:space="preserve">approach to ODA </w:t>
      </w:r>
      <w:r>
        <w:rPr>
          <w:bCs/>
        </w:rPr>
        <w:t xml:space="preserve">reporting </w:t>
      </w:r>
      <w:r w:rsidR="00BF572F">
        <w:rPr>
          <w:bCs/>
        </w:rPr>
        <w:t xml:space="preserve">of DFI activities, as followed </w:t>
      </w:r>
      <w:r w:rsidR="006C5BF0">
        <w:rPr>
          <w:bCs/>
        </w:rPr>
        <w:t>by the</w:t>
      </w:r>
      <w:r w:rsidR="00347E97">
        <w:rPr>
          <w:bCs/>
        </w:rPr>
        <w:t xml:space="preserve"> UK and other DAC Members that report equity investments as ODA</w:t>
      </w:r>
    </w:p>
    <w:p w:rsidR="00437106" w:rsidRDefault="00437106" w:rsidP="00E108AB">
      <w:pPr>
        <w:pStyle w:val="ListParagraph"/>
        <w:rPr>
          <w:bCs/>
        </w:rPr>
      </w:pPr>
    </w:p>
    <w:tbl>
      <w:tblPr>
        <w:tblW w:w="9684" w:type="dxa"/>
        <w:tblInd w:w="93" w:type="dxa"/>
        <w:tblLook w:val="04A0" w:firstRow="1" w:lastRow="0" w:firstColumn="1" w:lastColumn="0" w:noHBand="0" w:noVBand="1"/>
      </w:tblPr>
      <w:tblGrid>
        <w:gridCol w:w="9684"/>
      </w:tblGrid>
      <w:tr w:rsidR="00660762" w:rsidRPr="00FD6653" w:rsidTr="006D5701">
        <w:trPr>
          <w:trHeight w:val="300"/>
        </w:trPr>
        <w:tc>
          <w:tcPr>
            <w:tcW w:w="9684" w:type="dxa"/>
            <w:tcBorders>
              <w:top w:val="nil"/>
              <w:left w:val="nil"/>
              <w:bottom w:val="nil"/>
              <w:right w:val="nil"/>
            </w:tcBorders>
            <w:shd w:val="clear" w:color="auto" w:fill="auto"/>
            <w:noWrap/>
            <w:vAlign w:val="bottom"/>
            <w:hideMark/>
          </w:tcPr>
          <w:p w:rsidR="00660762" w:rsidRPr="00CF1121" w:rsidRDefault="00660762" w:rsidP="006C1E3B">
            <w:pPr>
              <w:rPr>
                <w:rFonts w:cs="Arial"/>
                <w:b/>
                <w:bCs/>
                <w:color w:val="000000"/>
                <w:lang w:eastAsia="en-GB"/>
              </w:rPr>
            </w:pPr>
            <w:r w:rsidRPr="00CF1121">
              <w:rPr>
                <w:rFonts w:cs="Arial"/>
                <w:b/>
                <w:bCs/>
                <w:color w:val="000000"/>
                <w:lang w:eastAsia="en-GB"/>
              </w:rPr>
              <w:t xml:space="preserve">Table 1. </w:t>
            </w:r>
            <w:r w:rsidR="006C1E3B" w:rsidRPr="00CF1121">
              <w:rPr>
                <w:rFonts w:cs="Arial"/>
                <w:b/>
                <w:bCs/>
                <w:color w:val="000000"/>
                <w:lang w:eastAsia="en-GB"/>
              </w:rPr>
              <w:t>ODA flows reported by CDC</w:t>
            </w:r>
            <w:r w:rsidRPr="00CF1121">
              <w:rPr>
                <w:rFonts w:cs="Arial"/>
                <w:b/>
                <w:bCs/>
                <w:color w:val="000000"/>
                <w:lang w:eastAsia="en-GB"/>
              </w:rPr>
              <w:t>, £millions</w:t>
            </w:r>
          </w:p>
        </w:tc>
      </w:tr>
    </w:tbl>
    <w:p w:rsidR="00660762" w:rsidRDefault="00660762" w:rsidP="00E108AB">
      <w:pPr>
        <w:pStyle w:val="ListParagraph"/>
        <w:ind w:left="0"/>
        <w:rPr>
          <w:bCs/>
          <w:i/>
        </w:rPr>
      </w:pPr>
    </w:p>
    <w:tbl>
      <w:tblPr>
        <w:tblW w:w="7386" w:type="dxa"/>
        <w:tblInd w:w="93" w:type="dxa"/>
        <w:tblLook w:val="04A0" w:firstRow="1" w:lastRow="0" w:firstColumn="1" w:lastColumn="0" w:noHBand="0" w:noVBand="1"/>
      </w:tblPr>
      <w:tblGrid>
        <w:gridCol w:w="3134"/>
        <w:gridCol w:w="850"/>
        <w:gridCol w:w="719"/>
        <w:gridCol w:w="841"/>
        <w:gridCol w:w="992"/>
        <w:gridCol w:w="850"/>
      </w:tblGrid>
      <w:tr w:rsidR="00FF19D1" w:rsidRPr="00FF19D1" w:rsidTr="00FF19D1">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F19D1" w:rsidRPr="00FF19D1" w:rsidRDefault="00FF19D1" w:rsidP="00FF19D1">
            <w:pPr>
              <w:rPr>
                <w:rFonts w:ascii="Calibri" w:hAnsi="Calibri" w:cs="Calibri"/>
                <w:color w:val="000000"/>
                <w:sz w:val="22"/>
                <w:szCs w:val="22"/>
                <w:lang w:eastAsia="en-GB"/>
              </w:rPr>
            </w:pPr>
            <w:r w:rsidRPr="00FF19D1">
              <w:rPr>
                <w:rFonts w:ascii="Calibri" w:hAnsi="Calibri" w:cs="Calibri"/>
                <w:color w:val="000000"/>
                <w:sz w:val="22"/>
                <w:szCs w:val="22"/>
                <w:lang w:eastAsia="en-GB"/>
              </w:rPr>
              <w:t> </w:t>
            </w:r>
          </w:p>
        </w:tc>
        <w:tc>
          <w:tcPr>
            <w:tcW w:w="850" w:type="dxa"/>
            <w:tcBorders>
              <w:top w:val="single" w:sz="4" w:space="0" w:color="auto"/>
              <w:left w:val="nil"/>
              <w:bottom w:val="single" w:sz="4" w:space="0" w:color="auto"/>
              <w:right w:val="single" w:sz="4" w:space="0" w:color="auto"/>
            </w:tcBorders>
            <w:shd w:val="clear" w:color="000000" w:fill="A6A6A6"/>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2009</w:t>
            </w:r>
          </w:p>
        </w:tc>
        <w:tc>
          <w:tcPr>
            <w:tcW w:w="719" w:type="dxa"/>
            <w:tcBorders>
              <w:top w:val="single" w:sz="4" w:space="0" w:color="auto"/>
              <w:left w:val="nil"/>
              <w:bottom w:val="single" w:sz="4" w:space="0" w:color="auto"/>
              <w:right w:val="single" w:sz="4" w:space="0" w:color="auto"/>
            </w:tcBorders>
            <w:shd w:val="clear" w:color="000000" w:fill="A6A6A6"/>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2010</w:t>
            </w:r>
          </w:p>
        </w:tc>
        <w:tc>
          <w:tcPr>
            <w:tcW w:w="841" w:type="dxa"/>
            <w:tcBorders>
              <w:top w:val="single" w:sz="4" w:space="0" w:color="auto"/>
              <w:left w:val="nil"/>
              <w:bottom w:val="single" w:sz="4" w:space="0" w:color="auto"/>
              <w:right w:val="single" w:sz="4" w:space="0" w:color="auto"/>
            </w:tcBorders>
            <w:shd w:val="clear" w:color="000000" w:fill="A6A6A6"/>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2011</w:t>
            </w:r>
          </w:p>
        </w:tc>
        <w:tc>
          <w:tcPr>
            <w:tcW w:w="992" w:type="dxa"/>
            <w:tcBorders>
              <w:top w:val="single" w:sz="4" w:space="0" w:color="auto"/>
              <w:left w:val="nil"/>
              <w:bottom w:val="single" w:sz="4" w:space="0" w:color="auto"/>
              <w:right w:val="single" w:sz="4" w:space="0" w:color="auto"/>
            </w:tcBorders>
            <w:shd w:val="clear" w:color="000000" w:fill="A6A6A6"/>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2012</w:t>
            </w:r>
          </w:p>
        </w:tc>
        <w:tc>
          <w:tcPr>
            <w:tcW w:w="850" w:type="dxa"/>
            <w:tcBorders>
              <w:top w:val="single" w:sz="4" w:space="0" w:color="auto"/>
              <w:left w:val="nil"/>
              <w:bottom w:val="single" w:sz="4" w:space="0" w:color="auto"/>
              <w:right w:val="single" w:sz="4" w:space="0" w:color="auto"/>
            </w:tcBorders>
            <w:shd w:val="clear" w:color="000000" w:fill="A6A6A6"/>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2013</w:t>
            </w:r>
          </w:p>
        </w:tc>
      </w:tr>
      <w:tr w:rsidR="00FF19D1" w:rsidRPr="00FF19D1" w:rsidTr="00FF19D1">
        <w:trPr>
          <w:trHeight w:val="300"/>
        </w:trPr>
        <w:tc>
          <w:tcPr>
            <w:tcW w:w="3134" w:type="dxa"/>
            <w:tcBorders>
              <w:top w:val="nil"/>
              <w:left w:val="single" w:sz="4" w:space="0" w:color="auto"/>
              <w:bottom w:val="single" w:sz="4" w:space="0" w:color="auto"/>
              <w:right w:val="single" w:sz="4" w:space="0" w:color="auto"/>
            </w:tcBorders>
            <w:shd w:val="clear" w:color="000000" w:fill="A6A6A6"/>
            <w:noWrap/>
            <w:vAlign w:val="bottom"/>
            <w:hideMark/>
          </w:tcPr>
          <w:p w:rsidR="00FF19D1" w:rsidRPr="00FF19D1" w:rsidRDefault="00FF19D1" w:rsidP="00FF19D1">
            <w:pPr>
              <w:rPr>
                <w:rFonts w:ascii="Calibri" w:hAnsi="Calibri" w:cs="Calibri"/>
                <w:color w:val="000000"/>
                <w:sz w:val="22"/>
                <w:szCs w:val="22"/>
                <w:lang w:eastAsia="en-GB"/>
              </w:rPr>
            </w:pPr>
            <w:r w:rsidRPr="00FF19D1">
              <w:rPr>
                <w:rFonts w:ascii="Calibri" w:hAnsi="Calibri" w:cs="Calibri"/>
                <w:color w:val="000000"/>
                <w:sz w:val="22"/>
                <w:szCs w:val="22"/>
                <w:lang w:eastAsia="en-GB"/>
              </w:rPr>
              <w:t>Gross positive ODA from CDC</w:t>
            </w:r>
          </w:p>
        </w:tc>
        <w:tc>
          <w:tcPr>
            <w:tcW w:w="850"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366</w:t>
            </w:r>
          </w:p>
        </w:tc>
        <w:tc>
          <w:tcPr>
            <w:tcW w:w="719"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425</w:t>
            </w:r>
          </w:p>
        </w:tc>
        <w:tc>
          <w:tcPr>
            <w:tcW w:w="841"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296</w:t>
            </w:r>
          </w:p>
        </w:tc>
        <w:tc>
          <w:tcPr>
            <w:tcW w:w="992"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284</w:t>
            </w:r>
          </w:p>
        </w:tc>
        <w:tc>
          <w:tcPr>
            <w:tcW w:w="850"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326</w:t>
            </w:r>
          </w:p>
        </w:tc>
      </w:tr>
      <w:tr w:rsidR="00FF19D1" w:rsidRPr="00FF19D1" w:rsidTr="00FF19D1">
        <w:trPr>
          <w:trHeight w:val="300"/>
        </w:trPr>
        <w:tc>
          <w:tcPr>
            <w:tcW w:w="3134" w:type="dxa"/>
            <w:tcBorders>
              <w:top w:val="nil"/>
              <w:left w:val="single" w:sz="4" w:space="0" w:color="auto"/>
              <w:bottom w:val="single" w:sz="4" w:space="0" w:color="auto"/>
              <w:right w:val="single" w:sz="4" w:space="0" w:color="auto"/>
            </w:tcBorders>
            <w:shd w:val="clear" w:color="000000" w:fill="A6A6A6"/>
            <w:noWrap/>
            <w:vAlign w:val="bottom"/>
            <w:hideMark/>
          </w:tcPr>
          <w:p w:rsidR="00FF19D1" w:rsidRPr="00FF19D1" w:rsidRDefault="00FF19D1" w:rsidP="00FF19D1">
            <w:pPr>
              <w:rPr>
                <w:rFonts w:ascii="Calibri" w:hAnsi="Calibri" w:cs="Calibri"/>
                <w:color w:val="000000"/>
                <w:sz w:val="22"/>
                <w:szCs w:val="22"/>
                <w:lang w:eastAsia="en-GB"/>
              </w:rPr>
            </w:pPr>
            <w:r w:rsidRPr="00FF19D1">
              <w:rPr>
                <w:rFonts w:ascii="Calibri" w:hAnsi="Calibri" w:cs="Calibri"/>
                <w:color w:val="000000"/>
                <w:sz w:val="22"/>
                <w:szCs w:val="22"/>
                <w:lang w:eastAsia="en-GB"/>
              </w:rPr>
              <w:t>Gross negative ODA from CDC</w:t>
            </w:r>
          </w:p>
        </w:tc>
        <w:tc>
          <w:tcPr>
            <w:tcW w:w="850"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133</w:t>
            </w:r>
          </w:p>
        </w:tc>
        <w:tc>
          <w:tcPr>
            <w:tcW w:w="719"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197</w:t>
            </w:r>
          </w:p>
        </w:tc>
        <w:tc>
          <w:tcPr>
            <w:tcW w:w="841"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205</w:t>
            </w:r>
          </w:p>
        </w:tc>
        <w:tc>
          <w:tcPr>
            <w:tcW w:w="992"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181</w:t>
            </w:r>
          </w:p>
        </w:tc>
        <w:tc>
          <w:tcPr>
            <w:tcW w:w="850"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color w:val="000000"/>
                <w:sz w:val="22"/>
                <w:szCs w:val="22"/>
                <w:lang w:eastAsia="en-GB"/>
              </w:rPr>
            </w:pPr>
            <w:r w:rsidRPr="00FF19D1">
              <w:rPr>
                <w:rFonts w:ascii="Calibri" w:hAnsi="Calibri" w:cs="Calibri"/>
                <w:color w:val="000000"/>
                <w:sz w:val="22"/>
                <w:szCs w:val="22"/>
                <w:lang w:eastAsia="en-GB"/>
              </w:rPr>
              <w:t>226</w:t>
            </w:r>
          </w:p>
        </w:tc>
      </w:tr>
      <w:tr w:rsidR="00FF19D1" w:rsidRPr="00FF19D1" w:rsidTr="00FF19D1">
        <w:trPr>
          <w:trHeight w:val="300"/>
        </w:trPr>
        <w:tc>
          <w:tcPr>
            <w:tcW w:w="3134" w:type="dxa"/>
            <w:tcBorders>
              <w:top w:val="nil"/>
              <w:left w:val="single" w:sz="4" w:space="0" w:color="auto"/>
              <w:bottom w:val="single" w:sz="4" w:space="0" w:color="auto"/>
              <w:right w:val="single" w:sz="4" w:space="0" w:color="auto"/>
            </w:tcBorders>
            <w:shd w:val="clear" w:color="000000" w:fill="A6A6A6"/>
            <w:noWrap/>
            <w:vAlign w:val="bottom"/>
            <w:hideMark/>
          </w:tcPr>
          <w:p w:rsidR="00FF19D1" w:rsidRPr="00FF19D1" w:rsidRDefault="00FF19D1" w:rsidP="00FF19D1">
            <w:pPr>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Net ODA from CDC</w:t>
            </w:r>
          </w:p>
        </w:tc>
        <w:tc>
          <w:tcPr>
            <w:tcW w:w="850"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233</w:t>
            </w:r>
          </w:p>
        </w:tc>
        <w:tc>
          <w:tcPr>
            <w:tcW w:w="719"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228</w:t>
            </w:r>
          </w:p>
        </w:tc>
        <w:tc>
          <w:tcPr>
            <w:tcW w:w="841"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91</w:t>
            </w:r>
          </w:p>
        </w:tc>
        <w:tc>
          <w:tcPr>
            <w:tcW w:w="992"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103</w:t>
            </w:r>
          </w:p>
        </w:tc>
        <w:tc>
          <w:tcPr>
            <w:tcW w:w="850"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100</w:t>
            </w:r>
          </w:p>
        </w:tc>
      </w:tr>
      <w:tr w:rsidR="00FF19D1" w:rsidRPr="00FF19D1" w:rsidTr="00FF19D1">
        <w:trPr>
          <w:trHeight w:val="135"/>
        </w:trPr>
        <w:tc>
          <w:tcPr>
            <w:tcW w:w="3134" w:type="dxa"/>
            <w:tcBorders>
              <w:top w:val="nil"/>
              <w:left w:val="nil"/>
              <w:bottom w:val="nil"/>
              <w:right w:val="nil"/>
            </w:tcBorders>
            <w:shd w:val="clear" w:color="auto" w:fill="auto"/>
            <w:noWrap/>
            <w:vAlign w:val="bottom"/>
            <w:hideMark/>
          </w:tcPr>
          <w:p w:rsidR="00FF19D1" w:rsidRPr="00FF19D1" w:rsidRDefault="00FF19D1" w:rsidP="00FF19D1">
            <w:pPr>
              <w:rPr>
                <w:rFonts w:ascii="Calibri" w:hAnsi="Calibri" w:cs="Calibri"/>
                <w:color w:val="000000"/>
                <w:sz w:val="22"/>
                <w:szCs w:val="22"/>
                <w:lang w:eastAsia="en-GB"/>
              </w:rPr>
            </w:pPr>
          </w:p>
        </w:tc>
        <w:tc>
          <w:tcPr>
            <w:tcW w:w="850" w:type="dxa"/>
            <w:tcBorders>
              <w:top w:val="nil"/>
              <w:left w:val="nil"/>
              <w:bottom w:val="nil"/>
              <w:right w:val="nil"/>
            </w:tcBorders>
            <w:shd w:val="clear" w:color="auto" w:fill="auto"/>
            <w:noWrap/>
            <w:vAlign w:val="bottom"/>
            <w:hideMark/>
          </w:tcPr>
          <w:p w:rsidR="00FF19D1" w:rsidRPr="00FF19D1" w:rsidRDefault="00FF19D1" w:rsidP="00FF19D1">
            <w:pPr>
              <w:rPr>
                <w:rFonts w:ascii="Calibri" w:hAnsi="Calibri" w:cs="Calibri"/>
                <w:color w:val="000000"/>
                <w:sz w:val="22"/>
                <w:szCs w:val="22"/>
                <w:lang w:eastAsia="en-GB"/>
              </w:rPr>
            </w:pPr>
          </w:p>
        </w:tc>
        <w:tc>
          <w:tcPr>
            <w:tcW w:w="719" w:type="dxa"/>
            <w:tcBorders>
              <w:top w:val="nil"/>
              <w:left w:val="nil"/>
              <w:bottom w:val="nil"/>
              <w:right w:val="nil"/>
            </w:tcBorders>
            <w:shd w:val="clear" w:color="auto" w:fill="auto"/>
            <w:noWrap/>
            <w:vAlign w:val="bottom"/>
            <w:hideMark/>
          </w:tcPr>
          <w:p w:rsidR="00FF19D1" w:rsidRPr="00FF19D1" w:rsidRDefault="00FF19D1" w:rsidP="00FF19D1">
            <w:pPr>
              <w:rPr>
                <w:rFonts w:ascii="Calibri" w:hAnsi="Calibri" w:cs="Calibri"/>
                <w:color w:val="000000"/>
                <w:sz w:val="22"/>
                <w:szCs w:val="22"/>
                <w:lang w:eastAsia="en-GB"/>
              </w:rPr>
            </w:pPr>
          </w:p>
        </w:tc>
        <w:tc>
          <w:tcPr>
            <w:tcW w:w="841" w:type="dxa"/>
            <w:tcBorders>
              <w:top w:val="nil"/>
              <w:left w:val="nil"/>
              <w:bottom w:val="nil"/>
              <w:right w:val="nil"/>
            </w:tcBorders>
            <w:shd w:val="clear" w:color="auto" w:fill="auto"/>
            <w:noWrap/>
            <w:vAlign w:val="bottom"/>
            <w:hideMark/>
          </w:tcPr>
          <w:p w:rsidR="00FF19D1" w:rsidRPr="00FF19D1" w:rsidRDefault="00FF19D1" w:rsidP="00FF19D1">
            <w:pPr>
              <w:rPr>
                <w:rFonts w:ascii="Calibri" w:hAnsi="Calibri" w:cs="Calibri"/>
                <w:color w:val="000000"/>
                <w:sz w:val="22"/>
                <w:szCs w:val="22"/>
                <w:lang w:eastAsia="en-GB"/>
              </w:rPr>
            </w:pPr>
          </w:p>
        </w:tc>
        <w:tc>
          <w:tcPr>
            <w:tcW w:w="992" w:type="dxa"/>
            <w:tcBorders>
              <w:top w:val="nil"/>
              <w:left w:val="nil"/>
              <w:bottom w:val="nil"/>
              <w:right w:val="nil"/>
            </w:tcBorders>
            <w:shd w:val="clear" w:color="auto" w:fill="auto"/>
            <w:noWrap/>
            <w:vAlign w:val="bottom"/>
            <w:hideMark/>
          </w:tcPr>
          <w:p w:rsidR="00FF19D1" w:rsidRPr="00FF19D1" w:rsidRDefault="00FF19D1" w:rsidP="00FF19D1">
            <w:pPr>
              <w:rPr>
                <w:rFonts w:ascii="Calibri" w:hAnsi="Calibri" w:cs="Calibri"/>
                <w:color w:val="000000"/>
                <w:sz w:val="22"/>
                <w:szCs w:val="22"/>
                <w:lang w:eastAsia="en-GB"/>
              </w:rPr>
            </w:pPr>
          </w:p>
        </w:tc>
        <w:tc>
          <w:tcPr>
            <w:tcW w:w="850" w:type="dxa"/>
            <w:tcBorders>
              <w:top w:val="nil"/>
              <w:left w:val="nil"/>
              <w:bottom w:val="nil"/>
              <w:right w:val="nil"/>
            </w:tcBorders>
            <w:shd w:val="clear" w:color="auto" w:fill="auto"/>
            <w:noWrap/>
            <w:vAlign w:val="bottom"/>
            <w:hideMark/>
          </w:tcPr>
          <w:p w:rsidR="00FF19D1" w:rsidRPr="00FF19D1" w:rsidRDefault="00FF19D1" w:rsidP="00FF19D1">
            <w:pPr>
              <w:rPr>
                <w:rFonts w:ascii="Calibri" w:hAnsi="Calibri" w:cs="Calibri"/>
                <w:color w:val="000000"/>
                <w:sz w:val="22"/>
                <w:szCs w:val="22"/>
                <w:lang w:eastAsia="en-GB"/>
              </w:rPr>
            </w:pPr>
          </w:p>
        </w:tc>
      </w:tr>
      <w:tr w:rsidR="00FF19D1" w:rsidRPr="00FF19D1" w:rsidTr="00FF19D1">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F19D1" w:rsidRPr="00FF19D1" w:rsidRDefault="00FF19D1" w:rsidP="00FF19D1">
            <w:pPr>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 xml:space="preserve">Total  UK Net ODA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19D1" w:rsidRPr="00FF19D1" w:rsidRDefault="00FF19D1" w:rsidP="00FF19D1">
            <w:pPr>
              <w:jc w:val="right"/>
              <w:rPr>
                <w:rFonts w:ascii="Calibri" w:hAnsi="Calibri" w:cs="Calibri"/>
                <w:b/>
                <w:bCs/>
                <w:sz w:val="22"/>
                <w:szCs w:val="22"/>
                <w:lang w:eastAsia="en-GB"/>
              </w:rPr>
            </w:pPr>
            <w:r w:rsidRPr="00FF19D1">
              <w:rPr>
                <w:rFonts w:ascii="Calibri" w:hAnsi="Calibri" w:cs="Calibri"/>
                <w:b/>
                <w:bCs/>
                <w:sz w:val="22"/>
                <w:szCs w:val="22"/>
                <w:lang w:eastAsia="en-GB"/>
              </w:rPr>
              <w:t>7,301</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FF19D1" w:rsidRPr="00FF19D1" w:rsidRDefault="00FF19D1" w:rsidP="00FF19D1">
            <w:pPr>
              <w:jc w:val="right"/>
              <w:rPr>
                <w:rFonts w:ascii="Calibri" w:hAnsi="Calibri" w:cs="Calibri"/>
                <w:b/>
                <w:bCs/>
                <w:sz w:val="22"/>
                <w:szCs w:val="22"/>
                <w:lang w:eastAsia="en-GB"/>
              </w:rPr>
            </w:pPr>
            <w:r w:rsidRPr="00FF19D1">
              <w:rPr>
                <w:rFonts w:ascii="Calibri" w:hAnsi="Calibri" w:cs="Calibri"/>
                <w:b/>
                <w:bCs/>
                <w:sz w:val="22"/>
                <w:szCs w:val="22"/>
                <w:lang w:eastAsia="en-GB"/>
              </w:rPr>
              <w:t>8,529</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FF19D1" w:rsidRPr="00FF19D1" w:rsidRDefault="00FF19D1" w:rsidP="00FF19D1">
            <w:pPr>
              <w:jc w:val="right"/>
              <w:rPr>
                <w:rFonts w:ascii="Calibri" w:hAnsi="Calibri" w:cs="Calibri"/>
                <w:b/>
                <w:bCs/>
                <w:sz w:val="22"/>
                <w:szCs w:val="22"/>
                <w:lang w:eastAsia="en-GB"/>
              </w:rPr>
            </w:pPr>
            <w:r w:rsidRPr="00FF19D1">
              <w:rPr>
                <w:rFonts w:ascii="Calibri" w:hAnsi="Calibri" w:cs="Calibri"/>
                <w:b/>
                <w:bCs/>
                <w:sz w:val="22"/>
                <w:szCs w:val="22"/>
                <w:lang w:eastAsia="en-GB"/>
              </w:rPr>
              <w:t>8,629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F19D1" w:rsidRPr="00FF19D1" w:rsidRDefault="00FF19D1" w:rsidP="00FF19D1">
            <w:pPr>
              <w:jc w:val="right"/>
              <w:rPr>
                <w:rFonts w:ascii="Calibri" w:hAnsi="Calibri" w:cs="Calibri"/>
                <w:b/>
                <w:bCs/>
                <w:sz w:val="22"/>
                <w:szCs w:val="22"/>
                <w:lang w:eastAsia="en-GB"/>
              </w:rPr>
            </w:pPr>
            <w:r w:rsidRPr="00FF19D1">
              <w:rPr>
                <w:rFonts w:ascii="Calibri" w:hAnsi="Calibri" w:cs="Calibri"/>
                <w:b/>
                <w:bCs/>
                <w:sz w:val="22"/>
                <w:szCs w:val="22"/>
                <w:lang w:eastAsia="en-GB"/>
              </w:rPr>
              <w:t>8,802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19D1" w:rsidRPr="00FF19D1" w:rsidRDefault="00FF19D1" w:rsidP="00FF19D1">
            <w:pPr>
              <w:jc w:val="right"/>
              <w:rPr>
                <w:rFonts w:ascii="Calibri" w:hAnsi="Calibri" w:cs="Calibri"/>
                <w:b/>
                <w:bCs/>
                <w:sz w:val="22"/>
                <w:szCs w:val="22"/>
                <w:lang w:eastAsia="en-GB"/>
              </w:rPr>
            </w:pPr>
            <w:r w:rsidRPr="00FF19D1">
              <w:rPr>
                <w:rFonts w:ascii="Calibri" w:hAnsi="Calibri" w:cs="Calibri"/>
                <w:b/>
                <w:bCs/>
                <w:sz w:val="22"/>
                <w:szCs w:val="22"/>
                <w:lang w:eastAsia="en-GB"/>
              </w:rPr>
              <w:t>11,462</w:t>
            </w:r>
          </w:p>
        </w:tc>
      </w:tr>
      <w:tr w:rsidR="00FF19D1" w:rsidRPr="00FF19D1" w:rsidTr="00FF19D1">
        <w:trPr>
          <w:trHeight w:val="300"/>
        </w:trPr>
        <w:tc>
          <w:tcPr>
            <w:tcW w:w="3134" w:type="dxa"/>
            <w:tcBorders>
              <w:top w:val="nil"/>
              <w:left w:val="single" w:sz="4" w:space="0" w:color="auto"/>
              <w:bottom w:val="single" w:sz="4" w:space="0" w:color="auto"/>
              <w:right w:val="single" w:sz="4" w:space="0" w:color="auto"/>
            </w:tcBorders>
            <w:shd w:val="clear" w:color="000000" w:fill="BFBFBF"/>
            <w:noWrap/>
            <w:vAlign w:val="bottom"/>
            <w:hideMark/>
          </w:tcPr>
          <w:p w:rsidR="00FF19D1" w:rsidRPr="00FF19D1" w:rsidRDefault="00FF19D1" w:rsidP="00FF19D1">
            <w:pPr>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CDC Net ODA as a proportion of UK ODA (%)</w:t>
            </w:r>
          </w:p>
        </w:tc>
        <w:tc>
          <w:tcPr>
            <w:tcW w:w="850"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3%</w:t>
            </w:r>
          </w:p>
        </w:tc>
        <w:tc>
          <w:tcPr>
            <w:tcW w:w="719"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3%</w:t>
            </w:r>
          </w:p>
        </w:tc>
        <w:tc>
          <w:tcPr>
            <w:tcW w:w="841"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1%</w:t>
            </w:r>
          </w:p>
        </w:tc>
        <w:tc>
          <w:tcPr>
            <w:tcW w:w="992"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FF19D1" w:rsidRPr="00FF19D1" w:rsidRDefault="00FF19D1" w:rsidP="00FF19D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1%</w:t>
            </w:r>
          </w:p>
        </w:tc>
      </w:tr>
    </w:tbl>
    <w:p w:rsidR="006C1E3B" w:rsidRDefault="006C1E3B" w:rsidP="00E108AB">
      <w:pPr>
        <w:pStyle w:val="ListParagraph"/>
        <w:ind w:left="0"/>
        <w:rPr>
          <w:bCs/>
          <w:i/>
        </w:rPr>
      </w:pPr>
    </w:p>
    <w:p w:rsidR="006C1E3B" w:rsidRDefault="006C1E3B" w:rsidP="00E108AB">
      <w:pPr>
        <w:pStyle w:val="ListParagraph"/>
        <w:ind w:left="0"/>
        <w:rPr>
          <w:bCs/>
          <w:i/>
        </w:rPr>
      </w:pPr>
    </w:p>
    <w:p w:rsidR="00437106" w:rsidRPr="00660762" w:rsidRDefault="00437106" w:rsidP="00E108AB">
      <w:pPr>
        <w:pStyle w:val="ListParagraph"/>
        <w:ind w:left="0"/>
        <w:rPr>
          <w:bCs/>
          <w:i/>
        </w:rPr>
      </w:pPr>
      <w:r w:rsidRPr="00437106">
        <w:rPr>
          <w:bCs/>
          <w:i/>
        </w:rPr>
        <w:t xml:space="preserve">C. </w:t>
      </w:r>
      <w:r w:rsidR="000C3B99">
        <w:rPr>
          <w:i/>
        </w:rPr>
        <w:t>Challenges</w:t>
      </w:r>
      <w:r w:rsidRPr="00437106">
        <w:rPr>
          <w:i/>
        </w:rPr>
        <w:t xml:space="preserve"> with current approach</w:t>
      </w:r>
    </w:p>
    <w:p w:rsidR="00437106" w:rsidRPr="00437106" w:rsidRDefault="00437106" w:rsidP="00E108AB">
      <w:pPr>
        <w:pStyle w:val="ListParagraph"/>
        <w:ind w:left="0"/>
        <w:rPr>
          <w:i/>
        </w:rPr>
      </w:pPr>
    </w:p>
    <w:p w:rsidR="00DC7B6E" w:rsidRPr="0024231A" w:rsidRDefault="00D46446" w:rsidP="00DC7B6E">
      <w:pPr>
        <w:pStyle w:val="ListParagraph"/>
        <w:ind w:left="0"/>
        <w:rPr>
          <w:i/>
        </w:rPr>
      </w:pPr>
      <w:r>
        <w:rPr>
          <w:i/>
        </w:rPr>
        <w:t>i. I</w:t>
      </w:r>
      <w:r w:rsidR="00DC7B6E" w:rsidRPr="0024231A">
        <w:rPr>
          <w:i/>
        </w:rPr>
        <w:t xml:space="preserve">nternational comparability </w:t>
      </w:r>
      <w:r w:rsidR="006C52F8">
        <w:rPr>
          <w:i/>
        </w:rPr>
        <w:t>and different interpretations of DAC guidance</w:t>
      </w:r>
    </w:p>
    <w:p w:rsidR="00DC7B6E" w:rsidRPr="006A163B" w:rsidRDefault="00DC7B6E" w:rsidP="003F5F06">
      <w:pPr>
        <w:pStyle w:val="ListParagraph"/>
        <w:numPr>
          <w:ilvl w:val="0"/>
          <w:numId w:val="41"/>
        </w:numPr>
      </w:pPr>
      <w:r>
        <w:t xml:space="preserve">The </w:t>
      </w:r>
      <w:r w:rsidRPr="006A163B">
        <w:t xml:space="preserve">DAC Secretariat conducted a statistical review of DFIs in 2012 which highlights some </w:t>
      </w:r>
      <w:r>
        <w:t>important differences in</w:t>
      </w:r>
      <w:r w:rsidRPr="006A163B">
        <w:t xml:space="preserve"> the reporting practices of DFI operations</w:t>
      </w:r>
      <w:r w:rsidR="00660762">
        <w:rPr>
          <w:rStyle w:val="FootnoteReference"/>
        </w:rPr>
        <w:footnoteReference w:id="10"/>
      </w:r>
      <w:r>
        <w:rPr>
          <w:vertAlign w:val="superscript"/>
        </w:rPr>
        <w:t>.</w:t>
      </w:r>
      <w:r w:rsidRPr="006A163B">
        <w:t xml:space="preserve"> We have investigated the current reporting practices of DAC donors in more detail. </w:t>
      </w:r>
      <w:r>
        <w:t xml:space="preserve">It has been difficult to arrive at a complete understanding of current practices, and the picture has </w:t>
      </w:r>
      <w:r w:rsidR="009347A9">
        <w:t>changed</w:t>
      </w:r>
      <w:r>
        <w:t xml:space="preserve"> since we started to look at this following the short quality review in July 2013. Our broad understanding is that of the 2</w:t>
      </w:r>
      <w:r w:rsidR="006C1E3B">
        <w:t>7</w:t>
      </w:r>
      <w:r w:rsidRPr="006A163B">
        <w:t xml:space="preserve"> DAC donors</w:t>
      </w:r>
      <w:r w:rsidR="006C1E3B">
        <w:t xml:space="preserve"> </w:t>
      </w:r>
      <w:r w:rsidR="00D71B60">
        <w:t xml:space="preserve">in 2013 </w:t>
      </w:r>
      <w:r w:rsidR="006C1E3B">
        <w:t>(excluding the EU)</w:t>
      </w:r>
      <w:r w:rsidRPr="006A163B">
        <w:t xml:space="preserve">: </w:t>
      </w:r>
    </w:p>
    <w:p w:rsidR="00DC7B6E" w:rsidRPr="006A163B" w:rsidRDefault="00DC7B6E" w:rsidP="00DC7B6E">
      <w:pPr>
        <w:numPr>
          <w:ilvl w:val="0"/>
          <w:numId w:val="21"/>
        </w:numPr>
        <w:spacing w:before="120" w:after="120"/>
        <w:ind w:hanging="357"/>
      </w:pPr>
      <w:r w:rsidRPr="006A163B">
        <w:t>9 do not have a DFI;</w:t>
      </w:r>
    </w:p>
    <w:p w:rsidR="00DC7B6E" w:rsidRPr="006A163B" w:rsidRDefault="00DC7B6E" w:rsidP="00DC7B6E">
      <w:pPr>
        <w:numPr>
          <w:ilvl w:val="0"/>
          <w:numId w:val="21"/>
        </w:numPr>
        <w:spacing w:before="120" w:after="120"/>
        <w:ind w:hanging="357"/>
      </w:pPr>
      <w:r w:rsidRPr="006A163B">
        <w:t>9 do not report their DFI</w:t>
      </w:r>
      <w:r w:rsidR="00434481">
        <w:t>’s</w:t>
      </w:r>
      <w:r w:rsidRPr="006A163B">
        <w:t xml:space="preserve"> </w:t>
      </w:r>
      <w:r w:rsidR="00434481">
        <w:t xml:space="preserve">equity </w:t>
      </w:r>
      <w:r w:rsidRPr="006A163B">
        <w:t>investments to the DAC; and</w:t>
      </w:r>
    </w:p>
    <w:p w:rsidR="00DC7B6E" w:rsidRPr="006A163B" w:rsidRDefault="00DC7B6E" w:rsidP="00DC7B6E">
      <w:pPr>
        <w:numPr>
          <w:ilvl w:val="0"/>
          <w:numId w:val="21"/>
        </w:numPr>
        <w:spacing w:before="120" w:after="120"/>
        <w:ind w:hanging="357"/>
      </w:pPr>
      <w:r w:rsidRPr="006A163B">
        <w:t>9 do report their DFI</w:t>
      </w:r>
      <w:r w:rsidR="00434481">
        <w:t>’s equity</w:t>
      </w:r>
      <w:r w:rsidRPr="006A163B">
        <w:t xml:space="preserve"> investments to the DAC. Of these:</w:t>
      </w:r>
    </w:p>
    <w:p w:rsidR="00DC7B6E" w:rsidRPr="006A163B" w:rsidRDefault="00DC7B6E" w:rsidP="00DC7B6E">
      <w:pPr>
        <w:numPr>
          <w:ilvl w:val="0"/>
          <w:numId w:val="22"/>
        </w:numPr>
        <w:spacing w:before="120" w:after="120"/>
        <w:ind w:hanging="357"/>
      </w:pPr>
      <w:r w:rsidRPr="006A163B">
        <w:t>8, including the UK, report equity investments as ODA;</w:t>
      </w:r>
    </w:p>
    <w:p w:rsidR="00434481" w:rsidRDefault="00DC7B6E" w:rsidP="00156FBE">
      <w:pPr>
        <w:numPr>
          <w:ilvl w:val="0"/>
          <w:numId w:val="22"/>
        </w:numPr>
        <w:spacing w:before="120" w:after="120"/>
        <w:ind w:hanging="357"/>
      </w:pPr>
      <w:r>
        <w:t xml:space="preserve">1, Sweden, </w:t>
      </w:r>
      <w:r w:rsidRPr="006A163B">
        <w:t>reports equity investments as O</w:t>
      </w:r>
      <w:r w:rsidR="00A56A4A">
        <w:t>ther Official Flows</w:t>
      </w:r>
      <w:r w:rsidR="009347A9">
        <w:rPr>
          <w:rStyle w:val="FootnoteReference"/>
        </w:rPr>
        <w:footnoteReference w:id="11"/>
      </w:r>
      <w:r w:rsidR="00A56A4A">
        <w:t xml:space="preserve"> (O</w:t>
      </w:r>
      <w:r w:rsidRPr="006A163B">
        <w:t>OF</w:t>
      </w:r>
      <w:r w:rsidR="00A56A4A">
        <w:t>)</w:t>
      </w:r>
      <w:r w:rsidRPr="006A163B">
        <w:t>.</w:t>
      </w:r>
    </w:p>
    <w:p w:rsidR="00437106" w:rsidRPr="00437106" w:rsidRDefault="002F4325" w:rsidP="003F5F06">
      <w:pPr>
        <w:pStyle w:val="ListParagraph"/>
        <w:numPr>
          <w:ilvl w:val="0"/>
          <w:numId w:val="41"/>
        </w:numPr>
        <w:rPr>
          <w:rFonts w:cs="Arial"/>
        </w:rPr>
      </w:pPr>
      <w:r>
        <w:rPr>
          <w:rFonts w:ascii="TimesNewRoman,Bold" w:hAnsi="TimesNewRoman,Bold" w:cs="TimesNewRoman,Bold"/>
          <w:bCs/>
          <w:lang w:eastAsia="en-GB"/>
        </w:rPr>
        <w:lastRenderedPageBreak/>
        <w:t>International guidance on how to report ODA is set out in the OECD’s converged statistical reporting directives</w:t>
      </w:r>
      <w:r w:rsidR="00660762">
        <w:rPr>
          <w:rStyle w:val="FootnoteReference"/>
          <w:rFonts w:ascii="TimesNewRoman,Bold" w:hAnsi="TimesNewRoman,Bold" w:cs="TimesNewRoman,Bold"/>
          <w:bCs/>
          <w:lang w:eastAsia="en-GB"/>
        </w:rPr>
        <w:footnoteReference w:id="12"/>
      </w:r>
      <w:r w:rsidR="00660762">
        <w:rPr>
          <w:rFonts w:ascii="TimesNewRoman,Bold" w:hAnsi="TimesNewRoman,Bold" w:cs="TimesNewRoman,Bold"/>
          <w:bCs/>
          <w:lang w:eastAsia="en-GB"/>
        </w:rPr>
        <w:t>.</w:t>
      </w:r>
      <w:r>
        <w:rPr>
          <w:rFonts w:ascii="TimesNewRoman,Bold" w:hAnsi="TimesNewRoman,Bold" w:cs="TimesNewRoman,Bold"/>
          <w:bCs/>
          <w:lang w:eastAsia="en-GB"/>
        </w:rPr>
        <w:t xml:space="preserve"> </w:t>
      </w:r>
      <w:r w:rsidR="00437106" w:rsidRPr="00437106">
        <w:rPr>
          <w:rFonts w:ascii="TimesNewRoman,Bold" w:hAnsi="TimesNewRoman,Bold" w:cs="TimesNewRoman,Bold"/>
          <w:bCs/>
          <w:lang w:eastAsia="en-GB"/>
        </w:rPr>
        <w:t xml:space="preserve">Paragraph 16 of the </w:t>
      </w:r>
      <w:r>
        <w:rPr>
          <w:rFonts w:ascii="TimesNewRoman,Bold" w:hAnsi="TimesNewRoman,Bold" w:cs="TimesNewRoman,Bold"/>
          <w:bCs/>
          <w:lang w:eastAsia="en-GB"/>
        </w:rPr>
        <w:t xml:space="preserve">guidance </w:t>
      </w:r>
      <w:r w:rsidR="00437106" w:rsidRPr="00437106">
        <w:rPr>
          <w:rFonts w:ascii="TimesNewRoman,Bold" w:hAnsi="TimesNewRoman,Bold" w:cs="TimesNewRoman,Bold"/>
          <w:bCs/>
          <w:lang w:eastAsia="en-GB"/>
        </w:rPr>
        <w:t>define</w:t>
      </w:r>
      <w:r>
        <w:rPr>
          <w:rFonts w:ascii="TimesNewRoman,Bold" w:hAnsi="TimesNewRoman,Bold" w:cs="TimesNewRoman,Bold"/>
          <w:bCs/>
          <w:lang w:eastAsia="en-GB"/>
        </w:rPr>
        <w:t>s</w:t>
      </w:r>
      <w:r w:rsidR="00437106" w:rsidRPr="00437106">
        <w:rPr>
          <w:rFonts w:ascii="TimesNewRoman,Bold" w:hAnsi="TimesNewRoman,Bold" w:cs="TimesNewRoman,Bold"/>
          <w:bCs/>
          <w:lang w:eastAsia="en-GB"/>
        </w:rPr>
        <w:t xml:space="preserve"> whether a transaction is treated as ODA or OOF, respectively. The text implies that a flow should be treated as ODA, if the following four conditions are met:</w:t>
      </w:r>
    </w:p>
    <w:p w:rsidR="00437106" w:rsidRPr="001E1CA1" w:rsidRDefault="00437106" w:rsidP="00E108AB">
      <w:pPr>
        <w:autoSpaceDE w:val="0"/>
        <w:autoSpaceDN w:val="0"/>
        <w:adjustRightInd w:val="0"/>
        <w:ind w:left="709"/>
        <w:rPr>
          <w:rFonts w:cs="Arial"/>
          <w:lang w:eastAsia="en-GB"/>
        </w:rPr>
      </w:pPr>
      <w:r>
        <w:rPr>
          <w:rFonts w:cs="Arial"/>
          <w:lang w:eastAsia="en-GB"/>
        </w:rPr>
        <w:t>i</w:t>
      </w:r>
      <w:r w:rsidR="006C5BF0">
        <w:rPr>
          <w:rFonts w:cs="Arial"/>
          <w:lang w:eastAsia="en-GB"/>
        </w:rPr>
        <w:t>.</w:t>
      </w:r>
      <w:r>
        <w:rPr>
          <w:rFonts w:cs="Arial"/>
          <w:lang w:eastAsia="en-GB"/>
        </w:rPr>
        <w:tab/>
      </w:r>
      <w:r w:rsidRPr="001E1CA1">
        <w:rPr>
          <w:rFonts w:cs="Arial"/>
          <w:lang w:eastAsia="en-GB"/>
        </w:rPr>
        <w:t>The flow needs to be provided by an official agency (including state and local government agencies, or their executive agencies);</w:t>
      </w:r>
    </w:p>
    <w:p w:rsidR="00437106" w:rsidRPr="001E1CA1" w:rsidRDefault="00437106" w:rsidP="00E108AB">
      <w:pPr>
        <w:autoSpaceDE w:val="0"/>
        <w:autoSpaceDN w:val="0"/>
        <w:adjustRightInd w:val="0"/>
        <w:ind w:left="709"/>
        <w:rPr>
          <w:rFonts w:cs="Arial"/>
          <w:lang w:eastAsia="en-GB"/>
        </w:rPr>
      </w:pPr>
      <w:r>
        <w:rPr>
          <w:rFonts w:cs="Arial"/>
          <w:lang w:eastAsia="en-GB"/>
        </w:rPr>
        <w:t>ii</w:t>
      </w:r>
      <w:r w:rsidR="006C5BF0">
        <w:rPr>
          <w:rFonts w:cs="Arial"/>
          <w:lang w:eastAsia="en-GB"/>
        </w:rPr>
        <w:t>.</w:t>
      </w:r>
      <w:r>
        <w:rPr>
          <w:rFonts w:cs="Arial"/>
          <w:lang w:eastAsia="en-GB"/>
        </w:rPr>
        <w:tab/>
      </w:r>
      <w:r w:rsidRPr="001E1CA1">
        <w:rPr>
          <w:rFonts w:cs="Arial"/>
          <w:lang w:eastAsia="en-GB"/>
        </w:rPr>
        <w:t>The flow should be restricted to countr</w:t>
      </w:r>
      <w:r>
        <w:rPr>
          <w:rFonts w:cs="Arial"/>
          <w:lang w:eastAsia="en-GB"/>
        </w:rPr>
        <w:t>ies and territories on the DAC l</w:t>
      </w:r>
      <w:r w:rsidRPr="001E1CA1">
        <w:rPr>
          <w:rFonts w:cs="Arial"/>
          <w:lang w:eastAsia="en-GB"/>
        </w:rPr>
        <w:t>ist of ODA Recipients and to multilateral development institutions;</w:t>
      </w:r>
    </w:p>
    <w:p w:rsidR="00437106" w:rsidRPr="001E1CA1" w:rsidRDefault="00437106" w:rsidP="00E108AB">
      <w:pPr>
        <w:autoSpaceDE w:val="0"/>
        <w:autoSpaceDN w:val="0"/>
        <w:adjustRightInd w:val="0"/>
        <w:ind w:left="709"/>
        <w:rPr>
          <w:rFonts w:cs="Arial"/>
          <w:bCs/>
          <w:lang w:eastAsia="en-GB"/>
        </w:rPr>
      </w:pPr>
      <w:r>
        <w:rPr>
          <w:rFonts w:cs="Arial"/>
          <w:lang w:eastAsia="en-GB"/>
        </w:rPr>
        <w:t>iii</w:t>
      </w:r>
      <w:r w:rsidR="006C5BF0">
        <w:rPr>
          <w:rFonts w:cs="Arial"/>
          <w:lang w:eastAsia="en-GB"/>
        </w:rPr>
        <w:t>.</w:t>
      </w:r>
      <w:r>
        <w:rPr>
          <w:rFonts w:cs="Arial"/>
          <w:lang w:eastAsia="en-GB"/>
        </w:rPr>
        <w:tab/>
      </w:r>
      <w:r w:rsidRPr="001E1CA1">
        <w:rPr>
          <w:rFonts w:cs="Arial"/>
          <w:lang w:eastAsia="en-GB"/>
        </w:rPr>
        <w:t>The main objective of the flow should be the promotion of the economic development and welfare of developing countries; and</w:t>
      </w:r>
    </w:p>
    <w:p w:rsidR="00437106" w:rsidRDefault="00437106" w:rsidP="00E108AB">
      <w:pPr>
        <w:autoSpaceDE w:val="0"/>
        <w:autoSpaceDN w:val="0"/>
        <w:adjustRightInd w:val="0"/>
        <w:ind w:left="709"/>
        <w:rPr>
          <w:rFonts w:cs="Arial"/>
          <w:lang w:eastAsia="en-GB"/>
        </w:rPr>
      </w:pPr>
      <w:r>
        <w:rPr>
          <w:rFonts w:cs="Arial"/>
          <w:lang w:eastAsia="en-GB"/>
        </w:rPr>
        <w:t>iv</w:t>
      </w:r>
      <w:r w:rsidR="006C5BF0">
        <w:rPr>
          <w:rFonts w:cs="Arial"/>
          <w:lang w:eastAsia="en-GB"/>
        </w:rPr>
        <w:t>.</w:t>
      </w:r>
      <w:r>
        <w:rPr>
          <w:rFonts w:cs="Arial"/>
          <w:lang w:eastAsia="en-GB"/>
        </w:rPr>
        <w:tab/>
      </w:r>
      <w:r w:rsidRPr="001E1CA1">
        <w:rPr>
          <w:rFonts w:cs="Arial"/>
          <w:lang w:eastAsia="en-GB"/>
        </w:rPr>
        <w:t>The flow should be “concessional in character”.</w:t>
      </w:r>
    </w:p>
    <w:p w:rsidR="00321832" w:rsidRDefault="00437106" w:rsidP="003F5F06">
      <w:pPr>
        <w:pStyle w:val="ListParagraph"/>
        <w:numPr>
          <w:ilvl w:val="0"/>
          <w:numId w:val="41"/>
        </w:numPr>
        <w:tabs>
          <w:tab w:val="left" w:pos="426"/>
          <w:tab w:val="left" w:pos="709"/>
        </w:tabs>
      </w:pPr>
      <w:r w:rsidRPr="002F4325">
        <w:rPr>
          <w:rFonts w:ascii="TimesNewRoman,Bold" w:hAnsi="TimesNewRoman,Bold" w:cs="TimesNewRoman,Bold"/>
          <w:bCs/>
          <w:lang w:eastAsia="en-GB"/>
        </w:rPr>
        <w:t xml:space="preserve">CDC’s </w:t>
      </w:r>
      <w:r w:rsidR="00E108AB">
        <w:rPr>
          <w:rFonts w:ascii="TimesNewRoman,Bold" w:hAnsi="TimesNewRoman,Bold" w:cs="TimesNewRoman,Bold"/>
          <w:bCs/>
          <w:lang w:eastAsia="en-GB"/>
        </w:rPr>
        <w:t xml:space="preserve">equity </w:t>
      </w:r>
      <w:r w:rsidR="0047466A">
        <w:rPr>
          <w:rFonts w:ascii="TimesNewRoman,Bold" w:hAnsi="TimesNewRoman,Bold" w:cs="TimesNewRoman,Bold"/>
          <w:bCs/>
          <w:lang w:eastAsia="en-GB"/>
        </w:rPr>
        <w:t>transactions</w:t>
      </w:r>
      <w:r w:rsidRPr="002F4325">
        <w:rPr>
          <w:rFonts w:ascii="TimesNewRoman,Bold" w:hAnsi="TimesNewRoman,Bold" w:cs="TimesNewRoman,Bold"/>
          <w:bCs/>
          <w:lang w:eastAsia="en-GB"/>
        </w:rPr>
        <w:t xml:space="preserve"> meet the first three ODA conditions identified above</w:t>
      </w:r>
      <w:r w:rsidR="00F65359">
        <w:rPr>
          <w:rStyle w:val="FootnoteReference"/>
          <w:rFonts w:ascii="TimesNewRoman,Bold" w:hAnsi="TimesNewRoman,Bold" w:cs="TimesNewRoman,Bold"/>
          <w:bCs/>
          <w:lang w:eastAsia="en-GB"/>
        </w:rPr>
        <w:footnoteReference w:id="13"/>
      </w:r>
      <w:r w:rsidRPr="002F4325">
        <w:rPr>
          <w:rFonts w:ascii="TimesNewRoman,Bold" w:hAnsi="TimesNewRoman,Bold" w:cs="TimesNewRoman,Bold"/>
          <w:bCs/>
          <w:lang w:eastAsia="en-GB"/>
        </w:rPr>
        <w:t xml:space="preserve">. </w:t>
      </w:r>
      <w:r w:rsidRPr="00B209F5">
        <w:t xml:space="preserve">For the fourth condition, the only </w:t>
      </w:r>
      <w:r w:rsidR="00644661">
        <w:t>information</w:t>
      </w:r>
      <w:r w:rsidR="00644661" w:rsidRPr="00B209F5">
        <w:t xml:space="preserve"> </w:t>
      </w:r>
      <w:r w:rsidRPr="00B209F5">
        <w:t xml:space="preserve">provided in the DAC guidance </w:t>
      </w:r>
      <w:r w:rsidR="00644661">
        <w:t xml:space="preserve">on concessionality </w:t>
      </w:r>
      <w:r w:rsidRPr="00B209F5">
        <w:t xml:space="preserve">is the reference in para 16, that a </w:t>
      </w:r>
      <w:r w:rsidRPr="002F4325">
        <w:rPr>
          <w:rFonts w:ascii="TimesNewRoman,Bold" w:hAnsi="TimesNewRoman,Bold" w:cs="TimesNewRoman,Bold"/>
          <w:bCs/>
          <w:lang w:eastAsia="en-GB"/>
        </w:rPr>
        <w:t>flow “</w:t>
      </w:r>
      <w:r w:rsidRPr="002F4325">
        <w:rPr>
          <w:rFonts w:cs="Arial"/>
          <w:lang w:eastAsia="en-GB"/>
        </w:rPr>
        <w:t xml:space="preserve">is concessional in character and conveys a grant element of at least 25 per cent (calculated at a rate of discount of 10 per cent).” </w:t>
      </w:r>
      <w:r w:rsidR="00321832">
        <w:rPr>
          <w:rFonts w:cs="Arial"/>
          <w:lang w:eastAsia="en-GB"/>
        </w:rPr>
        <w:t>T</w:t>
      </w:r>
      <w:r w:rsidRPr="002F4325">
        <w:rPr>
          <w:rFonts w:cs="Arial"/>
          <w:lang w:eastAsia="en-GB"/>
        </w:rPr>
        <w:t>his information can be used to judge the concessional nature of certain financial instruments, for example, loans</w:t>
      </w:r>
      <w:r w:rsidR="00321832">
        <w:rPr>
          <w:rFonts w:cs="Arial"/>
          <w:lang w:eastAsia="en-GB"/>
        </w:rPr>
        <w:t>.</w:t>
      </w:r>
      <w:r w:rsidRPr="002F4325">
        <w:rPr>
          <w:rFonts w:cs="Arial"/>
          <w:lang w:eastAsia="en-GB"/>
        </w:rPr>
        <w:t xml:space="preserve"> </w:t>
      </w:r>
      <w:r w:rsidR="00321832">
        <w:rPr>
          <w:rFonts w:cs="Arial"/>
          <w:lang w:eastAsia="en-GB"/>
        </w:rPr>
        <w:t>I</w:t>
      </w:r>
      <w:r w:rsidRPr="002F4325">
        <w:rPr>
          <w:rFonts w:cs="Arial"/>
          <w:lang w:eastAsia="en-GB"/>
        </w:rPr>
        <w:t xml:space="preserve">t is much less straightforward to apply </w:t>
      </w:r>
      <w:r w:rsidR="00321832">
        <w:rPr>
          <w:rFonts w:cs="Arial"/>
          <w:lang w:eastAsia="en-GB"/>
        </w:rPr>
        <w:t xml:space="preserve">this </w:t>
      </w:r>
      <w:r w:rsidR="00050882">
        <w:rPr>
          <w:rFonts w:cs="Arial"/>
          <w:lang w:eastAsia="en-GB"/>
        </w:rPr>
        <w:t xml:space="preserve">rule </w:t>
      </w:r>
      <w:r w:rsidRPr="002F4325">
        <w:rPr>
          <w:rFonts w:cs="Arial"/>
          <w:lang w:eastAsia="en-GB"/>
        </w:rPr>
        <w:t>to equity investments</w:t>
      </w:r>
      <w:r w:rsidR="00321832">
        <w:rPr>
          <w:rFonts w:cs="Arial"/>
          <w:lang w:eastAsia="en-GB"/>
        </w:rPr>
        <w:t>, since</w:t>
      </w:r>
      <w:r w:rsidRPr="002F4325">
        <w:rPr>
          <w:rFonts w:cs="Arial"/>
          <w:lang w:eastAsia="en-GB"/>
        </w:rPr>
        <w:t xml:space="preserve"> </w:t>
      </w:r>
      <w:r w:rsidR="00321832">
        <w:t>i</w:t>
      </w:r>
      <w:r w:rsidRPr="00B209F5">
        <w:t xml:space="preserve">t is not clear what form a concessional equity investment </w:t>
      </w:r>
      <w:r w:rsidR="00050882">
        <w:t>would take.</w:t>
      </w:r>
      <w:r w:rsidRPr="00B209F5">
        <w:t xml:space="preserve"> </w:t>
      </w:r>
    </w:p>
    <w:p w:rsidR="00A56A4A" w:rsidRDefault="00437106" w:rsidP="009347A9">
      <w:pPr>
        <w:pStyle w:val="ListParagraph"/>
        <w:numPr>
          <w:ilvl w:val="0"/>
          <w:numId w:val="41"/>
        </w:numPr>
        <w:tabs>
          <w:tab w:val="left" w:pos="426"/>
          <w:tab w:val="left" w:pos="709"/>
        </w:tabs>
      </w:pPr>
      <w:r>
        <w:t>In practice</w:t>
      </w:r>
      <w:r w:rsidR="00644661">
        <w:t xml:space="preserve">, </w:t>
      </w:r>
      <w:r w:rsidR="00321832">
        <w:t xml:space="preserve">the UK has always reported CDC’s equity investments as ODA, rather than OOF. </w:t>
      </w:r>
      <w:r w:rsidR="009347A9">
        <w:t xml:space="preserve"> OOF is a wider measure of official support to developing countries. For a flow to be defined as OOF it must only meet the first two ODA conditions</w:t>
      </w:r>
      <w:r w:rsidR="009347A9" w:rsidRPr="009347A9">
        <w:t xml:space="preserve"> (i.e. can be either non-concessional and convey a grant element of less than 25 per cent or non-developmental purposes or both).</w:t>
      </w:r>
      <w:r w:rsidR="009347A9">
        <w:t xml:space="preserve"> </w:t>
      </w:r>
      <w:r w:rsidR="002953F7">
        <w:t>The current practice of reporting CDC’s equity investments as ODA</w:t>
      </w:r>
      <w:r w:rsidR="00321832">
        <w:t xml:space="preserve"> is in line with the reporting practices of other DAC members who report equity investments to the DAC</w:t>
      </w:r>
      <w:r w:rsidR="00A56A4A">
        <w:t>, with the exception of Sweden.</w:t>
      </w:r>
      <w:r>
        <w:t xml:space="preserve"> This approach is supported by historic DAC working </w:t>
      </w:r>
      <w:r w:rsidR="002F4325">
        <w:t>papers</w:t>
      </w:r>
      <w:r w:rsidR="002F4325" w:rsidRPr="00B209F5">
        <w:rPr>
          <w:vertAlign w:val="superscript"/>
        </w:rPr>
        <w:footnoteReference w:id="14"/>
      </w:r>
      <w:r w:rsidR="002F4325">
        <w:t xml:space="preserve">, which suggest that </w:t>
      </w:r>
      <w:r w:rsidR="002F4325" w:rsidRPr="00B209F5">
        <w:t>the only condition equity investment</w:t>
      </w:r>
      <w:r w:rsidR="00660762">
        <w:t>s</w:t>
      </w:r>
      <w:r w:rsidR="002F4325" w:rsidRPr="00B209F5">
        <w:t xml:space="preserve"> must meet to be defined as ODA</w:t>
      </w:r>
      <w:r w:rsidR="002F4325">
        <w:t xml:space="preserve"> is the primary objective of promoting the economic development and welfare of developing countries</w:t>
      </w:r>
      <w:r>
        <w:t>.</w:t>
      </w:r>
    </w:p>
    <w:p w:rsidR="00BE4598" w:rsidRDefault="00DF595F" w:rsidP="003F5F06">
      <w:pPr>
        <w:pStyle w:val="ListParagraph"/>
        <w:numPr>
          <w:ilvl w:val="0"/>
          <w:numId w:val="41"/>
        </w:numPr>
        <w:tabs>
          <w:tab w:val="left" w:pos="426"/>
          <w:tab w:val="left" w:pos="709"/>
        </w:tabs>
      </w:pPr>
      <w:r>
        <w:t>In summary, d</w:t>
      </w:r>
      <w:r w:rsidR="00A56A4A">
        <w:t>raft guidance from 1969 implied that the concessionality condition did not apply to equity investments, and they should be reported as ODA. This information was not included in the relevant OECD Directives. This may hel</w:t>
      </w:r>
      <w:r w:rsidR="0083105F">
        <w:t>p to explain why different DAC m</w:t>
      </w:r>
      <w:r w:rsidR="00A56A4A">
        <w:t>embers have adopted d</w:t>
      </w:r>
      <w:r w:rsidR="00BE4598">
        <w:t>ifferent approaches to the repo</w:t>
      </w:r>
      <w:r w:rsidR="00A56A4A">
        <w:t>rting of equity investments.</w:t>
      </w:r>
      <w:r w:rsidRPr="00DF595F">
        <w:t xml:space="preserve"> </w:t>
      </w:r>
      <w:r>
        <w:t>We conclude that the DAC guidance on whether equity investments should be reported as ODA or as OOF needs to be clarified.</w:t>
      </w:r>
    </w:p>
    <w:p w:rsidR="00372E57" w:rsidRDefault="00BF572F" w:rsidP="003F5F06">
      <w:pPr>
        <w:pStyle w:val="ListParagraph"/>
        <w:numPr>
          <w:ilvl w:val="0"/>
          <w:numId w:val="41"/>
        </w:numPr>
        <w:tabs>
          <w:tab w:val="left" w:pos="426"/>
          <w:tab w:val="left" w:pos="709"/>
        </w:tabs>
      </w:pPr>
      <w:r>
        <w:lastRenderedPageBreak/>
        <w:t>We have found</w:t>
      </w:r>
      <w:r w:rsidR="00372E57">
        <w:t xml:space="preserve"> an additional important </w:t>
      </w:r>
      <w:r>
        <w:t>feature of</w:t>
      </w:r>
      <w:r w:rsidR="00372E57">
        <w:t xml:space="preserve"> how some countries report the activities of their DFIs. </w:t>
      </w:r>
      <w:r w:rsidR="00BE4598">
        <w:t>Three countries that do not report equity investments as ODA, Sweden, Belgium and Netherlands, report capital contributions to their DFIs as ODA.  This, in effect means reporting how much taxpayer money goes into a DFI, rather than tracking the individual equity investments of the DFI. The approach is illustrated in figure 2 below</w:t>
      </w:r>
      <w:r w:rsidR="00347E97">
        <w:t>.</w:t>
      </w:r>
      <w:r w:rsidR="00BE4598">
        <w:t xml:space="preserve"> </w:t>
      </w:r>
      <w:r w:rsidR="00347E97">
        <w:t>It</w:t>
      </w:r>
      <w:r w:rsidR="00BE4598">
        <w:t xml:space="preserve"> contrasts with the approach in figure 1, </w:t>
      </w:r>
      <w:r w:rsidR="00347E97">
        <w:t xml:space="preserve">which </w:t>
      </w:r>
      <w:r w:rsidR="002E2077">
        <w:t>illustrates</w:t>
      </w:r>
      <w:r w:rsidR="00347E97">
        <w:t xml:space="preserve"> the </w:t>
      </w:r>
      <w:r w:rsidR="005065B4">
        <w:t xml:space="preserve">current </w:t>
      </w:r>
      <w:r w:rsidR="00347E97">
        <w:t xml:space="preserve">approach </w:t>
      </w:r>
      <w:r w:rsidR="00BE4598">
        <w:t xml:space="preserve">followed by the UK and </w:t>
      </w:r>
      <w:r w:rsidR="00372E57">
        <w:t xml:space="preserve">the </w:t>
      </w:r>
      <w:r w:rsidR="00DF595F">
        <w:t xml:space="preserve">7 </w:t>
      </w:r>
      <w:r w:rsidR="00372E57">
        <w:t xml:space="preserve">other </w:t>
      </w:r>
      <w:r w:rsidR="005065B4">
        <w:t xml:space="preserve">DAC </w:t>
      </w:r>
      <w:r w:rsidR="00372E57">
        <w:t>Member</w:t>
      </w:r>
      <w:r w:rsidR="005065B4">
        <w:t>s</w:t>
      </w:r>
      <w:r w:rsidR="00372E57">
        <w:t xml:space="preserve"> that report individual equity investment flows as ODA.</w:t>
      </w:r>
    </w:p>
    <w:p w:rsidR="00372E57" w:rsidRDefault="00372E57" w:rsidP="00372E57">
      <w:pPr>
        <w:pStyle w:val="ListParagraph"/>
        <w:tabs>
          <w:tab w:val="left" w:pos="426"/>
          <w:tab w:val="left" w:pos="709"/>
        </w:tabs>
        <w:ind w:left="426"/>
      </w:pPr>
    </w:p>
    <w:p w:rsidR="00372E57" w:rsidRDefault="00BE4598" w:rsidP="00372E57">
      <w:pPr>
        <w:pStyle w:val="ListParagraph"/>
        <w:ind w:left="0"/>
      </w:pPr>
      <w:r>
        <w:t xml:space="preserve">   </w:t>
      </w:r>
      <w:r w:rsidR="00372E57">
        <w:rPr>
          <w:noProof/>
          <w:lang w:eastAsia="en-GB"/>
        </w:rPr>
        <w:drawing>
          <wp:inline distT="0" distB="0" distL="0" distR="0" wp14:anchorId="4D5FB016" wp14:editId="6AF312E8">
            <wp:extent cx="4638675" cy="959840"/>
            <wp:effectExtent l="19050" t="1905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36442" cy="959378"/>
                    </a:xfrm>
                    <a:prstGeom prst="rect">
                      <a:avLst/>
                    </a:prstGeom>
                    <a:noFill/>
                    <a:ln>
                      <a:solidFill>
                        <a:sysClr val="windowText" lastClr="000000"/>
                      </a:solidFill>
                    </a:ln>
                  </pic:spPr>
                </pic:pic>
              </a:graphicData>
            </a:graphic>
          </wp:inline>
        </w:drawing>
      </w:r>
    </w:p>
    <w:p w:rsidR="00BE4598" w:rsidRDefault="00372E57" w:rsidP="00372E57">
      <w:r>
        <w:t xml:space="preserve">Fig 2: </w:t>
      </w:r>
      <w:r w:rsidR="00BF572F">
        <w:t>Alternative approach to ODA r</w:t>
      </w:r>
      <w:r>
        <w:t xml:space="preserve">eporting of DFI </w:t>
      </w:r>
      <w:r w:rsidR="00BF572F">
        <w:t>activities</w:t>
      </w:r>
      <w:r>
        <w:t xml:space="preserve">, as </w:t>
      </w:r>
      <w:r w:rsidR="00BF572F">
        <w:t xml:space="preserve">followed </w:t>
      </w:r>
      <w:r>
        <w:t>by Sweden, Belgium and Netherlands</w:t>
      </w:r>
      <w:r w:rsidR="006C1E3B">
        <w:t>.</w:t>
      </w:r>
    </w:p>
    <w:p w:rsidR="00B354BA" w:rsidRDefault="00B354BA" w:rsidP="00372E57"/>
    <w:p w:rsidR="00A56A4A" w:rsidRDefault="00BF572F" w:rsidP="003F5F06">
      <w:pPr>
        <w:pStyle w:val="ListParagraph"/>
        <w:numPr>
          <w:ilvl w:val="0"/>
          <w:numId w:val="41"/>
        </w:numPr>
        <w:tabs>
          <w:tab w:val="left" w:pos="426"/>
          <w:tab w:val="left" w:pos="709"/>
        </w:tabs>
      </w:pPr>
      <w:r>
        <w:t xml:space="preserve">The Netherlands has </w:t>
      </w:r>
      <w:r w:rsidR="00267E3C">
        <w:t xml:space="preserve">only </w:t>
      </w:r>
      <w:r>
        <w:t xml:space="preserve">recently started to report capital contributions as ODA. It has justified this approach by </w:t>
      </w:r>
      <w:r w:rsidR="00372E57">
        <w:t>link</w:t>
      </w:r>
      <w:r>
        <w:t>ing</w:t>
      </w:r>
      <w:r w:rsidR="00372E57">
        <w:t xml:space="preserve"> it back to specific parts of the DAC Directives </w:t>
      </w:r>
      <w:r w:rsidR="00372E57" w:rsidRPr="008F6584">
        <w:t>which state that in the case of intra-governmental transfers, the agency that receives the spending authority (the donor) should designate its first implementing partner (the DFI) as the channel of delivery.</w:t>
      </w:r>
      <w:r w:rsidR="00E108AB">
        <w:rPr>
          <w:rStyle w:val="FootnoteReference"/>
        </w:rPr>
        <w:footnoteReference w:id="15"/>
      </w:r>
      <w:r>
        <w:t xml:space="preserve"> The DAC secretariat has informed the Netherlands that this is an acceptable interpretation of the DAC guidance. </w:t>
      </w:r>
    </w:p>
    <w:p w:rsidR="00156FBE" w:rsidRDefault="003F5F06" w:rsidP="003F5F06">
      <w:pPr>
        <w:pStyle w:val="ListParagraph"/>
        <w:numPr>
          <w:ilvl w:val="0"/>
          <w:numId w:val="41"/>
        </w:numPr>
        <w:tabs>
          <w:tab w:val="left" w:pos="426"/>
          <w:tab w:val="left" w:pos="709"/>
        </w:tabs>
      </w:pPr>
      <w:r>
        <w:t xml:space="preserve">The approach taken by Netherlands, Belgium and Sweden is aligned with the ODA treatment of </w:t>
      </w:r>
      <w:r w:rsidRPr="00722DCE">
        <w:t xml:space="preserve">Multilateral Development Banks </w:t>
      </w:r>
      <w:r w:rsidR="006C5BF0">
        <w:t xml:space="preserve">(MDB) </w:t>
      </w:r>
      <w:r w:rsidRPr="00722DCE">
        <w:t>and multi-donor entities</w:t>
      </w:r>
      <w:r>
        <w:t xml:space="preserve">. With multilateral entities, </w:t>
      </w:r>
      <w:r w:rsidRPr="00722DCE">
        <w:t xml:space="preserve">positive ODA is captured at the point of providing capital or grant to the MDB by the donor government and individual equity or loan deals are not scored as ODA at an instrument level. </w:t>
      </w:r>
      <w:r>
        <w:t xml:space="preserve">Bilateral DFI’s and multilateral development banks </w:t>
      </w:r>
      <w:r w:rsidRPr="0000180F">
        <w:t xml:space="preserve">have the same mandate and operate in similar ways in the same market. The </w:t>
      </w:r>
      <w:r w:rsidR="00CB4BFF">
        <w:t>only difference is their shareholding.</w:t>
      </w:r>
    </w:p>
    <w:p w:rsidR="003F5F06" w:rsidRDefault="00156FBE" w:rsidP="003F5F06">
      <w:pPr>
        <w:pStyle w:val="ListParagraph"/>
        <w:numPr>
          <w:ilvl w:val="0"/>
          <w:numId w:val="41"/>
        </w:numPr>
        <w:tabs>
          <w:tab w:val="left" w:pos="426"/>
          <w:tab w:val="left" w:pos="709"/>
        </w:tabs>
      </w:pPr>
      <w:r>
        <w:t xml:space="preserve">A combination of the </w:t>
      </w:r>
      <w:r w:rsidR="005951CC">
        <w:t>different approaches on DFI equity investments set out in paragraph 7</w:t>
      </w:r>
      <w:r w:rsidR="007977D1">
        <w:t>,</w:t>
      </w:r>
      <w:r w:rsidR="005951CC">
        <w:t xml:space="preserve"> and the approach taken by the Netherlands, Belgium and Sweden to reporting capital contributions</w:t>
      </w:r>
      <w:r w:rsidR="007977D1">
        <w:t>,</w:t>
      </w:r>
      <w:r w:rsidR="005951CC">
        <w:t xml:space="preserve"> </w:t>
      </w:r>
      <w:r>
        <w:t xml:space="preserve">suggests that international comparability </w:t>
      </w:r>
      <w:r w:rsidR="008D367C">
        <w:t>of ODA statistics for DFI activities</w:t>
      </w:r>
      <w:r>
        <w:t xml:space="preserve"> is already weak.</w:t>
      </w:r>
      <w:r w:rsidR="00CB4BFF">
        <w:t xml:space="preserve"> </w:t>
      </w:r>
    </w:p>
    <w:p w:rsidR="003F5F06" w:rsidRDefault="003F5F06" w:rsidP="003F5F06">
      <w:pPr>
        <w:pStyle w:val="ListParagraph"/>
        <w:tabs>
          <w:tab w:val="left" w:pos="426"/>
          <w:tab w:val="left" w:pos="709"/>
        </w:tabs>
        <w:ind w:left="785"/>
      </w:pPr>
    </w:p>
    <w:p w:rsidR="00A56A4A" w:rsidRDefault="00E108AB" w:rsidP="00A56A4A">
      <w:pPr>
        <w:tabs>
          <w:tab w:val="left" w:pos="426"/>
          <w:tab w:val="left" w:pos="709"/>
        </w:tabs>
      </w:pPr>
      <w:r>
        <w:rPr>
          <w:i/>
        </w:rPr>
        <w:t xml:space="preserve">ii. Additional concerns with the </w:t>
      </w:r>
      <w:r w:rsidRPr="00E27B22">
        <w:rPr>
          <w:i/>
        </w:rPr>
        <w:t>current</w:t>
      </w:r>
      <w:r>
        <w:rPr>
          <w:i/>
        </w:rPr>
        <w:t xml:space="preserve"> guidance</w:t>
      </w:r>
    </w:p>
    <w:p w:rsidR="003F5F06" w:rsidRDefault="003F5F06" w:rsidP="00D71B60">
      <w:pPr>
        <w:pStyle w:val="ListParagraph"/>
        <w:numPr>
          <w:ilvl w:val="0"/>
          <w:numId w:val="41"/>
        </w:numPr>
        <w:spacing w:after="120"/>
      </w:pPr>
      <w:r>
        <w:t xml:space="preserve">Profitable equity </w:t>
      </w:r>
      <w:r w:rsidRPr="003F5F06">
        <w:t>investments</w:t>
      </w:r>
      <w:r w:rsidRPr="003828AE">
        <w:t xml:space="preserve"> </w:t>
      </w:r>
      <w:r>
        <w:t xml:space="preserve">are </w:t>
      </w:r>
      <w:r w:rsidR="00267E3C">
        <w:t xml:space="preserve">considered </w:t>
      </w:r>
      <w:r>
        <w:t xml:space="preserve">critical to the development impact </w:t>
      </w:r>
      <w:r w:rsidR="009347A9">
        <w:t xml:space="preserve">of </w:t>
      </w:r>
      <w:r>
        <w:t xml:space="preserve">CDC. Successful investments </w:t>
      </w:r>
      <w:r w:rsidRPr="003828AE">
        <w:t>grow sustainable businesses</w:t>
      </w:r>
      <w:r>
        <w:t xml:space="preserve"> in developing countries </w:t>
      </w:r>
      <w:r w:rsidR="00267E3C">
        <w:t>and these are expected to</w:t>
      </w:r>
      <w:r w:rsidRPr="003828AE">
        <w:t xml:space="preserve"> create </w:t>
      </w:r>
      <w:r w:rsidRPr="003828AE">
        <w:lastRenderedPageBreak/>
        <w:t>employment</w:t>
      </w:r>
      <w:r>
        <w:t xml:space="preserve"> and wealth</w:t>
      </w:r>
      <w:r w:rsidRPr="003828AE">
        <w:t xml:space="preserve">, crowd in private investors and demonstrate to the market that investments in these countries and sectors can be financially viable. </w:t>
      </w:r>
    </w:p>
    <w:p w:rsidR="003F5F06" w:rsidRDefault="007C5A09" w:rsidP="00D71B60">
      <w:pPr>
        <w:pStyle w:val="ListParagraph"/>
        <w:numPr>
          <w:ilvl w:val="0"/>
          <w:numId w:val="41"/>
        </w:numPr>
        <w:spacing w:after="120"/>
      </w:pPr>
      <w:r w:rsidRPr="003F5F06">
        <w:t>The UK’s current approach</w:t>
      </w:r>
      <w:r w:rsidR="00B354BA" w:rsidRPr="003F5F06">
        <w:t xml:space="preserve"> </w:t>
      </w:r>
      <w:r w:rsidR="005065B4" w:rsidRPr="003F5F06">
        <w:t xml:space="preserve">to the ODA-reporting of CDC activities </w:t>
      </w:r>
      <w:r w:rsidR="00B354BA" w:rsidRPr="003F5F06">
        <w:t xml:space="preserve">does not adequately capture the donor effort of providing market-based financial instruments and can create disincentives at the instrument level for equity, debt and guarantees. This is set out below.  </w:t>
      </w:r>
    </w:p>
    <w:p w:rsidR="003F5F06" w:rsidRPr="009347A9" w:rsidRDefault="00BB7233" w:rsidP="00D71B60">
      <w:pPr>
        <w:pStyle w:val="ListParagraph"/>
        <w:numPr>
          <w:ilvl w:val="0"/>
          <w:numId w:val="41"/>
        </w:numPr>
        <w:spacing w:after="120"/>
      </w:pPr>
      <w:r>
        <w:t>Successful equity investments (those which make a profit) will create net negative ODA (the amount coming back will be higher than the amount original</w:t>
      </w:r>
      <w:r w:rsidR="005065B4">
        <w:t>ly</w:t>
      </w:r>
      <w:r>
        <w:t xml:space="preserve"> extended). </w:t>
      </w:r>
      <w:r w:rsidR="003F5F06" w:rsidRPr="009347A9">
        <w:t>This current treatment incentivises DFIs against the use of equity whic</w:t>
      </w:r>
      <w:r w:rsidR="00CB4BFF" w:rsidRPr="009347A9">
        <w:t xml:space="preserve">h is often the most scarce </w:t>
      </w:r>
      <w:r w:rsidR="006C5BF0" w:rsidRPr="009347A9">
        <w:t>and developmental</w:t>
      </w:r>
      <w:r w:rsidR="003F5F06" w:rsidRPr="009347A9">
        <w:t xml:space="preserve"> form of finance as it bears the highest risk. The fact that equity investors wait for their returns makes their capital particularly essential to a business with a longer pay-back period or where returns are uncertain.  At its extreme this negative incentive from ODA treatment of equity could encourage DFIs to make unsuccessful equity investments. </w:t>
      </w:r>
    </w:p>
    <w:p w:rsidR="00BB7233" w:rsidRPr="009347A9" w:rsidRDefault="00BB7233" w:rsidP="003F5F06">
      <w:pPr>
        <w:pStyle w:val="ListParagraph"/>
        <w:numPr>
          <w:ilvl w:val="0"/>
          <w:numId w:val="41"/>
        </w:numPr>
      </w:pPr>
      <w:r w:rsidRPr="009347A9">
        <w:t xml:space="preserve">Furthermore the contribution that the </w:t>
      </w:r>
      <w:r w:rsidR="00FF0F5D" w:rsidRPr="009347A9">
        <w:t xml:space="preserve">successful </w:t>
      </w:r>
      <w:r w:rsidRPr="009347A9">
        <w:t xml:space="preserve">investment </w:t>
      </w:r>
      <w:r w:rsidR="00FF0F5D" w:rsidRPr="009347A9">
        <w:t>makes to sustainable job</w:t>
      </w:r>
      <w:r w:rsidR="005065B4" w:rsidRPr="009347A9">
        <w:t>s</w:t>
      </w:r>
      <w:r w:rsidR="00FF0F5D" w:rsidRPr="009347A9">
        <w:t xml:space="preserve"> and wealth creation to promote</w:t>
      </w:r>
      <w:r w:rsidRPr="009347A9">
        <w:t xml:space="preserve"> economic development and welfare of the developing country is not recognised</w:t>
      </w:r>
      <w:r w:rsidR="007C5A09" w:rsidRPr="009347A9">
        <w:t xml:space="preserve"> by the ODA reporting. </w:t>
      </w:r>
    </w:p>
    <w:p w:rsidR="00BB7233" w:rsidRDefault="00244E99" w:rsidP="003F5F06">
      <w:pPr>
        <w:pStyle w:val="ListParagraph"/>
        <w:numPr>
          <w:ilvl w:val="0"/>
          <w:numId w:val="41"/>
        </w:numPr>
      </w:pPr>
      <w:r w:rsidRPr="009347A9">
        <w:t xml:space="preserve">The </w:t>
      </w:r>
      <w:r w:rsidR="00FF0F5D" w:rsidRPr="009347A9">
        <w:t>current reporting system incentivises governments to chan</w:t>
      </w:r>
      <w:r w:rsidR="00B354BA" w:rsidRPr="009347A9">
        <w:t>n</w:t>
      </w:r>
      <w:r w:rsidR="00FF0F5D" w:rsidRPr="009347A9">
        <w:t>el development finance for private sector development through multilateral institutions like th</w:t>
      </w:r>
      <w:r w:rsidR="00FF0F5D">
        <w:t xml:space="preserve">e </w:t>
      </w:r>
      <w:r w:rsidR="00BB7233">
        <w:t>multilateral development banks (</w:t>
      </w:r>
      <w:r w:rsidR="009A5DD7">
        <w:t>e.g.</w:t>
      </w:r>
      <w:r w:rsidR="00BB7233">
        <w:t xml:space="preserve"> </w:t>
      </w:r>
      <w:r w:rsidR="007E555D">
        <w:t xml:space="preserve">the International Finance Corporation - </w:t>
      </w:r>
      <w:r w:rsidR="00BB7233">
        <w:t xml:space="preserve">IFC) </w:t>
      </w:r>
      <w:r w:rsidR="00FF0F5D">
        <w:t>rather than through bilateral DFIs, even when this may not be the most effective or efficient choice</w:t>
      </w:r>
      <w:r w:rsidR="001F37E6">
        <w:t xml:space="preserve"> in all circumstances</w:t>
      </w:r>
      <w:r w:rsidR="00FF0F5D">
        <w:t>.</w:t>
      </w:r>
    </w:p>
    <w:p w:rsidR="00037823" w:rsidRDefault="00037823" w:rsidP="003F5F06">
      <w:pPr>
        <w:pStyle w:val="ListParagraph"/>
        <w:numPr>
          <w:ilvl w:val="0"/>
          <w:numId w:val="41"/>
        </w:numPr>
        <w:tabs>
          <w:tab w:val="left" w:pos="426"/>
        </w:tabs>
      </w:pPr>
      <w:r w:rsidRPr="0038704F">
        <w:t xml:space="preserve">Since the ODA rules were established, private sector development has become a core part of the development agenda. </w:t>
      </w:r>
      <w:r w:rsidR="00F66592">
        <w:t xml:space="preserve">The </w:t>
      </w:r>
      <w:r w:rsidR="00176BD0">
        <w:t xml:space="preserve">ongoing </w:t>
      </w:r>
      <w:r w:rsidR="00F66592">
        <w:t xml:space="preserve">OECD </w:t>
      </w:r>
      <w:r w:rsidR="00176BD0">
        <w:t xml:space="preserve">discussions on ODA modernisation </w:t>
      </w:r>
      <w:r w:rsidR="00F66592">
        <w:t>recognise the need for strengthening private sector engagement in development and encouraging the use of ODA to mobilise additional private sector resources for development. The</w:t>
      </w:r>
      <w:r w:rsidR="00176BD0">
        <w:t>re is a recognition that the</w:t>
      </w:r>
      <w:r w:rsidR="00F66592">
        <w:t xml:space="preserve"> current ODA reporting arrangements are not suitable for </w:t>
      </w:r>
      <w:r w:rsidR="00050882">
        <w:t xml:space="preserve">instruments to support the private sector </w:t>
      </w:r>
      <w:r w:rsidR="00176BD0">
        <w:t xml:space="preserve">and do not </w:t>
      </w:r>
      <w:r w:rsidRPr="0038704F">
        <w:t>adequately capture the donor effort of providing market-based financial instruments</w:t>
      </w:r>
      <w:r>
        <w:t xml:space="preserve">. These issues were discussed, most recently at </w:t>
      </w:r>
      <w:r w:rsidR="0093628B">
        <w:t xml:space="preserve">a </w:t>
      </w:r>
      <w:r>
        <w:t xml:space="preserve">High Level </w:t>
      </w:r>
      <w:r w:rsidR="0093628B">
        <w:t xml:space="preserve">Meeting (HLM) </w:t>
      </w:r>
      <w:r>
        <w:t>on 15 and 16 December. The HLM communique</w:t>
      </w:r>
      <w:r w:rsidR="006C1E3B">
        <w:rPr>
          <w:rStyle w:val="FootnoteReference"/>
        </w:rPr>
        <w:footnoteReference w:id="16"/>
      </w:r>
      <w:r>
        <w:t xml:space="preserve"> </w:t>
      </w:r>
      <w:r w:rsidRPr="0038704F">
        <w:t>recognise</w:t>
      </w:r>
      <w:r>
        <w:t>d</w:t>
      </w:r>
      <w:r w:rsidRPr="0038704F">
        <w:t xml:space="preserve"> </w:t>
      </w:r>
      <w:r>
        <w:t xml:space="preserve">that the </w:t>
      </w:r>
      <w:r w:rsidRPr="0038704F">
        <w:t xml:space="preserve">present statistical reporting system does not fully reflect the changing way in which members are engaging with the private sector, </w:t>
      </w:r>
      <w:r>
        <w:t xml:space="preserve">and agreed the need to </w:t>
      </w:r>
      <w:r w:rsidRPr="0038704F">
        <w:t>undertake further work to reflect in ODA the effort of the official sector in catalysing private sector inves</w:t>
      </w:r>
      <w:r>
        <w:t>tment in effective development.</w:t>
      </w:r>
      <w:r w:rsidRPr="0038704F">
        <w:t xml:space="preserve"> </w:t>
      </w:r>
    </w:p>
    <w:p w:rsidR="006C1E3B" w:rsidRDefault="006C1E3B" w:rsidP="006C1E3B">
      <w:pPr>
        <w:pStyle w:val="ListParagraph"/>
        <w:tabs>
          <w:tab w:val="left" w:pos="426"/>
        </w:tabs>
        <w:ind w:left="426"/>
      </w:pPr>
    </w:p>
    <w:p w:rsidR="009524FC" w:rsidRDefault="009524FC" w:rsidP="006C1E3B">
      <w:pPr>
        <w:pStyle w:val="ListParagraph"/>
        <w:tabs>
          <w:tab w:val="left" w:pos="426"/>
        </w:tabs>
        <w:ind w:left="426"/>
      </w:pPr>
    </w:p>
    <w:p w:rsidR="009524FC" w:rsidRDefault="009524FC" w:rsidP="006C1E3B">
      <w:pPr>
        <w:pStyle w:val="ListParagraph"/>
        <w:tabs>
          <w:tab w:val="left" w:pos="426"/>
        </w:tabs>
        <w:ind w:left="426"/>
      </w:pPr>
    </w:p>
    <w:p w:rsidR="009524FC" w:rsidRPr="0038704F" w:rsidRDefault="009524FC" w:rsidP="006C1E3B">
      <w:pPr>
        <w:pStyle w:val="ListParagraph"/>
        <w:tabs>
          <w:tab w:val="left" w:pos="426"/>
        </w:tabs>
        <w:ind w:left="426"/>
      </w:pPr>
    </w:p>
    <w:p w:rsidR="00FF5951" w:rsidRPr="005366DB" w:rsidRDefault="00111767" w:rsidP="000E48D1">
      <w:pPr>
        <w:tabs>
          <w:tab w:val="left" w:pos="426"/>
        </w:tabs>
        <w:rPr>
          <w:i/>
        </w:rPr>
      </w:pPr>
      <w:r>
        <w:rPr>
          <w:i/>
        </w:rPr>
        <w:lastRenderedPageBreak/>
        <w:t>D</w:t>
      </w:r>
      <w:r w:rsidR="00FF5951" w:rsidRPr="005366DB">
        <w:rPr>
          <w:i/>
        </w:rPr>
        <w:t xml:space="preserve">. </w:t>
      </w:r>
      <w:r>
        <w:rPr>
          <w:i/>
        </w:rPr>
        <w:t>Options for</w:t>
      </w:r>
      <w:r w:rsidR="0024231A" w:rsidRPr="005366DB">
        <w:rPr>
          <w:i/>
        </w:rPr>
        <w:t xml:space="preserve"> how to report CDC’s equity investments in UK ODA statistics </w:t>
      </w:r>
      <w:r>
        <w:rPr>
          <w:i/>
        </w:rPr>
        <w:t>for</w:t>
      </w:r>
      <w:r w:rsidR="0024231A" w:rsidRPr="005366DB">
        <w:rPr>
          <w:i/>
        </w:rPr>
        <w:t xml:space="preserve"> 2015 flows onwards</w:t>
      </w:r>
    </w:p>
    <w:p w:rsidR="00F36E7E" w:rsidRDefault="00F36E7E" w:rsidP="000E48D1">
      <w:pPr>
        <w:tabs>
          <w:tab w:val="left" w:pos="426"/>
        </w:tabs>
      </w:pPr>
    </w:p>
    <w:p w:rsidR="00450394" w:rsidRDefault="009A3A32" w:rsidP="003F5F06">
      <w:pPr>
        <w:pStyle w:val="ListParagraph"/>
        <w:numPr>
          <w:ilvl w:val="0"/>
          <w:numId w:val="41"/>
        </w:numPr>
        <w:tabs>
          <w:tab w:val="left" w:pos="426"/>
        </w:tabs>
      </w:pPr>
      <w:r>
        <w:t xml:space="preserve">In light of </w:t>
      </w:r>
      <w:r w:rsidR="003F5F06">
        <w:t xml:space="preserve">i) </w:t>
      </w:r>
      <w:r>
        <w:t>the different concerns around the current arrangements for reporting equity investments to the DAC,</w:t>
      </w:r>
      <w:r w:rsidR="003F5F06" w:rsidRPr="003F5F06">
        <w:t xml:space="preserve"> </w:t>
      </w:r>
      <w:r w:rsidR="003F5F06">
        <w:t>and (ii) ongoing discussions about modernising the ODA reporting system,</w:t>
      </w:r>
      <w:r>
        <w:t xml:space="preserve"> we </w:t>
      </w:r>
      <w:r w:rsidR="00FF5951">
        <w:t>ha</w:t>
      </w:r>
      <w:r>
        <w:t>ve</w:t>
      </w:r>
      <w:r w:rsidR="00FF5951">
        <w:t xml:space="preserve"> been </w:t>
      </w:r>
      <w:r>
        <w:t>considering</w:t>
      </w:r>
      <w:r w:rsidR="00FF5951">
        <w:t xml:space="preserve"> </w:t>
      </w:r>
      <w:r>
        <w:t xml:space="preserve">whether it would be appropriate for DFID to make changes to the way in which it reports CDC’s equity investments. </w:t>
      </w:r>
      <w:r w:rsidR="00450394">
        <w:t>We see</w:t>
      </w:r>
      <w:r w:rsidR="00AF240C">
        <w:t xml:space="preserve"> three</w:t>
      </w:r>
      <w:r w:rsidR="00450394">
        <w:t xml:space="preserve"> main options, as follows:</w:t>
      </w:r>
    </w:p>
    <w:p w:rsidR="009D56DD" w:rsidRDefault="009D56DD" w:rsidP="007A1B78">
      <w:pPr>
        <w:pStyle w:val="ListParagraph"/>
        <w:numPr>
          <w:ilvl w:val="0"/>
          <w:numId w:val="45"/>
        </w:numPr>
        <w:spacing w:before="120" w:after="120"/>
        <w:contextualSpacing w:val="0"/>
      </w:pPr>
      <w:r>
        <w:t xml:space="preserve">Continue to report the value of equity investments made by CDC as ODA. </w:t>
      </w:r>
    </w:p>
    <w:p w:rsidR="00CB4BFF" w:rsidRDefault="00AD1A71" w:rsidP="007A1B78">
      <w:pPr>
        <w:pStyle w:val="ListParagraph"/>
        <w:numPr>
          <w:ilvl w:val="0"/>
          <w:numId w:val="45"/>
        </w:numPr>
        <w:spacing w:before="120" w:after="120"/>
        <w:contextualSpacing w:val="0"/>
      </w:pPr>
      <w:r>
        <w:t>From 2015 flows onwards, r</w:t>
      </w:r>
      <w:r w:rsidR="00AF240C">
        <w:t xml:space="preserve">eport the value of equity investments as OOF rather than ODA. </w:t>
      </w:r>
    </w:p>
    <w:p w:rsidR="00CB4BFF" w:rsidRPr="00D16C91" w:rsidRDefault="00CB4BFF" w:rsidP="007A1B78">
      <w:pPr>
        <w:pStyle w:val="ListParagraph"/>
        <w:numPr>
          <w:ilvl w:val="0"/>
          <w:numId w:val="45"/>
        </w:numPr>
        <w:spacing w:before="120" w:after="120"/>
        <w:contextualSpacing w:val="0"/>
      </w:pPr>
      <w:r w:rsidRPr="00D16C91">
        <w:t>From 2015 flows onwards, report only the capital flow from the UK government to CDC as ODA</w:t>
      </w:r>
      <w:r w:rsidR="00D16C91" w:rsidRPr="00D16C91">
        <w:t xml:space="preserve"> but continue to track outflows from CDC. </w:t>
      </w:r>
    </w:p>
    <w:p w:rsidR="00CB4BFF" w:rsidRDefault="00CB4BFF" w:rsidP="00CB4BFF">
      <w:pPr>
        <w:pStyle w:val="ListParagraph"/>
        <w:spacing w:before="120" w:after="120"/>
        <w:ind w:left="1440"/>
        <w:contextualSpacing w:val="0"/>
      </w:pPr>
    </w:p>
    <w:p w:rsidR="00A15E6D" w:rsidRPr="00A15E6D" w:rsidRDefault="00A15E6D" w:rsidP="003F5F06">
      <w:pPr>
        <w:pStyle w:val="ListParagraph"/>
        <w:numPr>
          <w:ilvl w:val="0"/>
          <w:numId w:val="41"/>
        </w:numPr>
        <w:contextualSpacing w:val="0"/>
      </w:pPr>
      <w:r w:rsidRPr="00A15E6D">
        <w:t>We have assessed these options against two key criteria: the promotion of international comparability;</w:t>
      </w:r>
      <w:r w:rsidR="00FF19D1">
        <w:t xml:space="preserve"> and </w:t>
      </w:r>
      <w:r w:rsidR="00FF19D1" w:rsidRPr="00FF19D1">
        <w:t xml:space="preserve">ability to reflect the true contribution of </w:t>
      </w:r>
      <w:r w:rsidR="00B5019C">
        <w:t xml:space="preserve">the UKs development activity. </w:t>
      </w:r>
      <w:r w:rsidR="00E2565C">
        <w:t xml:space="preserve">Table 2 shows the impact of each of these options on the reported net ODA flow from CDC. </w:t>
      </w:r>
    </w:p>
    <w:p w:rsidR="00FF19D1" w:rsidRDefault="0018338C" w:rsidP="003F5F06">
      <w:pPr>
        <w:pStyle w:val="ListParagraph"/>
        <w:numPr>
          <w:ilvl w:val="0"/>
          <w:numId w:val="41"/>
        </w:numPr>
        <w:tabs>
          <w:tab w:val="left" w:pos="426"/>
        </w:tabs>
      </w:pPr>
      <w:r>
        <w:t>The current approach (option a)</w:t>
      </w:r>
      <w:r w:rsidR="00FF19D1">
        <w:t xml:space="preserve"> has the obvious benefit that it is consistent with previous practice</w:t>
      </w:r>
      <w:r w:rsidR="00D71B60">
        <w:t xml:space="preserve"> and has been adopted by </w:t>
      </w:r>
      <w:r w:rsidR="00B5019C">
        <w:t>7</w:t>
      </w:r>
      <w:r>
        <w:t xml:space="preserve"> other DAC </w:t>
      </w:r>
      <w:r w:rsidR="006C5BF0">
        <w:t>members</w:t>
      </w:r>
      <w:r w:rsidR="00630919">
        <w:t xml:space="preserve">. The lack of clarity around the concessionality condition in the DAC guidance means that there are some doubts about whether this approach is consistent with the guidance. </w:t>
      </w:r>
      <w:r w:rsidR="00FF19D1">
        <w:t xml:space="preserve">The UK has been engaging with other DAC members and the DAC secretariat to </w:t>
      </w:r>
      <w:r w:rsidR="00630919">
        <w:t>modernise the DAC guidance consistent with emerging best-practice use of financial instruments for development</w:t>
      </w:r>
      <w:r w:rsidR="00B5019C">
        <w:t>. Decision making at the DAC is by consensus</w:t>
      </w:r>
      <w:r w:rsidR="00630919">
        <w:t>.</w:t>
      </w:r>
      <w:r w:rsidR="00B5019C">
        <w:t xml:space="preserve"> </w:t>
      </w:r>
      <w:r w:rsidR="00630919">
        <w:t>A</w:t>
      </w:r>
      <w:r w:rsidR="00B5019C">
        <w:t xml:space="preserve">lthough there was agreement at the recent HLM to take forward work in this area, </w:t>
      </w:r>
      <w:r w:rsidR="00630919">
        <w:t xml:space="preserve">previous experience suggests that </w:t>
      </w:r>
      <w:r w:rsidR="00B5019C">
        <w:t xml:space="preserve">it will be years before any agreed approach is operational.  </w:t>
      </w:r>
    </w:p>
    <w:p w:rsidR="00AF240C" w:rsidRDefault="00B5019C" w:rsidP="00CB4BFF">
      <w:pPr>
        <w:pStyle w:val="ListParagraph"/>
        <w:numPr>
          <w:ilvl w:val="0"/>
          <w:numId w:val="41"/>
        </w:numPr>
        <w:tabs>
          <w:tab w:val="left" w:pos="426"/>
        </w:tabs>
      </w:pPr>
      <w:r>
        <w:t>Option a</w:t>
      </w:r>
      <w:r w:rsidR="00E2565C">
        <w:t>)</w:t>
      </w:r>
      <w:r>
        <w:t xml:space="preserve"> does not</w:t>
      </w:r>
      <w:r w:rsidR="00CF1121">
        <w:t xml:space="preserve"> </w:t>
      </w:r>
      <w:r>
        <w:t>reflect the true contribution of the UK’s development activity</w:t>
      </w:r>
      <w:r w:rsidR="00E2565C">
        <w:t>.</w:t>
      </w:r>
      <w:r>
        <w:t xml:space="preserve"> </w:t>
      </w:r>
      <w:r w:rsidR="00E2565C">
        <w:t>S</w:t>
      </w:r>
      <w:r>
        <w:t xml:space="preserve">uccessful investments will result in negative ODA. </w:t>
      </w:r>
      <w:r w:rsidR="003F5F06">
        <w:t>This approach i)</w:t>
      </w:r>
      <w:r w:rsidR="002130ED">
        <w:t xml:space="preserve"> </w:t>
      </w:r>
      <w:r w:rsidR="005951CC">
        <w:t>may</w:t>
      </w:r>
      <w:r w:rsidR="005951CC" w:rsidRPr="002130ED">
        <w:t xml:space="preserve"> </w:t>
      </w:r>
      <w:r w:rsidR="002130ED" w:rsidRPr="002130ED">
        <w:t>incentivise DFIs against the use of equity</w:t>
      </w:r>
      <w:r w:rsidR="003F5F06">
        <w:t xml:space="preserve">, ii) </w:t>
      </w:r>
      <w:r w:rsidR="002130ED">
        <w:t xml:space="preserve">potentially </w:t>
      </w:r>
      <w:r w:rsidR="002130ED" w:rsidRPr="002130ED">
        <w:t>incentivises governments to channel development finance for private sector development through multilateral institutions</w:t>
      </w:r>
      <w:r w:rsidR="002130ED">
        <w:t xml:space="preserve"> rather than through bilateral DFIs</w:t>
      </w:r>
      <w:r w:rsidR="003F5F06">
        <w:t xml:space="preserve"> and iii) </w:t>
      </w:r>
      <w:r w:rsidR="00CB4BFF" w:rsidRPr="00CB4BFF">
        <w:t>incentivises DFIs to undertake creative structuring for innovative programmes, sometimes to their detriment, solely to suit ODA requirements.</w:t>
      </w:r>
      <w:r w:rsidR="002130ED">
        <w:t xml:space="preserve"> </w:t>
      </w:r>
      <w:r>
        <w:t xml:space="preserve">Finally due to the reporting of </w:t>
      </w:r>
      <w:r w:rsidR="00E2565C">
        <w:t xml:space="preserve">both </w:t>
      </w:r>
      <w:r>
        <w:t xml:space="preserve">negative and positive flows it can be confusing for users </w:t>
      </w:r>
      <w:r w:rsidR="00E2565C">
        <w:t>to interpret</w:t>
      </w:r>
      <w:r>
        <w:t xml:space="preserve"> these statistics. </w:t>
      </w:r>
    </w:p>
    <w:p w:rsidR="002130ED" w:rsidRDefault="00F52742" w:rsidP="003F5F06">
      <w:pPr>
        <w:pStyle w:val="ListParagraph"/>
        <w:numPr>
          <w:ilvl w:val="0"/>
          <w:numId w:val="41"/>
        </w:numPr>
        <w:tabs>
          <w:tab w:val="left" w:pos="426"/>
        </w:tabs>
      </w:pPr>
      <w:r>
        <w:t xml:space="preserve">The case for option (b) relies on a particular interpretation of the DAC guidance. If it is accepted that the concessionality condition </w:t>
      </w:r>
      <w:r w:rsidR="00535CAD">
        <w:t>should apply</w:t>
      </w:r>
      <w:r>
        <w:t xml:space="preserve"> to equity investments, and that equity investments are not concessional, then these investments should be reported as OOF. </w:t>
      </w:r>
      <w:r w:rsidR="00535CAD">
        <w:t xml:space="preserve">In practice, </w:t>
      </w:r>
      <w:r w:rsidR="00CF1121">
        <w:t>Sweden</w:t>
      </w:r>
      <w:r w:rsidR="002130ED">
        <w:t xml:space="preserve"> </w:t>
      </w:r>
      <w:r>
        <w:t>is the only DAC Member that</w:t>
      </w:r>
      <w:r w:rsidR="002130ED">
        <w:t xml:space="preserve"> reports the value of equity investments as OOF.</w:t>
      </w:r>
      <w:r w:rsidR="00CF1121">
        <w:t xml:space="preserve"> </w:t>
      </w:r>
      <w:r w:rsidR="00535CAD">
        <w:t xml:space="preserve">Unusually, </w:t>
      </w:r>
      <w:r w:rsidR="00CF1121">
        <w:t xml:space="preserve">Sweden also reports the </w:t>
      </w:r>
      <w:r w:rsidR="00CF1121">
        <w:lastRenderedPageBreak/>
        <w:t xml:space="preserve">capital contributions to </w:t>
      </w:r>
      <w:r>
        <w:t>its</w:t>
      </w:r>
      <w:r w:rsidR="00CF1121">
        <w:t xml:space="preserve"> DFI as ODA. </w:t>
      </w:r>
      <w:r w:rsidR="00535CAD">
        <w:t>No other DAC Member reports its equity investments as OOF, and so this option does not further international comparability. Option (b) has a</w:t>
      </w:r>
      <w:r w:rsidR="002953F7">
        <w:t xml:space="preserve"> slight advantage over option (a</w:t>
      </w:r>
      <w:r w:rsidR="00535CAD">
        <w:t>), since it avoids the negative impact of successful investments</w:t>
      </w:r>
      <w:r w:rsidR="002953F7">
        <w:t xml:space="preserve"> on ODA (although the negative impact will still be recorded as OOF)</w:t>
      </w:r>
      <w:r w:rsidR="00535CAD">
        <w:t xml:space="preserve">. But otherwise, it does not reflect </w:t>
      </w:r>
      <w:r w:rsidR="00535CAD" w:rsidRPr="00FF19D1">
        <w:t xml:space="preserve">the contribution of </w:t>
      </w:r>
      <w:r w:rsidR="00535CAD">
        <w:t>the UKs development activity in the ODA statistics.</w:t>
      </w:r>
      <w:r w:rsidR="00535CAD" w:rsidDel="00535CAD">
        <w:t xml:space="preserve"> </w:t>
      </w:r>
      <w:r w:rsidR="00CF1121">
        <w:t xml:space="preserve"> </w:t>
      </w:r>
    </w:p>
    <w:p w:rsidR="002953F7" w:rsidRDefault="0089229B" w:rsidP="002953F7">
      <w:pPr>
        <w:pStyle w:val="ListParagraph"/>
        <w:numPr>
          <w:ilvl w:val="0"/>
          <w:numId w:val="41"/>
        </w:numPr>
        <w:tabs>
          <w:tab w:val="left" w:pos="426"/>
        </w:tabs>
      </w:pPr>
      <w:r>
        <w:t>T</w:t>
      </w:r>
      <w:r w:rsidR="00CF1121">
        <w:t>hree DAC members report the flow of capital to the DFI</w:t>
      </w:r>
      <w:r>
        <w:t xml:space="preserve"> (option c)</w:t>
      </w:r>
      <w:r w:rsidR="00CF1121">
        <w:t>.</w:t>
      </w:r>
      <w:r w:rsidR="00006E32">
        <w:t xml:space="preserve"> </w:t>
      </w:r>
      <w:r w:rsidR="002953F7">
        <w:t>This option is attractive as it more effectively demonstrates the true contribution of the UK’s activity. Related to this, it is also simpler for users to interpret the ODA statistics. This option appears to be in line with the OECD ODA directives, through the application of a rule relating to intra-government transfers.</w:t>
      </w:r>
      <w:r w:rsidR="002953F7" w:rsidRPr="002953F7">
        <w:t xml:space="preserve"> </w:t>
      </w:r>
      <w:r w:rsidR="002953F7">
        <w:t>Although this option does not promote international comparability in the short-term, as noted this is in any case already limited.</w:t>
      </w:r>
    </w:p>
    <w:p w:rsidR="008D5282" w:rsidRDefault="00006E32" w:rsidP="003F5F06">
      <w:pPr>
        <w:pStyle w:val="ListParagraph"/>
        <w:numPr>
          <w:ilvl w:val="0"/>
          <w:numId w:val="41"/>
        </w:numPr>
        <w:tabs>
          <w:tab w:val="left" w:pos="426"/>
        </w:tabs>
      </w:pPr>
      <w:r>
        <w:t>A potential downside to option c</w:t>
      </w:r>
      <w:r w:rsidR="00E2565C">
        <w:t>)</w:t>
      </w:r>
      <w:r>
        <w:t xml:space="preserve"> is a reduction in the amount of detailed transaction level information being available</w:t>
      </w:r>
      <w:r w:rsidR="00494B25">
        <w:rPr>
          <w:rStyle w:val="FootnoteReference"/>
        </w:rPr>
        <w:footnoteReference w:id="17"/>
      </w:r>
      <w:r>
        <w:t xml:space="preserve"> in the public domain. Currently detailed information on CDC investments is reported to the DAC and published by the OECD</w:t>
      </w:r>
      <w:r w:rsidR="00D16C91">
        <w:t xml:space="preserve"> and it is important that this information continues to be available</w:t>
      </w:r>
      <w:r>
        <w:t>.</w:t>
      </w:r>
      <w:r w:rsidR="009347A9">
        <w:t xml:space="preserve"> We would continue to report</w:t>
      </w:r>
      <w:r w:rsidR="00D16C91">
        <w:t xml:space="preserve"> transaction level information, since the OECD recommend </w:t>
      </w:r>
      <w:r w:rsidR="009347A9">
        <w:t xml:space="preserve">that </w:t>
      </w:r>
      <w:r w:rsidR="00D16C91">
        <w:t xml:space="preserve">outflows of DFIs </w:t>
      </w:r>
      <w:r w:rsidR="009347A9">
        <w:t xml:space="preserve">is reported </w:t>
      </w:r>
      <w:r w:rsidR="00D16C91">
        <w:t>in as much detail as possible.</w:t>
      </w:r>
      <w:r w:rsidR="00CF1121">
        <w:t xml:space="preserve"> </w:t>
      </w:r>
    </w:p>
    <w:p w:rsidR="008D5282" w:rsidRDefault="008D5282" w:rsidP="008D5282">
      <w:pPr>
        <w:pStyle w:val="ListParagraph"/>
        <w:tabs>
          <w:tab w:val="left" w:pos="426"/>
        </w:tabs>
        <w:ind w:left="360"/>
      </w:pPr>
    </w:p>
    <w:p w:rsidR="008D5282" w:rsidRPr="00CF1121" w:rsidRDefault="008D5282" w:rsidP="008D5282">
      <w:pPr>
        <w:tabs>
          <w:tab w:val="left" w:pos="426"/>
        </w:tabs>
        <w:rPr>
          <w:b/>
        </w:rPr>
      </w:pPr>
      <w:r>
        <w:rPr>
          <w:b/>
        </w:rPr>
        <w:t xml:space="preserve">Table 2. Reported net </w:t>
      </w:r>
      <w:r w:rsidRPr="00CF1121">
        <w:rPr>
          <w:b/>
        </w:rPr>
        <w:t xml:space="preserve">ODA </w:t>
      </w:r>
      <w:r>
        <w:rPr>
          <w:b/>
        </w:rPr>
        <w:t>flow from CDC under</w:t>
      </w:r>
      <w:r w:rsidRPr="00CF1121">
        <w:rPr>
          <w:b/>
        </w:rPr>
        <w:t xml:space="preserve"> options a), b) and c)</w:t>
      </w:r>
    </w:p>
    <w:p w:rsidR="008D5282" w:rsidRDefault="008D5282" w:rsidP="008D5282">
      <w:pPr>
        <w:tabs>
          <w:tab w:val="left" w:pos="426"/>
        </w:tabs>
      </w:pPr>
    </w:p>
    <w:tbl>
      <w:tblPr>
        <w:tblW w:w="7670" w:type="dxa"/>
        <w:tblInd w:w="93" w:type="dxa"/>
        <w:tblLook w:val="04A0" w:firstRow="1" w:lastRow="0" w:firstColumn="1" w:lastColumn="0" w:noHBand="0" w:noVBand="1"/>
      </w:tblPr>
      <w:tblGrid>
        <w:gridCol w:w="1433"/>
        <w:gridCol w:w="1276"/>
        <w:gridCol w:w="1275"/>
        <w:gridCol w:w="1134"/>
        <w:gridCol w:w="1276"/>
        <w:gridCol w:w="1276"/>
      </w:tblGrid>
      <w:tr w:rsidR="008D5282" w:rsidRPr="00FF19D1" w:rsidTr="006D5701">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8D5282" w:rsidRPr="00FF19D1" w:rsidRDefault="008D5282" w:rsidP="006D5701">
            <w:pPr>
              <w:rPr>
                <w:rFonts w:ascii="Calibri" w:hAnsi="Calibri" w:cs="Calibri"/>
                <w:color w:val="000000"/>
                <w:sz w:val="22"/>
                <w:szCs w:val="22"/>
                <w:lang w:eastAsia="en-GB"/>
              </w:rPr>
            </w:pPr>
            <w:r w:rsidRPr="00FF19D1">
              <w:rPr>
                <w:rFonts w:ascii="Calibri" w:hAnsi="Calibri" w:cs="Calibri"/>
                <w:color w:val="000000"/>
                <w:sz w:val="22"/>
                <w:szCs w:val="22"/>
                <w:lang w:eastAsia="en-GB"/>
              </w:rPr>
              <w:t> </w:t>
            </w:r>
          </w:p>
        </w:tc>
        <w:tc>
          <w:tcPr>
            <w:tcW w:w="1276" w:type="dxa"/>
            <w:tcBorders>
              <w:top w:val="single" w:sz="4" w:space="0" w:color="auto"/>
              <w:left w:val="nil"/>
              <w:bottom w:val="single" w:sz="4" w:space="0" w:color="auto"/>
              <w:right w:val="single" w:sz="4" w:space="0" w:color="auto"/>
            </w:tcBorders>
            <w:shd w:val="clear" w:color="000000" w:fill="A6A6A6"/>
            <w:noWrap/>
            <w:vAlign w:val="bottom"/>
            <w:hideMark/>
          </w:tcPr>
          <w:p w:rsidR="008D5282" w:rsidRPr="00FF19D1" w:rsidRDefault="008D5282" w:rsidP="006D570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2009</w:t>
            </w:r>
          </w:p>
        </w:tc>
        <w:tc>
          <w:tcPr>
            <w:tcW w:w="1275" w:type="dxa"/>
            <w:tcBorders>
              <w:top w:val="single" w:sz="4" w:space="0" w:color="auto"/>
              <w:left w:val="nil"/>
              <w:bottom w:val="single" w:sz="4" w:space="0" w:color="auto"/>
              <w:right w:val="single" w:sz="4" w:space="0" w:color="auto"/>
            </w:tcBorders>
            <w:shd w:val="clear" w:color="000000" w:fill="A6A6A6"/>
            <w:noWrap/>
            <w:vAlign w:val="bottom"/>
            <w:hideMark/>
          </w:tcPr>
          <w:p w:rsidR="008D5282" w:rsidRPr="00FF19D1" w:rsidRDefault="008D5282" w:rsidP="006D570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2010</w:t>
            </w:r>
          </w:p>
        </w:tc>
        <w:tc>
          <w:tcPr>
            <w:tcW w:w="1134" w:type="dxa"/>
            <w:tcBorders>
              <w:top w:val="single" w:sz="4" w:space="0" w:color="auto"/>
              <w:left w:val="nil"/>
              <w:bottom w:val="single" w:sz="4" w:space="0" w:color="auto"/>
              <w:right w:val="single" w:sz="4" w:space="0" w:color="auto"/>
            </w:tcBorders>
            <w:shd w:val="clear" w:color="000000" w:fill="A6A6A6"/>
            <w:noWrap/>
            <w:vAlign w:val="bottom"/>
            <w:hideMark/>
          </w:tcPr>
          <w:p w:rsidR="008D5282" w:rsidRPr="00FF19D1" w:rsidRDefault="008D5282" w:rsidP="006D570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2011</w:t>
            </w:r>
          </w:p>
        </w:tc>
        <w:tc>
          <w:tcPr>
            <w:tcW w:w="1276" w:type="dxa"/>
            <w:tcBorders>
              <w:top w:val="single" w:sz="4" w:space="0" w:color="auto"/>
              <w:left w:val="nil"/>
              <w:bottom w:val="single" w:sz="4" w:space="0" w:color="auto"/>
              <w:right w:val="single" w:sz="4" w:space="0" w:color="auto"/>
            </w:tcBorders>
            <w:shd w:val="clear" w:color="000000" w:fill="A6A6A6"/>
            <w:noWrap/>
            <w:vAlign w:val="bottom"/>
            <w:hideMark/>
          </w:tcPr>
          <w:p w:rsidR="008D5282" w:rsidRPr="00FF19D1" w:rsidRDefault="008D5282" w:rsidP="006D570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2012</w:t>
            </w:r>
          </w:p>
        </w:tc>
        <w:tc>
          <w:tcPr>
            <w:tcW w:w="1276" w:type="dxa"/>
            <w:tcBorders>
              <w:top w:val="single" w:sz="4" w:space="0" w:color="auto"/>
              <w:left w:val="nil"/>
              <w:bottom w:val="single" w:sz="4" w:space="0" w:color="auto"/>
              <w:right w:val="single" w:sz="4" w:space="0" w:color="auto"/>
            </w:tcBorders>
            <w:shd w:val="clear" w:color="000000" w:fill="A6A6A6"/>
            <w:noWrap/>
            <w:vAlign w:val="bottom"/>
            <w:hideMark/>
          </w:tcPr>
          <w:p w:rsidR="008D5282" w:rsidRPr="00FF19D1" w:rsidRDefault="008D5282" w:rsidP="006D5701">
            <w:pPr>
              <w:jc w:val="right"/>
              <w:rPr>
                <w:rFonts w:ascii="Calibri" w:hAnsi="Calibri" w:cs="Calibri"/>
                <w:b/>
                <w:bCs/>
                <w:color w:val="000000"/>
                <w:sz w:val="22"/>
                <w:szCs w:val="22"/>
                <w:lang w:eastAsia="en-GB"/>
              </w:rPr>
            </w:pPr>
            <w:r w:rsidRPr="00FF19D1">
              <w:rPr>
                <w:rFonts w:ascii="Calibri" w:hAnsi="Calibri" w:cs="Calibri"/>
                <w:b/>
                <w:bCs/>
                <w:color w:val="000000"/>
                <w:sz w:val="22"/>
                <w:szCs w:val="22"/>
                <w:lang w:eastAsia="en-GB"/>
              </w:rPr>
              <w:t>2013</w:t>
            </w:r>
          </w:p>
        </w:tc>
      </w:tr>
      <w:tr w:rsidR="008D5282" w:rsidRPr="00FF19D1" w:rsidTr="006D5701">
        <w:trPr>
          <w:trHeight w:val="300"/>
        </w:trPr>
        <w:tc>
          <w:tcPr>
            <w:tcW w:w="1433" w:type="dxa"/>
            <w:tcBorders>
              <w:top w:val="nil"/>
              <w:left w:val="single" w:sz="4" w:space="0" w:color="auto"/>
              <w:bottom w:val="single" w:sz="4" w:space="0" w:color="auto"/>
              <w:right w:val="single" w:sz="4" w:space="0" w:color="auto"/>
            </w:tcBorders>
            <w:shd w:val="clear" w:color="000000" w:fill="A6A6A6"/>
            <w:noWrap/>
            <w:vAlign w:val="bottom"/>
            <w:hideMark/>
          </w:tcPr>
          <w:p w:rsidR="008D5282" w:rsidRPr="00FF19D1" w:rsidRDefault="008D5282" w:rsidP="006D5701">
            <w:pPr>
              <w:rPr>
                <w:rFonts w:ascii="Calibri" w:hAnsi="Calibri" w:cs="Calibri"/>
                <w:color w:val="000000"/>
                <w:sz w:val="22"/>
                <w:szCs w:val="22"/>
                <w:lang w:eastAsia="en-GB"/>
              </w:rPr>
            </w:pPr>
            <w:r w:rsidRPr="00CF1121">
              <w:rPr>
                <w:rFonts w:ascii="Calibri" w:hAnsi="Calibri" w:cs="Calibri"/>
                <w:color w:val="000000"/>
                <w:sz w:val="22"/>
                <w:szCs w:val="22"/>
                <w:lang w:eastAsia="en-GB"/>
              </w:rPr>
              <w:t>Option A</w:t>
            </w:r>
          </w:p>
        </w:tc>
        <w:tc>
          <w:tcPr>
            <w:tcW w:w="1276" w:type="dxa"/>
            <w:tcBorders>
              <w:top w:val="nil"/>
              <w:left w:val="nil"/>
              <w:bottom w:val="single" w:sz="4" w:space="0" w:color="auto"/>
              <w:right w:val="single" w:sz="4" w:space="0" w:color="auto"/>
            </w:tcBorders>
            <w:shd w:val="clear" w:color="auto" w:fill="auto"/>
            <w:noWrap/>
            <w:vAlign w:val="bottom"/>
            <w:hideMark/>
          </w:tcPr>
          <w:p w:rsidR="008D5282" w:rsidRPr="00FF19D1" w:rsidRDefault="008D5282" w:rsidP="006D5701">
            <w:pPr>
              <w:jc w:val="right"/>
              <w:rPr>
                <w:rFonts w:ascii="Calibri" w:hAnsi="Calibri" w:cs="Calibri"/>
                <w:bCs/>
                <w:color w:val="000000"/>
                <w:sz w:val="22"/>
                <w:szCs w:val="22"/>
                <w:lang w:eastAsia="en-GB"/>
              </w:rPr>
            </w:pPr>
            <w:r w:rsidRPr="00FF19D1">
              <w:rPr>
                <w:rFonts w:ascii="Calibri" w:hAnsi="Calibri" w:cs="Calibri"/>
                <w:bCs/>
                <w:color w:val="000000"/>
                <w:sz w:val="22"/>
                <w:szCs w:val="22"/>
                <w:lang w:eastAsia="en-GB"/>
              </w:rPr>
              <w:t>233</w:t>
            </w:r>
          </w:p>
        </w:tc>
        <w:tc>
          <w:tcPr>
            <w:tcW w:w="1275" w:type="dxa"/>
            <w:tcBorders>
              <w:top w:val="nil"/>
              <w:left w:val="nil"/>
              <w:bottom w:val="single" w:sz="4" w:space="0" w:color="auto"/>
              <w:right w:val="single" w:sz="4" w:space="0" w:color="auto"/>
            </w:tcBorders>
            <w:shd w:val="clear" w:color="auto" w:fill="auto"/>
            <w:noWrap/>
            <w:vAlign w:val="bottom"/>
            <w:hideMark/>
          </w:tcPr>
          <w:p w:rsidR="008D5282" w:rsidRPr="00FF19D1" w:rsidRDefault="008D5282" w:rsidP="006D5701">
            <w:pPr>
              <w:jc w:val="right"/>
              <w:rPr>
                <w:rFonts w:ascii="Calibri" w:hAnsi="Calibri" w:cs="Calibri"/>
                <w:bCs/>
                <w:color w:val="000000"/>
                <w:sz w:val="22"/>
                <w:szCs w:val="22"/>
                <w:lang w:eastAsia="en-GB"/>
              </w:rPr>
            </w:pPr>
            <w:r w:rsidRPr="00FF19D1">
              <w:rPr>
                <w:rFonts w:ascii="Calibri" w:hAnsi="Calibri" w:cs="Calibri"/>
                <w:bCs/>
                <w:color w:val="000000"/>
                <w:sz w:val="22"/>
                <w:szCs w:val="22"/>
                <w:lang w:eastAsia="en-GB"/>
              </w:rPr>
              <w:t>228</w:t>
            </w:r>
          </w:p>
        </w:tc>
        <w:tc>
          <w:tcPr>
            <w:tcW w:w="1134" w:type="dxa"/>
            <w:tcBorders>
              <w:top w:val="nil"/>
              <w:left w:val="nil"/>
              <w:bottom w:val="single" w:sz="4" w:space="0" w:color="auto"/>
              <w:right w:val="single" w:sz="4" w:space="0" w:color="auto"/>
            </w:tcBorders>
            <w:shd w:val="clear" w:color="auto" w:fill="auto"/>
            <w:noWrap/>
            <w:vAlign w:val="bottom"/>
            <w:hideMark/>
          </w:tcPr>
          <w:p w:rsidR="008D5282" w:rsidRPr="00FF19D1" w:rsidRDefault="008D5282" w:rsidP="006D5701">
            <w:pPr>
              <w:jc w:val="right"/>
              <w:rPr>
                <w:rFonts w:ascii="Calibri" w:hAnsi="Calibri" w:cs="Calibri"/>
                <w:bCs/>
                <w:color w:val="000000"/>
                <w:sz w:val="22"/>
                <w:szCs w:val="22"/>
                <w:lang w:eastAsia="en-GB"/>
              </w:rPr>
            </w:pPr>
            <w:r w:rsidRPr="00FF19D1">
              <w:rPr>
                <w:rFonts w:ascii="Calibri" w:hAnsi="Calibri" w:cs="Calibri"/>
                <w:bCs/>
                <w:color w:val="000000"/>
                <w:sz w:val="22"/>
                <w:szCs w:val="22"/>
                <w:lang w:eastAsia="en-GB"/>
              </w:rPr>
              <w:t>91</w:t>
            </w:r>
          </w:p>
        </w:tc>
        <w:tc>
          <w:tcPr>
            <w:tcW w:w="1276" w:type="dxa"/>
            <w:tcBorders>
              <w:top w:val="nil"/>
              <w:left w:val="nil"/>
              <w:bottom w:val="single" w:sz="4" w:space="0" w:color="auto"/>
              <w:right w:val="single" w:sz="4" w:space="0" w:color="auto"/>
            </w:tcBorders>
            <w:shd w:val="clear" w:color="auto" w:fill="auto"/>
            <w:noWrap/>
            <w:vAlign w:val="bottom"/>
            <w:hideMark/>
          </w:tcPr>
          <w:p w:rsidR="008D5282" w:rsidRPr="00FF19D1" w:rsidRDefault="008D5282" w:rsidP="006D5701">
            <w:pPr>
              <w:jc w:val="right"/>
              <w:rPr>
                <w:rFonts w:ascii="Calibri" w:hAnsi="Calibri" w:cs="Calibri"/>
                <w:bCs/>
                <w:color w:val="000000"/>
                <w:sz w:val="22"/>
                <w:szCs w:val="22"/>
                <w:lang w:eastAsia="en-GB"/>
              </w:rPr>
            </w:pPr>
            <w:r w:rsidRPr="00FF19D1">
              <w:rPr>
                <w:rFonts w:ascii="Calibri" w:hAnsi="Calibri" w:cs="Calibri"/>
                <w:bCs/>
                <w:color w:val="000000"/>
                <w:sz w:val="22"/>
                <w:szCs w:val="22"/>
                <w:lang w:eastAsia="en-GB"/>
              </w:rPr>
              <w:t>103</w:t>
            </w:r>
          </w:p>
        </w:tc>
        <w:tc>
          <w:tcPr>
            <w:tcW w:w="1276" w:type="dxa"/>
            <w:tcBorders>
              <w:top w:val="nil"/>
              <w:left w:val="nil"/>
              <w:bottom w:val="single" w:sz="4" w:space="0" w:color="auto"/>
              <w:right w:val="single" w:sz="4" w:space="0" w:color="auto"/>
            </w:tcBorders>
            <w:shd w:val="clear" w:color="auto" w:fill="auto"/>
            <w:noWrap/>
            <w:vAlign w:val="bottom"/>
            <w:hideMark/>
          </w:tcPr>
          <w:p w:rsidR="008D5282" w:rsidRPr="00FF19D1" w:rsidRDefault="008D5282" w:rsidP="006D5701">
            <w:pPr>
              <w:jc w:val="right"/>
              <w:rPr>
                <w:rFonts w:ascii="Calibri" w:hAnsi="Calibri" w:cs="Calibri"/>
                <w:bCs/>
                <w:color w:val="000000"/>
                <w:sz w:val="22"/>
                <w:szCs w:val="22"/>
                <w:lang w:eastAsia="en-GB"/>
              </w:rPr>
            </w:pPr>
            <w:r w:rsidRPr="00FF19D1">
              <w:rPr>
                <w:rFonts w:ascii="Calibri" w:hAnsi="Calibri" w:cs="Calibri"/>
                <w:bCs/>
                <w:color w:val="000000"/>
                <w:sz w:val="22"/>
                <w:szCs w:val="22"/>
                <w:lang w:eastAsia="en-GB"/>
              </w:rPr>
              <w:t>100</w:t>
            </w:r>
          </w:p>
        </w:tc>
      </w:tr>
      <w:tr w:rsidR="008D5282" w:rsidRPr="00FF19D1" w:rsidTr="006D5701">
        <w:trPr>
          <w:trHeight w:val="300"/>
        </w:trPr>
        <w:tc>
          <w:tcPr>
            <w:tcW w:w="1433" w:type="dxa"/>
            <w:tcBorders>
              <w:top w:val="nil"/>
              <w:left w:val="single" w:sz="4" w:space="0" w:color="auto"/>
              <w:bottom w:val="single" w:sz="4" w:space="0" w:color="auto"/>
              <w:right w:val="single" w:sz="4" w:space="0" w:color="auto"/>
            </w:tcBorders>
            <w:shd w:val="clear" w:color="000000" w:fill="A6A6A6"/>
            <w:noWrap/>
            <w:hideMark/>
          </w:tcPr>
          <w:p w:rsidR="008D5282" w:rsidRPr="00FF19D1" w:rsidRDefault="008D5282" w:rsidP="006D5701">
            <w:pPr>
              <w:rPr>
                <w:rFonts w:ascii="Calibri" w:hAnsi="Calibri" w:cs="Calibri"/>
                <w:color w:val="000000"/>
                <w:sz w:val="22"/>
                <w:szCs w:val="22"/>
                <w:lang w:eastAsia="en-GB"/>
              </w:rPr>
            </w:pPr>
            <w:r w:rsidRPr="00CF1121">
              <w:rPr>
                <w:rFonts w:ascii="Calibri" w:hAnsi="Calibri" w:cs="Calibri"/>
                <w:color w:val="000000"/>
                <w:sz w:val="22"/>
                <w:szCs w:val="22"/>
                <w:lang w:eastAsia="en-GB"/>
              </w:rPr>
              <w:t>Option B</w:t>
            </w:r>
          </w:p>
        </w:tc>
        <w:tc>
          <w:tcPr>
            <w:tcW w:w="1276" w:type="dxa"/>
            <w:tcBorders>
              <w:top w:val="nil"/>
              <w:left w:val="nil"/>
              <w:bottom w:val="single" w:sz="4" w:space="0" w:color="auto"/>
              <w:right w:val="single" w:sz="4" w:space="0" w:color="auto"/>
            </w:tcBorders>
            <w:shd w:val="clear" w:color="auto" w:fill="auto"/>
            <w:noWrap/>
            <w:vAlign w:val="bottom"/>
          </w:tcPr>
          <w:p w:rsidR="008D5282"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0 </w:t>
            </w:r>
          </w:p>
          <w:p w:rsidR="008D5282" w:rsidRPr="00FF19D1"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(OOF  233)</w:t>
            </w:r>
          </w:p>
        </w:tc>
        <w:tc>
          <w:tcPr>
            <w:tcW w:w="1275" w:type="dxa"/>
            <w:tcBorders>
              <w:top w:val="nil"/>
              <w:left w:val="nil"/>
              <w:bottom w:val="single" w:sz="4" w:space="0" w:color="auto"/>
              <w:right w:val="single" w:sz="4" w:space="0" w:color="auto"/>
            </w:tcBorders>
            <w:shd w:val="clear" w:color="auto" w:fill="auto"/>
            <w:noWrap/>
            <w:vAlign w:val="bottom"/>
          </w:tcPr>
          <w:p w:rsidR="008D5282"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0</w:t>
            </w:r>
          </w:p>
          <w:p w:rsidR="008D5282" w:rsidRPr="00FF19D1"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(OOF  228)</w:t>
            </w:r>
          </w:p>
        </w:tc>
        <w:tc>
          <w:tcPr>
            <w:tcW w:w="1134" w:type="dxa"/>
            <w:tcBorders>
              <w:top w:val="nil"/>
              <w:left w:val="nil"/>
              <w:bottom w:val="single" w:sz="4" w:space="0" w:color="auto"/>
              <w:right w:val="single" w:sz="4" w:space="0" w:color="auto"/>
            </w:tcBorders>
            <w:shd w:val="clear" w:color="auto" w:fill="auto"/>
            <w:noWrap/>
            <w:vAlign w:val="bottom"/>
          </w:tcPr>
          <w:p w:rsidR="008D5282"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0 </w:t>
            </w:r>
          </w:p>
          <w:p w:rsidR="008D5282" w:rsidRPr="00FF19D1"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(OOF 91)</w:t>
            </w:r>
          </w:p>
        </w:tc>
        <w:tc>
          <w:tcPr>
            <w:tcW w:w="1276" w:type="dxa"/>
            <w:tcBorders>
              <w:top w:val="nil"/>
              <w:left w:val="nil"/>
              <w:bottom w:val="single" w:sz="4" w:space="0" w:color="auto"/>
              <w:right w:val="single" w:sz="4" w:space="0" w:color="auto"/>
            </w:tcBorders>
            <w:shd w:val="clear" w:color="auto" w:fill="auto"/>
            <w:noWrap/>
            <w:vAlign w:val="bottom"/>
          </w:tcPr>
          <w:p w:rsidR="008D5282"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0 </w:t>
            </w:r>
          </w:p>
          <w:p w:rsidR="008D5282" w:rsidRPr="00FF19D1"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(OOF 103)</w:t>
            </w:r>
          </w:p>
        </w:tc>
        <w:tc>
          <w:tcPr>
            <w:tcW w:w="1276" w:type="dxa"/>
            <w:tcBorders>
              <w:top w:val="nil"/>
              <w:left w:val="nil"/>
              <w:bottom w:val="single" w:sz="4" w:space="0" w:color="auto"/>
              <w:right w:val="single" w:sz="4" w:space="0" w:color="auto"/>
            </w:tcBorders>
            <w:shd w:val="clear" w:color="auto" w:fill="auto"/>
            <w:noWrap/>
            <w:vAlign w:val="bottom"/>
          </w:tcPr>
          <w:p w:rsidR="008D5282"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0 </w:t>
            </w:r>
          </w:p>
          <w:p w:rsidR="008D5282" w:rsidRPr="00FF19D1" w:rsidRDefault="008D5282" w:rsidP="006D5701">
            <w:pPr>
              <w:jc w:val="right"/>
              <w:rPr>
                <w:rFonts w:ascii="Calibri" w:hAnsi="Calibri" w:cs="Calibri"/>
                <w:color w:val="000000"/>
                <w:sz w:val="22"/>
                <w:szCs w:val="22"/>
                <w:lang w:eastAsia="en-GB"/>
              </w:rPr>
            </w:pPr>
            <w:r>
              <w:rPr>
                <w:rFonts w:ascii="Calibri" w:hAnsi="Calibri" w:cs="Calibri"/>
                <w:color w:val="000000"/>
                <w:sz w:val="22"/>
                <w:szCs w:val="22"/>
                <w:lang w:eastAsia="en-GB"/>
              </w:rPr>
              <w:t xml:space="preserve">(OOF 100) </w:t>
            </w:r>
          </w:p>
        </w:tc>
      </w:tr>
      <w:tr w:rsidR="008D5282" w:rsidRPr="00FF19D1" w:rsidTr="006D5701">
        <w:trPr>
          <w:trHeight w:val="300"/>
        </w:trPr>
        <w:tc>
          <w:tcPr>
            <w:tcW w:w="1433" w:type="dxa"/>
            <w:tcBorders>
              <w:top w:val="nil"/>
              <w:left w:val="single" w:sz="4" w:space="0" w:color="auto"/>
              <w:bottom w:val="single" w:sz="4" w:space="0" w:color="auto"/>
              <w:right w:val="single" w:sz="4" w:space="0" w:color="auto"/>
            </w:tcBorders>
            <w:shd w:val="clear" w:color="000000" w:fill="A6A6A6"/>
            <w:noWrap/>
            <w:vAlign w:val="bottom"/>
            <w:hideMark/>
          </w:tcPr>
          <w:p w:rsidR="008D5282" w:rsidRPr="00FF19D1" w:rsidRDefault="008D5282" w:rsidP="006D5701">
            <w:pPr>
              <w:rPr>
                <w:rFonts w:ascii="Calibri" w:hAnsi="Calibri" w:cs="Calibri"/>
                <w:bCs/>
                <w:color w:val="000000"/>
                <w:sz w:val="22"/>
                <w:szCs w:val="22"/>
                <w:lang w:eastAsia="en-GB"/>
              </w:rPr>
            </w:pPr>
            <w:r w:rsidRPr="00CF1121">
              <w:rPr>
                <w:rFonts w:ascii="Calibri" w:hAnsi="Calibri" w:cs="Calibri"/>
                <w:bCs/>
                <w:color w:val="000000"/>
                <w:sz w:val="22"/>
                <w:szCs w:val="22"/>
                <w:lang w:eastAsia="en-GB"/>
              </w:rPr>
              <w:t>Option C</w:t>
            </w:r>
          </w:p>
        </w:tc>
        <w:tc>
          <w:tcPr>
            <w:tcW w:w="1276" w:type="dxa"/>
            <w:tcBorders>
              <w:top w:val="nil"/>
              <w:left w:val="nil"/>
              <w:bottom w:val="single" w:sz="4" w:space="0" w:color="auto"/>
              <w:right w:val="single" w:sz="4" w:space="0" w:color="auto"/>
            </w:tcBorders>
            <w:shd w:val="clear" w:color="auto" w:fill="auto"/>
            <w:noWrap/>
            <w:vAlign w:val="bottom"/>
          </w:tcPr>
          <w:p w:rsidR="008D5282" w:rsidRPr="00FF19D1" w:rsidRDefault="008D5282" w:rsidP="006D5701">
            <w:pPr>
              <w:jc w:val="right"/>
              <w:rPr>
                <w:rFonts w:ascii="Calibri" w:hAnsi="Calibri" w:cs="Calibri"/>
                <w:bCs/>
                <w:color w:val="000000"/>
                <w:sz w:val="22"/>
                <w:szCs w:val="22"/>
                <w:lang w:eastAsia="en-GB"/>
              </w:rPr>
            </w:pPr>
            <w:r>
              <w:rPr>
                <w:rFonts w:ascii="Calibri" w:hAnsi="Calibri" w:cs="Calibri"/>
                <w:bCs/>
                <w:color w:val="000000"/>
                <w:sz w:val="22"/>
                <w:szCs w:val="22"/>
                <w:lang w:eastAsia="en-GB"/>
              </w:rPr>
              <w:t>0</w:t>
            </w:r>
          </w:p>
        </w:tc>
        <w:tc>
          <w:tcPr>
            <w:tcW w:w="1275" w:type="dxa"/>
            <w:tcBorders>
              <w:top w:val="nil"/>
              <w:left w:val="nil"/>
              <w:bottom w:val="single" w:sz="4" w:space="0" w:color="auto"/>
              <w:right w:val="single" w:sz="4" w:space="0" w:color="auto"/>
            </w:tcBorders>
            <w:shd w:val="clear" w:color="auto" w:fill="auto"/>
            <w:noWrap/>
            <w:vAlign w:val="bottom"/>
          </w:tcPr>
          <w:p w:rsidR="008D5282" w:rsidRPr="00FF19D1" w:rsidRDefault="008D5282" w:rsidP="006D5701">
            <w:pPr>
              <w:jc w:val="right"/>
              <w:rPr>
                <w:rFonts w:ascii="Calibri" w:hAnsi="Calibri" w:cs="Calibri"/>
                <w:bCs/>
                <w:color w:val="000000"/>
                <w:sz w:val="22"/>
                <w:szCs w:val="22"/>
                <w:lang w:eastAsia="en-GB"/>
              </w:rPr>
            </w:pPr>
            <w:r>
              <w:rPr>
                <w:rFonts w:ascii="Calibri" w:hAnsi="Calibri" w:cs="Calibri"/>
                <w:bCs/>
                <w:color w:val="000000"/>
                <w:sz w:val="22"/>
                <w:szCs w:val="22"/>
                <w:lang w:eastAsia="en-GB"/>
              </w:rPr>
              <w:t>0</w:t>
            </w:r>
          </w:p>
        </w:tc>
        <w:tc>
          <w:tcPr>
            <w:tcW w:w="1134" w:type="dxa"/>
            <w:tcBorders>
              <w:top w:val="nil"/>
              <w:left w:val="nil"/>
              <w:bottom w:val="single" w:sz="4" w:space="0" w:color="auto"/>
              <w:right w:val="single" w:sz="4" w:space="0" w:color="auto"/>
            </w:tcBorders>
            <w:shd w:val="clear" w:color="auto" w:fill="auto"/>
            <w:noWrap/>
            <w:vAlign w:val="bottom"/>
          </w:tcPr>
          <w:p w:rsidR="008D5282" w:rsidRPr="00FF19D1" w:rsidRDefault="008D5282" w:rsidP="006D5701">
            <w:pPr>
              <w:jc w:val="right"/>
              <w:rPr>
                <w:rFonts w:ascii="Calibri" w:hAnsi="Calibri" w:cs="Calibri"/>
                <w:bCs/>
                <w:color w:val="000000"/>
                <w:sz w:val="22"/>
                <w:szCs w:val="22"/>
                <w:lang w:eastAsia="en-GB"/>
              </w:rPr>
            </w:pPr>
            <w:r>
              <w:rPr>
                <w:rFonts w:ascii="Calibri" w:hAnsi="Calibri" w:cs="Calibri"/>
                <w:bCs/>
                <w:color w:val="000000"/>
                <w:sz w:val="22"/>
                <w:szCs w:val="22"/>
                <w:lang w:eastAsia="en-GB"/>
              </w:rPr>
              <w:t>0</w:t>
            </w:r>
          </w:p>
        </w:tc>
        <w:tc>
          <w:tcPr>
            <w:tcW w:w="1276" w:type="dxa"/>
            <w:tcBorders>
              <w:top w:val="nil"/>
              <w:left w:val="nil"/>
              <w:bottom w:val="single" w:sz="4" w:space="0" w:color="auto"/>
              <w:right w:val="single" w:sz="4" w:space="0" w:color="auto"/>
            </w:tcBorders>
            <w:shd w:val="clear" w:color="auto" w:fill="auto"/>
            <w:noWrap/>
            <w:vAlign w:val="bottom"/>
          </w:tcPr>
          <w:p w:rsidR="008D5282" w:rsidRPr="00FF19D1" w:rsidRDefault="008D5282" w:rsidP="006D5701">
            <w:pPr>
              <w:jc w:val="right"/>
              <w:rPr>
                <w:rFonts w:ascii="Calibri" w:hAnsi="Calibri" w:cs="Calibri"/>
                <w:bCs/>
                <w:color w:val="000000"/>
                <w:sz w:val="22"/>
                <w:szCs w:val="22"/>
                <w:lang w:eastAsia="en-GB"/>
              </w:rPr>
            </w:pPr>
            <w:r>
              <w:rPr>
                <w:rFonts w:ascii="Calibri" w:hAnsi="Calibri" w:cs="Calibri"/>
                <w:bCs/>
                <w:color w:val="000000"/>
                <w:sz w:val="22"/>
                <w:szCs w:val="22"/>
                <w:lang w:eastAsia="en-GB"/>
              </w:rPr>
              <w:t>0</w:t>
            </w:r>
          </w:p>
        </w:tc>
        <w:tc>
          <w:tcPr>
            <w:tcW w:w="1276" w:type="dxa"/>
            <w:tcBorders>
              <w:top w:val="nil"/>
              <w:left w:val="nil"/>
              <w:bottom w:val="single" w:sz="4" w:space="0" w:color="auto"/>
              <w:right w:val="single" w:sz="4" w:space="0" w:color="auto"/>
            </w:tcBorders>
            <w:shd w:val="clear" w:color="auto" w:fill="auto"/>
            <w:noWrap/>
            <w:vAlign w:val="bottom"/>
          </w:tcPr>
          <w:p w:rsidR="008D5282" w:rsidRPr="00FF19D1" w:rsidRDefault="008D5282" w:rsidP="006D5701">
            <w:pPr>
              <w:jc w:val="right"/>
              <w:rPr>
                <w:rFonts w:ascii="Calibri" w:hAnsi="Calibri" w:cs="Calibri"/>
                <w:bCs/>
                <w:color w:val="000000"/>
                <w:sz w:val="22"/>
                <w:szCs w:val="22"/>
                <w:lang w:eastAsia="en-GB"/>
              </w:rPr>
            </w:pPr>
            <w:r>
              <w:rPr>
                <w:rFonts w:ascii="Calibri" w:hAnsi="Calibri" w:cs="Calibri"/>
                <w:bCs/>
                <w:color w:val="000000"/>
                <w:sz w:val="22"/>
                <w:szCs w:val="22"/>
                <w:lang w:eastAsia="en-GB"/>
              </w:rPr>
              <w:t>0</w:t>
            </w:r>
          </w:p>
        </w:tc>
      </w:tr>
    </w:tbl>
    <w:p w:rsidR="008D5282" w:rsidRDefault="008D5282" w:rsidP="008D5282">
      <w:pPr>
        <w:tabs>
          <w:tab w:val="left" w:pos="426"/>
        </w:tabs>
      </w:pPr>
    </w:p>
    <w:p w:rsidR="005951CC" w:rsidRDefault="00D16C91" w:rsidP="005951CC">
      <w:pPr>
        <w:pStyle w:val="ListParagraph"/>
        <w:numPr>
          <w:ilvl w:val="0"/>
          <w:numId w:val="41"/>
        </w:numPr>
        <w:tabs>
          <w:tab w:val="left" w:pos="426"/>
        </w:tabs>
      </w:pPr>
      <w:r>
        <w:t xml:space="preserve">Table 2 shows the impact of the each of the options on the ODA flows in previous years. Under option a) we would report the same value of ODA as currently set out in table 1. Under option b) we would report the same value as option a) but as OOF. Under option c) we would have reported zero ODA flow, as there was no </w:t>
      </w:r>
      <w:r w:rsidRPr="00D16C91">
        <w:t>capital flow from the UK government to CDC</w:t>
      </w:r>
      <w:r>
        <w:t>.</w:t>
      </w:r>
    </w:p>
    <w:p w:rsidR="005951CC" w:rsidRDefault="005951CC" w:rsidP="00225BFC">
      <w:pPr>
        <w:tabs>
          <w:tab w:val="left" w:pos="426"/>
        </w:tabs>
        <w:ind w:left="425"/>
      </w:pPr>
    </w:p>
    <w:p w:rsidR="00D16C91" w:rsidRDefault="005951CC" w:rsidP="00225BFC">
      <w:pPr>
        <w:tabs>
          <w:tab w:val="left" w:pos="426"/>
        </w:tabs>
        <w:ind w:left="425"/>
      </w:pPr>
      <w:r>
        <w:rPr>
          <w:i/>
        </w:rPr>
        <w:t>E</w:t>
      </w:r>
      <w:r w:rsidRPr="00FF19D1">
        <w:rPr>
          <w:i/>
        </w:rPr>
        <w:t>. Con</w:t>
      </w:r>
      <w:r>
        <w:rPr>
          <w:i/>
        </w:rPr>
        <w:t>clusion</w:t>
      </w:r>
      <w:r w:rsidR="00D16C91">
        <w:t xml:space="preserve"> </w:t>
      </w:r>
    </w:p>
    <w:p w:rsidR="008D5282" w:rsidRDefault="008D5282" w:rsidP="003F5F06">
      <w:pPr>
        <w:pStyle w:val="ListParagraph"/>
        <w:numPr>
          <w:ilvl w:val="0"/>
          <w:numId w:val="41"/>
        </w:numPr>
        <w:tabs>
          <w:tab w:val="left" w:pos="426"/>
        </w:tabs>
      </w:pPr>
      <w:r>
        <w:t xml:space="preserve">This area of ODA reporting is complex, with unclear rules and varied practice across DAC members. Of the three options set out above none fully meet the </w:t>
      </w:r>
      <w:r w:rsidR="0063491A">
        <w:t>two</w:t>
      </w:r>
      <w:r>
        <w:t xml:space="preserve"> assessment criteria set out in para 2</w:t>
      </w:r>
      <w:r w:rsidR="005951CC">
        <w:t>3</w:t>
      </w:r>
      <w:r>
        <w:t xml:space="preserve">. </w:t>
      </w:r>
      <w:r w:rsidR="0063491A">
        <w:t>We recommend that option c) should be adopted for the reporting of flows from 2015 onwards. W</w:t>
      </w:r>
      <w:r>
        <w:t xml:space="preserve">e </w:t>
      </w:r>
      <w:r w:rsidRPr="0063491A">
        <w:t>conclude that the benefits of more effectively capturing</w:t>
      </w:r>
      <w:r w:rsidR="0063491A" w:rsidRPr="0063491A">
        <w:t xml:space="preserve"> the</w:t>
      </w:r>
      <w:r w:rsidRPr="0063491A">
        <w:t xml:space="preserve"> </w:t>
      </w:r>
      <w:r w:rsidR="0063491A" w:rsidRPr="0063491A">
        <w:t>true contribution</w:t>
      </w:r>
      <w:r w:rsidR="0063491A">
        <w:t xml:space="preserve"> of DFID’s activity outweigh the </w:t>
      </w:r>
      <w:r w:rsidR="00DC67A6">
        <w:t xml:space="preserve">other considerations. None of the options are strong </w:t>
      </w:r>
      <w:r w:rsidR="0063491A">
        <w:t xml:space="preserve">on international </w:t>
      </w:r>
      <w:r w:rsidR="0063491A">
        <w:lastRenderedPageBreak/>
        <w:t xml:space="preserve">comparability, </w:t>
      </w:r>
      <w:r w:rsidR="00DC67A6">
        <w:t xml:space="preserve">because of the different reporting practices by DAC Members. </w:t>
      </w:r>
      <w:r w:rsidR="0063491A">
        <w:t xml:space="preserve"> </w:t>
      </w:r>
    </w:p>
    <w:p w:rsidR="00CF1121" w:rsidRDefault="00CF1121" w:rsidP="00A15E6D">
      <w:pPr>
        <w:tabs>
          <w:tab w:val="left" w:pos="426"/>
        </w:tabs>
      </w:pPr>
    </w:p>
    <w:p w:rsidR="00FF19D1" w:rsidRPr="00FF19D1" w:rsidRDefault="005951CC" w:rsidP="00FF19D1">
      <w:pPr>
        <w:pStyle w:val="ListParagraph"/>
        <w:tabs>
          <w:tab w:val="left" w:pos="426"/>
        </w:tabs>
        <w:ind w:left="426"/>
        <w:rPr>
          <w:i/>
        </w:rPr>
      </w:pPr>
      <w:r>
        <w:rPr>
          <w:i/>
        </w:rPr>
        <w:t>F</w:t>
      </w:r>
      <w:r w:rsidR="00FF19D1" w:rsidRPr="00FF19D1">
        <w:rPr>
          <w:i/>
        </w:rPr>
        <w:t>. Consultation Arrangements</w:t>
      </w:r>
    </w:p>
    <w:p w:rsidR="00B5019C" w:rsidRDefault="00B5019C" w:rsidP="00B5019C">
      <w:pPr>
        <w:tabs>
          <w:tab w:val="left" w:pos="426"/>
        </w:tabs>
      </w:pPr>
    </w:p>
    <w:p w:rsidR="00B5019C" w:rsidRDefault="00B5019C" w:rsidP="003F5F06">
      <w:pPr>
        <w:pStyle w:val="ListParagraph"/>
        <w:numPr>
          <w:ilvl w:val="0"/>
          <w:numId w:val="41"/>
        </w:numPr>
        <w:tabs>
          <w:tab w:val="left" w:pos="426"/>
        </w:tabs>
      </w:pPr>
      <w:r>
        <w:t xml:space="preserve">Before any firm decision is taken on the implementation of these changes we are carrying out user consultation lasting 7 weeks, during which time we welcome any views, questions and concerns you might have about this change. A response template is included in Annex A. </w:t>
      </w:r>
    </w:p>
    <w:p w:rsidR="009D56DD" w:rsidRDefault="009D56DD" w:rsidP="003F5F06">
      <w:pPr>
        <w:pStyle w:val="ListParagraph"/>
        <w:numPr>
          <w:ilvl w:val="0"/>
          <w:numId w:val="41"/>
        </w:numPr>
        <w:tabs>
          <w:tab w:val="left" w:pos="426"/>
        </w:tabs>
      </w:pPr>
      <w:r>
        <w:t>Once the consultation period has ended, we will collate the responses received and will publish a note inform</w:t>
      </w:r>
      <w:r w:rsidR="003F7105">
        <w:t xml:space="preserve">ing users of the final decision. </w:t>
      </w:r>
    </w:p>
    <w:p w:rsidR="00E008F8" w:rsidRDefault="009D56DD" w:rsidP="003F5F06">
      <w:pPr>
        <w:pStyle w:val="ListParagraph"/>
        <w:numPr>
          <w:ilvl w:val="0"/>
          <w:numId w:val="41"/>
        </w:numPr>
        <w:tabs>
          <w:tab w:val="left" w:pos="426"/>
        </w:tabs>
      </w:pPr>
      <w:r>
        <w:t xml:space="preserve">We will accept and register written responses received through other media, such as by email or letter. Please do not telephone </w:t>
      </w:r>
      <w:r w:rsidR="00463C10">
        <w:t xml:space="preserve">DFID </w:t>
      </w:r>
      <w:r>
        <w:t>with your response, as only written submissions will be accepted.</w:t>
      </w:r>
    </w:p>
    <w:p w:rsidR="00E008F8" w:rsidRDefault="009D56DD" w:rsidP="003F5F06">
      <w:pPr>
        <w:pStyle w:val="ListParagraph"/>
        <w:numPr>
          <w:ilvl w:val="0"/>
          <w:numId w:val="41"/>
        </w:numPr>
        <w:tabs>
          <w:tab w:val="left" w:pos="426"/>
        </w:tabs>
      </w:pPr>
      <w:r>
        <w:t>You may</w:t>
      </w:r>
      <w:r w:rsidR="00E008F8">
        <w:t xml:space="preserve"> send consultation responses to </w:t>
      </w:r>
      <w:hyperlink r:id="rId17" w:history="1">
        <w:r w:rsidR="00E008F8" w:rsidRPr="001C36CF">
          <w:rPr>
            <w:rStyle w:val="Hyperlink"/>
          </w:rPr>
          <w:t>statistics@dfid.gov.uk</w:t>
        </w:r>
      </w:hyperlink>
      <w:r w:rsidR="00E008F8">
        <w:t xml:space="preserve"> </w:t>
      </w:r>
      <w:r w:rsidR="00E008F8" w:rsidRPr="00E008F8">
        <w:t xml:space="preserve"> or send paper responses to: Finance, Performance and Impact team, 2nd floor South, Department for International Development, Abercrombie House, Eaglesham Road, East Kilbride, G75 8EA</w:t>
      </w:r>
    </w:p>
    <w:p w:rsidR="00450394" w:rsidRDefault="00450394" w:rsidP="009D56DD">
      <w:pPr>
        <w:tabs>
          <w:tab w:val="left" w:pos="426"/>
        </w:tabs>
      </w:pPr>
    </w:p>
    <w:p w:rsidR="000C3B99" w:rsidRDefault="000C3B99" w:rsidP="000E48D1">
      <w:pPr>
        <w:pStyle w:val="ListParagraph"/>
        <w:tabs>
          <w:tab w:val="left" w:pos="426"/>
        </w:tabs>
        <w:ind w:left="426"/>
      </w:pPr>
    </w:p>
    <w:p w:rsidR="00F65359" w:rsidRDefault="00F65359" w:rsidP="000E48D1">
      <w:pPr>
        <w:pStyle w:val="ListParagraph"/>
        <w:tabs>
          <w:tab w:val="left" w:pos="0"/>
        </w:tabs>
        <w:ind w:left="0"/>
      </w:pPr>
    </w:p>
    <w:p w:rsidR="005366DB" w:rsidRDefault="005366DB" w:rsidP="000E48D1">
      <w:pPr>
        <w:tabs>
          <w:tab w:val="left" w:pos="426"/>
        </w:tabs>
        <w:sectPr w:rsidR="005366DB" w:rsidSect="008961FA">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851" w:left="1800" w:header="708" w:footer="708" w:gutter="0"/>
          <w:cols w:space="708"/>
          <w:docGrid w:linePitch="360"/>
        </w:sectPr>
      </w:pPr>
      <w:r>
        <w:t xml:space="preserve">                                                                                                                                                                                                                                                                                                                                                                                                                                                                                                                                                                                                                                                                                                                                                                                                                         </w:t>
      </w:r>
    </w:p>
    <w:p w:rsidR="00C74882" w:rsidRDefault="00C74882" w:rsidP="0073260B">
      <w:pPr>
        <w:jc w:val="both"/>
        <w:rPr>
          <w:bCs/>
        </w:rPr>
      </w:pPr>
      <w:r>
        <w:rPr>
          <w:bCs/>
        </w:rPr>
        <w:lastRenderedPageBreak/>
        <w:t>A</w:t>
      </w:r>
      <w:r w:rsidR="00280875">
        <w:rPr>
          <w:bCs/>
        </w:rPr>
        <w:t>nnex A</w:t>
      </w:r>
      <w:r w:rsidR="00463C10">
        <w:rPr>
          <w:bCs/>
        </w:rPr>
        <w:t xml:space="preserve">. </w:t>
      </w:r>
    </w:p>
    <w:p w:rsidR="00C74882" w:rsidRPr="00C74882" w:rsidRDefault="00B64C1B" w:rsidP="00C74882">
      <w:pPr>
        <w:pStyle w:val="Default"/>
        <w:jc w:val="center"/>
        <w:rPr>
          <w:rFonts w:ascii="Arial" w:hAnsi="Arial" w:cs="Arial"/>
          <w:b/>
          <w:u w:val="single"/>
        </w:rPr>
      </w:pPr>
      <w:r>
        <w:rPr>
          <w:rFonts w:ascii="Arial" w:hAnsi="Arial" w:cs="Arial"/>
          <w:b/>
          <w:u w:val="single"/>
        </w:rPr>
        <w:t>Consultation Response Template</w:t>
      </w:r>
    </w:p>
    <w:p w:rsidR="00C74882" w:rsidRPr="00C74882" w:rsidRDefault="00C74882" w:rsidP="00C74882">
      <w:pPr>
        <w:pStyle w:val="Default"/>
        <w:rPr>
          <w:rFonts w:ascii="Arial" w:hAnsi="Arial" w:cs="Arial"/>
        </w:rPr>
      </w:pPr>
    </w:p>
    <w:p w:rsidR="00C74882" w:rsidRPr="00C74882" w:rsidRDefault="00C74882" w:rsidP="00C74882">
      <w:pPr>
        <w:pStyle w:val="Default"/>
        <w:rPr>
          <w:rFonts w:ascii="Arial" w:hAnsi="Arial" w:cs="Arial"/>
        </w:rPr>
      </w:pPr>
      <w:r>
        <w:rPr>
          <w:rFonts w:ascii="Arial" w:hAnsi="Arial" w:cs="Arial"/>
        </w:rPr>
        <w:t xml:space="preserve">1. </w:t>
      </w:r>
      <w:r w:rsidRPr="00C74882">
        <w:rPr>
          <w:rFonts w:ascii="Arial" w:hAnsi="Arial" w:cs="Arial"/>
        </w:rPr>
        <w:t>The report sets out three options for the reporting of equity investments made by CDC from 2015 onwards:</w:t>
      </w:r>
    </w:p>
    <w:p w:rsidR="009347A9" w:rsidRDefault="009347A9" w:rsidP="009347A9">
      <w:pPr>
        <w:pStyle w:val="ListParagraph"/>
        <w:numPr>
          <w:ilvl w:val="0"/>
          <w:numId w:val="44"/>
        </w:numPr>
        <w:spacing w:before="120" w:after="120"/>
        <w:contextualSpacing w:val="0"/>
      </w:pPr>
      <w:r>
        <w:t xml:space="preserve">Continue to report the value of equity investments made by CDC as ODA. </w:t>
      </w:r>
    </w:p>
    <w:p w:rsidR="009347A9" w:rsidRDefault="009347A9" w:rsidP="009347A9">
      <w:pPr>
        <w:pStyle w:val="ListParagraph"/>
        <w:numPr>
          <w:ilvl w:val="0"/>
          <w:numId w:val="44"/>
        </w:numPr>
        <w:spacing w:before="120" w:after="120"/>
        <w:contextualSpacing w:val="0"/>
      </w:pPr>
      <w:r>
        <w:t xml:space="preserve">From 2015 flows onwards, report the value of equity investments as OOF rather than ODA. </w:t>
      </w:r>
    </w:p>
    <w:p w:rsidR="009347A9" w:rsidRPr="00D16C91" w:rsidRDefault="009347A9" w:rsidP="009347A9">
      <w:pPr>
        <w:pStyle w:val="ListParagraph"/>
        <w:numPr>
          <w:ilvl w:val="0"/>
          <w:numId w:val="44"/>
        </w:numPr>
        <w:spacing w:before="120" w:after="120"/>
        <w:contextualSpacing w:val="0"/>
      </w:pPr>
      <w:r w:rsidRPr="00D16C91">
        <w:t xml:space="preserve">From 2015 flows onwards, report only the capital flow from the UK government to CDC as ODA but continue to track outflows from CDC. </w:t>
      </w:r>
    </w:p>
    <w:p w:rsidR="00C74882" w:rsidRPr="00C74882" w:rsidRDefault="00C74882" w:rsidP="00C74882">
      <w:pPr>
        <w:spacing w:before="120" w:after="120"/>
        <w:rPr>
          <w:rFonts w:cs="Arial"/>
        </w:rPr>
      </w:pPr>
      <w:r w:rsidRPr="00C74882">
        <w:rPr>
          <w:rFonts w:cs="Arial"/>
        </w:rPr>
        <w:t xml:space="preserve">Please </w:t>
      </w:r>
      <w:r>
        <w:rPr>
          <w:rFonts w:cs="Arial"/>
        </w:rPr>
        <w:t>indicate</w:t>
      </w:r>
      <w:r w:rsidRPr="00C74882">
        <w:rPr>
          <w:rFonts w:cs="Arial"/>
        </w:rPr>
        <w:t xml:space="preserve"> which option you</w:t>
      </w:r>
      <w:r>
        <w:rPr>
          <w:rFonts w:cs="Arial"/>
        </w:rPr>
        <w:t xml:space="preserve"> think DFID should adopt</w:t>
      </w:r>
      <w:r w:rsidRPr="00C74882">
        <w:rPr>
          <w:rFonts w:cs="Arial"/>
        </w:rPr>
        <w:t xml:space="preserve"> and why in the box below:</w:t>
      </w:r>
    </w:p>
    <w:p w:rsidR="00C74882" w:rsidRPr="00C74882" w:rsidRDefault="00C74882" w:rsidP="00C74882">
      <w:pPr>
        <w:spacing w:before="120" w:after="120"/>
        <w:rPr>
          <w:rFonts w:cs="Arial"/>
        </w:rPr>
      </w:pPr>
      <w:r w:rsidRPr="00C74882">
        <w:rPr>
          <w:rFonts w:cs="Arial"/>
          <w:noProof/>
          <w:lang w:eastAsia="en-GB"/>
        </w:rPr>
        <mc:AlternateContent>
          <mc:Choice Requires="wps">
            <w:drawing>
              <wp:anchor distT="0" distB="0" distL="114300" distR="114300" simplePos="0" relativeHeight="251659264" behindDoc="0" locked="0" layoutInCell="1" allowOverlap="1" wp14:anchorId="17BB69CA" wp14:editId="0BD61CF7">
                <wp:simplePos x="0" y="0"/>
                <wp:positionH relativeFrom="column">
                  <wp:posOffset>-41564</wp:posOffset>
                </wp:positionH>
                <wp:positionV relativeFrom="paragraph">
                  <wp:posOffset>39485</wp:posOffset>
                </wp:positionV>
                <wp:extent cx="5278582" cy="1620982"/>
                <wp:effectExtent l="0" t="0" r="1778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582" cy="1620982"/>
                        </a:xfrm>
                        <a:prstGeom prst="rect">
                          <a:avLst/>
                        </a:prstGeom>
                        <a:solidFill>
                          <a:srgbClr val="FFFFFF"/>
                        </a:solidFill>
                        <a:ln w="9525">
                          <a:solidFill>
                            <a:srgbClr val="000000"/>
                          </a:solidFill>
                          <a:miter lim="800000"/>
                          <a:headEnd/>
                          <a:tailEnd/>
                        </a:ln>
                      </wps:spPr>
                      <wps:txbx>
                        <w:txbxContent>
                          <w:p w:rsidR="006D5701" w:rsidRPr="00444D8C" w:rsidRDefault="006D5701" w:rsidP="00C74882">
                            <w:pPr>
                              <w:rPr>
                                <w:sz w:val="22"/>
                                <w:szCs w:val="22"/>
                              </w:rPr>
                            </w:pPr>
                            <w:r w:rsidRPr="00444D8C">
                              <w:rPr>
                                <w:sz w:val="22"/>
                                <w:szCs w:val="22"/>
                              </w:rPr>
                              <w:t xml:space="preserve">Answer to Q1: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3.1pt;width:415.65pt;height:1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QaJAIAAEc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">
                <v:textbox>
                  <w:txbxContent>
                    <w:p w:rsidR="006D5701" w:rsidRPr="00444D8C" w:rsidRDefault="006D5701" w:rsidP="00C74882">
                      <w:pPr>
                        <w:rPr>
                          <w:sz w:val="22"/>
                          <w:szCs w:val="22"/>
                        </w:rPr>
                      </w:pPr>
                      <w:r w:rsidRPr="00444D8C">
                        <w:rPr>
                          <w:sz w:val="22"/>
                          <w:szCs w:val="22"/>
                        </w:rPr>
                        <w:t xml:space="preserve">Answer to Q1: </w:t>
                      </w:r>
                    </w:p>
                  </w:txbxContent>
                </v:textbox>
              </v:shape>
            </w:pict>
          </mc:Fallback>
        </mc:AlternateContent>
      </w:r>
    </w:p>
    <w:p w:rsidR="00C74882" w:rsidRPr="00C74882" w:rsidRDefault="00C74882" w:rsidP="00C74882">
      <w:pPr>
        <w:spacing w:before="120" w:after="120"/>
        <w:rPr>
          <w:rFonts w:cs="Arial"/>
        </w:rPr>
      </w:pPr>
    </w:p>
    <w:p w:rsidR="00C74882" w:rsidRPr="00C74882" w:rsidRDefault="00C74882" w:rsidP="00C74882">
      <w:pPr>
        <w:spacing w:before="120" w:after="120"/>
        <w:rPr>
          <w:rFonts w:cs="Arial"/>
        </w:rPr>
      </w:pPr>
    </w:p>
    <w:p w:rsidR="00C74882" w:rsidRPr="00C74882" w:rsidRDefault="00C74882" w:rsidP="00C74882">
      <w:pPr>
        <w:spacing w:before="120" w:after="120"/>
        <w:rPr>
          <w:rFonts w:cs="Arial"/>
        </w:rPr>
      </w:pPr>
    </w:p>
    <w:p w:rsidR="00E008F8" w:rsidRDefault="00E008F8" w:rsidP="00C74882">
      <w:pPr>
        <w:spacing w:before="120" w:after="120"/>
        <w:rPr>
          <w:rFonts w:cs="Arial"/>
        </w:rPr>
      </w:pPr>
    </w:p>
    <w:p w:rsidR="00E008F8" w:rsidRDefault="00E008F8" w:rsidP="00C74882">
      <w:pPr>
        <w:spacing w:before="120" w:after="120"/>
        <w:rPr>
          <w:rFonts w:cs="Arial"/>
        </w:rPr>
      </w:pPr>
    </w:p>
    <w:p w:rsidR="00E008F8" w:rsidRDefault="00E008F8" w:rsidP="00C74882">
      <w:pPr>
        <w:spacing w:before="120" w:after="120"/>
        <w:rPr>
          <w:rFonts w:cs="Arial"/>
        </w:rPr>
      </w:pPr>
    </w:p>
    <w:p w:rsidR="00C74882" w:rsidRPr="00C74882" w:rsidRDefault="00C74882" w:rsidP="00C74882">
      <w:pPr>
        <w:spacing w:before="120" w:after="120"/>
        <w:rPr>
          <w:rFonts w:cs="Arial"/>
        </w:rPr>
      </w:pPr>
      <w:r w:rsidRPr="00C74882">
        <w:rPr>
          <w:rFonts w:cs="Arial"/>
        </w:rPr>
        <w:t>2. Other feedback (please give us any further feedback on any aspects of this consultation, including more information about your reasoning behind the option choice):</w:t>
      </w:r>
    </w:p>
    <w:p w:rsidR="00C74882" w:rsidRPr="00C74882" w:rsidRDefault="00C74882" w:rsidP="00C74882">
      <w:pPr>
        <w:spacing w:before="120" w:after="120"/>
        <w:rPr>
          <w:rFonts w:cs="Arial"/>
        </w:rPr>
      </w:pPr>
      <w:r w:rsidRPr="00C74882">
        <w:rPr>
          <w:rFonts w:cs="Arial"/>
          <w:noProof/>
          <w:lang w:eastAsia="en-GB"/>
        </w:rPr>
        <mc:AlternateContent>
          <mc:Choice Requires="wps">
            <w:drawing>
              <wp:anchor distT="0" distB="0" distL="114300" distR="114300" simplePos="0" relativeHeight="251660288" behindDoc="0" locked="0" layoutInCell="1" allowOverlap="1" wp14:anchorId="3021D426" wp14:editId="1CD473EC">
                <wp:simplePos x="0" y="0"/>
                <wp:positionH relativeFrom="column">
                  <wp:posOffset>-41564</wp:posOffset>
                </wp:positionH>
                <wp:positionV relativeFrom="paragraph">
                  <wp:posOffset>74121</wp:posOffset>
                </wp:positionV>
                <wp:extent cx="5278120" cy="1475509"/>
                <wp:effectExtent l="0" t="0" r="1778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1475509"/>
                        </a:xfrm>
                        <a:prstGeom prst="rect">
                          <a:avLst/>
                        </a:prstGeom>
                        <a:solidFill>
                          <a:srgbClr val="FFFFFF"/>
                        </a:solidFill>
                        <a:ln w="9525">
                          <a:solidFill>
                            <a:srgbClr val="000000"/>
                          </a:solidFill>
                          <a:miter lim="800000"/>
                          <a:headEnd/>
                          <a:tailEnd/>
                        </a:ln>
                      </wps:spPr>
                      <wps:txbx>
                        <w:txbxContent>
                          <w:p w:rsidR="006D5701" w:rsidRPr="00444D8C" w:rsidRDefault="006D5701" w:rsidP="00C74882">
                            <w:pPr>
                              <w:rPr>
                                <w:sz w:val="22"/>
                                <w:szCs w:val="22"/>
                              </w:rPr>
                            </w:pPr>
                            <w:r w:rsidRPr="00444D8C">
                              <w:rPr>
                                <w:sz w:val="22"/>
                                <w:szCs w:val="22"/>
                              </w:rPr>
                              <w:t xml:space="preserve">Answer to Q2: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5pt;margin-top:5.85pt;width:415.6pt;height:1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">
                <v:textbox>
                  <w:txbxContent>
                    <w:p w:rsidR="006D5701" w:rsidRPr="00444D8C" w:rsidRDefault="006D5701" w:rsidP="00C74882">
                      <w:pPr>
                        <w:rPr>
                          <w:sz w:val="22"/>
                          <w:szCs w:val="22"/>
                        </w:rPr>
                      </w:pPr>
                      <w:r w:rsidRPr="00444D8C">
                        <w:rPr>
                          <w:sz w:val="22"/>
                          <w:szCs w:val="22"/>
                        </w:rPr>
                        <w:t xml:space="preserve">Answer to Q2: </w:t>
                      </w:r>
                    </w:p>
                  </w:txbxContent>
                </v:textbox>
              </v:shape>
            </w:pict>
          </mc:Fallback>
        </mc:AlternateContent>
      </w:r>
    </w:p>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rPr>
      </w:pPr>
    </w:p>
    <w:p w:rsidR="00E008F8" w:rsidRDefault="00E008F8" w:rsidP="00C74882">
      <w:pPr>
        <w:shd w:val="clear" w:color="auto" w:fill="FFFFFF"/>
        <w:outlineLvl w:val="2"/>
        <w:rPr>
          <w:rFonts w:cs="Arial"/>
        </w:rPr>
      </w:pPr>
    </w:p>
    <w:p w:rsidR="00E008F8" w:rsidRDefault="00E008F8" w:rsidP="00C74882">
      <w:pPr>
        <w:shd w:val="clear" w:color="auto" w:fill="FFFFFF"/>
        <w:outlineLvl w:val="2"/>
        <w:rPr>
          <w:rFonts w:cs="Arial"/>
        </w:rPr>
      </w:pPr>
    </w:p>
    <w:p w:rsidR="00E008F8" w:rsidRDefault="00E008F8" w:rsidP="00C74882">
      <w:pPr>
        <w:shd w:val="clear" w:color="auto" w:fill="FFFFFF"/>
        <w:outlineLvl w:val="2"/>
        <w:rPr>
          <w:rFonts w:cs="Arial"/>
        </w:rPr>
      </w:pPr>
    </w:p>
    <w:p w:rsidR="00C74882" w:rsidRPr="00C74882" w:rsidRDefault="00C74882" w:rsidP="00C74882">
      <w:pPr>
        <w:shd w:val="clear" w:color="auto" w:fill="FFFFFF"/>
        <w:outlineLvl w:val="2"/>
        <w:rPr>
          <w:rFonts w:cs="Arial"/>
        </w:rPr>
      </w:pPr>
      <w:r w:rsidRPr="00C74882">
        <w:rPr>
          <w:rFonts w:cs="Arial"/>
        </w:rPr>
        <w:t xml:space="preserve">3. Your Details – please fill boxes to the right hand side: </w:t>
      </w:r>
    </w:p>
    <w:tbl>
      <w:tblPr>
        <w:tblStyle w:val="TableGrid"/>
        <w:tblW w:w="0" w:type="auto"/>
        <w:tblLook w:val="04A0" w:firstRow="1" w:lastRow="0" w:firstColumn="1" w:lastColumn="0" w:noHBand="0" w:noVBand="1"/>
      </w:tblPr>
      <w:tblGrid>
        <w:gridCol w:w="4261"/>
        <w:gridCol w:w="4261"/>
      </w:tblGrid>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Name</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Organisation</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Telephone number</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Email address</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Postal address</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bl>
    <w:p w:rsidR="00C74882" w:rsidRDefault="00C74882" w:rsidP="00C74882">
      <w:pPr>
        <w:shd w:val="clear" w:color="auto" w:fill="FFFFFF"/>
        <w:outlineLvl w:val="2"/>
        <w:rPr>
          <w:rFonts w:cs="Arial"/>
        </w:rPr>
      </w:pPr>
    </w:p>
    <w:p w:rsidR="00E008F8" w:rsidRPr="00C74882" w:rsidRDefault="00E008F8" w:rsidP="00C74882">
      <w:pPr>
        <w:shd w:val="clear" w:color="auto" w:fill="FFFFFF"/>
        <w:outlineLvl w:val="2"/>
        <w:rPr>
          <w:rFonts w:cs="Arial"/>
        </w:rPr>
      </w:pPr>
    </w:p>
    <w:p w:rsidR="00C74882" w:rsidRPr="00C74882" w:rsidRDefault="00C74882" w:rsidP="00C74882">
      <w:pPr>
        <w:shd w:val="clear" w:color="auto" w:fill="FFFFFF"/>
        <w:outlineLvl w:val="2"/>
        <w:rPr>
          <w:rFonts w:cs="Arial"/>
        </w:rPr>
      </w:pPr>
      <w:r w:rsidRPr="00C74882">
        <w:rPr>
          <w:rFonts w:cs="Arial"/>
        </w:rPr>
        <w:t>4. Are you are responding as an individual or representing the views of an organisation?</w:t>
      </w:r>
    </w:p>
    <w:p w:rsidR="00C74882" w:rsidRPr="00C74882" w:rsidRDefault="00C74882" w:rsidP="00C74882">
      <w:pPr>
        <w:shd w:val="clear" w:color="auto" w:fill="FFFFFF"/>
        <w:outlineLvl w:val="2"/>
        <w:rPr>
          <w:rFonts w:cs="Arial"/>
        </w:rPr>
      </w:pPr>
      <w:r w:rsidRPr="00C74882">
        <w:rPr>
          <w:rFonts w:cs="Arial"/>
          <w:noProof/>
          <w:lang w:eastAsia="en-GB"/>
        </w:rPr>
        <mc:AlternateContent>
          <mc:Choice Requires="wps">
            <w:drawing>
              <wp:anchor distT="0" distB="0" distL="114300" distR="114300" simplePos="0" relativeHeight="251662336" behindDoc="0" locked="0" layoutInCell="1" allowOverlap="1" wp14:anchorId="1D6FEE77" wp14:editId="6A1C1AE1">
                <wp:simplePos x="0" y="0"/>
                <wp:positionH relativeFrom="column">
                  <wp:posOffset>-8557</wp:posOffset>
                </wp:positionH>
                <wp:positionV relativeFrom="paragraph">
                  <wp:posOffset>79786</wp:posOffset>
                </wp:positionV>
                <wp:extent cx="5285509" cy="929069"/>
                <wp:effectExtent l="0" t="0" r="10795" b="234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509" cy="929069"/>
                        </a:xfrm>
                        <a:prstGeom prst="rect">
                          <a:avLst/>
                        </a:prstGeom>
                        <a:solidFill>
                          <a:srgbClr val="FFFFFF"/>
                        </a:solidFill>
                        <a:ln w="9525">
                          <a:solidFill>
                            <a:srgbClr val="000000"/>
                          </a:solidFill>
                          <a:miter lim="800000"/>
                          <a:headEnd/>
                          <a:tailEnd/>
                        </a:ln>
                      </wps:spPr>
                      <wps:txbx>
                        <w:txbxContent>
                          <w:p w:rsidR="006D5701" w:rsidRPr="00444D8C" w:rsidRDefault="006D5701" w:rsidP="00C74882">
                            <w:pPr>
                              <w:rPr>
                                <w:sz w:val="22"/>
                                <w:szCs w:val="22"/>
                              </w:rPr>
                            </w:pPr>
                            <w:r>
                              <w:rPr>
                                <w:sz w:val="22"/>
                                <w:szCs w:val="22"/>
                              </w:rPr>
                              <w:t xml:space="preserve">Answer Q4.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6.3pt;width:416.2pt;height:7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">
                <v:textbox>
                  <w:txbxContent>
                    <w:p w:rsidR="006D5701" w:rsidRPr="00444D8C" w:rsidRDefault="006D5701" w:rsidP="00C74882">
                      <w:pPr>
                        <w:rPr>
                          <w:sz w:val="22"/>
                          <w:szCs w:val="22"/>
                        </w:rPr>
                      </w:pPr>
                      <w:r>
                        <w:rPr>
                          <w:sz w:val="22"/>
                          <w:szCs w:val="22"/>
                        </w:rPr>
                        <w:t xml:space="preserve">Answer Q4. </w:t>
                      </w:r>
                    </w:p>
                  </w:txbxContent>
                </v:textbox>
              </v:shape>
            </w:pict>
          </mc:Fallback>
        </mc:AlternateContent>
      </w:r>
    </w:p>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rPr>
      </w:pPr>
    </w:p>
    <w:p w:rsidR="00E008F8" w:rsidRDefault="00E008F8" w:rsidP="00C74882">
      <w:pPr>
        <w:shd w:val="clear" w:color="auto" w:fill="FFFFFF"/>
        <w:outlineLvl w:val="2"/>
        <w:rPr>
          <w:rFonts w:cs="Arial"/>
        </w:rPr>
      </w:pPr>
    </w:p>
    <w:p w:rsidR="00E008F8" w:rsidRDefault="00E008F8" w:rsidP="00C74882">
      <w:pPr>
        <w:shd w:val="clear" w:color="auto" w:fill="FFFFFF"/>
        <w:outlineLvl w:val="2"/>
        <w:rPr>
          <w:rFonts w:cs="Arial"/>
        </w:rPr>
      </w:pPr>
    </w:p>
    <w:p w:rsidR="00C74882" w:rsidRPr="00C74882" w:rsidRDefault="00C74882" w:rsidP="00C74882">
      <w:pPr>
        <w:shd w:val="clear" w:color="auto" w:fill="FFFFFF"/>
        <w:outlineLvl w:val="2"/>
        <w:rPr>
          <w:rFonts w:cs="Arial"/>
        </w:rPr>
      </w:pPr>
      <w:r w:rsidRPr="00C74882">
        <w:rPr>
          <w:rFonts w:cs="Arial"/>
        </w:rPr>
        <w:t>5. What sector do you work in? Please put an ‘X’ in the relevant box</w:t>
      </w:r>
    </w:p>
    <w:p w:rsidR="00C74882" w:rsidRPr="00C74882" w:rsidRDefault="00C74882" w:rsidP="00C74882">
      <w:pPr>
        <w:shd w:val="clear" w:color="auto" w:fill="FFFFFF"/>
        <w:outlineLvl w:val="2"/>
        <w:rPr>
          <w:rFonts w:cs="Arial"/>
        </w:rPr>
      </w:pPr>
    </w:p>
    <w:tbl>
      <w:tblPr>
        <w:tblStyle w:val="TableGrid"/>
        <w:tblW w:w="0" w:type="auto"/>
        <w:tblLook w:val="04A0" w:firstRow="1" w:lastRow="0" w:firstColumn="1" w:lastColumn="0" w:noHBand="0" w:noVBand="1"/>
      </w:tblPr>
      <w:tblGrid>
        <w:gridCol w:w="4261"/>
        <w:gridCol w:w="4261"/>
      </w:tblGrid>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Academic / research</w:t>
            </w:r>
          </w:p>
          <w:p w:rsidR="00C74882" w:rsidRPr="00C74882" w:rsidRDefault="00C74882" w:rsidP="006D5701">
            <w:pPr>
              <w:shd w:val="clear" w:color="auto" w:fill="FFFFFF"/>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Voluntary</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Business</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Journalists / Media</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Local or regional government / public organisation</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National government department / organisation</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shd w:val="clear" w:color="auto" w:fill="FFFFFF"/>
              <w:outlineLvl w:val="2"/>
              <w:rPr>
                <w:rFonts w:cs="Arial"/>
              </w:rPr>
            </w:pPr>
            <w:r w:rsidRPr="00C74882">
              <w:rPr>
                <w:rFonts w:cs="Arial"/>
              </w:rPr>
              <w:t>International organisation</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r w:rsidR="00C74882" w:rsidRPr="00C74882" w:rsidTr="006D5701">
        <w:tc>
          <w:tcPr>
            <w:tcW w:w="4261" w:type="dxa"/>
          </w:tcPr>
          <w:p w:rsidR="00C74882" w:rsidRPr="00C74882" w:rsidRDefault="00C74882" w:rsidP="006D5701">
            <w:pPr>
              <w:outlineLvl w:val="2"/>
              <w:rPr>
                <w:rFonts w:cs="Arial"/>
              </w:rPr>
            </w:pPr>
            <w:r w:rsidRPr="00C74882">
              <w:rPr>
                <w:rFonts w:cs="Arial"/>
              </w:rPr>
              <w:t>Other – [please specify]</w:t>
            </w:r>
          </w:p>
          <w:p w:rsidR="00C74882" w:rsidRPr="00C74882" w:rsidRDefault="00C74882" w:rsidP="006D5701">
            <w:pPr>
              <w:outlineLvl w:val="2"/>
              <w:rPr>
                <w:rFonts w:cs="Arial"/>
              </w:rPr>
            </w:pPr>
          </w:p>
        </w:tc>
        <w:tc>
          <w:tcPr>
            <w:tcW w:w="4261" w:type="dxa"/>
          </w:tcPr>
          <w:p w:rsidR="00C74882" w:rsidRPr="00C74882" w:rsidRDefault="00C74882" w:rsidP="006D5701">
            <w:pPr>
              <w:outlineLvl w:val="2"/>
              <w:rPr>
                <w:rFonts w:cs="Arial"/>
              </w:rPr>
            </w:pPr>
          </w:p>
        </w:tc>
      </w:tr>
    </w:tbl>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rPr>
      </w:pPr>
      <w:r w:rsidRPr="00C74882">
        <w:rPr>
          <w:rFonts w:cs="Arial"/>
        </w:rPr>
        <w:t>6. Any other comments:</w:t>
      </w:r>
    </w:p>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rPr>
      </w:pPr>
      <w:r w:rsidRPr="00C74882">
        <w:rPr>
          <w:rFonts w:cs="Arial"/>
          <w:noProof/>
          <w:lang w:eastAsia="en-GB"/>
        </w:rPr>
        <mc:AlternateContent>
          <mc:Choice Requires="wps">
            <w:drawing>
              <wp:anchor distT="0" distB="0" distL="114300" distR="114300" simplePos="0" relativeHeight="251661312" behindDoc="0" locked="0" layoutInCell="1" allowOverlap="1" wp14:anchorId="534006CC" wp14:editId="5A51B0E0">
                <wp:simplePos x="0" y="0"/>
                <wp:positionH relativeFrom="column">
                  <wp:posOffset>-55418</wp:posOffset>
                </wp:positionH>
                <wp:positionV relativeFrom="paragraph">
                  <wp:posOffset>16972</wp:posOffset>
                </wp:positionV>
                <wp:extent cx="5334000" cy="17526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752600"/>
                        </a:xfrm>
                        <a:prstGeom prst="rect">
                          <a:avLst/>
                        </a:prstGeom>
                        <a:solidFill>
                          <a:srgbClr val="FFFFFF"/>
                        </a:solidFill>
                        <a:ln w="9525">
                          <a:solidFill>
                            <a:srgbClr val="000000"/>
                          </a:solidFill>
                          <a:miter lim="800000"/>
                          <a:headEnd/>
                          <a:tailEnd/>
                        </a:ln>
                      </wps:spPr>
                      <wps:txbx>
                        <w:txbxContent>
                          <w:p w:rsidR="006D5701" w:rsidRDefault="006D5701" w:rsidP="00C74882">
                            <w:r>
                              <w:t>Answer Q6.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5pt;margin-top:1.35pt;width:420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">
                <v:textbox>
                  <w:txbxContent>
                    <w:p w:rsidR="006D5701" w:rsidRDefault="006D5701" w:rsidP="00C74882">
                      <w:r>
                        <w:t>Answer Q6.</w:t>
                      </w:r>
                    </w:p>
                  </w:txbxContent>
                </v:textbox>
              </v:shape>
            </w:pict>
          </mc:Fallback>
        </mc:AlternateContent>
      </w:r>
    </w:p>
    <w:p w:rsidR="00C74882" w:rsidRPr="00C74882" w:rsidRDefault="00C74882" w:rsidP="00C74882">
      <w:pPr>
        <w:shd w:val="clear" w:color="auto" w:fill="FFFFFF"/>
        <w:outlineLvl w:val="2"/>
        <w:rPr>
          <w:rFonts w:cs="Arial"/>
        </w:rPr>
      </w:pPr>
    </w:p>
    <w:p w:rsidR="00C74882" w:rsidRPr="00C74882" w:rsidRDefault="00C74882" w:rsidP="00C74882">
      <w:pPr>
        <w:shd w:val="clear" w:color="auto" w:fill="FFFFFF"/>
        <w:outlineLvl w:val="2"/>
        <w:rPr>
          <w:rFonts w:cs="Arial"/>
          <w:b/>
          <w:bCs/>
          <w:color w:val="003B59"/>
          <w:lang w:eastAsia="en-GB"/>
        </w:rPr>
      </w:pPr>
    </w:p>
    <w:p w:rsidR="00C74882" w:rsidRPr="00C74882" w:rsidRDefault="00C74882" w:rsidP="00C74882">
      <w:pPr>
        <w:shd w:val="clear" w:color="auto" w:fill="FFFFFF"/>
        <w:outlineLvl w:val="2"/>
        <w:rPr>
          <w:rFonts w:cs="Arial"/>
          <w:b/>
          <w:bCs/>
          <w:color w:val="003B59"/>
          <w:lang w:eastAsia="en-GB"/>
        </w:rPr>
      </w:pPr>
    </w:p>
    <w:p w:rsidR="00C74882" w:rsidRPr="00C74882" w:rsidRDefault="00C74882" w:rsidP="00C74882">
      <w:pPr>
        <w:shd w:val="clear" w:color="auto" w:fill="FFFFFF"/>
        <w:outlineLvl w:val="2"/>
        <w:rPr>
          <w:rFonts w:cs="Arial"/>
          <w:b/>
          <w:bCs/>
          <w:color w:val="003B59"/>
          <w:lang w:eastAsia="en-GB"/>
        </w:rPr>
      </w:pPr>
    </w:p>
    <w:p w:rsidR="00C74882" w:rsidRDefault="00C74882"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9347A9" w:rsidRDefault="009347A9" w:rsidP="0073260B">
      <w:pPr>
        <w:jc w:val="both"/>
        <w:rPr>
          <w:rFonts w:cs="Arial"/>
          <w:bCs/>
        </w:rPr>
      </w:pPr>
    </w:p>
    <w:p w:rsidR="009347A9" w:rsidRDefault="009347A9" w:rsidP="0073260B">
      <w:pPr>
        <w:jc w:val="both"/>
        <w:rPr>
          <w:rFonts w:cs="Arial"/>
          <w:bCs/>
        </w:rPr>
      </w:pPr>
    </w:p>
    <w:p w:rsidR="00280875" w:rsidRDefault="00280875" w:rsidP="0073260B">
      <w:pPr>
        <w:jc w:val="both"/>
        <w:rPr>
          <w:rFonts w:cs="Arial"/>
          <w:bCs/>
        </w:rPr>
      </w:pPr>
    </w:p>
    <w:p w:rsidR="00280875" w:rsidRPr="00E008F8" w:rsidRDefault="00280875" w:rsidP="00280875">
      <w:pPr>
        <w:jc w:val="both"/>
        <w:rPr>
          <w:b/>
          <w:bCs/>
          <w:sz w:val="28"/>
          <w:szCs w:val="28"/>
        </w:rPr>
      </w:pPr>
      <w:r w:rsidRPr="00E008F8">
        <w:rPr>
          <w:b/>
          <w:bCs/>
          <w:sz w:val="28"/>
          <w:szCs w:val="28"/>
        </w:rPr>
        <w:lastRenderedPageBreak/>
        <w:t xml:space="preserve">Annex B. Glossary of key terms </w:t>
      </w:r>
    </w:p>
    <w:p w:rsidR="00280875" w:rsidRDefault="00280875" w:rsidP="0073260B">
      <w:pPr>
        <w:jc w:val="both"/>
        <w:rPr>
          <w:rFonts w:cs="Arial"/>
          <w:bCs/>
        </w:rPr>
      </w:pPr>
    </w:p>
    <w:p w:rsidR="00E008F8" w:rsidRPr="00E008F8" w:rsidRDefault="00E008F8" w:rsidP="00E008F8">
      <w:pPr>
        <w:autoSpaceDE w:val="0"/>
        <w:autoSpaceDN w:val="0"/>
        <w:adjustRightInd w:val="0"/>
        <w:rPr>
          <w:rFonts w:cs="Arial"/>
          <w:color w:val="000000"/>
          <w:sz w:val="22"/>
          <w:szCs w:val="22"/>
          <w:lang w:eastAsia="en-GB"/>
        </w:rPr>
      </w:pPr>
      <w:r w:rsidRPr="00E008F8">
        <w:rPr>
          <w:rFonts w:cs="Arial"/>
          <w:b/>
          <w:bCs/>
          <w:color w:val="000000"/>
          <w:sz w:val="22"/>
          <w:szCs w:val="22"/>
          <w:highlight w:val="lightGray"/>
          <w:lang w:eastAsia="en-GB"/>
        </w:rPr>
        <w:t>Concessional</w:t>
      </w:r>
      <w:r w:rsidRPr="00E008F8">
        <w:rPr>
          <w:rFonts w:cs="Arial"/>
          <w:b/>
          <w:bCs/>
          <w:color w:val="000000"/>
          <w:sz w:val="22"/>
          <w:szCs w:val="22"/>
          <w:lang w:eastAsia="en-GB"/>
        </w:rPr>
        <w:t xml:space="preserve"> </w:t>
      </w:r>
    </w:p>
    <w:p w:rsidR="00E008F8" w:rsidRDefault="00E008F8" w:rsidP="009347A9">
      <w:pPr>
        <w:rPr>
          <w:rFonts w:cs="Arial"/>
          <w:color w:val="000000"/>
          <w:sz w:val="22"/>
          <w:szCs w:val="22"/>
          <w:lang w:eastAsia="en-GB"/>
        </w:rPr>
      </w:pPr>
      <w:r w:rsidRPr="00E008F8">
        <w:rPr>
          <w:rFonts w:cs="Arial"/>
          <w:color w:val="000000"/>
          <w:sz w:val="22"/>
          <w:szCs w:val="22"/>
          <w:lang w:eastAsia="en-GB"/>
        </w:rPr>
        <w:t>A loan, the terms of which are more favourable to the borrower than those currently attached to commercial market terms is described as concessional (or a soft loan) and the degree of concessionality is expressed as its grant element. For more detail on how these are calculated, please see the OECD DAC Aid Statistics website</w:t>
      </w:r>
      <w:r>
        <w:rPr>
          <w:rFonts w:cs="Arial"/>
          <w:color w:val="000000"/>
          <w:sz w:val="22"/>
          <w:szCs w:val="22"/>
          <w:lang w:eastAsia="en-GB"/>
        </w:rPr>
        <w:t>.</w:t>
      </w:r>
    </w:p>
    <w:p w:rsidR="00E008F8" w:rsidRDefault="00E008F8" w:rsidP="00E008F8">
      <w:pPr>
        <w:jc w:val="both"/>
        <w:rPr>
          <w:rFonts w:cs="Arial"/>
          <w:color w:val="000000"/>
          <w:sz w:val="22"/>
          <w:szCs w:val="22"/>
          <w:lang w:eastAsia="en-GB"/>
        </w:rPr>
      </w:pPr>
    </w:p>
    <w:p w:rsidR="00E008F8" w:rsidRPr="00E008F8" w:rsidRDefault="00E008F8" w:rsidP="00E008F8">
      <w:pPr>
        <w:autoSpaceDE w:val="0"/>
        <w:autoSpaceDN w:val="0"/>
        <w:adjustRightInd w:val="0"/>
        <w:rPr>
          <w:rFonts w:cs="Arial"/>
          <w:color w:val="000000"/>
          <w:sz w:val="22"/>
          <w:szCs w:val="22"/>
          <w:lang w:eastAsia="en-GB"/>
        </w:rPr>
      </w:pPr>
      <w:r w:rsidRPr="00E008F8">
        <w:rPr>
          <w:rFonts w:cs="Arial"/>
          <w:b/>
          <w:bCs/>
          <w:color w:val="000000"/>
          <w:sz w:val="22"/>
          <w:szCs w:val="22"/>
          <w:highlight w:val="lightGray"/>
          <w:lang w:eastAsia="en-GB"/>
        </w:rPr>
        <w:t>Development Assistance Committee (DAC)</w:t>
      </w:r>
      <w:r w:rsidRPr="00E008F8">
        <w:rPr>
          <w:rFonts w:cs="Arial"/>
          <w:b/>
          <w:bCs/>
          <w:color w:val="000000"/>
          <w:sz w:val="22"/>
          <w:szCs w:val="22"/>
          <w:lang w:eastAsia="en-GB"/>
        </w:rPr>
        <w:t xml:space="preserve"> </w:t>
      </w:r>
    </w:p>
    <w:p w:rsidR="00E008F8" w:rsidRPr="00E008F8" w:rsidRDefault="00E008F8" w:rsidP="009347A9">
      <w:pPr>
        <w:rPr>
          <w:rFonts w:cs="Arial"/>
          <w:color w:val="000000"/>
          <w:sz w:val="22"/>
          <w:szCs w:val="22"/>
          <w:lang w:eastAsia="en-GB"/>
        </w:rPr>
      </w:pPr>
      <w:r w:rsidRPr="00E008F8">
        <w:rPr>
          <w:rFonts w:cs="Arial"/>
          <w:color w:val="000000"/>
          <w:sz w:val="22"/>
          <w:szCs w:val="22"/>
          <w:lang w:eastAsia="en-GB"/>
        </w:rPr>
        <w:t>The Development Assistance Committee of the Organisation for Economic Co-operation and Development (OECD) is a forum for consultation among 28 donor</w:t>
      </w:r>
      <w:r>
        <w:rPr>
          <w:rFonts w:cs="Arial"/>
          <w:color w:val="000000"/>
          <w:sz w:val="22"/>
          <w:szCs w:val="22"/>
          <w:lang w:eastAsia="en-GB"/>
        </w:rPr>
        <w:t xml:space="preserve"> </w:t>
      </w:r>
      <w:r w:rsidRPr="00E008F8">
        <w:rPr>
          <w:rFonts w:cs="Arial"/>
          <w:color w:val="000000"/>
          <w:sz w:val="22"/>
          <w:szCs w:val="22"/>
          <w:lang w:eastAsia="en-GB"/>
        </w:rPr>
        <w:t xml:space="preserve">countries, together with the European Commission, on how to increase the level and effectiveness of aid flows to all aid recipient countries. The member countries are Australia, Austria, Belgium, Canada, Czech Republic, Denmark, European Union, Finland, France, Germany, Greece, Iceland, Ireland, Italy, Japan, Korea, Luxembourg, The Netherlands, New Zealand, Norway, Portugal, Poland, Slovak Republic, Slovenia, Spain, Sweden, Switzerland, UK and USA. </w:t>
      </w:r>
    </w:p>
    <w:p w:rsidR="00E008F8" w:rsidRDefault="00E008F8" w:rsidP="009347A9">
      <w:pPr>
        <w:rPr>
          <w:rFonts w:cs="Arial"/>
          <w:bCs/>
        </w:rPr>
      </w:pPr>
      <w:r w:rsidRPr="00E008F8">
        <w:rPr>
          <w:rFonts w:cs="Arial"/>
          <w:color w:val="000000"/>
          <w:sz w:val="22"/>
          <w:szCs w:val="22"/>
          <w:lang w:eastAsia="en-GB"/>
        </w:rPr>
        <w:t>The DAC sets the definitions and criteria for aid statistics internationally. Statistical Directives exist to encourage comparability of reporting of resource flows by DAC members. The countries receiving aid are set out in the DAC List of Recipients of Official Development Assistance (ODA).</w:t>
      </w:r>
    </w:p>
    <w:p w:rsidR="00280875" w:rsidRDefault="00280875" w:rsidP="0073260B">
      <w:pPr>
        <w:jc w:val="both"/>
        <w:rPr>
          <w:rFonts w:cs="Arial"/>
          <w:bCs/>
        </w:rPr>
      </w:pPr>
    </w:p>
    <w:p w:rsidR="00E008F8" w:rsidRPr="00E008F8" w:rsidRDefault="00E008F8" w:rsidP="00E008F8">
      <w:pPr>
        <w:autoSpaceDE w:val="0"/>
        <w:autoSpaceDN w:val="0"/>
        <w:adjustRightInd w:val="0"/>
        <w:rPr>
          <w:rFonts w:cs="Arial"/>
          <w:color w:val="000000"/>
          <w:sz w:val="22"/>
          <w:szCs w:val="22"/>
          <w:lang w:eastAsia="en-GB"/>
        </w:rPr>
      </w:pPr>
      <w:r w:rsidRPr="00E008F8">
        <w:rPr>
          <w:rFonts w:cs="Arial"/>
          <w:b/>
          <w:bCs/>
          <w:color w:val="000000"/>
          <w:sz w:val="22"/>
          <w:szCs w:val="22"/>
          <w:highlight w:val="lightGray"/>
          <w:lang w:eastAsia="en-GB"/>
        </w:rPr>
        <w:t>Gross National Income (GNI) - formerly Gross National Product (GNP)</w:t>
      </w:r>
      <w:r w:rsidRPr="00E008F8">
        <w:rPr>
          <w:rFonts w:cs="Arial"/>
          <w:b/>
          <w:bCs/>
          <w:color w:val="000000"/>
          <w:sz w:val="22"/>
          <w:szCs w:val="22"/>
          <w:lang w:eastAsia="en-GB"/>
        </w:rPr>
        <w:t xml:space="preserve"> </w:t>
      </w:r>
    </w:p>
    <w:p w:rsidR="00E008F8" w:rsidRDefault="00E008F8" w:rsidP="009347A9">
      <w:pPr>
        <w:rPr>
          <w:rFonts w:cs="Arial"/>
          <w:color w:val="000000"/>
          <w:sz w:val="22"/>
          <w:szCs w:val="22"/>
          <w:lang w:eastAsia="en-GB"/>
        </w:rPr>
      </w:pPr>
      <w:r w:rsidRPr="00E008F8">
        <w:rPr>
          <w:rFonts w:cs="Arial"/>
          <w:color w:val="000000"/>
          <w:sz w:val="22"/>
          <w:szCs w:val="22"/>
          <w:lang w:eastAsia="en-GB"/>
        </w:rPr>
        <w:t>GNI comprises the total value of goods and services produced within a country (i.e. its Gross Domestic Product or GDP), together with income received from other countries (notably interest and dividends), less similar payments made to other countries.</w:t>
      </w:r>
    </w:p>
    <w:p w:rsidR="00E008F8" w:rsidRDefault="00E008F8" w:rsidP="00E008F8">
      <w:pPr>
        <w:jc w:val="both"/>
        <w:rPr>
          <w:rFonts w:cs="Arial"/>
          <w:color w:val="000000"/>
          <w:sz w:val="22"/>
          <w:szCs w:val="22"/>
          <w:lang w:eastAsia="en-GB"/>
        </w:rPr>
      </w:pPr>
    </w:p>
    <w:p w:rsidR="00E008F8" w:rsidRPr="00E008F8" w:rsidRDefault="00E008F8" w:rsidP="00E008F8">
      <w:pPr>
        <w:autoSpaceDE w:val="0"/>
        <w:autoSpaceDN w:val="0"/>
        <w:adjustRightInd w:val="0"/>
        <w:rPr>
          <w:rFonts w:cs="Arial"/>
          <w:color w:val="000000"/>
          <w:sz w:val="22"/>
          <w:szCs w:val="22"/>
          <w:lang w:eastAsia="en-GB"/>
        </w:rPr>
      </w:pPr>
      <w:r w:rsidRPr="00E008F8">
        <w:rPr>
          <w:rFonts w:cs="Arial"/>
          <w:b/>
          <w:bCs/>
          <w:color w:val="000000"/>
          <w:sz w:val="22"/>
          <w:szCs w:val="22"/>
          <w:highlight w:val="lightGray"/>
          <w:lang w:eastAsia="en-GB"/>
        </w:rPr>
        <w:t>Official and Private Flows</w:t>
      </w:r>
      <w:r w:rsidRPr="00E008F8">
        <w:rPr>
          <w:rFonts w:cs="Arial"/>
          <w:b/>
          <w:bCs/>
          <w:color w:val="000000"/>
          <w:sz w:val="22"/>
          <w:szCs w:val="22"/>
          <w:lang w:eastAsia="en-GB"/>
        </w:rPr>
        <w:t xml:space="preserve"> </w:t>
      </w:r>
    </w:p>
    <w:p w:rsidR="00E008F8" w:rsidRPr="00E008F8" w:rsidRDefault="00E008F8" w:rsidP="00E008F8">
      <w:pPr>
        <w:autoSpaceDE w:val="0"/>
        <w:autoSpaceDN w:val="0"/>
        <w:adjustRightInd w:val="0"/>
        <w:rPr>
          <w:rFonts w:cs="Arial"/>
          <w:color w:val="000000"/>
          <w:sz w:val="22"/>
          <w:szCs w:val="22"/>
          <w:lang w:eastAsia="en-GB"/>
        </w:rPr>
      </w:pPr>
      <w:r w:rsidRPr="00E008F8">
        <w:rPr>
          <w:rFonts w:cs="Arial"/>
          <w:color w:val="000000"/>
          <w:sz w:val="22"/>
          <w:szCs w:val="22"/>
          <w:lang w:eastAsia="en-GB"/>
        </w:rPr>
        <w:t xml:space="preserve">The flow of resources to aid recipient countries is a term used in DAC reporting and corresponds broadly to the following transactions with recipient countries and multilateral institutions (for the benefit of recipient countries). </w:t>
      </w:r>
    </w:p>
    <w:p w:rsidR="00E008F8" w:rsidRPr="00E008F8" w:rsidRDefault="00E008F8" w:rsidP="00E008F8">
      <w:pPr>
        <w:pStyle w:val="ListParagraph"/>
        <w:numPr>
          <w:ilvl w:val="0"/>
          <w:numId w:val="22"/>
        </w:numPr>
        <w:autoSpaceDE w:val="0"/>
        <w:autoSpaceDN w:val="0"/>
        <w:adjustRightInd w:val="0"/>
        <w:rPr>
          <w:rFonts w:cs="Arial"/>
          <w:color w:val="000000"/>
          <w:sz w:val="22"/>
          <w:szCs w:val="22"/>
          <w:lang w:eastAsia="en-GB"/>
        </w:rPr>
      </w:pPr>
      <w:r w:rsidRPr="00E008F8">
        <w:rPr>
          <w:rFonts w:cs="Arial"/>
          <w:color w:val="000000"/>
          <w:sz w:val="22"/>
          <w:szCs w:val="22"/>
          <w:lang w:eastAsia="en-GB"/>
        </w:rPr>
        <w:t xml:space="preserve">Grants and long term capital transactions effected by governments or the official sector of DAC countries; </w:t>
      </w:r>
    </w:p>
    <w:p w:rsidR="00E008F8" w:rsidRPr="00E008F8" w:rsidRDefault="00E008F8" w:rsidP="00E008F8">
      <w:pPr>
        <w:autoSpaceDE w:val="0"/>
        <w:autoSpaceDN w:val="0"/>
        <w:adjustRightInd w:val="0"/>
        <w:rPr>
          <w:rFonts w:cs="Arial"/>
          <w:color w:val="000000"/>
          <w:sz w:val="22"/>
          <w:szCs w:val="22"/>
          <w:lang w:eastAsia="en-GB"/>
        </w:rPr>
      </w:pPr>
    </w:p>
    <w:p w:rsidR="00E008F8" w:rsidRPr="00E008F8" w:rsidRDefault="00E008F8" w:rsidP="00E008F8">
      <w:pPr>
        <w:pStyle w:val="ListParagraph"/>
        <w:numPr>
          <w:ilvl w:val="0"/>
          <w:numId w:val="22"/>
        </w:numPr>
        <w:autoSpaceDE w:val="0"/>
        <w:autoSpaceDN w:val="0"/>
        <w:adjustRightInd w:val="0"/>
        <w:spacing w:after="156"/>
        <w:rPr>
          <w:rFonts w:cs="Arial"/>
          <w:color w:val="000000"/>
          <w:sz w:val="22"/>
          <w:szCs w:val="22"/>
          <w:lang w:eastAsia="en-GB"/>
        </w:rPr>
      </w:pPr>
      <w:r w:rsidRPr="00E008F8">
        <w:rPr>
          <w:rFonts w:cs="Arial"/>
          <w:color w:val="000000"/>
          <w:sz w:val="22"/>
          <w:szCs w:val="22"/>
          <w:lang w:eastAsia="en-GB"/>
        </w:rPr>
        <w:t xml:space="preserve">Private flows which are long term (over one year) capital transactions by UK residents (as defined for balance of payment purposes) with aid recipient countries, or through multilateral agencies for the benefit of such countries. They include all forms of investment, including bank lending and export credits where the original maturity exceeds one year. Private flows are reported to DAC separately for direct investment, export credits and bank lending. </w:t>
      </w:r>
    </w:p>
    <w:p w:rsidR="00E008F8" w:rsidRPr="00E008F8" w:rsidRDefault="00E008F8" w:rsidP="00E008F8">
      <w:pPr>
        <w:pStyle w:val="ListParagraph"/>
        <w:rPr>
          <w:rFonts w:cs="Arial"/>
          <w:color w:val="000000"/>
          <w:sz w:val="22"/>
          <w:szCs w:val="22"/>
          <w:lang w:eastAsia="en-GB"/>
        </w:rPr>
      </w:pPr>
    </w:p>
    <w:p w:rsidR="00E008F8" w:rsidRPr="00E008F8" w:rsidRDefault="00E008F8" w:rsidP="00E008F8">
      <w:pPr>
        <w:pStyle w:val="ListParagraph"/>
        <w:numPr>
          <w:ilvl w:val="0"/>
          <w:numId w:val="22"/>
        </w:numPr>
        <w:autoSpaceDE w:val="0"/>
        <w:autoSpaceDN w:val="0"/>
        <w:adjustRightInd w:val="0"/>
        <w:rPr>
          <w:rFonts w:cs="Arial"/>
          <w:color w:val="000000"/>
          <w:sz w:val="22"/>
          <w:szCs w:val="22"/>
          <w:lang w:eastAsia="en-GB"/>
        </w:rPr>
      </w:pPr>
      <w:r w:rsidRPr="00E008F8">
        <w:rPr>
          <w:rFonts w:cs="Arial"/>
          <w:color w:val="000000"/>
          <w:sz w:val="22"/>
          <w:szCs w:val="22"/>
          <w:lang w:eastAsia="en-GB"/>
        </w:rPr>
        <w:t xml:space="preserve">Grants by private voluntary agencies (often referred to as "private grants"). </w:t>
      </w:r>
    </w:p>
    <w:p w:rsidR="00E008F8" w:rsidRPr="00E008F8" w:rsidRDefault="00E008F8" w:rsidP="00E008F8">
      <w:pPr>
        <w:autoSpaceDE w:val="0"/>
        <w:autoSpaceDN w:val="0"/>
        <w:adjustRightInd w:val="0"/>
        <w:ind w:firstLine="720"/>
        <w:rPr>
          <w:rFonts w:cs="Arial"/>
          <w:color w:val="000000"/>
          <w:sz w:val="22"/>
          <w:szCs w:val="22"/>
          <w:lang w:eastAsia="en-GB"/>
        </w:rPr>
      </w:pPr>
      <w:r w:rsidRPr="00E008F8">
        <w:rPr>
          <w:rFonts w:cs="Arial"/>
          <w:color w:val="000000"/>
          <w:sz w:val="22"/>
          <w:szCs w:val="22"/>
          <w:lang w:eastAsia="en-GB"/>
        </w:rPr>
        <w:t xml:space="preserve">It excludes: </w:t>
      </w:r>
    </w:p>
    <w:p w:rsidR="00E008F8" w:rsidRDefault="00E008F8" w:rsidP="00E008F8">
      <w:pPr>
        <w:pStyle w:val="ListParagraph"/>
        <w:autoSpaceDE w:val="0"/>
        <w:autoSpaceDN w:val="0"/>
        <w:adjustRightInd w:val="0"/>
        <w:ind w:left="1080"/>
        <w:rPr>
          <w:rFonts w:cs="Arial"/>
          <w:color w:val="000000"/>
          <w:sz w:val="22"/>
          <w:szCs w:val="22"/>
          <w:lang w:eastAsia="en-GB"/>
        </w:rPr>
      </w:pPr>
      <w:r>
        <w:rPr>
          <w:rFonts w:cs="Arial"/>
          <w:b/>
          <w:bCs/>
          <w:color w:val="000000"/>
          <w:sz w:val="22"/>
          <w:szCs w:val="22"/>
          <w:lang w:eastAsia="en-GB"/>
        </w:rPr>
        <w:t xml:space="preserve">a) </w:t>
      </w:r>
      <w:r w:rsidRPr="00E008F8">
        <w:rPr>
          <w:rFonts w:cs="Arial"/>
          <w:b/>
          <w:bCs/>
          <w:color w:val="000000"/>
          <w:sz w:val="22"/>
          <w:szCs w:val="22"/>
          <w:lang w:eastAsia="en-GB"/>
        </w:rPr>
        <w:t>military equipment or services</w:t>
      </w:r>
      <w:r w:rsidRPr="00E008F8">
        <w:rPr>
          <w:rFonts w:cs="Arial"/>
          <w:color w:val="000000"/>
          <w:sz w:val="22"/>
          <w:szCs w:val="22"/>
          <w:lang w:eastAsia="en-GB"/>
        </w:rPr>
        <w:t xml:space="preserve">: grants, official loans, or credits (guaranteed or not) for the supply or financing of military equipment or services. However from 1993 onwards forgiveness of debt generated by military lending is recorded as OOF. </w:t>
      </w:r>
    </w:p>
    <w:p w:rsidR="00E008F8" w:rsidRPr="00E008F8" w:rsidRDefault="00E008F8" w:rsidP="00E008F8">
      <w:pPr>
        <w:autoSpaceDE w:val="0"/>
        <w:autoSpaceDN w:val="0"/>
        <w:adjustRightInd w:val="0"/>
        <w:rPr>
          <w:rFonts w:cs="Arial"/>
          <w:color w:val="000000"/>
          <w:lang w:eastAsia="en-GB"/>
        </w:rPr>
      </w:pPr>
    </w:p>
    <w:p w:rsidR="00E008F8" w:rsidRPr="00E008F8" w:rsidRDefault="00E008F8" w:rsidP="00E008F8">
      <w:pPr>
        <w:autoSpaceDE w:val="0"/>
        <w:autoSpaceDN w:val="0"/>
        <w:adjustRightInd w:val="0"/>
        <w:ind w:left="1080"/>
        <w:rPr>
          <w:rFonts w:cs="Arial"/>
          <w:color w:val="000000"/>
          <w:sz w:val="22"/>
          <w:szCs w:val="22"/>
          <w:lang w:eastAsia="en-GB"/>
        </w:rPr>
      </w:pPr>
      <w:r>
        <w:rPr>
          <w:rFonts w:cs="Arial"/>
          <w:b/>
          <w:bCs/>
          <w:color w:val="000000"/>
          <w:sz w:val="22"/>
          <w:szCs w:val="22"/>
          <w:lang w:eastAsia="en-GB"/>
        </w:rPr>
        <w:t xml:space="preserve">b) </w:t>
      </w:r>
      <w:r w:rsidRPr="00E008F8">
        <w:rPr>
          <w:rFonts w:cs="Arial"/>
          <w:b/>
          <w:bCs/>
          <w:color w:val="000000"/>
          <w:sz w:val="22"/>
          <w:szCs w:val="22"/>
          <w:lang w:eastAsia="en-GB"/>
        </w:rPr>
        <w:t>transfers to private individuals</w:t>
      </w:r>
      <w:r w:rsidRPr="00E008F8">
        <w:rPr>
          <w:rFonts w:cs="Arial"/>
          <w:color w:val="000000"/>
          <w:sz w:val="22"/>
          <w:szCs w:val="22"/>
          <w:lang w:eastAsia="en-GB"/>
        </w:rPr>
        <w:t xml:space="preserve">: transfer payments to private individuals are not included unless they are part of technical co-operation or relief programmes. </w:t>
      </w:r>
    </w:p>
    <w:p w:rsidR="00E008F8" w:rsidRPr="00E008F8" w:rsidRDefault="00E008F8" w:rsidP="00E008F8">
      <w:pPr>
        <w:autoSpaceDE w:val="0"/>
        <w:autoSpaceDN w:val="0"/>
        <w:adjustRightInd w:val="0"/>
        <w:rPr>
          <w:rFonts w:cs="Arial"/>
          <w:color w:val="000000"/>
          <w:sz w:val="22"/>
          <w:szCs w:val="22"/>
          <w:lang w:eastAsia="en-GB"/>
        </w:rPr>
      </w:pPr>
    </w:p>
    <w:p w:rsidR="00E008F8" w:rsidRDefault="00E008F8" w:rsidP="00E008F8">
      <w:pPr>
        <w:autoSpaceDE w:val="0"/>
        <w:autoSpaceDN w:val="0"/>
        <w:adjustRightInd w:val="0"/>
        <w:ind w:left="1080"/>
        <w:rPr>
          <w:rFonts w:cs="Arial"/>
          <w:color w:val="000000"/>
          <w:sz w:val="22"/>
          <w:szCs w:val="22"/>
          <w:lang w:eastAsia="en-GB"/>
        </w:rPr>
      </w:pPr>
      <w:r>
        <w:rPr>
          <w:rFonts w:cs="Arial"/>
          <w:b/>
          <w:bCs/>
          <w:color w:val="000000"/>
          <w:sz w:val="22"/>
          <w:szCs w:val="22"/>
          <w:lang w:eastAsia="en-GB"/>
        </w:rPr>
        <w:t xml:space="preserve">c) </w:t>
      </w:r>
      <w:r w:rsidRPr="00E008F8">
        <w:rPr>
          <w:rFonts w:cs="Arial"/>
          <w:b/>
          <w:bCs/>
          <w:color w:val="000000"/>
          <w:sz w:val="22"/>
          <w:szCs w:val="22"/>
          <w:lang w:eastAsia="en-GB"/>
        </w:rPr>
        <w:t>transfers by private individuals</w:t>
      </w:r>
      <w:r w:rsidRPr="00E008F8">
        <w:rPr>
          <w:rFonts w:cs="Arial"/>
          <w:color w:val="000000"/>
          <w:sz w:val="22"/>
          <w:szCs w:val="22"/>
          <w:lang w:eastAsia="en-GB"/>
        </w:rPr>
        <w:t xml:space="preserve">: private payments are excluded except for grants by private voluntary organisations for development assistance and welfare purposes (see third bullet above). </w:t>
      </w:r>
    </w:p>
    <w:p w:rsidR="00E008F8" w:rsidRDefault="00E008F8" w:rsidP="00E008F8">
      <w:pPr>
        <w:autoSpaceDE w:val="0"/>
        <w:autoSpaceDN w:val="0"/>
        <w:adjustRightInd w:val="0"/>
        <w:ind w:left="1080"/>
        <w:rPr>
          <w:rFonts w:cs="Arial"/>
          <w:color w:val="000000"/>
          <w:sz w:val="22"/>
          <w:szCs w:val="22"/>
          <w:lang w:eastAsia="en-GB"/>
        </w:rPr>
      </w:pPr>
    </w:p>
    <w:p w:rsidR="00E008F8" w:rsidRPr="00E008F8" w:rsidRDefault="00E008F8" w:rsidP="00E008F8">
      <w:pPr>
        <w:autoSpaceDE w:val="0"/>
        <w:autoSpaceDN w:val="0"/>
        <w:adjustRightInd w:val="0"/>
        <w:rPr>
          <w:rFonts w:cs="Arial"/>
          <w:color w:val="000000"/>
          <w:sz w:val="22"/>
          <w:szCs w:val="22"/>
          <w:lang w:eastAsia="en-GB"/>
        </w:rPr>
      </w:pPr>
      <w:r w:rsidRPr="00E008F8">
        <w:rPr>
          <w:rFonts w:cs="Arial"/>
          <w:b/>
          <w:bCs/>
          <w:color w:val="000000"/>
          <w:sz w:val="22"/>
          <w:szCs w:val="22"/>
          <w:highlight w:val="lightGray"/>
          <w:lang w:eastAsia="en-GB"/>
        </w:rPr>
        <w:t>Official Development Assistance (ODA)</w:t>
      </w:r>
      <w:r w:rsidRPr="00E008F8">
        <w:rPr>
          <w:rFonts w:cs="Arial"/>
          <w:b/>
          <w:bCs/>
          <w:color w:val="000000"/>
          <w:sz w:val="22"/>
          <w:szCs w:val="22"/>
          <w:lang w:eastAsia="en-GB"/>
        </w:rPr>
        <w:t xml:space="preserve"> </w:t>
      </w:r>
    </w:p>
    <w:p w:rsidR="00E008F8" w:rsidRPr="00E008F8" w:rsidRDefault="00E008F8" w:rsidP="00E008F8">
      <w:pPr>
        <w:autoSpaceDE w:val="0"/>
        <w:autoSpaceDN w:val="0"/>
        <w:adjustRightInd w:val="0"/>
        <w:rPr>
          <w:rFonts w:cs="Arial"/>
          <w:color w:val="000000"/>
          <w:sz w:val="22"/>
          <w:szCs w:val="22"/>
          <w:lang w:eastAsia="en-GB"/>
        </w:rPr>
      </w:pPr>
      <w:r w:rsidRPr="00E008F8">
        <w:rPr>
          <w:rFonts w:cs="Arial"/>
          <w:color w:val="000000"/>
          <w:sz w:val="22"/>
          <w:szCs w:val="22"/>
          <w:lang w:eastAsia="en-GB"/>
        </w:rPr>
        <w:t xml:space="preserve">Official development assistance is defined as those flows to developing countries and multilateral institutions provided by official agencies or by their executive agencies, each transaction of which meets the following tests: </w:t>
      </w:r>
    </w:p>
    <w:p w:rsidR="00E008F8" w:rsidRPr="00E008F8" w:rsidRDefault="00E008F8" w:rsidP="00E008F8">
      <w:pPr>
        <w:pStyle w:val="ListParagraph"/>
        <w:numPr>
          <w:ilvl w:val="0"/>
          <w:numId w:val="22"/>
        </w:numPr>
        <w:autoSpaceDE w:val="0"/>
        <w:autoSpaceDN w:val="0"/>
        <w:adjustRightInd w:val="0"/>
        <w:rPr>
          <w:rFonts w:cs="Arial"/>
          <w:color w:val="000000"/>
          <w:sz w:val="22"/>
          <w:szCs w:val="22"/>
          <w:lang w:eastAsia="en-GB"/>
        </w:rPr>
      </w:pPr>
      <w:r w:rsidRPr="00E008F8">
        <w:rPr>
          <w:rFonts w:cs="Arial"/>
          <w:color w:val="000000"/>
          <w:sz w:val="22"/>
          <w:szCs w:val="22"/>
          <w:lang w:eastAsia="en-GB"/>
        </w:rPr>
        <w:t xml:space="preserve">it is administered with the promotion of the economic development and welfare of developing countries as its main objective; and </w:t>
      </w:r>
    </w:p>
    <w:p w:rsidR="00E008F8" w:rsidRPr="00E008F8" w:rsidRDefault="00E008F8" w:rsidP="00E008F8">
      <w:pPr>
        <w:autoSpaceDE w:val="0"/>
        <w:autoSpaceDN w:val="0"/>
        <w:adjustRightInd w:val="0"/>
        <w:rPr>
          <w:rFonts w:cs="Arial"/>
          <w:color w:val="000000"/>
          <w:sz w:val="22"/>
          <w:szCs w:val="22"/>
          <w:lang w:eastAsia="en-GB"/>
        </w:rPr>
      </w:pPr>
    </w:p>
    <w:p w:rsidR="00E008F8" w:rsidRPr="00E008F8" w:rsidRDefault="00E008F8" w:rsidP="00E008F8">
      <w:pPr>
        <w:pStyle w:val="ListParagraph"/>
        <w:numPr>
          <w:ilvl w:val="0"/>
          <w:numId w:val="22"/>
        </w:numPr>
        <w:autoSpaceDE w:val="0"/>
        <w:autoSpaceDN w:val="0"/>
        <w:adjustRightInd w:val="0"/>
        <w:rPr>
          <w:rFonts w:cs="Arial"/>
          <w:color w:val="000000"/>
          <w:sz w:val="22"/>
          <w:szCs w:val="22"/>
          <w:lang w:eastAsia="en-GB"/>
        </w:rPr>
      </w:pPr>
      <w:r w:rsidRPr="00E008F8">
        <w:rPr>
          <w:rFonts w:cs="Arial"/>
          <w:color w:val="000000"/>
          <w:sz w:val="22"/>
          <w:szCs w:val="22"/>
          <w:lang w:eastAsia="en-GB"/>
        </w:rPr>
        <w:t xml:space="preserve">it is concessional in character and conveys a grant element of at least 25 per cent. </w:t>
      </w:r>
    </w:p>
    <w:p w:rsidR="00E008F8" w:rsidRPr="00E008F8" w:rsidRDefault="00E008F8" w:rsidP="00E008F8">
      <w:pPr>
        <w:autoSpaceDE w:val="0"/>
        <w:autoSpaceDN w:val="0"/>
        <w:adjustRightInd w:val="0"/>
        <w:rPr>
          <w:rFonts w:cs="Arial"/>
          <w:color w:val="000000"/>
          <w:sz w:val="22"/>
          <w:szCs w:val="22"/>
          <w:lang w:eastAsia="en-GB"/>
        </w:rPr>
      </w:pPr>
    </w:p>
    <w:p w:rsidR="00E008F8" w:rsidRDefault="00E008F8" w:rsidP="00E008F8">
      <w:pPr>
        <w:autoSpaceDE w:val="0"/>
        <w:autoSpaceDN w:val="0"/>
        <w:adjustRightInd w:val="0"/>
        <w:rPr>
          <w:rFonts w:cs="Arial"/>
          <w:color w:val="000000"/>
          <w:sz w:val="22"/>
          <w:szCs w:val="22"/>
          <w:lang w:eastAsia="en-GB"/>
        </w:rPr>
      </w:pPr>
      <w:r w:rsidRPr="00E008F8">
        <w:rPr>
          <w:rFonts w:cs="Arial"/>
          <w:color w:val="000000"/>
          <w:sz w:val="22"/>
          <w:szCs w:val="22"/>
          <w:lang w:eastAsia="en-GB"/>
        </w:rPr>
        <w:t>Official development assistance is shown both gross and net of loan repayments. From 2005 only aid to countries on the DAC List of Recipients of Official Development Assistance is eligible to be recorded as ODA.</w:t>
      </w:r>
    </w:p>
    <w:p w:rsidR="00E008F8" w:rsidRDefault="00E008F8" w:rsidP="00E008F8">
      <w:pPr>
        <w:autoSpaceDE w:val="0"/>
        <w:autoSpaceDN w:val="0"/>
        <w:adjustRightInd w:val="0"/>
        <w:rPr>
          <w:rFonts w:cs="Arial"/>
          <w:color w:val="000000"/>
          <w:sz w:val="22"/>
          <w:szCs w:val="22"/>
          <w:lang w:eastAsia="en-GB"/>
        </w:rPr>
      </w:pPr>
    </w:p>
    <w:p w:rsidR="00E008F8" w:rsidRPr="00E008F8" w:rsidRDefault="00E008F8" w:rsidP="00E008F8">
      <w:pPr>
        <w:autoSpaceDE w:val="0"/>
        <w:autoSpaceDN w:val="0"/>
        <w:adjustRightInd w:val="0"/>
        <w:rPr>
          <w:rFonts w:cs="Arial"/>
          <w:color w:val="000000"/>
          <w:sz w:val="22"/>
          <w:szCs w:val="22"/>
          <w:lang w:eastAsia="en-GB"/>
        </w:rPr>
      </w:pPr>
      <w:r w:rsidRPr="00E008F8">
        <w:rPr>
          <w:rFonts w:cs="Arial"/>
          <w:b/>
          <w:bCs/>
          <w:color w:val="000000"/>
          <w:sz w:val="22"/>
          <w:szCs w:val="22"/>
          <w:highlight w:val="lightGray"/>
          <w:lang w:eastAsia="en-GB"/>
        </w:rPr>
        <w:t>Other Official Flows (OOF)</w:t>
      </w:r>
      <w:r w:rsidRPr="00E008F8">
        <w:rPr>
          <w:rFonts w:cs="Arial"/>
          <w:b/>
          <w:bCs/>
          <w:color w:val="000000"/>
          <w:sz w:val="22"/>
          <w:szCs w:val="22"/>
          <w:lang w:eastAsia="en-GB"/>
        </w:rPr>
        <w:t xml:space="preserve"> </w:t>
      </w:r>
    </w:p>
    <w:p w:rsidR="00E008F8" w:rsidRDefault="00E008F8" w:rsidP="00E008F8">
      <w:pPr>
        <w:autoSpaceDE w:val="0"/>
        <w:autoSpaceDN w:val="0"/>
        <w:adjustRightInd w:val="0"/>
        <w:rPr>
          <w:sz w:val="22"/>
          <w:szCs w:val="22"/>
        </w:rPr>
      </w:pPr>
      <w:r w:rsidRPr="00E008F8">
        <w:rPr>
          <w:rFonts w:cs="Arial"/>
          <w:color w:val="000000"/>
          <w:sz w:val="22"/>
          <w:szCs w:val="22"/>
          <w:lang w:eastAsia="en-GB"/>
        </w:rPr>
        <w:t>Other Official Flows are defined as flows to developing countries by the official sector which do not satisfy both criteria necessary for ODA (i.e. can be either non</w:t>
      </w:r>
      <w:r>
        <w:rPr>
          <w:rFonts w:cs="Arial"/>
          <w:color w:val="000000"/>
          <w:sz w:val="22"/>
          <w:szCs w:val="22"/>
          <w:lang w:eastAsia="en-GB"/>
        </w:rPr>
        <w:t>-c</w:t>
      </w:r>
      <w:r>
        <w:rPr>
          <w:sz w:val="22"/>
          <w:szCs w:val="22"/>
        </w:rPr>
        <w:t>oncessional and convey a grant element of less than 25 per cent or non-developmental purposes or both).</w:t>
      </w:r>
    </w:p>
    <w:p w:rsidR="00E008F8" w:rsidRDefault="00E008F8" w:rsidP="00E008F8">
      <w:pPr>
        <w:autoSpaceDE w:val="0"/>
        <w:autoSpaceDN w:val="0"/>
        <w:adjustRightInd w:val="0"/>
        <w:rPr>
          <w:sz w:val="22"/>
          <w:szCs w:val="22"/>
        </w:rPr>
      </w:pPr>
    </w:p>
    <w:p w:rsidR="00E008F8" w:rsidRPr="00E008F8" w:rsidRDefault="00E008F8" w:rsidP="00E008F8">
      <w:pPr>
        <w:autoSpaceDE w:val="0"/>
        <w:autoSpaceDN w:val="0"/>
        <w:adjustRightInd w:val="0"/>
        <w:rPr>
          <w:rFonts w:cs="Arial"/>
          <w:color w:val="000000"/>
          <w:sz w:val="22"/>
          <w:szCs w:val="22"/>
          <w:lang w:eastAsia="en-GB"/>
        </w:rPr>
      </w:pPr>
    </w:p>
    <w:p w:rsidR="00E008F8" w:rsidRPr="00E008F8" w:rsidRDefault="00E008F8" w:rsidP="00E008F8">
      <w:pPr>
        <w:pStyle w:val="ListParagraph"/>
        <w:autoSpaceDE w:val="0"/>
        <w:autoSpaceDN w:val="0"/>
        <w:adjustRightInd w:val="0"/>
        <w:ind w:left="1080"/>
        <w:rPr>
          <w:rFonts w:cs="Arial"/>
          <w:color w:val="000000"/>
          <w:sz w:val="22"/>
          <w:szCs w:val="22"/>
          <w:lang w:eastAsia="en-GB"/>
        </w:rPr>
      </w:pPr>
    </w:p>
    <w:p w:rsidR="00E008F8" w:rsidRDefault="00E008F8" w:rsidP="00E008F8">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73260B">
      <w:pPr>
        <w:jc w:val="both"/>
        <w:rPr>
          <w:rFonts w:cs="Arial"/>
          <w:bCs/>
        </w:rPr>
      </w:pPr>
    </w:p>
    <w:p w:rsidR="00280875" w:rsidRDefault="00280875"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Default="009347A9" w:rsidP="00E2565C">
      <w:pPr>
        <w:jc w:val="center"/>
        <w:rPr>
          <w:rFonts w:cs="Arial"/>
          <w:bCs/>
        </w:rPr>
      </w:pPr>
    </w:p>
    <w:p w:rsidR="009347A9" w:rsidRPr="0092756F" w:rsidRDefault="009347A9" w:rsidP="009347A9">
      <w:pPr>
        <w:jc w:val="both"/>
        <w:rPr>
          <w:b/>
          <w:bCs/>
          <w:sz w:val="28"/>
          <w:szCs w:val="28"/>
        </w:rPr>
      </w:pPr>
      <w:r w:rsidRPr="00E008F8">
        <w:rPr>
          <w:b/>
          <w:bCs/>
          <w:sz w:val="28"/>
          <w:szCs w:val="28"/>
        </w:rPr>
        <w:lastRenderedPageBreak/>
        <w:t xml:space="preserve">Annex </w:t>
      </w:r>
      <w:r>
        <w:rPr>
          <w:b/>
          <w:bCs/>
          <w:sz w:val="28"/>
          <w:szCs w:val="28"/>
        </w:rPr>
        <w:t>C</w:t>
      </w:r>
      <w:r w:rsidRPr="00E008F8">
        <w:rPr>
          <w:b/>
          <w:bCs/>
          <w:sz w:val="28"/>
          <w:szCs w:val="28"/>
        </w:rPr>
        <w:t xml:space="preserve">. </w:t>
      </w:r>
      <w:r>
        <w:rPr>
          <w:b/>
          <w:bCs/>
          <w:sz w:val="28"/>
          <w:szCs w:val="28"/>
        </w:rPr>
        <w:t>Summary of CDC Group PLC</w:t>
      </w:r>
      <w:r w:rsidRPr="0092756F">
        <w:rPr>
          <w:rFonts w:cs="Arial"/>
          <w:b/>
          <w:bCs/>
          <w:color w:val="000000"/>
          <w:sz w:val="22"/>
          <w:szCs w:val="22"/>
          <w:lang w:eastAsia="en-GB"/>
        </w:rPr>
        <w:t xml:space="preserve"> (formerly Commonwealth Development Corporation)</w:t>
      </w:r>
      <w:r w:rsidRPr="00280875">
        <w:rPr>
          <w:rFonts w:cs="Arial"/>
          <w:b/>
          <w:bCs/>
          <w:color w:val="000000"/>
          <w:sz w:val="22"/>
          <w:szCs w:val="22"/>
          <w:lang w:eastAsia="en-GB"/>
        </w:rPr>
        <w:t xml:space="preserve"> </w:t>
      </w:r>
    </w:p>
    <w:p w:rsidR="009347A9" w:rsidRDefault="009347A9" w:rsidP="009347A9">
      <w:pPr>
        <w:jc w:val="both"/>
        <w:rPr>
          <w:rFonts w:cs="Arial"/>
          <w:color w:val="000000"/>
          <w:sz w:val="22"/>
          <w:szCs w:val="22"/>
          <w:lang w:eastAsia="en-GB"/>
        </w:rPr>
      </w:pPr>
    </w:p>
    <w:p w:rsidR="009347A9" w:rsidRPr="009347A9" w:rsidRDefault="009347A9" w:rsidP="009347A9">
      <w:pPr>
        <w:widowControl w:val="0"/>
        <w:spacing w:after="120"/>
        <w:rPr>
          <w:rFonts w:cs="Arial"/>
          <w:color w:val="000000"/>
          <w:lang w:eastAsia="en-GB"/>
        </w:rPr>
      </w:pPr>
      <w:r w:rsidRPr="009347A9">
        <w:rPr>
          <w:rFonts w:cs="Arial"/>
          <w:color w:val="000000"/>
          <w:lang w:eastAsia="en-GB"/>
        </w:rPr>
        <w:t>CDC is the world’s first Development Finance Institution and was set up in 1948. It is fully owned by the UK government. CDC’s business model has changed considerably over time. In the period 2004-2012, CDC operated exclusively as a fund of funds, investing in private equity funds across a range of emerging markets including South East Asia and Latin America. Following a review in 2010-11, DFID and CDC agreed a fundamental change in CDC’s strategy and business model.</w:t>
      </w:r>
    </w:p>
    <w:p w:rsidR="009347A9" w:rsidRPr="009347A9" w:rsidRDefault="009347A9" w:rsidP="009347A9">
      <w:pPr>
        <w:widowControl w:val="0"/>
        <w:spacing w:after="120"/>
        <w:rPr>
          <w:rFonts w:cs="Arial"/>
          <w:color w:val="000000"/>
          <w:lang w:eastAsia="en-GB"/>
        </w:rPr>
      </w:pPr>
      <w:r w:rsidRPr="009347A9">
        <w:rPr>
          <w:rFonts w:cs="Arial"/>
          <w:color w:val="000000"/>
          <w:lang w:eastAsia="en-GB"/>
        </w:rPr>
        <w:t>CDC’s mission now, set out in its 2012 Investment Policy</w:t>
      </w:r>
      <w:r w:rsidRPr="009347A9">
        <w:rPr>
          <w:color w:val="000000"/>
          <w:vertAlign w:val="superscript"/>
          <w:lang w:eastAsia="en-GB"/>
        </w:rPr>
        <w:footnoteReference w:id="18"/>
      </w:r>
      <w:r w:rsidRPr="009347A9">
        <w:rPr>
          <w:rFonts w:cs="Arial"/>
          <w:color w:val="000000"/>
          <w:lang w:eastAsia="en-GB"/>
        </w:rPr>
        <w:t xml:space="preserve"> is to “support the building of businesses throughout Africa and South Asia, to create jobs and make a lasting difference to people’s lives in some of the world's poorest places”. CDC’s objectives, are to:</w:t>
      </w:r>
    </w:p>
    <w:p w:rsidR="009347A9" w:rsidRPr="009347A9" w:rsidRDefault="009347A9" w:rsidP="009347A9">
      <w:pPr>
        <w:pStyle w:val="ListParagraph"/>
        <w:numPr>
          <w:ilvl w:val="0"/>
          <w:numId w:val="43"/>
        </w:numPr>
        <w:spacing w:after="120"/>
        <w:contextualSpacing w:val="0"/>
        <w:rPr>
          <w:rFonts w:cs="Arial"/>
          <w:color w:val="000000"/>
          <w:lang w:eastAsia="en-GB"/>
        </w:rPr>
      </w:pPr>
      <w:r w:rsidRPr="009347A9">
        <w:rPr>
          <w:rFonts w:cs="Arial"/>
          <w:color w:val="000000"/>
          <w:lang w:eastAsia="en-GB"/>
        </w:rPr>
        <w:t>invest in businesses and activities, especially when private investors are reluctant to do so, so as to contribute to sustainable development and economic growth that directly or indirectly benefits the poor, and in particular to create lasting employment opportunities.</w:t>
      </w:r>
    </w:p>
    <w:p w:rsidR="009347A9" w:rsidRPr="009347A9" w:rsidRDefault="009347A9" w:rsidP="009347A9">
      <w:pPr>
        <w:pStyle w:val="ListParagraph"/>
        <w:numPr>
          <w:ilvl w:val="0"/>
          <w:numId w:val="43"/>
        </w:numPr>
        <w:spacing w:after="120"/>
        <w:contextualSpacing w:val="0"/>
        <w:rPr>
          <w:rFonts w:cs="Arial"/>
          <w:color w:val="000000"/>
          <w:lang w:eastAsia="en-GB"/>
        </w:rPr>
      </w:pPr>
      <w:r w:rsidRPr="009347A9">
        <w:rPr>
          <w:rFonts w:cs="Arial"/>
          <w:color w:val="000000"/>
          <w:lang w:eastAsia="en-GB"/>
        </w:rPr>
        <w:t>demonstrate that profitable, commercially sustainable and responsible investments can be made and/or developed over time in these environments and, where possible, mobilise both direct and indirect private investment in these countries, states or territories.</w:t>
      </w:r>
    </w:p>
    <w:p w:rsidR="009347A9" w:rsidRPr="009347A9" w:rsidRDefault="009347A9" w:rsidP="009347A9">
      <w:pPr>
        <w:widowControl w:val="0"/>
        <w:spacing w:after="120"/>
        <w:rPr>
          <w:rFonts w:cs="Arial"/>
          <w:color w:val="000000"/>
          <w:lang w:eastAsia="en-GB"/>
        </w:rPr>
      </w:pPr>
      <w:r w:rsidRPr="009347A9">
        <w:rPr>
          <w:rFonts w:cs="Arial"/>
          <w:color w:val="000000"/>
          <w:lang w:eastAsia="en-GB"/>
        </w:rPr>
        <w:t>CDC executes its mission by making investments in businesses that have a strong likelihood of creating good quality, permanent employment opportunities. CDC seeks to make such investments in countries (or areas) that are particularly difficult to invest in. In addition to its capital, CDC offers to add value to the businesses it invests in by assisting in management, seeking to improve a business’s environmental systems, improving its climate footprint and similar developmental improvements.</w:t>
      </w:r>
    </w:p>
    <w:p w:rsidR="009347A9" w:rsidRPr="009347A9" w:rsidRDefault="009347A9" w:rsidP="009347A9">
      <w:pPr>
        <w:rPr>
          <w:rFonts w:cs="Arial"/>
          <w:bCs/>
        </w:rPr>
      </w:pPr>
    </w:p>
    <w:sectPr w:rsidR="009347A9" w:rsidRPr="009347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40" w:rsidRDefault="00AB2240" w:rsidP="00640969">
      <w:r>
        <w:separator/>
      </w:r>
    </w:p>
  </w:endnote>
  <w:endnote w:type="continuationSeparator" w:id="0">
    <w:p w:rsidR="00AB2240" w:rsidRDefault="00AB2240" w:rsidP="00640969">
      <w:r>
        <w:continuationSeparator/>
      </w:r>
    </w:p>
  </w:endnote>
  <w:endnote w:type="continuationNotice" w:id="1">
    <w:p w:rsidR="00AB2240" w:rsidRDefault="00AB2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9A" w:rsidRDefault="0011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65845"/>
      <w:docPartObj>
        <w:docPartGallery w:val="Page Numbers (Bottom of Page)"/>
        <w:docPartUnique/>
      </w:docPartObj>
    </w:sdtPr>
    <w:sdtEndPr>
      <w:rPr>
        <w:noProof/>
      </w:rPr>
    </w:sdtEndPr>
    <w:sdtContent>
      <w:p w:rsidR="006D5701" w:rsidRDefault="006D5701">
        <w:pPr>
          <w:pStyle w:val="Footer"/>
          <w:jc w:val="center"/>
        </w:pPr>
        <w:r>
          <w:fldChar w:fldCharType="begin"/>
        </w:r>
        <w:r>
          <w:instrText xml:space="preserve"> PAGE   \* MERGEFORMAT </w:instrText>
        </w:r>
        <w:r>
          <w:fldChar w:fldCharType="separate"/>
        </w:r>
        <w:r w:rsidR="0011579A">
          <w:rPr>
            <w:noProof/>
          </w:rPr>
          <w:t>2</w:t>
        </w:r>
        <w:r>
          <w:rPr>
            <w:noProof/>
          </w:rPr>
          <w:fldChar w:fldCharType="end"/>
        </w:r>
      </w:p>
    </w:sdtContent>
  </w:sdt>
  <w:p w:rsidR="006D5701" w:rsidRDefault="006D5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9A" w:rsidRDefault="0011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40" w:rsidRDefault="00AB2240" w:rsidP="00640969">
      <w:r>
        <w:separator/>
      </w:r>
    </w:p>
  </w:footnote>
  <w:footnote w:type="continuationSeparator" w:id="0">
    <w:p w:rsidR="00AB2240" w:rsidRDefault="00AB2240" w:rsidP="00640969">
      <w:r>
        <w:continuationSeparator/>
      </w:r>
    </w:p>
  </w:footnote>
  <w:footnote w:type="continuationNotice" w:id="1">
    <w:p w:rsidR="00AB2240" w:rsidRDefault="00AB2240"/>
  </w:footnote>
  <w:footnote w:id="2">
    <w:p w:rsidR="006D5701" w:rsidRPr="009347A9" w:rsidRDefault="006D5701">
      <w:pPr>
        <w:pStyle w:val="FootnoteText"/>
        <w:rPr>
          <w:sz w:val="16"/>
          <w:szCs w:val="16"/>
        </w:rPr>
      </w:pPr>
      <w:r w:rsidRPr="004F2866">
        <w:rPr>
          <w:rStyle w:val="FootnoteReference"/>
          <w:sz w:val="16"/>
          <w:szCs w:val="16"/>
        </w:rPr>
        <w:footnoteRef/>
      </w:r>
      <w:r w:rsidRPr="004F2866">
        <w:rPr>
          <w:sz w:val="16"/>
          <w:szCs w:val="16"/>
        </w:rPr>
        <w:t xml:space="preserve"> </w:t>
      </w:r>
      <w:r w:rsidRPr="009347A9">
        <w:rPr>
          <w:sz w:val="16"/>
          <w:szCs w:val="16"/>
        </w:rPr>
        <w:t xml:space="preserve">The short review is available from here: </w:t>
      </w:r>
      <w:hyperlink r:id="rId1" w:history="1">
        <w:r w:rsidRPr="009347A9">
          <w:rPr>
            <w:rStyle w:val="Hyperlink"/>
            <w:sz w:val="16"/>
            <w:szCs w:val="16"/>
          </w:rPr>
          <w:t>https://www.gov.uk/government/uploads/system/uploads/attachment_data/file/236279/short-quality-review-DFID-National-Statistics.pdf</w:t>
        </w:r>
      </w:hyperlink>
      <w:r w:rsidRPr="009347A9">
        <w:rPr>
          <w:sz w:val="16"/>
          <w:szCs w:val="16"/>
        </w:rPr>
        <w:t xml:space="preserve"> </w:t>
      </w:r>
    </w:p>
  </w:footnote>
  <w:footnote w:id="3">
    <w:p w:rsidR="00B64C1B" w:rsidRDefault="00B64C1B">
      <w:pPr>
        <w:pStyle w:val="FootnoteText"/>
      </w:pPr>
      <w:r>
        <w:rPr>
          <w:rStyle w:val="FootnoteReference"/>
        </w:rPr>
        <w:footnoteRef/>
      </w:r>
      <w:r>
        <w:t xml:space="preserve"> </w:t>
      </w:r>
      <w:r w:rsidRPr="00B64C1B">
        <w:rPr>
          <w:sz w:val="16"/>
          <w:szCs w:val="16"/>
        </w:rPr>
        <w:t>See Annex C for background information on CDC.</w:t>
      </w:r>
      <w:r>
        <w:t xml:space="preserve"> </w:t>
      </w:r>
    </w:p>
  </w:footnote>
  <w:footnote w:id="4">
    <w:p w:rsidR="009347A9" w:rsidRDefault="009347A9">
      <w:pPr>
        <w:pStyle w:val="FootnoteText"/>
      </w:pPr>
      <w:r w:rsidRPr="009347A9">
        <w:rPr>
          <w:rStyle w:val="FootnoteReference"/>
          <w:sz w:val="16"/>
          <w:szCs w:val="16"/>
        </w:rPr>
        <w:footnoteRef/>
      </w:r>
      <w:r w:rsidRPr="009347A9">
        <w:rPr>
          <w:sz w:val="16"/>
          <w:szCs w:val="16"/>
        </w:rPr>
        <w:t xml:space="preserve"> See Glossary in Annex B for more information.</w:t>
      </w:r>
    </w:p>
  </w:footnote>
  <w:footnote w:id="5">
    <w:p w:rsidR="006D5701" w:rsidRPr="008961FA" w:rsidRDefault="006D5701" w:rsidP="00D4348E">
      <w:pPr>
        <w:pStyle w:val="FootnoteText"/>
        <w:rPr>
          <w:sz w:val="16"/>
          <w:szCs w:val="16"/>
        </w:rPr>
      </w:pPr>
      <w:r w:rsidRPr="004F2866">
        <w:rPr>
          <w:rStyle w:val="FootnoteReference"/>
          <w:sz w:val="16"/>
          <w:szCs w:val="16"/>
        </w:rPr>
        <w:footnoteRef/>
      </w:r>
      <w:r w:rsidRPr="004F2866">
        <w:rPr>
          <w:sz w:val="16"/>
          <w:szCs w:val="16"/>
        </w:rPr>
        <w:t xml:space="preserve"> </w:t>
      </w:r>
      <w:hyperlink r:id="rId2" w:history="1">
        <w:r w:rsidRPr="004F2866">
          <w:rPr>
            <w:rStyle w:val="Hyperlink"/>
            <w:sz w:val="16"/>
            <w:szCs w:val="16"/>
          </w:rPr>
          <w:t>https://www.gov.uk/government/organisations/department-for-international-development/about/statistics</w:t>
        </w:r>
      </w:hyperlink>
      <w:r w:rsidRPr="008961FA">
        <w:rPr>
          <w:sz w:val="16"/>
          <w:szCs w:val="16"/>
        </w:rPr>
        <w:t xml:space="preserve"> </w:t>
      </w:r>
    </w:p>
  </w:footnote>
  <w:footnote w:id="6">
    <w:p w:rsidR="006D5701" w:rsidRPr="00BF3BFB" w:rsidRDefault="006D5701" w:rsidP="00D4348E">
      <w:pPr>
        <w:pStyle w:val="FootnoteText"/>
        <w:rPr>
          <w:sz w:val="16"/>
          <w:szCs w:val="16"/>
        </w:rPr>
      </w:pPr>
      <w:r w:rsidRPr="008961FA">
        <w:rPr>
          <w:rStyle w:val="FootnoteReference"/>
          <w:sz w:val="16"/>
          <w:szCs w:val="16"/>
        </w:rPr>
        <w:footnoteRef/>
      </w:r>
      <w:r w:rsidRPr="008961FA">
        <w:rPr>
          <w:sz w:val="16"/>
          <w:szCs w:val="16"/>
        </w:rPr>
        <w:t xml:space="preserve"> </w:t>
      </w:r>
      <w:hyperlink r:id="rId3" w:history="1">
        <w:r w:rsidRPr="008961FA">
          <w:rPr>
            <w:rStyle w:val="Hyperlink"/>
            <w:sz w:val="16"/>
            <w:szCs w:val="16"/>
          </w:rPr>
          <w:t>http://www.oecd.org/dac/stats/analyses.htm</w:t>
        </w:r>
      </w:hyperlink>
      <w:r w:rsidRPr="00BF3BFB">
        <w:rPr>
          <w:sz w:val="16"/>
          <w:szCs w:val="16"/>
        </w:rPr>
        <w:t xml:space="preserve"> </w:t>
      </w:r>
    </w:p>
  </w:footnote>
  <w:footnote w:id="7">
    <w:p w:rsidR="006D5701" w:rsidRDefault="006D5701" w:rsidP="004F2866">
      <w:pPr>
        <w:pStyle w:val="FootnoteText"/>
      </w:pPr>
      <w:r>
        <w:rPr>
          <w:rStyle w:val="FootnoteReference"/>
        </w:rPr>
        <w:footnoteRef/>
      </w:r>
      <w:r w:rsidRPr="004F2866">
        <w:rPr>
          <w:sz w:val="16"/>
          <w:szCs w:val="16"/>
        </w:rPr>
        <w:t>http://www.cdcgroup.com/Documents/Additional%20Publications/cdcstrategypresentation_2012.pdf</w:t>
      </w:r>
      <w:r w:rsidRPr="004F2866">
        <w:t xml:space="preserve"> </w:t>
      </w:r>
    </w:p>
  </w:footnote>
  <w:footnote w:id="8">
    <w:p w:rsidR="006D5701" w:rsidRPr="008961FA" w:rsidRDefault="006D5701">
      <w:pPr>
        <w:pStyle w:val="FootnoteText"/>
        <w:rPr>
          <w:rFonts w:cs="Arial"/>
          <w:sz w:val="16"/>
          <w:szCs w:val="16"/>
        </w:rPr>
      </w:pPr>
      <w:r w:rsidRPr="0073260B">
        <w:rPr>
          <w:rStyle w:val="FootnoteReference"/>
          <w:rFonts w:cs="Arial"/>
        </w:rPr>
        <w:footnoteRef/>
      </w:r>
      <w:r w:rsidRPr="0073260B">
        <w:rPr>
          <w:rFonts w:cs="Arial"/>
        </w:rPr>
        <w:t xml:space="preserve"> </w:t>
      </w:r>
      <w:r w:rsidRPr="008961FA">
        <w:rPr>
          <w:rFonts w:cs="Arial"/>
          <w:sz w:val="16"/>
          <w:szCs w:val="16"/>
        </w:rPr>
        <w:t xml:space="preserve">CDC also provides loans and guarantees – but these are generally not counted as ODA – see below for more information: </w:t>
      </w:r>
      <w:r w:rsidRPr="008961FA">
        <w:rPr>
          <w:rFonts w:cs="Arial"/>
          <w:b/>
          <w:sz w:val="16"/>
          <w:szCs w:val="16"/>
        </w:rPr>
        <w:t xml:space="preserve">Loans: </w:t>
      </w:r>
      <w:r w:rsidRPr="008961FA">
        <w:rPr>
          <w:rFonts w:cs="Arial"/>
          <w:sz w:val="16"/>
          <w:szCs w:val="16"/>
        </w:rPr>
        <w:t xml:space="preserve">CDC’s debt transactions do not meet the concessionality requirements in the ODA rules and therefore do not count as ODA. </w:t>
      </w:r>
      <w:r w:rsidRPr="008961FA">
        <w:rPr>
          <w:rFonts w:cs="Arial"/>
          <w:b/>
          <w:sz w:val="16"/>
          <w:szCs w:val="16"/>
        </w:rPr>
        <w:t>Guarantees</w:t>
      </w:r>
      <w:r w:rsidRPr="008961FA">
        <w:rPr>
          <w:rFonts w:cs="Arial"/>
          <w:sz w:val="16"/>
          <w:szCs w:val="16"/>
        </w:rPr>
        <w:t xml:space="preserve">: ODA is only captured when a project fails and the guarantee is called upon, ignoring the development benefits associated with guarantees that are not called.  </w:t>
      </w:r>
    </w:p>
  </w:footnote>
  <w:footnote w:id="9">
    <w:p w:rsidR="006D5701" w:rsidRPr="008961FA" w:rsidRDefault="006D5701" w:rsidP="00794D64">
      <w:pPr>
        <w:autoSpaceDE w:val="0"/>
        <w:autoSpaceDN w:val="0"/>
        <w:adjustRightInd w:val="0"/>
        <w:rPr>
          <w:rFonts w:ascii="TimesNewRoman" w:hAnsi="TimesNewRoman" w:cs="TimesNewRoman"/>
          <w:sz w:val="16"/>
          <w:szCs w:val="16"/>
          <w:lang w:eastAsia="en-GB"/>
        </w:rPr>
      </w:pPr>
      <w:r w:rsidRPr="008961FA">
        <w:rPr>
          <w:rStyle w:val="FootnoteReference"/>
          <w:rFonts w:cs="Arial"/>
          <w:sz w:val="16"/>
          <w:szCs w:val="16"/>
        </w:rPr>
        <w:footnoteRef/>
      </w:r>
      <w:r w:rsidRPr="008961FA">
        <w:rPr>
          <w:rFonts w:cs="Arial"/>
          <w:sz w:val="16"/>
          <w:szCs w:val="16"/>
        </w:rPr>
        <w:t xml:space="preserve"> </w:t>
      </w:r>
      <w:r w:rsidRPr="008961FA">
        <w:rPr>
          <w:rFonts w:cs="Arial"/>
          <w:b/>
          <w:bCs/>
          <w:sz w:val="16"/>
          <w:szCs w:val="16"/>
          <w:lang w:eastAsia="en-GB"/>
        </w:rPr>
        <w:t xml:space="preserve">Equity securities (also called shares) </w:t>
      </w:r>
      <w:r w:rsidRPr="008961FA">
        <w:rPr>
          <w:rFonts w:cs="Arial"/>
          <w:sz w:val="16"/>
          <w:szCs w:val="16"/>
          <w:lang w:eastAsia="en-GB"/>
        </w:rPr>
        <w:t xml:space="preserve">are evidence of ownership of a corporation that gives the owner claims on the residual value of the corporation after creditors claims have been met. Shares and other equity may pay property income in the form of dividends and may be held with the expectation of holding gains. </w:t>
      </w:r>
      <w:r w:rsidRPr="008961FA">
        <w:rPr>
          <w:rFonts w:cs="Arial"/>
          <w:b/>
          <w:bCs/>
          <w:sz w:val="16"/>
          <w:szCs w:val="16"/>
          <w:lang w:eastAsia="en-GB"/>
        </w:rPr>
        <w:t xml:space="preserve">Investment fund shares </w:t>
      </w:r>
      <w:r w:rsidRPr="008961FA">
        <w:rPr>
          <w:rFonts w:cs="Arial"/>
          <w:sz w:val="16"/>
          <w:szCs w:val="16"/>
          <w:lang w:eastAsia="en-GB"/>
        </w:rPr>
        <w:t>are issued by collective investment undertakings and represent a share in an investment portfolio. Para 31 – OECD DAC Statistical Reporting Directives</w:t>
      </w:r>
      <w:r>
        <w:rPr>
          <w:rFonts w:cs="Arial"/>
          <w:sz w:val="16"/>
          <w:szCs w:val="16"/>
          <w:lang w:eastAsia="en-GB"/>
        </w:rPr>
        <w:t>.</w:t>
      </w:r>
    </w:p>
  </w:footnote>
  <w:footnote w:id="10">
    <w:p w:rsidR="006D5701" w:rsidRPr="00262C4D" w:rsidRDefault="006D5701">
      <w:pPr>
        <w:pStyle w:val="FootnoteText"/>
        <w:rPr>
          <w:sz w:val="16"/>
          <w:szCs w:val="16"/>
        </w:rPr>
      </w:pPr>
      <w:r w:rsidRPr="00262C4D">
        <w:rPr>
          <w:rStyle w:val="FootnoteReference"/>
          <w:sz w:val="16"/>
          <w:szCs w:val="16"/>
        </w:rPr>
        <w:footnoteRef/>
      </w:r>
      <w:r w:rsidRPr="00262C4D">
        <w:rPr>
          <w:sz w:val="16"/>
          <w:szCs w:val="16"/>
        </w:rPr>
        <w:t xml:space="preserve"> See DCD/DAC/STAT(2012)8 and </w:t>
      </w:r>
      <w:r w:rsidRPr="00262C4D">
        <w:rPr>
          <w:rFonts w:ascii="TimesNewRoman,Bold" w:hAnsi="TimesNewRoman,Bold" w:cs="TimesNewRoman,Bold"/>
          <w:bCs/>
          <w:sz w:val="16"/>
          <w:szCs w:val="16"/>
          <w:lang w:eastAsia="en-GB"/>
        </w:rPr>
        <w:t>DCD/DAC/STAT(2013)4.</w:t>
      </w:r>
    </w:p>
  </w:footnote>
  <w:footnote w:id="11">
    <w:p w:rsidR="009347A9" w:rsidRPr="00262C4D" w:rsidRDefault="009347A9">
      <w:pPr>
        <w:pStyle w:val="FootnoteText"/>
        <w:rPr>
          <w:sz w:val="16"/>
          <w:szCs w:val="16"/>
        </w:rPr>
      </w:pPr>
      <w:r w:rsidRPr="00262C4D">
        <w:rPr>
          <w:rStyle w:val="FootnoteReference"/>
          <w:sz w:val="16"/>
          <w:szCs w:val="16"/>
        </w:rPr>
        <w:footnoteRef/>
      </w:r>
      <w:r w:rsidRPr="00262C4D">
        <w:rPr>
          <w:sz w:val="16"/>
          <w:szCs w:val="16"/>
        </w:rPr>
        <w:t xml:space="preserve"> See glossary in Annex B for more information. </w:t>
      </w:r>
    </w:p>
  </w:footnote>
  <w:footnote w:id="12">
    <w:p w:rsidR="006D5701" w:rsidRDefault="006D5701">
      <w:pPr>
        <w:pStyle w:val="FootnoteText"/>
      </w:pPr>
      <w:r w:rsidRPr="00262C4D">
        <w:rPr>
          <w:rStyle w:val="FootnoteReference"/>
          <w:sz w:val="16"/>
          <w:szCs w:val="16"/>
        </w:rPr>
        <w:footnoteRef/>
      </w:r>
      <w:r w:rsidRPr="00262C4D">
        <w:rPr>
          <w:sz w:val="16"/>
          <w:szCs w:val="16"/>
        </w:rPr>
        <w:t xml:space="preserve"> See </w:t>
      </w:r>
      <w:hyperlink r:id="rId4" w:history="1">
        <w:r w:rsidRPr="00262C4D">
          <w:rPr>
            <w:rFonts w:cs="Arial"/>
            <w:bCs/>
            <w:color w:val="0000FF" w:themeColor="hyperlink"/>
            <w:sz w:val="16"/>
            <w:szCs w:val="16"/>
            <w:u w:val="single"/>
            <w:lang w:eastAsia="en-GB"/>
          </w:rPr>
          <w:t>DCD/DAC(2013)15/FINAL</w:t>
        </w:r>
      </w:hyperlink>
      <w:r w:rsidRPr="00262C4D">
        <w:rPr>
          <w:rFonts w:cs="Arial"/>
          <w:bCs/>
          <w:sz w:val="16"/>
          <w:szCs w:val="16"/>
          <w:lang w:eastAsia="en-GB"/>
        </w:rPr>
        <w:t>.</w:t>
      </w:r>
    </w:p>
  </w:footnote>
  <w:footnote w:id="13">
    <w:p w:rsidR="006D5701" w:rsidRPr="00262C4D" w:rsidRDefault="006D5701">
      <w:pPr>
        <w:pStyle w:val="FootnoteText"/>
        <w:rPr>
          <w:sz w:val="16"/>
          <w:szCs w:val="16"/>
        </w:rPr>
      </w:pPr>
      <w:r w:rsidRPr="00262C4D">
        <w:rPr>
          <w:rStyle w:val="FootnoteReference"/>
          <w:sz w:val="16"/>
          <w:szCs w:val="16"/>
        </w:rPr>
        <w:footnoteRef/>
      </w:r>
      <w:r w:rsidRPr="00262C4D">
        <w:rPr>
          <w:sz w:val="16"/>
          <w:szCs w:val="16"/>
        </w:rPr>
        <w:t xml:space="preserve"> </w:t>
      </w:r>
      <w:r w:rsidRPr="00262C4D">
        <w:rPr>
          <w:rFonts w:ascii="TimesNewRoman,Bold" w:hAnsi="TimesNewRoman,Bold" w:cs="TimesNewRoman,Bold"/>
          <w:bCs/>
          <w:sz w:val="16"/>
          <w:szCs w:val="16"/>
          <w:lang w:eastAsia="en-GB"/>
        </w:rPr>
        <w:t>CDC</w:t>
      </w:r>
      <w:r w:rsidRPr="00262C4D" w:rsidDel="00AC4FEB">
        <w:rPr>
          <w:rFonts w:ascii="TimesNewRoman,Bold" w:hAnsi="TimesNewRoman,Bold" w:cs="TimesNewRoman,Bold"/>
          <w:bCs/>
          <w:sz w:val="16"/>
          <w:szCs w:val="16"/>
          <w:lang w:eastAsia="en-GB"/>
        </w:rPr>
        <w:t xml:space="preserve"> is 100% owned by the UK government</w:t>
      </w:r>
      <w:r w:rsidRPr="00262C4D">
        <w:rPr>
          <w:rFonts w:ascii="TimesNewRoman,Bold" w:hAnsi="TimesNewRoman,Bold" w:cs="TimesNewRoman,Bold"/>
          <w:bCs/>
          <w:sz w:val="16"/>
          <w:szCs w:val="16"/>
          <w:lang w:eastAsia="en-GB"/>
        </w:rPr>
        <w:t xml:space="preserve">, and so all its </w:t>
      </w:r>
      <w:r w:rsidRPr="00262C4D" w:rsidDel="00AC4FEB">
        <w:rPr>
          <w:rFonts w:ascii="TimesNewRoman,Bold" w:hAnsi="TimesNewRoman,Bold" w:cs="TimesNewRoman,Bold"/>
          <w:bCs/>
          <w:sz w:val="16"/>
          <w:szCs w:val="16"/>
          <w:lang w:eastAsia="en-GB"/>
        </w:rPr>
        <w:t>investments, including its equity investments, should be treated as official flows</w:t>
      </w:r>
      <w:r w:rsidRPr="00262C4D">
        <w:rPr>
          <w:rFonts w:ascii="TimesNewRoman,Bold" w:hAnsi="TimesNewRoman,Bold" w:cs="TimesNewRoman,Bold"/>
          <w:bCs/>
          <w:sz w:val="16"/>
          <w:szCs w:val="16"/>
          <w:lang w:eastAsia="en-GB"/>
        </w:rPr>
        <w:t xml:space="preserve">. </w:t>
      </w:r>
      <w:r w:rsidRPr="00262C4D">
        <w:rPr>
          <w:sz w:val="16"/>
          <w:szCs w:val="16"/>
        </w:rPr>
        <w:t xml:space="preserve"> CDC’s investments are </w:t>
      </w:r>
      <w:r w:rsidRPr="00262C4D">
        <w:rPr>
          <w:rFonts w:cs="Arial"/>
          <w:sz w:val="16"/>
          <w:szCs w:val="16"/>
          <w:lang w:eastAsia="en-GB"/>
        </w:rPr>
        <w:t xml:space="preserve">restricted to countries and territories on the DAC List of ODA Recipients. </w:t>
      </w:r>
      <w:hyperlink r:id="rId5" w:history="1">
        <w:r w:rsidRPr="00262C4D">
          <w:rPr>
            <w:color w:val="0000FF" w:themeColor="hyperlink"/>
            <w:sz w:val="16"/>
            <w:szCs w:val="16"/>
            <w:u w:val="single"/>
          </w:rPr>
          <w:t>CDC’s website</w:t>
        </w:r>
      </w:hyperlink>
      <w:r w:rsidRPr="00262C4D">
        <w:rPr>
          <w:sz w:val="16"/>
          <w:szCs w:val="16"/>
        </w:rPr>
        <w:t xml:space="preserve"> explains that the primary purpose of CDC’s investments are the promotion of the economic development of developing countries</w:t>
      </w:r>
    </w:p>
  </w:footnote>
  <w:footnote w:id="14">
    <w:p w:rsidR="006D5701" w:rsidRDefault="006D5701" w:rsidP="002F4325">
      <w:pPr>
        <w:pStyle w:val="FootnoteText"/>
      </w:pPr>
      <w:r w:rsidRPr="00262C4D">
        <w:rPr>
          <w:rStyle w:val="FootnoteReference"/>
          <w:sz w:val="16"/>
          <w:szCs w:val="16"/>
        </w:rPr>
        <w:footnoteRef/>
      </w:r>
      <w:r w:rsidRPr="00262C4D">
        <w:rPr>
          <w:sz w:val="16"/>
          <w:szCs w:val="16"/>
        </w:rPr>
        <w:t xml:space="preserve"> This refers specifically to an unpublished 1969 DAC working paper DAC/STAT 69/13 that we have seen. The paper is referred to in OECD Development Cooperation Working Paper 12, </w:t>
      </w:r>
      <w:hyperlink r:id="rId6" w:history="1">
        <w:r w:rsidRPr="00262C4D">
          <w:rPr>
            <w:rStyle w:val="Hyperlink"/>
            <w:i/>
            <w:sz w:val="16"/>
            <w:szCs w:val="16"/>
          </w:rPr>
          <w:t>The Evolution of Official Development Assistance</w:t>
        </w:r>
      </w:hyperlink>
      <w:r w:rsidRPr="00262C4D">
        <w:rPr>
          <w:sz w:val="16"/>
          <w:szCs w:val="16"/>
        </w:rPr>
        <w:t>.</w:t>
      </w:r>
    </w:p>
  </w:footnote>
  <w:footnote w:id="15">
    <w:p w:rsidR="006D5701" w:rsidRPr="00262C4D" w:rsidRDefault="006D5701" w:rsidP="00E108AB">
      <w:pPr>
        <w:pStyle w:val="FootnoteText"/>
        <w:rPr>
          <w:sz w:val="16"/>
          <w:szCs w:val="16"/>
        </w:rPr>
      </w:pPr>
      <w:r w:rsidRPr="00262C4D">
        <w:rPr>
          <w:rStyle w:val="FootnoteReference"/>
          <w:sz w:val="16"/>
          <w:szCs w:val="16"/>
        </w:rPr>
        <w:footnoteRef/>
      </w:r>
      <w:r w:rsidRPr="00262C4D">
        <w:rPr>
          <w:sz w:val="16"/>
          <w:szCs w:val="16"/>
        </w:rPr>
        <w:t xml:space="preserve"> In the case of intra-governmental transfers, it is important to distinguish between i) use by the central aid authorities of other public sector agencies in the donor country for implementation of specific activities and ii) transfers of funds, together with the spending (budgetary) authority, to other public sector agencies. For i), report “donor government” as the channel of delivery. For ii), the agency that receives the spending (budgetary) authority should designate its first implementing partner as the channel of delivery.(Para 118 - </w:t>
      </w:r>
      <w:hyperlink r:id="rId7" w:history="1">
        <w:r w:rsidRPr="00262C4D">
          <w:rPr>
            <w:rFonts w:cs="Arial"/>
            <w:bCs/>
            <w:color w:val="0000FF" w:themeColor="hyperlink"/>
            <w:sz w:val="16"/>
            <w:szCs w:val="16"/>
            <w:u w:val="single"/>
            <w:lang w:eastAsia="en-GB"/>
          </w:rPr>
          <w:t>DCD/DAC(2013)15/FINAL</w:t>
        </w:r>
      </w:hyperlink>
      <w:r w:rsidRPr="00262C4D">
        <w:rPr>
          <w:rFonts w:cs="Arial"/>
          <w:bCs/>
          <w:color w:val="0000FF" w:themeColor="hyperlink"/>
          <w:sz w:val="16"/>
          <w:szCs w:val="16"/>
          <w:u w:val="single"/>
          <w:lang w:eastAsia="en-GB"/>
        </w:rPr>
        <w:t>)</w:t>
      </w:r>
    </w:p>
  </w:footnote>
  <w:footnote w:id="16">
    <w:p w:rsidR="006D5701" w:rsidRPr="00262C4D" w:rsidRDefault="006D5701">
      <w:pPr>
        <w:pStyle w:val="FootnoteText"/>
        <w:rPr>
          <w:sz w:val="16"/>
          <w:szCs w:val="16"/>
        </w:rPr>
      </w:pPr>
      <w:r w:rsidRPr="00262C4D">
        <w:rPr>
          <w:rStyle w:val="FootnoteReference"/>
          <w:sz w:val="16"/>
          <w:szCs w:val="16"/>
        </w:rPr>
        <w:footnoteRef/>
      </w:r>
      <w:r w:rsidRPr="00262C4D">
        <w:rPr>
          <w:sz w:val="16"/>
          <w:szCs w:val="16"/>
        </w:rPr>
        <w:t xml:space="preserve"> </w:t>
      </w:r>
      <w:hyperlink r:id="rId8" w:history="1">
        <w:r w:rsidRPr="00262C4D">
          <w:rPr>
            <w:rStyle w:val="Hyperlink"/>
            <w:sz w:val="16"/>
            <w:szCs w:val="16"/>
          </w:rPr>
          <w:t>http://www.oecd.org/dac/OECD%20DAC%20HLM%20Communique.pdf</w:t>
        </w:r>
      </w:hyperlink>
    </w:p>
  </w:footnote>
  <w:footnote w:id="17">
    <w:p w:rsidR="00494B25" w:rsidRPr="00262C4D" w:rsidRDefault="00494B25" w:rsidP="00494B25">
      <w:pPr>
        <w:pStyle w:val="FootnoteText"/>
        <w:rPr>
          <w:sz w:val="16"/>
          <w:szCs w:val="16"/>
        </w:rPr>
      </w:pPr>
      <w:r w:rsidRPr="00262C4D">
        <w:rPr>
          <w:rStyle w:val="FootnoteReference"/>
          <w:sz w:val="16"/>
          <w:szCs w:val="16"/>
        </w:rPr>
        <w:footnoteRef/>
      </w:r>
      <w:r w:rsidRPr="00262C4D">
        <w:rPr>
          <w:sz w:val="16"/>
          <w:szCs w:val="16"/>
        </w:rPr>
        <w:t xml:space="preserve"> Details of individual investments are</w:t>
      </w:r>
      <w:r w:rsidR="00262C4D">
        <w:rPr>
          <w:sz w:val="16"/>
          <w:szCs w:val="16"/>
        </w:rPr>
        <w:t xml:space="preserve"> also</w:t>
      </w:r>
      <w:r w:rsidRPr="00262C4D">
        <w:rPr>
          <w:sz w:val="16"/>
          <w:szCs w:val="16"/>
        </w:rPr>
        <w:t xml:space="preserve"> available on the CDC website. </w:t>
      </w:r>
      <w:hyperlink r:id="rId9" w:history="1">
        <w:r w:rsidRPr="00262C4D">
          <w:rPr>
            <w:rStyle w:val="Hyperlink"/>
            <w:sz w:val="16"/>
            <w:szCs w:val="16"/>
          </w:rPr>
          <w:t>http://www.cdcgroup.com/</w:t>
        </w:r>
      </w:hyperlink>
      <w:r w:rsidRPr="00262C4D">
        <w:rPr>
          <w:sz w:val="16"/>
          <w:szCs w:val="16"/>
        </w:rPr>
        <w:t xml:space="preserve"> </w:t>
      </w:r>
    </w:p>
    <w:p w:rsidR="00494B25" w:rsidRDefault="00494B25">
      <w:pPr>
        <w:pStyle w:val="FootnoteText"/>
      </w:pPr>
    </w:p>
  </w:footnote>
  <w:footnote w:id="18">
    <w:p w:rsidR="009347A9" w:rsidRPr="00262C4D" w:rsidRDefault="009347A9" w:rsidP="009347A9">
      <w:pPr>
        <w:pStyle w:val="FootnoteText"/>
        <w:rPr>
          <w:rFonts w:cs="Arial"/>
          <w:sz w:val="16"/>
          <w:szCs w:val="16"/>
        </w:rPr>
      </w:pPr>
      <w:r w:rsidRPr="00190BEE">
        <w:rPr>
          <w:rStyle w:val="FootnoteReference"/>
          <w:rFonts w:cs="Arial"/>
          <w:sz w:val="18"/>
          <w:szCs w:val="18"/>
        </w:rPr>
        <w:footnoteRef/>
      </w:r>
      <w:hyperlink r:id="rId10" w:history="1">
        <w:r w:rsidR="00262C4D" w:rsidRPr="00EA19E6">
          <w:rPr>
            <w:rStyle w:val="Hyperlink"/>
            <w:rFonts w:cs="Arial"/>
            <w:sz w:val="16"/>
            <w:szCs w:val="16"/>
          </w:rPr>
          <w:t>http://www.cdcgroup.com/Documents/Transparency%20and%20reporting/CDC%20Investment%20Policy%202012_16.pdf</w:t>
        </w:r>
      </w:hyperlink>
      <w:r w:rsidR="00262C4D">
        <w:rPr>
          <w:rFonts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9A" w:rsidRDefault="00115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9A" w:rsidRDefault="00115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9A" w:rsidRDefault="00115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F25"/>
    <w:multiLevelType w:val="hybridMultilevel"/>
    <w:tmpl w:val="0790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139C2"/>
    <w:multiLevelType w:val="hybridMultilevel"/>
    <w:tmpl w:val="024802EC"/>
    <w:lvl w:ilvl="0" w:tplc="DF9AC4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C44646"/>
    <w:multiLevelType w:val="hybridMultilevel"/>
    <w:tmpl w:val="3BAA4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2D01C6"/>
    <w:multiLevelType w:val="multilevel"/>
    <w:tmpl w:val="8196F302"/>
    <w:styleLink w:val="Style1"/>
    <w:lvl w:ilvl="0">
      <w:start w:val="1"/>
      <w:numFmt w:val="decimal"/>
      <w:lvlText w:val="%1)"/>
      <w:lvlJc w:val="left"/>
      <w:pPr>
        <w:ind w:left="360" w:hanging="360"/>
      </w:pPr>
      <w:rPr>
        <w:rFonts w:hint="default"/>
      </w:rPr>
    </w:lvl>
    <w:lvl w:ilvl="1">
      <w:start w:val="1"/>
      <w:numFmt w:val="lowerRoman"/>
      <w:lvlText w:val="%2)"/>
      <w:lvlJc w:val="left"/>
      <w:pPr>
        <w:ind w:left="720" w:hanging="5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4409E9"/>
    <w:multiLevelType w:val="hybridMultilevel"/>
    <w:tmpl w:val="6A7EF332"/>
    <w:lvl w:ilvl="0" w:tplc="8A405F0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655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0B7756"/>
    <w:multiLevelType w:val="hybridMultilevel"/>
    <w:tmpl w:val="EED036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6614DF"/>
    <w:multiLevelType w:val="multilevel"/>
    <w:tmpl w:val="8196F302"/>
    <w:numStyleLink w:val="Style1"/>
  </w:abstractNum>
  <w:abstractNum w:abstractNumId="8">
    <w:nsid w:val="0EB85FAC"/>
    <w:multiLevelType w:val="hybridMultilevel"/>
    <w:tmpl w:val="1FA69B92"/>
    <w:lvl w:ilvl="0" w:tplc="67546E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443027"/>
    <w:multiLevelType w:val="hybridMultilevel"/>
    <w:tmpl w:val="1E1EDD92"/>
    <w:lvl w:ilvl="0" w:tplc="87C87612">
      <w:start w:val="7"/>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545A15"/>
    <w:multiLevelType w:val="hybridMultilevel"/>
    <w:tmpl w:val="627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FE20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D90CAE"/>
    <w:multiLevelType w:val="hybridMultilevel"/>
    <w:tmpl w:val="72C219A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CCE37DE"/>
    <w:multiLevelType w:val="hybridMultilevel"/>
    <w:tmpl w:val="CDD26BC8"/>
    <w:lvl w:ilvl="0" w:tplc="67546E2E">
      <w:start w:val="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130599"/>
    <w:multiLevelType w:val="hybridMultilevel"/>
    <w:tmpl w:val="F460A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A2563E"/>
    <w:multiLevelType w:val="hybridMultilevel"/>
    <w:tmpl w:val="8406813C"/>
    <w:lvl w:ilvl="0" w:tplc="08090015">
      <w:start w:val="1"/>
      <w:numFmt w:val="upperLetter"/>
      <w:lvlText w:val="%1."/>
      <w:lvlJc w:val="left"/>
      <w:pPr>
        <w:ind w:left="785" w:hanging="360"/>
      </w:pPr>
      <w:rPr>
        <w:rFonts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nsid w:val="2C637B47"/>
    <w:multiLevelType w:val="hybridMultilevel"/>
    <w:tmpl w:val="06D8FC8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FB6931"/>
    <w:multiLevelType w:val="hybridMultilevel"/>
    <w:tmpl w:val="8E12E4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8E3091"/>
    <w:multiLevelType w:val="hybridMultilevel"/>
    <w:tmpl w:val="4A74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AF35DE"/>
    <w:multiLevelType w:val="hybridMultilevel"/>
    <w:tmpl w:val="82A8C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173A7D4E">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306295"/>
    <w:multiLevelType w:val="hybridMultilevel"/>
    <w:tmpl w:val="D700AEA8"/>
    <w:lvl w:ilvl="0" w:tplc="08090015">
      <w:start w:val="1"/>
      <w:numFmt w:val="upperLetter"/>
      <w:lvlText w:val="%1."/>
      <w:lvlJc w:val="left"/>
      <w:pPr>
        <w:ind w:left="2485" w:hanging="360"/>
      </w:pPr>
      <w:rPr>
        <w:rFonts w:hint="default"/>
      </w:rPr>
    </w:lvl>
    <w:lvl w:ilvl="1" w:tplc="08090019">
      <w:start w:val="1"/>
      <w:numFmt w:val="lowerLetter"/>
      <w:lvlText w:val="%2."/>
      <w:lvlJc w:val="left"/>
      <w:pPr>
        <w:ind w:left="3205" w:hanging="360"/>
      </w:pPr>
    </w:lvl>
    <w:lvl w:ilvl="2" w:tplc="0809001B">
      <w:start w:val="1"/>
      <w:numFmt w:val="lowerRoman"/>
      <w:lvlText w:val="%3."/>
      <w:lvlJc w:val="right"/>
      <w:pPr>
        <w:ind w:left="3925" w:hanging="180"/>
      </w:pPr>
    </w:lvl>
    <w:lvl w:ilvl="3" w:tplc="0809000F" w:tentative="1">
      <w:start w:val="1"/>
      <w:numFmt w:val="decimal"/>
      <w:lvlText w:val="%4."/>
      <w:lvlJc w:val="left"/>
      <w:pPr>
        <w:ind w:left="4645" w:hanging="360"/>
      </w:pPr>
    </w:lvl>
    <w:lvl w:ilvl="4" w:tplc="08090019" w:tentative="1">
      <w:start w:val="1"/>
      <w:numFmt w:val="lowerLetter"/>
      <w:lvlText w:val="%5."/>
      <w:lvlJc w:val="left"/>
      <w:pPr>
        <w:ind w:left="5365" w:hanging="360"/>
      </w:pPr>
    </w:lvl>
    <w:lvl w:ilvl="5" w:tplc="0809001B" w:tentative="1">
      <w:start w:val="1"/>
      <w:numFmt w:val="lowerRoman"/>
      <w:lvlText w:val="%6."/>
      <w:lvlJc w:val="right"/>
      <w:pPr>
        <w:ind w:left="6085" w:hanging="180"/>
      </w:pPr>
    </w:lvl>
    <w:lvl w:ilvl="6" w:tplc="0809000F" w:tentative="1">
      <w:start w:val="1"/>
      <w:numFmt w:val="decimal"/>
      <w:lvlText w:val="%7."/>
      <w:lvlJc w:val="left"/>
      <w:pPr>
        <w:ind w:left="6805" w:hanging="360"/>
      </w:pPr>
    </w:lvl>
    <w:lvl w:ilvl="7" w:tplc="08090019" w:tentative="1">
      <w:start w:val="1"/>
      <w:numFmt w:val="lowerLetter"/>
      <w:lvlText w:val="%8."/>
      <w:lvlJc w:val="left"/>
      <w:pPr>
        <w:ind w:left="7525" w:hanging="360"/>
      </w:pPr>
    </w:lvl>
    <w:lvl w:ilvl="8" w:tplc="0809001B" w:tentative="1">
      <w:start w:val="1"/>
      <w:numFmt w:val="lowerRoman"/>
      <w:lvlText w:val="%9."/>
      <w:lvlJc w:val="right"/>
      <w:pPr>
        <w:ind w:left="8245" w:hanging="180"/>
      </w:pPr>
    </w:lvl>
  </w:abstractNum>
  <w:abstractNum w:abstractNumId="21">
    <w:nsid w:val="40BF28A1"/>
    <w:multiLevelType w:val="hybridMultilevel"/>
    <w:tmpl w:val="19ECF9BE"/>
    <w:lvl w:ilvl="0" w:tplc="8634F0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667862"/>
    <w:multiLevelType w:val="hybridMultilevel"/>
    <w:tmpl w:val="629EA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D8582F"/>
    <w:multiLevelType w:val="hybridMultilevel"/>
    <w:tmpl w:val="06D8FC8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D0B5E"/>
    <w:multiLevelType w:val="hybridMultilevel"/>
    <w:tmpl w:val="9A1CC904"/>
    <w:lvl w:ilvl="0" w:tplc="67546E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0F4D58"/>
    <w:multiLevelType w:val="hybridMultilevel"/>
    <w:tmpl w:val="FE60728A"/>
    <w:lvl w:ilvl="0" w:tplc="67546E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D27697"/>
    <w:multiLevelType w:val="hybridMultilevel"/>
    <w:tmpl w:val="4EC40BA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046FBF"/>
    <w:multiLevelType w:val="hybridMultilevel"/>
    <w:tmpl w:val="8C145FA4"/>
    <w:lvl w:ilvl="0" w:tplc="67546E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2722FB"/>
    <w:multiLevelType w:val="hybridMultilevel"/>
    <w:tmpl w:val="0DD27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0E02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CB0474E"/>
    <w:multiLevelType w:val="multilevel"/>
    <w:tmpl w:val="8196F302"/>
    <w:numStyleLink w:val="Style1"/>
  </w:abstractNum>
  <w:abstractNum w:abstractNumId="31">
    <w:nsid w:val="4DFD220A"/>
    <w:multiLevelType w:val="multilevel"/>
    <w:tmpl w:val="7AF4425C"/>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524A17A3"/>
    <w:multiLevelType w:val="hybridMultilevel"/>
    <w:tmpl w:val="B320737A"/>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nsid w:val="548A08CC"/>
    <w:multiLevelType w:val="hybridMultilevel"/>
    <w:tmpl w:val="39109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EA23FC"/>
    <w:multiLevelType w:val="hybridMultilevel"/>
    <w:tmpl w:val="72C219A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7F7428A"/>
    <w:multiLevelType w:val="hybridMultilevel"/>
    <w:tmpl w:val="B9C689A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68BD79E9"/>
    <w:multiLevelType w:val="multilevel"/>
    <w:tmpl w:val="8196F302"/>
    <w:numStyleLink w:val="Style1"/>
  </w:abstractNum>
  <w:abstractNum w:abstractNumId="37">
    <w:nsid w:val="69CA30E1"/>
    <w:multiLevelType w:val="hybridMultilevel"/>
    <w:tmpl w:val="72C219A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CA004BB"/>
    <w:multiLevelType w:val="hybridMultilevel"/>
    <w:tmpl w:val="8406813C"/>
    <w:lvl w:ilvl="0" w:tplc="08090015">
      <w:start w:val="1"/>
      <w:numFmt w:val="upperLetter"/>
      <w:lvlText w:val="%1."/>
      <w:lvlJc w:val="left"/>
      <w:pPr>
        <w:ind w:left="785" w:hanging="360"/>
      </w:pPr>
      <w:rPr>
        <w:rFonts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9">
    <w:nsid w:val="6CDC1038"/>
    <w:multiLevelType w:val="hybridMultilevel"/>
    <w:tmpl w:val="E842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0041DE"/>
    <w:multiLevelType w:val="hybridMultilevel"/>
    <w:tmpl w:val="72C219A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FF4362B"/>
    <w:multiLevelType w:val="hybridMultilevel"/>
    <w:tmpl w:val="B776BB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5A1E51"/>
    <w:multiLevelType w:val="hybridMultilevel"/>
    <w:tmpl w:val="7002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E94D82"/>
    <w:multiLevelType w:val="hybridMultilevel"/>
    <w:tmpl w:val="6648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6"/>
    <w:lvlOverride w:ilvl="0">
      <w:lvl w:ilvl="0">
        <w:start w:val="1"/>
        <w:numFmt w:val="decimal"/>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30"/>
    <w:lvlOverride w:ilvl="0">
      <w:lvl w:ilvl="0">
        <w:start w:val="2"/>
        <w:numFmt w:val="decimal"/>
        <w:lvlText w:val="%1)"/>
        <w:lvlJc w:val="left"/>
        <w:pPr>
          <w:ind w:left="360" w:hanging="360"/>
        </w:pPr>
        <w:rPr>
          <w:rFonts w:hint="default"/>
        </w:rPr>
      </w:lvl>
    </w:lvlOverride>
    <w:lvlOverride w:ilvl="1">
      <w:lvl w:ilvl="1">
        <w:start w:val="1"/>
        <w:numFmt w:val="lowerRoman"/>
        <w:lvlText w:val="%2)"/>
        <w:lvlJc w:val="left"/>
        <w:pPr>
          <w:ind w:left="720" w:hanging="55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31"/>
  </w:num>
  <w:num w:numId="5">
    <w:abstractNumId w:val="11"/>
  </w:num>
  <w:num w:numId="6">
    <w:abstractNumId w:val="7"/>
  </w:num>
  <w:num w:numId="7">
    <w:abstractNumId w:val="5"/>
  </w:num>
  <w:num w:numId="8">
    <w:abstractNumId w:val="19"/>
  </w:num>
  <w:num w:numId="9">
    <w:abstractNumId w:val="21"/>
  </w:num>
  <w:num w:numId="10">
    <w:abstractNumId w:val="17"/>
  </w:num>
  <w:num w:numId="11">
    <w:abstractNumId w:val="20"/>
  </w:num>
  <w:num w:numId="12">
    <w:abstractNumId w:val="22"/>
  </w:num>
  <w:num w:numId="13">
    <w:abstractNumId w:val="13"/>
  </w:num>
  <w:num w:numId="14">
    <w:abstractNumId w:val="26"/>
  </w:num>
  <w:num w:numId="15">
    <w:abstractNumId w:val="23"/>
  </w:num>
  <w:num w:numId="16">
    <w:abstractNumId w:val="16"/>
  </w:num>
  <w:num w:numId="17">
    <w:abstractNumId w:val="43"/>
  </w:num>
  <w:num w:numId="18">
    <w:abstractNumId w:val="6"/>
  </w:num>
  <w:num w:numId="19">
    <w:abstractNumId w:val="0"/>
  </w:num>
  <w:num w:numId="20">
    <w:abstractNumId w:val="25"/>
  </w:num>
  <w:num w:numId="21">
    <w:abstractNumId w:val="18"/>
  </w:num>
  <w:num w:numId="22">
    <w:abstractNumId w:val="1"/>
  </w:num>
  <w:num w:numId="23">
    <w:abstractNumId w:val="8"/>
  </w:num>
  <w:num w:numId="24">
    <w:abstractNumId w:val="24"/>
  </w:num>
  <w:num w:numId="25">
    <w:abstractNumId w:val="39"/>
  </w:num>
  <w:num w:numId="26">
    <w:abstractNumId w:val="14"/>
  </w:num>
  <w:num w:numId="27">
    <w:abstractNumId w:val="27"/>
  </w:num>
  <w:num w:numId="28">
    <w:abstractNumId w:val="38"/>
  </w:num>
  <w:num w:numId="29">
    <w:abstractNumId w:val="28"/>
  </w:num>
  <w:num w:numId="30">
    <w:abstractNumId w:val="10"/>
  </w:num>
  <w:num w:numId="3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5"/>
  </w:num>
  <w:num w:numId="34">
    <w:abstractNumId w:val="4"/>
  </w:num>
  <w:num w:numId="35">
    <w:abstractNumId w:val="35"/>
  </w:num>
  <w:num w:numId="36">
    <w:abstractNumId w:val="2"/>
  </w:num>
  <w:num w:numId="37">
    <w:abstractNumId w:val="33"/>
  </w:num>
  <w:num w:numId="38">
    <w:abstractNumId w:val="32"/>
  </w:num>
  <w:num w:numId="39">
    <w:abstractNumId w:val="34"/>
  </w:num>
  <w:num w:numId="40">
    <w:abstractNumId w:val="41"/>
  </w:num>
  <w:num w:numId="41">
    <w:abstractNumId w:val="9"/>
  </w:num>
  <w:num w:numId="42">
    <w:abstractNumId w:val="40"/>
  </w:num>
  <w:num w:numId="43">
    <w:abstractNumId w:val="42"/>
  </w:num>
  <w:num w:numId="44">
    <w:abstractNumId w:val="1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69"/>
    <w:rsid w:val="00006E32"/>
    <w:rsid w:val="0002300D"/>
    <w:rsid w:val="00037823"/>
    <w:rsid w:val="00040009"/>
    <w:rsid w:val="00050882"/>
    <w:rsid w:val="0006195C"/>
    <w:rsid w:val="0009640C"/>
    <w:rsid w:val="000B3B3F"/>
    <w:rsid w:val="000C3B99"/>
    <w:rsid w:val="000C3D53"/>
    <w:rsid w:val="000E1E2D"/>
    <w:rsid w:val="000E48D1"/>
    <w:rsid w:val="000F01C1"/>
    <w:rsid w:val="000F74D8"/>
    <w:rsid w:val="00111767"/>
    <w:rsid w:val="0011579A"/>
    <w:rsid w:val="001452F9"/>
    <w:rsid w:val="00156FBE"/>
    <w:rsid w:val="00176BD0"/>
    <w:rsid w:val="0018338C"/>
    <w:rsid w:val="001A2403"/>
    <w:rsid w:val="001B7659"/>
    <w:rsid w:val="001E596F"/>
    <w:rsid w:val="001F37E6"/>
    <w:rsid w:val="001F72BD"/>
    <w:rsid w:val="002130ED"/>
    <w:rsid w:val="00225BFC"/>
    <w:rsid w:val="0024231A"/>
    <w:rsid w:val="002427DC"/>
    <w:rsid w:val="002428B6"/>
    <w:rsid w:val="00244E99"/>
    <w:rsid w:val="00250B60"/>
    <w:rsid w:val="00252E06"/>
    <w:rsid w:val="00262C4D"/>
    <w:rsid w:val="00267E3C"/>
    <w:rsid w:val="00280875"/>
    <w:rsid w:val="002953F7"/>
    <w:rsid w:val="002A76EB"/>
    <w:rsid w:val="002B06A7"/>
    <w:rsid w:val="002C1A7D"/>
    <w:rsid w:val="002D29A0"/>
    <w:rsid w:val="002D729D"/>
    <w:rsid w:val="002E2077"/>
    <w:rsid w:val="002F4325"/>
    <w:rsid w:val="00321832"/>
    <w:rsid w:val="00343A5C"/>
    <w:rsid w:val="00344E5F"/>
    <w:rsid w:val="00347E97"/>
    <w:rsid w:val="00372E57"/>
    <w:rsid w:val="003801DD"/>
    <w:rsid w:val="003A2049"/>
    <w:rsid w:val="003A7F22"/>
    <w:rsid w:val="003C4BEB"/>
    <w:rsid w:val="003F5F06"/>
    <w:rsid w:val="003F7105"/>
    <w:rsid w:val="0041405D"/>
    <w:rsid w:val="00416D60"/>
    <w:rsid w:val="00421683"/>
    <w:rsid w:val="00434481"/>
    <w:rsid w:val="00437106"/>
    <w:rsid w:val="00450394"/>
    <w:rsid w:val="00463C10"/>
    <w:rsid w:val="0047466A"/>
    <w:rsid w:val="00494B25"/>
    <w:rsid w:val="004A30D0"/>
    <w:rsid w:val="004C597B"/>
    <w:rsid w:val="004F2866"/>
    <w:rsid w:val="005065B4"/>
    <w:rsid w:val="00515ACF"/>
    <w:rsid w:val="00521737"/>
    <w:rsid w:val="00534E41"/>
    <w:rsid w:val="00535CAD"/>
    <w:rsid w:val="005366DB"/>
    <w:rsid w:val="00550F34"/>
    <w:rsid w:val="00570622"/>
    <w:rsid w:val="005725B6"/>
    <w:rsid w:val="005920F3"/>
    <w:rsid w:val="005951CC"/>
    <w:rsid w:val="00597741"/>
    <w:rsid w:val="005B39A2"/>
    <w:rsid w:val="005C16F3"/>
    <w:rsid w:val="005C21D7"/>
    <w:rsid w:val="005C28F8"/>
    <w:rsid w:val="005D2F99"/>
    <w:rsid w:val="005E50FA"/>
    <w:rsid w:val="00606900"/>
    <w:rsid w:val="00607C87"/>
    <w:rsid w:val="006249B9"/>
    <w:rsid w:val="006305C2"/>
    <w:rsid w:val="00630919"/>
    <w:rsid w:val="0063491A"/>
    <w:rsid w:val="00635CAD"/>
    <w:rsid w:val="00640969"/>
    <w:rsid w:val="00644661"/>
    <w:rsid w:val="00660762"/>
    <w:rsid w:val="0067097D"/>
    <w:rsid w:val="006C1E3B"/>
    <w:rsid w:val="006C52F8"/>
    <w:rsid w:val="006C5BF0"/>
    <w:rsid w:val="006D5701"/>
    <w:rsid w:val="00730585"/>
    <w:rsid w:val="0073260B"/>
    <w:rsid w:val="007441C2"/>
    <w:rsid w:val="0075501C"/>
    <w:rsid w:val="00755C5D"/>
    <w:rsid w:val="00767DCA"/>
    <w:rsid w:val="00794D64"/>
    <w:rsid w:val="007977D1"/>
    <w:rsid w:val="007A1B78"/>
    <w:rsid w:val="007C5A09"/>
    <w:rsid w:val="007D2577"/>
    <w:rsid w:val="007E555D"/>
    <w:rsid w:val="007F4799"/>
    <w:rsid w:val="0083105F"/>
    <w:rsid w:val="00856B8F"/>
    <w:rsid w:val="008870B4"/>
    <w:rsid w:val="0089229B"/>
    <w:rsid w:val="008958B9"/>
    <w:rsid w:val="008961FA"/>
    <w:rsid w:val="008A1F5C"/>
    <w:rsid w:val="008D367C"/>
    <w:rsid w:val="008D40FE"/>
    <w:rsid w:val="008D5282"/>
    <w:rsid w:val="008D5FAF"/>
    <w:rsid w:val="0090021A"/>
    <w:rsid w:val="00907032"/>
    <w:rsid w:val="00916184"/>
    <w:rsid w:val="009347A9"/>
    <w:rsid w:val="0093628B"/>
    <w:rsid w:val="009524FC"/>
    <w:rsid w:val="009764A8"/>
    <w:rsid w:val="009A3A32"/>
    <w:rsid w:val="009A5DD7"/>
    <w:rsid w:val="009B4AFB"/>
    <w:rsid w:val="009C0E2C"/>
    <w:rsid w:val="009D56DD"/>
    <w:rsid w:val="009E2F34"/>
    <w:rsid w:val="00A00654"/>
    <w:rsid w:val="00A07EB4"/>
    <w:rsid w:val="00A10ACE"/>
    <w:rsid w:val="00A15E6D"/>
    <w:rsid w:val="00A242D9"/>
    <w:rsid w:val="00A4682A"/>
    <w:rsid w:val="00A56A4A"/>
    <w:rsid w:val="00A64B39"/>
    <w:rsid w:val="00A744B2"/>
    <w:rsid w:val="00A822D5"/>
    <w:rsid w:val="00AB0FA7"/>
    <w:rsid w:val="00AB2240"/>
    <w:rsid w:val="00AD0119"/>
    <w:rsid w:val="00AD1A71"/>
    <w:rsid w:val="00AE0C50"/>
    <w:rsid w:val="00AF240C"/>
    <w:rsid w:val="00AF3F72"/>
    <w:rsid w:val="00AF6AD4"/>
    <w:rsid w:val="00B01C5D"/>
    <w:rsid w:val="00B354BA"/>
    <w:rsid w:val="00B36DE7"/>
    <w:rsid w:val="00B4164F"/>
    <w:rsid w:val="00B5019C"/>
    <w:rsid w:val="00B53C2B"/>
    <w:rsid w:val="00B64C1B"/>
    <w:rsid w:val="00B65124"/>
    <w:rsid w:val="00B734E6"/>
    <w:rsid w:val="00B90F69"/>
    <w:rsid w:val="00B94C8A"/>
    <w:rsid w:val="00BB7233"/>
    <w:rsid w:val="00BE4598"/>
    <w:rsid w:val="00BF4C6B"/>
    <w:rsid w:val="00BF572F"/>
    <w:rsid w:val="00BF67D4"/>
    <w:rsid w:val="00C162CA"/>
    <w:rsid w:val="00C23EE7"/>
    <w:rsid w:val="00C27DA2"/>
    <w:rsid w:val="00C74882"/>
    <w:rsid w:val="00C846DD"/>
    <w:rsid w:val="00C85A03"/>
    <w:rsid w:val="00CA3FF9"/>
    <w:rsid w:val="00CB4BFF"/>
    <w:rsid w:val="00CC5888"/>
    <w:rsid w:val="00CF1121"/>
    <w:rsid w:val="00D167E2"/>
    <w:rsid w:val="00D16C91"/>
    <w:rsid w:val="00D25CE8"/>
    <w:rsid w:val="00D356B8"/>
    <w:rsid w:val="00D4348E"/>
    <w:rsid w:val="00D46446"/>
    <w:rsid w:val="00D703E2"/>
    <w:rsid w:val="00D71B60"/>
    <w:rsid w:val="00DB4617"/>
    <w:rsid w:val="00DC0C46"/>
    <w:rsid w:val="00DC67A6"/>
    <w:rsid w:val="00DC7B6E"/>
    <w:rsid w:val="00DD7622"/>
    <w:rsid w:val="00DE5780"/>
    <w:rsid w:val="00DF5914"/>
    <w:rsid w:val="00DF595F"/>
    <w:rsid w:val="00E008F8"/>
    <w:rsid w:val="00E108AB"/>
    <w:rsid w:val="00E22AD4"/>
    <w:rsid w:val="00E2565C"/>
    <w:rsid w:val="00E2707B"/>
    <w:rsid w:val="00E97153"/>
    <w:rsid w:val="00EB3108"/>
    <w:rsid w:val="00EB640C"/>
    <w:rsid w:val="00EB794A"/>
    <w:rsid w:val="00EE168C"/>
    <w:rsid w:val="00F234D0"/>
    <w:rsid w:val="00F308AA"/>
    <w:rsid w:val="00F36E7E"/>
    <w:rsid w:val="00F450D7"/>
    <w:rsid w:val="00F52742"/>
    <w:rsid w:val="00F65359"/>
    <w:rsid w:val="00F66592"/>
    <w:rsid w:val="00F94098"/>
    <w:rsid w:val="00FA740F"/>
    <w:rsid w:val="00FB38D9"/>
    <w:rsid w:val="00FC0232"/>
    <w:rsid w:val="00FD2351"/>
    <w:rsid w:val="00FF09E4"/>
    <w:rsid w:val="00FF0F5D"/>
    <w:rsid w:val="00FF19D1"/>
    <w:rsid w:val="00FF3DC3"/>
    <w:rsid w:val="00FF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numPr>
        <w:numId w:val="4"/>
      </w:numPr>
      <w:spacing w:before="240" w:after="60"/>
      <w:outlineLvl w:val="0"/>
    </w:pPr>
    <w:rPr>
      <w:b/>
      <w:kern w:val="32"/>
      <w:sz w:val="32"/>
      <w:szCs w:val="32"/>
    </w:rPr>
  </w:style>
  <w:style w:type="paragraph" w:styleId="Heading2">
    <w:name w:val="heading 2"/>
    <w:basedOn w:val="Normal"/>
    <w:next w:val="Normal"/>
    <w:link w:val="Heading2Char"/>
    <w:qFormat/>
    <w:rsid w:val="00B01C5D"/>
    <w:pPr>
      <w:numPr>
        <w:ilvl w:val="1"/>
        <w:numId w:val="4"/>
      </w:numPr>
      <w:spacing w:before="240"/>
      <w:outlineLvl w:val="1"/>
    </w:pPr>
    <w:rPr>
      <w:b/>
      <w:i/>
      <w:kern w:val="28"/>
      <w:sz w:val="28"/>
      <w:szCs w:val="28"/>
    </w:rPr>
  </w:style>
  <w:style w:type="paragraph" w:styleId="Heading3">
    <w:name w:val="heading 3"/>
    <w:basedOn w:val="Normal"/>
    <w:next w:val="Normal"/>
    <w:link w:val="Heading3Char"/>
    <w:qFormat/>
    <w:rsid w:val="00B01C5D"/>
    <w:pPr>
      <w:numPr>
        <w:ilvl w:val="2"/>
        <w:numId w:val="4"/>
      </w:numPr>
      <w:spacing w:before="240" w:after="60"/>
      <w:outlineLvl w:val="2"/>
    </w:pPr>
    <w:rPr>
      <w:b/>
      <w:sz w:val="26"/>
    </w:rPr>
  </w:style>
  <w:style w:type="paragraph" w:styleId="Heading4">
    <w:name w:val="heading 4"/>
    <w:basedOn w:val="Normal"/>
    <w:next w:val="Normal"/>
    <w:link w:val="Heading4Char"/>
    <w:qFormat/>
    <w:rsid w:val="00B01C5D"/>
    <w:pPr>
      <w:numPr>
        <w:ilvl w:val="3"/>
        <w:numId w:val="4"/>
      </w:numPr>
      <w:spacing w:before="240" w:after="60"/>
      <w:outlineLvl w:val="3"/>
    </w:pPr>
    <w:rPr>
      <w:b/>
    </w:rPr>
  </w:style>
  <w:style w:type="paragraph" w:styleId="Heading5">
    <w:name w:val="heading 5"/>
    <w:basedOn w:val="Normal"/>
    <w:next w:val="Normal"/>
    <w:link w:val="Heading5Char"/>
    <w:semiHidden/>
    <w:unhideWhenUsed/>
    <w:qFormat/>
    <w:rsid w:val="0064096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4096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4096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4096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4096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aliases w:val="List Paragraph2,Normal numbered,OBC Bullet,Dot pt,F5 List Paragraph,List Paragraph1,No Spacing1,List Paragraph Char Char Char,Indicator Text,Numbered Para 1,Bullet 1,Bullet Points,MAIN CONTENT,Colorful List - Accent 11,List Paragraph11"/>
    <w:basedOn w:val="Normal"/>
    <w:link w:val="ListParagraphChar"/>
    <w:uiPriority w:val="34"/>
    <w:qFormat/>
    <w:rsid w:val="00640969"/>
    <w:pPr>
      <w:ind w:left="720"/>
      <w:contextualSpacing/>
    </w:pPr>
  </w:style>
  <w:style w:type="character" w:styleId="Hyperlink">
    <w:name w:val="Hyperlink"/>
    <w:basedOn w:val="DefaultParagraphFont"/>
    <w:rsid w:val="00640969"/>
    <w:rPr>
      <w:color w:val="0000FF" w:themeColor="hyperlink"/>
      <w:u w:val="single"/>
    </w:rPr>
  </w:style>
  <w:style w:type="numbering" w:customStyle="1" w:styleId="Style1">
    <w:name w:val="Style1"/>
    <w:uiPriority w:val="99"/>
    <w:rsid w:val="00640969"/>
    <w:pPr>
      <w:numPr>
        <w:numId w:val="1"/>
      </w:numPr>
    </w:pPr>
  </w:style>
  <w:style w:type="character" w:customStyle="1" w:styleId="ListParagraphChar">
    <w:name w:val="List Paragraph Char"/>
    <w:aliases w:val="List Paragraph2 Char,Normal numbered Char,OBC Bullet Char,Dot pt Char,F5 List Paragraph Char,List Paragraph1 Char,No Spacing1 Char,List Paragraph Char Char Char Char,Indicator Text Char,Numbered Para 1 Char,Bullet 1 Char"/>
    <w:basedOn w:val="DefaultParagraphFont"/>
    <w:link w:val="ListParagraph"/>
    <w:uiPriority w:val="34"/>
    <w:qFormat/>
    <w:locked/>
    <w:rsid w:val="00640969"/>
    <w:rPr>
      <w:rFonts w:ascii="Arial" w:hAnsi="Arial"/>
      <w:sz w:val="24"/>
      <w:szCs w:val="24"/>
      <w:lang w:eastAsia="en-US"/>
    </w:rPr>
  </w:style>
  <w:style w:type="character" w:styleId="FollowedHyperlink">
    <w:name w:val="FollowedHyperlink"/>
    <w:basedOn w:val="DefaultParagraphFont"/>
    <w:rsid w:val="00640969"/>
    <w:rPr>
      <w:color w:val="800080" w:themeColor="followedHyperlink"/>
      <w:u w:val="single"/>
    </w:rPr>
  </w:style>
  <w:style w:type="character" w:customStyle="1" w:styleId="Heading5Char">
    <w:name w:val="Heading 5 Char"/>
    <w:basedOn w:val="DefaultParagraphFont"/>
    <w:link w:val="Heading5"/>
    <w:semiHidden/>
    <w:rsid w:val="00640969"/>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640969"/>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64096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64096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640969"/>
    <w:rPr>
      <w:rFonts w:asciiTheme="majorHAnsi" w:eastAsiaTheme="majorEastAsia" w:hAnsiTheme="majorHAnsi" w:cstheme="majorBidi"/>
      <w:i/>
      <w:iCs/>
      <w:color w:val="404040" w:themeColor="text1" w:themeTint="BF"/>
      <w:lang w:eastAsia="en-US"/>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tex,WBR,ft,footnote text,ALTS FOOTNOTE"/>
    <w:basedOn w:val="Normal"/>
    <w:link w:val="FootnoteTextChar"/>
    <w:uiPriority w:val="99"/>
    <w:rsid w:val="00D4348E"/>
    <w:rPr>
      <w:sz w:val="20"/>
      <w:szCs w:val="20"/>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tex Char,WBR Char,ft Char"/>
    <w:basedOn w:val="DefaultParagraphFont"/>
    <w:link w:val="FootnoteText"/>
    <w:uiPriority w:val="99"/>
    <w:rsid w:val="00D4348E"/>
    <w:rPr>
      <w:rFonts w:ascii="Arial" w:hAnsi="Arial"/>
      <w:lang w:eastAsia="en-US"/>
    </w:rPr>
  </w:style>
  <w:style w:type="character" w:styleId="FootnoteReference">
    <w:name w:val="footnote reference"/>
    <w:aliases w:val="ftref,16 Point,Superscript 6 Point,Char Char Char Char Car Char,EN Footnote Reference,number,SUPERS,-E Fußnotenzeichen"/>
    <w:basedOn w:val="DefaultParagraphFont"/>
    <w:uiPriority w:val="99"/>
    <w:rsid w:val="00D4348E"/>
    <w:rPr>
      <w:vertAlign w:val="superscript"/>
    </w:rPr>
  </w:style>
  <w:style w:type="character" w:styleId="CommentReference">
    <w:name w:val="annotation reference"/>
    <w:basedOn w:val="DefaultParagraphFont"/>
    <w:rsid w:val="00D4348E"/>
    <w:rPr>
      <w:sz w:val="16"/>
      <w:szCs w:val="16"/>
    </w:rPr>
  </w:style>
  <w:style w:type="paragraph" w:styleId="CommentText">
    <w:name w:val="annotation text"/>
    <w:basedOn w:val="Normal"/>
    <w:link w:val="CommentTextChar"/>
    <w:rsid w:val="00D4348E"/>
    <w:rPr>
      <w:sz w:val="20"/>
      <w:szCs w:val="20"/>
    </w:rPr>
  </w:style>
  <w:style w:type="character" w:customStyle="1" w:styleId="CommentTextChar">
    <w:name w:val="Comment Text Char"/>
    <w:basedOn w:val="DefaultParagraphFont"/>
    <w:link w:val="CommentText"/>
    <w:rsid w:val="00D4348E"/>
    <w:rPr>
      <w:rFonts w:ascii="Arial" w:hAnsi="Arial"/>
      <w:lang w:eastAsia="en-US"/>
    </w:rPr>
  </w:style>
  <w:style w:type="paragraph" w:styleId="BalloonText">
    <w:name w:val="Balloon Text"/>
    <w:basedOn w:val="Normal"/>
    <w:link w:val="BalloonTextChar"/>
    <w:rsid w:val="00D4348E"/>
    <w:rPr>
      <w:rFonts w:ascii="Tahoma" w:hAnsi="Tahoma" w:cs="Tahoma"/>
      <w:sz w:val="16"/>
      <w:szCs w:val="16"/>
    </w:rPr>
  </w:style>
  <w:style w:type="character" w:customStyle="1" w:styleId="BalloonTextChar">
    <w:name w:val="Balloon Text Char"/>
    <w:basedOn w:val="DefaultParagraphFont"/>
    <w:link w:val="BalloonText"/>
    <w:rsid w:val="00D4348E"/>
    <w:rPr>
      <w:rFonts w:ascii="Tahoma" w:hAnsi="Tahoma" w:cs="Tahoma"/>
      <w:sz w:val="16"/>
      <w:szCs w:val="16"/>
      <w:lang w:eastAsia="en-US"/>
    </w:rPr>
  </w:style>
  <w:style w:type="character" w:customStyle="1" w:styleId="Num-DocParagraphChar">
    <w:name w:val="Num-Doc Paragraph Char"/>
    <w:basedOn w:val="DefaultParagraphFont"/>
    <w:link w:val="Num-DocParagraph"/>
    <w:locked/>
    <w:rsid w:val="00F450D7"/>
    <w:rPr>
      <w:lang w:eastAsia="zh-CN"/>
    </w:rPr>
  </w:style>
  <w:style w:type="paragraph" w:customStyle="1" w:styleId="Num-DocParagraph">
    <w:name w:val="Num-Doc Paragraph"/>
    <w:basedOn w:val="Normal"/>
    <w:link w:val="Num-DocParagraphChar"/>
    <w:rsid w:val="00F450D7"/>
    <w:pPr>
      <w:spacing w:after="240"/>
      <w:jc w:val="both"/>
    </w:pPr>
    <w:rPr>
      <w:rFonts w:ascii="Times New Roman" w:hAnsi="Times New Roman"/>
      <w:sz w:val="20"/>
      <w:szCs w:val="20"/>
      <w:lang w:eastAsia="zh-CN"/>
    </w:rPr>
  </w:style>
  <w:style w:type="paragraph" w:styleId="CommentSubject">
    <w:name w:val="annotation subject"/>
    <w:basedOn w:val="CommentText"/>
    <w:next w:val="CommentText"/>
    <w:link w:val="CommentSubjectChar"/>
    <w:rsid w:val="000C3D53"/>
    <w:rPr>
      <w:b/>
      <w:bCs/>
    </w:rPr>
  </w:style>
  <w:style w:type="character" w:customStyle="1" w:styleId="CommentSubjectChar">
    <w:name w:val="Comment Subject Char"/>
    <w:basedOn w:val="CommentTextChar"/>
    <w:link w:val="CommentSubject"/>
    <w:rsid w:val="000C3D53"/>
    <w:rPr>
      <w:rFonts w:ascii="Arial" w:hAnsi="Arial"/>
      <w:b/>
      <w:bCs/>
      <w:lang w:eastAsia="en-US"/>
    </w:rPr>
  </w:style>
  <w:style w:type="paragraph" w:customStyle="1" w:styleId="Default">
    <w:name w:val="Default"/>
    <w:rsid w:val="00DE5780"/>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DE5780"/>
    <w:pPr>
      <w:tabs>
        <w:tab w:val="center" w:pos="4513"/>
        <w:tab w:val="right" w:pos="9026"/>
      </w:tabs>
    </w:pPr>
  </w:style>
  <w:style w:type="character" w:customStyle="1" w:styleId="HeaderChar">
    <w:name w:val="Header Char"/>
    <w:basedOn w:val="DefaultParagraphFont"/>
    <w:link w:val="Header"/>
    <w:rsid w:val="00DE5780"/>
    <w:rPr>
      <w:rFonts w:ascii="Arial" w:hAnsi="Arial"/>
      <w:sz w:val="24"/>
      <w:szCs w:val="24"/>
      <w:lang w:eastAsia="en-US"/>
    </w:rPr>
  </w:style>
  <w:style w:type="paragraph" w:styleId="Footer">
    <w:name w:val="footer"/>
    <w:basedOn w:val="Normal"/>
    <w:link w:val="FooterChar"/>
    <w:uiPriority w:val="99"/>
    <w:rsid w:val="00DE5780"/>
    <w:pPr>
      <w:tabs>
        <w:tab w:val="center" w:pos="4513"/>
        <w:tab w:val="right" w:pos="9026"/>
      </w:tabs>
    </w:pPr>
  </w:style>
  <w:style w:type="character" w:customStyle="1" w:styleId="FooterChar">
    <w:name w:val="Footer Char"/>
    <w:basedOn w:val="DefaultParagraphFont"/>
    <w:link w:val="Footer"/>
    <w:uiPriority w:val="99"/>
    <w:rsid w:val="00DE5780"/>
    <w:rPr>
      <w:rFonts w:ascii="Arial" w:hAnsi="Arial"/>
      <w:sz w:val="24"/>
      <w:szCs w:val="24"/>
      <w:lang w:eastAsia="en-US"/>
    </w:rPr>
  </w:style>
  <w:style w:type="paragraph" w:styleId="Revision">
    <w:name w:val="Revision"/>
    <w:hidden/>
    <w:uiPriority w:val="99"/>
    <w:semiHidden/>
    <w:rsid w:val="00DE5780"/>
    <w:rPr>
      <w:rFonts w:ascii="Arial" w:hAnsi="Arial"/>
      <w:sz w:val="24"/>
      <w:szCs w:val="24"/>
      <w:lang w:eastAsia="en-US"/>
    </w:rPr>
  </w:style>
  <w:style w:type="table" w:styleId="TableGrid">
    <w:name w:val="Table Grid"/>
    <w:basedOn w:val="TableNormal"/>
    <w:rsid w:val="00C7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numPr>
        <w:numId w:val="4"/>
      </w:numPr>
      <w:spacing w:before="240" w:after="60"/>
      <w:outlineLvl w:val="0"/>
    </w:pPr>
    <w:rPr>
      <w:b/>
      <w:kern w:val="32"/>
      <w:sz w:val="32"/>
      <w:szCs w:val="32"/>
    </w:rPr>
  </w:style>
  <w:style w:type="paragraph" w:styleId="Heading2">
    <w:name w:val="heading 2"/>
    <w:basedOn w:val="Normal"/>
    <w:next w:val="Normal"/>
    <w:link w:val="Heading2Char"/>
    <w:qFormat/>
    <w:rsid w:val="00B01C5D"/>
    <w:pPr>
      <w:numPr>
        <w:ilvl w:val="1"/>
        <w:numId w:val="4"/>
      </w:numPr>
      <w:spacing w:before="240"/>
      <w:outlineLvl w:val="1"/>
    </w:pPr>
    <w:rPr>
      <w:b/>
      <w:i/>
      <w:kern w:val="28"/>
      <w:sz w:val="28"/>
      <w:szCs w:val="28"/>
    </w:rPr>
  </w:style>
  <w:style w:type="paragraph" w:styleId="Heading3">
    <w:name w:val="heading 3"/>
    <w:basedOn w:val="Normal"/>
    <w:next w:val="Normal"/>
    <w:link w:val="Heading3Char"/>
    <w:qFormat/>
    <w:rsid w:val="00B01C5D"/>
    <w:pPr>
      <w:numPr>
        <w:ilvl w:val="2"/>
        <w:numId w:val="4"/>
      </w:numPr>
      <w:spacing w:before="240" w:after="60"/>
      <w:outlineLvl w:val="2"/>
    </w:pPr>
    <w:rPr>
      <w:b/>
      <w:sz w:val="26"/>
    </w:rPr>
  </w:style>
  <w:style w:type="paragraph" w:styleId="Heading4">
    <w:name w:val="heading 4"/>
    <w:basedOn w:val="Normal"/>
    <w:next w:val="Normal"/>
    <w:link w:val="Heading4Char"/>
    <w:qFormat/>
    <w:rsid w:val="00B01C5D"/>
    <w:pPr>
      <w:numPr>
        <w:ilvl w:val="3"/>
        <w:numId w:val="4"/>
      </w:numPr>
      <w:spacing w:before="240" w:after="60"/>
      <w:outlineLvl w:val="3"/>
    </w:pPr>
    <w:rPr>
      <w:b/>
    </w:rPr>
  </w:style>
  <w:style w:type="paragraph" w:styleId="Heading5">
    <w:name w:val="heading 5"/>
    <w:basedOn w:val="Normal"/>
    <w:next w:val="Normal"/>
    <w:link w:val="Heading5Char"/>
    <w:semiHidden/>
    <w:unhideWhenUsed/>
    <w:qFormat/>
    <w:rsid w:val="0064096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4096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4096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4096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4096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aliases w:val="List Paragraph2,Normal numbered,OBC Bullet,Dot pt,F5 List Paragraph,List Paragraph1,No Spacing1,List Paragraph Char Char Char,Indicator Text,Numbered Para 1,Bullet 1,Bullet Points,MAIN CONTENT,Colorful List - Accent 11,List Paragraph11"/>
    <w:basedOn w:val="Normal"/>
    <w:link w:val="ListParagraphChar"/>
    <w:uiPriority w:val="34"/>
    <w:qFormat/>
    <w:rsid w:val="00640969"/>
    <w:pPr>
      <w:ind w:left="720"/>
      <w:contextualSpacing/>
    </w:pPr>
  </w:style>
  <w:style w:type="character" w:styleId="Hyperlink">
    <w:name w:val="Hyperlink"/>
    <w:basedOn w:val="DefaultParagraphFont"/>
    <w:rsid w:val="00640969"/>
    <w:rPr>
      <w:color w:val="0000FF" w:themeColor="hyperlink"/>
      <w:u w:val="single"/>
    </w:rPr>
  </w:style>
  <w:style w:type="numbering" w:customStyle="1" w:styleId="Style1">
    <w:name w:val="Style1"/>
    <w:uiPriority w:val="99"/>
    <w:rsid w:val="00640969"/>
    <w:pPr>
      <w:numPr>
        <w:numId w:val="1"/>
      </w:numPr>
    </w:pPr>
  </w:style>
  <w:style w:type="character" w:customStyle="1" w:styleId="ListParagraphChar">
    <w:name w:val="List Paragraph Char"/>
    <w:aliases w:val="List Paragraph2 Char,Normal numbered Char,OBC Bullet Char,Dot pt Char,F5 List Paragraph Char,List Paragraph1 Char,No Spacing1 Char,List Paragraph Char Char Char Char,Indicator Text Char,Numbered Para 1 Char,Bullet 1 Char"/>
    <w:basedOn w:val="DefaultParagraphFont"/>
    <w:link w:val="ListParagraph"/>
    <w:uiPriority w:val="34"/>
    <w:qFormat/>
    <w:locked/>
    <w:rsid w:val="00640969"/>
    <w:rPr>
      <w:rFonts w:ascii="Arial" w:hAnsi="Arial"/>
      <w:sz w:val="24"/>
      <w:szCs w:val="24"/>
      <w:lang w:eastAsia="en-US"/>
    </w:rPr>
  </w:style>
  <w:style w:type="character" w:styleId="FollowedHyperlink">
    <w:name w:val="FollowedHyperlink"/>
    <w:basedOn w:val="DefaultParagraphFont"/>
    <w:rsid w:val="00640969"/>
    <w:rPr>
      <w:color w:val="800080" w:themeColor="followedHyperlink"/>
      <w:u w:val="single"/>
    </w:rPr>
  </w:style>
  <w:style w:type="character" w:customStyle="1" w:styleId="Heading5Char">
    <w:name w:val="Heading 5 Char"/>
    <w:basedOn w:val="DefaultParagraphFont"/>
    <w:link w:val="Heading5"/>
    <w:semiHidden/>
    <w:rsid w:val="00640969"/>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640969"/>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64096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64096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640969"/>
    <w:rPr>
      <w:rFonts w:asciiTheme="majorHAnsi" w:eastAsiaTheme="majorEastAsia" w:hAnsiTheme="majorHAnsi" w:cstheme="majorBidi"/>
      <w:i/>
      <w:iCs/>
      <w:color w:val="404040" w:themeColor="text1" w:themeTint="BF"/>
      <w:lang w:eastAsia="en-US"/>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tex,WBR,ft,footnote text,ALTS FOOTNOTE"/>
    <w:basedOn w:val="Normal"/>
    <w:link w:val="FootnoteTextChar"/>
    <w:uiPriority w:val="99"/>
    <w:rsid w:val="00D4348E"/>
    <w:rPr>
      <w:sz w:val="20"/>
      <w:szCs w:val="20"/>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tex Char,WBR Char,ft Char"/>
    <w:basedOn w:val="DefaultParagraphFont"/>
    <w:link w:val="FootnoteText"/>
    <w:uiPriority w:val="99"/>
    <w:rsid w:val="00D4348E"/>
    <w:rPr>
      <w:rFonts w:ascii="Arial" w:hAnsi="Arial"/>
      <w:lang w:eastAsia="en-US"/>
    </w:rPr>
  </w:style>
  <w:style w:type="character" w:styleId="FootnoteReference">
    <w:name w:val="footnote reference"/>
    <w:aliases w:val="ftref,16 Point,Superscript 6 Point,Char Char Char Char Car Char,EN Footnote Reference,number,SUPERS,-E Fußnotenzeichen"/>
    <w:basedOn w:val="DefaultParagraphFont"/>
    <w:uiPriority w:val="99"/>
    <w:rsid w:val="00D4348E"/>
    <w:rPr>
      <w:vertAlign w:val="superscript"/>
    </w:rPr>
  </w:style>
  <w:style w:type="character" w:styleId="CommentReference">
    <w:name w:val="annotation reference"/>
    <w:basedOn w:val="DefaultParagraphFont"/>
    <w:rsid w:val="00D4348E"/>
    <w:rPr>
      <w:sz w:val="16"/>
      <w:szCs w:val="16"/>
    </w:rPr>
  </w:style>
  <w:style w:type="paragraph" w:styleId="CommentText">
    <w:name w:val="annotation text"/>
    <w:basedOn w:val="Normal"/>
    <w:link w:val="CommentTextChar"/>
    <w:rsid w:val="00D4348E"/>
    <w:rPr>
      <w:sz w:val="20"/>
      <w:szCs w:val="20"/>
    </w:rPr>
  </w:style>
  <w:style w:type="character" w:customStyle="1" w:styleId="CommentTextChar">
    <w:name w:val="Comment Text Char"/>
    <w:basedOn w:val="DefaultParagraphFont"/>
    <w:link w:val="CommentText"/>
    <w:rsid w:val="00D4348E"/>
    <w:rPr>
      <w:rFonts w:ascii="Arial" w:hAnsi="Arial"/>
      <w:lang w:eastAsia="en-US"/>
    </w:rPr>
  </w:style>
  <w:style w:type="paragraph" w:styleId="BalloonText">
    <w:name w:val="Balloon Text"/>
    <w:basedOn w:val="Normal"/>
    <w:link w:val="BalloonTextChar"/>
    <w:rsid w:val="00D4348E"/>
    <w:rPr>
      <w:rFonts w:ascii="Tahoma" w:hAnsi="Tahoma" w:cs="Tahoma"/>
      <w:sz w:val="16"/>
      <w:szCs w:val="16"/>
    </w:rPr>
  </w:style>
  <w:style w:type="character" w:customStyle="1" w:styleId="BalloonTextChar">
    <w:name w:val="Balloon Text Char"/>
    <w:basedOn w:val="DefaultParagraphFont"/>
    <w:link w:val="BalloonText"/>
    <w:rsid w:val="00D4348E"/>
    <w:rPr>
      <w:rFonts w:ascii="Tahoma" w:hAnsi="Tahoma" w:cs="Tahoma"/>
      <w:sz w:val="16"/>
      <w:szCs w:val="16"/>
      <w:lang w:eastAsia="en-US"/>
    </w:rPr>
  </w:style>
  <w:style w:type="character" w:customStyle="1" w:styleId="Num-DocParagraphChar">
    <w:name w:val="Num-Doc Paragraph Char"/>
    <w:basedOn w:val="DefaultParagraphFont"/>
    <w:link w:val="Num-DocParagraph"/>
    <w:locked/>
    <w:rsid w:val="00F450D7"/>
    <w:rPr>
      <w:lang w:eastAsia="zh-CN"/>
    </w:rPr>
  </w:style>
  <w:style w:type="paragraph" w:customStyle="1" w:styleId="Num-DocParagraph">
    <w:name w:val="Num-Doc Paragraph"/>
    <w:basedOn w:val="Normal"/>
    <w:link w:val="Num-DocParagraphChar"/>
    <w:rsid w:val="00F450D7"/>
    <w:pPr>
      <w:spacing w:after="240"/>
      <w:jc w:val="both"/>
    </w:pPr>
    <w:rPr>
      <w:rFonts w:ascii="Times New Roman" w:hAnsi="Times New Roman"/>
      <w:sz w:val="20"/>
      <w:szCs w:val="20"/>
      <w:lang w:eastAsia="zh-CN"/>
    </w:rPr>
  </w:style>
  <w:style w:type="paragraph" w:styleId="CommentSubject">
    <w:name w:val="annotation subject"/>
    <w:basedOn w:val="CommentText"/>
    <w:next w:val="CommentText"/>
    <w:link w:val="CommentSubjectChar"/>
    <w:rsid w:val="000C3D53"/>
    <w:rPr>
      <w:b/>
      <w:bCs/>
    </w:rPr>
  </w:style>
  <w:style w:type="character" w:customStyle="1" w:styleId="CommentSubjectChar">
    <w:name w:val="Comment Subject Char"/>
    <w:basedOn w:val="CommentTextChar"/>
    <w:link w:val="CommentSubject"/>
    <w:rsid w:val="000C3D53"/>
    <w:rPr>
      <w:rFonts w:ascii="Arial" w:hAnsi="Arial"/>
      <w:b/>
      <w:bCs/>
      <w:lang w:eastAsia="en-US"/>
    </w:rPr>
  </w:style>
  <w:style w:type="paragraph" w:customStyle="1" w:styleId="Default">
    <w:name w:val="Default"/>
    <w:rsid w:val="00DE5780"/>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DE5780"/>
    <w:pPr>
      <w:tabs>
        <w:tab w:val="center" w:pos="4513"/>
        <w:tab w:val="right" w:pos="9026"/>
      </w:tabs>
    </w:pPr>
  </w:style>
  <w:style w:type="character" w:customStyle="1" w:styleId="HeaderChar">
    <w:name w:val="Header Char"/>
    <w:basedOn w:val="DefaultParagraphFont"/>
    <w:link w:val="Header"/>
    <w:rsid w:val="00DE5780"/>
    <w:rPr>
      <w:rFonts w:ascii="Arial" w:hAnsi="Arial"/>
      <w:sz w:val="24"/>
      <w:szCs w:val="24"/>
      <w:lang w:eastAsia="en-US"/>
    </w:rPr>
  </w:style>
  <w:style w:type="paragraph" w:styleId="Footer">
    <w:name w:val="footer"/>
    <w:basedOn w:val="Normal"/>
    <w:link w:val="FooterChar"/>
    <w:uiPriority w:val="99"/>
    <w:rsid w:val="00DE5780"/>
    <w:pPr>
      <w:tabs>
        <w:tab w:val="center" w:pos="4513"/>
        <w:tab w:val="right" w:pos="9026"/>
      </w:tabs>
    </w:pPr>
  </w:style>
  <w:style w:type="character" w:customStyle="1" w:styleId="FooterChar">
    <w:name w:val="Footer Char"/>
    <w:basedOn w:val="DefaultParagraphFont"/>
    <w:link w:val="Footer"/>
    <w:uiPriority w:val="99"/>
    <w:rsid w:val="00DE5780"/>
    <w:rPr>
      <w:rFonts w:ascii="Arial" w:hAnsi="Arial"/>
      <w:sz w:val="24"/>
      <w:szCs w:val="24"/>
      <w:lang w:eastAsia="en-US"/>
    </w:rPr>
  </w:style>
  <w:style w:type="paragraph" w:styleId="Revision">
    <w:name w:val="Revision"/>
    <w:hidden/>
    <w:uiPriority w:val="99"/>
    <w:semiHidden/>
    <w:rsid w:val="00DE5780"/>
    <w:rPr>
      <w:rFonts w:ascii="Arial" w:hAnsi="Arial"/>
      <w:sz w:val="24"/>
      <w:szCs w:val="24"/>
      <w:lang w:eastAsia="en-US"/>
    </w:rPr>
  </w:style>
  <w:style w:type="table" w:styleId="TableGrid">
    <w:name w:val="Table Grid"/>
    <w:basedOn w:val="TableNormal"/>
    <w:rsid w:val="00C7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454">
      <w:bodyDiv w:val="1"/>
      <w:marLeft w:val="0"/>
      <w:marRight w:val="0"/>
      <w:marTop w:val="0"/>
      <w:marBottom w:val="0"/>
      <w:divBdr>
        <w:top w:val="none" w:sz="0" w:space="0" w:color="auto"/>
        <w:left w:val="none" w:sz="0" w:space="0" w:color="auto"/>
        <w:bottom w:val="none" w:sz="0" w:space="0" w:color="auto"/>
        <w:right w:val="none" w:sz="0" w:space="0" w:color="auto"/>
      </w:divBdr>
    </w:div>
    <w:div w:id="237636904">
      <w:bodyDiv w:val="1"/>
      <w:marLeft w:val="0"/>
      <w:marRight w:val="0"/>
      <w:marTop w:val="0"/>
      <w:marBottom w:val="0"/>
      <w:divBdr>
        <w:top w:val="none" w:sz="0" w:space="0" w:color="auto"/>
        <w:left w:val="none" w:sz="0" w:space="0" w:color="auto"/>
        <w:bottom w:val="none" w:sz="0" w:space="0" w:color="auto"/>
        <w:right w:val="none" w:sz="0" w:space="0" w:color="auto"/>
      </w:divBdr>
    </w:div>
    <w:div w:id="272134540">
      <w:bodyDiv w:val="1"/>
      <w:marLeft w:val="0"/>
      <w:marRight w:val="0"/>
      <w:marTop w:val="0"/>
      <w:marBottom w:val="0"/>
      <w:divBdr>
        <w:top w:val="none" w:sz="0" w:space="0" w:color="auto"/>
        <w:left w:val="none" w:sz="0" w:space="0" w:color="auto"/>
        <w:bottom w:val="none" w:sz="0" w:space="0" w:color="auto"/>
        <w:right w:val="none" w:sz="0" w:space="0" w:color="auto"/>
      </w:divBdr>
      <w:divsChild>
        <w:div w:id="524944765">
          <w:marLeft w:val="0"/>
          <w:marRight w:val="0"/>
          <w:marTop w:val="0"/>
          <w:marBottom w:val="0"/>
          <w:divBdr>
            <w:top w:val="none" w:sz="0" w:space="0" w:color="auto"/>
            <w:left w:val="none" w:sz="0" w:space="0" w:color="auto"/>
            <w:bottom w:val="none" w:sz="0" w:space="0" w:color="auto"/>
            <w:right w:val="none" w:sz="0" w:space="0" w:color="auto"/>
          </w:divBdr>
          <w:divsChild>
            <w:div w:id="1309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4073">
      <w:bodyDiv w:val="1"/>
      <w:marLeft w:val="0"/>
      <w:marRight w:val="0"/>
      <w:marTop w:val="0"/>
      <w:marBottom w:val="0"/>
      <w:divBdr>
        <w:top w:val="none" w:sz="0" w:space="0" w:color="auto"/>
        <w:left w:val="none" w:sz="0" w:space="0" w:color="auto"/>
        <w:bottom w:val="none" w:sz="0" w:space="0" w:color="auto"/>
        <w:right w:val="none" w:sz="0" w:space="0" w:color="auto"/>
      </w:divBdr>
    </w:div>
    <w:div w:id="374502432">
      <w:bodyDiv w:val="1"/>
      <w:marLeft w:val="0"/>
      <w:marRight w:val="0"/>
      <w:marTop w:val="0"/>
      <w:marBottom w:val="0"/>
      <w:divBdr>
        <w:top w:val="none" w:sz="0" w:space="0" w:color="auto"/>
        <w:left w:val="none" w:sz="0" w:space="0" w:color="auto"/>
        <w:bottom w:val="none" w:sz="0" w:space="0" w:color="auto"/>
        <w:right w:val="none" w:sz="0" w:space="0" w:color="auto"/>
      </w:divBdr>
    </w:div>
    <w:div w:id="1005594857">
      <w:bodyDiv w:val="1"/>
      <w:marLeft w:val="0"/>
      <w:marRight w:val="0"/>
      <w:marTop w:val="0"/>
      <w:marBottom w:val="0"/>
      <w:divBdr>
        <w:top w:val="none" w:sz="0" w:space="0" w:color="auto"/>
        <w:left w:val="none" w:sz="0" w:space="0" w:color="auto"/>
        <w:bottom w:val="none" w:sz="0" w:space="0" w:color="auto"/>
        <w:right w:val="none" w:sz="0" w:space="0" w:color="auto"/>
      </w:divBdr>
    </w:div>
    <w:div w:id="1276794888">
      <w:bodyDiv w:val="1"/>
      <w:marLeft w:val="0"/>
      <w:marRight w:val="0"/>
      <w:marTop w:val="0"/>
      <w:marBottom w:val="0"/>
      <w:divBdr>
        <w:top w:val="none" w:sz="0" w:space="0" w:color="auto"/>
        <w:left w:val="none" w:sz="0" w:space="0" w:color="auto"/>
        <w:bottom w:val="none" w:sz="0" w:space="0" w:color="auto"/>
        <w:right w:val="none" w:sz="0" w:space="0" w:color="auto"/>
      </w:divBdr>
    </w:div>
    <w:div w:id="1277904422">
      <w:bodyDiv w:val="1"/>
      <w:marLeft w:val="0"/>
      <w:marRight w:val="0"/>
      <w:marTop w:val="0"/>
      <w:marBottom w:val="0"/>
      <w:divBdr>
        <w:top w:val="none" w:sz="0" w:space="0" w:color="auto"/>
        <w:left w:val="none" w:sz="0" w:space="0" w:color="auto"/>
        <w:bottom w:val="none" w:sz="0" w:space="0" w:color="auto"/>
        <w:right w:val="none" w:sz="0" w:space="0" w:color="auto"/>
      </w:divBdr>
    </w:div>
    <w:div w:id="1308709279">
      <w:bodyDiv w:val="1"/>
      <w:marLeft w:val="0"/>
      <w:marRight w:val="0"/>
      <w:marTop w:val="0"/>
      <w:marBottom w:val="0"/>
      <w:divBdr>
        <w:top w:val="none" w:sz="0" w:space="0" w:color="auto"/>
        <w:left w:val="none" w:sz="0" w:space="0" w:color="auto"/>
        <w:bottom w:val="none" w:sz="0" w:space="0" w:color="auto"/>
        <w:right w:val="none" w:sz="0" w:space="0" w:color="auto"/>
      </w:divBdr>
    </w:div>
    <w:div w:id="1542673723">
      <w:bodyDiv w:val="1"/>
      <w:marLeft w:val="0"/>
      <w:marRight w:val="0"/>
      <w:marTop w:val="0"/>
      <w:marBottom w:val="0"/>
      <w:divBdr>
        <w:top w:val="none" w:sz="0" w:space="0" w:color="auto"/>
        <w:left w:val="none" w:sz="0" w:space="0" w:color="auto"/>
        <w:bottom w:val="none" w:sz="0" w:space="0" w:color="auto"/>
        <w:right w:val="none" w:sz="0" w:space="0" w:color="auto"/>
      </w:divBdr>
      <w:divsChild>
        <w:div w:id="1318651720">
          <w:marLeft w:val="0"/>
          <w:marRight w:val="0"/>
          <w:marTop w:val="0"/>
          <w:marBottom w:val="0"/>
          <w:divBdr>
            <w:top w:val="none" w:sz="0" w:space="0" w:color="auto"/>
            <w:left w:val="none" w:sz="0" w:space="0" w:color="auto"/>
            <w:bottom w:val="none" w:sz="0" w:space="0" w:color="auto"/>
            <w:right w:val="none" w:sz="0" w:space="0" w:color="auto"/>
          </w:divBdr>
          <w:divsChild>
            <w:div w:id="19978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tistics@dfid.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tatistics@dfid.gov.uk" TargetMode="External"/><Relationship Id="rId17" Type="http://schemas.openxmlformats.org/officeDocument/2006/relationships/hyperlink" Target="mailto:statistics@dfi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organisations/department-for-international-development/about/statistic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OECD%20DAC%20HLM%20Communique.pdf" TargetMode="External"/><Relationship Id="rId3" Type="http://schemas.openxmlformats.org/officeDocument/2006/relationships/hyperlink" Target="http://www.oecd.org/dac/stats/analyses.htm" TargetMode="External"/><Relationship Id="rId7" Type="http://schemas.openxmlformats.org/officeDocument/2006/relationships/hyperlink" Target="http://www.oecd.org/dac/stats/documentupload/DCD-DAC(2013)15-FINAL-ENG.pdf" TargetMode="External"/><Relationship Id="rId2" Type="http://schemas.openxmlformats.org/officeDocument/2006/relationships/hyperlink" Target="https://www.gov.uk/government/organisations/department-for-international-development/about/statistics" TargetMode="External"/><Relationship Id="rId1" Type="http://schemas.openxmlformats.org/officeDocument/2006/relationships/hyperlink" Target="https://www.gov.uk/government/uploads/system/uploads/attachment_data/file/236279/short-quality-review-DFID-National-Statistics.pdf" TargetMode="External"/><Relationship Id="rId6" Type="http://schemas.openxmlformats.org/officeDocument/2006/relationships/hyperlink" Target="http://www.oecd.org/dac/stats/documentupload/Evolution%20of%20ODA.pdf" TargetMode="External"/><Relationship Id="rId5" Type="http://schemas.openxmlformats.org/officeDocument/2006/relationships/hyperlink" Target="http://www.cdcgroup.com/What-we-do/Our-Mission/" TargetMode="External"/><Relationship Id="rId10" Type="http://schemas.openxmlformats.org/officeDocument/2006/relationships/hyperlink" Target="http://www.cdcgroup.com/Documents/Transparency%20and%20reporting/CDC%20Investment%20Policy%202012_16.pdf" TargetMode="External"/><Relationship Id="rId4" Type="http://schemas.openxmlformats.org/officeDocument/2006/relationships/hyperlink" Target="http://www.oecd.org/dac/stats/documentupload/DCD-DAC(2013)15-FINAL-ENG.pdf" TargetMode="External"/><Relationship Id="rId9" Type="http://schemas.openxmlformats.org/officeDocument/2006/relationships/hyperlink" Target="http://www.cdc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2474-F3F8-4B9F-9D76-99A26C3B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4541</Words>
  <Characters>25887</Characters>
  <Application>Microsoft Office Word</Application>
  <DocSecurity>0</DocSecurity>
  <Lines>215</Lines>
  <Paragraphs>60</Paragraphs>
  <ScaleCrop>false</ScaleCrop>
  <LinksUpToDate>false</LinksUpToDate>
  <CharactersWithSpaces>30368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2014-12-19T12:50:00Z</dcterms:created>
  <dcterms:modified xsi:type="dcterms:W3CDTF">2014-12-19T12:50:00Z</dcterms:modified>
</cp:coreProperties>
</file>