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45" w:rsidRDefault="00983745" w:rsidP="00CD77EA">
      <w:pPr>
        <w:pStyle w:val="CoverSubTitle"/>
        <w:spacing w:after="0"/>
      </w:pPr>
    </w:p>
    <w:p w:rsidR="00435158" w:rsidRDefault="00654AB0" w:rsidP="00CD77EA">
      <w:pPr>
        <w:pStyle w:val="CoverSubTitle"/>
        <w:spacing w:after="0"/>
      </w:pPr>
      <w:r>
        <w:rPr>
          <w:noProof/>
          <w:lang w:eastAsia="en-GB"/>
        </w:rPr>
        <w:drawing>
          <wp:anchor distT="0" distB="0" distL="114300" distR="114300" simplePos="0" relativeHeight="251659264" behindDoc="0" locked="0" layoutInCell="0" allowOverlap="1" wp14:anchorId="55C35C5C" wp14:editId="45899FDF">
            <wp:simplePos x="0" y="0"/>
            <wp:positionH relativeFrom="page">
              <wp:posOffset>657225</wp:posOffset>
            </wp:positionH>
            <wp:positionV relativeFrom="page">
              <wp:posOffset>581025</wp:posOffset>
            </wp:positionV>
            <wp:extent cx="1638300" cy="1191895"/>
            <wp:effectExtent l="0" t="0" r="0" b="8255"/>
            <wp:wrapNone/>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pic:spPr>
                </pic:pic>
              </a:graphicData>
            </a:graphic>
            <wp14:sizeRelH relativeFrom="margin">
              <wp14:pctWidth>0</wp14:pctWidth>
            </wp14:sizeRelH>
            <wp14:sizeRelV relativeFrom="margin">
              <wp14:pctHeight>0</wp14:pctHeight>
            </wp14:sizeRelV>
          </wp:anchor>
        </w:drawing>
      </w:r>
    </w:p>
    <w:p w:rsidR="00435158" w:rsidRDefault="00654AB0" w:rsidP="00CD77EA">
      <w:pPr>
        <w:pStyle w:val="CoverSubTitle"/>
        <w:spacing w:after="0"/>
      </w:pPr>
      <w:r>
        <w:rPr>
          <w:noProof/>
          <w:lang w:eastAsia="en-GB"/>
        </w:rPr>
        <w:drawing>
          <wp:anchor distT="0" distB="0" distL="114300" distR="114300" simplePos="0" relativeHeight="251654144" behindDoc="0" locked="0" layoutInCell="1" allowOverlap="1" wp14:anchorId="390396EA" wp14:editId="2BDBA33F">
            <wp:simplePos x="0" y="0"/>
            <wp:positionH relativeFrom="column">
              <wp:posOffset>4610100</wp:posOffset>
            </wp:positionH>
            <wp:positionV relativeFrom="paragraph">
              <wp:posOffset>72390</wp:posOffset>
            </wp:positionV>
            <wp:extent cx="1485900" cy="1485900"/>
            <wp:effectExtent l="0" t="0" r="0" b="0"/>
            <wp:wrapNone/>
            <wp:docPr id="34" name="Picture 34" descr="Description: 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p>
    <w:p w:rsidR="00435158" w:rsidRDefault="00435158" w:rsidP="001A6F3D">
      <w:pPr>
        <w:pStyle w:val="BodyText"/>
      </w:pPr>
    </w:p>
    <w:p w:rsidR="00435158" w:rsidRDefault="00435158" w:rsidP="001A6F3D">
      <w:pPr>
        <w:pStyle w:val="BodyText"/>
      </w:pPr>
    </w:p>
    <w:p w:rsidR="00435158" w:rsidRDefault="00435158" w:rsidP="001A6F3D">
      <w:pPr>
        <w:pStyle w:val="BodyText"/>
      </w:pPr>
    </w:p>
    <w:p w:rsidR="005D3906" w:rsidRDefault="005D3906" w:rsidP="001A6F3D">
      <w:pPr>
        <w:pStyle w:val="BodyText"/>
      </w:pPr>
    </w:p>
    <w:p w:rsidR="001369EA" w:rsidRDefault="001369EA" w:rsidP="001A6F3D">
      <w:pPr>
        <w:pStyle w:val="BodyText"/>
      </w:pPr>
    </w:p>
    <w:p w:rsidR="001369EA" w:rsidRDefault="001369EA" w:rsidP="001A6F3D">
      <w:pPr>
        <w:pStyle w:val="BodyText"/>
      </w:pPr>
    </w:p>
    <w:p w:rsidR="005D3906" w:rsidRDefault="005D3906" w:rsidP="00CD77EA">
      <w:pPr>
        <w:spacing w:before="0"/>
      </w:pPr>
    </w:p>
    <w:p w:rsidR="005D3906" w:rsidRDefault="005D3906" w:rsidP="00CD77EA">
      <w:pPr>
        <w:spacing w:before="0"/>
      </w:pPr>
    </w:p>
    <w:p w:rsidR="00435158" w:rsidRDefault="00435158" w:rsidP="00CD77EA">
      <w:pPr>
        <w:spacing w:before="0"/>
      </w:pPr>
    </w:p>
    <w:p w:rsidR="005D3906" w:rsidRDefault="005D3906" w:rsidP="00CD77EA">
      <w:pPr>
        <w:spacing w:before="0"/>
      </w:pPr>
    </w:p>
    <w:p w:rsidR="005D3906" w:rsidRDefault="00654AB0" w:rsidP="00CD77EA">
      <w:pPr>
        <w:spacing w:before="0"/>
      </w:pPr>
      <w:r>
        <w:rPr>
          <w:noProof/>
          <w:lang w:eastAsia="en-GB"/>
        </w:rPr>
        <mc:AlternateContent>
          <mc:Choice Requires="wps">
            <w:drawing>
              <wp:anchor distT="0" distB="0" distL="114300" distR="114300" simplePos="0" relativeHeight="251653120" behindDoc="0" locked="0" layoutInCell="1" allowOverlap="1" wp14:anchorId="11964FE8" wp14:editId="44ECC0D0">
                <wp:simplePos x="0" y="0"/>
                <wp:positionH relativeFrom="column">
                  <wp:posOffset>-342900</wp:posOffset>
                </wp:positionH>
                <wp:positionV relativeFrom="paragraph">
                  <wp:posOffset>48895</wp:posOffset>
                </wp:positionV>
                <wp:extent cx="6983730" cy="6983730"/>
                <wp:effectExtent l="9525" t="10795" r="7620"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CA19DE" w:rsidRDefault="00CA19DE" w:rsidP="00EF55CC"/>
                          <w:p w:rsidR="00CA19DE" w:rsidRDefault="00CA19DE" w:rsidP="00DA248B">
                            <w:pPr>
                              <w:pStyle w:val="CoverDocumentTitle"/>
                              <w:ind w:left="454"/>
                            </w:pPr>
                            <w:r>
                              <w:t xml:space="preserve">Entertainment Licensing Statistics 2014    </w:t>
                            </w:r>
                          </w:p>
                          <w:p w:rsidR="00CA19DE" w:rsidRPr="0085754F" w:rsidRDefault="00CA19DE" w:rsidP="00DA248B">
                            <w:pPr>
                              <w:pStyle w:val="CoverSubTitle"/>
                              <w:ind w:left="454"/>
                              <w:rPr>
                                <w:rFonts w:cs="Arial"/>
                                <w:szCs w:val="36"/>
                              </w:rPr>
                            </w:pPr>
                            <w:r w:rsidRPr="0085754F">
                              <w:rPr>
                                <w:rFonts w:cs="Arial"/>
                                <w:szCs w:val="36"/>
                              </w:rPr>
                              <w:t>England and Wales</w:t>
                            </w:r>
                          </w:p>
                          <w:p w:rsidR="00CA19DE" w:rsidRPr="0085754F" w:rsidRDefault="00CA19DE" w:rsidP="00DA248B">
                            <w:pPr>
                              <w:pStyle w:val="CoverSubTitle"/>
                              <w:ind w:left="454"/>
                              <w:rPr>
                                <w:rFonts w:cs="Arial"/>
                                <w:szCs w:val="36"/>
                              </w:rPr>
                            </w:pPr>
                            <w:r w:rsidRPr="0085754F">
                              <w:rPr>
                                <w:rFonts w:cs="Arial"/>
                                <w:szCs w:val="36"/>
                              </w:rPr>
                              <w:t>Statistical Release</w:t>
                            </w:r>
                          </w:p>
                          <w:p w:rsidR="00CA19DE" w:rsidRDefault="00CA19DE" w:rsidP="00DA248B">
                            <w:pPr>
                              <w:pStyle w:val="CoverDate"/>
                              <w:ind w:left="454"/>
                            </w:pPr>
                            <w:r>
                              <w:t>December 2014</w:t>
                            </w:r>
                          </w:p>
                          <w:p w:rsidR="00CA19DE" w:rsidRDefault="00CA19DE" w:rsidP="00C95C8D">
                            <w:pPr>
                              <w:pStyle w:val="CoverDate"/>
                            </w:pPr>
                          </w:p>
                          <w:p w:rsidR="00CA19DE" w:rsidRDefault="00CA19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FJgIAAFI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bBEvxSYCAABSBAAADgAAAAAAAAAAAAAAAAAuAgAAZHJzL2Uy&#10;b0RvYy54bWxQSwECLQAUAAYACAAAACEATl9sGOEAAAALAQAADwAAAAAAAAAAAAAAAACABAAAZHJz&#10;L2Rvd25yZXYueG1sUEsFBgAAAAAEAAQA8wAAAI4FAAAAAA==&#10;">
                <v:textbox>
                  <w:txbxContent>
                    <w:p w:rsidR="00CA19DE" w:rsidRDefault="00CA19DE" w:rsidP="00EF55CC"/>
                    <w:p w:rsidR="00CA19DE" w:rsidRDefault="00CA19DE" w:rsidP="00DA248B">
                      <w:pPr>
                        <w:pStyle w:val="CoverDocumentTitle"/>
                        <w:ind w:left="454"/>
                      </w:pPr>
                      <w:r>
                        <w:t xml:space="preserve">Entertainment Licensing Statistics 2014    </w:t>
                      </w:r>
                    </w:p>
                    <w:p w:rsidR="00CA19DE" w:rsidRPr="0085754F" w:rsidRDefault="00CA19DE" w:rsidP="00DA248B">
                      <w:pPr>
                        <w:pStyle w:val="CoverSubTitle"/>
                        <w:ind w:left="454"/>
                        <w:rPr>
                          <w:rFonts w:cs="Arial"/>
                          <w:szCs w:val="36"/>
                        </w:rPr>
                      </w:pPr>
                      <w:r w:rsidRPr="0085754F">
                        <w:rPr>
                          <w:rFonts w:cs="Arial"/>
                          <w:szCs w:val="36"/>
                        </w:rPr>
                        <w:t>England and Wales</w:t>
                      </w:r>
                    </w:p>
                    <w:p w:rsidR="00CA19DE" w:rsidRPr="0085754F" w:rsidRDefault="00CA19DE" w:rsidP="00DA248B">
                      <w:pPr>
                        <w:pStyle w:val="CoverSubTitle"/>
                        <w:ind w:left="454"/>
                        <w:rPr>
                          <w:rFonts w:cs="Arial"/>
                          <w:szCs w:val="36"/>
                        </w:rPr>
                      </w:pPr>
                      <w:r w:rsidRPr="0085754F">
                        <w:rPr>
                          <w:rFonts w:cs="Arial"/>
                          <w:szCs w:val="36"/>
                        </w:rPr>
                        <w:t>Statistical Release</w:t>
                      </w:r>
                    </w:p>
                    <w:p w:rsidR="00CA19DE" w:rsidRDefault="00CA19DE" w:rsidP="00DA248B">
                      <w:pPr>
                        <w:pStyle w:val="CoverDate"/>
                        <w:ind w:left="454"/>
                      </w:pPr>
                      <w:r>
                        <w:t>December 2014</w:t>
                      </w:r>
                    </w:p>
                    <w:p w:rsidR="00CA19DE" w:rsidRDefault="00CA19DE" w:rsidP="00C95C8D">
                      <w:pPr>
                        <w:pStyle w:val="CoverDate"/>
                      </w:pPr>
                    </w:p>
                    <w:p w:rsidR="00CA19DE" w:rsidRDefault="00CA19DE"/>
                  </w:txbxContent>
                </v:textbox>
              </v:shape>
            </w:pict>
          </mc:Fallback>
        </mc:AlternateContent>
      </w:r>
    </w:p>
    <w:p w:rsidR="005D3906" w:rsidRDefault="005D3906" w:rsidP="00CD77EA">
      <w:pPr>
        <w:spacing w:before="0"/>
      </w:pPr>
    </w:p>
    <w:p w:rsidR="00FD27B8" w:rsidRDefault="00FD27B8"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5D3906" w:rsidRDefault="005D3906" w:rsidP="00CD77EA">
      <w:pPr>
        <w:spacing w:before="0"/>
      </w:pPr>
    </w:p>
    <w:p w:rsidR="00841BC2" w:rsidRDefault="00841BC2" w:rsidP="00CD77EA">
      <w:pPr>
        <w:spacing w:before="0"/>
      </w:pPr>
    </w:p>
    <w:p w:rsidR="00841BC2" w:rsidRDefault="00841BC2" w:rsidP="00CD77EA">
      <w:pPr>
        <w:spacing w:before="0"/>
      </w:pPr>
    </w:p>
    <w:p w:rsidR="00841BC2" w:rsidRDefault="00841BC2" w:rsidP="00CD77EA">
      <w:pPr>
        <w:spacing w:before="0"/>
      </w:pPr>
    </w:p>
    <w:p w:rsidR="00841BC2" w:rsidRDefault="00841BC2" w:rsidP="00CD77EA">
      <w:pPr>
        <w:spacing w:before="0"/>
      </w:pPr>
    </w:p>
    <w:p w:rsidR="00841BC2" w:rsidRDefault="00841BC2" w:rsidP="00CD77EA">
      <w:pPr>
        <w:spacing w:before="0"/>
      </w:pPr>
    </w:p>
    <w:p w:rsidR="00841BC2" w:rsidRDefault="00841BC2" w:rsidP="00CD77EA">
      <w:pPr>
        <w:spacing w:before="0"/>
      </w:pPr>
    </w:p>
    <w:p w:rsidR="00841BC2" w:rsidRDefault="00841BC2" w:rsidP="00CD77EA">
      <w:pPr>
        <w:spacing w:before="0"/>
        <w:sectPr w:rsidR="00841BC2" w:rsidSect="00801957">
          <w:headerReference w:type="even" r:id="rId11"/>
          <w:headerReference w:type="default" r:id="rId12"/>
          <w:type w:val="oddPage"/>
          <w:pgSz w:w="11906" w:h="16838" w:code="9"/>
          <w:pgMar w:top="794" w:right="1021" w:bottom="1134" w:left="1021" w:header="709" w:footer="709" w:gutter="0"/>
          <w:cols w:space="708"/>
          <w:titlePg/>
          <w:docGrid w:linePitch="360"/>
        </w:sectPr>
      </w:pPr>
    </w:p>
    <w:p w:rsidR="00821714" w:rsidRDefault="00821714" w:rsidP="00CD77EA">
      <w:pPr>
        <w:spacing w:before="0"/>
      </w:pPr>
    </w:p>
    <w:p w:rsidR="00841BC2" w:rsidRDefault="00654AB0" w:rsidP="00CD77EA">
      <w:pPr>
        <w:spacing w:before="0"/>
      </w:pPr>
      <w:r>
        <w:rPr>
          <w:noProof/>
          <w:lang w:eastAsia="en-GB"/>
        </w:rPr>
        <mc:AlternateContent>
          <mc:Choice Requires="wps">
            <w:drawing>
              <wp:anchor distT="0" distB="0" distL="114300" distR="114300" simplePos="0" relativeHeight="251656192" behindDoc="0" locked="0" layoutInCell="1" allowOverlap="1" wp14:anchorId="37154DDC" wp14:editId="29D61DCC">
                <wp:simplePos x="0" y="0"/>
                <wp:positionH relativeFrom="column">
                  <wp:posOffset>-83185</wp:posOffset>
                </wp:positionH>
                <wp:positionV relativeFrom="paragraph">
                  <wp:posOffset>100965</wp:posOffset>
                </wp:positionV>
                <wp:extent cx="6429375" cy="800735"/>
                <wp:effectExtent l="12065" t="5715" r="698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00735"/>
                        </a:xfrm>
                        <a:prstGeom prst="rect">
                          <a:avLst/>
                        </a:prstGeom>
                        <a:solidFill>
                          <a:srgbClr val="FFFFFF"/>
                        </a:solidFill>
                        <a:ln w="9525">
                          <a:solidFill>
                            <a:srgbClr val="000000"/>
                          </a:solidFill>
                          <a:miter lim="800000"/>
                          <a:headEnd/>
                          <a:tailEnd/>
                        </a:ln>
                      </wps:spPr>
                      <wps:txbx>
                        <w:txbxContent>
                          <w:p w:rsidR="00CA19DE" w:rsidRDefault="00CA19DE" w:rsidP="007D62A9">
                            <w:pPr>
                              <w:pStyle w:val="Default"/>
                              <w:rPr>
                                <w:sz w:val="19"/>
                                <w:szCs w:val="19"/>
                              </w:rPr>
                            </w:pPr>
                            <w:r>
                              <w:rPr>
                                <w:iCs/>
                                <w:sz w:val="19"/>
                                <w:szCs w:val="19"/>
                              </w:rPr>
                              <w:t xml:space="preserve">Prior to 2012, </w:t>
                            </w:r>
                            <w:r>
                              <w:rPr>
                                <w:i/>
                                <w:iCs/>
                                <w:sz w:val="19"/>
                                <w:szCs w:val="19"/>
                              </w:rPr>
                              <w:t xml:space="preserve">Alcohol, entertainment and late night refreshment licensing statistics </w:t>
                            </w:r>
                            <w:r>
                              <w:rPr>
                                <w:sz w:val="19"/>
                                <w:szCs w:val="19"/>
                              </w:rPr>
                              <w:t>were produced by DCMS and designated as National Statistics under subsection 12(8) of the Statistics and Registration Service Act 2007. These entertainment licensing statistics (a subset of the previous statistics) have been produced and published by DCMS as a result of a machinery of government change. They have been produced to the same standard, and continue to be designated as National Statistics.</w:t>
                            </w:r>
                          </w:p>
                          <w:p w:rsidR="00CA19DE" w:rsidRDefault="00CA19DE" w:rsidP="007D62A9">
                            <w:pPr>
                              <w:pStyle w:val="Default"/>
                              <w:rPr>
                                <w:sz w:val="19"/>
                                <w:szCs w:val="19"/>
                              </w:rPr>
                            </w:pPr>
                          </w:p>
                          <w:p w:rsidR="00CA19DE" w:rsidRPr="00A93622" w:rsidRDefault="00CA19DE" w:rsidP="007D62A9">
                            <w:pPr>
                              <w:pStyle w:val="Default"/>
                              <w:rPr>
                                <w:i/>
                                <w:sz w:val="36"/>
                                <w:szCs w:val="36"/>
                              </w:rPr>
                            </w:pPr>
                          </w:p>
                          <w:p w:rsidR="00CA19DE" w:rsidRDefault="00CA19DE" w:rsidP="007D62A9">
                            <w:pPr>
                              <w:pStyle w:val="Default"/>
                            </w:pPr>
                          </w:p>
                          <w:p w:rsidR="00CA19DE" w:rsidRDefault="00CA19DE" w:rsidP="00821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55pt;margin-top:7.95pt;width:506.25pt;height:6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5LA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">
                <v:textbox>
                  <w:txbxContent>
                    <w:p w:rsidR="00CA19DE" w:rsidRDefault="00CA19DE" w:rsidP="007D62A9">
                      <w:pPr>
                        <w:pStyle w:val="Default"/>
                        <w:rPr>
                          <w:sz w:val="19"/>
                          <w:szCs w:val="19"/>
                        </w:rPr>
                      </w:pPr>
                      <w:r>
                        <w:rPr>
                          <w:iCs/>
                          <w:sz w:val="19"/>
                          <w:szCs w:val="19"/>
                        </w:rPr>
                        <w:t xml:space="preserve">Prior to 2012, </w:t>
                      </w:r>
                      <w:r>
                        <w:rPr>
                          <w:i/>
                          <w:iCs/>
                          <w:sz w:val="19"/>
                          <w:szCs w:val="19"/>
                        </w:rPr>
                        <w:t xml:space="preserve">Alcohol, entertainment and late night refreshment licensing statistics </w:t>
                      </w:r>
                      <w:r>
                        <w:rPr>
                          <w:sz w:val="19"/>
                          <w:szCs w:val="19"/>
                        </w:rPr>
                        <w:t>were produced by DCMS and designated as National Statistics under subsection 12(8) of the Statistics and Registration Service Act 2007. These entertainment licensing statistics (a subset of the previous statistics) have been produced and published by DCMS as a result of a machinery of government change. They have been produced to the same standard, and continue to be designated as National Statistics.</w:t>
                      </w:r>
                    </w:p>
                    <w:p w:rsidR="00CA19DE" w:rsidRDefault="00CA19DE" w:rsidP="007D62A9">
                      <w:pPr>
                        <w:pStyle w:val="Default"/>
                        <w:rPr>
                          <w:sz w:val="19"/>
                          <w:szCs w:val="19"/>
                        </w:rPr>
                      </w:pPr>
                    </w:p>
                    <w:p w:rsidR="00CA19DE" w:rsidRPr="00A93622" w:rsidRDefault="00CA19DE" w:rsidP="007D62A9">
                      <w:pPr>
                        <w:pStyle w:val="Default"/>
                        <w:rPr>
                          <w:i/>
                          <w:sz w:val="36"/>
                          <w:szCs w:val="36"/>
                        </w:rPr>
                      </w:pPr>
                    </w:p>
                    <w:p w:rsidR="00CA19DE" w:rsidRDefault="00CA19DE" w:rsidP="007D62A9">
                      <w:pPr>
                        <w:pStyle w:val="Default"/>
                      </w:pPr>
                    </w:p>
                    <w:p w:rsidR="00CA19DE" w:rsidRDefault="00CA19DE" w:rsidP="00821714"/>
                  </w:txbxContent>
                </v:textbox>
              </v:shape>
            </w:pict>
          </mc:Fallback>
        </mc:AlternateContent>
      </w:r>
    </w:p>
    <w:p w:rsidR="00841BC2" w:rsidRDefault="00841BC2" w:rsidP="00CD77EA">
      <w:pPr>
        <w:spacing w:before="0"/>
      </w:pPr>
    </w:p>
    <w:p w:rsidR="00713D9C" w:rsidRDefault="00713D9C" w:rsidP="00CD77EA">
      <w:pPr>
        <w:spacing w:before="0"/>
        <w:ind w:left="0"/>
      </w:pPr>
    </w:p>
    <w:p w:rsidR="00713D9C" w:rsidRPr="00713D9C" w:rsidRDefault="00713D9C" w:rsidP="00950FF0"/>
    <w:p w:rsidR="00713D9C" w:rsidRPr="00317932" w:rsidRDefault="00713D9C" w:rsidP="00950FF0"/>
    <w:p w:rsidR="00713D9C" w:rsidRPr="001E59FA" w:rsidRDefault="00713D9C" w:rsidP="00950FF0"/>
    <w:p w:rsidR="00713D9C" w:rsidRPr="00384096" w:rsidRDefault="00713D9C" w:rsidP="00950FF0"/>
    <w:p w:rsidR="00A93622" w:rsidRDefault="00A93622" w:rsidP="00A93622">
      <w:pPr>
        <w:pStyle w:val="Default"/>
        <w:rPr>
          <w:sz w:val="28"/>
          <w:szCs w:val="28"/>
        </w:rPr>
      </w:pPr>
      <w:r w:rsidRPr="00384096">
        <w:rPr>
          <w:sz w:val="28"/>
          <w:szCs w:val="28"/>
        </w:rPr>
        <w:t xml:space="preserve">The United Kingdom Statistics Authority has designated these statistics as National Statistics, in accordance with the Statistics and Registration Service Act 2007 and signifying compliance with the Code of Practice for Official Statistics. </w:t>
      </w:r>
    </w:p>
    <w:p w:rsidR="00384096" w:rsidRPr="00384096" w:rsidRDefault="00384096" w:rsidP="00A93622">
      <w:pPr>
        <w:pStyle w:val="Default"/>
        <w:rPr>
          <w:sz w:val="28"/>
          <w:szCs w:val="28"/>
        </w:rPr>
      </w:pPr>
    </w:p>
    <w:p w:rsidR="00A93622" w:rsidRPr="00384096" w:rsidRDefault="00A93622" w:rsidP="00A93622">
      <w:pPr>
        <w:pStyle w:val="Default"/>
        <w:rPr>
          <w:sz w:val="28"/>
          <w:szCs w:val="28"/>
        </w:rPr>
      </w:pPr>
      <w:r w:rsidRPr="00384096">
        <w:rPr>
          <w:sz w:val="28"/>
          <w:szCs w:val="28"/>
        </w:rPr>
        <w:t xml:space="preserve">Designation can be broadly interpreted to mean that the statistics: </w:t>
      </w:r>
    </w:p>
    <w:p w:rsidR="00A93622" w:rsidRPr="00384096" w:rsidRDefault="00A93622" w:rsidP="00384096">
      <w:pPr>
        <w:pStyle w:val="Default"/>
        <w:numPr>
          <w:ilvl w:val="0"/>
          <w:numId w:val="34"/>
        </w:numPr>
        <w:rPr>
          <w:sz w:val="28"/>
          <w:szCs w:val="28"/>
        </w:rPr>
      </w:pPr>
      <w:r w:rsidRPr="00384096">
        <w:rPr>
          <w:sz w:val="28"/>
          <w:szCs w:val="28"/>
        </w:rPr>
        <w:t xml:space="preserve">meet identified user needs; </w:t>
      </w:r>
    </w:p>
    <w:p w:rsidR="00A93622" w:rsidRPr="00384096" w:rsidRDefault="00A93622" w:rsidP="00384096">
      <w:pPr>
        <w:pStyle w:val="Default"/>
        <w:numPr>
          <w:ilvl w:val="0"/>
          <w:numId w:val="34"/>
        </w:numPr>
        <w:rPr>
          <w:sz w:val="28"/>
          <w:szCs w:val="28"/>
        </w:rPr>
      </w:pPr>
      <w:r w:rsidRPr="00384096">
        <w:rPr>
          <w:sz w:val="28"/>
          <w:szCs w:val="28"/>
        </w:rPr>
        <w:t xml:space="preserve">are well explained and readily accessible; </w:t>
      </w:r>
    </w:p>
    <w:p w:rsidR="00A93622" w:rsidRPr="00384096" w:rsidRDefault="00A93622" w:rsidP="00384096">
      <w:pPr>
        <w:pStyle w:val="Default"/>
        <w:numPr>
          <w:ilvl w:val="0"/>
          <w:numId w:val="34"/>
        </w:numPr>
        <w:rPr>
          <w:sz w:val="28"/>
          <w:szCs w:val="28"/>
        </w:rPr>
      </w:pPr>
      <w:r w:rsidRPr="00384096">
        <w:rPr>
          <w:sz w:val="28"/>
          <w:szCs w:val="28"/>
        </w:rPr>
        <w:t xml:space="preserve">are produced according to sound methods; and </w:t>
      </w:r>
    </w:p>
    <w:p w:rsidR="00A93622" w:rsidRPr="00384096" w:rsidRDefault="00A93622" w:rsidP="00384096">
      <w:pPr>
        <w:pStyle w:val="Default"/>
        <w:numPr>
          <w:ilvl w:val="0"/>
          <w:numId w:val="34"/>
        </w:numPr>
        <w:rPr>
          <w:sz w:val="28"/>
          <w:szCs w:val="28"/>
        </w:rPr>
      </w:pPr>
      <w:proofErr w:type="gramStart"/>
      <w:r w:rsidRPr="00384096">
        <w:rPr>
          <w:sz w:val="28"/>
          <w:szCs w:val="28"/>
        </w:rPr>
        <w:t>are</w:t>
      </w:r>
      <w:proofErr w:type="gramEnd"/>
      <w:r w:rsidRPr="00384096">
        <w:rPr>
          <w:sz w:val="28"/>
          <w:szCs w:val="28"/>
        </w:rPr>
        <w:t xml:space="preserve"> managed impartially and objectively in the public interest. </w:t>
      </w:r>
    </w:p>
    <w:p w:rsidR="00A93622" w:rsidRPr="00384096" w:rsidRDefault="00A93622" w:rsidP="00A93622">
      <w:pPr>
        <w:pStyle w:val="Default"/>
        <w:rPr>
          <w:sz w:val="28"/>
          <w:szCs w:val="28"/>
        </w:rPr>
      </w:pPr>
    </w:p>
    <w:p w:rsidR="00A93622" w:rsidRPr="00384096" w:rsidRDefault="00A93622" w:rsidP="00A93622">
      <w:pPr>
        <w:ind w:left="0"/>
        <w:rPr>
          <w:sz w:val="28"/>
          <w:szCs w:val="28"/>
        </w:rPr>
      </w:pPr>
      <w:r w:rsidRPr="00384096">
        <w:rPr>
          <w:sz w:val="28"/>
          <w:szCs w:val="28"/>
        </w:rPr>
        <w:t>Once statistics have been designated as National Statistics it is a statutory requirement that the Code of Practice shall continue to be observed.</w:t>
      </w:r>
    </w:p>
    <w:p w:rsidR="007D62A9" w:rsidRDefault="007D62A9" w:rsidP="007D62A9">
      <w:pPr>
        <w:pStyle w:val="Default"/>
        <w:rPr>
          <w:sz w:val="22"/>
          <w:szCs w:val="22"/>
        </w:rPr>
      </w:pPr>
    </w:p>
    <w:p w:rsidR="00FD27B8" w:rsidRDefault="00FD27B8" w:rsidP="00CD77EA">
      <w:pPr>
        <w:pStyle w:val="StyleTOCHeadingBottomSinglesolidlineAuto05ptLine"/>
        <w:spacing w:before="0" w:after="0"/>
      </w:pPr>
      <w:r>
        <w:lastRenderedPageBreak/>
        <w:t>Contents</w:t>
      </w:r>
    </w:p>
    <w:p w:rsidR="00133336" w:rsidRDefault="00133336" w:rsidP="00CD77EA">
      <w:pPr>
        <w:pStyle w:val="TOC1"/>
        <w:tabs>
          <w:tab w:val="right" w:leader="dot" w:pos="9854"/>
        </w:tabs>
        <w:spacing w:before="360" w:after="0" w:line="360" w:lineRule="auto"/>
      </w:pPr>
    </w:p>
    <w:p w:rsidR="006C2927" w:rsidRPr="004A0129" w:rsidRDefault="002F69CC">
      <w:pPr>
        <w:pStyle w:val="TOC1"/>
        <w:tabs>
          <w:tab w:val="right" w:leader="dot" w:pos="9854"/>
        </w:tabs>
        <w:rPr>
          <w:rFonts w:asciiTheme="minorHAnsi" w:eastAsiaTheme="minorEastAsia" w:hAnsiTheme="minorHAnsi" w:cstheme="minorBidi"/>
          <w:noProof/>
          <w:szCs w:val="22"/>
          <w:lang w:eastAsia="en-GB"/>
        </w:rPr>
      </w:pPr>
      <w:r w:rsidRPr="004A0129">
        <w:fldChar w:fldCharType="begin"/>
      </w:r>
      <w:r w:rsidRPr="004A0129">
        <w:instrText xml:space="preserve"> TOC \o "1-2" </w:instrText>
      </w:r>
      <w:r w:rsidRPr="004A0129">
        <w:fldChar w:fldCharType="separate"/>
      </w:r>
      <w:r w:rsidR="006C2927" w:rsidRPr="004A0129">
        <w:rPr>
          <w:noProof/>
        </w:rPr>
        <w:t>Chapter 1: Introduction and key findings</w:t>
      </w:r>
      <w:r w:rsidR="006C2927" w:rsidRPr="004A0129">
        <w:rPr>
          <w:noProof/>
        </w:rPr>
        <w:tab/>
      </w:r>
      <w:r w:rsidR="006C2927" w:rsidRPr="004A0129">
        <w:rPr>
          <w:noProof/>
        </w:rPr>
        <w:fldChar w:fldCharType="begin"/>
      </w:r>
      <w:r w:rsidR="006C2927" w:rsidRPr="004A0129">
        <w:rPr>
          <w:noProof/>
        </w:rPr>
        <w:instrText xml:space="preserve"> PAGEREF _Toc373399193 \h </w:instrText>
      </w:r>
      <w:r w:rsidR="006C2927" w:rsidRPr="004A0129">
        <w:rPr>
          <w:noProof/>
        </w:rPr>
      </w:r>
      <w:r w:rsidR="006C2927" w:rsidRPr="004A0129">
        <w:rPr>
          <w:noProof/>
        </w:rPr>
        <w:fldChar w:fldCharType="separate"/>
      </w:r>
      <w:r w:rsidR="00384096">
        <w:rPr>
          <w:noProof/>
        </w:rPr>
        <w:t>4</w:t>
      </w:r>
      <w:r w:rsidR="006C2927" w:rsidRPr="004A0129">
        <w:rPr>
          <w:noProof/>
        </w:rPr>
        <w:fldChar w:fldCharType="end"/>
      </w:r>
    </w:p>
    <w:p w:rsidR="006C2927" w:rsidRPr="004A0129" w:rsidRDefault="006C2927">
      <w:pPr>
        <w:pStyle w:val="TOC1"/>
        <w:tabs>
          <w:tab w:val="right" w:leader="dot" w:pos="9854"/>
        </w:tabs>
        <w:rPr>
          <w:rFonts w:asciiTheme="minorHAnsi" w:eastAsiaTheme="minorEastAsia" w:hAnsiTheme="minorHAnsi" w:cstheme="minorBidi"/>
          <w:noProof/>
          <w:szCs w:val="22"/>
          <w:lang w:eastAsia="en-GB"/>
        </w:rPr>
      </w:pPr>
      <w:r w:rsidRPr="004A0129">
        <w:rPr>
          <w:noProof/>
        </w:rPr>
        <w:t>Chapter 2: Premises Licences for regulated entertainment</w:t>
      </w:r>
      <w:r w:rsidRPr="004A0129">
        <w:rPr>
          <w:noProof/>
        </w:rPr>
        <w:tab/>
      </w:r>
      <w:r w:rsidRPr="004A0129">
        <w:rPr>
          <w:noProof/>
        </w:rPr>
        <w:fldChar w:fldCharType="begin"/>
      </w:r>
      <w:r w:rsidRPr="004A0129">
        <w:rPr>
          <w:noProof/>
        </w:rPr>
        <w:instrText xml:space="preserve"> PAGEREF _Toc373399194 \h </w:instrText>
      </w:r>
      <w:r w:rsidRPr="004A0129">
        <w:rPr>
          <w:noProof/>
        </w:rPr>
      </w:r>
      <w:r w:rsidRPr="004A0129">
        <w:rPr>
          <w:noProof/>
        </w:rPr>
        <w:fldChar w:fldCharType="separate"/>
      </w:r>
      <w:r w:rsidR="00384096">
        <w:rPr>
          <w:noProof/>
        </w:rPr>
        <w:t>10</w:t>
      </w:r>
      <w:r w:rsidRPr="004A0129">
        <w:rPr>
          <w:noProof/>
        </w:rPr>
        <w:fldChar w:fldCharType="end"/>
      </w:r>
    </w:p>
    <w:p w:rsidR="006C2927" w:rsidRPr="004A0129" w:rsidRDefault="006C2927">
      <w:pPr>
        <w:pStyle w:val="TOC1"/>
        <w:tabs>
          <w:tab w:val="right" w:leader="dot" w:pos="9854"/>
        </w:tabs>
        <w:rPr>
          <w:rFonts w:asciiTheme="minorHAnsi" w:eastAsiaTheme="minorEastAsia" w:hAnsiTheme="minorHAnsi" w:cstheme="minorBidi"/>
          <w:noProof/>
          <w:szCs w:val="22"/>
          <w:lang w:eastAsia="en-GB"/>
        </w:rPr>
      </w:pPr>
      <w:r w:rsidRPr="004A0129">
        <w:rPr>
          <w:noProof/>
        </w:rPr>
        <w:t>Chapter 3: Club Premises Certificates for regulated entertainment</w:t>
      </w:r>
      <w:r w:rsidRPr="004A0129">
        <w:rPr>
          <w:noProof/>
        </w:rPr>
        <w:tab/>
      </w:r>
      <w:r w:rsidRPr="004A0129">
        <w:rPr>
          <w:noProof/>
        </w:rPr>
        <w:fldChar w:fldCharType="begin"/>
      </w:r>
      <w:r w:rsidRPr="004A0129">
        <w:rPr>
          <w:noProof/>
        </w:rPr>
        <w:instrText xml:space="preserve"> PAGEREF _Toc373399195 \h </w:instrText>
      </w:r>
      <w:r w:rsidRPr="004A0129">
        <w:rPr>
          <w:noProof/>
        </w:rPr>
      </w:r>
      <w:r w:rsidRPr="004A0129">
        <w:rPr>
          <w:noProof/>
        </w:rPr>
        <w:fldChar w:fldCharType="separate"/>
      </w:r>
      <w:r w:rsidR="00384096">
        <w:rPr>
          <w:noProof/>
        </w:rPr>
        <w:t>14</w:t>
      </w:r>
      <w:r w:rsidRPr="004A0129">
        <w:rPr>
          <w:noProof/>
        </w:rPr>
        <w:fldChar w:fldCharType="end"/>
      </w:r>
    </w:p>
    <w:p w:rsidR="006C2927" w:rsidRPr="004A0129" w:rsidRDefault="006C2927">
      <w:pPr>
        <w:pStyle w:val="TOC1"/>
        <w:tabs>
          <w:tab w:val="right" w:leader="dot" w:pos="9854"/>
        </w:tabs>
        <w:rPr>
          <w:rFonts w:asciiTheme="minorHAnsi" w:eastAsiaTheme="minorEastAsia" w:hAnsiTheme="minorHAnsi" w:cstheme="minorBidi"/>
          <w:noProof/>
          <w:szCs w:val="22"/>
          <w:lang w:eastAsia="en-GB"/>
        </w:rPr>
      </w:pPr>
      <w:r w:rsidRPr="004A0129">
        <w:rPr>
          <w:noProof/>
        </w:rPr>
        <w:t>Annex A: Background notes</w:t>
      </w:r>
      <w:r w:rsidRPr="004A0129">
        <w:rPr>
          <w:noProof/>
        </w:rPr>
        <w:tab/>
      </w:r>
      <w:r w:rsidRPr="004A0129">
        <w:rPr>
          <w:noProof/>
        </w:rPr>
        <w:fldChar w:fldCharType="begin"/>
      </w:r>
      <w:r w:rsidRPr="004A0129">
        <w:rPr>
          <w:noProof/>
        </w:rPr>
        <w:instrText xml:space="preserve"> PAGEREF _Toc373399196 \h </w:instrText>
      </w:r>
      <w:r w:rsidRPr="004A0129">
        <w:rPr>
          <w:noProof/>
        </w:rPr>
      </w:r>
      <w:r w:rsidRPr="004A0129">
        <w:rPr>
          <w:noProof/>
        </w:rPr>
        <w:fldChar w:fldCharType="separate"/>
      </w:r>
      <w:r w:rsidR="00384096">
        <w:rPr>
          <w:noProof/>
        </w:rPr>
        <w:t>18</w:t>
      </w:r>
      <w:r w:rsidRPr="004A0129">
        <w:rPr>
          <w:noProof/>
        </w:rPr>
        <w:fldChar w:fldCharType="end"/>
      </w:r>
    </w:p>
    <w:p w:rsidR="006C2927" w:rsidRPr="004A0129" w:rsidRDefault="006C2927">
      <w:pPr>
        <w:pStyle w:val="TOC1"/>
        <w:tabs>
          <w:tab w:val="right" w:leader="dot" w:pos="9854"/>
        </w:tabs>
        <w:rPr>
          <w:rFonts w:asciiTheme="minorHAnsi" w:eastAsiaTheme="minorEastAsia" w:hAnsiTheme="minorHAnsi" w:cstheme="minorBidi"/>
          <w:noProof/>
          <w:szCs w:val="22"/>
          <w:lang w:eastAsia="en-GB"/>
        </w:rPr>
      </w:pPr>
      <w:r w:rsidRPr="004A0129">
        <w:rPr>
          <w:noProof/>
        </w:rPr>
        <w:t>Annex B: Interpretation of modelled estimates</w:t>
      </w:r>
      <w:r w:rsidRPr="004A0129">
        <w:rPr>
          <w:noProof/>
        </w:rPr>
        <w:tab/>
      </w:r>
      <w:r w:rsidRPr="004A0129">
        <w:rPr>
          <w:noProof/>
        </w:rPr>
        <w:fldChar w:fldCharType="begin"/>
      </w:r>
      <w:r w:rsidRPr="004A0129">
        <w:rPr>
          <w:noProof/>
        </w:rPr>
        <w:instrText xml:space="preserve"> PAGEREF _Toc373399197 \h </w:instrText>
      </w:r>
      <w:r w:rsidRPr="004A0129">
        <w:rPr>
          <w:noProof/>
        </w:rPr>
      </w:r>
      <w:r w:rsidRPr="004A0129">
        <w:rPr>
          <w:noProof/>
        </w:rPr>
        <w:fldChar w:fldCharType="separate"/>
      </w:r>
      <w:r w:rsidR="00384096">
        <w:rPr>
          <w:noProof/>
        </w:rPr>
        <w:t>21</w:t>
      </w:r>
      <w:r w:rsidRPr="004A0129">
        <w:rPr>
          <w:noProof/>
        </w:rPr>
        <w:fldChar w:fldCharType="end"/>
      </w:r>
    </w:p>
    <w:p w:rsidR="00283206" w:rsidRDefault="002F69CC" w:rsidP="00CD77EA">
      <w:pPr>
        <w:spacing w:before="0" w:line="360" w:lineRule="auto"/>
      </w:pPr>
      <w:r w:rsidRPr="004A0129">
        <w:fldChar w:fldCharType="end"/>
      </w:r>
    </w:p>
    <w:p w:rsidR="009C0016" w:rsidRDefault="009C0016" w:rsidP="00CD77EA">
      <w:pPr>
        <w:pStyle w:val="Heading1Numbered"/>
        <w:spacing w:before="0" w:after="0"/>
      </w:pPr>
      <w:bookmarkStart w:id="0" w:name="_Toc373399193"/>
      <w:r>
        <w:lastRenderedPageBreak/>
        <w:t>Introduction and key findings</w:t>
      </w:r>
      <w:bookmarkEnd w:id="0"/>
    </w:p>
    <w:p w:rsidR="00DC0B90" w:rsidRDefault="00DC0B90" w:rsidP="001A6F3D">
      <w:pPr>
        <w:spacing w:before="0"/>
        <w:rPr>
          <w:rFonts w:cs="Arial"/>
          <w:szCs w:val="22"/>
          <w:lang w:eastAsia="en-GB"/>
        </w:rPr>
      </w:pPr>
    </w:p>
    <w:p w:rsidR="00C625F3" w:rsidRDefault="00BF5A77" w:rsidP="00C625F3">
      <w:pPr>
        <w:spacing w:before="0"/>
        <w:ind w:left="1418"/>
        <w:rPr>
          <w:rFonts w:cs="Arial"/>
          <w:szCs w:val="22"/>
          <w:lang w:eastAsia="en-GB"/>
        </w:rPr>
      </w:pPr>
      <w:r>
        <w:rPr>
          <w:rFonts w:cs="Arial"/>
          <w:szCs w:val="22"/>
          <w:lang w:eastAsia="en-GB"/>
        </w:rPr>
        <w:t xml:space="preserve">This release presents statistics </w:t>
      </w:r>
      <w:r w:rsidR="00CA0A9B">
        <w:rPr>
          <w:rFonts w:cs="Arial"/>
          <w:szCs w:val="22"/>
          <w:lang w:eastAsia="en-GB"/>
        </w:rPr>
        <w:t>on the number of premises licenc</w:t>
      </w:r>
      <w:r>
        <w:rPr>
          <w:rFonts w:cs="Arial"/>
          <w:szCs w:val="22"/>
          <w:lang w:eastAsia="en-GB"/>
        </w:rPr>
        <w:t xml:space="preserve">es and club premises certificates authorising </w:t>
      </w:r>
      <w:r w:rsidR="003D056C">
        <w:rPr>
          <w:rFonts w:cs="Arial"/>
          <w:szCs w:val="22"/>
          <w:lang w:eastAsia="en-GB"/>
        </w:rPr>
        <w:t xml:space="preserve">regulated </w:t>
      </w:r>
      <w:r>
        <w:rPr>
          <w:rFonts w:cs="Arial"/>
          <w:szCs w:val="22"/>
          <w:lang w:eastAsia="en-GB"/>
        </w:rPr>
        <w:t xml:space="preserve">entertainment in England and Wales </w:t>
      </w:r>
      <w:r w:rsidRPr="00D80423">
        <w:rPr>
          <w:rFonts w:cs="Arial"/>
          <w:szCs w:val="22"/>
          <w:lang w:eastAsia="en-GB"/>
        </w:rPr>
        <w:t>in force on 31 Mar</w:t>
      </w:r>
      <w:r w:rsidR="00D66E27" w:rsidRPr="00D80423">
        <w:rPr>
          <w:rFonts w:cs="Arial"/>
          <w:szCs w:val="22"/>
          <w:lang w:eastAsia="en-GB"/>
        </w:rPr>
        <w:t>ch 201</w:t>
      </w:r>
      <w:r w:rsidR="00B257BC">
        <w:rPr>
          <w:rFonts w:cs="Arial"/>
          <w:szCs w:val="22"/>
          <w:lang w:eastAsia="en-GB"/>
        </w:rPr>
        <w:t>4</w:t>
      </w:r>
      <w:r w:rsidR="00CA0A9B">
        <w:rPr>
          <w:rFonts w:cs="Arial"/>
          <w:szCs w:val="22"/>
          <w:lang w:eastAsia="en-GB"/>
        </w:rPr>
        <w:t xml:space="preserve">. </w:t>
      </w:r>
      <w:r w:rsidR="002F2445">
        <w:rPr>
          <w:rFonts w:cs="Arial"/>
          <w:szCs w:val="22"/>
          <w:lang w:eastAsia="en-GB"/>
        </w:rPr>
        <w:t>All figures consist of a combination of actual returns and model</w:t>
      </w:r>
      <w:r w:rsidR="00C625F3">
        <w:rPr>
          <w:rFonts w:cs="Arial"/>
          <w:szCs w:val="22"/>
          <w:lang w:eastAsia="en-GB"/>
        </w:rPr>
        <w:t xml:space="preserve">led estimates for non-response. </w:t>
      </w:r>
    </w:p>
    <w:p w:rsidR="00C625F3" w:rsidRDefault="00C625F3" w:rsidP="00C625F3">
      <w:pPr>
        <w:spacing w:before="0"/>
        <w:ind w:left="1418"/>
        <w:rPr>
          <w:rFonts w:cs="Arial"/>
          <w:szCs w:val="22"/>
          <w:lang w:eastAsia="en-GB"/>
        </w:rPr>
      </w:pPr>
    </w:p>
    <w:p w:rsidR="00C625F3" w:rsidRPr="00791677" w:rsidRDefault="00C625F3" w:rsidP="00C625F3">
      <w:pPr>
        <w:spacing w:before="0"/>
        <w:ind w:left="1418"/>
        <w:rPr>
          <w:rFonts w:cs="Arial"/>
          <w:szCs w:val="22"/>
          <w:lang w:eastAsia="en-GB"/>
        </w:rPr>
      </w:pPr>
      <w:r w:rsidRPr="00791677">
        <w:rPr>
          <w:rFonts w:cs="Arial"/>
          <w:szCs w:val="22"/>
          <w:lang w:eastAsia="en-GB"/>
        </w:rPr>
        <w:t xml:space="preserve">Subject to any conditions, definitions and exemptions that may </w:t>
      </w:r>
      <w:proofErr w:type="gramStart"/>
      <w:r w:rsidRPr="00791677">
        <w:rPr>
          <w:rFonts w:cs="Arial"/>
          <w:szCs w:val="22"/>
          <w:lang w:eastAsia="en-GB"/>
        </w:rPr>
        <w:t>apply,</w:t>
      </w:r>
      <w:proofErr w:type="gramEnd"/>
      <w:r w:rsidRPr="00791677">
        <w:rPr>
          <w:rFonts w:cs="Arial"/>
          <w:szCs w:val="22"/>
          <w:lang w:eastAsia="en-GB"/>
        </w:rPr>
        <w:t xml:space="preserve"> the types of </w:t>
      </w:r>
      <w:r>
        <w:rPr>
          <w:rFonts w:cs="Arial"/>
          <w:szCs w:val="22"/>
          <w:lang w:eastAsia="en-GB"/>
        </w:rPr>
        <w:t xml:space="preserve">regulated </w:t>
      </w:r>
      <w:r w:rsidRPr="00791677">
        <w:rPr>
          <w:rFonts w:cs="Arial"/>
          <w:szCs w:val="22"/>
          <w:lang w:eastAsia="en-GB"/>
        </w:rPr>
        <w:t xml:space="preserve">entertainment which may </w:t>
      </w:r>
      <w:r>
        <w:rPr>
          <w:rFonts w:cs="Arial"/>
          <w:szCs w:val="22"/>
          <w:lang w:eastAsia="en-GB"/>
        </w:rPr>
        <w:t xml:space="preserve">require a licence </w:t>
      </w:r>
      <w:r w:rsidRPr="00791677">
        <w:rPr>
          <w:rFonts w:cs="Arial"/>
          <w:szCs w:val="22"/>
          <w:lang w:eastAsia="en-GB"/>
        </w:rPr>
        <w:t>under the Licensing Act 2003 are as follows:</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 xml:space="preserve"> performance of a play</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 exhibition of a film</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 indoor sporting event</w:t>
      </w:r>
    </w:p>
    <w:p w:rsidR="00C625F3" w:rsidRPr="00791677" w:rsidRDefault="00D80423" w:rsidP="00D80423">
      <w:pPr>
        <w:numPr>
          <w:ilvl w:val="0"/>
          <w:numId w:val="32"/>
        </w:numPr>
        <w:spacing w:before="0"/>
        <w:rPr>
          <w:rFonts w:cs="Arial"/>
          <w:szCs w:val="22"/>
          <w:lang w:eastAsia="en-GB"/>
        </w:rPr>
      </w:pPr>
      <w:r>
        <w:rPr>
          <w:rFonts w:cs="Arial"/>
          <w:szCs w:val="22"/>
          <w:lang w:eastAsia="en-GB"/>
        </w:rPr>
        <w:t>B</w:t>
      </w:r>
      <w:r w:rsidR="00C625F3" w:rsidRPr="00791677">
        <w:rPr>
          <w:rFonts w:cs="Arial"/>
          <w:szCs w:val="22"/>
          <w:lang w:eastAsia="en-GB"/>
        </w:rPr>
        <w:t>oxing or wrestling entertainment (both indoors and outdoors)</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 xml:space="preserve"> performance of live music</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ny playing of recorded music</w:t>
      </w:r>
    </w:p>
    <w:p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Pr>
          <w:rFonts w:cs="Arial"/>
          <w:szCs w:val="22"/>
          <w:lang w:eastAsia="en-GB"/>
        </w:rPr>
        <w:t xml:space="preserve"> performance of dance</w:t>
      </w:r>
    </w:p>
    <w:p w:rsidR="00C625F3" w:rsidRPr="00791677" w:rsidRDefault="00C625F3" w:rsidP="00C625F3">
      <w:pPr>
        <w:spacing w:before="0"/>
        <w:ind w:left="1418"/>
        <w:rPr>
          <w:rFonts w:cs="Arial"/>
          <w:szCs w:val="22"/>
          <w:lang w:eastAsia="en-GB"/>
        </w:rPr>
      </w:pPr>
      <w:r w:rsidRPr="00791677">
        <w:rPr>
          <w:rFonts w:cs="Arial"/>
          <w:szCs w:val="22"/>
          <w:lang w:eastAsia="en-GB"/>
        </w:rPr>
        <w:t xml:space="preserve">                         </w:t>
      </w:r>
    </w:p>
    <w:p w:rsidR="00C625F3" w:rsidRDefault="00C625F3" w:rsidP="00C625F3">
      <w:pPr>
        <w:spacing w:before="0"/>
        <w:ind w:left="1418"/>
        <w:rPr>
          <w:rFonts w:cs="Arial"/>
          <w:szCs w:val="22"/>
          <w:lang w:eastAsia="en-GB"/>
        </w:rPr>
      </w:pPr>
      <w:r>
        <w:rPr>
          <w:rFonts w:cs="Arial"/>
          <w:szCs w:val="22"/>
          <w:lang w:eastAsia="en-GB"/>
        </w:rPr>
        <w:t xml:space="preserve">The Licensing Act </w:t>
      </w:r>
      <w:r w:rsidRPr="00791677">
        <w:rPr>
          <w:rFonts w:cs="Arial"/>
          <w:szCs w:val="22"/>
          <w:lang w:eastAsia="en-GB"/>
        </w:rPr>
        <w:t>2003</w:t>
      </w:r>
      <w:r>
        <w:rPr>
          <w:rStyle w:val="FootnoteReference"/>
          <w:rFonts w:cs="Arial"/>
          <w:szCs w:val="22"/>
          <w:lang w:eastAsia="en-GB"/>
        </w:rPr>
        <w:footnoteReference w:id="1"/>
      </w:r>
      <w:r w:rsidRPr="00791677">
        <w:rPr>
          <w:rFonts w:cs="Arial"/>
          <w:szCs w:val="22"/>
          <w:lang w:eastAsia="en-GB"/>
        </w:rPr>
        <w:t xml:space="preserve"> may require that some form of authorisation is obtained before one or more of these entertainment activities can lawfully be carried out – </w:t>
      </w:r>
      <w:r>
        <w:rPr>
          <w:rFonts w:cs="Arial"/>
          <w:szCs w:val="22"/>
          <w:lang w:eastAsia="en-GB"/>
        </w:rPr>
        <w:t xml:space="preserve">such as </w:t>
      </w:r>
      <w:r w:rsidRPr="00791677">
        <w:rPr>
          <w:rFonts w:cs="Arial"/>
          <w:szCs w:val="22"/>
          <w:lang w:eastAsia="en-GB"/>
        </w:rPr>
        <w:t>a premises licence</w:t>
      </w:r>
      <w:r>
        <w:rPr>
          <w:rFonts w:cs="Arial"/>
          <w:szCs w:val="22"/>
          <w:lang w:eastAsia="en-GB"/>
        </w:rPr>
        <w:t xml:space="preserve"> or </w:t>
      </w:r>
      <w:r w:rsidRPr="00791677">
        <w:rPr>
          <w:rFonts w:cs="Arial"/>
          <w:szCs w:val="22"/>
          <w:lang w:eastAsia="en-GB"/>
        </w:rPr>
        <w:t>club premises certificate</w:t>
      </w:r>
      <w:r>
        <w:rPr>
          <w:rFonts w:cs="Arial"/>
          <w:szCs w:val="22"/>
          <w:lang w:eastAsia="en-GB"/>
        </w:rPr>
        <w:t>.</w:t>
      </w:r>
    </w:p>
    <w:p w:rsidR="00C625F3" w:rsidRDefault="00C625F3" w:rsidP="002F2445">
      <w:pPr>
        <w:spacing w:before="0"/>
        <w:ind w:left="1418"/>
        <w:rPr>
          <w:rFonts w:cs="Arial"/>
          <w:szCs w:val="22"/>
          <w:lang w:eastAsia="en-GB"/>
        </w:rPr>
      </w:pPr>
    </w:p>
    <w:p w:rsidR="00CF060C" w:rsidRDefault="00CD77EA" w:rsidP="00CF060C">
      <w:pPr>
        <w:spacing w:before="0"/>
        <w:ind w:left="1418"/>
        <w:rPr>
          <w:rFonts w:cs="Arial"/>
          <w:szCs w:val="22"/>
          <w:lang w:eastAsia="en-GB"/>
        </w:rPr>
      </w:pPr>
      <w:r>
        <w:rPr>
          <w:rFonts w:cs="Arial"/>
          <w:szCs w:val="22"/>
          <w:lang w:eastAsia="en-GB"/>
        </w:rPr>
        <w:t>Premises</w:t>
      </w:r>
      <w:r w:rsidR="00CA0A9B">
        <w:rPr>
          <w:rFonts w:cs="Arial"/>
          <w:szCs w:val="22"/>
          <w:lang w:eastAsia="en-GB"/>
        </w:rPr>
        <w:t xml:space="preserve"> may have a</w:t>
      </w:r>
      <w:r w:rsidR="00BF5A77">
        <w:rPr>
          <w:rFonts w:cs="Arial"/>
          <w:szCs w:val="22"/>
          <w:lang w:eastAsia="en-GB"/>
        </w:rPr>
        <w:t xml:space="preserve"> licen</w:t>
      </w:r>
      <w:r>
        <w:rPr>
          <w:rFonts w:cs="Arial"/>
          <w:szCs w:val="22"/>
          <w:lang w:eastAsia="en-GB"/>
        </w:rPr>
        <w:t>c</w:t>
      </w:r>
      <w:r w:rsidR="00BF5A77">
        <w:rPr>
          <w:rFonts w:cs="Arial"/>
          <w:szCs w:val="22"/>
          <w:lang w:eastAsia="en-GB"/>
        </w:rPr>
        <w:t>e covering several</w:t>
      </w:r>
      <w:r w:rsidR="00201D95">
        <w:rPr>
          <w:rFonts w:cs="Arial"/>
          <w:szCs w:val="22"/>
          <w:lang w:eastAsia="en-GB"/>
        </w:rPr>
        <w:t xml:space="preserve"> forms of</w:t>
      </w:r>
      <w:r w:rsidR="00BF5A77">
        <w:rPr>
          <w:rFonts w:cs="Arial"/>
          <w:szCs w:val="22"/>
          <w:lang w:eastAsia="en-GB"/>
        </w:rPr>
        <w:t xml:space="preserve"> entertainment</w:t>
      </w:r>
      <w:r w:rsidR="000B1A1A">
        <w:rPr>
          <w:rFonts w:cs="Arial"/>
          <w:szCs w:val="22"/>
          <w:lang w:eastAsia="en-GB"/>
        </w:rPr>
        <w:t>. This</w:t>
      </w:r>
      <w:r w:rsidR="00201D95">
        <w:rPr>
          <w:rFonts w:cs="Arial"/>
          <w:szCs w:val="22"/>
          <w:lang w:eastAsia="en-GB"/>
        </w:rPr>
        <w:t xml:space="preserve"> licence</w:t>
      </w:r>
      <w:r w:rsidR="00CA0A9B">
        <w:rPr>
          <w:rFonts w:cs="Arial"/>
          <w:szCs w:val="22"/>
          <w:lang w:eastAsia="en-GB"/>
        </w:rPr>
        <w:t xml:space="preserve"> may also</w:t>
      </w:r>
      <w:r w:rsidR="000B1A1A">
        <w:rPr>
          <w:rFonts w:cs="Arial"/>
          <w:szCs w:val="22"/>
          <w:lang w:eastAsia="en-GB"/>
        </w:rPr>
        <w:t xml:space="preserve"> cover</w:t>
      </w:r>
      <w:r w:rsidR="00D9492E">
        <w:rPr>
          <w:rFonts w:cs="Arial"/>
          <w:szCs w:val="22"/>
          <w:lang w:eastAsia="en-GB"/>
        </w:rPr>
        <w:t xml:space="preserve"> alcohol and late night refreshment.</w:t>
      </w:r>
      <w:r w:rsidR="000B1A1A">
        <w:rPr>
          <w:rFonts w:cs="Arial"/>
          <w:szCs w:val="22"/>
          <w:lang w:eastAsia="en-GB"/>
        </w:rPr>
        <w:t xml:space="preserve"> </w:t>
      </w:r>
    </w:p>
    <w:p w:rsidR="00CF060C" w:rsidRDefault="00CF060C" w:rsidP="00CF060C">
      <w:pPr>
        <w:spacing w:before="0"/>
        <w:ind w:left="1418"/>
        <w:rPr>
          <w:rFonts w:cs="Arial"/>
          <w:szCs w:val="22"/>
          <w:lang w:eastAsia="en-GB"/>
        </w:rPr>
      </w:pPr>
    </w:p>
    <w:p w:rsidR="00967CFF" w:rsidRPr="00CF060C" w:rsidRDefault="00967CFF" w:rsidP="00384096">
      <w:pPr>
        <w:spacing w:before="0"/>
        <w:ind w:left="720" w:firstLine="698"/>
        <w:rPr>
          <w:rFonts w:cs="Arial"/>
          <w:szCs w:val="22"/>
          <w:lang w:eastAsia="en-GB"/>
        </w:rPr>
      </w:pPr>
      <w:r>
        <w:rPr>
          <w:b/>
        </w:rPr>
        <w:t>Key findings</w:t>
      </w:r>
      <w:r w:rsidR="00692696" w:rsidRPr="00CF060C">
        <w:rPr>
          <w:b/>
        </w:rPr>
        <w:tab/>
      </w:r>
    </w:p>
    <w:p w:rsidR="00384096" w:rsidRDefault="00384096" w:rsidP="00384096">
      <w:pPr>
        <w:spacing w:before="0"/>
        <w:ind w:left="3600" w:firstLine="720"/>
        <w:rPr>
          <w:rFonts w:cs="Arial"/>
          <w:b/>
          <w:szCs w:val="22"/>
          <w:lang w:eastAsia="en-GB"/>
        </w:rPr>
      </w:pPr>
      <w:r>
        <w:rPr>
          <w:rFonts w:cs="Arial"/>
          <w:b/>
          <w:szCs w:val="22"/>
          <w:lang w:eastAsia="en-GB"/>
        </w:rPr>
        <w:t xml:space="preserve">       </w:t>
      </w:r>
      <w:r w:rsidRPr="00CF060C">
        <w:rPr>
          <w:rFonts w:cs="Arial"/>
          <w:b/>
          <w:szCs w:val="22"/>
          <w:lang w:eastAsia="en-GB"/>
        </w:rPr>
        <w:t>Figure 1:</w:t>
      </w:r>
    </w:p>
    <w:p w:rsidR="00967CFF" w:rsidRDefault="00384096" w:rsidP="002F2445">
      <w:pPr>
        <w:spacing w:before="0"/>
        <w:ind w:left="1418"/>
        <w:rPr>
          <w:b/>
        </w:rPr>
      </w:pPr>
      <w:r>
        <w:rPr>
          <w:rFonts w:cs="Arial"/>
          <w:b/>
          <w:szCs w:val="22"/>
          <w:lang w:eastAsia="en-GB"/>
        </w:rPr>
        <w:t>P</w:t>
      </w:r>
      <w:r w:rsidRPr="00384096">
        <w:rPr>
          <w:rFonts w:cs="Arial"/>
          <w:b/>
          <w:szCs w:val="22"/>
          <w:lang w:eastAsia="en-GB"/>
        </w:rPr>
        <w:t xml:space="preserve">remises </w:t>
      </w:r>
      <w:r>
        <w:rPr>
          <w:rFonts w:cs="Arial"/>
          <w:b/>
          <w:szCs w:val="22"/>
          <w:lang w:eastAsia="en-GB"/>
        </w:rPr>
        <w:t>L</w:t>
      </w:r>
      <w:r w:rsidRPr="00384096">
        <w:rPr>
          <w:rFonts w:cs="Arial"/>
          <w:b/>
          <w:szCs w:val="22"/>
          <w:lang w:eastAsia="en-GB"/>
        </w:rPr>
        <w:t>icences</w:t>
      </w:r>
      <w:r>
        <w:rPr>
          <w:rFonts w:cs="Arial"/>
          <w:b/>
          <w:color w:val="FF0000"/>
          <w:szCs w:val="22"/>
          <w:lang w:eastAsia="en-GB"/>
        </w:rPr>
        <w:t xml:space="preserve">       </w:t>
      </w:r>
      <w:r w:rsidR="00CF060C">
        <w:rPr>
          <w:b/>
          <w:noProof/>
          <w:lang w:eastAsia="en-GB"/>
        </w:rPr>
        <w:drawing>
          <wp:anchor distT="0" distB="0" distL="114300" distR="114300" simplePos="0" relativeHeight="251665408" behindDoc="1" locked="0" layoutInCell="1" allowOverlap="1" wp14:anchorId="6E3AAB63" wp14:editId="78A459D1">
            <wp:simplePos x="0" y="0"/>
            <wp:positionH relativeFrom="column">
              <wp:posOffset>3009265</wp:posOffset>
            </wp:positionH>
            <wp:positionV relativeFrom="paragraph">
              <wp:posOffset>74295</wp:posOffset>
            </wp:positionV>
            <wp:extent cx="3230245" cy="2790190"/>
            <wp:effectExtent l="0" t="0" r="8255" b="0"/>
            <wp:wrapTight wrapText="bothSides">
              <wp:wrapPolygon edited="0">
                <wp:start x="0" y="0"/>
                <wp:lineTo x="0" y="21384"/>
                <wp:lineTo x="21528" y="21384"/>
                <wp:lineTo x="215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245" cy="2790190"/>
                    </a:xfrm>
                    <a:prstGeom prst="rect">
                      <a:avLst/>
                    </a:prstGeom>
                    <a:noFill/>
                  </pic:spPr>
                </pic:pic>
              </a:graphicData>
            </a:graphic>
            <wp14:sizeRelH relativeFrom="page">
              <wp14:pctWidth>0</wp14:pctWidth>
            </wp14:sizeRelH>
            <wp14:sizeRelV relativeFrom="page">
              <wp14:pctHeight>0</wp14:pctHeight>
            </wp14:sizeRelV>
          </wp:anchor>
        </w:drawing>
      </w:r>
    </w:p>
    <w:p w:rsidR="00967CFF" w:rsidRPr="007733B9" w:rsidRDefault="00967CFF" w:rsidP="002F2445">
      <w:pPr>
        <w:numPr>
          <w:ilvl w:val="0"/>
          <w:numId w:val="5"/>
        </w:numPr>
        <w:spacing w:before="0"/>
        <w:ind w:left="1418" w:hanging="199"/>
        <w:rPr>
          <w:rFonts w:cs="Arial"/>
          <w:szCs w:val="22"/>
          <w:lang w:eastAsia="en-GB"/>
        </w:rPr>
      </w:pPr>
      <w:r>
        <w:rPr>
          <w:rFonts w:cs="Arial"/>
          <w:szCs w:val="22"/>
        </w:rPr>
        <w:t>T</w:t>
      </w:r>
      <w:r w:rsidRPr="009C0016">
        <w:rPr>
          <w:rFonts w:cs="Arial"/>
          <w:szCs w:val="22"/>
        </w:rPr>
        <w:t xml:space="preserve">here were </w:t>
      </w:r>
      <w:r w:rsidR="00361912">
        <w:rPr>
          <w:rFonts w:cs="Arial"/>
          <w:szCs w:val="22"/>
          <w:lang w:eastAsia="en-GB"/>
        </w:rPr>
        <w:t>1</w:t>
      </w:r>
      <w:r w:rsidR="000D1550">
        <w:rPr>
          <w:rFonts w:cs="Arial"/>
          <w:szCs w:val="22"/>
          <w:lang w:eastAsia="en-GB"/>
        </w:rPr>
        <w:t>1</w:t>
      </w:r>
      <w:r w:rsidR="0082600B">
        <w:rPr>
          <w:rFonts w:cs="Arial"/>
          <w:szCs w:val="22"/>
          <w:lang w:eastAsia="en-GB"/>
        </w:rPr>
        <w:t>9</w:t>
      </w:r>
      <w:r w:rsidR="00361912">
        <w:rPr>
          <w:rFonts w:cs="Arial"/>
          <w:szCs w:val="22"/>
          <w:lang w:eastAsia="en-GB"/>
        </w:rPr>
        <w:t>,</w:t>
      </w:r>
      <w:r w:rsidR="0082600B">
        <w:rPr>
          <w:rFonts w:cs="Arial"/>
          <w:szCs w:val="22"/>
          <w:lang w:eastAsia="en-GB"/>
        </w:rPr>
        <w:t>3</w:t>
      </w:r>
      <w:r w:rsidR="003D056C">
        <w:rPr>
          <w:rFonts w:cs="Arial"/>
          <w:szCs w:val="22"/>
          <w:lang w:eastAsia="en-GB"/>
        </w:rPr>
        <w:t>00</w:t>
      </w:r>
      <w:r w:rsidR="00CD77EA">
        <w:rPr>
          <w:rFonts w:cs="Arial"/>
          <w:szCs w:val="22"/>
          <w:lang w:eastAsia="en-GB"/>
        </w:rPr>
        <w:t xml:space="preserve"> premises licenc</w:t>
      </w:r>
      <w:r w:rsidRPr="001D577B">
        <w:rPr>
          <w:rFonts w:cs="Arial"/>
          <w:szCs w:val="22"/>
          <w:lang w:eastAsia="en-GB"/>
        </w:rPr>
        <w:t xml:space="preserve">es authorising </w:t>
      </w:r>
      <w:r w:rsidR="003D056C">
        <w:rPr>
          <w:rFonts w:cs="Arial"/>
          <w:szCs w:val="22"/>
          <w:lang w:eastAsia="en-GB"/>
        </w:rPr>
        <w:t xml:space="preserve">regulated </w:t>
      </w:r>
      <w:r w:rsidR="00BF5A77">
        <w:rPr>
          <w:rFonts w:cs="Arial"/>
          <w:szCs w:val="22"/>
          <w:lang w:eastAsia="en-GB"/>
        </w:rPr>
        <w:t xml:space="preserve">entertainment </w:t>
      </w:r>
      <w:r w:rsidRPr="001D577B">
        <w:rPr>
          <w:rFonts w:cs="Arial"/>
          <w:szCs w:val="22"/>
          <w:lang w:eastAsia="en-GB"/>
        </w:rPr>
        <w:t>in</w:t>
      </w:r>
      <w:r w:rsidR="00CD77EA">
        <w:rPr>
          <w:rFonts w:cs="Arial"/>
          <w:szCs w:val="22"/>
          <w:lang w:eastAsia="en-GB"/>
        </w:rPr>
        <w:t xml:space="preserve"> force in</w:t>
      </w:r>
      <w:r w:rsidRPr="001D577B">
        <w:rPr>
          <w:rFonts w:cs="Arial"/>
          <w:szCs w:val="22"/>
          <w:lang w:eastAsia="en-GB"/>
        </w:rPr>
        <w:t xml:space="preserve"> England and Wales on 31 March 201</w:t>
      </w:r>
      <w:r w:rsidR="0082600B">
        <w:rPr>
          <w:rFonts w:cs="Arial"/>
          <w:szCs w:val="22"/>
          <w:lang w:eastAsia="en-GB"/>
        </w:rPr>
        <w:t>4</w:t>
      </w:r>
      <w:r w:rsidR="00BF5A77">
        <w:rPr>
          <w:rFonts w:cs="Arial"/>
          <w:szCs w:val="22"/>
          <w:lang w:eastAsia="en-GB"/>
        </w:rPr>
        <w:t>,</w:t>
      </w:r>
      <w:r w:rsidR="000D5F87">
        <w:rPr>
          <w:rFonts w:cs="Arial"/>
          <w:szCs w:val="22"/>
          <w:lang w:eastAsia="en-GB"/>
        </w:rPr>
        <w:t xml:space="preserve"> a 1</w:t>
      </w:r>
      <w:r w:rsidR="00D96CCE">
        <w:rPr>
          <w:rFonts w:cs="Arial"/>
          <w:szCs w:val="22"/>
          <w:lang w:eastAsia="en-GB"/>
        </w:rPr>
        <w:t>.</w:t>
      </w:r>
      <w:r w:rsidR="000D5F87">
        <w:rPr>
          <w:rFonts w:cs="Arial"/>
          <w:szCs w:val="22"/>
          <w:lang w:eastAsia="en-GB"/>
        </w:rPr>
        <w:t>3</w:t>
      </w:r>
      <w:r w:rsidR="00D96CCE">
        <w:rPr>
          <w:rFonts w:cs="Arial"/>
          <w:szCs w:val="22"/>
          <w:lang w:eastAsia="en-GB"/>
        </w:rPr>
        <w:t xml:space="preserve"> per cent </w:t>
      </w:r>
      <w:r w:rsidR="000D5F87">
        <w:rPr>
          <w:rFonts w:cs="Arial"/>
          <w:szCs w:val="22"/>
          <w:lang w:eastAsia="en-GB"/>
        </w:rPr>
        <w:t>increase</w:t>
      </w:r>
      <w:r w:rsidRPr="001D577B">
        <w:rPr>
          <w:rFonts w:cs="Arial"/>
          <w:szCs w:val="22"/>
          <w:lang w:eastAsia="en-GB"/>
        </w:rPr>
        <w:t xml:space="preserve"> compared to </w:t>
      </w:r>
      <w:r w:rsidR="000D1550">
        <w:rPr>
          <w:rFonts w:cs="Arial"/>
          <w:szCs w:val="22"/>
          <w:lang w:eastAsia="en-GB"/>
        </w:rPr>
        <w:t>1</w:t>
      </w:r>
      <w:r w:rsidR="000D5F87">
        <w:rPr>
          <w:rFonts w:cs="Arial"/>
          <w:szCs w:val="22"/>
          <w:lang w:eastAsia="en-GB"/>
        </w:rPr>
        <w:t>17</w:t>
      </w:r>
      <w:r w:rsidR="000D1550">
        <w:rPr>
          <w:rFonts w:cs="Arial"/>
          <w:szCs w:val="22"/>
          <w:lang w:eastAsia="en-GB"/>
        </w:rPr>
        <w:t>,8</w:t>
      </w:r>
      <w:r w:rsidR="003D056C">
        <w:rPr>
          <w:rFonts w:cs="Arial"/>
          <w:szCs w:val="22"/>
          <w:lang w:eastAsia="en-GB"/>
        </w:rPr>
        <w:t>00</w:t>
      </w:r>
      <w:r w:rsidR="00C625F3">
        <w:rPr>
          <w:rFonts w:cs="Arial"/>
          <w:szCs w:val="22"/>
          <w:lang w:eastAsia="en-GB"/>
        </w:rPr>
        <w:t xml:space="preserve"> licenc</w:t>
      </w:r>
      <w:r w:rsidRPr="001D577B">
        <w:rPr>
          <w:rFonts w:cs="Arial"/>
          <w:szCs w:val="22"/>
          <w:lang w:eastAsia="en-GB"/>
        </w:rPr>
        <w:t xml:space="preserve">es </w:t>
      </w:r>
      <w:r>
        <w:rPr>
          <w:rFonts w:cs="Arial"/>
          <w:szCs w:val="22"/>
          <w:lang w:eastAsia="en-GB"/>
        </w:rPr>
        <w:t>o</w:t>
      </w:r>
      <w:r w:rsidRPr="001D577B">
        <w:rPr>
          <w:rFonts w:cs="Arial"/>
          <w:szCs w:val="22"/>
          <w:lang w:eastAsia="en-GB"/>
        </w:rPr>
        <w:t>n</w:t>
      </w:r>
      <w:r>
        <w:rPr>
          <w:rFonts w:cs="Arial"/>
          <w:szCs w:val="22"/>
          <w:lang w:eastAsia="en-GB"/>
        </w:rPr>
        <w:t xml:space="preserve"> 31 March</w:t>
      </w:r>
      <w:r w:rsidRPr="001D577B">
        <w:rPr>
          <w:rFonts w:cs="Arial"/>
          <w:szCs w:val="22"/>
          <w:lang w:eastAsia="en-GB"/>
        </w:rPr>
        <w:t xml:space="preserve"> 201</w:t>
      </w:r>
      <w:r w:rsidR="000D5F87">
        <w:rPr>
          <w:rFonts w:cs="Arial"/>
          <w:szCs w:val="22"/>
          <w:lang w:eastAsia="en-GB"/>
        </w:rPr>
        <w:t>3</w:t>
      </w:r>
      <w:r w:rsidR="00BF5A77">
        <w:rPr>
          <w:rFonts w:cs="Arial"/>
          <w:szCs w:val="22"/>
          <w:lang w:eastAsia="en-GB"/>
        </w:rPr>
        <w:t>.</w:t>
      </w:r>
      <w:r w:rsidR="007912BA">
        <w:rPr>
          <w:rFonts w:cs="Arial"/>
          <w:szCs w:val="22"/>
          <w:lang w:eastAsia="en-GB"/>
        </w:rPr>
        <w:t xml:space="preserve"> </w:t>
      </w:r>
    </w:p>
    <w:p w:rsidR="00104CFC" w:rsidRDefault="00104CFC" w:rsidP="002F2445">
      <w:pPr>
        <w:spacing w:before="0"/>
        <w:ind w:left="1418"/>
        <w:rPr>
          <w:rFonts w:cs="Arial"/>
          <w:szCs w:val="22"/>
          <w:lang w:eastAsia="en-GB"/>
        </w:rPr>
      </w:pPr>
    </w:p>
    <w:p w:rsidR="00104CFC" w:rsidRDefault="000B46F1" w:rsidP="002F2445">
      <w:pPr>
        <w:numPr>
          <w:ilvl w:val="0"/>
          <w:numId w:val="5"/>
        </w:numPr>
        <w:spacing w:before="0"/>
        <w:ind w:left="1418" w:hanging="199"/>
        <w:rPr>
          <w:rFonts w:cs="Arial"/>
          <w:szCs w:val="22"/>
          <w:lang w:eastAsia="en-GB"/>
        </w:rPr>
      </w:pPr>
      <w:r>
        <w:rPr>
          <w:rFonts w:cs="Arial"/>
          <w:szCs w:val="22"/>
          <w:lang w:eastAsia="en-GB"/>
        </w:rPr>
        <w:t>P</w:t>
      </w:r>
      <w:r w:rsidR="00104CFC" w:rsidRPr="003D056C">
        <w:rPr>
          <w:rFonts w:cs="Arial"/>
          <w:szCs w:val="22"/>
          <w:lang w:eastAsia="en-GB"/>
        </w:rPr>
        <w:t>remises licences accounted for 9</w:t>
      </w:r>
      <w:r w:rsidR="000D5F87">
        <w:rPr>
          <w:rFonts w:cs="Arial"/>
          <w:szCs w:val="22"/>
          <w:lang w:eastAsia="en-GB"/>
        </w:rPr>
        <w:t>1</w:t>
      </w:r>
      <w:r w:rsidR="0060633C">
        <w:rPr>
          <w:rFonts w:cs="Arial"/>
          <w:szCs w:val="22"/>
          <w:lang w:eastAsia="en-GB"/>
        </w:rPr>
        <w:t>.</w:t>
      </w:r>
      <w:r w:rsidR="000D5F87">
        <w:rPr>
          <w:rFonts w:cs="Arial"/>
          <w:szCs w:val="22"/>
          <w:lang w:eastAsia="en-GB"/>
        </w:rPr>
        <w:t>0</w:t>
      </w:r>
      <w:r w:rsidR="00104CFC" w:rsidRPr="003D056C">
        <w:rPr>
          <w:rFonts w:cs="Arial"/>
          <w:szCs w:val="22"/>
          <w:lang w:eastAsia="en-GB"/>
        </w:rPr>
        <w:t xml:space="preserve"> per cent</w:t>
      </w:r>
      <w:r w:rsidR="00104CFC">
        <w:rPr>
          <w:rFonts w:cs="Arial"/>
          <w:szCs w:val="22"/>
          <w:lang w:eastAsia="en-GB"/>
        </w:rPr>
        <w:t xml:space="preserve"> of the total number of </w:t>
      </w:r>
      <w:r>
        <w:rPr>
          <w:rFonts w:cs="Arial"/>
          <w:szCs w:val="22"/>
          <w:lang w:eastAsia="en-GB"/>
        </w:rPr>
        <w:t xml:space="preserve">licences in force which authorised regulated </w:t>
      </w:r>
      <w:r w:rsidR="0060633C">
        <w:rPr>
          <w:rFonts w:cs="Arial"/>
          <w:szCs w:val="22"/>
          <w:lang w:eastAsia="en-GB"/>
        </w:rPr>
        <w:t>entertainment</w:t>
      </w:r>
      <w:r>
        <w:rPr>
          <w:rFonts w:cs="Arial"/>
          <w:szCs w:val="22"/>
          <w:lang w:eastAsia="en-GB"/>
        </w:rPr>
        <w:t xml:space="preserve"> o</w:t>
      </w:r>
      <w:r w:rsidR="00104CFC">
        <w:rPr>
          <w:rFonts w:cs="Arial"/>
          <w:szCs w:val="22"/>
          <w:lang w:eastAsia="en-GB"/>
        </w:rPr>
        <w:t>n</w:t>
      </w:r>
      <w:r>
        <w:rPr>
          <w:rFonts w:cs="Arial"/>
          <w:szCs w:val="22"/>
          <w:lang w:eastAsia="en-GB"/>
        </w:rPr>
        <w:t xml:space="preserve"> 31</w:t>
      </w:r>
      <w:r w:rsidRPr="000B46F1">
        <w:rPr>
          <w:rFonts w:cs="Arial"/>
          <w:szCs w:val="22"/>
          <w:vertAlign w:val="superscript"/>
          <w:lang w:eastAsia="en-GB"/>
        </w:rPr>
        <w:t>st</w:t>
      </w:r>
      <w:r>
        <w:rPr>
          <w:rFonts w:cs="Arial"/>
          <w:szCs w:val="22"/>
          <w:lang w:eastAsia="en-GB"/>
        </w:rPr>
        <w:t xml:space="preserve"> March</w:t>
      </w:r>
      <w:r w:rsidR="00104CFC">
        <w:rPr>
          <w:rFonts w:cs="Arial"/>
          <w:szCs w:val="22"/>
          <w:lang w:eastAsia="en-GB"/>
        </w:rPr>
        <w:t xml:space="preserve"> 201</w:t>
      </w:r>
      <w:r w:rsidR="000D5F87">
        <w:rPr>
          <w:rFonts w:cs="Arial"/>
          <w:szCs w:val="22"/>
          <w:lang w:eastAsia="en-GB"/>
        </w:rPr>
        <w:t>4</w:t>
      </w:r>
      <w:r>
        <w:rPr>
          <w:rFonts w:cs="Arial"/>
          <w:szCs w:val="22"/>
          <w:lang w:eastAsia="en-GB"/>
        </w:rPr>
        <w:t>. C</w:t>
      </w:r>
      <w:r w:rsidR="00104CFC" w:rsidRPr="003D056C">
        <w:rPr>
          <w:rFonts w:cs="Arial"/>
          <w:szCs w:val="22"/>
          <w:lang w:eastAsia="en-GB"/>
        </w:rPr>
        <w:t>lub premises certifica</w:t>
      </w:r>
      <w:r>
        <w:rPr>
          <w:rFonts w:cs="Arial"/>
          <w:szCs w:val="22"/>
          <w:lang w:eastAsia="en-GB"/>
        </w:rPr>
        <w:t>tes accounted</w:t>
      </w:r>
      <w:r w:rsidR="000B1A1A">
        <w:rPr>
          <w:rFonts w:cs="Arial"/>
          <w:szCs w:val="22"/>
          <w:lang w:eastAsia="en-GB"/>
        </w:rPr>
        <w:t xml:space="preserve"> for </w:t>
      </w:r>
      <w:r w:rsidR="00D96CCE">
        <w:rPr>
          <w:rFonts w:cs="Arial"/>
          <w:szCs w:val="22"/>
          <w:lang w:eastAsia="en-GB"/>
        </w:rPr>
        <w:t xml:space="preserve">the other </w:t>
      </w:r>
      <w:r w:rsidR="00104CFC">
        <w:rPr>
          <w:rFonts w:cs="Arial"/>
          <w:szCs w:val="22"/>
          <w:lang w:eastAsia="en-GB"/>
        </w:rPr>
        <w:t>9</w:t>
      </w:r>
      <w:r w:rsidR="000D5F87">
        <w:rPr>
          <w:rFonts w:cs="Arial"/>
          <w:szCs w:val="22"/>
          <w:lang w:eastAsia="en-GB"/>
        </w:rPr>
        <w:t>.0</w:t>
      </w:r>
      <w:r w:rsidR="00104CFC" w:rsidRPr="003D056C">
        <w:rPr>
          <w:rFonts w:cs="Arial"/>
          <w:szCs w:val="22"/>
          <w:lang w:eastAsia="en-GB"/>
        </w:rPr>
        <w:t xml:space="preserve"> per cent. </w:t>
      </w:r>
    </w:p>
    <w:p w:rsidR="001A6F3D" w:rsidRDefault="001A6F3D" w:rsidP="002F2445">
      <w:pPr>
        <w:spacing w:before="0"/>
        <w:ind w:left="1418" w:hanging="199"/>
        <w:rPr>
          <w:rFonts w:cs="Arial"/>
          <w:szCs w:val="22"/>
          <w:lang w:eastAsia="en-GB"/>
        </w:rPr>
      </w:pPr>
    </w:p>
    <w:p w:rsidR="001A6F3D" w:rsidRPr="001A6F3D" w:rsidRDefault="006642E7" w:rsidP="000D5F87">
      <w:pPr>
        <w:numPr>
          <w:ilvl w:val="0"/>
          <w:numId w:val="5"/>
        </w:numPr>
        <w:spacing w:before="0"/>
        <w:ind w:left="1418" w:hanging="199"/>
        <w:rPr>
          <w:rFonts w:cs="Arial"/>
          <w:szCs w:val="22"/>
          <w:lang w:eastAsia="en-GB"/>
        </w:rPr>
      </w:pPr>
      <w:r>
        <w:rPr>
          <w:rFonts w:cs="Arial"/>
          <w:szCs w:val="22"/>
          <w:lang w:eastAsia="en-GB"/>
        </w:rPr>
        <w:lastRenderedPageBreak/>
        <w:t xml:space="preserve">The largest </w:t>
      </w:r>
      <w:r w:rsidR="00B90E38">
        <w:rPr>
          <w:rFonts w:cs="Arial"/>
          <w:szCs w:val="22"/>
          <w:lang w:eastAsia="en-GB"/>
        </w:rPr>
        <w:t xml:space="preserve">percentage </w:t>
      </w:r>
      <w:r>
        <w:rPr>
          <w:rFonts w:cs="Arial"/>
          <w:szCs w:val="22"/>
          <w:lang w:eastAsia="en-GB"/>
        </w:rPr>
        <w:t>increases in premises licences</w:t>
      </w:r>
      <w:r w:rsidR="00747112">
        <w:rPr>
          <w:rFonts w:cs="Arial"/>
          <w:szCs w:val="22"/>
          <w:lang w:eastAsia="en-GB"/>
        </w:rPr>
        <w:t xml:space="preserve"> between March 201</w:t>
      </w:r>
      <w:r w:rsidR="000D5F87">
        <w:rPr>
          <w:rFonts w:cs="Arial"/>
          <w:szCs w:val="22"/>
          <w:lang w:eastAsia="en-GB"/>
        </w:rPr>
        <w:t>3</w:t>
      </w:r>
      <w:r w:rsidR="00747112">
        <w:rPr>
          <w:rFonts w:cs="Arial"/>
          <w:szCs w:val="22"/>
          <w:lang w:eastAsia="en-GB"/>
        </w:rPr>
        <w:t xml:space="preserve"> and March 201</w:t>
      </w:r>
      <w:r w:rsidR="000D5F87">
        <w:rPr>
          <w:rFonts w:cs="Arial"/>
          <w:szCs w:val="22"/>
          <w:lang w:eastAsia="en-GB"/>
        </w:rPr>
        <w:t>4</w:t>
      </w:r>
      <w:r w:rsidR="001A6F3D" w:rsidRPr="001A6F3D">
        <w:rPr>
          <w:rFonts w:cs="Arial"/>
          <w:szCs w:val="22"/>
          <w:lang w:eastAsia="en-GB"/>
        </w:rPr>
        <w:t xml:space="preserve"> </w:t>
      </w:r>
      <w:r w:rsidR="00D60FC8">
        <w:rPr>
          <w:rFonts w:cs="Arial"/>
          <w:szCs w:val="22"/>
          <w:lang w:eastAsia="en-GB"/>
        </w:rPr>
        <w:t>w</w:t>
      </w:r>
      <w:r w:rsidR="00747112">
        <w:rPr>
          <w:rFonts w:cs="Arial"/>
          <w:szCs w:val="22"/>
          <w:lang w:eastAsia="en-GB"/>
        </w:rPr>
        <w:t>ere</w:t>
      </w:r>
      <w:r>
        <w:rPr>
          <w:rFonts w:cs="Arial"/>
          <w:szCs w:val="22"/>
          <w:lang w:eastAsia="en-GB"/>
        </w:rPr>
        <w:t xml:space="preserve"> for those covering</w:t>
      </w:r>
      <w:r w:rsidR="00D60FC8">
        <w:rPr>
          <w:rFonts w:cs="Arial"/>
          <w:szCs w:val="22"/>
          <w:lang w:eastAsia="en-GB"/>
        </w:rPr>
        <w:t xml:space="preserve"> </w:t>
      </w:r>
      <w:r w:rsidR="000D5F87" w:rsidRPr="000D5F87">
        <w:rPr>
          <w:rFonts w:cs="Arial"/>
          <w:szCs w:val="22"/>
          <w:lang w:eastAsia="en-GB"/>
        </w:rPr>
        <w:t xml:space="preserve">Indoor sporting events </w:t>
      </w:r>
      <w:r w:rsidR="00747112">
        <w:rPr>
          <w:rFonts w:cs="Arial"/>
          <w:szCs w:val="22"/>
          <w:lang w:eastAsia="en-GB"/>
        </w:rPr>
        <w:t>(</w:t>
      </w:r>
      <w:r w:rsidR="000D5F87">
        <w:rPr>
          <w:rFonts w:cs="Arial"/>
          <w:szCs w:val="22"/>
          <w:lang w:eastAsia="en-GB"/>
        </w:rPr>
        <w:t>1</w:t>
      </w:r>
      <w:r w:rsidR="00747112">
        <w:rPr>
          <w:rFonts w:cs="Arial"/>
          <w:szCs w:val="22"/>
          <w:lang w:eastAsia="en-GB"/>
        </w:rPr>
        <w:t>.</w:t>
      </w:r>
      <w:r w:rsidR="000D5F87">
        <w:rPr>
          <w:rFonts w:cs="Arial"/>
          <w:szCs w:val="22"/>
          <w:lang w:eastAsia="en-GB"/>
        </w:rPr>
        <w:t>6</w:t>
      </w:r>
      <w:r w:rsidR="00DA5D67" w:rsidRPr="001A6F3D">
        <w:rPr>
          <w:rFonts w:cs="Arial"/>
          <w:szCs w:val="22"/>
          <w:lang w:eastAsia="en-GB"/>
        </w:rPr>
        <w:t>%)</w:t>
      </w:r>
      <w:r w:rsidR="000D5F87">
        <w:rPr>
          <w:rFonts w:cs="Arial"/>
          <w:szCs w:val="22"/>
          <w:lang w:eastAsia="en-GB"/>
        </w:rPr>
        <w:t xml:space="preserve"> and </w:t>
      </w:r>
      <w:r w:rsidR="00747112">
        <w:rPr>
          <w:rFonts w:cs="Arial"/>
          <w:szCs w:val="22"/>
          <w:lang w:eastAsia="en-GB"/>
        </w:rPr>
        <w:t>plays</w:t>
      </w:r>
      <w:r w:rsidR="001A6F3D" w:rsidRPr="001A6F3D">
        <w:rPr>
          <w:rFonts w:cs="Arial"/>
          <w:szCs w:val="22"/>
          <w:lang w:eastAsia="en-GB"/>
        </w:rPr>
        <w:t xml:space="preserve"> (</w:t>
      </w:r>
      <w:r w:rsidR="000D5F87">
        <w:rPr>
          <w:rFonts w:cs="Arial"/>
          <w:szCs w:val="22"/>
          <w:lang w:eastAsia="en-GB"/>
        </w:rPr>
        <w:t>1</w:t>
      </w:r>
      <w:r w:rsidR="001A6F3D">
        <w:rPr>
          <w:rFonts w:cs="Arial"/>
          <w:szCs w:val="22"/>
          <w:lang w:eastAsia="en-GB"/>
        </w:rPr>
        <w:t>.</w:t>
      </w:r>
      <w:r w:rsidR="000D5F87">
        <w:rPr>
          <w:rFonts w:cs="Arial"/>
          <w:szCs w:val="22"/>
          <w:lang w:eastAsia="en-GB"/>
        </w:rPr>
        <w:t>1</w:t>
      </w:r>
      <w:r w:rsidR="001A6F3D" w:rsidRPr="001A6F3D">
        <w:rPr>
          <w:rFonts w:cs="Arial"/>
          <w:szCs w:val="22"/>
          <w:lang w:eastAsia="en-GB"/>
        </w:rPr>
        <w:t>%).</w:t>
      </w:r>
      <w:r w:rsidR="00D80423">
        <w:rPr>
          <w:rFonts w:cs="Arial"/>
          <w:szCs w:val="22"/>
          <w:lang w:eastAsia="en-GB"/>
        </w:rPr>
        <w:t xml:space="preserve"> </w:t>
      </w:r>
      <w:r w:rsidR="00D80423" w:rsidRPr="00317F3B">
        <w:rPr>
          <w:rFonts w:cs="Arial"/>
          <w:szCs w:val="22"/>
          <w:lang w:eastAsia="en-GB"/>
        </w:rPr>
        <w:t xml:space="preserve">To note, </w:t>
      </w:r>
      <w:r w:rsidR="00317F3B" w:rsidRPr="00317F3B">
        <w:rPr>
          <w:rFonts w:cs="Arial"/>
          <w:szCs w:val="22"/>
          <w:lang w:eastAsia="en-GB"/>
        </w:rPr>
        <w:t>art engagement</w:t>
      </w:r>
      <w:r w:rsidR="003D056C" w:rsidRPr="00317F3B">
        <w:rPr>
          <w:rFonts w:cs="Arial"/>
          <w:szCs w:val="22"/>
          <w:lang w:eastAsia="en-GB"/>
        </w:rPr>
        <w:t xml:space="preserve"> figures</w:t>
      </w:r>
      <w:r w:rsidR="00DA5D67" w:rsidRPr="00317F3B">
        <w:rPr>
          <w:rFonts w:cs="Arial"/>
          <w:szCs w:val="22"/>
          <w:lang w:eastAsia="en-GB"/>
        </w:rPr>
        <w:t xml:space="preserve"> over this time period, </w:t>
      </w:r>
      <w:r w:rsidR="003D056C" w:rsidRPr="00317F3B">
        <w:rPr>
          <w:rFonts w:cs="Arial"/>
          <w:szCs w:val="22"/>
          <w:lang w:eastAsia="en-GB"/>
        </w:rPr>
        <w:t xml:space="preserve">from </w:t>
      </w:r>
      <w:r w:rsidR="001A6F3D" w:rsidRPr="00317F3B">
        <w:rPr>
          <w:rFonts w:cs="Arial"/>
          <w:szCs w:val="22"/>
          <w:lang w:eastAsia="en-GB"/>
        </w:rPr>
        <w:t>the Taking Part Survey</w:t>
      </w:r>
      <w:r w:rsidR="001A6F3D" w:rsidRPr="00317F3B">
        <w:rPr>
          <w:rStyle w:val="FootnoteReference"/>
          <w:rFonts w:cs="Arial"/>
          <w:szCs w:val="22"/>
          <w:lang w:eastAsia="en-GB"/>
        </w:rPr>
        <w:footnoteReference w:id="2"/>
      </w:r>
      <w:r w:rsidR="00D464A5" w:rsidRPr="00317F3B">
        <w:rPr>
          <w:rFonts w:cs="Arial"/>
          <w:szCs w:val="22"/>
          <w:lang w:eastAsia="en-GB"/>
        </w:rPr>
        <w:t>,</w:t>
      </w:r>
      <w:r w:rsidR="001A6F3D" w:rsidRPr="00317F3B">
        <w:rPr>
          <w:rFonts w:cs="Arial"/>
          <w:szCs w:val="22"/>
          <w:lang w:eastAsia="en-GB"/>
        </w:rPr>
        <w:t xml:space="preserve"> </w:t>
      </w:r>
      <w:r w:rsidR="003D056C" w:rsidRPr="00317F3B">
        <w:rPr>
          <w:rFonts w:cs="Arial"/>
          <w:szCs w:val="22"/>
          <w:lang w:eastAsia="en-GB"/>
        </w:rPr>
        <w:t>show</w:t>
      </w:r>
      <w:r w:rsidR="00317F3B" w:rsidRPr="00317F3B">
        <w:rPr>
          <w:rFonts w:cs="Arial"/>
          <w:szCs w:val="22"/>
          <w:lang w:eastAsia="en-GB"/>
        </w:rPr>
        <w:t>ed a slight decrease from 78.4% in 2012/13 to 77.5% in 2013/14</w:t>
      </w:r>
      <w:r w:rsidR="00317F3B">
        <w:rPr>
          <w:rFonts w:cs="Arial"/>
          <w:szCs w:val="22"/>
          <w:lang w:eastAsia="en-GB"/>
        </w:rPr>
        <w:t xml:space="preserve">. This covers </w:t>
      </w:r>
      <w:r w:rsidR="00317F3B" w:rsidRPr="00317F3B">
        <w:rPr>
          <w:rFonts w:cs="Arial"/>
          <w:szCs w:val="22"/>
          <w:lang w:eastAsia="en-GB"/>
        </w:rPr>
        <w:t xml:space="preserve">adults engaging </w:t>
      </w:r>
      <w:r w:rsidR="00104CFC" w:rsidRPr="00317F3B">
        <w:rPr>
          <w:rFonts w:cs="Arial"/>
          <w:szCs w:val="22"/>
          <w:lang w:eastAsia="en-GB"/>
        </w:rPr>
        <w:t>in</w:t>
      </w:r>
      <w:r w:rsidR="00317F3B" w:rsidRPr="00317F3B">
        <w:rPr>
          <w:rFonts w:cs="Arial"/>
          <w:szCs w:val="22"/>
          <w:lang w:eastAsia="en-GB"/>
        </w:rPr>
        <w:t xml:space="preserve"> the arts through</w:t>
      </w:r>
      <w:r w:rsidR="00104CFC" w:rsidRPr="00317F3B">
        <w:rPr>
          <w:rFonts w:cs="Arial"/>
          <w:szCs w:val="22"/>
          <w:lang w:eastAsia="en-GB"/>
        </w:rPr>
        <w:t xml:space="preserve"> </w:t>
      </w:r>
      <w:r w:rsidR="00F60377" w:rsidRPr="00317F3B">
        <w:rPr>
          <w:rFonts w:cs="Arial"/>
          <w:szCs w:val="22"/>
          <w:lang w:eastAsia="en-GB"/>
        </w:rPr>
        <w:t>a</w:t>
      </w:r>
      <w:r w:rsidR="00DA5D67" w:rsidRPr="00317F3B">
        <w:rPr>
          <w:rFonts w:cs="Arial"/>
          <w:szCs w:val="22"/>
          <w:lang w:eastAsia="en-GB"/>
        </w:rPr>
        <w:t>ttendance</w:t>
      </w:r>
      <w:r w:rsidR="00F60377" w:rsidRPr="00317F3B">
        <w:rPr>
          <w:rFonts w:cs="Arial"/>
          <w:szCs w:val="22"/>
          <w:lang w:eastAsia="en-GB"/>
        </w:rPr>
        <w:t xml:space="preserve"> of plays or dramas</w:t>
      </w:r>
      <w:r w:rsidR="00317F3B">
        <w:rPr>
          <w:rFonts w:cs="Arial"/>
          <w:szCs w:val="22"/>
          <w:lang w:eastAsia="en-GB"/>
        </w:rPr>
        <w:t>, but also par</w:t>
      </w:r>
      <w:r w:rsidR="00317F3B" w:rsidRPr="00317F3B">
        <w:rPr>
          <w:rFonts w:cs="Arial"/>
          <w:szCs w:val="22"/>
          <w:lang w:eastAsia="en-GB"/>
        </w:rPr>
        <w:t>ticipation in the arts, such as painting</w:t>
      </w:r>
      <w:r w:rsidR="00317F3B">
        <w:rPr>
          <w:rFonts w:cs="Arial"/>
          <w:szCs w:val="22"/>
          <w:lang w:eastAsia="en-GB"/>
        </w:rPr>
        <w:t>.</w:t>
      </w:r>
    </w:p>
    <w:p w:rsidR="00967CFF" w:rsidRDefault="00967CFF" w:rsidP="002F2445">
      <w:pPr>
        <w:spacing w:before="0"/>
        <w:ind w:left="1418" w:hanging="199"/>
        <w:rPr>
          <w:rFonts w:cs="Arial"/>
          <w:szCs w:val="22"/>
          <w:lang w:eastAsia="en-GB"/>
        </w:rPr>
      </w:pPr>
    </w:p>
    <w:p w:rsidR="00D80423" w:rsidRDefault="00D80423" w:rsidP="00384096">
      <w:pPr>
        <w:spacing w:before="0"/>
        <w:ind w:left="1418"/>
        <w:rPr>
          <w:rFonts w:cs="Arial"/>
          <w:b/>
          <w:szCs w:val="22"/>
          <w:lang w:eastAsia="en-GB"/>
        </w:rPr>
      </w:pPr>
      <w:r w:rsidRPr="00D80423">
        <w:rPr>
          <w:rFonts w:cs="Arial"/>
          <w:b/>
          <w:szCs w:val="22"/>
          <w:lang w:eastAsia="en-GB"/>
        </w:rPr>
        <w:t>Club Premises Certificates</w:t>
      </w:r>
    </w:p>
    <w:p w:rsidR="00843D3B" w:rsidRDefault="00967CFF" w:rsidP="002F2445">
      <w:pPr>
        <w:numPr>
          <w:ilvl w:val="0"/>
          <w:numId w:val="5"/>
        </w:numPr>
        <w:spacing w:before="0"/>
        <w:ind w:left="1418" w:hanging="199"/>
        <w:rPr>
          <w:rFonts w:cs="Arial"/>
          <w:szCs w:val="22"/>
          <w:lang w:eastAsia="en-GB"/>
        </w:rPr>
      </w:pPr>
      <w:r w:rsidRPr="000B1A1A">
        <w:rPr>
          <w:rFonts w:cs="Arial"/>
          <w:szCs w:val="22"/>
          <w:lang w:eastAsia="en-GB"/>
        </w:rPr>
        <w:t xml:space="preserve">There were </w:t>
      </w:r>
      <w:r w:rsidR="00747112">
        <w:rPr>
          <w:rFonts w:cs="Arial"/>
          <w:szCs w:val="22"/>
          <w:lang w:eastAsia="en-GB"/>
        </w:rPr>
        <w:t>11</w:t>
      </w:r>
      <w:r w:rsidR="00826D24" w:rsidRPr="000B1A1A">
        <w:rPr>
          <w:rFonts w:cs="Arial"/>
          <w:szCs w:val="22"/>
          <w:lang w:eastAsia="en-GB"/>
        </w:rPr>
        <w:t>,</w:t>
      </w:r>
      <w:r w:rsidR="007F398D">
        <w:rPr>
          <w:rFonts w:cs="Arial"/>
          <w:szCs w:val="22"/>
          <w:lang w:eastAsia="en-GB"/>
        </w:rPr>
        <w:t>8</w:t>
      </w:r>
      <w:r w:rsidR="003D056C" w:rsidRPr="000B1A1A">
        <w:rPr>
          <w:rFonts w:cs="Arial"/>
          <w:szCs w:val="22"/>
          <w:lang w:eastAsia="en-GB"/>
        </w:rPr>
        <w:t>00</w:t>
      </w:r>
      <w:r w:rsidRPr="000B1A1A">
        <w:rPr>
          <w:rFonts w:cs="Arial"/>
          <w:szCs w:val="22"/>
          <w:lang w:eastAsia="en-GB"/>
        </w:rPr>
        <w:t xml:space="preserve"> club premises certificates authorising </w:t>
      </w:r>
      <w:r w:rsidR="007378A3" w:rsidRPr="000B1A1A">
        <w:rPr>
          <w:rFonts w:cs="Arial"/>
          <w:szCs w:val="22"/>
          <w:lang w:eastAsia="en-GB"/>
        </w:rPr>
        <w:t>regulated entertainment</w:t>
      </w:r>
      <w:r w:rsidR="00BF5A77" w:rsidRPr="000B1A1A">
        <w:rPr>
          <w:rFonts w:cs="Arial"/>
          <w:szCs w:val="22"/>
          <w:lang w:eastAsia="en-GB"/>
        </w:rPr>
        <w:t xml:space="preserve"> </w:t>
      </w:r>
      <w:r w:rsidRPr="000B1A1A">
        <w:rPr>
          <w:rFonts w:cs="Arial"/>
          <w:szCs w:val="22"/>
          <w:lang w:eastAsia="en-GB"/>
        </w:rPr>
        <w:t>in England and Wales on 31 March 201</w:t>
      </w:r>
      <w:r w:rsidR="007F398D">
        <w:rPr>
          <w:rFonts w:cs="Arial"/>
          <w:szCs w:val="22"/>
          <w:lang w:eastAsia="en-GB"/>
        </w:rPr>
        <w:t>4</w:t>
      </w:r>
      <w:r w:rsidR="00BF5A77" w:rsidRPr="000B1A1A">
        <w:rPr>
          <w:rFonts w:cs="Arial"/>
          <w:szCs w:val="22"/>
          <w:lang w:eastAsia="en-GB"/>
        </w:rPr>
        <w:t>,</w:t>
      </w:r>
      <w:r w:rsidR="0064642D">
        <w:rPr>
          <w:rFonts w:cs="Arial"/>
          <w:szCs w:val="22"/>
          <w:lang w:eastAsia="en-GB"/>
        </w:rPr>
        <w:t xml:space="preserve"> a </w:t>
      </w:r>
      <w:r w:rsidR="00B77334">
        <w:rPr>
          <w:rFonts w:cs="Arial"/>
          <w:szCs w:val="22"/>
          <w:lang w:eastAsia="en-GB"/>
        </w:rPr>
        <w:t>0</w:t>
      </w:r>
      <w:r w:rsidR="0064642D">
        <w:rPr>
          <w:rFonts w:cs="Arial"/>
          <w:szCs w:val="22"/>
          <w:lang w:eastAsia="en-GB"/>
        </w:rPr>
        <w:t>.</w:t>
      </w:r>
      <w:r w:rsidR="00B77334">
        <w:rPr>
          <w:rFonts w:cs="Arial"/>
          <w:szCs w:val="22"/>
          <w:lang w:eastAsia="en-GB"/>
        </w:rPr>
        <w:t>8</w:t>
      </w:r>
      <w:r w:rsidR="0064642D">
        <w:rPr>
          <w:rFonts w:cs="Arial"/>
          <w:szCs w:val="22"/>
          <w:lang w:eastAsia="en-GB"/>
        </w:rPr>
        <w:t xml:space="preserve"> per cent decrease</w:t>
      </w:r>
      <w:r w:rsidRPr="000B1A1A">
        <w:rPr>
          <w:rFonts w:cs="Arial"/>
          <w:szCs w:val="22"/>
          <w:lang w:eastAsia="en-GB"/>
        </w:rPr>
        <w:t xml:space="preserve"> </w:t>
      </w:r>
      <w:r w:rsidR="00BF5A77" w:rsidRPr="000B1A1A">
        <w:rPr>
          <w:rFonts w:cs="Arial"/>
          <w:szCs w:val="22"/>
          <w:lang w:eastAsia="en-GB"/>
        </w:rPr>
        <w:t>c</w:t>
      </w:r>
      <w:r w:rsidR="00826D24" w:rsidRPr="000B1A1A">
        <w:rPr>
          <w:rFonts w:cs="Arial"/>
          <w:szCs w:val="22"/>
          <w:lang w:eastAsia="en-GB"/>
        </w:rPr>
        <w:t xml:space="preserve">ompared to </w:t>
      </w:r>
      <w:r w:rsidR="00BF5A77" w:rsidRPr="000B1A1A">
        <w:rPr>
          <w:rFonts w:cs="Arial"/>
          <w:szCs w:val="22"/>
          <w:lang w:eastAsia="en-GB"/>
        </w:rPr>
        <w:t>1</w:t>
      </w:r>
      <w:r w:rsidR="00B77334">
        <w:rPr>
          <w:rFonts w:cs="Arial"/>
          <w:szCs w:val="22"/>
          <w:lang w:eastAsia="en-GB"/>
        </w:rPr>
        <w:t>1</w:t>
      </w:r>
      <w:r w:rsidR="00BF5A77" w:rsidRPr="000B1A1A">
        <w:rPr>
          <w:rFonts w:cs="Arial"/>
          <w:szCs w:val="22"/>
          <w:lang w:eastAsia="en-GB"/>
        </w:rPr>
        <w:t>,</w:t>
      </w:r>
      <w:r w:rsidR="00B77334">
        <w:rPr>
          <w:rFonts w:cs="Arial"/>
          <w:szCs w:val="22"/>
          <w:lang w:eastAsia="en-GB"/>
        </w:rPr>
        <w:t>9</w:t>
      </w:r>
      <w:r w:rsidR="003D056C" w:rsidRPr="000B1A1A">
        <w:rPr>
          <w:rFonts w:cs="Arial"/>
          <w:szCs w:val="22"/>
          <w:lang w:eastAsia="en-GB"/>
        </w:rPr>
        <w:t>00</w:t>
      </w:r>
      <w:r w:rsidR="00BF5A77" w:rsidRPr="000B1A1A">
        <w:rPr>
          <w:rFonts w:cs="Arial"/>
          <w:szCs w:val="22"/>
          <w:lang w:eastAsia="en-GB"/>
        </w:rPr>
        <w:t xml:space="preserve"> such licences on </w:t>
      </w:r>
      <w:r w:rsidR="00747112">
        <w:rPr>
          <w:rFonts w:cs="Arial"/>
          <w:szCs w:val="22"/>
          <w:lang w:eastAsia="en-GB"/>
        </w:rPr>
        <w:t>31 March 201</w:t>
      </w:r>
      <w:r w:rsidR="00B77334">
        <w:rPr>
          <w:rFonts w:cs="Arial"/>
          <w:szCs w:val="22"/>
          <w:lang w:eastAsia="en-GB"/>
        </w:rPr>
        <w:t>3</w:t>
      </w:r>
      <w:r w:rsidR="009A55E0" w:rsidRPr="007733B9">
        <w:rPr>
          <w:rFonts w:cs="Arial"/>
          <w:szCs w:val="22"/>
          <w:lang w:eastAsia="en-GB"/>
        </w:rPr>
        <w:t xml:space="preserve">. There has been a </w:t>
      </w:r>
      <w:r w:rsidR="00747112">
        <w:rPr>
          <w:rFonts w:cs="Arial"/>
          <w:szCs w:val="22"/>
          <w:lang w:eastAsia="en-GB"/>
        </w:rPr>
        <w:t>gradual</w:t>
      </w:r>
      <w:r w:rsidR="009A55E0" w:rsidRPr="007733B9">
        <w:rPr>
          <w:rFonts w:cs="Arial"/>
          <w:szCs w:val="22"/>
          <w:lang w:eastAsia="en-GB"/>
        </w:rPr>
        <w:t xml:space="preserve"> but steady decrease in the number of these club premises certificates </w:t>
      </w:r>
      <w:r w:rsidR="00B90E38">
        <w:rPr>
          <w:rFonts w:cs="Arial"/>
          <w:szCs w:val="22"/>
          <w:lang w:eastAsia="en-GB"/>
        </w:rPr>
        <w:t xml:space="preserve">in force </w:t>
      </w:r>
      <w:r w:rsidR="009A55E0" w:rsidRPr="007733B9">
        <w:rPr>
          <w:rFonts w:cs="Arial"/>
          <w:szCs w:val="22"/>
          <w:lang w:eastAsia="en-GB"/>
        </w:rPr>
        <w:t>since 2008.</w:t>
      </w:r>
    </w:p>
    <w:p w:rsidR="00C625F3" w:rsidRDefault="00C625F3" w:rsidP="00C625F3">
      <w:pPr>
        <w:spacing w:before="0"/>
        <w:ind w:left="0"/>
        <w:rPr>
          <w:rFonts w:cs="Arial"/>
          <w:szCs w:val="22"/>
          <w:lang w:eastAsia="en-GB"/>
        </w:rPr>
      </w:pPr>
    </w:p>
    <w:p w:rsidR="00104CFC" w:rsidRPr="00B77334" w:rsidRDefault="005D27CF" w:rsidP="005D27CF">
      <w:pPr>
        <w:numPr>
          <w:ilvl w:val="0"/>
          <w:numId w:val="5"/>
        </w:numPr>
        <w:spacing w:before="0"/>
        <w:ind w:left="1418" w:hanging="199"/>
        <w:rPr>
          <w:rFonts w:cs="Arial"/>
          <w:szCs w:val="22"/>
          <w:lang w:eastAsia="en-GB"/>
        </w:rPr>
      </w:pPr>
      <w:r w:rsidRPr="005D27CF">
        <w:rPr>
          <w:rFonts w:cs="Arial"/>
          <w:szCs w:val="22"/>
          <w:lang w:eastAsia="en-GB"/>
        </w:rPr>
        <w:t>There has been a decrease in the number of entertainment club premises certificates across all types of entertainment.</w:t>
      </w:r>
      <w:r>
        <w:rPr>
          <w:rFonts w:cs="Arial"/>
          <w:szCs w:val="22"/>
          <w:lang w:eastAsia="en-GB"/>
        </w:rPr>
        <w:t xml:space="preserve"> </w:t>
      </w:r>
      <w:r w:rsidR="00A20B0F" w:rsidRPr="00B77334">
        <w:rPr>
          <w:rFonts w:cs="Arial"/>
          <w:szCs w:val="22"/>
          <w:lang w:eastAsia="en-GB"/>
        </w:rPr>
        <w:t xml:space="preserve">The biggest percentage decrease was for the number of club premises certificates for </w:t>
      </w:r>
      <w:r w:rsidR="00B77334" w:rsidRPr="00B77334">
        <w:rPr>
          <w:rFonts w:cs="Arial"/>
          <w:szCs w:val="22"/>
          <w:lang w:eastAsia="en-GB"/>
        </w:rPr>
        <w:t>plays</w:t>
      </w:r>
      <w:r w:rsidR="00A20B0F" w:rsidRPr="00B77334">
        <w:rPr>
          <w:rFonts w:cs="Arial"/>
          <w:szCs w:val="22"/>
          <w:lang w:eastAsia="en-GB"/>
        </w:rPr>
        <w:t xml:space="preserve">, which decreased by </w:t>
      </w:r>
      <w:r w:rsidR="00B77334" w:rsidRPr="00B77334">
        <w:rPr>
          <w:rFonts w:cs="Arial"/>
          <w:szCs w:val="22"/>
          <w:lang w:eastAsia="en-GB"/>
        </w:rPr>
        <w:t>10.1</w:t>
      </w:r>
      <w:r w:rsidR="00A20B0F" w:rsidRPr="00B77334">
        <w:rPr>
          <w:rFonts w:cs="Arial"/>
          <w:szCs w:val="22"/>
          <w:lang w:eastAsia="en-GB"/>
        </w:rPr>
        <w:t xml:space="preserve"> per cent between 31 March 201</w:t>
      </w:r>
      <w:r w:rsidR="00B77334" w:rsidRPr="00B77334">
        <w:rPr>
          <w:rFonts w:cs="Arial"/>
          <w:szCs w:val="22"/>
          <w:lang w:eastAsia="en-GB"/>
        </w:rPr>
        <w:t>3</w:t>
      </w:r>
      <w:r w:rsidR="00A20B0F" w:rsidRPr="00B77334">
        <w:rPr>
          <w:rFonts w:cs="Arial"/>
          <w:szCs w:val="22"/>
          <w:lang w:eastAsia="en-GB"/>
        </w:rPr>
        <w:t xml:space="preserve"> and 201</w:t>
      </w:r>
      <w:r w:rsidR="00B77334" w:rsidRPr="00B77334">
        <w:rPr>
          <w:rFonts w:cs="Arial"/>
          <w:szCs w:val="22"/>
          <w:lang w:eastAsia="en-GB"/>
        </w:rPr>
        <w:t>4</w:t>
      </w:r>
      <w:r w:rsidR="00A20B0F" w:rsidRPr="00B77334">
        <w:rPr>
          <w:rFonts w:cs="Arial"/>
          <w:szCs w:val="22"/>
          <w:lang w:eastAsia="en-GB"/>
        </w:rPr>
        <w:t>.</w:t>
      </w:r>
      <w:r w:rsidR="00B77334" w:rsidRPr="00B77334">
        <w:rPr>
          <w:rFonts w:cs="Arial"/>
          <w:szCs w:val="22"/>
          <w:lang w:eastAsia="en-GB"/>
        </w:rPr>
        <w:t xml:space="preserve"> Although this was the </w:t>
      </w:r>
      <w:r w:rsidR="00C57483" w:rsidRPr="00B77334">
        <w:rPr>
          <w:rFonts w:cs="Arial"/>
          <w:szCs w:val="22"/>
          <w:lang w:eastAsia="en-GB"/>
        </w:rPr>
        <w:t xml:space="preserve">only entertainment </w:t>
      </w:r>
      <w:r w:rsidR="006642E7" w:rsidRPr="00B77334">
        <w:rPr>
          <w:rFonts w:cs="Arial"/>
          <w:szCs w:val="22"/>
          <w:lang w:eastAsia="en-GB"/>
        </w:rPr>
        <w:t>type</w:t>
      </w:r>
      <w:r w:rsidR="00C57483" w:rsidRPr="00B77334">
        <w:rPr>
          <w:rFonts w:cs="Arial"/>
          <w:szCs w:val="22"/>
          <w:lang w:eastAsia="en-GB"/>
        </w:rPr>
        <w:t xml:space="preserve"> for which the number of</w:t>
      </w:r>
      <w:r w:rsidR="001A6F3D" w:rsidRPr="00B77334">
        <w:rPr>
          <w:rFonts w:cs="Arial"/>
          <w:szCs w:val="22"/>
          <w:lang w:eastAsia="en-GB"/>
        </w:rPr>
        <w:t xml:space="preserve"> club premises certificates </w:t>
      </w:r>
      <w:r w:rsidR="00C57483" w:rsidRPr="00B77334">
        <w:rPr>
          <w:rFonts w:cs="Arial"/>
          <w:szCs w:val="22"/>
          <w:lang w:eastAsia="en-GB"/>
        </w:rPr>
        <w:t xml:space="preserve">increased </w:t>
      </w:r>
      <w:r w:rsidR="00B77334">
        <w:rPr>
          <w:rFonts w:cs="Arial"/>
          <w:szCs w:val="22"/>
          <w:lang w:eastAsia="en-GB"/>
        </w:rPr>
        <w:t>in the previous year</w:t>
      </w:r>
      <w:r w:rsidR="00D60FC8" w:rsidRPr="00B77334">
        <w:rPr>
          <w:rFonts w:cs="Arial"/>
          <w:szCs w:val="22"/>
          <w:lang w:eastAsia="en-GB"/>
        </w:rPr>
        <w:t>,</w:t>
      </w:r>
      <w:r w:rsidR="001A6F3D" w:rsidRPr="00B77334">
        <w:rPr>
          <w:rFonts w:cs="Arial"/>
          <w:szCs w:val="22"/>
          <w:lang w:eastAsia="en-GB"/>
        </w:rPr>
        <w:t xml:space="preserve"> </w:t>
      </w:r>
      <w:r w:rsidR="00C57483" w:rsidRPr="00B77334">
        <w:rPr>
          <w:rFonts w:cs="Arial"/>
          <w:szCs w:val="22"/>
          <w:lang w:eastAsia="en-GB"/>
        </w:rPr>
        <w:t xml:space="preserve">a </w:t>
      </w:r>
      <w:r w:rsidR="00823063" w:rsidRPr="00B77334">
        <w:rPr>
          <w:rFonts w:cs="Arial"/>
          <w:szCs w:val="22"/>
          <w:lang w:eastAsia="en-GB"/>
        </w:rPr>
        <w:t>2.0</w:t>
      </w:r>
      <w:r w:rsidR="003D056C" w:rsidRPr="00B77334">
        <w:rPr>
          <w:rFonts w:cs="Arial"/>
          <w:szCs w:val="22"/>
          <w:lang w:eastAsia="en-GB"/>
        </w:rPr>
        <w:t xml:space="preserve"> per cent</w:t>
      </w:r>
      <w:r w:rsidR="00C57483" w:rsidRPr="00B77334">
        <w:rPr>
          <w:rFonts w:cs="Arial"/>
          <w:szCs w:val="22"/>
          <w:lang w:eastAsia="en-GB"/>
        </w:rPr>
        <w:t xml:space="preserve"> increase</w:t>
      </w:r>
      <w:r w:rsidR="00823063" w:rsidRPr="00B77334">
        <w:rPr>
          <w:rFonts w:cs="Arial"/>
          <w:szCs w:val="22"/>
          <w:lang w:eastAsia="en-GB"/>
        </w:rPr>
        <w:t xml:space="preserve"> </w:t>
      </w:r>
      <w:r w:rsidR="00B77334" w:rsidRPr="00B77334">
        <w:rPr>
          <w:rFonts w:cs="Arial"/>
          <w:szCs w:val="22"/>
          <w:lang w:eastAsia="en-GB"/>
        </w:rPr>
        <w:t>between March 2012 and March 2013</w:t>
      </w:r>
      <w:r w:rsidR="0015370D" w:rsidRPr="00B77334">
        <w:rPr>
          <w:rFonts w:cs="Arial"/>
          <w:szCs w:val="22"/>
          <w:lang w:eastAsia="en-GB"/>
        </w:rPr>
        <w:t>.</w:t>
      </w:r>
      <w:r w:rsidR="000E74F0" w:rsidRPr="00B77334">
        <w:rPr>
          <w:rFonts w:cs="Arial"/>
          <w:szCs w:val="22"/>
          <w:lang w:eastAsia="en-GB"/>
        </w:rPr>
        <w:t xml:space="preserve"> </w:t>
      </w:r>
    </w:p>
    <w:p w:rsidR="000B1A1A" w:rsidRDefault="000B1A1A" w:rsidP="002F2445">
      <w:pPr>
        <w:spacing w:before="0"/>
        <w:ind w:left="1418"/>
        <w:rPr>
          <w:rFonts w:cs="Arial"/>
          <w:szCs w:val="22"/>
          <w:lang w:eastAsia="en-GB"/>
        </w:rPr>
      </w:pPr>
    </w:p>
    <w:p w:rsidR="000E74F0" w:rsidRPr="00C032E0" w:rsidRDefault="001E0E9B" w:rsidP="002F2445">
      <w:pPr>
        <w:spacing w:before="0"/>
        <w:ind w:left="1418"/>
        <w:rPr>
          <w:rFonts w:cs="Arial"/>
          <w:szCs w:val="22"/>
          <w:lang w:eastAsia="en-GB"/>
        </w:rPr>
      </w:pPr>
      <w:r>
        <w:t>T</w:t>
      </w:r>
      <w:r w:rsidR="00FF346B">
        <w:t>he number of entertainment premises licences and entertainment club premises certificates in force do not provide a measure of the regulated entertainment which actually takes place. This is because a premises or club being authorised for a certain type of regulated entertainment does not mean that they necessarily provide it.</w:t>
      </w:r>
    </w:p>
    <w:p w:rsidR="00C625F3" w:rsidRDefault="00C625F3" w:rsidP="002F2445">
      <w:pPr>
        <w:spacing w:before="0"/>
        <w:ind w:left="1418"/>
        <w:rPr>
          <w:rFonts w:cs="Arial"/>
          <w:b/>
          <w:szCs w:val="22"/>
          <w:lang w:eastAsia="en-GB"/>
        </w:rPr>
      </w:pPr>
    </w:p>
    <w:p w:rsidR="001E0E9B" w:rsidRDefault="001E0E9B" w:rsidP="002F2445">
      <w:pPr>
        <w:spacing w:before="0"/>
        <w:ind w:left="1418"/>
        <w:rPr>
          <w:rFonts w:cs="Arial"/>
          <w:b/>
          <w:szCs w:val="22"/>
          <w:lang w:eastAsia="en-GB"/>
        </w:rPr>
      </w:pPr>
      <w:r>
        <w:rPr>
          <w:rFonts w:cs="Arial"/>
          <w:b/>
          <w:szCs w:val="22"/>
          <w:lang w:eastAsia="en-GB"/>
        </w:rPr>
        <w:t>To note</w:t>
      </w:r>
    </w:p>
    <w:p w:rsidR="005D27CF" w:rsidRDefault="00FF346B" w:rsidP="005D27CF">
      <w:pPr>
        <w:numPr>
          <w:ilvl w:val="0"/>
          <w:numId w:val="5"/>
        </w:numPr>
        <w:spacing w:before="0"/>
        <w:ind w:left="1418" w:hanging="199"/>
        <w:rPr>
          <w:rFonts w:cs="Arial"/>
          <w:szCs w:val="22"/>
          <w:lang w:eastAsia="en-GB"/>
        </w:rPr>
      </w:pPr>
      <w:r w:rsidRPr="005D27CF">
        <w:rPr>
          <w:rFonts w:cs="Arial"/>
          <w:szCs w:val="22"/>
          <w:lang w:eastAsia="en-GB"/>
        </w:rPr>
        <w:t>As context, Taking Part data shows the actual attendance rates for some of these types of regulated entertainment.</w:t>
      </w:r>
    </w:p>
    <w:p w:rsidR="005D27CF" w:rsidRDefault="005D27CF" w:rsidP="005D27CF">
      <w:pPr>
        <w:spacing w:before="0"/>
        <w:ind w:left="1418"/>
        <w:rPr>
          <w:rFonts w:cs="Arial"/>
          <w:szCs w:val="22"/>
          <w:lang w:eastAsia="en-GB"/>
        </w:rPr>
      </w:pPr>
    </w:p>
    <w:p w:rsidR="005D27CF" w:rsidRDefault="005D27CF" w:rsidP="005D27CF">
      <w:pPr>
        <w:numPr>
          <w:ilvl w:val="0"/>
          <w:numId w:val="5"/>
        </w:numPr>
        <w:spacing w:before="0"/>
        <w:ind w:left="1418" w:hanging="199"/>
        <w:rPr>
          <w:rFonts w:cs="Arial"/>
          <w:szCs w:val="22"/>
          <w:lang w:eastAsia="en-GB"/>
        </w:rPr>
      </w:pPr>
      <w:r w:rsidRPr="005D27CF">
        <w:rPr>
          <w:rFonts w:cs="Arial"/>
          <w:szCs w:val="22"/>
          <w:lang w:eastAsia="en-GB"/>
        </w:rPr>
        <w:t>Premises licences can be used for the sale or supply of alcohol, the provision of regulated entertainment or the provision of late night refreshment.</w:t>
      </w:r>
    </w:p>
    <w:p w:rsidR="005D27CF" w:rsidRDefault="005D27CF" w:rsidP="005D27CF">
      <w:pPr>
        <w:spacing w:before="0"/>
        <w:ind w:left="1418"/>
        <w:rPr>
          <w:rFonts w:cs="Arial"/>
          <w:szCs w:val="22"/>
          <w:lang w:eastAsia="en-GB"/>
        </w:rPr>
      </w:pPr>
    </w:p>
    <w:p w:rsidR="005D27CF" w:rsidRPr="005D27CF" w:rsidRDefault="005D27CF" w:rsidP="005D27CF">
      <w:pPr>
        <w:numPr>
          <w:ilvl w:val="0"/>
          <w:numId w:val="5"/>
        </w:numPr>
        <w:spacing w:before="0"/>
        <w:ind w:left="1418" w:hanging="199"/>
        <w:rPr>
          <w:rFonts w:cs="Arial"/>
          <w:szCs w:val="22"/>
          <w:lang w:eastAsia="en-GB"/>
        </w:rPr>
      </w:pPr>
      <w:r w:rsidRPr="005D27CF">
        <w:rPr>
          <w:rFonts w:cs="Arial"/>
          <w:szCs w:val="22"/>
          <w:lang w:eastAsia="en-GB"/>
        </w:rPr>
        <w:t>Club premises certificates allow a qualifying club to carry out activities specified under the Licensing Act 2003</w:t>
      </w:r>
      <w:r w:rsidR="001E0E9B">
        <w:rPr>
          <w:rFonts w:cs="Arial"/>
          <w:szCs w:val="22"/>
          <w:lang w:eastAsia="en-GB"/>
        </w:rPr>
        <w:t>.</w:t>
      </w:r>
    </w:p>
    <w:p w:rsidR="00C625F3" w:rsidRDefault="00C625F3" w:rsidP="002F2445">
      <w:pPr>
        <w:spacing w:before="0"/>
        <w:ind w:left="1418"/>
        <w:rPr>
          <w:rFonts w:cs="Arial"/>
          <w:b/>
          <w:szCs w:val="22"/>
          <w:lang w:eastAsia="en-GB"/>
        </w:rPr>
      </w:pPr>
    </w:p>
    <w:p w:rsidR="00C625F3" w:rsidRDefault="00C625F3" w:rsidP="002F2445">
      <w:pPr>
        <w:spacing w:before="0"/>
        <w:ind w:left="1418"/>
        <w:rPr>
          <w:rFonts w:cs="Arial"/>
          <w:b/>
          <w:szCs w:val="22"/>
          <w:lang w:eastAsia="en-GB"/>
        </w:rPr>
      </w:pPr>
    </w:p>
    <w:p w:rsidR="00216753" w:rsidRDefault="00216753">
      <w:pPr>
        <w:spacing w:before="0"/>
        <w:ind w:left="0"/>
        <w:rPr>
          <w:rFonts w:cs="Arial"/>
          <w:b/>
          <w:szCs w:val="22"/>
          <w:lang w:eastAsia="en-GB"/>
        </w:rPr>
      </w:pPr>
      <w:r>
        <w:rPr>
          <w:rFonts w:cs="Arial"/>
          <w:b/>
          <w:szCs w:val="22"/>
          <w:lang w:eastAsia="en-GB"/>
        </w:rPr>
        <w:br w:type="page"/>
      </w:r>
    </w:p>
    <w:p w:rsidR="00967CFF" w:rsidRPr="00EB79B3" w:rsidRDefault="00967CFF" w:rsidP="002F2445">
      <w:pPr>
        <w:spacing w:before="0"/>
        <w:ind w:left="1418"/>
        <w:rPr>
          <w:rFonts w:cs="Arial"/>
          <w:b/>
          <w:szCs w:val="22"/>
          <w:lang w:eastAsia="en-GB"/>
        </w:rPr>
      </w:pPr>
      <w:r w:rsidRPr="00EB79B3">
        <w:rPr>
          <w:rFonts w:cs="Arial"/>
          <w:b/>
          <w:szCs w:val="22"/>
          <w:lang w:eastAsia="en-GB"/>
        </w:rPr>
        <w:lastRenderedPageBreak/>
        <w:t>Introduction</w:t>
      </w:r>
    </w:p>
    <w:p w:rsidR="00967CFF" w:rsidRDefault="00967CFF" w:rsidP="002F2445">
      <w:pPr>
        <w:spacing w:before="0"/>
        <w:ind w:left="1418"/>
        <w:rPr>
          <w:rFonts w:cs="Arial"/>
          <w:szCs w:val="22"/>
          <w:lang w:eastAsia="en-GB"/>
        </w:rPr>
      </w:pPr>
    </w:p>
    <w:p w:rsidR="006B1128" w:rsidRPr="00263722" w:rsidRDefault="006B1128" w:rsidP="002F2445">
      <w:pPr>
        <w:spacing w:before="0"/>
        <w:ind w:left="1418"/>
        <w:rPr>
          <w:szCs w:val="22"/>
        </w:rPr>
      </w:pPr>
      <w:r>
        <w:rPr>
          <w:szCs w:val="22"/>
        </w:rPr>
        <w:t>The main purpose of this collection is to monitor the impact of the Licensing Act 2003. It provides information to help licensing authorities benchmark their position and provide an understanding in the context of the national picture</w:t>
      </w:r>
      <w:r>
        <w:rPr>
          <w:sz w:val="20"/>
          <w:szCs w:val="20"/>
        </w:rPr>
        <w:t>.</w:t>
      </w:r>
    </w:p>
    <w:p w:rsidR="006B1128" w:rsidRDefault="006B1128" w:rsidP="002F2445">
      <w:pPr>
        <w:spacing w:before="0"/>
        <w:ind w:left="1418"/>
        <w:rPr>
          <w:szCs w:val="22"/>
        </w:rPr>
      </w:pPr>
    </w:p>
    <w:p w:rsidR="008F22AF" w:rsidRDefault="006B1128" w:rsidP="002F2445">
      <w:pPr>
        <w:spacing w:before="0"/>
        <w:ind w:left="1418"/>
      </w:pPr>
      <w:r>
        <w:rPr>
          <w:szCs w:val="22"/>
        </w:rPr>
        <w:t xml:space="preserve">These statistics are used by DCMS to provide a measure of the changing number of premises or club premises licensed to provide entertainment across its key policy areas. They are also used to inform deregulation proposals regarding </w:t>
      </w:r>
      <w:r w:rsidR="00154811">
        <w:rPr>
          <w:szCs w:val="22"/>
        </w:rPr>
        <w:t xml:space="preserve">the </w:t>
      </w:r>
      <w:r w:rsidR="00104CFC">
        <w:rPr>
          <w:szCs w:val="22"/>
        </w:rPr>
        <w:t xml:space="preserve">forms of entertainment </w:t>
      </w:r>
      <w:r w:rsidR="00154811">
        <w:rPr>
          <w:szCs w:val="22"/>
        </w:rPr>
        <w:t xml:space="preserve">which </w:t>
      </w:r>
      <w:r w:rsidR="00104CFC">
        <w:rPr>
          <w:szCs w:val="22"/>
        </w:rPr>
        <w:t>may</w:t>
      </w:r>
      <w:r>
        <w:rPr>
          <w:szCs w:val="22"/>
        </w:rPr>
        <w:t xml:space="preserve"> require licences in </w:t>
      </w:r>
      <w:r w:rsidR="00104CFC">
        <w:rPr>
          <w:szCs w:val="22"/>
        </w:rPr>
        <w:t xml:space="preserve">the </w:t>
      </w:r>
      <w:r>
        <w:rPr>
          <w:szCs w:val="22"/>
        </w:rPr>
        <w:t>future.</w:t>
      </w:r>
      <w:r w:rsidR="008F22AF" w:rsidRPr="008F22AF">
        <w:t xml:space="preserve"> </w:t>
      </w:r>
    </w:p>
    <w:p w:rsidR="008F22AF" w:rsidRDefault="008F22AF" w:rsidP="00FF346B">
      <w:pPr>
        <w:spacing w:before="0"/>
        <w:ind w:left="0"/>
      </w:pPr>
    </w:p>
    <w:p w:rsidR="007B3A76" w:rsidRDefault="008F22AF" w:rsidP="007B3A76">
      <w:pPr>
        <w:spacing w:before="0"/>
        <w:ind w:left="1418"/>
      </w:pPr>
      <w:r>
        <w:t>Accompanying excel tables</w:t>
      </w:r>
      <w:r w:rsidR="00C625F3">
        <w:t xml:space="preserve"> for the number of</w:t>
      </w:r>
      <w:r>
        <w:t xml:space="preserve"> premises licences</w:t>
      </w:r>
      <w:r w:rsidR="00C625F3">
        <w:t xml:space="preserve"> and </w:t>
      </w:r>
      <w:r>
        <w:t>club prem</w:t>
      </w:r>
      <w:r w:rsidR="007B3A76">
        <w:t>ises certif</w:t>
      </w:r>
      <w:r w:rsidR="00112848">
        <w:t xml:space="preserve">icates </w:t>
      </w:r>
      <w:r w:rsidR="00C625F3">
        <w:t xml:space="preserve">authorising regulated entertainment </w:t>
      </w:r>
      <w:r w:rsidR="00112848">
        <w:t>are available at</w:t>
      </w:r>
    </w:p>
    <w:p w:rsidR="008910A3" w:rsidRDefault="008910A3" w:rsidP="007B3A76">
      <w:pPr>
        <w:spacing w:before="0"/>
        <w:ind w:left="1418"/>
      </w:pPr>
    </w:p>
    <w:p w:rsidR="003A765D" w:rsidRDefault="00F14E89" w:rsidP="007B3A76">
      <w:pPr>
        <w:spacing w:before="0"/>
        <w:ind w:left="1418"/>
        <w:rPr>
          <w:rStyle w:val="Hyperlink"/>
          <w:rFonts w:cs="Arial"/>
        </w:rPr>
      </w:pPr>
      <w:hyperlink r:id="rId14" w:history="1">
        <w:r w:rsidR="008910A3">
          <w:rPr>
            <w:rStyle w:val="Hyperlink"/>
            <w:rFonts w:cs="Arial"/>
            <w:szCs w:val="22"/>
          </w:rPr>
          <w:t>https://www.gov.uk/government/publications/entertainment-licensing-2014</w:t>
        </w:r>
      </w:hyperlink>
    </w:p>
    <w:p w:rsidR="00032BFF" w:rsidRDefault="003B461C" w:rsidP="00032BFF">
      <w:pPr>
        <w:ind w:left="1440"/>
      </w:pPr>
      <w:r w:rsidRPr="007733B9">
        <w:rPr>
          <w:rStyle w:val="Hyperlink"/>
          <w:rFonts w:cs="Arial"/>
          <w:color w:val="auto"/>
          <w:u w:val="none"/>
        </w:rPr>
        <w:t>Excel tables which show</w:t>
      </w:r>
      <w:r w:rsidR="003A765D" w:rsidRPr="007733B9">
        <w:rPr>
          <w:rStyle w:val="Hyperlink"/>
          <w:rFonts w:cs="Arial"/>
          <w:color w:val="auto"/>
          <w:u w:val="none"/>
        </w:rPr>
        <w:t xml:space="preserve"> the number of premises licences and club premises certificates </w:t>
      </w:r>
      <w:r w:rsidR="00C625F3">
        <w:rPr>
          <w:rStyle w:val="Hyperlink"/>
          <w:rFonts w:cs="Arial"/>
          <w:color w:val="auto"/>
          <w:u w:val="none"/>
        </w:rPr>
        <w:t xml:space="preserve">authorising entertainment </w:t>
      </w:r>
      <w:r w:rsidR="003A765D" w:rsidRPr="007733B9">
        <w:rPr>
          <w:rStyle w:val="Hyperlink"/>
          <w:rFonts w:cs="Arial"/>
          <w:color w:val="auto"/>
          <w:u w:val="none"/>
        </w:rPr>
        <w:t xml:space="preserve">by individual Licensing Authority have been published and are available at </w:t>
      </w:r>
      <w:hyperlink r:id="rId15" w:history="1">
        <w:r w:rsidR="008910A3">
          <w:rPr>
            <w:rStyle w:val="Hyperlink"/>
            <w:rFonts w:cs="Arial"/>
            <w:szCs w:val="22"/>
          </w:rPr>
          <w:t>https://www.gov.uk/government/publications/entertainment-licensing-2014</w:t>
        </w:r>
      </w:hyperlink>
    </w:p>
    <w:p w:rsidR="003A765D" w:rsidRPr="007733B9" w:rsidRDefault="003A765D" w:rsidP="007B3A76">
      <w:pPr>
        <w:spacing w:before="0"/>
        <w:ind w:left="1418"/>
        <w:rPr>
          <w:rStyle w:val="Hyperlink"/>
          <w:rFonts w:cs="Arial"/>
          <w:color w:val="auto"/>
          <w:u w:val="none"/>
        </w:rPr>
      </w:pPr>
    </w:p>
    <w:p w:rsidR="007B3A76" w:rsidRPr="007733B9" w:rsidRDefault="003A765D" w:rsidP="002F2445">
      <w:pPr>
        <w:spacing w:before="0"/>
        <w:ind w:left="1418"/>
        <w:rPr>
          <w:rStyle w:val="Hyperlink"/>
          <w:rFonts w:cs="Arial"/>
          <w:color w:val="auto"/>
          <w:u w:val="none"/>
        </w:rPr>
      </w:pPr>
      <w:r w:rsidRPr="007733B9">
        <w:rPr>
          <w:rStyle w:val="Hyperlink"/>
          <w:rFonts w:cs="Arial"/>
          <w:color w:val="auto"/>
          <w:u w:val="none"/>
        </w:rPr>
        <w:t xml:space="preserve">These data consist of the actual returns received from responding Licensing </w:t>
      </w:r>
      <w:r w:rsidRPr="007967A9">
        <w:rPr>
          <w:rStyle w:val="Hyperlink"/>
          <w:rFonts w:cs="Arial"/>
          <w:color w:val="auto"/>
          <w:u w:val="none"/>
        </w:rPr>
        <w:t xml:space="preserve">Authorities </w:t>
      </w:r>
      <w:r w:rsidR="00892E37" w:rsidRPr="007967A9">
        <w:rPr>
          <w:rStyle w:val="Hyperlink"/>
          <w:rFonts w:cs="Arial"/>
          <w:color w:val="auto"/>
          <w:u w:val="none"/>
        </w:rPr>
        <w:t>(8</w:t>
      </w:r>
      <w:r w:rsidR="007967A9" w:rsidRPr="007967A9">
        <w:rPr>
          <w:rStyle w:val="Hyperlink"/>
          <w:rFonts w:cs="Arial"/>
          <w:color w:val="auto"/>
          <w:u w:val="none"/>
        </w:rPr>
        <w:t>7</w:t>
      </w:r>
      <w:r w:rsidR="00892E37" w:rsidRPr="007967A9">
        <w:rPr>
          <w:rStyle w:val="Hyperlink"/>
          <w:rFonts w:cs="Arial"/>
          <w:color w:val="auto"/>
          <w:u w:val="none"/>
        </w:rPr>
        <w:t>.</w:t>
      </w:r>
      <w:r w:rsidR="007967A9" w:rsidRPr="007967A9">
        <w:rPr>
          <w:rStyle w:val="Hyperlink"/>
          <w:rFonts w:cs="Arial"/>
          <w:color w:val="auto"/>
          <w:u w:val="none"/>
        </w:rPr>
        <w:t>7</w:t>
      </w:r>
      <w:r w:rsidR="00800270" w:rsidRPr="007967A9">
        <w:rPr>
          <w:rStyle w:val="Hyperlink"/>
          <w:rFonts w:cs="Arial"/>
          <w:color w:val="auto"/>
          <w:u w:val="none"/>
        </w:rPr>
        <w:t>%</w:t>
      </w:r>
      <w:r w:rsidR="00892E37" w:rsidRPr="007967A9">
        <w:rPr>
          <w:rStyle w:val="Hyperlink"/>
          <w:rFonts w:cs="Arial"/>
          <w:color w:val="auto"/>
          <w:u w:val="none"/>
        </w:rPr>
        <w:t xml:space="preserve"> and 8</w:t>
      </w:r>
      <w:r w:rsidR="007967A9" w:rsidRPr="007967A9">
        <w:rPr>
          <w:rStyle w:val="Hyperlink"/>
          <w:rFonts w:cs="Arial"/>
          <w:color w:val="auto"/>
          <w:u w:val="none"/>
        </w:rPr>
        <w:t>6</w:t>
      </w:r>
      <w:r w:rsidR="00892E37" w:rsidRPr="007967A9">
        <w:rPr>
          <w:rStyle w:val="Hyperlink"/>
          <w:rFonts w:cs="Arial"/>
          <w:color w:val="auto"/>
          <w:u w:val="none"/>
        </w:rPr>
        <w:t>.</w:t>
      </w:r>
      <w:r w:rsidR="007967A9" w:rsidRPr="007967A9">
        <w:rPr>
          <w:rStyle w:val="Hyperlink"/>
          <w:rFonts w:cs="Arial"/>
          <w:color w:val="auto"/>
          <w:u w:val="none"/>
        </w:rPr>
        <w:t>0</w:t>
      </w:r>
      <w:r w:rsidR="00892E37" w:rsidRPr="007967A9">
        <w:rPr>
          <w:rStyle w:val="Hyperlink"/>
          <w:rFonts w:cs="Arial"/>
          <w:color w:val="auto"/>
          <w:u w:val="none"/>
        </w:rPr>
        <w:t>%</w:t>
      </w:r>
      <w:r w:rsidR="00800270" w:rsidRPr="007967A9">
        <w:rPr>
          <w:rStyle w:val="Hyperlink"/>
          <w:rFonts w:cs="Arial"/>
          <w:color w:val="auto"/>
          <w:u w:val="none"/>
        </w:rPr>
        <w:t xml:space="preserve"> of all licensing authorities</w:t>
      </w:r>
      <w:r w:rsidR="00892E37" w:rsidRPr="007967A9">
        <w:rPr>
          <w:rStyle w:val="Hyperlink"/>
          <w:rFonts w:cs="Arial"/>
          <w:color w:val="auto"/>
          <w:u w:val="none"/>
        </w:rPr>
        <w:t xml:space="preserve"> for p</w:t>
      </w:r>
      <w:r w:rsidR="00C625F3" w:rsidRPr="007967A9">
        <w:rPr>
          <w:rStyle w:val="Hyperlink"/>
          <w:rFonts w:cs="Arial"/>
          <w:color w:val="auto"/>
          <w:u w:val="none"/>
        </w:rPr>
        <w:t>remises licences and</w:t>
      </w:r>
      <w:r w:rsidR="00892E37" w:rsidRPr="007967A9">
        <w:rPr>
          <w:rStyle w:val="Hyperlink"/>
          <w:rFonts w:cs="Arial"/>
          <w:color w:val="auto"/>
          <w:u w:val="none"/>
        </w:rPr>
        <w:t xml:space="preserve"> club premises certificates </w:t>
      </w:r>
      <w:r w:rsidR="00C625F3" w:rsidRPr="007967A9">
        <w:rPr>
          <w:rStyle w:val="Hyperlink"/>
          <w:rFonts w:cs="Arial"/>
          <w:color w:val="auto"/>
          <w:u w:val="none"/>
        </w:rPr>
        <w:t xml:space="preserve">authorising entertainment </w:t>
      </w:r>
      <w:r w:rsidR="00892E37" w:rsidRPr="007967A9">
        <w:rPr>
          <w:rStyle w:val="Hyperlink"/>
          <w:rFonts w:cs="Arial"/>
          <w:color w:val="auto"/>
          <w:u w:val="none"/>
        </w:rPr>
        <w:t>respectively</w:t>
      </w:r>
      <w:r w:rsidR="00800270" w:rsidRPr="007967A9">
        <w:rPr>
          <w:rStyle w:val="Hyperlink"/>
          <w:rFonts w:cs="Arial"/>
          <w:color w:val="auto"/>
          <w:u w:val="none"/>
        </w:rPr>
        <w:t xml:space="preserve">) </w:t>
      </w:r>
      <w:r w:rsidRPr="007967A9">
        <w:rPr>
          <w:rStyle w:val="Hyperlink"/>
          <w:rFonts w:cs="Arial"/>
          <w:color w:val="auto"/>
          <w:u w:val="none"/>
        </w:rPr>
        <w:t xml:space="preserve">and </w:t>
      </w:r>
      <w:r w:rsidRPr="007733B9">
        <w:rPr>
          <w:rStyle w:val="Hyperlink"/>
          <w:rFonts w:cs="Arial"/>
          <w:color w:val="auto"/>
          <w:u w:val="none"/>
        </w:rPr>
        <w:t>have therefore not been modelled.</w:t>
      </w:r>
      <w:r w:rsidR="00FF346B">
        <w:rPr>
          <w:rStyle w:val="Hyperlink"/>
          <w:rFonts w:cs="Arial"/>
          <w:color w:val="auto"/>
          <w:u w:val="none"/>
        </w:rPr>
        <w:t xml:space="preserve"> Therefore</w:t>
      </w:r>
      <w:r w:rsidR="004D7ED9" w:rsidRPr="007733B9">
        <w:rPr>
          <w:rStyle w:val="Hyperlink"/>
          <w:rFonts w:cs="Arial"/>
          <w:color w:val="auto"/>
          <w:u w:val="none"/>
        </w:rPr>
        <w:t>,</w:t>
      </w:r>
      <w:r w:rsidR="009530CA" w:rsidRPr="007733B9">
        <w:rPr>
          <w:rStyle w:val="Hyperlink"/>
          <w:rFonts w:cs="Arial"/>
          <w:color w:val="auto"/>
          <w:u w:val="none"/>
        </w:rPr>
        <w:t xml:space="preserve"> non-resp</w:t>
      </w:r>
      <w:r w:rsidR="003B461C" w:rsidRPr="007733B9">
        <w:rPr>
          <w:rStyle w:val="Hyperlink"/>
          <w:rFonts w:cs="Arial"/>
          <w:color w:val="auto"/>
          <w:u w:val="none"/>
        </w:rPr>
        <w:t>onding licensing authorities have been</w:t>
      </w:r>
      <w:r w:rsidR="009530CA" w:rsidRPr="007733B9">
        <w:rPr>
          <w:rStyle w:val="Hyperlink"/>
          <w:rFonts w:cs="Arial"/>
          <w:color w:val="auto"/>
          <w:u w:val="none"/>
        </w:rPr>
        <w:t xml:space="preserve"> omitted</w:t>
      </w:r>
      <w:r w:rsidR="00E30B79" w:rsidRPr="007733B9">
        <w:rPr>
          <w:rStyle w:val="Hyperlink"/>
          <w:rFonts w:cs="Arial"/>
          <w:color w:val="auto"/>
          <w:u w:val="none"/>
        </w:rPr>
        <w:t xml:space="preserve"> from the main table but are listed within the same spreadsheet for information.</w:t>
      </w:r>
      <w:r w:rsidR="009530CA" w:rsidRPr="007733B9">
        <w:rPr>
          <w:rStyle w:val="Hyperlink"/>
          <w:rFonts w:cs="Arial"/>
          <w:color w:val="auto"/>
          <w:u w:val="none"/>
        </w:rPr>
        <w:t xml:space="preserve"> </w:t>
      </w:r>
      <w:r w:rsidR="00E30B79" w:rsidRPr="007733B9">
        <w:rPr>
          <w:rStyle w:val="Hyperlink"/>
          <w:rFonts w:cs="Arial"/>
          <w:color w:val="auto"/>
          <w:u w:val="none"/>
        </w:rPr>
        <w:t>T</w:t>
      </w:r>
      <w:r w:rsidR="009530CA" w:rsidRPr="007733B9">
        <w:rPr>
          <w:rStyle w:val="Hyperlink"/>
          <w:rFonts w:cs="Arial"/>
          <w:color w:val="auto"/>
          <w:u w:val="none"/>
        </w:rPr>
        <w:t>he sum</w:t>
      </w:r>
      <w:r w:rsidR="004D7ED9" w:rsidRPr="007733B9">
        <w:rPr>
          <w:rStyle w:val="Hyperlink"/>
          <w:rFonts w:cs="Arial"/>
          <w:color w:val="auto"/>
          <w:u w:val="none"/>
        </w:rPr>
        <w:t xml:space="preserve"> of the licences shown in these tables will be substantially less than the aggregate</w:t>
      </w:r>
      <w:r w:rsidR="001F080E" w:rsidRPr="007733B9">
        <w:rPr>
          <w:rStyle w:val="Hyperlink"/>
          <w:rFonts w:cs="Arial"/>
          <w:color w:val="auto"/>
          <w:u w:val="none"/>
        </w:rPr>
        <w:t>d</w:t>
      </w:r>
      <w:r w:rsidR="004D7ED9" w:rsidRPr="007733B9">
        <w:rPr>
          <w:rStyle w:val="Hyperlink"/>
          <w:rFonts w:cs="Arial"/>
          <w:color w:val="auto"/>
          <w:u w:val="none"/>
        </w:rPr>
        <w:t xml:space="preserve"> </w:t>
      </w:r>
      <w:r w:rsidR="001F080E" w:rsidRPr="007733B9">
        <w:rPr>
          <w:rStyle w:val="Hyperlink"/>
          <w:rFonts w:cs="Arial"/>
          <w:color w:val="auto"/>
          <w:u w:val="none"/>
        </w:rPr>
        <w:t>totals</w:t>
      </w:r>
      <w:r w:rsidR="004D7ED9" w:rsidRPr="007733B9">
        <w:rPr>
          <w:rStyle w:val="Hyperlink"/>
          <w:rFonts w:cs="Arial"/>
          <w:color w:val="auto"/>
          <w:u w:val="none"/>
        </w:rPr>
        <w:t xml:space="preserve"> for England and Wales</w:t>
      </w:r>
      <w:r w:rsidR="00800270" w:rsidRPr="007733B9">
        <w:rPr>
          <w:rStyle w:val="Hyperlink"/>
          <w:rFonts w:cs="Arial"/>
          <w:color w:val="auto"/>
          <w:u w:val="none"/>
        </w:rPr>
        <w:t xml:space="preserve"> </w:t>
      </w:r>
      <w:r w:rsidR="00E30B79" w:rsidRPr="007733B9">
        <w:rPr>
          <w:rStyle w:val="Hyperlink"/>
          <w:rFonts w:cs="Arial"/>
          <w:color w:val="auto"/>
          <w:u w:val="none"/>
        </w:rPr>
        <w:t>since the</w:t>
      </w:r>
      <w:r w:rsidR="004D7ED9" w:rsidRPr="007733B9">
        <w:rPr>
          <w:rStyle w:val="Hyperlink"/>
          <w:rFonts w:cs="Arial"/>
          <w:color w:val="auto"/>
          <w:u w:val="none"/>
        </w:rPr>
        <w:t xml:space="preserve"> aggregate</w:t>
      </w:r>
      <w:r w:rsidR="001F080E" w:rsidRPr="007733B9">
        <w:rPr>
          <w:rStyle w:val="Hyperlink"/>
          <w:rFonts w:cs="Arial"/>
          <w:color w:val="auto"/>
          <w:u w:val="none"/>
        </w:rPr>
        <w:t>d</w:t>
      </w:r>
      <w:r w:rsidR="004D7ED9" w:rsidRPr="007733B9">
        <w:rPr>
          <w:rStyle w:val="Hyperlink"/>
          <w:rFonts w:cs="Arial"/>
          <w:color w:val="auto"/>
          <w:u w:val="none"/>
        </w:rPr>
        <w:t xml:space="preserve"> figures incorporate estimates for non-respon</w:t>
      </w:r>
      <w:r w:rsidR="001F080E" w:rsidRPr="007733B9">
        <w:rPr>
          <w:rStyle w:val="Hyperlink"/>
          <w:rFonts w:cs="Arial"/>
          <w:color w:val="auto"/>
          <w:u w:val="none"/>
        </w:rPr>
        <w:t>se</w:t>
      </w:r>
      <w:r w:rsidR="004D7ED9" w:rsidRPr="007733B9">
        <w:rPr>
          <w:rStyle w:val="Hyperlink"/>
          <w:rFonts w:cs="Arial"/>
          <w:color w:val="auto"/>
          <w:u w:val="none"/>
        </w:rPr>
        <w:t>.</w:t>
      </w:r>
    </w:p>
    <w:p w:rsidR="004D7ED9" w:rsidRPr="007733B9" w:rsidRDefault="004D7ED9" w:rsidP="002F2445">
      <w:pPr>
        <w:spacing w:before="0"/>
        <w:ind w:left="1418"/>
        <w:rPr>
          <w:rStyle w:val="Hyperlink"/>
          <w:rFonts w:cs="Arial"/>
          <w:color w:val="auto"/>
          <w:u w:val="none"/>
        </w:rPr>
      </w:pPr>
    </w:p>
    <w:p w:rsidR="006C2927" w:rsidRDefault="00800270" w:rsidP="006C2927">
      <w:pPr>
        <w:ind w:left="1440"/>
      </w:pPr>
      <w:r w:rsidRPr="007733B9">
        <w:rPr>
          <w:rStyle w:val="Hyperlink"/>
          <w:rFonts w:cs="Arial"/>
          <w:color w:val="auto"/>
          <w:u w:val="none"/>
        </w:rPr>
        <w:t>It is important to note that t</w:t>
      </w:r>
      <w:r w:rsidR="004D7ED9" w:rsidRPr="007733B9">
        <w:rPr>
          <w:rStyle w:val="Hyperlink"/>
          <w:rFonts w:cs="Arial"/>
          <w:color w:val="auto"/>
          <w:u w:val="none"/>
        </w:rPr>
        <w:t>he</w:t>
      </w:r>
      <w:r w:rsidRPr="007733B9">
        <w:rPr>
          <w:rStyle w:val="Hyperlink"/>
          <w:rFonts w:cs="Arial"/>
          <w:color w:val="auto"/>
          <w:u w:val="none"/>
        </w:rPr>
        <w:t xml:space="preserve"> licensing authority</w:t>
      </w:r>
      <w:r w:rsidR="004D7ED9" w:rsidRPr="007733B9">
        <w:rPr>
          <w:rStyle w:val="Hyperlink"/>
          <w:rFonts w:cs="Arial"/>
          <w:color w:val="auto"/>
          <w:u w:val="none"/>
        </w:rPr>
        <w:t xml:space="preserve"> tables do not</w:t>
      </w:r>
      <w:r w:rsidR="00FF346B">
        <w:rPr>
          <w:rStyle w:val="Hyperlink"/>
          <w:rFonts w:cs="Arial"/>
          <w:color w:val="auto"/>
          <w:u w:val="none"/>
        </w:rPr>
        <w:t>, on their own,</w:t>
      </w:r>
      <w:r w:rsidR="004D7ED9" w:rsidRPr="007733B9">
        <w:rPr>
          <w:rStyle w:val="Hyperlink"/>
          <w:rFonts w:cs="Arial"/>
          <w:color w:val="auto"/>
          <w:u w:val="none"/>
        </w:rPr>
        <w:t xml:space="preserve"> provide an insight into areas where particular forms of entertainment are most popular as they largely reflect the size of the population </w:t>
      </w:r>
      <w:r w:rsidR="001F080E" w:rsidRPr="007733B9">
        <w:rPr>
          <w:rStyle w:val="Hyperlink"/>
          <w:rFonts w:cs="Arial"/>
          <w:color w:val="auto"/>
          <w:u w:val="none"/>
        </w:rPr>
        <w:t>in each authority. Also, as with the aggregated national figures, a licence to provide a certain type of entertainment does not necessarily mean it is</w:t>
      </w:r>
      <w:r w:rsidR="003B461C" w:rsidRPr="007733B9">
        <w:rPr>
          <w:rStyle w:val="Hyperlink"/>
          <w:rFonts w:cs="Arial"/>
          <w:color w:val="auto"/>
          <w:u w:val="none"/>
        </w:rPr>
        <w:t xml:space="preserve"> actually</w:t>
      </w:r>
      <w:r w:rsidR="001F080E" w:rsidRPr="007733B9">
        <w:rPr>
          <w:rStyle w:val="Hyperlink"/>
          <w:rFonts w:cs="Arial"/>
          <w:color w:val="auto"/>
          <w:u w:val="none"/>
        </w:rPr>
        <w:t xml:space="preserve"> taking pla</w:t>
      </w:r>
      <w:r w:rsidR="001F080E" w:rsidRPr="006C2927">
        <w:rPr>
          <w:rStyle w:val="Hyperlink"/>
          <w:rFonts w:cs="Arial"/>
          <w:color w:val="auto"/>
          <w:u w:val="none"/>
        </w:rPr>
        <w:t>ce.</w:t>
      </w:r>
      <w:r w:rsidRPr="006C2927">
        <w:rPr>
          <w:rStyle w:val="Hyperlink"/>
          <w:rFonts w:cs="Arial"/>
          <w:color w:val="auto"/>
          <w:u w:val="none"/>
        </w:rPr>
        <w:t xml:space="preserve"> Figures on the number of entertainment premises licen</w:t>
      </w:r>
      <w:r w:rsidR="004C682B">
        <w:rPr>
          <w:rStyle w:val="Hyperlink"/>
          <w:rFonts w:cs="Arial"/>
          <w:color w:val="auto"/>
          <w:u w:val="none"/>
        </w:rPr>
        <w:t>c</w:t>
      </w:r>
      <w:r w:rsidRPr="006C2927">
        <w:rPr>
          <w:rStyle w:val="Hyperlink"/>
          <w:rFonts w:cs="Arial"/>
          <w:color w:val="auto"/>
          <w:u w:val="none"/>
        </w:rPr>
        <w:t xml:space="preserve">es and entertainment club premises certificates per 100,000 </w:t>
      </w:r>
      <w:proofErr w:type="gramStart"/>
      <w:r w:rsidRPr="006C2927">
        <w:rPr>
          <w:rStyle w:val="Hyperlink"/>
          <w:rFonts w:cs="Arial"/>
          <w:color w:val="auto"/>
          <w:u w:val="none"/>
        </w:rPr>
        <w:t>population</w:t>
      </w:r>
      <w:proofErr w:type="gramEnd"/>
      <w:r w:rsidRPr="006C2927">
        <w:rPr>
          <w:rStyle w:val="Hyperlink"/>
          <w:rFonts w:cs="Arial"/>
          <w:color w:val="auto"/>
          <w:u w:val="none"/>
        </w:rPr>
        <w:t xml:space="preserve"> are available </w:t>
      </w:r>
      <w:r w:rsidR="00C625F3" w:rsidRPr="006C2927">
        <w:rPr>
          <w:rStyle w:val="Hyperlink"/>
          <w:rFonts w:cs="Arial"/>
          <w:color w:val="auto"/>
          <w:u w:val="none"/>
        </w:rPr>
        <w:t>at</w:t>
      </w:r>
      <w:r w:rsidR="006C2927" w:rsidRPr="00585FC9">
        <w:rPr>
          <w:rStyle w:val="Hyperlink"/>
          <w:rFonts w:cs="Arial"/>
          <w:color w:val="FF0000"/>
          <w:u w:val="none"/>
        </w:rPr>
        <w:t xml:space="preserve"> </w:t>
      </w:r>
      <w:hyperlink r:id="rId16" w:history="1">
        <w:r w:rsidR="008910A3">
          <w:rPr>
            <w:rStyle w:val="Hyperlink"/>
            <w:rFonts w:cs="Arial"/>
            <w:szCs w:val="22"/>
          </w:rPr>
          <w:t>https://www.gov.uk/government/publications/entertainment-licensing-2014</w:t>
        </w:r>
      </w:hyperlink>
    </w:p>
    <w:p w:rsidR="006C2927" w:rsidRDefault="006C2927" w:rsidP="006C2927">
      <w:pPr>
        <w:ind w:left="1440"/>
      </w:pPr>
    </w:p>
    <w:p w:rsidR="004D7ED9" w:rsidRDefault="00800270" w:rsidP="002F2445">
      <w:pPr>
        <w:spacing w:before="0"/>
        <w:ind w:left="1418"/>
        <w:rPr>
          <w:rStyle w:val="Hyperlink"/>
          <w:rFonts w:cs="Arial"/>
          <w:color w:val="auto"/>
          <w:u w:val="none"/>
        </w:rPr>
      </w:pPr>
      <w:r>
        <w:rPr>
          <w:rStyle w:val="Hyperlink"/>
          <w:rFonts w:cs="Arial"/>
          <w:color w:val="auto"/>
          <w:u w:val="none"/>
        </w:rPr>
        <w:t xml:space="preserve">These allow </w:t>
      </w:r>
      <w:r w:rsidR="00FD72DC">
        <w:rPr>
          <w:rStyle w:val="Hyperlink"/>
          <w:rFonts w:cs="Arial"/>
          <w:color w:val="auto"/>
          <w:u w:val="none"/>
        </w:rPr>
        <w:t xml:space="preserve">for </w:t>
      </w:r>
      <w:r>
        <w:rPr>
          <w:rStyle w:val="Hyperlink"/>
          <w:rFonts w:cs="Arial"/>
          <w:color w:val="auto"/>
          <w:u w:val="none"/>
        </w:rPr>
        <w:t xml:space="preserve">comparisons to be made between </w:t>
      </w:r>
      <w:r w:rsidR="00E30B79">
        <w:rPr>
          <w:rStyle w:val="Hyperlink"/>
          <w:rFonts w:cs="Arial"/>
          <w:color w:val="auto"/>
          <w:u w:val="none"/>
        </w:rPr>
        <w:t>regions</w:t>
      </w:r>
      <w:r>
        <w:rPr>
          <w:rStyle w:val="Hyperlink"/>
          <w:rFonts w:cs="Arial"/>
          <w:color w:val="auto"/>
          <w:u w:val="none"/>
        </w:rPr>
        <w:t xml:space="preserve"> on a comparable basis</w:t>
      </w:r>
      <w:r w:rsidR="00E30B79">
        <w:rPr>
          <w:rStyle w:val="Hyperlink"/>
          <w:rFonts w:cs="Arial"/>
          <w:color w:val="auto"/>
          <w:u w:val="none"/>
        </w:rPr>
        <w:t xml:space="preserve"> but still do not provide an indication of the regulated entertainment which has actually taken place</w:t>
      </w:r>
      <w:r w:rsidR="00154811">
        <w:rPr>
          <w:rStyle w:val="Hyperlink"/>
          <w:rFonts w:cs="Arial"/>
          <w:color w:val="auto"/>
          <w:u w:val="none"/>
        </w:rPr>
        <w:t>, rather an in</w:t>
      </w:r>
      <w:r w:rsidR="00C625F3">
        <w:rPr>
          <w:rStyle w:val="Hyperlink"/>
          <w:rFonts w:cs="Arial"/>
          <w:color w:val="auto"/>
          <w:u w:val="none"/>
        </w:rPr>
        <w:t>dication of the number of licenc</w:t>
      </w:r>
      <w:r w:rsidR="00154811">
        <w:rPr>
          <w:rStyle w:val="Hyperlink"/>
          <w:rFonts w:cs="Arial"/>
          <w:color w:val="auto"/>
          <w:u w:val="none"/>
        </w:rPr>
        <w:t xml:space="preserve">es available for regulated entertainment per </w:t>
      </w:r>
      <w:r w:rsidR="00AB4D40">
        <w:rPr>
          <w:rStyle w:val="Hyperlink"/>
          <w:rFonts w:cs="Arial"/>
          <w:color w:val="auto"/>
          <w:u w:val="none"/>
        </w:rPr>
        <w:t xml:space="preserve">head of </w:t>
      </w:r>
      <w:r w:rsidR="00154811">
        <w:rPr>
          <w:rStyle w:val="Hyperlink"/>
          <w:rFonts w:cs="Arial"/>
          <w:color w:val="auto"/>
          <w:u w:val="none"/>
        </w:rPr>
        <w:t>population</w:t>
      </w:r>
      <w:r w:rsidR="00E30B79">
        <w:rPr>
          <w:rStyle w:val="Hyperlink"/>
          <w:rFonts w:cs="Arial"/>
          <w:color w:val="auto"/>
          <w:u w:val="none"/>
        </w:rPr>
        <w:t xml:space="preserve">. </w:t>
      </w:r>
    </w:p>
    <w:p w:rsidR="004D7ED9" w:rsidRDefault="004D7ED9" w:rsidP="002F2445">
      <w:pPr>
        <w:spacing w:before="0"/>
        <w:ind w:left="1418"/>
        <w:rPr>
          <w:szCs w:val="22"/>
        </w:rPr>
      </w:pPr>
    </w:p>
    <w:p w:rsidR="007501AA" w:rsidRDefault="007501AA" w:rsidP="002F2445">
      <w:pPr>
        <w:spacing w:before="0"/>
        <w:ind w:left="1418"/>
        <w:rPr>
          <w:szCs w:val="22"/>
        </w:rPr>
      </w:pPr>
    </w:p>
    <w:p w:rsidR="008F22AF" w:rsidRDefault="008F22AF" w:rsidP="002F2445">
      <w:pPr>
        <w:spacing w:before="0"/>
        <w:ind w:left="1418"/>
        <w:rPr>
          <w:szCs w:val="22"/>
        </w:rPr>
      </w:pPr>
    </w:p>
    <w:p w:rsidR="0098096D" w:rsidRDefault="0098096D" w:rsidP="002F2445">
      <w:pPr>
        <w:spacing w:before="0"/>
        <w:ind w:left="1418"/>
        <w:rPr>
          <w:szCs w:val="22"/>
        </w:rPr>
      </w:pPr>
    </w:p>
    <w:p w:rsidR="0098096D" w:rsidRDefault="0098096D" w:rsidP="002F2445">
      <w:pPr>
        <w:spacing w:before="0"/>
        <w:ind w:left="1418"/>
        <w:rPr>
          <w:szCs w:val="22"/>
        </w:rPr>
      </w:pPr>
    </w:p>
    <w:p w:rsidR="0098096D" w:rsidRDefault="0098096D" w:rsidP="002F2445">
      <w:pPr>
        <w:spacing w:before="0"/>
        <w:ind w:left="1418"/>
        <w:rPr>
          <w:szCs w:val="22"/>
        </w:rPr>
      </w:pPr>
    </w:p>
    <w:p w:rsidR="00C625F3" w:rsidRDefault="00C625F3" w:rsidP="002F2445">
      <w:pPr>
        <w:spacing w:before="0"/>
        <w:ind w:left="1418"/>
        <w:rPr>
          <w:rFonts w:cs="Arial"/>
          <w:b/>
          <w:szCs w:val="22"/>
          <w:lang w:eastAsia="en-GB"/>
        </w:rPr>
      </w:pPr>
    </w:p>
    <w:p w:rsidR="00C625F3" w:rsidRDefault="00C625F3" w:rsidP="002F2445">
      <w:pPr>
        <w:spacing w:before="0"/>
        <w:ind w:left="1418"/>
        <w:rPr>
          <w:rFonts w:cs="Arial"/>
          <w:b/>
          <w:szCs w:val="22"/>
          <w:lang w:eastAsia="en-GB"/>
        </w:rPr>
      </w:pPr>
    </w:p>
    <w:p w:rsidR="00C625F3" w:rsidRDefault="00C625F3" w:rsidP="002F2445">
      <w:pPr>
        <w:spacing w:before="0"/>
        <w:ind w:left="1418"/>
        <w:rPr>
          <w:rFonts w:cs="Arial"/>
          <w:b/>
          <w:szCs w:val="22"/>
          <w:lang w:eastAsia="en-GB"/>
        </w:rPr>
      </w:pPr>
    </w:p>
    <w:p w:rsidR="00C625F3" w:rsidRDefault="00C625F3" w:rsidP="002F2445">
      <w:pPr>
        <w:spacing w:before="0"/>
        <w:ind w:left="1418"/>
        <w:rPr>
          <w:rFonts w:cs="Arial"/>
          <w:b/>
          <w:szCs w:val="22"/>
          <w:lang w:eastAsia="en-GB"/>
        </w:rPr>
      </w:pPr>
    </w:p>
    <w:p w:rsidR="00C625F3" w:rsidRDefault="00C625F3" w:rsidP="002F2445">
      <w:pPr>
        <w:spacing w:before="0"/>
        <w:ind w:left="1418"/>
        <w:rPr>
          <w:rFonts w:cs="Arial"/>
          <w:b/>
          <w:szCs w:val="22"/>
          <w:lang w:eastAsia="en-GB"/>
        </w:rPr>
      </w:pPr>
    </w:p>
    <w:p w:rsidR="00585FC9" w:rsidRDefault="00585FC9">
      <w:pPr>
        <w:spacing w:before="0"/>
        <w:ind w:left="0"/>
        <w:rPr>
          <w:rFonts w:cs="Arial"/>
          <w:b/>
          <w:szCs w:val="22"/>
          <w:lang w:eastAsia="en-GB"/>
        </w:rPr>
      </w:pPr>
      <w:r>
        <w:rPr>
          <w:rFonts w:cs="Arial"/>
          <w:b/>
          <w:szCs w:val="22"/>
          <w:lang w:eastAsia="en-GB"/>
        </w:rPr>
        <w:br w:type="page"/>
      </w:r>
    </w:p>
    <w:p w:rsidR="007501AA" w:rsidRPr="00263722" w:rsidRDefault="007501AA" w:rsidP="002F2445">
      <w:pPr>
        <w:spacing w:before="0"/>
        <w:ind w:left="1418"/>
        <w:rPr>
          <w:rFonts w:cs="Arial"/>
          <w:b/>
          <w:szCs w:val="22"/>
          <w:lang w:eastAsia="en-GB"/>
        </w:rPr>
      </w:pPr>
      <w:r w:rsidRPr="00263722">
        <w:rPr>
          <w:rFonts w:cs="Arial"/>
          <w:b/>
          <w:szCs w:val="22"/>
          <w:lang w:eastAsia="en-GB"/>
        </w:rPr>
        <w:lastRenderedPageBreak/>
        <w:t xml:space="preserve">Definitions: </w:t>
      </w:r>
    </w:p>
    <w:p w:rsidR="008F22AF" w:rsidRDefault="008F22AF" w:rsidP="002F2445">
      <w:pPr>
        <w:spacing w:before="0"/>
        <w:ind w:left="1418"/>
        <w:rPr>
          <w:b/>
        </w:rPr>
      </w:pPr>
    </w:p>
    <w:p w:rsidR="007501AA" w:rsidRDefault="00D60FC8" w:rsidP="002F2445">
      <w:pPr>
        <w:spacing w:before="0"/>
        <w:ind w:left="1418"/>
      </w:pPr>
      <w:r>
        <w:rPr>
          <w:b/>
        </w:rPr>
        <w:t>Premises licenc</w:t>
      </w:r>
      <w:r w:rsidR="007501AA" w:rsidRPr="00263722">
        <w:rPr>
          <w:b/>
        </w:rPr>
        <w:t>es</w:t>
      </w:r>
      <w:r w:rsidR="007501AA">
        <w:t xml:space="preserve"> can be used for the sale or supply of alcohol, the provision of regulated entertainment or the prov</w:t>
      </w:r>
      <w:r w:rsidR="00DA5D67">
        <w:t>ision of late night refreshment.</w:t>
      </w:r>
    </w:p>
    <w:p w:rsidR="007501AA" w:rsidRDefault="007501AA" w:rsidP="002F2445">
      <w:pPr>
        <w:spacing w:before="0"/>
        <w:ind w:left="1418"/>
      </w:pPr>
    </w:p>
    <w:p w:rsidR="007501AA" w:rsidRDefault="007501AA" w:rsidP="002F2445">
      <w:pPr>
        <w:spacing w:before="0"/>
        <w:ind w:left="1418"/>
        <w:rPr>
          <w:rFonts w:cs="Arial"/>
          <w:szCs w:val="22"/>
        </w:rPr>
      </w:pPr>
      <w:r w:rsidRPr="00263722">
        <w:rPr>
          <w:b/>
        </w:rPr>
        <w:t>Club premises certificates</w:t>
      </w:r>
      <w:r>
        <w:t xml:space="preserve"> </w:t>
      </w:r>
      <w:r>
        <w:rPr>
          <w:rFonts w:cs="Arial"/>
          <w:szCs w:val="22"/>
        </w:rPr>
        <w:t xml:space="preserve">allow a qualifying club to carry out activities specified under the </w:t>
      </w:r>
      <w:r w:rsidR="00A20B0F">
        <w:rPr>
          <w:rFonts w:cs="Arial"/>
          <w:szCs w:val="22"/>
        </w:rPr>
        <w:t>L</w:t>
      </w:r>
      <w:r>
        <w:rPr>
          <w:rFonts w:cs="Arial"/>
          <w:szCs w:val="22"/>
        </w:rPr>
        <w:t xml:space="preserve">icensing </w:t>
      </w:r>
      <w:r w:rsidR="00A20B0F">
        <w:rPr>
          <w:rFonts w:cs="Arial"/>
          <w:szCs w:val="22"/>
        </w:rPr>
        <w:t>A</w:t>
      </w:r>
      <w:r>
        <w:rPr>
          <w:rFonts w:cs="Arial"/>
          <w:szCs w:val="22"/>
        </w:rPr>
        <w:t>ct 2003 (</w:t>
      </w:r>
      <w:hyperlink r:id="rId17" w:history="1">
        <w:r w:rsidRPr="0049698A">
          <w:rPr>
            <w:rStyle w:val="Hyperlink"/>
            <w:rFonts w:cs="Arial"/>
            <w:szCs w:val="22"/>
          </w:rPr>
          <w:t>http://www.legislation.gov.uk/uksi/2005/42/contents/made</w:t>
        </w:r>
      </w:hyperlink>
      <w:r>
        <w:rPr>
          <w:rStyle w:val="Hyperlink"/>
          <w:rFonts w:cs="Arial"/>
          <w:szCs w:val="22"/>
        </w:rPr>
        <w:t>)</w:t>
      </w:r>
    </w:p>
    <w:p w:rsidR="006B1128" w:rsidRDefault="006B1128" w:rsidP="002F2445">
      <w:pPr>
        <w:spacing w:before="0"/>
        <w:ind w:left="1418"/>
        <w:rPr>
          <w:szCs w:val="22"/>
        </w:rPr>
      </w:pPr>
    </w:p>
    <w:p w:rsidR="006B1128" w:rsidRDefault="006B1128" w:rsidP="002F2445">
      <w:pPr>
        <w:spacing w:before="0"/>
        <w:ind w:left="1418"/>
      </w:pPr>
      <w:r>
        <w:t xml:space="preserve">Please note that this release deals only with </w:t>
      </w:r>
      <w:r w:rsidR="00D60FC8">
        <w:t>premises licenc</w:t>
      </w:r>
      <w:r w:rsidRPr="00191775">
        <w:t>es or club premises certificates</w:t>
      </w:r>
      <w:r>
        <w:t xml:space="preserve"> which</w:t>
      </w:r>
      <w:r>
        <w:rPr>
          <w:b/>
        </w:rPr>
        <w:t xml:space="preserve"> </w:t>
      </w:r>
      <w:r w:rsidRPr="006569B9">
        <w:t>authorise the provision of</w:t>
      </w:r>
      <w:r w:rsidRPr="00EB79B3">
        <w:rPr>
          <w:b/>
        </w:rPr>
        <w:t xml:space="preserve"> regulated entertainment</w:t>
      </w:r>
      <w:r w:rsidR="00851934">
        <w:t>.</w:t>
      </w:r>
      <w:r w:rsidR="00C625F3">
        <w:t xml:space="preserve"> It also does not include data for regulated entertainment authorised by a Temporary Event Notice.  </w:t>
      </w:r>
      <w:r w:rsidR="00385FAD">
        <w:t xml:space="preserve">Data for Temporary Event Notices as a whole is </w:t>
      </w:r>
      <w:r w:rsidR="00385FAD" w:rsidRPr="00385FAD">
        <w:t>published by the Home Office in their publication Alcohol and Late Night Refreshment Licensing England and Wales 2013/14</w:t>
      </w:r>
      <w:r w:rsidR="00385FAD">
        <w:t xml:space="preserve">. </w:t>
      </w:r>
      <w:r w:rsidR="00385FAD" w:rsidRPr="00385FAD">
        <w:t xml:space="preserve"> </w:t>
      </w:r>
      <w:r w:rsidR="00385FAD">
        <w:t xml:space="preserve">                  </w:t>
      </w:r>
      <w:r w:rsidR="00C625F3">
        <w:t xml:space="preserve">                </w:t>
      </w:r>
    </w:p>
    <w:p w:rsidR="006B1128" w:rsidRDefault="006B1128" w:rsidP="002F2445">
      <w:pPr>
        <w:spacing w:before="0"/>
        <w:ind w:left="1418"/>
      </w:pPr>
    </w:p>
    <w:p w:rsidR="007501AA" w:rsidRDefault="007501AA" w:rsidP="002F2445">
      <w:pPr>
        <w:spacing w:before="0"/>
        <w:ind w:left="1418"/>
      </w:pPr>
      <w:r>
        <w:t>Figures in this publication (unless otherwise stated) relat</w:t>
      </w:r>
      <w:r w:rsidR="00361F75">
        <w:t>e to the number of</w:t>
      </w:r>
      <w:r>
        <w:t xml:space="preserve"> premises licences or club premises certificates</w:t>
      </w:r>
      <w:r w:rsidR="00361F75">
        <w:t xml:space="preserve"> authorising entertainment</w:t>
      </w:r>
      <w:r>
        <w:t xml:space="preserve"> in force on </w:t>
      </w:r>
      <w:r w:rsidRPr="00734E10">
        <w:rPr>
          <w:b/>
        </w:rPr>
        <w:t>31 March 201</w:t>
      </w:r>
      <w:r w:rsidR="00585FC9">
        <w:rPr>
          <w:b/>
        </w:rPr>
        <w:t>4</w:t>
      </w:r>
      <w:r>
        <w:t xml:space="preserve"> in </w:t>
      </w:r>
      <w:r w:rsidRPr="00734E10">
        <w:rPr>
          <w:b/>
        </w:rPr>
        <w:t>England and Wales</w:t>
      </w:r>
      <w:r>
        <w:t>. There are no corresponding figures for Scotland</w:t>
      </w:r>
      <w:r>
        <w:rPr>
          <w:rStyle w:val="FootnoteReference"/>
        </w:rPr>
        <w:footnoteReference w:id="3"/>
      </w:r>
      <w:r w:rsidR="00D26D26">
        <w:t xml:space="preserve"> or Northern Ireland</w:t>
      </w:r>
      <w:r w:rsidR="002F2445">
        <w:t>.</w:t>
      </w:r>
      <w:r w:rsidR="006569B9">
        <w:t xml:space="preserve"> </w:t>
      </w:r>
      <w:r w:rsidR="00D26D26">
        <w:t xml:space="preserve">Scottish </w:t>
      </w:r>
      <w:r w:rsidR="006569B9">
        <w:t xml:space="preserve">liquor licensing statistics are available but these </w:t>
      </w:r>
      <w:r w:rsidR="00DA5D67">
        <w:t>do not distinguish the</w:t>
      </w:r>
      <w:r w:rsidR="006569B9">
        <w:t xml:space="preserve"> provision of regulated entertainment.</w:t>
      </w:r>
    </w:p>
    <w:p w:rsidR="007501AA" w:rsidRDefault="007501AA" w:rsidP="002F2445">
      <w:pPr>
        <w:spacing w:before="0"/>
        <w:ind w:left="1418"/>
      </w:pPr>
    </w:p>
    <w:p w:rsidR="007501AA" w:rsidRDefault="007501AA" w:rsidP="002F2445">
      <w:pPr>
        <w:spacing w:before="0"/>
        <w:ind w:left="1418"/>
      </w:pPr>
      <w:r>
        <w:t>The number of entertainment premises licences and entertainment club pr</w:t>
      </w:r>
      <w:r w:rsidR="00FF346B">
        <w:t>emises certificates in force do</w:t>
      </w:r>
      <w:r>
        <w:t xml:space="preserve"> not provide a measure of the regulated entertainment which actually takes place. This is because a premises or club being authorised for a certain type of regulated entertainment does not mean that they necessarily provide it.</w:t>
      </w:r>
      <w:r w:rsidR="00201D95">
        <w:t xml:space="preserve"> For example </w:t>
      </w:r>
      <w:proofErr w:type="gramStart"/>
      <w:r w:rsidR="00905018">
        <w:t xml:space="preserve">a </w:t>
      </w:r>
      <w:r w:rsidR="00D26D26">
        <w:t>premises</w:t>
      </w:r>
      <w:proofErr w:type="gramEnd"/>
      <w:r w:rsidR="00201D95">
        <w:t xml:space="preserve"> may have </w:t>
      </w:r>
      <w:r w:rsidR="002F2445">
        <w:t xml:space="preserve">previously </w:t>
      </w:r>
      <w:r w:rsidR="00201D95">
        <w:t>provided a form of regulated entertainment which it has now ceased to</w:t>
      </w:r>
      <w:r w:rsidR="00231BDF">
        <w:t>,</w:t>
      </w:r>
      <w:r w:rsidR="00201D95">
        <w:t xml:space="preserve"> but not had it removed from its licence.</w:t>
      </w:r>
      <w:r w:rsidR="00AE1E54">
        <w:t xml:space="preserve"> </w:t>
      </w:r>
    </w:p>
    <w:p w:rsidR="00201D95" w:rsidRDefault="00201D95" w:rsidP="002F2445">
      <w:pPr>
        <w:spacing w:before="0"/>
        <w:ind w:left="1418"/>
      </w:pPr>
    </w:p>
    <w:p w:rsidR="00201D95" w:rsidRDefault="00201D95" w:rsidP="002F2445">
      <w:pPr>
        <w:spacing w:before="0"/>
        <w:ind w:left="1418"/>
      </w:pPr>
      <w:r>
        <w:t>Figures on participation in various entertainment types are availa</w:t>
      </w:r>
      <w:r w:rsidR="007448D5">
        <w:t xml:space="preserve">ble from the </w:t>
      </w:r>
      <w:hyperlink r:id="rId18" w:history="1">
        <w:r w:rsidR="007448D5" w:rsidRPr="007448D5">
          <w:rPr>
            <w:rStyle w:val="Hyperlink"/>
          </w:rPr>
          <w:t>Taking Part Survey</w:t>
        </w:r>
      </w:hyperlink>
      <w:r w:rsidR="007448D5">
        <w:t xml:space="preserve">. </w:t>
      </w:r>
      <w:r w:rsidR="00D26D26">
        <w:t>W</w:t>
      </w:r>
      <w:r>
        <w:t xml:space="preserve">here relevant </w:t>
      </w:r>
      <w:r w:rsidR="00D26D26">
        <w:t xml:space="preserve">these figures </w:t>
      </w:r>
      <w:r w:rsidR="00DA5D67">
        <w:t xml:space="preserve">have been referred to in </w:t>
      </w:r>
      <w:r>
        <w:t>this release.</w:t>
      </w:r>
    </w:p>
    <w:p w:rsidR="007501AA" w:rsidRPr="00EF11BE" w:rsidRDefault="007501AA" w:rsidP="002F2445">
      <w:pPr>
        <w:spacing w:before="0"/>
        <w:ind w:left="1418"/>
      </w:pPr>
    </w:p>
    <w:p w:rsidR="007501AA" w:rsidRDefault="006569B9" w:rsidP="002F2445">
      <w:pPr>
        <w:spacing w:before="0"/>
        <w:ind w:left="1418"/>
      </w:pPr>
      <w:r>
        <w:t>Complementing this release, d</w:t>
      </w:r>
      <w:r w:rsidR="00DA2B47">
        <w:t>ata on licenc</w:t>
      </w:r>
      <w:r w:rsidR="007501AA">
        <w:t xml:space="preserve">es authorising alcohol and late night </w:t>
      </w:r>
      <w:r w:rsidR="007501AA" w:rsidRPr="003F30C8">
        <w:t xml:space="preserve">refreshments are published by the Home Office in their publication </w:t>
      </w:r>
      <w:r w:rsidR="007501AA" w:rsidRPr="003F30C8">
        <w:rPr>
          <w:i/>
        </w:rPr>
        <w:t>Alcohol and Late Night Refreshment Licensing England and Wales 201</w:t>
      </w:r>
      <w:r w:rsidR="00585FC9">
        <w:rPr>
          <w:i/>
        </w:rPr>
        <w:t>3</w:t>
      </w:r>
      <w:r w:rsidR="007501AA" w:rsidRPr="003F30C8">
        <w:rPr>
          <w:i/>
        </w:rPr>
        <w:t>/1</w:t>
      </w:r>
      <w:r w:rsidR="00585FC9">
        <w:rPr>
          <w:i/>
        </w:rPr>
        <w:t>4</w:t>
      </w:r>
      <w:r w:rsidR="007501AA" w:rsidRPr="003F30C8">
        <w:rPr>
          <w:i/>
        </w:rPr>
        <w:t xml:space="preserve"> a</w:t>
      </w:r>
      <w:r w:rsidR="007501AA" w:rsidRPr="003F30C8">
        <w:t xml:space="preserve">vailable at </w:t>
      </w:r>
      <w:hyperlink r:id="rId19" w:history="1">
        <w:r w:rsidR="007967A9" w:rsidRPr="007967A9">
          <w:rPr>
            <w:rStyle w:val="Hyperlink"/>
          </w:rPr>
          <w:t>https://www.gov.uk/government/publications/alcohol-and-late-night-refreshment-licensing-england-and-wales-31-march-2014</w:t>
        </w:r>
      </w:hyperlink>
      <w:r w:rsidR="003F30C8" w:rsidRPr="00585FC9">
        <w:rPr>
          <w:color w:val="FF0000"/>
        </w:rPr>
        <w:t xml:space="preserve"> </w:t>
      </w:r>
    </w:p>
    <w:p w:rsidR="00BF78D9" w:rsidRDefault="00BF78D9" w:rsidP="002F2445">
      <w:pPr>
        <w:spacing w:before="0"/>
        <w:ind w:left="1418"/>
      </w:pPr>
      <w:r>
        <w:t>The Home Office publication includes figures for the total number of premises licences and club premises certificates in force, not just those authorising the provision of regulated entertainment as in this release.</w:t>
      </w:r>
    </w:p>
    <w:p w:rsidR="00D60FC8" w:rsidRDefault="00D60FC8" w:rsidP="002F2445">
      <w:pPr>
        <w:spacing w:before="0"/>
        <w:ind w:left="1418"/>
        <w:rPr>
          <w:b/>
        </w:rPr>
      </w:pPr>
    </w:p>
    <w:p w:rsidR="008F22AF" w:rsidRDefault="008F22AF" w:rsidP="002F2445">
      <w:pPr>
        <w:spacing w:before="0"/>
        <w:ind w:left="1418"/>
        <w:rPr>
          <w:b/>
        </w:rPr>
      </w:pPr>
      <w:r>
        <w:rPr>
          <w:b/>
        </w:rPr>
        <w:t>Data response:</w:t>
      </w:r>
    </w:p>
    <w:p w:rsidR="008F22AF" w:rsidRPr="00DA2B47" w:rsidRDefault="008F22AF" w:rsidP="002F2445">
      <w:pPr>
        <w:spacing w:before="0"/>
        <w:ind w:left="1418"/>
        <w:rPr>
          <w:b/>
        </w:rPr>
      </w:pPr>
    </w:p>
    <w:p w:rsidR="007501AA" w:rsidRDefault="004A0129" w:rsidP="002F2445">
      <w:pPr>
        <w:spacing w:before="0"/>
        <w:ind w:left="1418"/>
      </w:pPr>
      <w:r w:rsidRPr="004A0129">
        <w:t xml:space="preserve">All </w:t>
      </w:r>
      <w:r w:rsidR="007501AA" w:rsidRPr="004A0129">
        <w:t>of the licensing authorities in England and Wales</w:t>
      </w:r>
      <w:r w:rsidR="008F22AF" w:rsidRPr="004A0129">
        <w:t xml:space="preserve"> responded to the questionnaire.</w:t>
      </w:r>
      <w:r w:rsidR="007501AA" w:rsidRPr="004A0129">
        <w:t xml:space="preserve"> </w:t>
      </w:r>
      <w:r w:rsidR="008F22AF" w:rsidRPr="004A0129">
        <w:t>O</w:t>
      </w:r>
      <w:r w:rsidR="007501AA" w:rsidRPr="004A0129">
        <w:t>f these 89.</w:t>
      </w:r>
      <w:r w:rsidR="007311CA" w:rsidRPr="004A0129">
        <w:t>0</w:t>
      </w:r>
      <w:r w:rsidR="007501AA" w:rsidRPr="004A0129">
        <w:t xml:space="preserve"> and 8</w:t>
      </w:r>
      <w:r w:rsidR="007311CA" w:rsidRPr="004A0129">
        <w:t>6</w:t>
      </w:r>
      <w:r w:rsidR="007501AA" w:rsidRPr="004A0129">
        <w:t>.</w:t>
      </w:r>
      <w:r w:rsidR="007311CA" w:rsidRPr="004A0129">
        <w:t>4</w:t>
      </w:r>
      <w:r w:rsidR="007501AA" w:rsidRPr="004A0129">
        <w:t xml:space="preserve"> per cent provided the number of entertainment premises licences and entertainment club premises certificates </w:t>
      </w:r>
      <w:r w:rsidR="008F22AF" w:rsidRPr="004A0129">
        <w:t xml:space="preserve">in force </w:t>
      </w:r>
      <w:r w:rsidR="007501AA" w:rsidRPr="004A0129">
        <w:t xml:space="preserve">respectively. </w:t>
      </w:r>
      <w:r w:rsidR="007501AA">
        <w:t>Throughout this publication modelled estimates have been used to account for th</w:t>
      </w:r>
      <w:r w:rsidR="00DA5D67">
        <w:t>ese</w:t>
      </w:r>
      <w:r w:rsidR="007501AA">
        <w:t xml:space="preserve"> missing data.</w:t>
      </w:r>
      <w:r w:rsidR="008F22AF">
        <w:t xml:space="preserve"> </w:t>
      </w:r>
      <w:r w:rsidR="007501AA">
        <w:t>Full information on response rates and the modelling procedure can be found in Annex A</w:t>
      </w:r>
      <w:r w:rsidR="00364FDF">
        <w:t>. Further information on interpreting the modelled data can be found in Annex B.</w:t>
      </w:r>
    </w:p>
    <w:p w:rsidR="00905018" w:rsidRDefault="00905018" w:rsidP="004A0129">
      <w:pPr>
        <w:spacing w:before="0"/>
        <w:ind w:left="0"/>
        <w:rPr>
          <w:b/>
        </w:rPr>
      </w:pPr>
    </w:p>
    <w:p w:rsidR="00AE1E54" w:rsidRDefault="00AE1E54">
      <w:pPr>
        <w:spacing w:before="0"/>
        <w:ind w:left="0"/>
        <w:rPr>
          <w:b/>
        </w:rPr>
      </w:pPr>
    </w:p>
    <w:p w:rsidR="004A0129" w:rsidRDefault="00D26D26" w:rsidP="002F2445">
      <w:pPr>
        <w:spacing w:before="0"/>
        <w:ind w:left="1418"/>
      </w:pPr>
      <w:r w:rsidRPr="00D26D26">
        <w:rPr>
          <w:b/>
        </w:rPr>
        <w:lastRenderedPageBreak/>
        <w:t>Revisions:</w:t>
      </w:r>
    </w:p>
    <w:p w:rsidR="00216753" w:rsidRDefault="00216753" w:rsidP="002F2445">
      <w:pPr>
        <w:spacing w:before="0"/>
        <w:ind w:left="1418"/>
      </w:pPr>
    </w:p>
    <w:p w:rsidR="00D26D26" w:rsidRPr="00D26D26" w:rsidRDefault="00FF7DEF" w:rsidP="002F2445">
      <w:pPr>
        <w:spacing w:before="0"/>
        <w:ind w:left="1418"/>
      </w:pPr>
      <w:r>
        <w:t xml:space="preserve">Figures from 2008, 2009, </w:t>
      </w:r>
      <w:r w:rsidR="00D26D26">
        <w:t>2010</w:t>
      </w:r>
      <w:r w:rsidR="00585FC9">
        <w:t>, 2012 and</w:t>
      </w:r>
      <w:r w:rsidR="00D26D26">
        <w:t xml:space="preserve"> </w:t>
      </w:r>
      <w:r w:rsidR="00585FC9">
        <w:t xml:space="preserve">2013 </w:t>
      </w:r>
      <w:r w:rsidR="00D26D26">
        <w:t>referred to in thi</w:t>
      </w:r>
      <w:r>
        <w:t>s report have not been revised from previous publications.</w:t>
      </w:r>
    </w:p>
    <w:p w:rsidR="002F2445" w:rsidRDefault="002F2445" w:rsidP="002F2445">
      <w:pPr>
        <w:spacing w:before="0"/>
        <w:ind w:left="1418"/>
        <w:rPr>
          <w:szCs w:val="22"/>
        </w:rPr>
      </w:pPr>
    </w:p>
    <w:p w:rsidR="00263722" w:rsidRDefault="00263722" w:rsidP="002F2445">
      <w:pPr>
        <w:spacing w:before="0"/>
        <w:ind w:left="1418"/>
        <w:rPr>
          <w:b/>
          <w:szCs w:val="22"/>
        </w:rPr>
      </w:pPr>
      <w:r w:rsidRPr="00263722">
        <w:rPr>
          <w:b/>
          <w:szCs w:val="22"/>
        </w:rPr>
        <w:t>Additional information</w:t>
      </w:r>
      <w:r>
        <w:rPr>
          <w:b/>
          <w:szCs w:val="22"/>
        </w:rPr>
        <w:t>:</w:t>
      </w:r>
    </w:p>
    <w:p w:rsidR="00155ADD" w:rsidRDefault="00155ADD" w:rsidP="002F2445">
      <w:pPr>
        <w:spacing w:before="0"/>
        <w:ind w:left="1418"/>
        <w:rPr>
          <w:b/>
          <w:szCs w:val="22"/>
        </w:rPr>
      </w:pPr>
    </w:p>
    <w:p w:rsidR="00155ADD" w:rsidRPr="007733B9" w:rsidRDefault="00155ADD" w:rsidP="00155ADD">
      <w:pPr>
        <w:spacing w:before="0"/>
        <w:ind w:left="1418"/>
        <w:rPr>
          <w:rStyle w:val="Hyperlink"/>
          <w:rFonts w:cs="Arial"/>
          <w:color w:val="auto"/>
          <w:szCs w:val="22"/>
          <w:u w:val="none"/>
          <w:lang w:val="en"/>
        </w:rPr>
      </w:pPr>
      <w:r w:rsidRPr="007733B9">
        <w:rPr>
          <w:rStyle w:val="Hyperlink"/>
          <w:rFonts w:cs="Arial"/>
          <w:color w:val="auto"/>
          <w:szCs w:val="22"/>
          <w:u w:val="none"/>
          <w:lang w:val="en"/>
        </w:rPr>
        <w:t xml:space="preserve">The Licensing Act 2003 defines the provision of regulated entertainment as a licensable activity. The Act brought together 6 existing licensing regimes including public entertainment, cinemas and theatres. Once granted, the </w:t>
      </w:r>
      <w:r w:rsidRPr="00852A83">
        <w:rPr>
          <w:rStyle w:val="Hyperlink"/>
          <w:rFonts w:cs="Arial"/>
          <w:color w:val="auto"/>
          <w:szCs w:val="22"/>
          <w:u w:val="none"/>
        </w:rPr>
        <w:t>licen</w:t>
      </w:r>
      <w:r w:rsidR="004C682B" w:rsidRPr="00852A83">
        <w:rPr>
          <w:rStyle w:val="Hyperlink"/>
          <w:rFonts w:cs="Arial"/>
          <w:color w:val="auto"/>
          <w:szCs w:val="22"/>
          <w:u w:val="none"/>
        </w:rPr>
        <w:t>c</w:t>
      </w:r>
      <w:r w:rsidRPr="00852A83">
        <w:rPr>
          <w:rStyle w:val="Hyperlink"/>
          <w:rFonts w:cs="Arial"/>
          <w:color w:val="auto"/>
          <w:szCs w:val="22"/>
          <w:u w:val="none"/>
        </w:rPr>
        <w:t>e</w:t>
      </w:r>
      <w:r w:rsidRPr="007733B9">
        <w:rPr>
          <w:rStyle w:val="Hyperlink"/>
          <w:rFonts w:cs="Arial"/>
          <w:color w:val="auto"/>
          <w:szCs w:val="22"/>
          <w:u w:val="none"/>
          <w:lang w:val="en"/>
        </w:rPr>
        <w:t xml:space="preserve"> is valid until surrendered</w:t>
      </w:r>
      <w:r w:rsidR="00361F75">
        <w:rPr>
          <w:rStyle w:val="Hyperlink"/>
          <w:rFonts w:cs="Arial"/>
          <w:color w:val="auto"/>
          <w:szCs w:val="22"/>
          <w:u w:val="none"/>
          <w:lang w:val="en"/>
        </w:rPr>
        <w:t xml:space="preserve">, subject to the payment of any annual </w:t>
      </w:r>
      <w:r w:rsidR="00361F75" w:rsidRPr="00585FC9">
        <w:rPr>
          <w:rStyle w:val="Hyperlink"/>
          <w:rFonts w:cs="Arial"/>
          <w:color w:val="auto"/>
          <w:szCs w:val="22"/>
          <w:u w:val="none"/>
        </w:rPr>
        <w:t>licence</w:t>
      </w:r>
      <w:r w:rsidR="00361F75">
        <w:rPr>
          <w:rStyle w:val="Hyperlink"/>
          <w:rFonts w:cs="Arial"/>
          <w:color w:val="auto"/>
          <w:szCs w:val="22"/>
          <w:u w:val="none"/>
          <w:lang w:val="en"/>
        </w:rPr>
        <w:t xml:space="preserve"> fee due</w:t>
      </w:r>
      <w:r w:rsidRPr="007733B9">
        <w:rPr>
          <w:rStyle w:val="Hyperlink"/>
          <w:rFonts w:cs="Arial"/>
          <w:color w:val="auto"/>
          <w:szCs w:val="22"/>
          <w:u w:val="none"/>
          <w:lang w:val="en"/>
        </w:rPr>
        <w:t xml:space="preserve"> and any premises </w:t>
      </w:r>
      <w:r>
        <w:rPr>
          <w:rStyle w:val="Hyperlink"/>
          <w:rFonts w:cs="Arial"/>
          <w:color w:val="auto"/>
          <w:szCs w:val="22"/>
          <w:u w:val="none"/>
          <w:lang w:val="en"/>
        </w:rPr>
        <w:t xml:space="preserve">which </w:t>
      </w:r>
      <w:r w:rsidRPr="007733B9">
        <w:rPr>
          <w:rStyle w:val="Hyperlink"/>
          <w:rFonts w:cs="Arial"/>
          <w:color w:val="auto"/>
          <w:szCs w:val="22"/>
          <w:u w:val="none"/>
          <w:lang w:val="en"/>
        </w:rPr>
        <w:t>h</w:t>
      </w:r>
      <w:r>
        <w:rPr>
          <w:rStyle w:val="Hyperlink"/>
          <w:rFonts w:cs="Arial"/>
          <w:color w:val="auto"/>
          <w:szCs w:val="22"/>
          <w:u w:val="none"/>
          <w:lang w:val="en"/>
        </w:rPr>
        <w:t>eld</w:t>
      </w:r>
      <w:r w:rsidRPr="007733B9">
        <w:rPr>
          <w:rStyle w:val="Hyperlink"/>
          <w:rFonts w:cs="Arial"/>
          <w:color w:val="auto"/>
          <w:szCs w:val="22"/>
          <w:u w:val="none"/>
          <w:lang w:val="en"/>
        </w:rPr>
        <w:t xml:space="preserve"> an old scheme </w:t>
      </w:r>
      <w:r w:rsidRPr="00585FC9">
        <w:rPr>
          <w:rStyle w:val="Hyperlink"/>
          <w:rFonts w:cs="Arial"/>
          <w:color w:val="auto"/>
          <w:szCs w:val="22"/>
          <w:u w:val="none"/>
        </w:rPr>
        <w:t>licence</w:t>
      </w:r>
      <w:r w:rsidRPr="007733B9">
        <w:rPr>
          <w:rStyle w:val="Hyperlink"/>
          <w:rFonts w:cs="Arial"/>
          <w:color w:val="auto"/>
          <w:szCs w:val="22"/>
          <w:u w:val="none"/>
          <w:lang w:val="en"/>
        </w:rPr>
        <w:t xml:space="preserve"> was eligible to apply for it to be converted. The statistics presented in this report enable the Government to track the uptake of such </w:t>
      </w:r>
      <w:r w:rsidRPr="00585FC9">
        <w:rPr>
          <w:rStyle w:val="Hyperlink"/>
          <w:rFonts w:cs="Arial"/>
          <w:color w:val="auto"/>
          <w:szCs w:val="22"/>
          <w:u w:val="none"/>
        </w:rPr>
        <w:t>licences</w:t>
      </w:r>
      <w:r w:rsidRPr="007733B9">
        <w:rPr>
          <w:rStyle w:val="Hyperlink"/>
          <w:rFonts w:cs="Arial"/>
          <w:color w:val="auto"/>
          <w:szCs w:val="22"/>
          <w:u w:val="none"/>
          <w:lang w:val="en"/>
        </w:rPr>
        <w:t xml:space="preserve"> throughout England and Wales and to gauge what impact the legislation has had and continues to have on the number of clubs or premises able to provide different entertainment types.</w:t>
      </w:r>
    </w:p>
    <w:p w:rsidR="00263722" w:rsidRDefault="00263722" w:rsidP="002F2445">
      <w:pPr>
        <w:spacing w:before="0"/>
        <w:ind w:left="1418"/>
        <w:rPr>
          <w:szCs w:val="22"/>
        </w:rPr>
      </w:pPr>
    </w:p>
    <w:p w:rsidR="00263722" w:rsidRDefault="00263722" w:rsidP="002F2445">
      <w:pPr>
        <w:spacing w:before="0"/>
        <w:ind w:left="1418"/>
        <w:rPr>
          <w:szCs w:val="22"/>
        </w:rPr>
      </w:pPr>
      <w:r>
        <w:rPr>
          <w:szCs w:val="22"/>
        </w:rPr>
        <w:t xml:space="preserve">The </w:t>
      </w:r>
      <w:r w:rsidR="00D464A5">
        <w:rPr>
          <w:szCs w:val="22"/>
        </w:rPr>
        <w:t>L</w:t>
      </w:r>
      <w:r>
        <w:rPr>
          <w:szCs w:val="22"/>
        </w:rPr>
        <w:t xml:space="preserve">ive </w:t>
      </w:r>
      <w:r w:rsidR="00D464A5">
        <w:rPr>
          <w:szCs w:val="22"/>
        </w:rPr>
        <w:t>M</w:t>
      </w:r>
      <w:r>
        <w:rPr>
          <w:szCs w:val="22"/>
        </w:rPr>
        <w:t xml:space="preserve">usic </w:t>
      </w:r>
      <w:r w:rsidR="00D464A5">
        <w:rPr>
          <w:szCs w:val="22"/>
        </w:rPr>
        <w:t>A</w:t>
      </w:r>
      <w:r>
        <w:rPr>
          <w:szCs w:val="22"/>
        </w:rPr>
        <w:t xml:space="preserve">ct 2012 came into force on 1 October 2012. The data reported on in this publication </w:t>
      </w:r>
      <w:r w:rsidR="0038529D">
        <w:rPr>
          <w:szCs w:val="22"/>
        </w:rPr>
        <w:t>refer to licences in force on 31</w:t>
      </w:r>
      <w:r w:rsidR="0038529D" w:rsidRPr="0038529D">
        <w:rPr>
          <w:szCs w:val="22"/>
          <w:vertAlign w:val="superscript"/>
        </w:rPr>
        <w:t>st</w:t>
      </w:r>
      <w:r w:rsidR="0038529D">
        <w:rPr>
          <w:szCs w:val="22"/>
        </w:rPr>
        <w:t xml:space="preserve"> March 201</w:t>
      </w:r>
      <w:r w:rsidR="00585FC9">
        <w:rPr>
          <w:szCs w:val="22"/>
        </w:rPr>
        <w:t>4</w:t>
      </w:r>
      <w:r>
        <w:rPr>
          <w:szCs w:val="22"/>
        </w:rPr>
        <w:t xml:space="preserve"> so </w:t>
      </w:r>
      <w:r w:rsidR="008F22AF">
        <w:rPr>
          <w:szCs w:val="22"/>
        </w:rPr>
        <w:t>this Act</w:t>
      </w:r>
      <w:r>
        <w:rPr>
          <w:szCs w:val="22"/>
        </w:rPr>
        <w:t xml:space="preserve"> </w:t>
      </w:r>
      <w:r w:rsidR="0038529D">
        <w:rPr>
          <w:szCs w:val="22"/>
        </w:rPr>
        <w:t>may</w:t>
      </w:r>
      <w:r>
        <w:rPr>
          <w:szCs w:val="22"/>
        </w:rPr>
        <w:t xml:space="preserve"> have had an impact on these statistics. </w:t>
      </w:r>
    </w:p>
    <w:p w:rsidR="00263722" w:rsidRDefault="00263722" w:rsidP="002F2445">
      <w:pPr>
        <w:spacing w:before="0"/>
        <w:ind w:left="1418"/>
        <w:rPr>
          <w:szCs w:val="22"/>
        </w:rPr>
      </w:pPr>
    </w:p>
    <w:p w:rsidR="00263722" w:rsidRDefault="00263722" w:rsidP="002F2445">
      <w:pPr>
        <w:spacing w:before="0"/>
        <w:ind w:left="1418"/>
        <w:rPr>
          <w:rStyle w:val="Hyperlink"/>
          <w:rFonts w:cs="Arial"/>
          <w:szCs w:val="22"/>
          <w:lang w:val="en"/>
        </w:rPr>
      </w:pPr>
      <w:r w:rsidRPr="00D949BD">
        <w:rPr>
          <w:rStyle w:val="ends2"/>
          <w:rFonts w:cs="Arial"/>
          <w:szCs w:val="22"/>
          <w:lang w:val="en"/>
          <w:specVanish w:val="0"/>
        </w:rPr>
        <w:t xml:space="preserve">The </w:t>
      </w:r>
      <w:r w:rsidR="004C682B">
        <w:rPr>
          <w:rStyle w:val="ends2"/>
          <w:rFonts w:cs="Arial"/>
          <w:szCs w:val="22"/>
          <w:lang w:val="en"/>
          <w:specVanish w:val="0"/>
        </w:rPr>
        <w:t xml:space="preserve">2012 </w:t>
      </w:r>
      <w:r w:rsidRPr="00D949BD">
        <w:rPr>
          <w:rStyle w:val="ends2"/>
          <w:rFonts w:cs="Arial"/>
          <w:szCs w:val="22"/>
          <w:lang w:val="en"/>
          <w:specVanish w:val="0"/>
        </w:rPr>
        <w:t>Act amends the Licensing Act 2003 (“the 2003 Act”) by partially deregulating the performance of live music and removing regulation about the provision of entertainment facilities</w:t>
      </w:r>
      <w:r>
        <w:rPr>
          <w:rStyle w:val="ends2"/>
          <w:rFonts w:cs="Arial"/>
          <w:szCs w:val="22"/>
          <w:lang w:val="en"/>
          <w:specVanish w:val="0"/>
        </w:rPr>
        <w:t xml:space="preserve">. </w:t>
      </w:r>
      <w:r w:rsidR="0038529D">
        <w:rPr>
          <w:rStyle w:val="ends2"/>
          <w:rFonts w:cs="Arial"/>
          <w:szCs w:val="22"/>
          <w:lang w:val="en"/>
          <w:specVanish w:val="0"/>
        </w:rPr>
        <w:t xml:space="preserve">It may therefore be expected that </w:t>
      </w:r>
      <w:proofErr w:type="spellStart"/>
      <w:r w:rsidR="0038529D">
        <w:rPr>
          <w:rStyle w:val="ends2"/>
          <w:rFonts w:cs="Arial"/>
          <w:szCs w:val="22"/>
          <w:lang w:val="en"/>
          <w:specVanish w:val="0"/>
        </w:rPr>
        <w:t>licences</w:t>
      </w:r>
      <w:proofErr w:type="spellEnd"/>
      <w:r w:rsidR="0038529D">
        <w:rPr>
          <w:rStyle w:val="ends2"/>
          <w:rFonts w:cs="Arial"/>
          <w:szCs w:val="22"/>
          <w:lang w:val="en"/>
          <w:specVanish w:val="0"/>
        </w:rPr>
        <w:t xml:space="preserve"> </w:t>
      </w:r>
      <w:r w:rsidR="0038529D" w:rsidRPr="00216753">
        <w:rPr>
          <w:rStyle w:val="ends2"/>
          <w:rFonts w:cs="Arial"/>
          <w:szCs w:val="22"/>
          <w:specVanish w:val="0"/>
        </w:rPr>
        <w:t>authorising</w:t>
      </w:r>
      <w:r w:rsidR="0038529D">
        <w:rPr>
          <w:rStyle w:val="ends2"/>
          <w:rFonts w:cs="Arial"/>
          <w:szCs w:val="22"/>
          <w:lang w:val="en"/>
          <w:specVanish w:val="0"/>
        </w:rPr>
        <w:t xml:space="preserve"> live music performances may decrease</w:t>
      </w:r>
      <w:r w:rsidR="00361F75">
        <w:rPr>
          <w:rStyle w:val="ends2"/>
          <w:rFonts w:cs="Arial"/>
          <w:szCs w:val="22"/>
          <w:lang w:val="en"/>
          <w:specVanish w:val="0"/>
        </w:rPr>
        <w:t>,</w:t>
      </w:r>
      <w:r w:rsidR="0038529D">
        <w:rPr>
          <w:rStyle w:val="ends2"/>
          <w:rFonts w:cs="Arial"/>
          <w:szCs w:val="22"/>
          <w:lang w:val="en"/>
          <w:specVanish w:val="0"/>
        </w:rPr>
        <w:t xml:space="preserve"> as may applications for new </w:t>
      </w:r>
      <w:r w:rsidR="0038529D" w:rsidRPr="00216753">
        <w:rPr>
          <w:rStyle w:val="ends2"/>
          <w:rFonts w:cs="Arial"/>
          <w:szCs w:val="22"/>
          <w:specVanish w:val="0"/>
        </w:rPr>
        <w:t>licences</w:t>
      </w:r>
      <w:r w:rsidR="00361F75">
        <w:rPr>
          <w:rStyle w:val="ends2"/>
          <w:rFonts w:cs="Arial"/>
          <w:szCs w:val="22"/>
          <w:lang w:val="en"/>
          <w:specVanish w:val="0"/>
        </w:rPr>
        <w:t xml:space="preserve">. However as the Live Music Act only partially deregulated live music in defined circumstances, the live music category is likely to remain in place on most pre-existing </w:t>
      </w:r>
      <w:proofErr w:type="spellStart"/>
      <w:r w:rsidR="00361F75">
        <w:rPr>
          <w:rStyle w:val="ends2"/>
          <w:rFonts w:cs="Arial"/>
          <w:szCs w:val="22"/>
          <w:lang w:val="en"/>
          <w:specVanish w:val="0"/>
        </w:rPr>
        <w:t>licences</w:t>
      </w:r>
      <w:proofErr w:type="spellEnd"/>
      <w:r w:rsidR="00361F75">
        <w:rPr>
          <w:rStyle w:val="ends2"/>
          <w:rFonts w:cs="Arial"/>
          <w:szCs w:val="22"/>
          <w:lang w:val="en"/>
          <w:specVanish w:val="0"/>
        </w:rPr>
        <w:t>.</w:t>
      </w:r>
      <w:r w:rsidR="00361F75">
        <w:rPr>
          <w:rStyle w:val="FootnoteReference"/>
          <w:rFonts w:cs="Arial"/>
          <w:szCs w:val="22"/>
          <w:lang w:val="en"/>
        </w:rPr>
        <w:footnoteReference w:id="4"/>
      </w:r>
      <w:r w:rsidR="00361F75">
        <w:rPr>
          <w:rStyle w:val="ends2"/>
          <w:rFonts w:cs="Arial"/>
          <w:szCs w:val="22"/>
          <w:lang w:val="en"/>
          <w:specVanish w:val="0"/>
        </w:rPr>
        <w:t xml:space="preserve"> </w:t>
      </w:r>
      <w:r w:rsidR="00BE12CC">
        <w:rPr>
          <w:rStyle w:val="ends2"/>
          <w:rFonts w:cs="Arial"/>
          <w:szCs w:val="22"/>
          <w:lang w:val="en"/>
          <w:specVanish w:val="0"/>
        </w:rPr>
        <w:t>These statistics do not provide an indication of whether the Act has increased the provision of live music itself.</w:t>
      </w:r>
      <w:r w:rsidR="0038529D">
        <w:rPr>
          <w:rStyle w:val="ends2"/>
          <w:rFonts w:cs="Arial"/>
          <w:szCs w:val="22"/>
          <w:lang w:val="en"/>
          <w:specVanish w:val="0"/>
        </w:rPr>
        <w:t xml:space="preserve"> </w:t>
      </w:r>
      <w:r>
        <w:rPr>
          <w:rStyle w:val="ends2"/>
          <w:rFonts w:cs="Arial"/>
          <w:szCs w:val="22"/>
          <w:lang w:val="en"/>
          <w:specVanish w:val="0"/>
        </w:rPr>
        <w:t>Full information</w:t>
      </w:r>
      <w:r w:rsidR="00154811">
        <w:rPr>
          <w:rStyle w:val="ends2"/>
          <w:rFonts w:cs="Arial"/>
          <w:szCs w:val="22"/>
          <w:lang w:val="en"/>
          <w:specVanish w:val="0"/>
        </w:rPr>
        <w:t xml:space="preserve"> on this Act</w:t>
      </w:r>
      <w:r>
        <w:rPr>
          <w:rStyle w:val="ends2"/>
          <w:rFonts w:cs="Arial"/>
          <w:szCs w:val="22"/>
          <w:lang w:val="en"/>
          <w:specVanish w:val="0"/>
        </w:rPr>
        <w:t xml:space="preserve"> is available </w:t>
      </w:r>
      <w:r w:rsidR="00154811">
        <w:rPr>
          <w:rStyle w:val="ends2"/>
          <w:rFonts w:cs="Arial"/>
          <w:szCs w:val="22"/>
          <w:lang w:val="en"/>
          <w:specVanish w:val="0"/>
        </w:rPr>
        <w:t>at</w:t>
      </w:r>
      <w:r>
        <w:rPr>
          <w:rStyle w:val="ends2"/>
          <w:rFonts w:cs="Arial"/>
          <w:szCs w:val="22"/>
          <w:lang w:val="en"/>
          <w:specVanish w:val="0"/>
        </w:rPr>
        <w:t xml:space="preserve"> </w:t>
      </w:r>
      <w:hyperlink r:id="rId20" w:history="1">
        <w:r w:rsidRPr="00246DC5">
          <w:rPr>
            <w:rStyle w:val="Hyperlink"/>
            <w:rFonts w:cs="Arial"/>
            <w:szCs w:val="22"/>
            <w:lang w:val="en"/>
          </w:rPr>
          <w:t>http://www.legislation.gov.uk/ukpga/2012/2/enacted</w:t>
        </w:r>
      </w:hyperlink>
    </w:p>
    <w:p w:rsidR="00134E93" w:rsidRDefault="00134E93" w:rsidP="002F2445">
      <w:pPr>
        <w:spacing w:before="0"/>
        <w:ind w:left="1418"/>
        <w:rPr>
          <w:rStyle w:val="Hyperlink"/>
          <w:rFonts w:cs="Arial"/>
          <w:szCs w:val="22"/>
          <w:lang w:val="en"/>
        </w:rPr>
      </w:pPr>
    </w:p>
    <w:p w:rsidR="00134E93" w:rsidRDefault="00361F75" w:rsidP="00361F75">
      <w:pPr>
        <w:spacing w:before="0"/>
        <w:ind w:left="1418"/>
        <w:rPr>
          <w:rStyle w:val="ends2"/>
          <w:rFonts w:cs="Arial"/>
          <w:szCs w:val="22"/>
          <w:lang w:val="en"/>
        </w:rPr>
      </w:pPr>
      <w:r>
        <w:rPr>
          <w:rStyle w:val="ends2"/>
          <w:rFonts w:cs="Arial"/>
          <w:szCs w:val="22"/>
          <w:lang w:val="en"/>
          <w:specVanish w:val="0"/>
        </w:rPr>
        <w:t xml:space="preserve">The Government is also committed to further deregulatory reforms to entertainment licensing. This is being implemented in phases. </w:t>
      </w:r>
      <w:r w:rsidRPr="00637913">
        <w:rPr>
          <w:rStyle w:val="ends2"/>
          <w:rFonts w:cs="Arial"/>
          <w:szCs w:val="22"/>
          <w:lang w:val="en"/>
          <w:specVanish w:val="0"/>
        </w:rPr>
        <w:t xml:space="preserve">The first </w:t>
      </w:r>
      <w:r>
        <w:rPr>
          <w:rStyle w:val="ends2"/>
          <w:rFonts w:cs="Arial"/>
          <w:szCs w:val="22"/>
          <w:lang w:val="en"/>
          <w:specVanish w:val="0"/>
        </w:rPr>
        <w:t xml:space="preserve">phase, by secondary legislation removed the requirement for a </w:t>
      </w:r>
      <w:proofErr w:type="spellStart"/>
      <w:r>
        <w:rPr>
          <w:rStyle w:val="ends2"/>
          <w:rFonts w:cs="Arial"/>
          <w:szCs w:val="22"/>
          <w:lang w:val="en"/>
          <w:specVanish w:val="0"/>
        </w:rPr>
        <w:t>licence</w:t>
      </w:r>
      <w:proofErr w:type="spellEnd"/>
      <w:r>
        <w:rPr>
          <w:rStyle w:val="ends2"/>
          <w:rFonts w:cs="Arial"/>
          <w:szCs w:val="22"/>
          <w:lang w:val="en"/>
          <w:specVanish w:val="0"/>
        </w:rPr>
        <w:t xml:space="preserve"> between 8:00-23:00 for performance of plays and exhibitions of dance (up to an audience limit of 500) and indoor sport up to audience limit of 1000 people. I</w:t>
      </w:r>
      <w:r w:rsidRPr="000F2436">
        <w:rPr>
          <w:rStyle w:val="ends2"/>
          <w:rFonts w:cs="Arial"/>
          <w:szCs w:val="22"/>
          <w:lang w:val="en"/>
          <w:specVanish w:val="0"/>
        </w:rPr>
        <w:t xml:space="preserve">t </w:t>
      </w:r>
      <w:r>
        <w:rPr>
          <w:rStyle w:val="ends2"/>
          <w:rFonts w:cs="Arial"/>
          <w:szCs w:val="22"/>
          <w:lang w:val="en"/>
          <w:specVanish w:val="0"/>
        </w:rPr>
        <w:t xml:space="preserve">also </w:t>
      </w:r>
      <w:r w:rsidRPr="000F2436">
        <w:rPr>
          <w:rStyle w:val="ends2"/>
          <w:rFonts w:cs="Arial"/>
          <w:szCs w:val="22"/>
          <w:lang w:val="en"/>
          <w:specVanish w:val="0"/>
        </w:rPr>
        <w:t>clarif</w:t>
      </w:r>
      <w:r>
        <w:rPr>
          <w:rStyle w:val="ends2"/>
          <w:rFonts w:cs="Arial"/>
          <w:szCs w:val="22"/>
          <w:lang w:val="en"/>
          <w:specVanish w:val="0"/>
        </w:rPr>
        <w:t xml:space="preserve">ied </w:t>
      </w:r>
      <w:r w:rsidRPr="000F2436">
        <w:rPr>
          <w:rStyle w:val="ends2"/>
          <w:rFonts w:cs="Arial"/>
          <w:szCs w:val="22"/>
          <w:lang w:val="en"/>
          <w:specVanish w:val="0"/>
        </w:rPr>
        <w:t xml:space="preserve">the position on combined fighting sports such as Mixed Martial Arts, so that it is clear in law that such activities </w:t>
      </w:r>
      <w:r>
        <w:rPr>
          <w:rStyle w:val="ends2"/>
          <w:rFonts w:cs="Arial"/>
          <w:szCs w:val="22"/>
          <w:lang w:val="en"/>
          <w:specVanish w:val="0"/>
        </w:rPr>
        <w:t>remain</w:t>
      </w:r>
      <w:r w:rsidRPr="000F2436">
        <w:rPr>
          <w:rStyle w:val="ends2"/>
          <w:rFonts w:cs="Arial"/>
          <w:szCs w:val="22"/>
          <w:lang w:val="en"/>
          <w:specVanish w:val="0"/>
        </w:rPr>
        <w:t xml:space="preserve"> licensable as boxing or wrestling activities. </w:t>
      </w:r>
      <w:r>
        <w:rPr>
          <w:rStyle w:val="ends2"/>
          <w:rFonts w:cs="Arial"/>
          <w:szCs w:val="22"/>
          <w:lang w:val="en"/>
          <w:specVanish w:val="0"/>
        </w:rPr>
        <w:t>This came into force on</w:t>
      </w:r>
      <w:r>
        <w:rPr>
          <w:rStyle w:val="Hyperlink"/>
          <w:rFonts w:cs="Arial"/>
          <w:szCs w:val="22"/>
          <w:lang w:val="en"/>
        </w:rPr>
        <w:t xml:space="preserve"> </w:t>
      </w:r>
      <w:r w:rsidR="00905018">
        <w:rPr>
          <w:rStyle w:val="ends2"/>
          <w:rFonts w:cs="Arial"/>
          <w:szCs w:val="22"/>
          <w:lang w:val="en"/>
          <w:specVanish w:val="0"/>
        </w:rPr>
        <w:t>27</w:t>
      </w:r>
      <w:r w:rsidR="00905018" w:rsidRPr="00905018">
        <w:rPr>
          <w:rStyle w:val="ends2"/>
          <w:rFonts w:cs="Arial"/>
          <w:szCs w:val="22"/>
          <w:vertAlign w:val="superscript"/>
          <w:lang w:val="en"/>
          <w:specVanish w:val="0"/>
        </w:rPr>
        <w:t>th</w:t>
      </w:r>
      <w:r w:rsidR="00905018">
        <w:rPr>
          <w:rStyle w:val="ends2"/>
          <w:rFonts w:cs="Arial"/>
          <w:szCs w:val="22"/>
          <w:lang w:val="en"/>
          <w:specVanish w:val="0"/>
        </w:rPr>
        <w:t xml:space="preserve"> June</w:t>
      </w:r>
      <w:r>
        <w:rPr>
          <w:rStyle w:val="ends2"/>
          <w:rFonts w:cs="Arial"/>
          <w:szCs w:val="22"/>
          <w:lang w:val="en"/>
          <w:specVanish w:val="0"/>
        </w:rPr>
        <w:t xml:space="preserve"> 2013</w:t>
      </w:r>
      <w:r w:rsidR="00155ADD">
        <w:rPr>
          <w:rStyle w:val="ends2"/>
          <w:rFonts w:cs="Arial"/>
          <w:szCs w:val="22"/>
          <w:lang w:val="en"/>
          <w:specVanish w:val="0"/>
        </w:rPr>
        <w:t>.</w:t>
      </w:r>
      <w:r w:rsidR="00A2583C">
        <w:rPr>
          <w:rStyle w:val="ends2"/>
          <w:rFonts w:cs="Arial"/>
          <w:szCs w:val="22"/>
          <w:lang w:val="en"/>
          <w:specVanish w:val="0"/>
        </w:rPr>
        <w:t xml:space="preserve"> </w:t>
      </w:r>
      <w:r w:rsidR="00D16DBB">
        <w:rPr>
          <w:rStyle w:val="ends2"/>
          <w:rFonts w:cs="Arial"/>
          <w:szCs w:val="22"/>
          <w:lang w:val="en"/>
          <w:specVanish w:val="0"/>
        </w:rPr>
        <w:t xml:space="preserve">For more information see </w:t>
      </w:r>
      <w:hyperlink r:id="rId21" w:history="1">
        <w:r w:rsidR="00905018" w:rsidRPr="000A7A1F">
          <w:rPr>
            <w:rStyle w:val="Hyperlink"/>
            <w:rFonts w:cs="Arial"/>
            <w:szCs w:val="22"/>
            <w:lang w:val="en"/>
          </w:rPr>
          <w:t>http://www.legislation.gov.uk/uksi/2013/1578/contents/made</w:t>
        </w:r>
      </w:hyperlink>
      <w:r w:rsidR="00905018">
        <w:rPr>
          <w:rStyle w:val="ends2"/>
          <w:rFonts w:cs="Arial"/>
          <w:szCs w:val="22"/>
          <w:lang w:val="en"/>
          <w:specVanish w:val="0"/>
        </w:rPr>
        <w:t xml:space="preserve"> </w:t>
      </w:r>
    </w:p>
    <w:p w:rsidR="00CA19DE" w:rsidRDefault="00CA19DE" w:rsidP="00361F75">
      <w:pPr>
        <w:spacing w:before="0"/>
        <w:ind w:left="1418"/>
        <w:rPr>
          <w:rStyle w:val="ends2"/>
          <w:rFonts w:cs="Arial"/>
          <w:szCs w:val="22"/>
          <w:lang w:val="en"/>
        </w:rPr>
      </w:pPr>
    </w:p>
    <w:p w:rsidR="00CA19DE" w:rsidRDefault="00CA19DE" w:rsidP="00361F75">
      <w:pPr>
        <w:spacing w:before="0"/>
        <w:ind w:left="1418"/>
        <w:rPr>
          <w:rStyle w:val="ends2"/>
          <w:rFonts w:cs="Arial"/>
          <w:szCs w:val="22"/>
          <w:lang w:val="en"/>
        </w:rPr>
      </w:pPr>
      <w:r>
        <w:rPr>
          <w:rStyle w:val="ends2"/>
          <w:rFonts w:cs="Arial"/>
          <w:szCs w:val="22"/>
          <w:lang w:val="en"/>
          <w:specVanish w:val="0"/>
        </w:rPr>
        <w:t xml:space="preserve">A second phase that will remove the licensing requirement between 08.00 -23.00 for certain activities in defined circumstances will come into force on 6 April 2015, see </w:t>
      </w:r>
      <w:hyperlink r:id="rId22" w:history="1">
        <w:r w:rsidRPr="00E15006">
          <w:rPr>
            <w:rStyle w:val="Hyperlink"/>
            <w:rFonts w:cs="Arial"/>
            <w:szCs w:val="22"/>
            <w:lang w:val="en"/>
          </w:rPr>
          <w:t>http://www.legislation.gov.uk/uksi/2014/3253/contents/made</w:t>
        </w:r>
      </w:hyperlink>
    </w:p>
    <w:p w:rsidR="00CA19DE" w:rsidRDefault="00CA19DE" w:rsidP="00361F75">
      <w:pPr>
        <w:spacing w:before="0"/>
        <w:ind w:left="1418"/>
        <w:rPr>
          <w:rStyle w:val="ends2"/>
          <w:rFonts w:cs="Arial"/>
          <w:szCs w:val="22"/>
          <w:lang w:val="en"/>
        </w:rPr>
      </w:pPr>
      <w:r>
        <w:rPr>
          <w:rStyle w:val="ends2"/>
          <w:rFonts w:cs="Arial"/>
          <w:szCs w:val="22"/>
          <w:lang w:val="en"/>
          <w:specVanish w:val="0"/>
        </w:rPr>
        <w:t xml:space="preserve">   </w:t>
      </w:r>
      <w:r>
        <w:rPr>
          <w:rStyle w:val="ends2"/>
          <w:rFonts w:cs="Arial"/>
          <w:szCs w:val="22"/>
          <w:vertAlign w:val="superscript"/>
          <w:lang w:val="en"/>
          <w:specVanish w:val="0"/>
        </w:rPr>
        <w:t xml:space="preserve"> </w:t>
      </w:r>
      <w:r>
        <w:rPr>
          <w:rStyle w:val="ends2"/>
          <w:rFonts w:cs="Arial"/>
          <w:szCs w:val="22"/>
          <w:lang w:val="en"/>
          <w:specVanish w:val="0"/>
        </w:rPr>
        <w:t xml:space="preserve">                                     </w:t>
      </w:r>
    </w:p>
    <w:p w:rsidR="00361F75" w:rsidRDefault="00361F75" w:rsidP="00361F75">
      <w:pPr>
        <w:spacing w:before="0"/>
        <w:ind w:left="1418"/>
        <w:rPr>
          <w:rStyle w:val="ends2"/>
          <w:rFonts w:cs="Arial"/>
          <w:color w:val="0000FF"/>
          <w:szCs w:val="22"/>
          <w:u w:val="single"/>
          <w:lang w:val="en"/>
        </w:rPr>
      </w:pPr>
    </w:p>
    <w:p w:rsidR="00CA19DE" w:rsidRDefault="00307690" w:rsidP="002F2445">
      <w:pPr>
        <w:spacing w:before="0"/>
        <w:ind w:left="1418"/>
        <w:rPr>
          <w:rStyle w:val="ends2"/>
          <w:rFonts w:cs="Arial"/>
          <w:szCs w:val="22"/>
          <w:lang w:val="en"/>
        </w:rPr>
      </w:pPr>
      <w:r w:rsidRPr="007733B9">
        <w:rPr>
          <w:rStyle w:val="ends2"/>
          <w:rFonts w:cs="Arial"/>
          <w:szCs w:val="22"/>
          <w:lang w:val="en"/>
          <w:specVanish w:val="0"/>
        </w:rPr>
        <w:t>There was no data collection in 2011 as a result of the Machinery o</w:t>
      </w:r>
      <w:r w:rsidR="003B461C" w:rsidRPr="007733B9">
        <w:rPr>
          <w:rStyle w:val="ends2"/>
          <w:rFonts w:cs="Arial"/>
          <w:szCs w:val="22"/>
          <w:lang w:val="en"/>
          <w:specVanish w:val="0"/>
        </w:rPr>
        <w:t>f Government change which reallocated</w:t>
      </w:r>
      <w:r w:rsidR="00361F75">
        <w:rPr>
          <w:rStyle w:val="ends2"/>
          <w:rFonts w:cs="Arial"/>
          <w:szCs w:val="22"/>
          <w:lang w:val="en"/>
          <w:specVanish w:val="0"/>
        </w:rPr>
        <w:t xml:space="preserve"> policy responsibilities under the Licensing Act 2003 </w:t>
      </w:r>
      <w:r w:rsidRPr="007733B9">
        <w:rPr>
          <w:rStyle w:val="ends2"/>
          <w:rFonts w:cs="Arial"/>
          <w:szCs w:val="22"/>
          <w:lang w:val="en"/>
          <w:specVanish w:val="0"/>
        </w:rPr>
        <w:t xml:space="preserve">between the Home Office and </w:t>
      </w:r>
      <w:r w:rsidR="00361F75">
        <w:rPr>
          <w:rStyle w:val="ends2"/>
          <w:rFonts w:cs="Arial"/>
          <w:szCs w:val="22"/>
          <w:lang w:val="en"/>
          <w:specVanish w:val="0"/>
        </w:rPr>
        <w:t xml:space="preserve">the </w:t>
      </w:r>
      <w:r w:rsidRPr="007733B9">
        <w:rPr>
          <w:rStyle w:val="ends2"/>
          <w:rFonts w:cs="Arial"/>
          <w:szCs w:val="22"/>
          <w:lang w:val="en"/>
          <w:specVanish w:val="0"/>
        </w:rPr>
        <w:t xml:space="preserve">Department for Culture, Media and Sport. It was decided to keep the frequency of collection under review, with a plan to repeat the exercise following any </w:t>
      </w:r>
      <w:r w:rsidR="00957833" w:rsidRPr="007733B9">
        <w:rPr>
          <w:rStyle w:val="ends2"/>
          <w:rFonts w:cs="Arial"/>
          <w:szCs w:val="22"/>
          <w:lang w:val="en"/>
          <w:specVanish w:val="0"/>
        </w:rPr>
        <w:t>forthcoming legislative changes.</w:t>
      </w:r>
      <w:r w:rsidRPr="007733B9">
        <w:rPr>
          <w:rStyle w:val="ends2"/>
          <w:rFonts w:cs="Arial"/>
          <w:szCs w:val="22"/>
          <w:lang w:val="en"/>
          <w:specVanish w:val="0"/>
        </w:rPr>
        <w:t xml:space="preserve"> </w:t>
      </w:r>
      <w:r w:rsidR="00957833" w:rsidRPr="007733B9">
        <w:rPr>
          <w:rStyle w:val="ends2"/>
          <w:rFonts w:cs="Arial"/>
          <w:szCs w:val="22"/>
          <w:lang w:val="en"/>
          <w:specVanish w:val="0"/>
        </w:rPr>
        <w:t>A</w:t>
      </w:r>
      <w:r w:rsidRPr="007733B9">
        <w:rPr>
          <w:rStyle w:val="ends2"/>
          <w:rFonts w:cs="Arial"/>
          <w:szCs w:val="22"/>
          <w:lang w:val="en"/>
          <w:specVanish w:val="0"/>
        </w:rPr>
        <w:t>s such</w:t>
      </w:r>
      <w:r w:rsidR="003B461C" w:rsidRPr="007733B9">
        <w:rPr>
          <w:rStyle w:val="ends2"/>
          <w:rFonts w:cs="Arial"/>
          <w:szCs w:val="22"/>
          <w:lang w:val="en"/>
          <w:specVanish w:val="0"/>
        </w:rPr>
        <w:t>,</w:t>
      </w:r>
      <w:r w:rsidRPr="007733B9">
        <w:rPr>
          <w:rStyle w:val="ends2"/>
          <w:rFonts w:cs="Arial"/>
          <w:szCs w:val="22"/>
          <w:lang w:val="en"/>
          <w:specVanish w:val="0"/>
        </w:rPr>
        <w:t xml:space="preserve"> the first collection following the Machinery of Government change was in 2011/12</w:t>
      </w:r>
      <w:r w:rsidR="003B461C" w:rsidRPr="007733B9">
        <w:rPr>
          <w:rStyle w:val="ends2"/>
          <w:rFonts w:cs="Arial"/>
          <w:szCs w:val="22"/>
          <w:lang w:val="en"/>
          <w:specVanish w:val="0"/>
        </w:rPr>
        <w:t>.</w:t>
      </w:r>
      <w:r w:rsidR="005022B2">
        <w:rPr>
          <w:rStyle w:val="ends2"/>
          <w:rFonts w:cs="Arial"/>
          <w:szCs w:val="22"/>
          <w:lang w:val="en"/>
          <w:specVanish w:val="0"/>
        </w:rPr>
        <w:t xml:space="preserve"> </w:t>
      </w:r>
      <w:r w:rsidR="00CA19DE" w:rsidRPr="00CA19DE">
        <w:rPr>
          <w:rStyle w:val="ends2"/>
          <w:rFonts w:cs="Arial"/>
          <w:szCs w:val="22"/>
          <w:lang w:val="en"/>
          <w:specVanish w:val="0"/>
        </w:rPr>
        <w:t>To</w:t>
      </w:r>
      <w:r w:rsidR="005022B2">
        <w:rPr>
          <w:rStyle w:val="ends2"/>
          <w:rFonts w:cs="Arial"/>
          <w:szCs w:val="22"/>
          <w:lang w:val="en"/>
          <w:specVanish w:val="0"/>
        </w:rPr>
        <w:t xml:space="preserve"> </w:t>
      </w:r>
      <w:r w:rsidR="00CA19DE" w:rsidRPr="00CA19DE">
        <w:rPr>
          <w:rStyle w:val="ends2"/>
          <w:rFonts w:cs="Arial"/>
          <w:szCs w:val="22"/>
          <w:lang w:val="en"/>
          <w:specVanish w:val="0"/>
        </w:rPr>
        <w:t xml:space="preserve">reduce the administrative </w:t>
      </w:r>
      <w:r w:rsidR="00CA19DE" w:rsidRPr="00CA19DE">
        <w:rPr>
          <w:rStyle w:val="ends2"/>
          <w:rFonts w:cs="Arial"/>
          <w:szCs w:val="22"/>
          <w:lang w:val="en"/>
          <w:specVanish w:val="0"/>
        </w:rPr>
        <w:lastRenderedPageBreak/>
        <w:t xml:space="preserve">burden on </w:t>
      </w:r>
      <w:r w:rsidR="005022B2">
        <w:rPr>
          <w:rStyle w:val="ends2"/>
          <w:rFonts w:cs="Arial"/>
          <w:szCs w:val="22"/>
          <w:lang w:val="en"/>
          <w:specVanish w:val="0"/>
        </w:rPr>
        <w:t>local authorities, t</w:t>
      </w:r>
      <w:r w:rsidR="00881883">
        <w:rPr>
          <w:rStyle w:val="ends2"/>
          <w:rFonts w:cs="Arial"/>
          <w:szCs w:val="22"/>
          <w:lang w:val="en"/>
          <w:specVanish w:val="0"/>
        </w:rPr>
        <w:t xml:space="preserve">here will not be a statistical collection exercise </w:t>
      </w:r>
      <w:r w:rsidR="00CA19DE" w:rsidRPr="00CA19DE">
        <w:rPr>
          <w:rStyle w:val="ends2"/>
          <w:rFonts w:cs="Arial"/>
          <w:szCs w:val="22"/>
          <w:lang w:val="en"/>
          <w:specVanish w:val="0"/>
        </w:rPr>
        <w:t xml:space="preserve">for year ending March 2015. </w:t>
      </w:r>
      <w:r w:rsidR="00881883">
        <w:rPr>
          <w:rStyle w:val="ends2"/>
          <w:rFonts w:cs="Arial"/>
          <w:szCs w:val="22"/>
          <w:lang w:val="en"/>
          <w:specVanish w:val="0"/>
        </w:rPr>
        <w:t xml:space="preserve">The data collection will be resumed </w:t>
      </w:r>
      <w:r w:rsidR="00CA19DE" w:rsidRPr="00CA19DE">
        <w:rPr>
          <w:rStyle w:val="ends2"/>
          <w:rFonts w:cs="Arial"/>
          <w:szCs w:val="22"/>
          <w:lang w:val="en"/>
          <w:specVanish w:val="0"/>
        </w:rPr>
        <w:t>for</w:t>
      </w:r>
      <w:r w:rsidR="00881883">
        <w:rPr>
          <w:rStyle w:val="ends2"/>
          <w:rFonts w:cs="Arial"/>
          <w:szCs w:val="22"/>
          <w:lang w:val="en"/>
          <w:specVanish w:val="0"/>
        </w:rPr>
        <w:t xml:space="preserve"> the </w:t>
      </w:r>
      <w:r w:rsidR="00CA19DE" w:rsidRPr="00CA19DE">
        <w:rPr>
          <w:rStyle w:val="ends2"/>
          <w:rFonts w:cs="Arial"/>
          <w:szCs w:val="22"/>
          <w:lang w:val="en"/>
          <w:specVanish w:val="0"/>
        </w:rPr>
        <w:t>year ending March 2016.</w:t>
      </w:r>
    </w:p>
    <w:p w:rsidR="00307690" w:rsidRDefault="00307690" w:rsidP="002F2445">
      <w:pPr>
        <w:spacing w:before="0"/>
        <w:ind w:left="1418"/>
        <w:rPr>
          <w:rStyle w:val="ends2"/>
          <w:rFonts w:cs="Arial"/>
          <w:szCs w:val="22"/>
          <w:lang w:val="en"/>
        </w:rPr>
      </w:pPr>
    </w:p>
    <w:p w:rsidR="00FD27B8" w:rsidRDefault="001D0114" w:rsidP="00DA2B47">
      <w:pPr>
        <w:pStyle w:val="Heading1Numbered"/>
        <w:spacing w:before="0" w:after="0"/>
      </w:pPr>
      <w:bookmarkStart w:id="1" w:name="_Toc340561772"/>
      <w:bookmarkStart w:id="2" w:name="_Toc340561773"/>
      <w:bookmarkStart w:id="3" w:name="_Toc340561774"/>
      <w:bookmarkStart w:id="4" w:name="_Toc340561775"/>
      <w:bookmarkStart w:id="5" w:name="_Toc373399194"/>
      <w:bookmarkEnd w:id="1"/>
      <w:bookmarkEnd w:id="2"/>
      <w:bookmarkEnd w:id="3"/>
      <w:bookmarkEnd w:id="4"/>
      <w:r>
        <w:lastRenderedPageBreak/>
        <w:t>P</w:t>
      </w:r>
      <w:r w:rsidR="001A245A">
        <w:t>remises Licences</w:t>
      </w:r>
      <w:r w:rsidR="00180563">
        <w:t xml:space="preserve"> for regulated entertainment</w:t>
      </w:r>
      <w:bookmarkEnd w:id="5"/>
    </w:p>
    <w:p w:rsidR="008B2F35" w:rsidRDefault="008B2F35" w:rsidP="001A6F3D">
      <w:pPr>
        <w:spacing w:before="0"/>
        <w:ind w:left="1985"/>
        <w:rPr>
          <w:highlight w:val="yellow"/>
        </w:rPr>
      </w:pPr>
    </w:p>
    <w:p w:rsidR="00D208A8" w:rsidRDefault="00D208A8"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rPr>
        <w:t>T</w:t>
      </w:r>
      <w:r w:rsidRPr="009C0016">
        <w:rPr>
          <w:rFonts w:cs="Arial"/>
          <w:szCs w:val="22"/>
        </w:rPr>
        <w:t xml:space="preserve">here were </w:t>
      </w:r>
      <w:r w:rsidR="00E65A81">
        <w:rPr>
          <w:rFonts w:cs="Arial"/>
          <w:szCs w:val="22"/>
          <w:lang w:eastAsia="en-GB"/>
        </w:rPr>
        <w:t>119</w:t>
      </w:r>
      <w:r>
        <w:rPr>
          <w:rFonts w:cs="Arial"/>
          <w:szCs w:val="22"/>
          <w:lang w:eastAsia="en-GB"/>
        </w:rPr>
        <w:t>,</w:t>
      </w:r>
      <w:r w:rsidR="00E65A81">
        <w:rPr>
          <w:rFonts w:cs="Arial"/>
          <w:szCs w:val="22"/>
          <w:lang w:eastAsia="en-GB"/>
        </w:rPr>
        <w:t>3</w:t>
      </w:r>
      <w:r>
        <w:rPr>
          <w:rFonts w:cs="Arial"/>
          <w:szCs w:val="22"/>
          <w:lang w:eastAsia="en-GB"/>
        </w:rPr>
        <w:t>00</w:t>
      </w:r>
      <w:r w:rsidRPr="001D577B">
        <w:rPr>
          <w:rFonts w:cs="Arial"/>
          <w:szCs w:val="22"/>
          <w:lang w:eastAsia="en-GB"/>
        </w:rPr>
        <w:t xml:space="preserve"> premises lice</w:t>
      </w:r>
      <w:r w:rsidR="00D60FC8">
        <w:rPr>
          <w:rFonts w:cs="Arial"/>
          <w:szCs w:val="22"/>
          <w:lang w:eastAsia="en-GB"/>
        </w:rPr>
        <w:t>nc</w:t>
      </w:r>
      <w:r w:rsidRPr="001D577B">
        <w:rPr>
          <w:rFonts w:cs="Arial"/>
          <w:szCs w:val="22"/>
          <w:lang w:eastAsia="en-GB"/>
        </w:rPr>
        <w:t xml:space="preserve">es authorising </w:t>
      </w:r>
      <w:r w:rsidR="00C9164B">
        <w:rPr>
          <w:rFonts w:cs="Arial"/>
          <w:szCs w:val="22"/>
          <w:lang w:eastAsia="en-GB"/>
        </w:rPr>
        <w:t xml:space="preserve">some form of </w:t>
      </w:r>
      <w:r>
        <w:rPr>
          <w:rFonts w:cs="Arial"/>
          <w:szCs w:val="22"/>
          <w:lang w:eastAsia="en-GB"/>
        </w:rPr>
        <w:t xml:space="preserve">regulated entertainment </w:t>
      </w:r>
      <w:r w:rsidRPr="001D577B">
        <w:rPr>
          <w:rFonts w:cs="Arial"/>
          <w:szCs w:val="22"/>
          <w:lang w:eastAsia="en-GB"/>
        </w:rPr>
        <w:t>in England and Wales on 31 March 201</w:t>
      </w:r>
      <w:r w:rsidR="00E65A81">
        <w:rPr>
          <w:rFonts w:cs="Arial"/>
          <w:szCs w:val="22"/>
          <w:lang w:eastAsia="en-GB"/>
        </w:rPr>
        <w:t>4</w:t>
      </w:r>
      <w:r>
        <w:rPr>
          <w:rFonts w:cs="Arial"/>
          <w:szCs w:val="22"/>
          <w:lang w:eastAsia="en-GB"/>
        </w:rPr>
        <w:t>,</w:t>
      </w:r>
      <w:r w:rsidR="00766593">
        <w:rPr>
          <w:rFonts w:cs="Arial"/>
          <w:szCs w:val="22"/>
          <w:lang w:eastAsia="en-GB"/>
        </w:rPr>
        <w:t xml:space="preserve"> a </w:t>
      </w:r>
      <w:r w:rsidR="00E65A81">
        <w:rPr>
          <w:rFonts w:cs="Arial"/>
          <w:szCs w:val="22"/>
          <w:lang w:eastAsia="en-GB"/>
        </w:rPr>
        <w:t>1.3</w:t>
      </w:r>
      <w:r w:rsidR="00766593">
        <w:rPr>
          <w:rFonts w:cs="Arial"/>
          <w:szCs w:val="22"/>
          <w:lang w:eastAsia="en-GB"/>
        </w:rPr>
        <w:t xml:space="preserve"> per cent </w:t>
      </w:r>
      <w:r w:rsidR="00E65A81">
        <w:rPr>
          <w:rFonts w:cs="Arial"/>
          <w:szCs w:val="22"/>
          <w:lang w:eastAsia="en-GB"/>
        </w:rPr>
        <w:t>increase</w:t>
      </w:r>
      <w:r w:rsidRPr="001D577B">
        <w:rPr>
          <w:rFonts w:cs="Arial"/>
          <w:szCs w:val="22"/>
          <w:lang w:eastAsia="en-GB"/>
        </w:rPr>
        <w:t xml:space="preserve"> compared to </w:t>
      </w:r>
      <w:r>
        <w:rPr>
          <w:rFonts w:cs="Arial"/>
          <w:szCs w:val="22"/>
          <w:lang w:eastAsia="en-GB"/>
        </w:rPr>
        <w:t>1</w:t>
      </w:r>
      <w:r w:rsidR="00E65A81">
        <w:rPr>
          <w:rFonts w:cs="Arial"/>
          <w:szCs w:val="22"/>
          <w:lang w:eastAsia="en-GB"/>
        </w:rPr>
        <w:t>17</w:t>
      </w:r>
      <w:r>
        <w:rPr>
          <w:rFonts w:cs="Arial"/>
          <w:szCs w:val="22"/>
          <w:lang w:eastAsia="en-GB"/>
        </w:rPr>
        <w:t>,</w:t>
      </w:r>
      <w:r w:rsidR="00766593">
        <w:rPr>
          <w:rFonts w:cs="Arial"/>
          <w:szCs w:val="22"/>
          <w:lang w:eastAsia="en-GB"/>
        </w:rPr>
        <w:t>8</w:t>
      </w:r>
      <w:r>
        <w:rPr>
          <w:rFonts w:cs="Arial"/>
          <w:szCs w:val="22"/>
          <w:lang w:eastAsia="en-GB"/>
        </w:rPr>
        <w:t>00</w:t>
      </w:r>
      <w:r w:rsidR="00AB4D40">
        <w:rPr>
          <w:rFonts w:cs="Arial"/>
          <w:szCs w:val="22"/>
          <w:lang w:eastAsia="en-GB"/>
        </w:rPr>
        <w:t xml:space="preserve"> premises</w:t>
      </w:r>
      <w:r w:rsidRPr="001D577B">
        <w:rPr>
          <w:rFonts w:cs="Arial"/>
          <w:szCs w:val="22"/>
          <w:lang w:eastAsia="en-GB"/>
        </w:rPr>
        <w:t xml:space="preserve"> licen</w:t>
      </w:r>
      <w:r w:rsidR="00D60FC8">
        <w:rPr>
          <w:rFonts w:cs="Arial"/>
          <w:szCs w:val="22"/>
          <w:lang w:eastAsia="en-GB"/>
        </w:rPr>
        <w:t>c</w:t>
      </w:r>
      <w:r w:rsidRPr="001D577B">
        <w:rPr>
          <w:rFonts w:cs="Arial"/>
          <w:szCs w:val="22"/>
          <w:lang w:eastAsia="en-GB"/>
        </w:rPr>
        <w:t xml:space="preserve">es </w:t>
      </w:r>
      <w:r>
        <w:rPr>
          <w:rFonts w:cs="Arial"/>
          <w:szCs w:val="22"/>
          <w:lang w:eastAsia="en-GB"/>
        </w:rPr>
        <w:t>o</w:t>
      </w:r>
      <w:r w:rsidRPr="001D577B">
        <w:rPr>
          <w:rFonts w:cs="Arial"/>
          <w:szCs w:val="22"/>
          <w:lang w:eastAsia="en-GB"/>
        </w:rPr>
        <w:t>n</w:t>
      </w:r>
      <w:r>
        <w:rPr>
          <w:rFonts w:cs="Arial"/>
          <w:szCs w:val="22"/>
          <w:lang w:eastAsia="en-GB"/>
        </w:rPr>
        <w:t xml:space="preserve"> 31 March</w:t>
      </w:r>
      <w:r w:rsidRPr="001D577B">
        <w:rPr>
          <w:rFonts w:cs="Arial"/>
          <w:szCs w:val="22"/>
          <w:lang w:eastAsia="en-GB"/>
        </w:rPr>
        <w:t xml:space="preserve"> 201</w:t>
      </w:r>
      <w:r w:rsidR="00E65A81">
        <w:rPr>
          <w:rFonts w:cs="Arial"/>
          <w:szCs w:val="22"/>
          <w:lang w:eastAsia="en-GB"/>
        </w:rPr>
        <w:t>3</w:t>
      </w:r>
      <w:r w:rsidR="00766593">
        <w:rPr>
          <w:rFonts w:cs="Arial"/>
          <w:szCs w:val="22"/>
          <w:lang w:eastAsia="en-GB"/>
        </w:rPr>
        <w:t>.</w:t>
      </w:r>
    </w:p>
    <w:p w:rsidR="00D208A8" w:rsidRDefault="00D208A8"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p>
    <w:p w:rsidR="00C9164B" w:rsidRDefault="00AB4D40"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lang w:eastAsia="en-GB"/>
        </w:rPr>
        <w:t>O</w:t>
      </w:r>
      <w:r w:rsidR="00766593">
        <w:rPr>
          <w:rFonts w:cs="Arial"/>
          <w:szCs w:val="22"/>
          <w:lang w:eastAsia="en-GB"/>
        </w:rPr>
        <w:t>ver the same period</w:t>
      </w:r>
      <w:r w:rsidR="00E45FAF">
        <w:rPr>
          <w:rFonts w:cs="Arial"/>
          <w:szCs w:val="22"/>
          <w:lang w:eastAsia="en-GB"/>
        </w:rPr>
        <w:t>,</w:t>
      </w:r>
      <w:r w:rsidR="00766593">
        <w:rPr>
          <w:rFonts w:cs="Arial"/>
          <w:szCs w:val="22"/>
          <w:lang w:eastAsia="en-GB"/>
        </w:rPr>
        <w:t xml:space="preserve"> t</w:t>
      </w:r>
      <w:r w:rsidR="00D208A8" w:rsidRPr="001A6F3D">
        <w:rPr>
          <w:rFonts w:cs="Arial"/>
          <w:szCs w:val="22"/>
          <w:lang w:eastAsia="en-GB"/>
        </w:rPr>
        <w:t>he</w:t>
      </w:r>
      <w:r w:rsidR="004A6A0C">
        <w:rPr>
          <w:rFonts w:cs="Arial"/>
          <w:szCs w:val="22"/>
          <w:lang w:eastAsia="en-GB"/>
        </w:rPr>
        <w:t xml:space="preserve"> largest</w:t>
      </w:r>
      <w:r w:rsidR="00D208A8" w:rsidRPr="001A6F3D">
        <w:rPr>
          <w:rFonts w:cs="Arial"/>
          <w:szCs w:val="22"/>
          <w:lang w:eastAsia="en-GB"/>
        </w:rPr>
        <w:t xml:space="preserve"> </w:t>
      </w:r>
      <w:r w:rsidR="00164EB7">
        <w:rPr>
          <w:rFonts w:cs="Arial"/>
          <w:szCs w:val="22"/>
          <w:lang w:eastAsia="en-GB"/>
        </w:rPr>
        <w:t xml:space="preserve">percentage </w:t>
      </w:r>
      <w:r w:rsidR="00D208A8" w:rsidRPr="001A6F3D">
        <w:rPr>
          <w:rFonts w:cs="Arial"/>
          <w:szCs w:val="22"/>
          <w:lang w:eastAsia="en-GB"/>
        </w:rPr>
        <w:t>incre</w:t>
      </w:r>
      <w:r w:rsidR="006569B9">
        <w:rPr>
          <w:rFonts w:cs="Arial"/>
          <w:szCs w:val="22"/>
          <w:lang w:eastAsia="en-GB"/>
        </w:rPr>
        <w:t>ases</w:t>
      </w:r>
      <w:r w:rsidR="004A6A0C">
        <w:rPr>
          <w:rFonts w:cs="Arial"/>
          <w:szCs w:val="22"/>
          <w:lang w:eastAsia="en-GB"/>
        </w:rPr>
        <w:t xml:space="preserve"> </w:t>
      </w:r>
      <w:r>
        <w:rPr>
          <w:rFonts w:cs="Arial"/>
          <w:szCs w:val="22"/>
          <w:lang w:eastAsia="en-GB"/>
        </w:rPr>
        <w:t>have been</w:t>
      </w:r>
      <w:r w:rsidR="004A6A0C">
        <w:rPr>
          <w:rFonts w:cs="Arial"/>
          <w:szCs w:val="22"/>
          <w:lang w:eastAsia="en-GB"/>
        </w:rPr>
        <w:t xml:space="preserve"> </w:t>
      </w:r>
      <w:r w:rsidR="00C9164B">
        <w:rPr>
          <w:rFonts w:cs="Arial"/>
          <w:szCs w:val="22"/>
          <w:lang w:eastAsia="en-GB"/>
        </w:rPr>
        <w:t>i</w:t>
      </w:r>
      <w:r w:rsidR="00D208A8" w:rsidRPr="001A6F3D">
        <w:rPr>
          <w:rFonts w:cs="Arial"/>
          <w:szCs w:val="22"/>
          <w:lang w:eastAsia="en-GB"/>
        </w:rPr>
        <w:t>n the number of premise</w:t>
      </w:r>
      <w:r w:rsidR="00DA2B47">
        <w:rPr>
          <w:rFonts w:cs="Arial"/>
          <w:szCs w:val="22"/>
          <w:lang w:eastAsia="en-GB"/>
        </w:rPr>
        <w:t>s</w:t>
      </w:r>
      <w:r w:rsidR="00D208A8" w:rsidRPr="001A6F3D">
        <w:rPr>
          <w:rFonts w:cs="Arial"/>
          <w:szCs w:val="22"/>
          <w:lang w:eastAsia="en-GB"/>
        </w:rPr>
        <w:t xml:space="preserve"> licences authorising </w:t>
      </w:r>
      <w:r w:rsidR="006C2246">
        <w:rPr>
          <w:rFonts w:cs="Arial"/>
          <w:szCs w:val="22"/>
          <w:lang w:eastAsia="en-GB"/>
        </w:rPr>
        <w:t>i</w:t>
      </w:r>
      <w:r w:rsidR="006C2246" w:rsidRPr="006C2246">
        <w:rPr>
          <w:rFonts w:cs="Arial"/>
          <w:szCs w:val="22"/>
          <w:lang w:eastAsia="en-GB"/>
        </w:rPr>
        <w:t>ndoor sporting events (1.6%) and plays (1.1%)</w:t>
      </w:r>
      <w:r w:rsidR="006C2246">
        <w:rPr>
          <w:rFonts w:cs="Arial"/>
          <w:szCs w:val="22"/>
          <w:lang w:eastAsia="en-GB"/>
        </w:rPr>
        <w:t>.</w:t>
      </w:r>
      <w:r w:rsidR="00120689">
        <w:rPr>
          <w:rFonts w:cs="Arial"/>
          <w:szCs w:val="22"/>
          <w:lang w:eastAsia="en-GB"/>
        </w:rPr>
        <w:t xml:space="preserve"> T</w:t>
      </w:r>
      <w:r w:rsidR="00120689" w:rsidRPr="00120689">
        <w:rPr>
          <w:rFonts w:cs="Arial"/>
          <w:szCs w:val="22"/>
          <w:lang w:eastAsia="en-GB"/>
        </w:rPr>
        <w:t>he number of premises licences authorising</w:t>
      </w:r>
      <w:r w:rsidR="00120689">
        <w:rPr>
          <w:rFonts w:cs="Arial"/>
          <w:szCs w:val="22"/>
          <w:lang w:eastAsia="en-GB"/>
        </w:rPr>
        <w:t xml:space="preserve"> films and the p</w:t>
      </w:r>
      <w:r w:rsidR="00120689" w:rsidRPr="00120689">
        <w:rPr>
          <w:rFonts w:cs="Arial"/>
          <w:szCs w:val="22"/>
          <w:lang w:eastAsia="en-GB"/>
        </w:rPr>
        <w:t>erformance of dance</w:t>
      </w:r>
      <w:r w:rsidR="00120689">
        <w:rPr>
          <w:rFonts w:cs="Arial"/>
          <w:szCs w:val="22"/>
          <w:lang w:eastAsia="en-GB"/>
        </w:rPr>
        <w:t xml:space="preserve"> have also increased (both by 0.7%).</w:t>
      </w:r>
    </w:p>
    <w:p w:rsidR="004A6A0C" w:rsidRDefault="004A6A0C"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p>
    <w:p w:rsidR="00C9164B" w:rsidRPr="001A6F3D" w:rsidRDefault="00AB4D40"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lang w:eastAsia="en-GB"/>
        </w:rPr>
        <w:t>There have been</w:t>
      </w:r>
      <w:r w:rsidR="00C9164B">
        <w:rPr>
          <w:rFonts w:cs="Arial"/>
          <w:szCs w:val="22"/>
          <w:lang w:eastAsia="en-GB"/>
        </w:rPr>
        <w:t xml:space="preserve"> decreases in the number of premises licences authorising</w:t>
      </w:r>
      <w:r w:rsidR="006C2246">
        <w:rPr>
          <w:rFonts w:cs="Arial"/>
          <w:szCs w:val="22"/>
          <w:lang w:eastAsia="en-GB"/>
        </w:rPr>
        <w:t xml:space="preserve"> e</w:t>
      </w:r>
      <w:r w:rsidR="006C2246" w:rsidRPr="006C2246">
        <w:rPr>
          <w:rFonts w:cs="Arial"/>
          <w:szCs w:val="22"/>
          <w:lang w:eastAsia="en-GB"/>
        </w:rPr>
        <w:t>ntertainment similar to live music, recorded music or dance</w:t>
      </w:r>
      <w:r w:rsidR="006C2246">
        <w:rPr>
          <w:rFonts w:cs="Arial"/>
          <w:szCs w:val="22"/>
          <w:lang w:eastAsia="en-GB"/>
        </w:rPr>
        <w:t xml:space="preserve"> (-1.7%),</w:t>
      </w:r>
      <w:r w:rsidR="00C9164B">
        <w:rPr>
          <w:rFonts w:cs="Arial"/>
          <w:szCs w:val="22"/>
          <w:lang w:eastAsia="en-GB"/>
        </w:rPr>
        <w:t xml:space="preserve"> live music</w:t>
      </w:r>
      <w:r w:rsidR="004A6A0C">
        <w:rPr>
          <w:rFonts w:cs="Arial"/>
          <w:szCs w:val="22"/>
          <w:lang w:eastAsia="en-GB"/>
        </w:rPr>
        <w:t xml:space="preserve"> </w:t>
      </w:r>
      <w:r w:rsidR="006C2246">
        <w:rPr>
          <w:rFonts w:cs="Arial"/>
          <w:szCs w:val="22"/>
          <w:lang w:eastAsia="en-GB"/>
        </w:rPr>
        <w:t>(-1</w:t>
      </w:r>
      <w:r w:rsidR="00C9164B">
        <w:rPr>
          <w:rFonts w:cs="Arial"/>
          <w:szCs w:val="22"/>
          <w:lang w:eastAsia="en-GB"/>
        </w:rPr>
        <w:t xml:space="preserve">.5%), </w:t>
      </w:r>
      <w:r w:rsidR="006C2246">
        <w:rPr>
          <w:rFonts w:cs="Arial"/>
          <w:szCs w:val="22"/>
          <w:lang w:eastAsia="en-GB"/>
        </w:rPr>
        <w:t>b</w:t>
      </w:r>
      <w:r w:rsidR="006C2246" w:rsidRPr="006C2246">
        <w:rPr>
          <w:rFonts w:cs="Arial"/>
          <w:szCs w:val="22"/>
          <w:lang w:eastAsia="en-GB"/>
        </w:rPr>
        <w:t xml:space="preserve">oxing or wrestling </w:t>
      </w:r>
      <w:r w:rsidR="00C9164B">
        <w:rPr>
          <w:rFonts w:cs="Arial"/>
          <w:szCs w:val="22"/>
          <w:lang w:eastAsia="en-GB"/>
        </w:rPr>
        <w:t>(-</w:t>
      </w:r>
      <w:r w:rsidR="006C2246">
        <w:rPr>
          <w:rFonts w:cs="Arial"/>
          <w:szCs w:val="22"/>
          <w:lang w:eastAsia="en-GB"/>
        </w:rPr>
        <w:t>1</w:t>
      </w:r>
      <w:r w:rsidR="00C9164B">
        <w:rPr>
          <w:rFonts w:cs="Arial"/>
          <w:szCs w:val="22"/>
          <w:lang w:eastAsia="en-GB"/>
        </w:rPr>
        <w:t xml:space="preserve">.2%) and </w:t>
      </w:r>
      <w:r w:rsidR="006C2246">
        <w:rPr>
          <w:rFonts w:cs="Arial"/>
          <w:szCs w:val="22"/>
          <w:lang w:eastAsia="en-GB"/>
        </w:rPr>
        <w:t>r</w:t>
      </w:r>
      <w:r w:rsidR="006C2246" w:rsidRPr="006C2246">
        <w:rPr>
          <w:rFonts w:cs="Arial"/>
          <w:szCs w:val="22"/>
          <w:lang w:eastAsia="en-GB"/>
        </w:rPr>
        <w:t>ecorded music</w:t>
      </w:r>
      <w:r w:rsidR="006C2246">
        <w:rPr>
          <w:rFonts w:cs="Arial"/>
          <w:szCs w:val="22"/>
          <w:lang w:eastAsia="en-GB"/>
        </w:rPr>
        <w:t xml:space="preserve"> </w:t>
      </w:r>
      <w:r w:rsidR="00C9164B">
        <w:rPr>
          <w:rFonts w:cs="Arial"/>
          <w:szCs w:val="22"/>
          <w:lang w:eastAsia="en-GB"/>
        </w:rPr>
        <w:t>(-0.</w:t>
      </w:r>
      <w:r w:rsidR="006C2246">
        <w:rPr>
          <w:rFonts w:cs="Arial"/>
          <w:szCs w:val="22"/>
          <w:lang w:eastAsia="en-GB"/>
        </w:rPr>
        <w:t>9</w:t>
      </w:r>
      <w:r w:rsidR="00C9164B">
        <w:rPr>
          <w:rFonts w:cs="Arial"/>
          <w:szCs w:val="22"/>
          <w:lang w:eastAsia="en-GB"/>
        </w:rPr>
        <w:t>%)</w:t>
      </w:r>
      <w:r w:rsidR="006C2246">
        <w:rPr>
          <w:rFonts w:cs="Arial"/>
          <w:szCs w:val="22"/>
          <w:lang w:eastAsia="en-GB"/>
        </w:rPr>
        <w:t>.</w:t>
      </w:r>
      <w:r w:rsidR="004A6A0C">
        <w:rPr>
          <w:rFonts w:cs="Arial"/>
          <w:szCs w:val="22"/>
          <w:lang w:eastAsia="en-GB"/>
        </w:rPr>
        <w:t xml:space="preserve"> </w:t>
      </w:r>
    </w:p>
    <w:p w:rsidR="00FD1266" w:rsidRDefault="00FD1266" w:rsidP="00C177D2">
      <w:pPr>
        <w:spacing w:before="0"/>
        <w:ind w:left="1418"/>
      </w:pPr>
    </w:p>
    <w:p w:rsidR="00EE2DDB" w:rsidRDefault="00EE2DDB" w:rsidP="00C177D2">
      <w:pPr>
        <w:spacing w:before="0"/>
        <w:ind w:left="1418"/>
      </w:pPr>
      <w:r>
        <w:t>The statistics presented in this chapter relate to the nu</w:t>
      </w:r>
      <w:r w:rsidR="00C9164B">
        <w:t>mber of premises licences authorising</w:t>
      </w:r>
      <w:r>
        <w:t xml:space="preserve"> the provision of regulated entertainment issued by the licensing authorities in England and Wales that were in force on 31 March 201</w:t>
      </w:r>
      <w:r w:rsidR="00F20CF3">
        <w:t>4</w:t>
      </w:r>
      <w:r>
        <w:t xml:space="preserve">. </w:t>
      </w:r>
    </w:p>
    <w:p w:rsidR="00DA5D67" w:rsidRDefault="00DA5D67" w:rsidP="00C177D2">
      <w:pPr>
        <w:spacing w:before="0"/>
        <w:ind w:left="1418"/>
      </w:pPr>
    </w:p>
    <w:p w:rsidR="00EE2DDB" w:rsidRDefault="0015370D" w:rsidP="00C177D2">
      <w:pPr>
        <w:spacing w:before="0"/>
        <w:ind w:left="1418"/>
      </w:pPr>
      <w:r>
        <w:t>All figures consist of a combination of actual returns and modelled estimates for non-response.</w:t>
      </w:r>
    </w:p>
    <w:p w:rsidR="00212C84" w:rsidRDefault="00212C84" w:rsidP="00C177D2">
      <w:pPr>
        <w:spacing w:before="0"/>
        <w:ind w:left="1418"/>
        <w:rPr>
          <w:rFonts w:cs="Arial"/>
          <w:b/>
          <w:szCs w:val="22"/>
          <w:lang w:eastAsia="en-GB"/>
        </w:rPr>
      </w:pPr>
    </w:p>
    <w:p w:rsidR="00E60E67" w:rsidRPr="008B2F35" w:rsidRDefault="00E737D3" w:rsidP="00C177D2">
      <w:pPr>
        <w:spacing w:before="0"/>
        <w:ind w:left="1418"/>
        <w:rPr>
          <w:rFonts w:cs="Arial"/>
          <w:b/>
          <w:szCs w:val="22"/>
          <w:lang w:eastAsia="en-GB"/>
        </w:rPr>
      </w:pPr>
      <w:r>
        <w:rPr>
          <w:rFonts w:cs="Arial"/>
          <w:b/>
          <w:szCs w:val="22"/>
          <w:lang w:eastAsia="en-GB"/>
        </w:rPr>
        <w:t>Entertainment p</w:t>
      </w:r>
      <w:r w:rsidR="00E60E67" w:rsidRPr="008B2F35">
        <w:rPr>
          <w:rFonts w:cs="Arial"/>
          <w:b/>
          <w:szCs w:val="22"/>
          <w:lang w:eastAsia="en-GB"/>
        </w:rPr>
        <w:t xml:space="preserve">remises </w:t>
      </w:r>
      <w:r>
        <w:rPr>
          <w:rFonts w:cs="Arial"/>
          <w:b/>
          <w:szCs w:val="22"/>
          <w:lang w:eastAsia="en-GB"/>
        </w:rPr>
        <w:t>l</w:t>
      </w:r>
      <w:r w:rsidR="00E60E67" w:rsidRPr="008B2F35">
        <w:rPr>
          <w:rFonts w:cs="Arial"/>
          <w:b/>
          <w:szCs w:val="22"/>
          <w:lang w:eastAsia="en-GB"/>
        </w:rPr>
        <w:t>icences by entertainment type:</w:t>
      </w:r>
    </w:p>
    <w:p w:rsidR="0048631D" w:rsidRDefault="0048631D" w:rsidP="00C177D2">
      <w:pPr>
        <w:spacing w:before="0"/>
        <w:ind w:left="1418"/>
        <w:rPr>
          <w:rFonts w:cs="Arial"/>
          <w:szCs w:val="22"/>
          <w:lang w:eastAsia="en-GB"/>
        </w:rPr>
      </w:pPr>
    </w:p>
    <w:p w:rsidR="00FB1C4A" w:rsidRPr="008B2F35" w:rsidRDefault="007351BD" w:rsidP="00C177D2">
      <w:pPr>
        <w:spacing w:before="0"/>
        <w:ind w:left="1418"/>
        <w:rPr>
          <w:rFonts w:cs="Arial"/>
          <w:szCs w:val="22"/>
          <w:lang w:eastAsia="en-GB"/>
        </w:rPr>
      </w:pPr>
      <w:r>
        <w:rPr>
          <w:rFonts w:cs="Arial"/>
          <w:szCs w:val="22"/>
          <w:lang w:eastAsia="en-GB"/>
        </w:rPr>
        <w:t>There are 8</w:t>
      </w:r>
      <w:r w:rsidR="00E60E67" w:rsidRPr="008B2F35">
        <w:rPr>
          <w:rFonts w:cs="Arial"/>
          <w:szCs w:val="22"/>
          <w:lang w:eastAsia="en-GB"/>
        </w:rPr>
        <w:t xml:space="preserve"> </w:t>
      </w:r>
      <w:r w:rsidR="00C7618C" w:rsidRPr="008B2F35">
        <w:rPr>
          <w:rFonts w:cs="Arial"/>
          <w:szCs w:val="22"/>
          <w:lang w:eastAsia="en-GB"/>
        </w:rPr>
        <w:t>categories of regulated ent</w:t>
      </w:r>
      <w:r w:rsidR="002A4FFC">
        <w:rPr>
          <w:rFonts w:cs="Arial"/>
          <w:szCs w:val="22"/>
          <w:lang w:eastAsia="en-GB"/>
        </w:rPr>
        <w:t>ertainment which premises licenc</w:t>
      </w:r>
      <w:r w:rsidR="00C7618C" w:rsidRPr="008B2F35">
        <w:rPr>
          <w:rFonts w:cs="Arial"/>
          <w:szCs w:val="22"/>
          <w:lang w:eastAsia="en-GB"/>
        </w:rPr>
        <w:t xml:space="preserve">es can </w:t>
      </w:r>
      <w:proofErr w:type="gramStart"/>
      <w:r w:rsidR="00C7618C" w:rsidRPr="008B2F35">
        <w:rPr>
          <w:rFonts w:cs="Arial"/>
          <w:szCs w:val="22"/>
          <w:lang w:eastAsia="en-GB"/>
        </w:rPr>
        <w:t>cover</w:t>
      </w:r>
      <w:r w:rsidR="00853830">
        <w:rPr>
          <w:rFonts w:cs="Arial"/>
          <w:szCs w:val="22"/>
          <w:lang w:eastAsia="en-GB"/>
        </w:rPr>
        <w:t>,</w:t>
      </w:r>
      <w:proofErr w:type="gramEnd"/>
      <w:r w:rsidR="00C7618C" w:rsidRPr="008B2F35">
        <w:rPr>
          <w:rFonts w:cs="Arial"/>
          <w:szCs w:val="22"/>
          <w:lang w:eastAsia="en-GB"/>
        </w:rPr>
        <w:t xml:space="preserve"> a particular premises licence can cover multiple entertainment types.</w:t>
      </w:r>
    </w:p>
    <w:p w:rsidR="00253701" w:rsidRDefault="00417EC8" w:rsidP="00C177D2">
      <w:pPr>
        <w:spacing w:before="0"/>
        <w:ind w:left="1418"/>
        <w:rPr>
          <w:rFonts w:cs="Arial"/>
          <w:szCs w:val="22"/>
          <w:lang w:eastAsia="en-GB"/>
        </w:rPr>
      </w:pPr>
      <w:r w:rsidRPr="008B2F35">
        <w:rPr>
          <w:rFonts w:cs="Arial"/>
          <w:szCs w:val="22"/>
          <w:lang w:eastAsia="en-GB"/>
        </w:rPr>
        <w:t>The categories of entertainment are</w:t>
      </w:r>
      <w:r w:rsidR="00253701" w:rsidRPr="008B2F35">
        <w:rPr>
          <w:rFonts w:cs="Arial"/>
          <w:szCs w:val="22"/>
          <w:lang w:eastAsia="en-GB"/>
        </w:rPr>
        <w:t xml:space="preserve">: </w:t>
      </w:r>
    </w:p>
    <w:p w:rsidR="00697B06" w:rsidRPr="008B2F35" w:rsidRDefault="00697B06" w:rsidP="00C177D2">
      <w:pPr>
        <w:spacing w:before="0"/>
        <w:ind w:left="1418"/>
        <w:rPr>
          <w:rFonts w:cs="Arial"/>
          <w:szCs w:val="22"/>
          <w:lang w:eastAsia="en-GB"/>
        </w:rPr>
      </w:pP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Plays</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Films</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Indoor sporting events</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Boxing or Wrestling</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Live Music</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Recorded music</w:t>
      </w:r>
    </w:p>
    <w:p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Performance of dance</w:t>
      </w:r>
    </w:p>
    <w:p w:rsidR="00253701" w:rsidRDefault="00253701" w:rsidP="00750877">
      <w:pPr>
        <w:numPr>
          <w:ilvl w:val="0"/>
          <w:numId w:val="20"/>
        </w:numPr>
        <w:spacing w:before="0"/>
        <w:rPr>
          <w:rFonts w:cs="Arial"/>
          <w:szCs w:val="22"/>
          <w:lang w:eastAsia="en-GB"/>
        </w:rPr>
      </w:pPr>
      <w:r w:rsidRPr="008B2F35">
        <w:rPr>
          <w:rFonts w:cs="Arial"/>
          <w:szCs w:val="22"/>
          <w:lang w:eastAsia="en-GB"/>
        </w:rPr>
        <w:t>Entertainment similar to live music, recorded music or dance</w:t>
      </w:r>
      <w:r w:rsidR="004A6145">
        <w:rPr>
          <w:rFonts w:cs="Arial"/>
          <w:szCs w:val="22"/>
          <w:lang w:eastAsia="en-GB"/>
        </w:rPr>
        <w:t xml:space="preserve"> (referred to as </w:t>
      </w:r>
      <w:r w:rsidR="00697B06">
        <w:rPr>
          <w:rFonts w:cs="Arial"/>
          <w:szCs w:val="22"/>
          <w:lang w:eastAsia="en-GB"/>
        </w:rPr>
        <w:t>‘</w:t>
      </w:r>
      <w:r w:rsidR="0034624D">
        <w:rPr>
          <w:rFonts w:cs="Arial"/>
          <w:szCs w:val="22"/>
          <w:lang w:eastAsia="en-GB"/>
        </w:rPr>
        <w:t>similar to live music, recorded music or dance</w:t>
      </w:r>
      <w:r w:rsidR="00697B06">
        <w:rPr>
          <w:rFonts w:cs="Arial"/>
          <w:szCs w:val="22"/>
          <w:lang w:eastAsia="en-GB"/>
        </w:rPr>
        <w:t>’</w:t>
      </w:r>
      <w:r w:rsidR="0034624D">
        <w:rPr>
          <w:rFonts w:cs="Arial"/>
          <w:szCs w:val="22"/>
          <w:lang w:eastAsia="en-GB"/>
        </w:rPr>
        <w:t xml:space="preserve"> in figure </w:t>
      </w:r>
      <w:r w:rsidR="00FC3E13">
        <w:rPr>
          <w:rFonts w:cs="Arial"/>
          <w:szCs w:val="22"/>
          <w:lang w:eastAsia="en-GB"/>
        </w:rPr>
        <w:t>2 and</w:t>
      </w:r>
      <w:r w:rsidR="00106809">
        <w:rPr>
          <w:rFonts w:cs="Arial"/>
          <w:szCs w:val="22"/>
          <w:lang w:eastAsia="en-GB"/>
        </w:rPr>
        <w:t xml:space="preserve"> </w:t>
      </w:r>
      <w:r w:rsidR="00FC3E13">
        <w:rPr>
          <w:rFonts w:cs="Arial"/>
          <w:szCs w:val="22"/>
          <w:lang w:eastAsia="en-GB"/>
        </w:rPr>
        <w:t>4</w:t>
      </w:r>
      <w:r w:rsidR="004A6145">
        <w:rPr>
          <w:rFonts w:cs="Arial"/>
          <w:szCs w:val="22"/>
          <w:lang w:eastAsia="en-GB"/>
        </w:rPr>
        <w:t>)</w:t>
      </w:r>
    </w:p>
    <w:p w:rsidR="006F5CC0" w:rsidRDefault="006F5CC0" w:rsidP="006F5CC0">
      <w:pPr>
        <w:spacing w:before="0"/>
        <w:ind w:left="1440"/>
        <w:rPr>
          <w:rFonts w:cs="Arial"/>
          <w:szCs w:val="22"/>
          <w:lang w:eastAsia="en-GB"/>
        </w:rPr>
      </w:pPr>
    </w:p>
    <w:p w:rsidR="006F5CC0" w:rsidRPr="0034624D" w:rsidRDefault="006F5CC0" w:rsidP="006F5CC0">
      <w:pPr>
        <w:spacing w:before="0"/>
        <w:ind w:left="1440"/>
        <w:rPr>
          <w:rFonts w:cs="Arial"/>
          <w:szCs w:val="22"/>
          <w:lang w:eastAsia="en-GB"/>
        </w:rPr>
      </w:pPr>
      <w:r>
        <w:rPr>
          <w:rFonts w:cs="Arial"/>
          <w:szCs w:val="22"/>
          <w:lang w:eastAsia="en-GB"/>
        </w:rPr>
        <w:t>Prior to the Live Music Act 2012 a licence was also required for the following.</w:t>
      </w:r>
    </w:p>
    <w:p w:rsidR="006F5CC0" w:rsidRPr="007351BD" w:rsidRDefault="006F5CC0" w:rsidP="006F5CC0">
      <w:pPr>
        <w:numPr>
          <w:ilvl w:val="0"/>
          <w:numId w:val="20"/>
        </w:numPr>
        <w:spacing w:before="0"/>
        <w:rPr>
          <w:rFonts w:cs="Arial"/>
          <w:szCs w:val="22"/>
          <w:lang w:eastAsia="en-GB"/>
        </w:rPr>
      </w:pPr>
      <w:r w:rsidRPr="007351BD">
        <w:rPr>
          <w:rFonts w:cs="Arial"/>
          <w:szCs w:val="22"/>
          <w:lang w:eastAsia="en-GB"/>
        </w:rPr>
        <w:t>Facilities for making music</w:t>
      </w:r>
    </w:p>
    <w:p w:rsidR="006F5CC0" w:rsidRPr="007351BD" w:rsidRDefault="006F5CC0" w:rsidP="006F5CC0">
      <w:pPr>
        <w:numPr>
          <w:ilvl w:val="0"/>
          <w:numId w:val="20"/>
        </w:numPr>
        <w:spacing w:before="0"/>
        <w:rPr>
          <w:rFonts w:cs="Arial"/>
          <w:szCs w:val="22"/>
          <w:lang w:eastAsia="en-GB"/>
        </w:rPr>
      </w:pPr>
      <w:r w:rsidRPr="007351BD">
        <w:rPr>
          <w:rFonts w:cs="Arial"/>
          <w:szCs w:val="22"/>
          <w:lang w:eastAsia="en-GB"/>
        </w:rPr>
        <w:t>Facilities for dancing</w:t>
      </w:r>
    </w:p>
    <w:p w:rsidR="006F5CC0" w:rsidRPr="007351BD" w:rsidRDefault="006F5CC0" w:rsidP="006F5CC0">
      <w:pPr>
        <w:numPr>
          <w:ilvl w:val="0"/>
          <w:numId w:val="20"/>
        </w:numPr>
        <w:spacing w:before="0"/>
        <w:rPr>
          <w:rFonts w:cs="Arial"/>
          <w:szCs w:val="22"/>
          <w:lang w:eastAsia="en-GB"/>
        </w:rPr>
      </w:pPr>
      <w:r w:rsidRPr="007351BD">
        <w:rPr>
          <w:rFonts w:cs="Arial"/>
          <w:szCs w:val="22"/>
          <w:lang w:eastAsia="en-GB"/>
        </w:rPr>
        <w:t>Facilities for entertainment similar to making music or dancing</w:t>
      </w:r>
    </w:p>
    <w:p w:rsidR="006F5CC0" w:rsidRPr="007351BD" w:rsidRDefault="006F5CC0" w:rsidP="006F5CC0">
      <w:pPr>
        <w:spacing w:before="0"/>
        <w:ind w:left="1440"/>
        <w:rPr>
          <w:rFonts w:cs="Arial"/>
          <w:szCs w:val="22"/>
          <w:lang w:eastAsia="en-GB"/>
        </w:rPr>
      </w:pPr>
      <w:r>
        <w:rPr>
          <w:rFonts w:cs="Arial"/>
          <w:szCs w:val="22"/>
          <w:lang w:eastAsia="en-GB"/>
        </w:rPr>
        <w:t xml:space="preserve">These types of entertainment are no longer licensable and this is </w:t>
      </w:r>
      <w:r w:rsidRPr="007351BD">
        <w:rPr>
          <w:rFonts w:cs="Arial"/>
          <w:szCs w:val="22"/>
          <w:lang w:eastAsia="en-GB"/>
        </w:rPr>
        <w:t xml:space="preserve">the </w:t>
      </w:r>
      <w:r>
        <w:rPr>
          <w:rFonts w:cs="Arial"/>
          <w:szCs w:val="22"/>
          <w:lang w:eastAsia="en-GB"/>
        </w:rPr>
        <w:t xml:space="preserve">second </w:t>
      </w:r>
      <w:r w:rsidRPr="007351BD">
        <w:rPr>
          <w:rFonts w:cs="Arial"/>
          <w:szCs w:val="22"/>
          <w:lang w:eastAsia="en-GB"/>
        </w:rPr>
        <w:t>t publication not to report on licences for these facilities for providing entertainment</w:t>
      </w:r>
      <w:r>
        <w:rPr>
          <w:rFonts w:cs="Arial"/>
          <w:szCs w:val="22"/>
          <w:lang w:eastAsia="en-GB"/>
        </w:rPr>
        <w:t xml:space="preserve"> as a result of the Live Music Act 2012 being implemented</w:t>
      </w:r>
      <w:r w:rsidRPr="007351BD">
        <w:rPr>
          <w:rFonts w:cs="Arial"/>
          <w:szCs w:val="22"/>
          <w:lang w:eastAsia="en-GB"/>
        </w:rPr>
        <w:t>.</w:t>
      </w:r>
    </w:p>
    <w:p w:rsidR="007351BD" w:rsidRDefault="007351BD" w:rsidP="006F5CC0">
      <w:pPr>
        <w:spacing w:before="0"/>
        <w:ind w:left="1440"/>
        <w:rPr>
          <w:rFonts w:cs="Arial"/>
          <w:szCs w:val="22"/>
          <w:lang w:eastAsia="en-GB"/>
        </w:rPr>
      </w:pPr>
    </w:p>
    <w:p w:rsidR="00106809" w:rsidRDefault="0022037F" w:rsidP="00C177D2">
      <w:pPr>
        <w:spacing w:before="0"/>
        <w:ind w:left="1418"/>
        <w:rPr>
          <w:rStyle w:val="Hyperlink"/>
          <w:rFonts w:cs="Arial"/>
          <w:szCs w:val="22"/>
          <w:lang w:eastAsia="en-GB"/>
        </w:rPr>
      </w:pPr>
      <w:r>
        <w:rPr>
          <w:rFonts w:cs="Arial"/>
          <w:szCs w:val="22"/>
          <w:lang w:eastAsia="en-GB"/>
        </w:rPr>
        <w:t>I</w:t>
      </w:r>
      <w:r w:rsidR="00106809">
        <w:rPr>
          <w:rFonts w:cs="Arial"/>
          <w:szCs w:val="22"/>
          <w:lang w:eastAsia="en-GB"/>
        </w:rPr>
        <w:t xml:space="preserve">nformation on exactly what constitutes each activity and what requires a licence as set out in The Licensing Act 2003 can be found </w:t>
      </w:r>
      <w:r w:rsidR="00E45FAF">
        <w:rPr>
          <w:rFonts w:cs="Arial"/>
          <w:szCs w:val="22"/>
          <w:lang w:eastAsia="en-GB"/>
        </w:rPr>
        <w:t>at</w:t>
      </w:r>
      <w:r w:rsidR="00C015D8">
        <w:rPr>
          <w:rFonts w:cs="Arial"/>
          <w:szCs w:val="22"/>
          <w:lang w:eastAsia="en-GB"/>
        </w:rPr>
        <w:t xml:space="preserve">: </w:t>
      </w:r>
      <w:hyperlink r:id="rId23" w:history="1">
        <w:r w:rsidR="00106809" w:rsidRPr="00246DC5">
          <w:rPr>
            <w:rStyle w:val="Hyperlink"/>
            <w:rFonts w:cs="Arial"/>
            <w:szCs w:val="22"/>
            <w:lang w:eastAsia="en-GB"/>
          </w:rPr>
          <w:t>http://www.legislation.gov.uk/ukpga/2003/17/schedule/1/enacted</w:t>
        </w:r>
      </w:hyperlink>
    </w:p>
    <w:p w:rsidR="00361F75" w:rsidRDefault="00361F75" w:rsidP="00C177D2">
      <w:pPr>
        <w:spacing w:before="0"/>
        <w:ind w:left="1418"/>
        <w:rPr>
          <w:rStyle w:val="Hyperlink"/>
          <w:rFonts w:cs="Arial"/>
          <w:szCs w:val="22"/>
          <w:lang w:eastAsia="en-GB"/>
        </w:rPr>
      </w:pPr>
    </w:p>
    <w:p w:rsidR="00361F75" w:rsidRDefault="00361F75" w:rsidP="00361F75">
      <w:pPr>
        <w:spacing w:before="0"/>
        <w:ind w:left="1418"/>
        <w:rPr>
          <w:rFonts w:cs="Arial"/>
          <w:szCs w:val="22"/>
          <w:lang w:eastAsia="en-GB"/>
        </w:rPr>
      </w:pPr>
      <w:r w:rsidRPr="00C43953">
        <w:rPr>
          <w:rStyle w:val="Hyperlink"/>
          <w:rFonts w:cs="Arial"/>
          <w:color w:val="auto"/>
          <w:szCs w:val="22"/>
          <w:u w:val="none"/>
          <w:lang w:eastAsia="en-GB"/>
        </w:rPr>
        <w:lastRenderedPageBreak/>
        <w:t xml:space="preserve">Guidance to Licensing </w:t>
      </w:r>
      <w:r w:rsidRPr="00C015D8">
        <w:rPr>
          <w:rStyle w:val="Hyperlink"/>
          <w:rFonts w:cs="Arial"/>
          <w:color w:val="auto"/>
          <w:szCs w:val="22"/>
          <w:u w:val="none"/>
          <w:lang w:eastAsia="en-GB"/>
        </w:rPr>
        <w:t xml:space="preserve">Authorities </w:t>
      </w:r>
      <w:r w:rsidR="00C015D8" w:rsidRPr="00C015D8">
        <w:rPr>
          <w:rStyle w:val="Hyperlink"/>
          <w:rFonts w:cs="Arial"/>
          <w:color w:val="auto"/>
          <w:szCs w:val="22"/>
          <w:u w:val="none"/>
          <w:lang w:eastAsia="en-GB"/>
        </w:rPr>
        <w:t>can be found at:</w:t>
      </w:r>
      <w:r w:rsidR="00C015D8">
        <w:rPr>
          <w:rStyle w:val="Hyperlink"/>
          <w:rFonts w:cs="Arial"/>
          <w:color w:val="auto"/>
          <w:szCs w:val="22"/>
          <w:lang w:eastAsia="en-GB"/>
        </w:rPr>
        <w:t xml:space="preserve"> </w:t>
      </w:r>
      <w:r w:rsidR="00881883" w:rsidRPr="00881883">
        <w:rPr>
          <w:rStyle w:val="Hyperlink"/>
          <w:rFonts w:cs="Arial"/>
          <w:szCs w:val="22"/>
          <w:lang w:eastAsia="en-GB"/>
        </w:rPr>
        <w:t>https://www.gov.uk/government/publications/explanatory-memorandum-revised-guidance-issued-under-s-182-of-licensing-act-2003</w:t>
      </w:r>
    </w:p>
    <w:p w:rsidR="00212C84" w:rsidRDefault="00212C84" w:rsidP="00C177D2">
      <w:pPr>
        <w:spacing w:before="0"/>
        <w:ind w:left="1418"/>
        <w:rPr>
          <w:rFonts w:cs="Arial"/>
          <w:szCs w:val="22"/>
          <w:lang w:eastAsia="en-GB"/>
        </w:rPr>
      </w:pPr>
    </w:p>
    <w:p w:rsidR="00A07E35" w:rsidRDefault="003829C6" w:rsidP="00C177D2">
      <w:pPr>
        <w:spacing w:before="0"/>
        <w:ind w:left="1418"/>
        <w:rPr>
          <w:rFonts w:cs="Arial"/>
          <w:szCs w:val="22"/>
          <w:lang w:eastAsia="en-GB"/>
        </w:rPr>
      </w:pPr>
      <w:r>
        <w:rPr>
          <w:rFonts w:cs="Arial"/>
          <w:szCs w:val="22"/>
          <w:lang w:eastAsia="en-GB"/>
        </w:rPr>
        <w:t>Figure 2</w:t>
      </w:r>
      <w:r w:rsidR="00AC5001" w:rsidRPr="00EB6EA2">
        <w:rPr>
          <w:rFonts w:cs="Arial"/>
          <w:szCs w:val="22"/>
          <w:lang w:eastAsia="en-GB"/>
        </w:rPr>
        <w:t xml:space="preserve"> shows the number o</w:t>
      </w:r>
      <w:r w:rsidR="00212C84">
        <w:rPr>
          <w:rFonts w:cs="Arial"/>
          <w:szCs w:val="22"/>
          <w:lang w:eastAsia="en-GB"/>
        </w:rPr>
        <w:t>f</w:t>
      </w:r>
      <w:r w:rsidR="00AC5001" w:rsidRPr="00EB6EA2">
        <w:rPr>
          <w:rFonts w:cs="Arial"/>
          <w:szCs w:val="22"/>
          <w:lang w:eastAsia="en-GB"/>
        </w:rPr>
        <w:t xml:space="preserve"> premises holding licences for each licensable entertainment type</w:t>
      </w:r>
      <w:r w:rsidR="00720CF3">
        <w:rPr>
          <w:rFonts w:cs="Arial"/>
          <w:szCs w:val="22"/>
          <w:lang w:eastAsia="en-GB"/>
        </w:rPr>
        <w:t>.</w:t>
      </w:r>
    </w:p>
    <w:p w:rsidR="00106809" w:rsidRPr="000B0374" w:rsidRDefault="00106809" w:rsidP="00C177D2">
      <w:pPr>
        <w:spacing w:before="0"/>
        <w:ind w:left="1418"/>
        <w:rPr>
          <w:rFonts w:cs="Arial"/>
          <w:szCs w:val="22"/>
          <w:lang w:eastAsia="en-GB"/>
        </w:rPr>
      </w:pPr>
    </w:p>
    <w:p w:rsidR="00106809" w:rsidRPr="000B0374" w:rsidRDefault="00106809" w:rsidP="00750877">
      <w:pPr>
        <w:numPr>
          <w:ilvl w:val="0"/>
          <w:numId w:val="24"/>
        </w:numPr>
        <w:spacing w:before="0"/>
        <w:rPr>
          <w:rFonts w:cs="Arial"/>
          <w:b/>
          <w:bCs/>
          <w:szCs w:val="22"/>
          <w:lang w:eastAsia="en-GB"/>
        </w:rPr>
      </w:pPr>
      <w:r w:rsidRPr="000B0374">
        <w:rPr>
          <w:rFonts w:cs="Arial"/>
          <w:szCs w:val="22"/>
          <w:lang w:eastAsia="en-GB"/>
        </w:rPr>
        <w:t xml:space="preserve">The most commonly authorised form of regulated entertainment </w:t>
      </w:r>
      <w:r w:rsidR="008D303A" w:rsidRPr="000B0374">
        <w:rPr>
          <w:rFonts w:cs="Arial"/>
          <w:szCs w:val="22"/>
          <w:lang w:eastAsia="en-GB"/>
        </w:rPr>
        <w:t>was recorded music which was licensed in</w:t>
      </w:r>
      <w:r w:rsidRPr="000B0374">
        <w:rPr>
          <w:rFonts w:cs="Arial"/>
          <w:szCs w:val="22"/>
          <w:lang w:eastAsia="en-GB"/>
        </w:rPr>
        <w:t xml:space="preserve"> </w:t>
      </w:r>
      <w:r w:rsidR="000B0374">
        <w:rPr>
          <w:rFonts w:cs="Arial"/>
          <w:szCs w:val="22"/>
          <w:lang w:eastAsia="en-GB"/>
        </w:rPr>
        <w:t>99</w:t>
      </w:r>
      <w:r w:rsidRPr="000B0374">
        <w:rPr>
          <w:rFonts w:cs="Arial"/>
          <w:szCs w:val="22"/>
          <w:lang w:eastAsia="en-GB"/>
        </w:rPr>
        <w:t>,</w:t>
      </w:r>
      <w:r w:rsidR="000B0374">
        <w:rPr>
          <w:rFonts w:cs="Arial"/>
          <w:szCs w:val="22"/>
          <w:lang w:eastAsia="en-GB"/>
        </w:rPr>
        <w:t>8</w:t>
      </w:r>
      <w:r w:rsidRPr="000B0374">
        <w:rPr>
          <w:rFonts w:cs="Arial"/>
          <w:szCs w:val="22"/>
          <w:lang w:eastAsia="en-GB"/>
        </w:rPr>
        <w:t>00 premises</w:t>
      </w:r>
      <w:r w:rsidR="00AB4D40" w:rsidRPr="000B0374">
        <w:rPr>
          <w:rFonts w:cs="Arial"/>
          <w:szCs w:val="22"/>
          <w:lang w:eastAsia="en-GB"/>
        </w:rPr>
        <w:t>. There has been</w:t>
      </w:r>
      <w:r w:rsidR="008D303A" w:rsidRPr="000B0374">
        <w:rPr>
          <w:rFonts w:cs="Arial"/>
          <w:szCs w:val="22"/>
          <w:lang w:eastAsia="en-GB"/>
        </w:rPr>
        <w:t xml:space="preserve"> a 0.</w:t>
      </w:r>
      <w:r w:rsidR="000B0374">
        <w:rPr>
          <w:rFonts w:cs="Arial"/>
          <w:szCs w:val="22"/>
          <w:lang w:eastAsia="en-GB"/>
        </w:rPr>
        <w:t>9</w:t>
      </w:r>
      <w:r w:rsidR="008D303A" w:rsidRPr="000B0374">
        <w:rPr>
          <w:rFonts w:cs="Arial"/>
          <w:szCs w:val="22"/>
          <w:lang w:eastAsia="en-GB"/>
        </w:rPr>
        <w:t xml:space="preserve"> per cent decrease since 201</w:t>
      </w:r>
      <w:r w:rsidR="000B0374">
        <w:rPr>
          <w:rFonts w:cs="Arial"/>
          <w:szCs w:val="22"/>
          <w:lang w:eastAsia="en-GB"/>
        </w:rPr>
        <w:t>3</w:t>
      </w:r>
      <w:r w:rsidR="008D303A" w:rsidRPr="000B0374">
        <w:rPr>
          <w:rFonts w:cs="Arial"/>
          <w:szCs w:val="22"/>
          <w:lang w:eastAsia="en-GB"/>
        </w:rPr>
        <w:t xml:space="preserve"> (100,</w:t>
      </w:r>
      <w:r w:rsidR="000B0374">
        <w:rPr>
          <w:rFonts w:cs="Arial"/>
          <w:szCs w:val="22"/>
          <w:lang w:eastAsia="en-GB"/>
        </w:rPr>
        <w:t>6</w:t>
      </w:r>
      <w:r w:rsidR="008D303A" w:rsidRPr="000B0374">
        <w:rPr>
          <w:rFonts w:cs="Arial"/>
          <w:szCs w:val="22"/>
          <w:lang w:eastAsia="en-GB"/>
        </w:rPr>
        <w:t xml:space="preserve">00). </w:t>
      </w:r>
      <w:r w:rsidR="00AB4D40" w:rsidRPr="000B0374">
        <w:rPr>
          <w:rFonts w:cs="Arial"/>
          <w:szCs w:val="22"/>
          <w:lang w:eastAsia="en-GB"/>
        </w:rPr>
        <w:t>Over four out of</w:t>
      </w:r>
      <w:r w:rsidR="00317932" w:rsidRPr="000B0374">
        <w:rPr>
          <w:rFonts w:cs="Arial"/>
          <w:szCs w:val="22"/>
          <w:lang w:eastAsia="en-GB"/>
        </w:rPr>
        <w:t xml:space="preserve"> five (</w:t>
      </w:r>
      <w:r w:rsidR="00C177D2" w:rsidRPr="000B0374">
        <w:rPr>
          <w:rFonts w:cs="Arial"/>
          <w:szCs w:val="22"/>
          <w:lang w:eastAsia="en-GB"/>
        </w:rPr>
        <w:t>8</w:t>
      </w:r>
      <w:r w:rsidR="00392019">
        <w:rPr>
          <w:rFonts w:cs="Arial"/>
          <w:szCs w:val="22"/>
          <w:lang w:eastAsia="en-GB"/>
        </w:rPr>
        <w:t>3.6</w:t>
      </w:r>
      <w:r w:rsidR="00C177D2" w:rsidRPr="000B0374">
        <w:rPr>
          <w:rFonts w:cs="Arial"/>
          <w:szCs w:val="22"/>
          <w:lang w:eastAsia="en-GB"/>
        </w:rPr>
        <w:t>%</w:t>
      </w:r>
      <w:r w:rsidR="00317932" w:rsidRPr="000B0374">
        <w:rPr>
          <w:rFonts w:cs="Arial"/>
          <w:szCs w:val="22"/>
          <w:lang w:eastAsia="en-GB"/>
        </w:rPr>
        <w:t>)</w:t>
      </w:r>
      <w:r w:rsidR="00C177D2" w:rsidRPr="000B0374">
        <w:rPr>
          <w:rFonts w:cs="Arial"/>
          <w:szCs w:val="22"/>
          <w:lang w:eastAsia="en-GB"/>
        </w:rPr>
        <w:t xml:space="preserve"> of </w:t>
      </w:r>
      <w:r w:rsidR="00BE04BE" w:rsidRPr="000B0374">
        <w:rPr>
          <w:rFonts w:cs="Arial"/>
          <w:szCs w:val="22"/>
          <w:lang w:eastAsia="en-GB"/>
        </w:rPr>
        <w:t>all</w:t>
      </w:r>
      <w:r w:rsidR="00C177D2" w:rsidRPr="000B0374">
        <w:rPr>
          <w:rFonts w:cs="Arial"/>
          <w:szCs w:val="22"/>
          <w:lang w:eastAsia="en-GB"/>
        </w:rPr>
        <w:t xml:space="preserve"> premises licen</w:t>
      </w:r>
      <w:r w:rsidR="004C682B">
        <w:rPr>
          <w:rFonts w:cs="Arial"/>
          <w:szCs w:val="22"/>
          <w:lang w:eastAsia="en-GB"/>
        </w:rPr>
        <w:t>c</w:t>
      </w:r>
      <w:r w:rsidR="00C177D2" w:rsidRPr="000B0374">
        <w:rPr>
          <w:rFonts w:cs="Arial"/>
          <w:szCs w:val="22"/>
          <w:lang w:eastAsia="en-GB"/>
        </w:rPr>
        <w:t>es</w:t>
      </w:r>
      <w:r w:rsidR="008D303A" w:rsidRPr="000B0374">
        <w:rPr>
          <w:rFonts w:cs="Arial"/>
          <w:szCs w:val="22"/>
          <w:lang w:eastAsia="en-GB"/>
        </w:rPr>
        <w:t xml:space="preserve"> </w:t>
      </w:r>
      <w:r w:rsidR="00BE04BE" w:rsidRPr="000B0374">
        <w:rPr>
          <w:rFonts w:cs="Arial"/>
          <w:szCs w:val="22"/>
          <w:lang w:eastAsia="en-GB"/>
        </w:rPr>
        <w:t xml:space="preserve">for entertainment </w:t>
      </w:r>
      <w:r w:rsidR="008D303A" w:rsidRPr="000B0374">
        <w:rPr>
          <w:rFonts w:cs="Arial"/>
          <w:szCs w:val="22"/>
          <w:lang w:eastAsia="en-GB"/>
        </w:rPr>
        <w:t>covered recorded music</w:t>
      </w:r>
      <w:r w:rsidR="009D7F82" w:rsidRPr="000B0374">
        <w:rPr>
          <w:rFonts w:cs="Arial"/>
          <w:szCs w:val="22"/>
          <w:lang w:eastAsia="en-GB"/>
        </w:rPr>
        <w:t>.</w:t>
      </w:r>
    </w:p>
    <w:p w:rsidR="00106809" w:rsidRPr="000B0374" w:rsidRDefault="00106809" w:rsidP="00F60377">
      <w:pPr>
        <w:spacing w:before="0"/>
        <w:ind w:left="1800"/>
        <w:rPr>
          <w:rFonts w:cs="Arial"/>
          <w:szCs w:val="22"/>
          <w:lang w:eastAsia="en-GB"/>
        </w:rPr>
      </w:pPr>
    </w:p>
    <w:p w:rsidR="00392019" w:rsidRDefault="00106809" w:rsidP="00392019">
      <w:pPr>
        <w:numPr>
          <w:ilvl w:val="0"/>
          <w:numId w:val="24"/>
        </w:numPr>
        <w:spacing w:before="0"/>
        <w:rPr>
          <w:rFonts w:cs="Arial"/>
          <w:szCs w:val="22"/>
          <w:lang w:eastAsia="en-GB"/>
        </w:rPr>
      </w:pPr>
      <w:r w:rsidRPr="000B0374">
        <w:rPr>
          <w:rFonts w:cs="Arial"/>
          <w:szCs w:val="22"/>
          <w:lang w:eastAsia="en-GB"/>
        </w:rPr>
        <w:t>The</w:t>
      </w:r>
      <w:r w:rsidR="00AB4D40" w:rsidRPr="000B0374">
        <w:rPr>
          <w:rFonts w:cs="Arial"/>
          <w:szCs w:val="22"/>
          <w:lang w:eastAsia="en-GB"/>
        </w:rPr>
        <w:t xml:space="preserve">re have </w:t>
      </w:r>
      <w:r w:rsidR="00C26DB6">
        <w:rPr>
          <w:rFonts w:cs="Arial"/>
          <w:szCs w:val="22"/>
          <w:lang w:eastAsia="en-GB"/>
        </w:rPr>
        <w:t xml:space="preserve">also </w:t>
      </w:r>
      <w:r w:rsidR="00AB4D40" w:rsidRPr="000B0374">
        <w:rPr>
          <w:rFonts w:cs="Arial"/>
          <w:szCs w:val="22"/>
          <w:lang w:eastAsia="en-GB"/>
        </w:rPr>
        <w:t>been</w:t>
      </w:r>
      <w:r w:rsidRPr="000B0374">
        <w:rPr>
          <w:rFonts w:cs="Arial"/>
          <w:szCs w:val="22"/>
          <w:lang w:eastAsia="en-GB"/>
        </w:rPr>
        <w:t xml:space="preserve"> decreases in </w:t>
      </w:r>
      <w:r w:rsidR="008D303A" w:rsidRPr="000B0374">
        <w:rPr>
          <w:rFonts w:cs="Arial"/>
          <w:szCs w:val="22"/>
          <w:lang w:eastAsia="en-GB"/>
        </w:rPr>
        <w:t>the number of</w:t>
      </w:r>
      <w:r w:rsidR="006569B9" w:rsidRPr="000B0374">
        <w:rPr>
          <w:rFonts w:cs="Arial"/>
          <w:szCs w:val="22"/>
          <w:lang w:eastAsia="en-GB"/>
        </w:rPr>
        <w:t xml:space="preserve"> premises licences covering </w:t>
      </w:r>
      <w:r w:rsidR="00392019">
        <w:rPr>
          <w:rFonts w:cs="Arial"/>
          <w:szCs w:val="22"/>
          <w:lang w:eastAsia="en-GB"/>
        </w:rPr>
        <w:t>e</w:t>
      </w:r>
      <w:r w:rsidR="00392019" w:rsidRPr="00392019">
        <w:rPr>
          <w:rFonts w:cs="Arial"/>
          <w:szCs w:val="22"/>
          <w:lang w:eastAsia="en-GB"/>
        </w:rPr>
        <w:t>ntertainment similar to live music, recorded music or dance</w:t>
      </w:r>
      <w:r w:rsidR="00392019">
        <w:rPr>
          <w:rFonts w:cs="Arial"/>
          <w:szCs w:val="22"/>
          <w:lang w:eastAsia="en-GB"/>
        </w:rPr>
        <w:t xml:space="preserve">, </w:t>
      </w:r>
      <w:r w:rsidR="009D7F82" w:rsidRPr="000B0374">
        <w:rPr>
          <w:rFonts w:cs="Arial"/>
          <w:szCs w:val="22"/>
          <w:lang w:eastAsia="en-GB"/>
        </w:rPr>
        <w:t>live</w:t>
      </w:r>
      <w:r w:rsidR="0012602D" w:rsidRPr="000B0374">
        <w:rPr>
          <w:rFonts w:cs="Arial"/>
          <w:szCs w:val="22"/>
          <w:lang w:eastAsia="en-GB"/>
        </w:rPr>
        <w:t xml:space="preserve"> music</w:t>
      </w:r>
      <w:r w:rsidR="00C26DB6">
        <w:rPr>
          <w:rFonts w:cs="Arial"/>
          <w:szCs w:val="22"/>
          <w:lang w:eastAsia="en-GB"/>
        </w:rPr>
        <w:t xml:space="preserve"> and</w:t>
      </w:r>
      <w:r w:rsidR="00392019">
        <w:rPr>
          <w:rFonts w:cs="Arial"/>
          <w:szCs w:val="22"/>
          <w:lang w:eastAsia="en-GB"/>
        </w:rPr>
        <w:t xml:space="preserve"> boxing or wrestling</w:t>
      </w:r>
      <w:r w:rsidR="009D7F82" w:rsidRPr="000B0374">
        <w:rPr>
          <w:rFonts w:cs="Arial"/>
          <w:szCs w:val="22"/>
          <w:lang w:eastAsia="en-GB"/>
        </w:rPr>
        <w:t xml:space="preserve">, which fell by </w:t>
      </w:r>
      <w:r w:rsidR="00392019">
        <w:rPr>
          <w:rFonts w:cs="Arial"/>
          <w:szCs w:val="22"/>
          <w:lang w:eastAsia="en-GB"/>
        </w:rPr>
        <w:t>1.7</w:t>
      </w:r>
      <w:r w:rsidR="0012602D" w:rsidRPr="000B0374">
        <w:rPr>
          <w:rFonts w:cs="Arial"/>
          <w:szCs w:val="22"/>
          <w:lang w:eastAsia="en-GB"/>
        </w:rPr>
        <w:t>,</w:t>
      </w:r>
      <w:r w:rsidR="006569B9" w:rsidRPr="000B0374">
        <w:rPr>
          <w:rFonts w:cs="Arial"/>
          <w:szCs w:val="22"/>
          <w:lang w:eastAsia="en-GB"/>
        </w:rPr>
        <w:t xml:space="preserve"> </w:t>
      </w:r>
      <w:r w:rsidR="00392019">
        <w:rPr>
          <w:rFonts w:cs="Arial"/>
          <w:szCs w:val="22"/>
          <w:lang w:eastAsia="en-GB"/>
        </w:rPr>
        <w:t>1.5</w:t>
      </w:r>
      <w:r w:rsidR="00C26DB6">
        <w:rPr>
          <w:rFonts w:cs="Arial"/>
          <w:szCs w:val="22"/>
          <w:lang w:eastAsia="en-GB"/>
        </w:rPr>
        <w:t xml:space="preserve"> and</w:t>
      </w:r>
      <w:r w:rsidR="00392019">
        <w:rPr>
          <w:rFonts w:cs="Arial"/>
          <w:szCs w:val="22"/>
          <w:lang w:eastAsia="en-GB"/>
        </w:rPr>
        <w:t xml:space="preserve"> 1.2</w:t>
      </w:r>
      <w:r w:rsidRPr="000B0374">
        <w:rPr>
          <w:rFonts w:cs="Arial"/>
          <w:szCs w:val="22"/>
          <w:lang w:eastAsia="en-GB"/>
        </w:rPr>
        <w:t xml:space="preserve"> per cent respectively between data collections for March 201</w:t>
      </w:r>
      <w:r w:rsidR="00392019">
        <w:rPr>
          <w:rFonts w:cs="Arial"/>
          <w:szCs w:val="22"/>
          <w:lang w:eastAsia="en-GB"/>
        </w:rPr>
        <w:t>3</w:t>
      </w:r>
      <w:r w:rsidR="009D7F82" w:rsidRPr="000B0374">
        <w:rPr>
          <w:rFonts w:cs="Arial"/>
          <w:szCs w:val="22"/>
          <w:lang w:eastAsia="en-GB"/>
        </w:rPr>
        <w:t xml:space="preserve"> </w:t>
      </w:r>
      <w:r w:rsidRPr="000B0374">
        <w:rPr>
          <w:rFonts w:cs="Arial"/>
          <w:szCs w:val="22"/>
          <w:lang w:eastAsia="en-GB"/>
        </w:rPr>
        <w:t>and March 201</w:t>
      </w:r>
      <w:r w:rsidR="00392019">
        <w:rPr>
          <w:rFonts w:cs="Arial"/>
          <w:szCs w:val="22"/>
          <w:lang w:eastAsia="en-GB"/>
        </w:rPr>
        <w:t>4</w:t>
      </w:r>
      <w:r w:rsidRPr="000B0374">
        <w:rPr>
          <w:rFonts w:cs="Arial"/>
          <w:szCs w:val="22"/>
          <w:lang w:eastAsia="en-GB"/>
        </w:rPr>
        <w:t>.</w:t>
      </w:r>
    </w:p>
    <w:p w:rsidR="00392019" w:rsidRDefault="00392019" w:rsidP="00392019">
      <w:pPr>
        <w:pStyle w:val="ListParagraph"/>
        <w:rPr>
          <w:rFonts w:cs="Arial"/>
          <w:szCs w:val="22"/>
          <w:lang w:eastAsia="en-GB"/>
        </w:rPr>
      </w:pPr>
    </w:p>
    <w:p w:rsidR="00361F75" w:rsidRDefault="009D7F82" w:rsidP="00EE16BF">
      <w:pPr>
        <w:numPr>
          <w:ilvl w:val="0"/>
          <w:numId w:val="24"/>
        </w:numPr>
        <w:spacing w:before="0"/>
        <w:rPr>
          <w:rFonts w:cs="Arial"/>
          <w:szCs w:val="22"/>
          <w:lang w:eastAsia="en-GB"/>
        </w:rPr>
      </w:pPr>
      <w:r w:rsidRPr="00EE16BF">
        <w:rPr>
          <w:rFonts w:cs="Arial"/>
          <w:szCs w:val="22"/>
          <w:lang w:eastAsia="en-GB"/>
        </w:rPr>
        <w:t>The largest</w:t>
      </w:r>
      <w:r w:rsidR="00164EB7" w:rsidRPr="00EE16BF">
        <w:rPr>
          <w:rFonts w:cs="Arial"/>
          <w:szCs w:val="22"/>
          <w:lang w:eastAsia="en-GB"/>
        </w:rPr>
        <w:t xml:space="preserve"> percentage</w:t>
      </w:r>
      <w:r w:rsidR="00106809" w:rsidRPr="00EE16BF">
        <w:rPr>
          <w:rFonts w:cs="Arial"/>
          <w:szCs w:val="22"/>
          <w:lang w:eastAsia="en-GB"/>
        </w:rPr>
        <w:t xml:space="preserve"> increases</w:t>
      </w:r>
      <w:r w:rsidR="00EE16BF" w:rsidRPr="00EE16BF">
        <w:rPr>
          <w:rFonts w:cs="Arial"/>
          <w:szCs w:val="22"/>
          <w:lang w:eastAsia="en-GB"/>
        </w:rPr>
        <w:t xml:space="preserve"> between March 2013 and 2014</w:t>
      </w:r>
      <w:r w:rsidRPr="00EE16BF">
        <w:rPr>
          <w:rFonts w:cs="Arial"/>
          <w:szCs w:val="22"/>
          <w:lang w:eastAsia="en-GB"/>
        </w:rPr>
        <w:t xml:space="preserve"> have been</w:t>
      </w:r>
      <w:r w:rsidR="00106809" w:rsidRPr="00EE16BF">
        <w:rPr>
          <w:rFonts w:cs="Arial"/>
          <w:szCs w:val="22"/>
          <w:lang w:eastAsia="en-GB"/>
        </w:rPr>
        <w:t xml:space="preserve"> in the number of premise licences authorising </w:t>
      </w:r>
      <w:r w:rsidR="00EE16BF" w:rsidRPr="00EE16BF">
        <w:rPr>
          <w:rFonts w:cs="Arial"/>
          <w:szCs w:val="22"/>
          <w:lang w:eastAsia="en-GB"/>
        </w:rPr>
        <w:t xml:space="preserve">indoor sporting events </w:t>
      </w:r>
      <w:r w:rsidRPr="00EE16BF">
        <w:rPr>
          <w:rFonts w:cs="Arial"/>
          <w:szCs w:val="22"/>
          <w:lang w:eastAsia="en-GB"/>
        </w:rPr>
        <w:t>(</w:t>
      </w:r>
      <w:r w:rsidR="00EE16BF" w:rsidRPr="00EE16BF">
        <w:rPr>
          <w:rFonts w:cs="Arial"/>
          <w:szCs w:val="22"/>
          <w:lang w:eastAsia="en-GB"/>
        </w:rPr>
        <w:t xml:space="preserve">1.6%) and </w:t>
      </w:r>
      <w:r w:rsidRPr="00EE16BF">
        <w:rPr>
          <w:rFonts w:cs="Arial"/>
          <w:szCs w:val="22"/>
          <w:lang w:eastAsia="en-GB"/>
        </w:rPr>
        <w:t>plays</w:t>
      </w:r>
      <w:r w:rsidR="00DA5D67" w:rsidRPr="00EE16BF">
        <w:rPr>
          <w:rFonts w:cs="Arial"/>
          <w:szCs w:val="22"/>
          <w:lang w:eastAsia="en-GB"/>
        </w:rPr>
        <w:t xml:space="preserve"> (</w:t>
      </w:r>
      <w:r w:rsidR="00EE16BF" w:rsidRPr="00EE16BF">
        <w:rPr>
          <w:rFonts w:cs="Arial"/>
          <w:szCs w:val="22"/>
          <w:lang w:eastAsia="en-GB"/>
        </w:rPr>
        <w:t>1.1</w:t>
      </w:r>
      <w:r w:rsidR="008D303A" w:rsidRPr="00EE16BF">
        <w:rPr>
          <w:rFonts w:cs="Arial"/>
          <w:szCs w:val="22"/>
          <w:lang w:eastAsia="en-GB"/>
        </w:rPr>
        <w:t>%)</w:t>
      </w:r>
      <w:r w:rsidR="00EE16BF" w:rsidRPr="00EE16BF">
        <w:rPr>
          <w:rFonts w:cs="Arial"/>
          <w:szCs w:val="22"/>
          <w:lang w:eastAsia="en-GB"/>
        </w:rPr>
        <w:t>. The number of premises licences authorising films and the performance of dance have also increased (both by 0.7%).</w:t>
      </w:r>
    </w:p>
    <w:p w:rsidR="00EE16BF" w:rsidRDefault="00EE16BF" w:rsidP="00EE16BF">
      <w:pPr>
        <w:pStyle w:val="ListParagraph"/>
        <w:rPr>
          <w:rFonts w:cs="Arial"/>
          <w:szCs w:val="22"/>
          <w:lang w:eastAsia="en-GB"/>
        </w:rPr>
      </w:pPr>
    </w:p>
    <w:p w:rsidR="00C7618C" w:rsidRDefault="003829C6" w:rsidP="00C177D2">
      <w:pPr>
        <w:spacing w:before="0"/>
        <w:ind w:left="1418"/>
        <w:rPr>
          <w:b/>
        </w:rPr>
      </w:pPr>
      <w:r>
        <w:rPr>
          <w:b/>
        </w:rPr>
        <w:t>Figure 2</w:t>
      </w:r>
      <w:r w:rsidR="00C7618C" w:rsidRPr="00E8132C">
        <w:rPr>
          <w:b/>
        </w:rPr>
        <w:t>: The number of</w:t>
      </w:r>
      <w:r w:rsidR="00E8132C" w:rsidRPr="00E8132C">
        <w:rPr>
          <w:b/>
        </w:rPr>
        <w:t xml:space="preserve"> </w:t>
      </w:r>
      <w:r w:rsidR="009A72A9">
        <w:rPr>
          <w:b/>
        </w:rPr>
        <w:t>entertainment</w:t>
      </w:r>
      <w:r w:rsidR="00E8132C" w:rsidRPr="00E8132C">
        <w:rPr>
          <w:b/>
        </w:rPr>
        <w:t xml:space="preserve"> premises</w:t>
      </w:r>
      <w:r w:rsidR="009A72A9">
        <w:rPr>
          <w:b/>
        </w:rPr>
        <w:t xml:space="preserve"> licences </w:t>
      </w:r>
      <w:r w:rsidR="00E8132C" w:rsidRPr="00E8132C">
        <w:rPr>
          <w:b/>
        </w:rPr>
        <w:t>in</w:t>
      </w:r>
      <w:r w:rsidR="009A72A9">
        <w:rPr>
          <w:b/>
        </w:rPr>
        <w:t xml:space="preserve"> force in</w:t>
      </w:r>
      <w:r w:rsidR="00E8132C" w:rsidRPr="00E8132C">
        <w:rPr>
          <w:b/>
        </w:rPr>
        <w:t xml:space="preserve"> England and Wales</w:t>
      </w:r>
      <w:r w:rsidR="00253701">
        <w:rPr>
          <w:b/>
        </w:rPr>
        <w:t xml:space="preserve"> on </w:t>
      </w:r>
      <w:r w:rsidR="00AA50E9">
        <w:rPr>
          <w:b/>
        </w:rPr>
        <w:t>31 March 201</w:t>
      </w:r>
      <w:r w:rsidR="00F20CF3">
        <w:rPr>
          <w:b/>
        </w:rPr>
        <w:t>3</w:t>
      </w:r>
      <w:r w:rsidR="00AA50E9">
        <w:rPr>
          <w:b/>
        </w:rPr>
        <w:t xml:space="preserve"> and </w:t>
      </w:r>
      <w:r w:rsidR="00253701">
        <w:rPr>
          <w:b/>
        </w:rPr>
        <w:t>201</w:t>
      </w:r>
      <w:r w:rsidR="00F20CF3">
        <w:rPr>
          <w:b/>
        </w:rPr>
        <w:t>4</w:t>
      </w:r>
      <w:r w:rsidR="00E8132C" w:rsidRPr="00E8132C">
        <w:rPr>
          <w:b/>
        </w:rPr>
        <w:t xml:space="preserve"> by entertainment type.</w:t>
      </w:r>
    </w:p>
    <w:p w:rsidR="00E053A3" w:rsidRDefault="00E053A3" w:rsidP="00750877">
      <w:pPr>
        <w:spacing w:before="0"/>
        <w:ind w:left="698" w:firstLine="720"/>
        <w:rPr>
          <w:b/>
          <w:sz w:val="18"/>
          <w:szCs w:val="18"/>
        </w:rPr>
      </w:pPr>
    </w:p>
    <w:p w:rsidR="00E053A3" w:rsidRDefault="00E053A3" w:rsidP="00750877">
      <w:pPr>
        <w:spacing w:before="0"/>
        <w:ind w:left="698" w:firstLine="720"/>
        <w:rPr>
          <w:b/>
          <w:sz w:val="18"/>
          <w:szCs w:val="18"/>
        </w:rPr>
      </w:pPr>
      <w:r>
        <w:rPr>
          <w:b/>
          <w:noProof/>
          <w:sz w:val="18"/>
          <w:szCs w:val="18"/>
          <w:lang w:eastAsia="en-GB"/>
        </w:rPr>
        <w:drawing>
          <wp:inline distT="0" distB="0" distL="0" distR="0" wp14:anchorId="53D4DBA1" wp14:editId="7C821A7E">
            <wp:extent cx="5095581" cy="32894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1528" cy="3293304"/>
                    </a:xfrm>
                    <a:prstGeom prst="rect">
                      <a:avLst/>
                    </a:prstGeom>
                    <a:noFill/>
                  </pic:spPr>
                </pic:pic>
              </a:graphicData>
            </a:graphic>
          </wp:inline>
        </w:drawing>
      </w:r>
    </w:p>
    <w:p w:rsidR="00E8132C" w:rsidRPr="00253701" w:rsidRDefault="00253701" w:rsidP="00750877">
      <w:pPr>
        <w:spacing w:before="0"/>
        <w:ind w:left="698" w:firstLine="720"/>
        <w:rPr>
          <w:b/>
          <w:sz w:val="18"/>
          <w:szCs w:val="18"/>
        </w:rPr>
      </w:pPr>
      <w:r w:rsidRPr="00253701">
        <w:rPr>
          <w:b/>
          <w:sz w:val="18"/>
          <w:szCs w:val="18"/>
        </w:rPr>
        <w:t>Notes</w:t>
      </w:r>
    </w:p>
    <w:p w:rsidR="00AC5001" w:rsidRDefault="00697B06" w:rsidP="00C177D2">
      <w:pPr>
        <w:spacing w:before="0"/>
        <w:ind w:left="1418"/>
        <w:rPr>
          <w:sz w:val="16"/>
          <w:szCs w:val="16"/>
        </w:rPr>
      </w:pPr>
      <w:r w:rsidRPr="00697B06">
        <w:rPr>
          <w:sz w:val="16"/>
          <w:szCs w:val="16"/>
        </w:rPr>
        <w:t>1)</w:t>
      </w:r>
      <w:r>
        <w:rPr>
          <w:sz w:val="16"/>
          <w:szCs w:val="16"/>
        </w:rPr>
        <w:t xml:space="preserve">  </w:t>
      </w:r>
      <w:r w:rsidR="00253701" w:rsidRPr="00253701">
        <w:rPr>
          <w:sz w:val="16"/>
          <w:szCs w:val="16"/>
        </w:rPr>
        <w:t>The sum of</w:t>
      </w:r>
      <w:r w:rsidR="00D5464A">
        <w:rPr>
          <w:sz w:val="16"/>
          <w:szCs w:val="16"/>
        </w:rPr>
        <w:t xml:space="preserve"> the number </w:t>
      </w:r>
      <w:r w:rsidR="00AC5001">
        <w:rPr>
          <w:sz w:val="16"/>
          <w:szCs w:val="16"/>
        </w:rPr>
        <w:t xml:space="preserve">of </w:t>
      </w:r>
      <w:r w:rsidR="00AC5001" w:rsidRPr="00253701">
        <w:rPr>
          <w:sz w:val="16"/>
          <w:szCs w:val="16"/>
        </w:rPr>
        <w:t>licences</w:t>
      </w:r>
      <w:r w:rsidR="00253701" w:rsidRPr="00253701">
        <w:rPr>
          <w:sz w:val="16"/>
          <w:szCs w:val="16"/>
        </w:rPr>
        <w:t xml:space="preserve"> covering each entertainment type will not equal the</w:t>
      </w:r>
      <w:r w:rsidR="009A72A9">
        <w:rPr>
          <w:sz w:val="16"/>
          <w:szCs w:val="16"/>
        </w:rPr>
        <w:t xml:space="preserve"> total</w:t>
      </w:r>
      <w:r w:rsidR="00253701" w:rsidRPr="00253701">
        <w:rPr>
          <w:sz w:val="16"/>
          <w:szCs w:val="16"/>
        </w:rPr>
        <w:t xml:space="preserve"> number of </w:t>
      </w:r>
      <w:r w:rsidR="009A72A9">
        <w:rPr>
          <w:sz w:val="16"/>
          <w:szCs w:val="16"/>
        </w:rPr>
        <w:t xml:space="preserve">entertainment premises </w:t>
      </w:r>
      <w:r w:rsidR="00253701" w:rsidRPr="00253701">
        <w:rPr>
          <w:sz w:val="16"/>
          <w:szCs w:val="16"/>
        </w:rPr>
        <w:t>licences</w:t>
      </w:r>
      <w:r w:rsidR="009A72A9">
        <w:rPr>
          <w:sz w:val="16"/>
          <w:szCs w:val="16"/>
        </w:rPr>
        <w:t xml:space="preserve"> i</w:t>
      </w:r>
      <w:r w:rsidR="00253701" w:rsidRPr="00253701">
        <w:rPr>
          <w:sz w:val="16"/>
          <w:szCs w:val="16"/>
        </w:rPr>
        <w:t>n</w:t>
      </w:r>
      <w:r w:rsidR="009A72A9">
        <w:rPr>
          <w:sz w:val="16"/>
          <w:szCs w:val="16"/>
        </w:rPr>
        <w:t xml:space="preserve"> </w:t>
      </w:r>
      <w:r w:rsidR="009A72A9" w:rsidRPr="00253701">
        <w:rPr>
          <w:sz w:val="16"/>
          <w:szCs w:val="16"/>
        </w:rPr>
        <w:t>force</w:t>
      </w:r>
      <w:r w:rsidR="009A72A9">
        <w:rPr>
          <w:sz w:val="16"/>
          <w:szCs w:val="16"/>
        </w:rPr>
        <w:t xml:space="preserve"> </w:t>
      </w:r>
      <w:r w:rsidR="009A72A9" w:rsidRPr="00253701">
        <w:rPr>
          <w:sz w:val="16"/>
          <w:szCs w:val="16"/>
        </w:rPr>
        <w:t>since</w:t>
      </w:r>
      <w:r w:rsidR="00253701" w:rsidRPr="00253701">
        <w:rPr>
          <w:sz w:val="16"/>
          <w:szCs w:val="16"/>
        </w:rPr>
        <w:t xml:space="preserve"> more than one</w:t>
      </w:r>
      <w:r w:rsidR="00D5464A">
        <w:rPr>
          <w:sz w:val="16"/>
          <w:szCs w:val="16"/>
        </w:rPr>
        <w:t xml:space="preserve"> form </w:t>
      </w:r>
      <w:r w:rsidR="00AC5001">
        <w:rPr>
          <w:sz w:val="16"/>
          <w:szCs w:val="16"/>
        </w:rPr>
        <w:t xml:space="preserve">of </w:t>
      </w:r>
      <w:r w:rsidR="00AC5001" w:rsidRPr="00253701">
        <w:rPr>
          <w:sz w:val="16"/>
          <w:szCs w:val="16"/>
        </w:rPr>
        <w:t>entertainment</w:t>
      </w:r>
      <w:r w:rsidR="00253701" w:rsidRPr="00253701">
        <w:rPr>
          <w:sz w:val="16"/>
          <w:szCs w:val="16"/>
        </w:rPr>
        <w:t xml:space="preserve"> can </w:t>
      </w:r>
      <w:r w:rsidR="00DA5D67">
        <w:rPr>
          <w:sz w:val="16"/>
          <w:szCs w:val="16"/>
        </w:rPr>
        <w:t>be covered by each licence</w:t>
      </w:r>
      <w:r w:rsidR="00AC5001">
        <w:rPr>
          <w:sz w:val="16"/>
          <w:szCs w:val="16"/>
        </w:rPr>
        <w:t>.</w:t>
      </w:r>
    </w:p>
    <w:p w:rsidR="009A72A9" w:rsidRPr="009A72A9" w:rsidRDefault="00C177D2" w:rsidP="00750877">
      <w:pPr>
        <w:spacing w:before="0"/>
        <w:ind w:left="1418"/>
        <w:rPr>
          <w:sz w:val="16"/>
          <w:szCs w:val="16"/>
        </w:rPr>
      </w:pPr>
      <w:r>
        <w:rPr>
          <w:sz w:val="16"/>
          <w:szCs w:val="16"/>
        </w:rPr>
        <w:t xml:space="preserve">2) </w:t>
      </w:r>
      <w:r w:rsidR="009A72A9" w:rsidRPr="009A72A9">
        <w:rPr>
          <w:sz w:val="16"/>
          <w:szCs w:val="16"/>
        </w:rPr>
        <w:t xml:space="preserve">Figures consist of a combination of actual responses and </w:t>
      </w:r>
      <w:r w:rsidR="00F421CF">
        <w:rPr>
          <w:sz w:val="16"/>
          <w:szCs w:val="16"/>
        </w:rPr>
        <w:t xml:space="preserve">modelled </w:t>
      </w:r>
      <w:r w:rsidR="009A72A9" w:rsidRPr="009A72A9">
        <w:rPr>
          <w:sz w:val="16"/>
          <w:szCs w:val="16"/>
        </w:rPr>
        <w:t xml:space="preserve">estimates to account for non-response. </w:t>
      </w:r>
    </w:p>
    <w:p w:rsidR="00212C84" w:rsidRDefault="00212C84" w:rsidP="00C177D2">
      <w:pPr>
        <w:spacing w:before="0"/>
        <w:ind w:left="1418"/>
        <w:rPr>
          <w:szCs w:val="22"/>
        </w:rPr>
      </w:pPr>
    </w:p>
    <w:p w:rsidR="0091341A" w:rsidRDefault="0091341A" w:rsidP="00032BFF">
      <w:pPr>
        <w:spacing w:before="0"/>
        <w:ind w:left="0"/>
        <w:rPr>
          <w:szCs w:val="22"/>
        </w:rPr>
      </w:pPr>
    </w:p>
    <w:p w:rsidR="00032BFF" w:rsidRDefault="005D5EEB" w:rsidP="00032BFF">
      <w:pPr>
        <w:ind w:left="1440"/>
      </w:pPr>
      <w:r>
        <w:rPr>
          <w:szCs w:val="22"/>
        </w:rPr>
        <w:t>Excel tables for the number of entertainment premises lice</w:t>
      </w:r>
      <w:r w:rsidR="00112848">
        <w:rPr>
          <w:szCs w:val="22"/>
        </w:rPr>
        <w:t>nces in force can be found at</w:t>
      </w:r>
      <w:r w:rsidR="00112848" w:rsidRPr="0082711C">
        <w:rPr>
          <w:color w:val="FF0000"/>
          <w:szCs w:val="22"/>
        </w:rPr>
        <w:t xml:space="preserve"> </w:t>
      </w:r>
      <w:hyperlink r:id="rId25" w:history="1">
        <w:r w:rsidR="008910A3">
          <w:rPr>
            <w:rStyle w:val="Hyperlink"/>
            <w:rFonts w:cs="Arial"/>
            <w:szCs w:val="22"/>
          </w:rPr>
          <w:t>https://www.gov.uk/government/publications/entertainment-licensing-2014</w:t>
        </w:r>
      </w:hyperlink>
    </w:p>
    <w:p w:rsidR="00112848" w:rsidRDefault="00112848" w:rsidP="00112848">
      <w:pPr>
        <w:spacing w:before="0"/>
        <w:ind w:left="1418"/>
        <w:rPr>
          <w:rStyle w:val="Hyperlink"/>
          <w:rFonts w:cs="Arial"/>
        </w:rPr>
      </w:pPr>
    </w:p>
    <w:p w:rsidR="00E40CB2" w:rsidRPr="00942CD3" w:rsidRDefault="00106809" w:rsidP="00C177D2">
      <w:pPr>
        <w:spacing w:before="0"/>
        <w:ind w:left="1418"/>
        <w:rPr>
          <w:rFonts w:cs="Arial"/>
          <w:b/>
          <w:szCs w:val="22"/>
          <w:lang w:eastAsia="en-GB"/>
        </w:rPr>
      </w:pPr>
      <w:r w:rsidRPr="00942CD3">
        <w:rPr>
          <w:szCs w:val="22"/>
        </w:rPr>
        <w:lastRenderedPageBreak/>
        <w:t xml:space="preserve">Figure 3 shows that London, </w:t>
      </w:r>
      <w:r w:rsidR="00797D44" w:rsidRPr="00942CD3">
        <w:rPr>
          <w:szCs w:val="22"/>
        </w:rPr>
        <w:t xml:space="preserve">South East </w:t>
      </w:r>
      <w:r w:rsidRPr="00942CD3">
        <w:rPr>
          <w:szCs w:val="22"/>
        </w:rPr>
        <w:t xml:space="preserve">and </w:t>
      </w:r>
      <w:r w:rsidR="00797D44" w:rsidRPr="00942CD3">
        <w:rPr>
          <w:szCs w:val="22"/>
        </w:rPr>
        <w:t xml:space="preserve">the </w:t>
      </w:r>
      <w:r w:rsidRPr="00942CD3">
        <w:rPr>
          <w:szCs w:val="22"/>
        </w:rPr>
        <w:t>North West had the greatest number of entertai</w:t>
      </w:r>
      <w:r w:rsidR="00B4603E">
        <w:rPr>
          <w:szCs w:val="22"/>
        </w:rPr>
        <w:t>nment premises licences (over 15</w:t>
      </w:r>
      <w:r w:rsidRPr="00942CD3">
        <w:rPr>
          <w:szCs w:val="22"/>
        </w:rPr>
        <w:t>,</w:t>
      </w:r>
      <w:r w:rsidR="00B4603E">
        <w:rPr>
          <w:szCs w:val="22"/>
        </w:rPr>
        <w:t>0</w:t>
      </w:r>
      <w:r w:rsidR="009D1BA8" w:rsidRPr="00942CD3">
        <w:rPr>
          <w:szCs w:val="22"/>
        </w:rPr>
        <w:t>00</w:t>
      </w:r>
      <w:r w:rsidRPr="00942CD3">
        <w:rPr>
          <w:szCs w:val="22"/>
        </w:rPr>
        <w:t xml:space="preserve"> licences each). Conversely the region with the least entertainment premises lic</w:t>
      </w:r>
      <w:r w:rsidR="00DA5D67" w:rsidRPr="00942CD3">
        <w:rPr>
          <w:szCs w:val="22"/>
        </w:rPr>
        <w:t>ences was the North East with fewer</w:t>
      </w:r>
      <w:r w:rsidRPr="00942CD3">
        <w:rPr>
          <w:szCs w:val="22"/>
        </w:rPr>
        <w:t xml:space="preserve"> than </w:t>
      </w:r>
      <w:r w:rsidR="00942CD3" w:rsidRPr="00942CD3">
        <w:rPr>
          <w:szCs w:val="22"/>
        </w:rPr>
        <w:t>5</w:t>
      </w:r>
      <w:r w:rsidRPr="00942CD3">
        <w:rPr>
          <w:szCs w:val="22"/>
        </w:rPr>
        <w:t>,</w:t>
      </w:r>
      <w:r w:rsidR="009D1BA8" w:rsidRPr="00942CD3">
        <w:rPr>
          <w:szCs w:val="22"/>
        </w:rPr>
        <w:t>0</w:t>
      </w:r>
      <w:r w:rsidRPr="00942CD3">
        <w:rPr>
          <w:szCs w:val="22"/>
        </w:rPr>
        <w:t>00.</w:t>
      </w:r>
    </w:p>
    <w:p w:rsidR="00E40CB2" w:rsidRDefault="00E40CB2" w:rsidP="00C177D2">
      <w:pPr>
        <w:spacing w:before="0"/>
        <w:ind w:left="1418"/>
        <w:rPr>
          <w:rFonts w:cs="Arial"/>
          <w:b/>
          <w:szCs w:val="22"/>
          <w:lang w:eastAsia="en-GB"/>
        </w:rPr>
      </w:pPr>
    </w:p>
    <w:p w:rsidR="008E1532" w:rsidRPr="00B4603E" w:rsidRDefault="009B1C1E" w:rsidP="00B4603E">
      <w:pPr>
        <w:spacing w:before="0"/>
        <w:ind w:left="1418"/>
        <w:rPr>
          <w:rFonts w:cs="Arial"/>
          <w:b/>
          <w:szCs w:val="22"/>
          <w:lang w:eastAsia="en-GB"/>
        </w:rPr>
      </w:pPr>
      <w:r w:rsidRPr="00B4603E">
        <w:rPr>
          <w:rFonts w:cs="Arial"/>
          <w:b/>
          <w:szCs w:val="22"/>
          <w:lang w:eastAsia="en-GB"/>
        </w:rPr>
        <w:t>Figure 3: The number of entertainment premises licences in force on 31 March 201</w:t>
      </w:r>
      <w:r w:rsidR="00C55D78" w:rsidRPr="00B4603E">
        <w:rPr>
          <w:rFonts w:cs="Arial"/>
          <w:b/>
          <w:szCs w:val="22"/>
          <w:lang w:eastAsia="en-GB"/>
        </w:rPr>
        <w:t>4</w:t>
      </w:r>
      <w:r w:rsidRPr="00B4603E">
        <w:rPr>
          <w:rFonts w:cs="Arial"/>
          <w:b/>
          <w:szCs w:val="22"/>
          <w:lang w:eastAsia="en-GB"/>
        </w:rPr>
        <w:t xml:space="preserve"> by region</w:t>
      </w:r>
    </w:p>
    <w:p w:rsidR="009B1C1E" w:rsidRPr="008D303A" w:rsidRDefault="00B4603E" w:rsidP="00C177D2">
      <w:pPr>
        <w:spacing w:before="0"/>
        <w:ind w:left="1418"/>
        <w:rPr>
          <w:rFonts w:cs="Arial"/>
          <w:szCs w:val="22"/>
          <w:highlight w:val="yellow"/>
          <w:lang w:eastAsia="en-GB"/>
        </w:rPr>
      </w:pPr>
      <w:r>
        <w:rPr>
          <w:rFonts w:cs="Arial"/>
          <w:noProof/>
          <w:szCs w:val="22"/>
          <w:lang w:eastAsia="en-GB"/>
        </w:rPr>
        <w:drawing>
          <wp:inline distT="0" distB="0" distL="0" distR="0" wp14:anchorId="5F4645F2" wp14:editId="59051A9C">
            <wp:extent cx="5118265" cy="566154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tainment Licensing Stats - Figure_3_V3.png"/>
                    <pic:cNvPicPr/>
                  </pic:nvPicPr>
                  <pic:blipFill rotWithShape="1">
                    <a:blip r:embed="rId26">
                      <a:extLst>
                        <a:ext uri="{28A0092B-C50C-407E-A947-70E740481C1C}">
                          <a14:useLocalDpi xmlns:a14="http://schemas.microsoft.com/office/drawing/2010/main" val="0"/>
                        </a:ext>
                      </a:extLst>
                    </a:blip>
                    <a:srcRect l="5436" t="13919" r="1909" b="13554"/>
                    <a:stretch/>
                  </pic:blipFill>
                  <pic:spPr bwMode="auto">
                    <a:xfrm>
                      <a:off x="0" y="0"/>
                      <a:ext cx="5120667" cy="5664201"/>
                    </a:xfrm>
                    <a:prstGeom prst="rect">
                      <a:avLst/>
                    </a:prstGeom>
                    <a:ln>
                      <a:noFill/>
                    </a:ln>
                    <a:extLst>
                      <a:ext uri="{53640926-AAD7-44D8-BBD7-CCE9431645EC}">
                        <a14:shadowObscured xmlns:a14="http://schemas.microsoft.com/office/drawing/2010/main"/>
                      </a:ext>
                    </a:extLst>
                  </pic:spPr>
                </pic:pic>
              </a:graphicData>
            </a:graphic>
          </wp:inline>
        </w:drawing>
      </w:r>
    </w:p>
    <w:p w:rsidR="009B1C1E" w:rsidRPr="009F2DD7" w:rsidRDefault="00C85908" w:rsidP="00960223">
      <w:pPr>
        <w:spacing w:before="0"/>
        <w:ind w:left="720" w:firstLine="720"/>
        <w:jc w:val="both"/>
        <w:rPr>
          <w:b/>
          <w:sz w:val="16"/>
          <w:szCs w:val="16"/>
        </w:rPr>
      </w:pPr>
      <w:r w:rsidRPr="009F2DD7">
        <w:rPr>
          <w:b/>
          <w:sz w:val="16"/>
          <w:szCs w:val="16"/>
        </w:rPr>
        <w:t>Notes</w:t>
      </w:r>
    </w:p>
    <w:p w:rsidR="00C85908" w:rsidRPr="009F2DD7" w:rsidRDefault="00C85908" w:rsidP="00960223">
      <w:pPr>
        <w:numPr>
          <w:ilvl w:val="0"/>
          <w:numId w:val="30"/>
        </w:numPr>
        <w:spacing w:before="0"/>
        <w:rPr>
          <w:sz w:val="16"/>
          <w:szCs w:val="16"/>
        </w:rPr>
      </w:pPr>
      <w:r w:rsidRPr="009F2DD7">
        <w:rPr>
          <w:sz w:val="16"/>
          <w:szCs w:val="16"/>
        </w:rPr>
        <w:t>Figures consist of a combination of actual responses and estimates to account for non-response</w:t>
      </w:r>
    </w:p>
    <w:p w:rsidR="00DA5D67" w:rsidRPr="008D303A" w:rsidRDefault="00DA5D67" w:rsidP="00DA5D67">
      <w:pPr>
        <w:spacing w:before="0"/>
        <w:rPr>
          <w:sz w:val="16"/>
          <w:szCs w:val="16"/>
          <w:highlight w:val="yellow"/>
        </w:rPr>
      </w:pPr>
    </w:p>
    <w:p w:rsidR="00DA5D67" w:rsidRPr="008D303A" w:rsidRDefault="00DA5D67" w:rsidP="00DA5D67">
      <w:pPr>
        <w:spacing w:before="0"/>
        <w:rPr>
          <w:sz w:val="16"/>
          <w:szCs w:val="16"/>
          <w:highlight w:val="yellow"/>
        </w:rPr>
      </w:pPr>
    </w:p>
    <w:p w:rsidR="00032BFF" w:rsidRDefault="00115510" w:rsidP="00032BFF">
      <w:pPr>
        <w:ind w:left="1440"/>
      </w:pPr>
      <w:r w:rsidRPr="00032BFF">
        <w:rPr>
          <w:szCs w:val="22"/>
        </w:rPr>
        <w:t xml:space="preserve">Excel tables for the number of entertainment premises licences in force by region can be found at </w:t>
      </w:r>
      <w:hyperlink r:id="rId27" w:history="1">
        <w:r w:rsidR="008910A3">
          <w:rPr>
            <w:rStyle w:val="Hyperlink"/>
            <w:rFonts w:cs="Arial"/>
            <w:szCs w:val="22"/>
          </w:rPr>
          <w:t>https://www.gov.uk/government/publications/entertainment-licensing-2014</w:t>
        </w:r>
      </w:hyperlink>
    </w:p>
    <w:p w:rsidR="00201E60" w:rsidRDefault="00201E60" w:rsidP="00201E60">
      <w:pPr>
        <w:spacing w:before="0"/>
        <w:ind w:left="1276"/>
        <w:rPr>
          <w:rStyle w:val="Hyperlink"/>
          <w:rFonts w:cs="Arial"/>
        </w:rPr>
      </w:pPr>
    </w:p>
    <w:p w:rsidR="00201E60" w:rsidRDefault="00201E60" w:rsidP="00201E60">
      <w:pPr>
        <w:spacing w:before="0"/>
        <w:ind w:left="720"/>
        <w:rPr>
          <w:szCs w:val="22"/>
        </w:rPr>
      </w:pPr>
    </w:p>
    <w:p w:rsidR="00960223" w:rsidRDefault="00960223" w:rsidP="00201E60">
      <w:pPr>
        <w:spacing w:before="0"/>
        <w:ind w:left="1276"/>
        <w:rPr>
          <w:szCs w:val="22"/>
        </w:rPr>
      </w:pPr>
    </w:p>
    <w:p w:rsidR="00B4603E" w:rsidRDefault="00B4603E" w:rsidP="00201E60">
      <w:pPr>
        <w:spacing w:before="0"/>
        <w:ind w:left="1276"/>
        <w:rPr>
          <w:b/>
          <w:szCs w:val="22"/>
        </w:rPr>
      </w:pPr>
    </w:p>
    <w:p w:rsidR="00D5787D" w:rsidRDefault="00D5787D">
      <w:pPr>
        <w:spacing w:before="0"/>
        <w:ind w:left="0"/>
        <w:rPr>
          <w:b/>
          <w:szCs w:val="22"/>
        </w:rPr>
      </w:pPr>
      <w:r>
        <w:rPr>
          <w:b/>
          <w:szCs w:val="22"/>
        </w:rPr>
        <w:br w:type="page"/>
      </w:r>
    </w:p>
    <w:p w:rsidR="00960223" w:rsidRDefault="00960223" w:rsidP="00201E60">
      <w:pPr>
        <w:spacing w:before="0"/>
        <w:ind w:left="1276"/>
        <w:rPr>
          <w:b/>
          <w:szCs w:val="22"/>
          <w:highlight w:val="yellow"/>
        </w:rPr>
      </w:pPr>
      <w:r w:rsidRPr="00EC4BCF">
        <w:rPr>
          <w:b/>
          <w:szCs w:val="22"/>
        </w:rPr>
        <w:lastRenderedPageBreak/>
        <w:t>Figure 4: The number of entertainment premises licences in force on 31 March 201</w:t>
      </w:r>
      <w:r w:rsidR="00942CD3">
        <w:rPr>
          <w:b/>
          <w:szCs w:val="22"/>
        </w:rPr>
        <w:t>4</w:t>
      </w:r>
      <w:r w:rsidRPr="00EC4BCF">
        <w:rPr>
          <w:b/>
          <w:szCs w:val="22"/>
        </w:rPr>
        <w:t xml:space="preserve"> by region, per 1</w:t>
      </w:r>
      <w:r w:rsidR="005552C7" w:rsidRPr="00EC4BCF">
        <w:rPr>
          <w:b/>
          <w:szCs w:val="22"/>
        </w:rPr>
        <w:t>,</w:t>
      </w:r>
      <w:r w:rsidRPr="00EC4BCF">
        <w:rPr>
          <w:b/>
          <w:szCs w:val="22"/>
        </w:rPr>
        <w:t xml:space="preserve">000 </w:t>
      </w:r>
      <w:proofErr w:type="gramStart"/>
      <w:r w:rsidRPr="00EC4BCF">
        <w:rPr>
          <w:b/>
          <w:szCs w:val="22"/>
        </w:rPr>
        <w:t>population</w:t>
      </w:r>
      <w:proofErr w:type="gramEnd"/>
      <w:r w:rsidR="007733B9" w:rsidRPr="00EC4BCF">
        <w:rPr>
          <w:b/>
          <w:szCs w:val="22"/>
        </w:rPr>
        <w:t>.</w:t>
      </w:r>
    </w:p>
    <w:p w:rsidR="00942CD3" w:rsidRPr="003B4F6C" w:rsidRDefault="00B4603E" w:rsidP="00201E60">
      <w:pPr>
        <w:spacing w:before="0"/>
        <w:ind w:left="1276"/>
        <w:rPr>
          <w:b/>
          <w:szCs w:val="22"/>
          <w:highlight w:val="yellow"/>
        </w:rPr>
      </w:pPr>
      <w:r>
        <w:rPr>
          <w:b/>
          <w:noProof/>
          <w:szCs w:val="22"/>
          <w:lang w:eastAsia="en-GB"/>
        </w:rPr>
        <w:drawing>
          <wp:inline distT="0" distB="0" distL="0" distR="0" wp14:anchorId="251A1501" wp14:editId="7B173ACB">
            <wp:extent cx="5237018" cy="5962146"/>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tainment Licensing Stats - Figure_4_V3.png"/>
                    <pic:cNvPicPr/>
                  </pic:nvPicPr>
                  <pic:blipFill rotWithShape="1">
                    <a:blip r:embed="rId28">
                      <a:extLst>
                        <a:ext uri="{28A0092B-C50C-407E-A947-70E740481C1C}">
                          <a14:useLocalDpi xmlns:a14="http://schemas.microsoft.com/office/drawing/2010/main" val="0"/>
                        </a:ext>
                      </a:extLst>
                    </a:blip>
                    <a:srcRect l="5948" t="13609" r="3105" b="13119"/>
                    <a:stretch/>
                  </pic:blipFill>
                  <pic:spPr bwMode="auto">
                    <a:xfrm>
                      <a:off x="0" y="0"/>
                      <a:ext cx="5252754" cy="5980060"/>
                    </a:xfrm>
                    <a:prstGeom prst="rect">
                      <a:avLst/>
                    </a:prstGeom>
                    <a:ln>
                      <a:noFill/>
                    </a:ln>
                    <a:extLst>
                      <a:ext uri="{53640926-AAD7-44D8-BBD7-CCE9431645EC}">
                        <a14:shadowObscured xmlns:a14="http://schemas.microsoft.com/office/drawing/2010/main"/>
                      </a:ext>
                    </a:extLst>
                  </pic:spPr>
                </pic:pic>
              </a:graphicData>
            </a:graphic>
          </wp:inline>
        </w:drawing>
      </w:r>
    </w:p>
    <w:p w:rsidR="00960223" w:rsidRPr="003B4F6C" w:rsidRDefault="00960223" w:rsidP="00201E60">
      <w:pPr>
        <w:spacing w:before="0"/>
        <w:ind w:left="1276"/>
        <w:rPr>
          <w:b/>
          <w:szCs w:val="22"/>
          <w:highlight w:val="yellow"/>
        </w:rPr>
      </w:pPr>
    </w:p>
    <w:p w:rsidR="00201E60" w:rsidRPr="00E40CB2" w:rsidRDefault="00201E60" w:rsidP="00201E60">
      <w:pPr>
        <w:spacing w:before="0"/>
        <w:ind w:left="720"/>
        <w:rPr>
          <w:rStyle w:val="Hyperlink"/>
          <w:rFonts w:cs="Arial"/>
        </w:rPr>
      </w:pPr>
    </w:p>
    <w:p w:rsidR="00201E60" w:rsidRPr="00E40CB2" w:rsidRDefault="005552C7" w:rsidP="00960223">
      <w:pPr>
        <w:spacing w:before="0"/>
        <w:ind w:left="1440"/>
        <w:rPr>
          <w:szCs w:val="22"/>
        </w:rPr>
      </w:pPr>
      <w:r w:rsidRPr="00E40CB2">
        <w:rPr>
          <w:szCs w:val="22"/>
        </w:rPr>
        <w:t xml:space="preserve">The </w:t>
      </w:r>
      <w:r w:rsidR="00960223" w:rsidRPr="00E40CB2">
        <w:rPr>
          <w:szCs w:val="22"/>
        </w:rPr>
        <w:t xml:space="preserve">regions </w:t>
      </w:r>
      <w:r w:rsidRPr="00E40CB2">
        <w:rPr>
          <w:szCs w:val="22"/>
        </w:rPr>
        <w:t xml:space="preserve">with </w:t>
      </w:r>
      <w:r w:rsidR="00960223" w:rsidRPr="00E40CB2">
        <w:rPr>
          <w:szCs w:val="22"/>
        </w:rPr>
        <w:t xml:space="preserve">the most entertainment premises licences per </w:t>
      </w:r>
      <w:r w:rsidR="0085754F">
        <w:rPr>
          <w:szCs w:val="22"/>
        </w:rPr>
        <w:t>head of</w:t>
      </w:r>
      <w:r w:rsidR="00960223" w:rsidRPr="00E40CB2">
        <w:rPr>
          <w:szCs w:val="22"/>
        </w:rPr>
        <w:t xml:space="preserve"> population are different from the regions which have</w:t>
      </w:r>
      <w:r w:rsidR="008A1A04" w:rsidRPr="00E40CB2">
        <w:rPr>
          <w:szCs w:val="22"/>
        </w:rPr>
        <w:t xml:space="preserve"> the</w:t>
      </w:r>
      <w:r w:rsidR="00960223" w:rsidRPr="00E40CB2">
        <w:rPr>
          <w:szCs w:val="22"/>
        </w:rPr>
        <w:t xml:space="preserve"> </w:t>
      </w:r>
      <w:r w:rsidR="00907C8A" w:rsidRPr="00E40CB2">
        <w:rPr>
          <w:szCs w:val="22"/>
        </w:rPr>
        <w:t>greatest absolute number</w:t>
      </w:r>
      <w:r w:rsidR="00960223" w:rsidRPr="00E40CB2">
        <w:rPr>
          <w:szCs w:val="22"/>
        </w:rPr>
        <w:t xml:space="preserve"> of these licences.</w:t>
      </w:r>
      <w:r w:rsidR="002C3E6D" w:rsidRPr="00E40CB2">
        <w:rPr>
          <w:szCs w:val="22"/>
        </w:rPr>
        <w:t xml:space="preserve"> For instance in figure 4, Wales is amongst the </w:t>
      </w:r>
      <w:r w:rsidR="008A1A04" w:rsidRPr="00E40CB2">
        <w:rPr>
          <w:szCs w:val="22"/>
        </w:rPr>
        <w:t>areas</w:t>
      </w:r>
      <w:r w:rsidR="002C3E6D" w:rsidRPr="00E40CB2">
        <w:rPr>
          <w:szCs w:val="22"/>
        </w:rPr>
        <w:t xml:space="preserve"> with the greatest entertainment premises licences per</w:t>
      </w:r>
      <w:r w:rsidR="003B461C" w:rsidRPr="00E40CB2">
        <w:rPr>
          <w:szCs w:val="22"/>
        </w:rPr>
        <w:t xml:space="preserve"> head of</w:t>
      </w:r>
      <w:r w:rsidR="002C3E6D" w:rsidRPr="00E40CB2">
        <w:rPr>
          <w:szCs w:val="22"/>
        </w:rPr>
        <w:t xml:space="preserve"> </w:t>
      </w:r>
      <w:r w:rsidRPr="00E40CB2">
        <w:rPr>
          <w:szCs w:val="22"/>
        </w:rPr>
        <w:t>population</w:t>
      </w:r>
      <w:r w:rsidR="00907C8A" w:rsidRPr="00E40CB2">
        <w:rPr>
          <w:szCs w:val="22"/>
        </w:rPr>
        <w:t>,</w:t>
      </w:r>
      <w:r w:rsidR="008A1A04" w:rsidRPr="00E40CB2">
        <w:rPr>
          <w:szCs w:val="22"/>
        </w:rPr>
        <w:t xml:space="preserve"> whilst figure 3 shows Wales to be amongst the areas with </w:t>
      </w:r>
      <w:r w:rsidR="009D1BA8" w:rsidRPr="00E40CB2">
        <w:rPr>
          <w:szCs w:val="22"/>
        </w:rPr>
        <w:t xml:space="preserve">one of the lower </w:t>
      </w:r>
      <w:r w:rsidR="008A1A04" w:rsidRPr="00E40CB2">
        <w:rPr>
          <w:szCs w:val="22"/>
        </w:rPr>
        <w:t>absolute n</w:t>
      </w:r>
      <w:r w:rsidR="0085754F">
        <w:rPr>
          <w:szCs w:val="22"/>
        </w:rPr>
        <w:t xml:space="preserve">umber of such licences. </w:t>
      </w:r>
    </w:p>
    <w:p w:rsidR="00C85908" w:rsidRPr="00032BFF" w:rsidRDefault="00C85908" w:rsidP="00C177D2">
      <w:pPr>
        <w:spacing w:before="0"/>
        <w:ind w:left="1418"/>
        <w:rPr>
          <w:szCs w:val="22"/>
        </w:rPr>
      </w:pPr>
    </w:p>
    <w:p w:rsidR="00032BFF" w:rsidRPr="0040791C" w:rsidRDefault="00907C8A" w:rsidP="00032BFF">
      <w:pPr>
        <w:ind w:left="1440"/>
        <w:rPr>
          <w:color w:val="FF0000"/>
        </w:rPr>
      </w:pPr>
      <w:r w:rsidRPr="00032BFF">
        <w:rPr>
          <w:szCs w:val="22"/>
        </w:rPr>
        <w:t xml:space="preserve">Excel tables for the number of entertainment premises licences per </w:t>
      </w:r>
      <w:r w:rsidR="003B461C" w:rsidRPr="00032BFF">
        <w:rPr>
          <w:szCs w:val="22"/>
        </w:rPr>
        <w:t>head of</w:t>
      </w:r>
      <w:r w:rsidR="005552C7" w:rsidRPr="00032BFF">
        <w:rPr>
          <w:szCs w:val="22"/>
        </w:rPr>
        <w:t xml:space="preserve"> population </w:t>
      </w:r>
      <w:r w:rsidRPr="00032BFF">
        <w:rPr>
          <w:szCs w:val="22"/>
        </w:rPr>
        <w:t xml:space="preserve">are available at </w:t>
      </w:r>
      <w:hyperlink r:id="rId29" w:history="1">
        <w:r w:rsidR="008910A3">
          <w:rPr>
            <w:rStyle w:val="Hyperlink"/>
            <w:rFonts w:cs="Arial"/>
            <w:szCs w:val="22"/>
          </w:rPr>
          <w:t>https://www.gov.uk/government/publications/entertainment-licensing-2014</w:t>
        </w:r>
      </w:hyperlink>
    </w:p>
    <w:p w:rsidR="00C85908" w:rsidRDefault="00C85908" w:rsidP="00907C8A">
      <w:pPr>
        <w:spacing w:before="0"/>
        <w:ind w:left="1440"/>
        <w:rPr>
          <w:szCs w:val="22"/>
        </w:rPr>
      </w:pPr>
    </w:p>
    <w:p w:rsidR="00754725" w:rsidRDefault="00754725" w:rsidP="002A4FFC">
      <w:pPr>
        <w:pStyle w:val="Heading1Numbered"/>
        <w:spacing w:before="0" w:after="0"/>
      </w:pPr>
      <w:bookmarkStart w:id="6" w:name="_Toc373399195"/>
      <w:r>
        <w:lastRenderedPageBreak/>
        <w:t>Club Premises Certificates</w:t>
      </w:r>
      <w:r w:rsidR="00180563">
        <w:t xml:space="preserve"> for regulated entertainment</w:t>
      </w:r>
      <w:bookmarkEnd w:id="6"/>
    </w:p>
    <w:p w:rsidR="00267ADE" w:rsidRDefault="00267ADE" w:rsidP="002A4FFC">
      <w:pPr>
        <w:spacing w:before="0"/>
        <w:ind w:left="0"/>
        <w:rPr>
          <w:b/>
        </w:rPr>
      </w:pPr>
    </w:p>
    <w:p w:rsidR="00BC7422" w:rsidRDefault="00BC7422"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sidRPr="00BC7422">
        <w:rPr>
          <w:rFonts w:cs="Arial"/>
          <w:szCs w:val="22"/>
        </w:rPr>
        <w:t>There were 1</w:t>
      </w:r>
      <w:r w:rsidR="00D74D62">
        <w:rPr>
          <w:rFonts w:cs="Arial"/>
          <w:szCs w:val="22"/>
        </w:rPr>
        <w:t>1</w:t>
      </w:r>
      <w:r w:rsidRPr="00BC7422">
        <w:rPr>
          <w:rFonts w:cs="Arial"/>
          <w:szCs w:val="22"/>
        </w:rPr>
        <w:t>,</w:t>
      </w:r>
      <w:r w:rsidR="0040791C">
        <w:rPr>
          <w:rFonts w:cs="Arial"/>
          <w:szCs w:val="22"/>
        </w:rPr>
        <w:t>8</w:t>
      </w:r>
      <w:r w:rsidRPr="00BC7422">
        <w:rPr>
          <w:rFonts w:cs="Arial"/>
          <w:szCs w:val="22"/>
        </w:rPr>
        <w:t>00 club premises certificates au</w:t>
      </w:r>
      <w:r w:rsidR="004D11A4">
        <w:rPr>
          <w:rFonts w:cs="Arial"/>
          <w:szCs w:val="22"/>
        </w:rPr>
        <w:t>thorising regulated entertainment</w:t>
      </w:r>
      <w:r w:rsidRPr="00BC7422">
        <w:rPr>
          <w:rFonts w:cs="Arial"/>
          <w:szCs w:val="22"/>
        </w:rPr>
        <w:t xml:space="preserve"> in England and Wales on 31 March 201</w:t>
      </w:r>
      <w:r w:rsidR="0040791C">
        <w:rPr>
          <w:rFonts w:cs="Arial"/>
          <w:szCs w:val="22"/>
        </w:rPr>
        <w:t>4</w:t>
      </w:r>
      <w:r w:rsidRPr="00BC7422">
        <w:rPr>
          <w:rFonts w:cs="Arial"/>
          <w:szCs w:val="22"/>
        </w:rPr>
        <w:t>,</w:t>
      </w:r>
      <w:r w:rsidR="00D74D62">
        <w:rPr>
          <w:rFonts w:cs="Arial"/>
          <w:szCs w:val="22"/>
        </w:rPr>
        <w:t xml:space="preserve"> a </w:t>
      </w:r>
      <w:r w:rsidR="0040791C">
        <w:rPr>
          <w:rFonts w:cs="Arial"/>
          <w:szCs w:val="22"/>
        </w:rPr>
        <w:t>0</w:t>
      </w:r>
      <w:r w:rsidR="00D74D62">
        <w:rPr>
          <w:rFonts w:cs="Arial"/>
          <w:szCs w:val="22"/>
        </w:rPr>
        <w:t>.</w:t>
      </w:r>
      <w:r w:rsidR="0040791C">
        <w:rPr>
          <w:rFonts w:cs="Arial"/>
          <w:szCs w:val="22"/>
        </w:rPr>
        <w:t>8</w:t>
      </w:r>
      <w:r w:rsidR="00D74D62">
        <w:rPr>
          <w:rFonts w:cs="Arial"/>
          <w:szCs w:val="22"/>
        </w:rPr>
        <w:t xml:space="preserve"> per cent decrease</w:t>
      </w:r>
      <w:r w:rsidRPr="00BC7422">
        <w:rPr>
          <w:rFonts w:cs="Arial"/>
          <w:szCs w:val="22"/>
        </w:rPr>
        <w:t xml:space="preserve"> compared to 1</w:t>
      </w:r>
      <w:r w:rsidR="0040791C">
        <w:rPr>
          <w:rFonts w:cs="Arial"/>
          <w:szCs w:val="22"/>
        </w:rPr>
        <w:t>1</w:t>
      </w:r>
      <w:r w:rsidRPr="00BC7422">
        <w:rPr>
          <w:rFonts w:cs="Arial"/>
          <w:szCs w:val="22"/>
        </w:rPr>
        <w:t>,</w:t>
      </w:r>
      <w:r w:rsidR="0040791C">
        <w:rPr>
          <w:rFonts w:cs="Arial"/>
          <w:szCs w:val="22"/>
        </w:rPr>
        <w:t>9</w:t>
      </w:r>
      <w:r w:rsidR="0085754F">
        <w:rPr>
          <w:rFonts w:cs="Arial"/>
          <w:szCs w:val="22"/>
        </w:rPr>
        <w:t>00 club premises</w:t>
      </w:r>
      <w:r w:rsidR="004D11A4">
        <w:rPr>
          <w:rFonts w:cs="Arial"/>
          <w:szCs w:val="22"/>
        </w:rPr>
        <w:t xml:space="preserve"> certificates</w:t>
      </w:r>
      <w:r w:rsidR="0040791C">
        <w:rPr>
          <w:rFonts w:cs="Arial"/>
          <w:szCs w:val="22"/>
        </w:rPr>
        <w:t xml:space="preserve"> on 31 March 2013</w:t>
      </w:r>
      <w:r w:rsidR="00D74D62">
        <w:rPr>
          <w:rFonts w:cs="Arial"/>
          <w:szCs w:val="22"/>
        </w:rPr>
        <w:t>.</w:t>
      </w:r>
    </w:p>
    <w:p w:rsidR="0012602D" w:rsidRDefault="0012602D" w:rsidP="00C177D2">
      <w:pPr>
        <w:pBdr>
          <w:top w:val="single" w:sz="4" w:space="1" w:color="auto"/>
          <w:left w:val="single" w:sz="4" w:space="4" w:color="auto"/>
          <w:bottom w:val="single" w:sz="4" w:space="1" w:color="auto"/>
          <w:right w:val="single" w:sz="4" w:space="4" w:color="auto"/>
        </w:pBdr>
        <w:spacing w:before="0"/>
        <w:ind w:left="1418"/>
        <w:rPr>
          <w:rFonts w:cs="Arial"/>
          <w:szCs w:val="22"/>
        </w:rPr>
      </w:pPr>
    </w:p>
    <w:p w:rsidR="008910A3" w:rsidRDefault="008910A3"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sidRPr="008910A3">
        <w:rPr>
          <w:rFonts w:cs="Arial"/>
          <w:szCs w:val="22"/>
        </w:rPr>
        <w:t>There has been a decrease in the number of entertainment club premises certificates across all types</w:t>
      </w:r>
      <w:r>
        <w:rPr>
          <w:rFonts w:cs="Arial"/>
          <w:szCs w:val="22"/>
        </w:rPr>
        <w:t xml:space="preserve"> of entertainment.</w:t>
      </w:r>
    </w:p>
    <w:p w:rsidR="008910A3" w:rsidRDefault="008910A3" w:rsidP="00C177D2">
      <w:pPr>
        <w:pBdr>
          <w:top w:val="single" w:sz="4" w:space="1" w:color="auto"/>
          <w:left w:val="single" w:sz="4" w:space="4" w:color="auto"/>
          <w:bottom w:val="single" w:sz="4" w:space="1" w:color="auto"/>
          <w:right w:val="single" w:sz="4" w:space="4" w:color="auto"/>
        </w:pBdr>
        <w:spacing w:before="0"/>
        <w:ind w:left="1418"/>
        <w:rPr>
          <w:rFonts w:cs="Arial"/>
          <w:szCs w:val="22"/>
        </w:rPr>
      </w:pPr>
    </w:p>
    <w:p w:rsidR="0012602D" w:rsidRPr="008910A3" w:rsidRDefault="0012602D"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sidRPr="008910A3">
        <w:rPr>
          <w:rFonts w:cs="Arial"/>
          <w:szCs w:val="22"/>
        </w:rPr>
        <w:t>The biggest percentage decrease wa</w:t>
      </w:r>
      <w:r w:rsidR="00D74D62" w:rsidRPr="008910A3">
        <w:rPr>
          <w:rFonts w:cs="Arial"/>
          <w:szCs w:val="22"/>
        </w:rPr>
        <w:t xml:space="preserve">s for the number of </w:t>
      </w:r>
      <w:r w:rsidRPr="008910A3">
        <w:rPr>
          <w:rFonts w:cs="Arial"/>
          <w:szCs w:val="22"/>
        </w:rPr>
        <w:t xml:space="preserve">club premises certificates for </w:t>
      </w:r>
      <w:r w:rsidR="008910A3" w:rsidRPr="008910A3">
        <w:rPr>
          <w:rFonts w:cs="Arial"/>
          <w:szCs w:val="22"/>
        </w:rPr>
        <w:t>plays</w:t>
      </w:r>
      <w:r w:rsidRPr="008910A3">
        <w:rPr>
          <w:rFonts w:cs="Arial"/>
          <w:szCs w:val="22"/>
        </w:rPr>
        <w:t>,</w:t>
      </w:r>
      <w:r w:rsidR="00DA5D67" w:rsidRPr="008910A3">
        <w:rPr>
          <w:rFonts w:cs="Arial"/>
          <w:szCs w:val="22"/>
        </w:rPr>
        <w:t xml:space="preserve"> </w:t>
      </w:r>
      <w:r w:rsidR="00D74D62" w:rsidRPr="008910A3">
        <w:rPr>
          <w:rFonts w:cs="Arial"/>
          <w:szCs w:val="22"/>
        </w:rPr>
        <w:t>which decreased</w:t>
      </w:r>
      <w:r w:rsidR="00DA5D67" w:rsidRPr="008910A3">
        <w:rPr>
          <w:rFonts w:cs="Arial"/>
          <w:szCs w:val="22"/>
        </w:rPr>
        <w:t xml:space="preserve"> </w:t>
      </w:r>
      <w:r w:rsidR="00D74D62" w:rsidRPr="008910A3">
        <w:rPr>
          <w:rFonts w:cs="Arial"/>
          <w:szCs w:val="22"/>
        </w:rPr>
        <w:t>by</w:t>
      </w:r>
      <w:r w:rsidRPr="008910A3">
        <w:rPr>
          <w:rFonts w:cs="Arial"/>
          <w:szCs w:val="22"/>
        </w:rPr>
        <w:t xml:space="preserve"> </w:t>
      </w:r>
      <w:r w:rsidR="008910A3" w:rsidRPr="008910A3">
        <w:rPr>
          <w:rFonts w:cs="Arial"/>
          <w:szCs w:val="22"/>
        </w:rPr>
        <w:t>10.1</w:t>
      </w:r>
      <w:r w:rsidRPr="008910A3">
        <w:rPr>
          <w:rFonts w:cs="Arial"/>
          <w:szCs w:val="22"/>
        </w:rPr>
        <w:t xml:space="preserve"> per cent betwe</w:t>
      </w:r>
      <w:r w:rsidR="00D74D62" w:rsidRPr="008910A3">
        <w:rPr>
          <w:rFonts w:cs="Arial"/>
          <w:szCs w:val="22"/>
        </w:rPr>
        <w:t>en 31 March 201</w:t>
      </w:r>
      <w:r w:rsidR="008E1532" w:rsidRPr="008910A3">
        <w:rPr>
          <w:rFonts w:cs="Arial"/>
          <w:szCs w:val="22"/>
        </w:rPr>
        <w:t>3</w:t>
      </w:r>
      <w:r w:rsidR="00D74D62" w:rsidRPr="008910A3">
        <w:rPr>
          <w:rFonts w:cs="Arial"/>
          <w:szCs w:val="22"/>
        </w:rPr>
        <w:t xml:space="preserve"> and 201</w:t>
      </w:r>
      <w:r w:rsidR="008E1532" w:rsidRPr="008910A3">
        <w:rPr>
          <w:rFonts w:cs="Arial"/>
          <w:szCs w:val="22"/>
        </w:rPr>
        <w:t>4</w:t>
      </w:r>
      <w:r w:rsidR="00A20B0F" w:rsidRPr="008910A3">
        <w:rPr>
          <w:rFonts w:cs="Arial"/>
          <w:szCs w:val="22"/>
        </w:rPr>
        <w:t>.</w:t>
      </w:r>
    </w:p>
    <w:p w:rsidR="00BC7422" w:rsidRPr="0040791C" w:rsidRDefault="00BC7422" w:rsidP="00C177D2">
      <w:pPr>
        <w:pBdr>
          <w:top w:val="single" w:sz="4" w:space="1" w:color="auto"/>
          <w:left w:val="single" w:sz="4" w:space="4" w:color="auto"/>
          <w:bottom w:val="single" w:sz="4" w:space="1" w:color="auto"/>
          <w:right w:val="single" w:sz="4" w:space="4" w:color="auto"/>
        </w:pBdr>
        <w:spacing w:before="0"/>
        <w:ind w:left="1418"/>
        <w:rPr>
          <w:rFonts w:cs="Arial"/>
          <w:color w:val="FF0000"/>
          <w:szCs w:val="22"/>
        </w:rPr>
      </w:pPr>
    </w:p>
    <w:p w:rsidR="00267ADE" w:rsidRDefault="00267ADE" w:rsidP="00C177D2">
      <w:pPr>
        <w:spacing w:before="0"/>
        <w:ind w:left="1418"/>
        <w:rPr>
          <w:rFonts w:cs="Arial"/>
          <w:b/>
          <w:szCs w:val="22"/>
        </w:rPr>
      </w:pPr>
    </w:p>
    <w:p w:rsidR="00754725" w:rsidRDefault="00754725" w:rsidP="00C177D2">
      <w:pPr>
        <w:spacing w:before="0"/>
        <w:ind w:left="1418"/>
        <w:rPr>
          <w:rFonts w:cs="Arial"/>
          <w:szCs w:val="22"/>
        </w:rPr>
      </w:pPr>
      <w:r w:rsidRPr="00952D4F">
        <w:rPr>
          <w:rFonts w:cs="Arial"/>
          <w:szCs w:val="22"/>
        </w:rPr>
        <w:t>The statistics presented in this chapter relate to the number of club premises certificates covering regulated entertainment issued by the licensing authorities</w:t>
      </w:r>
      <w:r w:rsidR="0022037F">
        <w:rPr>
          <w:rFonts w:cs="Arial"/>
          <w:szCs w:val="22"/>
        </w:rPr>
        <w:t xml:space="preserve"> </w:t>
      </w:r>
      <w:r w:rsidRPr="00952D4F">
        <w:rPr>
          <w:rFonts w:cs="Arial"/>
          <w:szCs w:val="22"/>
        </w:rPr>
        <w:t>in England and Wales that were in force on 31 March 201</w:t>
      </w:r>
      <w:r w:rsidR="0040791C">
        <w:rPr>
          <w:rFonts w:cs="Arial"/>
          <w:szCs w:val="22"/>
        </w:rPr>
        <w:t>4</w:t>
      </w:r>
      <w:r w:rsidRPr="00952D4F">
        <w:rPr>
          <w:rFonts w:cs="Arial"/>
          <w:szCs w:val="22"/>
        </w:rPr>
        <w:t xml:space="preserve">. </w:t>
      </w:r>
      <w:r w:rsidR="0015370D">
        <w:rPr>
          <w:rFonts w:cs="Arial"/>
          <w:szCs w:val="22"/>
        </w:rPr>
        <w:t>All figures consist of a combination of actual returns and modelled estimates for non-response.</w:t>
      </w:r>
    </w:p>
    <w:p w:rsidR="003829C6" w:rsidRDefault="003829C6" w:rsidP="00C177D2">
      <w:pPr>
        <w:spacing w:before="0"/>
        <w:ind w:left="1418"/>
        <w:rPr>
          <w:rFonts w:cs="Arial"/>
          <w:szCs w:val="22"/>
        </w:rPr>
      </w:pPr>
    </w:p>
    <w:p w:rsidR="003829C6" w:rsidRDefault="003829C6" w:rsidP="00C177D2">
      <w:pPr>
        <w:spacing w:before="0"/>
        <w:ind w:left="1418"/>
        <w:rPr>
          <w:rFonts w:cs="Arial"/>
          <w:szCs w:val="22"/>
        </w:rPr>
      </w:pPr>
      <w:r>
        <w:rPr>
          <w:rFonts w:cs="Arial"/>
          <w:szCs w:val="22"/>
        </w:rPr>
        <w:t xml:space="preserve">A club premises certificate allows a qualifying club to carry out activities specified under the </w:t>
      </w:r>
      <w:r w:rsidR="0022037F">
        <w:rPr>
          <w:rFonts w:cs="Arial"/>
          <w:szCs w:val="22"/>
        </w:rPr>
        <w:t>L</w:t>
      </w:r>
      <w:r>
        <w:rPr>
          <w:rFonts w:cs="Arial"/>
          <w:szCs w:val="22"/>
        </w:rPr>
        <w:t xml:space="preserve">icensing </w:t>
      </w:r>
      <w:r w:rsidR="0022037F">
        <w:rPr>
          <w:rFonts w:cs="Arial"/>
          <w:szCs w:val="22"/>
        </w:rPr>
        <w:t>A</w:t>
      </w:r>
      <w:r>
        <w:rPr>
          <w:rFonts w:cs="Arial"/>
          <w:szCs w:val="22"/>
        </w:rPr>
        <w:t>ct 2003</w:t>
      </w:r>
      <w:r w:rsidR="00212C84">
        <w:rPr>
          <w:rFonts w:cs="Arial"/>
          <w:szCs w:val="22"/>
        </w:rPr>
        <w:t xml:space="preserve"> </w:t>
      </w:r>
      <w:r w:rsidR="0022037F">
        <w:rPr>
          <w:rFonts w:cs="Arial"/>
          <w:szCs w:val="22"/>
        </w:rPr>
        <w:t>(</w:t>
      </w:r>
      <w:hyperlink r:id="rId30" w:history="1">
        <w:r w:rsidRPr="0049698A">
          <w:rPr>
            <w:rStyle w:val="Hyperlink"/>
            <w:rFonts w:cs="Arial"/>
            <w:szCs w:val="22"/>
          </w:rPr>
          <w:t>http://www.legislation.gov.uk/uksi/2005/42/contents/made</w:t>
        </w:r>
      </w:hyperlink>
      <w:r w:rsidR="0022037F">
        <w:rPr>
          <w:rStyle w:val="Hyperlink"/>
          <w:rFonts w:cs="Arial"/>
          <w:szCs w:val="22"/>
        </w:rPr>
        <w:t xml:space="preserve">). </w:t>
      </w:r>
    </w:p>
    <w:p w:rsidR="003829C6" w:rsidRDefault="003829C6" w:rsidP="00C177D2">
      <w:pPr>
        <w:spacing w:before="0"/>
        <w:ind w:left="1418"/>
      </w:pPr>
    </w:p>
    <w:p w:rsidR="00952D4F" w:rsidRPr="003829C6" w:rsidRDefault="003829C6" w:rsidP="00C177D2">
      <w:pPr>
        <w:spacing w:before="0"/>
        <w:ind w:left="1418"/>
        <w:rPr>
          <w:rFonts w:cs="Arial"/>
          <w:szCs w:val="22"/>
          <w:lang w:eastAsia="en-GB"/>
        </w:rPr>
      </w:pPr>
      <w:r w:rsidRPr="003829C6">
        <w:rPr>
          <w:rFonts w:cs="Arial"/>
          <w:szCs w:val="22"/>
          <w:lang w:eastAsia="en-GB"/>
        </w:rPr>
        <w:t xml:space="preserve">The categories of regulated entertainment which can be covered by </w:t>
      </w:r>
      <w:r w:rsidR="004D11A4">
        <w:rPr>
          <w:rFonts w:cs="Arial"/>
          <w:szCs w:val="22"/>
          <w:lang w:eastAsia="en-GB"/>
        </w:rPr>
        <w:t>club</w:t>
      </w:r>
      <w:r w:rsidRPr="003829C6">
        <w:rPr>
          <w:rFonts w:cs="Arial"/>
          <w:szCs w:val="22"/>
          <w:lang w:eastAsia="en-GB"/>
        </w:rPr>
        <w:t xml:space="preserve"> premises </w:t>
      </w:r>
      <w:r w:rsidR="004D11A4">
        <w:rPr>
          <w:rFonts w:cs="Arial"/>
          <w:szCs w:val="22"/>
          <w:lang w:eastAsia="en-GB"/>
        </w:rPr>
        <w:t>certificates</w:t>
      </w:r>
      <w:r w:rsidRPr="003829C6">
        <w:rPr>
          <w:rFonts w:cs="Arial"/>
          <w:szCs w:val="22"/>
          <w:lang w:eastAsia="en-GB"/>
        </w:rPr>
        <w:t xml:space="preserve"> are the sam</w:t>
      </w:r>
      <w:r w:rsidR="00892534">
        <w:rPr>
          <w:rFonts w:cs="Arial"/>
          <w:szCs w:val="22"/>
          <w:lang w:eastAsia="en-GB"/>
        </w:rPr>
        <w:t>e as those detailed in chapter 2</w:t>
      </w:r>
      <w:r w:rsidRPr="003829C6">
        <w:rPr>
          <w:rFonts w:cs="Arial"/>
          <w:szCs w:val="22"/>
          <w:lang w:eastAsia="en-GB"/>
        </w:rPr>
        <w:t xml:space="preserve"> fo</w:t>
      </w:r>
      <w:r w:rsidR="00BE04BE">
        <w:rPr>
          <w:rFonts w:cs="Arial"/>
          <w:szCs w:val="22"/>
          <w:lang w:eastAsia="en-GB"/>
        </w:rPr>
        <w:t>r premises licences. There are 8</w:t>
      </w:r>
      <w:r w:rsidRPr="003829C6">
        <w:rPr>
          <w:rFonts w:cs="Arial"/>
          <w:szCs w:val="22"/>
          <w:lang w:eastAsia="en-GB"/>
        </w:rPr>
        <w:t xml:space="preserve"> categories of regulated entertainme</w:t>
      </w:r>
      <w:r w:rsidR="00BE04BE">
        <w:rPr>
          <w:rFonts w:cs="Arial"/>
          <w:szCs w:val="22"/>
          <w:lang w:eastAsia="en-GB"/>
        </w:rPr>
        <w:t xml:space="preserve">nt and </w:t>
      </w:r>
      <w:r w:rsidR="001E59FA">
        <w:rPr>
          <w:rFonts w:cs="Arial"/>
          <w:szCs w:val="22"/>
          <w:lang w:eastAsia="en-GB"/>
        </w:rPr>
        <w:t>one</w:t>
      </w:r>
      <w:r w:rsidR="00BE04BE">
        <w:rPr>
          <w:rFonts w:cs="Arial"/>
          <w:szCs w:val="22"/>
          <w:lang w:eastAsia="en-GB"/>
        </w:rPr>
        <w:t xml:space="preserve"> particular</w:t>
      </w:r>
      <w:r w:rsidRPr="003829C6">
        <w:rPr>
          <w:rFonts w:cs="Arial"/>
          <w:szCs w:val="22"/>
          <w:lang w:eastAsia="en-GB"/>
        </w:rPr>
        <w:t xml:space="preserve"> club premise</w:t>
      </w:r>
      <w:r w:rsidR="0022037F">
        <w:rPr>
          <w:rFonts w:cs="Arial"/>
          <w:szCs w:val="22"/>
          <w:lang w:eastAsia="en-GB"/>
        </w:rPr>
        <w:t>s</w:t>
      </w:r>
      <w:r w:rsidRPr="003829C6">
        <w:rPr>
          <w:rFonts w:cs="Arial"/>
          <w:szCs w:val="22"/>
          <w:lang w:eastAsia="en-GB"/>
        </w:rPr>
        <w:t xml:space="preserve"> certificate can cover multiple entertainment types.</w:t>
      </w:r>
    </w:p>
    <w:p w:rsidR="003C5C48" w:rsidRPr="00A32F37" w:rsidRDefault="003C5C48" w:rsidP="00C177D2">
      <w:pPr>
        <w:spacing w:before="0"/>
        <w:ind w:left="1418"/>
        <w:rPr>
          <w:rFonts w:cs="Arial"/>
          <w:szCs w:val="22"/>
          <w:lang w:eastAsia="en-GB"/>
        </w:rPr>
      </w:pPr>
    </w:p>
    <w:p w:rsidR="00212C84" w:rsidRDefault="00212C84" w:rsidP="00C177D2">
      <w:pPr>
        <w:spacing w:before="0"/>
        <w:ind w:left="1418"/>
        <w:rPr>
          <w:rFonts w:cs="Arial"/>
          <w:szCs w:val="22"/>
          <w:lang w:eastAsia="en-GB"/>
        </w:rPr>
      </w:pPr>
    </w:p>
    <w:p w:rsidR="003829C6" w:rsidRDefault="0022037F" w:rsidP="00C177D2">
      <w:pPr>
        <w:spacing w:before="0"/>
        <w:ind w:left="1418"/>
        <w:rPr>
          <w:rFonts w:cs="Arial"/>
          <w:szCs w:val="22"/>
          <w:lang w:eastAsia="en-GB"/>
        </w:rPr>
      </w:pPr>
      <w:r>
        <w:rPr>
          <w:rFonts w:cs="Arial"/>
          <w:szCs w:val="22"/>
          <w:lang w:eastAsia="en-GB"/>
        </w:rPr>
        <w:t xml:space="preserve">Figure </w:t>
      </w:r>
      <w:r w:rsidR="00623BF5">
        <w:rPr>
          <w:rFonts w:cs="Arial"/>
          <w:szCs w:val="22"/>
          <w:lang w:eastAsia="en-GB"/>
        </w:rPr>
        <w:t>5</w:t>
      </w:r>
      <w:r>
        <w:rPr>
          <w:rFonts w:cs="Arial"/>
          <w:szCs w:val="22"/>
          <w:lang w:eastAsia="en-GB"/>
        </w:rPr>
        <w:t xml:space="preserve"> shows the number of entertainment club premises certif</w:t>
      </w:r>
      <w:r w:rsidR="0040791C">
        <w:rPr>
          <w:rFonts w:cs="Arial"/>
          <w:szCs w:val="22"/>
          <w:lang w:eastAsia="en-GB"/>
        </w:rPr>
        <w:t>icates in force on 31 March 2013</w:t>
      </w:r>
      <w:r w:rsidR="00BE04BE">
        <w:rPr>
          <w:rFonts w:cs="Arial"/>
          <w:szCs w:val="22"/>
          <w:lang w:eastAsia="en-GB"/>
        </w:rPr>
        <w:t xml:space="preserve"> and 201</w:t>
      </w:r>
      <w:r w:rsidR="0040791C">
        <w:rPr>
          <w:rFonts w:cs="Arial"/>
          <w:szCs w:val="22"/>
          <w:lang w:eastAsia="en-GB"/>
        </w:rPr>
        <w:t>4</w:t>
      </w:r>
      <w:r>
        <w:rPr>
          <w:rFonts w:cs="Arial"/>
          <w:szCs w:val="22"/>
          <w:lang w:eastAsia="en-GB"/>
        </w:rPr>
        <w:t xml:space="preserve">. </w:t>
      </w:r>
    </w:p>
    <w:p w:rsidR="0022037F" w:rsidRDefault="0022037F" w:rsidP="00C177D2">
      <w:pPr>
        <w:spacing w:before="0"/>
        <w:ind w:left="1418"/>
        <w:rPr>
          <w:rFonts w:cs="Arial"/>
          <w:szCs w:val="22"/>
          <w:lang w:eastAsia="en-GB"/>
        </w:rPr>
      </w:pPr>
    </w:p>
    <w:p w:rsidR="0022037F" w:rsidRDefault="0022037F" w:rsidP="00750877">
      <w:pPr>
        <w:numPr>
          <w:ilvl w:val="0"/>
          <w:numId w:val="26"/>
        </w:numPr>
        <w:spacing w:before="0"/>
        <w:ind w:left="1800"/>
        <w:rPr>
          <w:rFonts w:cs="Arial"/>
          <w:szCs w:val="22"/>
          <w:lang w:eastAsia="en-GB"/>
        </w:rPr>
      </w:pPr>
      <w:r w:rsidRPr="00BD1340">
        <w:rPr>
          <w:rFonts w:cs="Arial"/>
          <w:szCs w:val="22"/>
          <w:lang w:eastAsia="en-GB"/>
        </w:rPr>
        <w:t xml:space="preserve">The most commonly authorised form of regulated entertainment by club premises certificates was recorded music, with </w:t>
      </w:r>
      <w:r w:rsidR="00BB78CA">
        <w:rPr>
          <w:rFonts w:cs="Arial"/>
          <w:szCs w:val="22"/>
          <w:lang w:eastAsia="en-GB"/>
        </w:rPr>
        <w:t>9</w:t>
      </w:r>
      <w:r>
        <w:rPr>
          <w:rFonts w:cs="Arial"/>
          <w:szCs w:val="22"/>
          <w:lang w:eastAsia="en-GB"/>
        </w:rPr>
        <w:t>,</w:t>
      </w:r>
      <w:r w:rsidR="00BB78CA">
        <w:rPr>
          <w:rFonts w:cs="Arial"/>
          <w:szCs w:val="22"/>
          <w:lang w:eastAsia="en-GB"/>
        </w:rPr>
        <w:t>9</w:t>
      </w:r>
      <w:r>
        <w:rPr>
          <w:rFonts w:cs="Arial"/>
          <w:szCs w:val="22"/>
          <w:lang w:eastAsia="en-GB"/>
        </w:rPr>
        <w:t>00</w:t>
      </w:r>
      <w:r w:rsidR="0085754F">
        <w:rPr>
          <w:rFonts w:cs="Arial"/>
          <w:szCs w:val="22"/>
          <w:lang w:eastAsia="en-GB"/>
        </w:rPr>
        <w:t xml:space="preserve"> club premises</w:t>
      </w:r>
      <w:r w:rsidRPr="00B5584A">
        <w:rPr>
          <w:rFonts w:cs="Arial"/>
          <w:szCs w:val="22"/>
          <w:lang w:eastAsia="en-GB"/>
        </w:rPr>
        <w:t xml:space="preserve"> certificates in force</w:t>
      </w:r>
      <w:r w:rsidR="0085754F">
        <w:rPr>
          <w:rFonts w:cs="Arial"/>
          <w:szCs w:val="22"/>
          <w:lang w:eastAsia="en-GB"/>
        </w:rPr>
        <w:t xml:space="preserve">. There has been </w:t>
      </w:r>
      <w:r w:rsidR="00BE04BE">
        <w:rPr>
          <w:rFonts w:cs="Arial"/>
          <w:szCs w:val="22"/>
          <w:lang w:eastAsia="en-GB"/>
        </w:rPr>
        <w:t xml:space="preserve">a </w:t>
      </w:r>
      <w:r w:rsidR="00BB78CA">
        <w:rPr>
          <w:rFonts w:cs="Arial"/>
          <w:szCs w:val="22"/>
          <w:lang w:eastAsia="en-GB"/>
        </w:rPr>
        <w:t>6</w:t>
      </w:r>
      <w:r w:rsidR="00BE04BE">
        <w:rPr>
          <w:rFonts w:cs="Arial"/>
          <w:szCs w:val="22"/>
          <w:lang w:eastAsia="en-GB"/>
        </w:rPr>
        <w:t>.</w:t>
      </w:r>
      <w:r w:rsidR="00BB78CA">
        <w:rPr>
          <w:rFonts w:cs="Arial"/>
          <w:szCs w:val="22"/>
          <w:lang w:eastAsia="en-GB"/>
        </w:rPr>
        <w:t>3</w:t>
      </w:r>
      <w:r w:rsidR="00BE04BE">
        <w:rPr>
          <w:rFonts w:cs="Arial"/>
          <w:szCs w:val="22"/>
          <w:lang w:eastAsia="en-GB"/>
        </w:rPr>
        <w:t xml:space="preserve"> per cent decrease from 201</w:t>
      </w:r>
      <w:r w:rsidR="00BB78CA">
        <w:rPr>
          <w:rFonts w:cs="Arial"/>
          <w:szCs w:val="22"/>
          <w:lang w:eastAsia="en-GB"/>
        </w:rPr>
        <w:t>3</w:t>
      </w:r>
      <w:r w:rsidR="00BE04BE">
        <w:rPr>
          <w:rFonts w:cs="Arial"/>
          <w:szCs w:val="22"/>
          <w:lang w:eastAsia="en-GB"/>
        </w:rPr>
        <w:t xml:space="preserve"> (1</w:t>
      </w:r>
      <w:r w:rsidR="00BB78CA">
        <w:rPr>
          <w:rFonts w:cs="Arial"/>
          <w:szCs w:val="22"/>
          <w:lang w:eastAsia="en-GB"/>
        </w:rPr>
        <w:t>0</w:t>
      </w:r>
      <w:r w:rsidR="00BE04BE">
        <w:rPr>
          <w:rFonts w:cs="Arial"/>
          <w:szCs w:val="22"/>
          <w:lang w:eastAsia="en-GB"/>
        </w:rPr>
        <w:t>,</w:t>
      </w:r>
      <w:r w:rsidR="00BB78CA">
        <w:rPr>
          <w:rFonts w:cs="Arial"/>
          <w:szCs w:val="22"/>
          <w:lang w:eastAsia="en-GB"/>
        </w:rPr>
        <w:t>6</w:t>
      </w:r>
      <w:r w:rsidR="00BE04BE">
        <w:rPr>
          <w:rFonts w:cs="Arial"/>
          <w:szCs w:val="22"/>
          <w:lang w:eastAsia="en-GB"/>
        </w:rPr>
        <w:t xml:space="preserve">00). </w:t>
      </w:r>
      <w:r w:rsidR="00C177D2">
        <w:rPr>
          <w:rFonts w:cs="Arial"/>
          <w:szCs w:val="22"/>
          <w:lang w:eastAsia="en-GB"/>
        </w:rPr>
        <w:t>8</w:t>
      </w:r>
      <w:r w:rsidR="00BB78CA">
        <w:rPr>
          <w:rFonts w:cs="Arial"/>
          <w:szCs w:val="22"/>
          <w:lang w:eastAsia="en-GB"/>
        </w:rPr>
        <w:t>4</w:t>
      </w:r>
      <w:r w:rsidR="00BE04BE">
        <w:rPr>
          <w:rFonts w:cs="Arial"/>
          <w:szCs w:val="22"/>
          <w:lang w:eastAsia="en-GB"/>
        </w:rPr>
        <w:t>.2</w:t>
      </w:r>
      <w:r w:rsidR="00C177D2">
        <w:rPr>
          <w:rFonts w:cs="Arial"/>
          <w:szCs w:val="22"/>
          <w:lang w:eastAsia="en-GB"/>
        </w:rPr>
        <w:t xml:space="preserve">% of </w:t>
      </w:r>
      <w:r w:rsidR="00BE04BE">
        <w:rPr>
          <w:rFonts w:cs="Arial"/>
          <w:szCs w:val="22"/>
          <w:lang w:eastAsia="en-GB"/>
        </w:rPr>
        <w:t xml:space="preserve">all </w:t>
      </w:r>
      <w:r w:rsidR="00C177D2">
        <w:rPr>
          <w:rFonts w:cs="Arial"/>
          <w:szCs w:val="22"/>
          <w:lang w:eastAsia="en-GB"/>
        </w:rPr>
        <w:t>club premises certificates</w:t>
      </w:r>
      <w:r w:rsidR="00BE04BE">
        <w:rPr>
          <w:rFonts w:cs="Arial"/>
          <w:szCs w:val="22"/>
          <w:lang w:eastAsia="en-GB"/>
        </w:rPr>
        <w:t xml:space="preserve"> for entertainment covered recorded music</w:t>
      </w:r>
      <w:r w:rsidRPr="00B5584A">
        <w:rPr>
          <w:rFonts w:cs="Arial"/>
          <w:szCs w:val="22"/>
          <w:lang w:eastAsia="en-GB"/>
        </w:rPr>
        <w:t xml:space="preserve">. </w:t>
      </w:r>
    </w:p>
    <w:p w:rsidR="0022037F" w:rsidRDefault="0022037F" w:rsidP="00750877">
      <w:pPr>
        <w:spacing w:before="0"/>
        <w:ind w:left="1080"/>
        <w:rPr>
          <w:rFonts w:cs="Arial"/>
          <w:szCs w:val="22"/>
          <w:lang w:eastAsia="en-GB"/>
        </w:rPr>
      </w:pPr>
    </w:p>
    <w:p w:rsidR="0022037F" w:rsidRDefault="0085754F" w:rsidP="00477F10">
      <w:pPr>
        <w:numPr>
          <w:ilvl w:val="0"/>
          <w:numId w:val="24"/>
        </w:numPr>
        <w:spacing w:before="0"/>
        <w:rPr>
          <w:rFonts w:cs="Arial"/>
          <w:szCs w:val="22"/>
          <w:lang w:eastAsia="en-GB"/>
        </w:rPr>
      </w:pPr>
      <w:r>
        <w:rPr>
          <w:rFonts w:cs="Arial"/>
          <w:szCs w:val="22"/>
          <w:lang w:eastAsia="en-GB"/>
        </w:rPr>
        <w:t>There has</w:t>
      </w:r>
      <w:r w:rsidR="0022037F">
        <w:rPr>
          <w:rFonts w:cs="Arial"/>
          <w:szCs w:val="22"/>
          <w:lang w:eastAsia="en-GB"/>
        </w:rPr>
        <w:t xml:space="preserve"> </w:t>
      </w:r>
      <w:r>
        <w:rPr>
          <w:rFonts w:cs="Arial"/>
          <w:szCs w:val="22"/>
          <w:lang w:eastAsia="en-GB"/>
        </w:rPr>
        <w:t>been</w:t>
      </w:r>
      <w:r w:rsidR="0022037F">
        <w:rPr>
          <w:rFonts w:cs="Arial"/>
          <w:szCs w:val="22"/>
          <w:lang w:eastAsia="en-GB"/>
        </w:rPr>
        <w:t xml:space="preserve"> a decrease in the number of entertainment club premises c</w:t>
      </w:r>
      <w:r w:rsidR="005D220F">
        <w:rPr>
          <w:rFonts w:cs="Arial"/>
          <w:szCs w:val="22"/>
          <w:lang w:eastAsia="en-GB"/>
        </w:rPr>
        <w:t>ertificates</w:t>
      </w:r>
      <w:r w:rsidR="00477F10">
        <w:rPr>
          <w:rFonts w:cs="Arial"/>
          <w:szCs w:val="22"/>
          <w:lang w:eastAsia="en-GB"/>
        </w:rPr>
        <w:t xml:space="preserve"> across all types</w:t>
      </w:r>
      <w:r w:rsidR="00BB78CA">
        <w:rPr>
          <w:rFonts w:cs="Arial"/>
          <w:szCs w:val="22"/>
          <w:lang w:eastAsia="en-GB"/>
        </w:rPr>
        <w:t xml:space="preserve">. </w:t>
      </w:r>
      <w:r w:rsidR="00BB78CA" w:rsidRPr="00EE16BF">
        <w:rPr>
          <w:rFonts w:cs="Arial"/>
          <w:szCs w:val="22"/>
          <w:lang w:eastAsia="en-GB"/>
        </w:rPr>
        <w:t xml:space="preserve">The largest percentage </w:t>
      </w:r>
      <w:r w:rsidR="00BB78CA">
        <w:rPr>
          <w:rFonts w:cs="Arial"/>
          <w:szCs w:val="22"/>
          <w:lang w:eastAsia="en-GB"/>
        </w:rPr>
        <w:t>decrease</w:t>
      </w:r>
      <w:r w:rsidR="00BB78CA" w:rsidRPr="00EE16BF">
        <w:rPr>
          <w:rFonts w:cs="Arial"/>
          <w:szCs w:val="22"/>
          <w:lang w:eastAsia="en-GB"/>
        </w:rPr>
        <w:t xml:space="preserve"> between March 2013 and 2014 have been in the number of premise </w:t>
      </w:r>
      <w:r w:rsidR="00BB78CA" w:rsidRPr="00B5584A">
        <w:rPr>
          <w:rFonts w:cs="Arial"/>
          <w:szCs w:val="22"/>
          <w:lang w:eastAsia="en-GB"/>
        </w:rPr>
        <w:t xml:space="preserve">certificates </w:t>
      </w:r>
      <w:r w:rsidR="00BB78CA">
        <w:rPr>
          <w:rFonts w:cs="Arial"/>
          <w:szCs w:val="22"/>
          <w:lang w:eastAsia="en-GB"/>
        </w:rPr>
        <w:t xml:space="preserve">for plays </w:t>
      </w:r>
      <w:r w:rsidR="00BB78CA" w:rsidRPr="00EE16BF">
        <w:rPr>
          <w:rFonts w:cs="Arial"/>
          <w:szCs w:val="22"/>
          <w:lang w:eastAsia="en-GB"/>
        </w:rPr>
        <w:t>(</w:t>
      </w:r>
      <w:r w:rsidR="00BB78CA">
        <w:rPr>
          <w:rFonts w:cs="Arial"/>
          <w:szCs w:val="22"/>
          <w:lang w:eastAsia="en-GB"/>
        </w:rPr>
        <w:t>-</w:t>
      </w:r>
      <w:r w:rsidR="00BB78CA" w:rsidRPr="00EE16BF">
        <w:rPr>
          <w:rFonts w:cs="Arial"/>
          <w:szCs w:val="22"/>
          <w:lang w:eastAsia="en-GB"/>
        </w:rPr>
        <w:t>1</w:t>
      </w:r>
      <w:r w:rsidR="00BB78CA">
        <w:rPr>
          <w:rFonts w:cs="Arial"/>
          <w:szCs w:val="22"/>
          <w:lang w:eastAsia="en-GB"/>
        </w:rPr>
        <w:t>0</w:t>
      </w:r>
      <w:r w:rsidR="00BB78CA" w:rsidRPr="00EE16BF">
        <w:rPr>
          <w:rFonts w:cs="Arial"/>
          <w:szCs w:val="22"/>
          <w:lang w:eastAsia="en-GB"/>
        </w:rPr>
        <w:t>.1%)</w:t>
      </w:r>
      <w:r w:rsidR="00477F10">
        <w:rPr>
          <w:rFonts w:cs="Arial"/>
          <w:szCs w:val="22"/>
          <w:lang w:eastAsia="en-GB"/>
        </w:rPr>
        <w:t xml:space="preserve"> and e</w:t>
      </w:r>
      <w:r w:rsidR="00477F10" w:rsidRPr="00477F10">
        <w:rPr>
          <w:rFonts w:cs="Arial"/>
          <w:szCs w:val="22"/>
          <w:lang w:eastAsia="en-GB"/>
        </w:rPr>
        <w:t xml:space="preserve">ntertainment similar to live music, recorded music or dance </w:t>
      </w:r>
      <w:r w:rsidR="00477F10">
        <w:rPr>
          <w:rFonts w:cs="Arial"/>
          <w:szCs w:val="22"/>
          <w:lang w:eastAsia="en-GB"/>
        </w:rPr>
        <w:t>(-8.6%).</w:t>
      </w:r>
    </w:p>
    <w:p w:rsidR="00477F10" w:rsidRDefault="00477F10" w:rsidP="00477F10">
      <w:pPr>
        <w:spacing w:before="0"/>
        <w:ind w:left="1800"/>
        <w:rPr>
          <w:rFonts w:cs="Arial"/>
          <w:szCs w:val="22"/>
          <w:lang w:eastAsia="en-GB"/>
        </w:rPr>
      </w:pPr>
    </w:p>
    <w:p w:rsidR="0022037F" w:rsidRPr="00BD1340" w:rsidRDefault="0022037F" w:rsidP="00750877">
      <w:pPr>
        <w:numPr>
          <w:ilvl w:val="0"/>
          <w:numId w:val="26"/>
        </w:numPr>
        <w:spacing w:before="0"/>
        <w:ind w:left="1800"/>
        <w:rPr>
          <w:rFonts w:cs="Arial"/>
          <w:szCs w:val="22"/>
        </w:rPr>
      </w:pPr>
      <w:r w:rsidRPr="00B5584A">
        <w:rPr>
          <w:rFonts w:cs="Arial"/>
          <w:szCs w:val="22"/>
          <w:lang w:eastAsia="en-GB"/>
        </w:rPr>
        <w:t>The least commonly authorised form of regulated entertainment by club premises certificates</w:t>
      </w:r>
      <w:r w:rsidR="0085754F">
        <w:rPr>
          <w:rFonts w:cs="Arial"/>
          <w:szCs w:val="22"/>
          <w:lang w:eastAsia="en-GB"/>
        </w:rPr>
        <w:t xml:space="preserve"> has been for</w:t>
      </w:r>
      <w:r w:rsidRPr="00B5584A">
        <w:rPr>
          <w:rFonts w:cs="Arial"/>
          <w:szCs w:val="22"/>
          <w:lang w:eastAsia="en-GB"/>
        </w:rPr>
        <w:t xml:space="preserve"> boxing and wrestling, with just </w:t>
      </w:r>
      <w:r w:rsidR="00477F10">
        <w:rPr>
          <w:rFonts w:cs="Arial"/>
          <w:szCs w:val="22"/>
          <w:lang w:eastAsia="en-GB"/>
        </w:rPr>
        <w:t>6</w:t>
      </w:r>
      <w:r>
        <w:rPr>
          <w:rFonts w:cs="Arial"/>
          <w:szCs w:val="22"/>
          <w:lang w:eastAsia="en-GB"/>
        </w:rPr>
        <w:t>00</w:t>
      </w:r>
      <w:r w:rsidRPr="00B5584A">
        <w:rPr>
          <w:rFonts w:cs="Arial"/>
          <w:szCs w:val="22"/>
          <w:lang w:eastAsia="en-GB"/>
        </w:rPr>
        <w:t xml:space="preserve"> such certificates in force</w:t>
      </w:r>
      <w:r w:rsidR="00736975">
        <w:rPr>
          <w:rFonts w:cs="Arial"/>
          <w:szCs w:val="22"/>
          <w:lang w:eastAsia="en-GB"/>
        </w:rPr>
        <w:t xml:space="preserve"> on 31 March 201</w:t>
      </w:r>
      <w:r w:rsidR="00477F10">
        <w:rPr>
          <w:rFonts w:cs="Arial"/>
          <w:szCs w:val="22"/>
          <w:lang w:eastAsia="en-GB"/>
        </w:rPr>
        <w:t>4</w:t>
      </w:r>
      <w:r>
        <w:rPr>
          <w:rFonts w:cs="Arial"/>
          <w:szCs w:val="22"/>
          <w:lang w:eastAsia="en-GB"/>
        </w:rPr>
        <w:t>.</w:t>
      </w:r>
      <w:r w:rsidRPr="00B5584A">
        <w:rPr>
          <w:rFonts w:cs="Arial"/>
          <w:szCs w:val="22"/>
          <w:lang w:eastAsia="en-GB"/>
        </w:rPr>
        <w:t xml:space="preserve"> </w:t>
      </w:r>
      <w:r>
        <w:rPr>
          <w:rFonts w:cs="Arial"/>
          <w:szCs w:val="22"/>
          <w:lang w:eastAsia="en-GB"/>
        </w:rPr>
        <w:t>T</w:t>
      </w:r>
      <w:r w:rsidRPr="00B5584A">
        <w:rPr>
          <w:rFonts w:cs="Arial"/>
          <w:szCs w:val="22"/>
          <w:lang w:eastAsia="en-GB"/>
        </w:rPr>
        <w:t xml:space="preserve">his represents a </w:t>
      </w:r>
      <w:r w:rsidR="00477F10">
        <w:rPr>
          <w:rFonts w:cs="Arial"/>
          <w:szCs w:val="22"/>
          <w:lang w:eastAsia="en-GB"/>
        </w:rPr>
        <w:t>6</w:t>
      </w:r>
      <w:r w:rsidR="00736975">
        <w:rPr>
          <w:rFonts w:cs="Arial"/>
          <w:szCs w:val="22"/>
          <w:lang w:eastAsia="en-GB"/>
        </w:rPr>
        <w:t>.</w:t>
      </w:r>
      <w:r w:rsidR="00477F10">
        <w:rPr>
          <w:rFonts w:cs="Arial"/>
          <w:szCs w:val="22"/>
          <w:lang w:eastAsia="en-GB"/>
        </w:rPr>
        <w:t>4</w:t>
      </w:r>
      <w:r w:rsidRPr="00B5584A">
        <w:rPr>
          <w:rFonts w:cs="Arial"/>
          <w:szCs w:val="22"/>
          <w:lang w:eastAsia="en-GB"/>
        </w:rPr>
        <w:t xml:space="preserve"> per cent </w:t>
      </w:r>
      <w:r w:rsidR="00477F10">
        <w:rPr>
          <w:rFonts w:cs="Arial"/>
          <w:szCs w:val="22"/>
          <w:lang w:eastAsia="en-GB"/>
        </w:rPr>
        <w:t>decrease from 2013</w:t>
      </w:r>
      <w:r w:rsidR="00736975">
        <w:rPr>
          <w:rFonts w:cs="Arial"/>
          <w:szCs w:val="22"/>
          <w:lang w:eastAsia="en-GB"/>
        </w:rPr>
        <w:t>.</w:t>
      </w:r>
    </w:p>
    <w:p w:rsidR="003829C6" w:rsidRDefault="003829C6" w:rsidP="00C177D2">
      <w:pPr>
        <w:spacing w:before="0"/>
        <w:ind w:left="1418"/>
        <w:rPr>
          <w:rFonts w:cs="Arial"/>
          <w:szCs w:val="22"/>
          <w:lang w:eastAsia="en-GB"/>
        </w:rPr>
      </w:pPr>
    </w:p>
    <w:p w:rsidR="004D11A4" w:rsidRDefault="004D11A4" w:rsidP="00C177D2">
      <w:pPr>
        <w:spacing w:before="0"/>
        <w:ind w:left="1418"/>
        <w:rPr>
          <w:rFonts w:cs="Arial"/>
          <w:b/>
          <w:szCs w:val="22"/>
          <w:lang w:eastAsia="en-GB"/>
        </w:rPr>
      </w:pPr>
    </w:p>
    <w:p w:rsidR="00C177D2" w:rsidRDefault="00C177D2" w:rsidP="00C177D2">
      <w:pPr>
        <w:spacing w:before="0"/>
        <w:ind w:left="1418"/>
        <w:rPr>
          <w:rFonts w:cs="Arial"/>
          <w:b/>
          <w:szCs w:val="22"/>
          <w:lang w:eastAsia="en-GB"/>
        </w:rPr>
      </w:pPr>
    </w:p>
    <w:p w:rsidR="00C177D2" w:rsidRDefault="00C177D2" w:rsidP="00C177D2">
      <w:pPr>
        <w:spacing w:before="0"/>
        <w:ind w:left="1418"/>
        <w:rPr>
          <w:rFonts w:cs="Arial"/>
          <w:b/>
          <w:szCs w:val="22"/>
          <w:lang w:eastAsia="en-GB"/>
        </w:rPr>
      </w:pPr>
    </w:p>
    <w:p w:rsidR="00C177D2" w:rsidRDefault="00C177D2" w:rsidP="00C177D2">
      <w:pPr>
        <w:spacing w:before="0"/>
        <w:ind w:left="1418"/>
        <w:rPr>
          <w:rFonts w:cs="Arial"/>
          <w:b/>
          <w:szCs w:val="22"/>
          <w:lang w:eastAsia="en-GB"/>
        </w:rPr>
      </w:pPr>
    </w:p>
    <w:p w:rsidR="003627F6" w:rsidRDefault="003627F6" w:rsidP="00C177D2">
      <w:pPr>
        <w:spacing w:before="0"/>
        <w:ind w:left="1418"/>
        <w:rPr>
          <w:rFonts w:cs="Arial"/>
          <w:b/>
          <w:szCs w:val="22"/>
        </w:rPr>
      </w:pPr>
      <w:r w:rsidRPr="00A32F37">
        <w:rPr>
          <w:rFonts w:cs="Arial"/>
          <w:b/>
          <w:szCs w:val="22"/>
          <w:lang w:eastAsia="en-GB"/>
        </w:rPr>
        <w:lastRenderedPageBreak/>
        <w:t xml:space="preserve">Figure </w:t>
      </w:r>
      <w:r w:rsidR="00623BF5">
        <w:rPr>
          <w:rFonts w:cs="Arial"/>
          <w:b/>
          <w:szCs w:val="22"/>
          <w:lang w:eastAsia="en-GB"/>
        </w:rPr>
        <w:t>5</w:t>
      </w:r>
      <w:r w:rsidRPr="00A32F37">
        <w:rPr>
          <w:rFonts w:cs="Arial"/>
          <w:b/>
          <w:szCs w:val="22"/>
          <w:lang w:eastAsia="en-GB"/>
        </w:rPr>
        <w:t xml:space="preserve">: </w:t>
      </w:r>
      <w:r w:rsidRPr="00952D4F">
        <w:rPr>
          <w:rFonts w:cs="Arial"/>
          <w:b/>
          <w:szCs w:val="22"/>
        </w:rPr>
        <w:t xml:space="preserve">The number of </w:t>
      </w:r>
      <w:r w:rsidR="0046583A">
        <w:rPr>
          <w:rFonts w:cs="Arial"/>
          <w:b/>
          <w:szCs w:val="22"/>
        </w:rPr>
        <w:t xml:space="preserve">entertainment </w:t>
      </w:r>
      <w:r w:rsidRPr="00952D4F">
        <w:rPr>
          <w:rFonts w:cs="Arial"/>
          <w:b/>
          <w:szCs w:val="22"/>
        </w:rPr>
        <w:t>club premises certificates in</w:t>
      </w:r>
      <w:r w:rsidR="0046583A">
        <w:rPr>
          <w:rFonts w:cs="Arial"/>
          <w:b/>
          <w:szCs w:val="22"/>
        </w:rPr>
        <w:t xml:space="preserve"> force in</w:t>
      </w:r>
      <w:r w:rsidRPr="00952D4F">
        <w:rPr>
          <w:rFonts w:cs="Arial"/>
          <w:b/>
          <w:szCs w:val="22"/>
        </w:rPr>
        <w:t xml:space="preserve"> England and Wales on 31 March </w:t>
      </w:r>
      <w:r w:rsidR="0048631D">
        <w:rPr>
          <w:rFonts w:cs="Arial"/>
          <w:b/>
          <w:szCs w:val="22"/>
        </w:rPr>
        <w:t>201</w:t>
      </w:r>
      <w:r w:rsidR="0040791C">
        <w:rPr>
          <w:rFonts w:cs="Arial"/>
          <w:b/>
          <w:szCs w:val="22"/>
        </w:rPr>
        <w:t>3</w:t>
      </w:r>
      <w:r w:rsidR="0048631D">
        <w:rPr>
          <w:rFonts w:cs="Arial"/>
          <w:b/>
          <w:szCs w:val="22"/>
        </w:rPr>
        <w:t xml:space="preserve"> and </w:t>
      </w:r>
      <w:r w:rsidRPr="00952D4F">
        <w:rPr>
          <w:rFonts w:cs="Arial"/>
          <w:b/>
          <w:szCs w:val="22"/>
        </w:rPr>
        <w:t>201</w:t>
      </w:r>
      <w:r w:rsidR="0040791C">
        <w:rPr>
          <w:rFonts w:cs="Arial"/>
          <w:b/>
          <w:szCs w:val="22"/>
        </w:rPr>
        <w:t>4</w:t>
      </w:r>
      <w:r w:rsidRPr="00952D4F">
        <w:rPr>
          <w:rFonts w:cs="Arial"/>
          <w:b/>
          <w:szCs w:val="22"/>
        </w:rPr>
        <w:t>.</w:t>
      </w:r>
    </w:p>
    <w:p w:rsidR="00C177D2" w:rsidRDefault="00C177D2" w:rsidP="00C177D2">
      <w:pPr>
        <w:spacing w:before="0"/>
        <w:ind w:left="1418"/>
        <w:rPr>
          <w:rFonts w:cs="Arial"/>
          <w:b/>
          <w:szCs w:val="22"/>
        </w:rPr>
      </w:pPr>
    </w:p>
    <w:p w:rsidR="0040791C" w:rsidRDefault="0040791C" w:rsidP="00C177D2">
      <w:pPr>
        <w:spacing w:before="0"/>
        <w:ind w:left="1418"/>
        <w:rPr>
          <w:rFonts w:cs="Arial"/>
          <w:b/>
          <w:szCs w:val="22"/>
        </w:rPr>
      </w:pPr>
      <w:r>
        <w:rPr>
          <w:rFonts w:cs="Arial"/>
          <w:b/>
          <w:noProof/>
          <w:szCs w:val="22"/>
          <w:lang w:eastAsia="en-GB"/>
        </w:rPr>
        <w:drawing>
          <wp:inline distT="0" distB="0" distL="0" distR="0" wp14:anchorId="28472F6B" wp14:editId="264A3173">
            <wp:extent cx="5058790" cy="326571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4694" cy="3269526"/>
                    </a:xfrm>
                    <a:prstGeom prst="rect">
                      <a:avLst/>
                    </a:prstGeom>
                    <a:noFill/>
                  </pic:spPr>
                </pic:pic>
              </a:graphicData>
            </a:graphic>
          </wp:inline>
        </w:drawing>
      </w:r>
    </w:p>
    <w:p w:rsidR="0040791C" w:rsidRDefault="0040791C" w:rsidP="00C177D2">
      <w:pPr>
        <w:spacing w:before="0"/>
        <w:ind w:left="1418"/>
        <w:rPr>
          <w:rFonts w:cs="Arial"/>
          <w:b/>
          <w:szCs w:val="22"/>
        </w:rPr>
      </w:pPr>
    </w:p>
    <w:p w:rsidR="003627F6" w:rsidRPr="00B5584A" w:rsidRDefault="003627F6" w:rsidP="00C177D2">
      <w:pPr>
        <w:spacing w:before="0"/>
        <w:ind w:left="1418"/>
        <w:rPr>
          <w:rFonts w:cs="Arial"/>
          <w:b/>
          <w:sz w:val="16"/>
          <w:szCs w:val="16"/>
        </w:rPr>
      </w:pPr>
      <w:r w:rsidRPr="00B5584A">
        <w:rPr>
          <w:rFonts w:cs="Arial"/>
          <w:b/>
          <w:sz w:val="16"/>
          <w:szCs w:val="16"/>
        </w:rPr>
        <w:t>Notes</w:t>
      </w:r>
    </w:p>
    <w:p w:rsidR="00D14597" w:rsidRDefault="00F963BF" w:rsidP="00750877">
      <w:pPr>
        <w:spacing w:before="0"/>
        <w:ind w:left="1418" w:firstLine="22"/>
        <w:rPr>
          <w:rFonts w:cs="Arial"/>
          <w:sz w:val="16"/>
          <w:szCs w:val="16"/>
        </w:rPr>
      </w:pPr>
      <w:r w:rsidRPr="00F963BF">
        <w:rPr>
          <w:rFonts w:cs="Arial"/>
          <w:sz w:val="16"/>
          <w:szCs w:val="16"/>
        </w:rPr>
        <w:t>1)</w:t>
      </w:r>
      <w:r>
        <w:rPr>
          <w:rFonts w:cs="Arial"/>
          <w:sz w:val="16"/>
          <w:szCs w:val="16"/>
        </w:rPr>
        <w:t xml:space="preserve">  </w:t>
      </w:r>
      <w:r w:rsidR="003627F6" w:rsidRPr="00B5584A">
        <w:rPr>
          <w:rFonts w:cs="Arial"/>
          <w:sz w:val="16"/>
          <w:szCs w:val="16"/>
        </w:rPr>
        <w:t>The sum of the number of club premises certificates covering each entertainment type will not equal the total number of</w:t>
      </w:r>
      <w:r w:rsidR="00762EB1">
        <w:rPr>
          <w:rFonts w:cs="Arial"/>
          <w:sz w:val="16"/>
          <w:szCs w:val="16"/>
        </w:rPr>
        <w:t xml:space="preserve"> entertainment</w:t>
      </w:r>
      <w:r w:rsidR="003627F6" w:rsidRPr="00B5584A">
        <w:rPr>
          <w:rFonts w:cs="Arial"/>
          <w:sz w:val="16"/>
          <w:szCs w:val="16"/>
        </w:rPr>
        <w:t xml:space="preserve"> club premises certificates in force since more than one form of entertainment can be covered by each such certificate.</w:t>
      </w:r>
    </w:p>
    <w:p w:rsidR="00762EB1" w:rsidRPr="00B5584A" w:rsidRDefault="00F963BF" w:rsidP="00750877">
      <w:pPr>
        <w:spacing w:before="0"/>
        <w:ind w:left="1418"/>
        <w:rPr>
          <w:rFonts w:cs="Arial"/>
          <w:sz w:val="16"/>
          <w:szCs w:val="16"/>
        </w:rPr>
      </w:pPr>
      <w:r>
        <w:rPr>
          <w:sz w:val="16"/>
          <w:szCs w:val="16"/>
        </w:rPr>
        <w:t xml:space="preserve">2) </w:t>
      </w:r>
      <w:r w:rsidR="00762EB1" w:rsidRPr="009A72A9">
        <w:rPr>
          <w:sz w:val="16"/>
          <w:szCs w:val="16"/>
        </w:rPr>
        <w:t>Figures consist of a combination of actual responses and estimates to account for non-response.</w:t>
      </w:r>
    </w:p>
    <w:p w:rsidR="00952D4F" w:rsidRPr="00B5584A" w:rsidRDefault="00952D4F" w:rsidP="00C177D2">
      <w:pPr>
        <w:spacing w:before="0"/>
        <w:ind w:left="1418"/>
        <w:rPr>
          <w:rFonts w:cs="Arial"/>
          <w:sz w:val="16"/>
          <w:szCs w:val="16"/>
        </w:rPr>
      </w:pPr>
    </w:p>
    <w:p w:rsidR="00952D4F" w:rsidRDefault="00952D4F" w:rsidP="00C177D2">
      <w:pPr>
        <w:spacing w:before="0"/>
        <w:ind w:left="1418"/>
        <w:rPr>
          <w:rFonts w:cs="Arial"/>
          <w:szCs w:val="22"/>
        </w:rPr>
      </w:pPr>
    </w:p>
    <w:p w:rsidR="00032BFF" w:rsidRPr="008910A3" w:rsidRDefault="005D5EEB" w:rsidP="00032BFF">
      <w:pPr>
        <w:ind w:left="1440"/>
      </w:pPr>
      <w:r>
        <w:rPr>
          <w:rFonts w:cs="Arial"/>
          <w:szCs w:val="22"/>
        </w:rPr>
        <w:t>Excel tables for the number of entertainment club premises certifi</w:t>
      </w:r>
      <w:r w:rsidR="00112848">
        <w:rPr>
          <w:rFonts w:cs="Arial"/>
          <w:szCs w:val="22"/>
        </w:rPr>
        <w:t xml:space="preserve">cates in force can be found at </w:t>
      </w:r>
      <w:hyperlink r:id="rId32" w:history="1">
        <w:r w:rsidR="008910A3">
          <w:rPr>
            <w:rStyle w:val="Hyperlink"/>
            <w:rFonts w:cs="Arial"/>
            <w:szCs w:val="22"/>
          </w:rPr>
          <w:t>https://www.gov.uk/government/publications/entertainment-licensing-2014</w:t>
        </w:r>
      </w:hyperlink>
    </w:p>
    <w:p w:rsidR="00112848" w:rsidRDefault="00112848" w:rsidP="00112848">
      <w:pPr>
        <w:spacing w:before="0"/>
        <w:ind w:left="1418"/>
        <w:rPr>
          <w:rFonts w:cs="Arial"/>
          <w:szCs w:val="22"/>
        </w:rPr>
      </w:pPr>
    </w:p>
    <w:p w:rsidR="00112848" w:rsidRDefault="00112848" w:rsidP="00C177D2">
      <w:pPr>
        <w:spacing w:before="0"/>
        <w:ind w:left="1418"/>
        <w:rPr>
          <w:rFonts w:cs="Arial"/>
          <w:szCs w:val="22"/>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853830" w:rsidRDefault="00853830" w:rsidP="00C177D2">
      <w:pPr>
        <w:spacing w:before="0"/>
        <w:ind w:left="1418"/>
        <w:rPr>
          <w:rFonts w:cs="Arial"/>
          <w:szCs w:val="22"/>
          <w:highlight w:val="yellow"/>
        </w:rPr>
      </w:pPr>
    </w:p>
    <w:p w:rsidR="00212C84" w:rsidRPr="009A23F9" w:rsidRDefault="00623BF5" w:rsidP="00C177D2">
      <w:pPr>
        <w:spacing w:before="0"/>
        <w:ind w:left="1418"/>
        <w:rPr>
          <w:rFonts w:cs="Arial"/>
          <w:szCs w:val="22"/>
          <w:lang w:eastAsia="en-GB"/>
        </w:rPr>
      </w:pPr>
      <w:r w:rsidRPr="009A23F9">
        <w:rPr>
          <w:rFonts w:cs="Arial"/>
          <w:szCs w:val="22"/>
        </w:rPr>
        <w:lastRenderedPageBreak/>
        <w:t>Figure 6</w:t>
      </w:r>
      <w:r w:rsidR="009A23F9" w:rsidRPr="009A23F9">
        <w:rPr>
          <w:rFonts w:cs="Arial"/>
          <w:szCs w:val="22"/>
        </w:rPr>
        <w:t xml:space="preserve"> shows that only three</w:t>
      </w:r>
      <w:r w:rsidR="0022037F" w:rsidRPr="009A23F9">
        <w:rPr>
          <w:rFonts w:cs="Arial"/>
          <w:szCs w:val="22"/>
        </w:rPr>
        <w:t xml:space="preserve"> regions had over 1,</w:t>
      </w:r>
      <w:r w:rsidR="00477F10">
        <w:rPr>
          <w:rFonts w:cs="Arial"/>
          <w:szCs w:val="22"/>
        </w:rPr>
        <w:t>2</w:t>
      </w:r>
      <w:r w:rsidR="001E59FA" w:rsidRPr="009A23F9">
        <w:rPr>
          <w:rFonts w:cs="Arial"/>
          <w:szCs w:val="22"/>
        </w:rPr>
        <w:t>50</w:t>
      </w:r>
      <w:r w:rsidR="0022037F" w:rsidRPr="009A23F9">
        <w:rPr>
          <w:rFonts w:cs="Arial"/>
          <w:szCs w:val="22"/>
        </w:rPr>
        <w:t xml:space="preserve"> entertainment club premises certificates in force on 31 March 201</w:t>
      </w:r>
      <w:r w:rsidR="00477F10">
        <w:rPr>
          <w:rFonts w:cs="Arial"/>
          <w:szCs w:val="22"/>
        </w:rPr>
        <w:t>4</w:t>
      </w:r>
      <w:r w:rsidR="0022037F" w:rsidRPr="009A23F9">
        <w:rPr>
          <w:rFonts w:cs="Arial"/>
          <w:szCs w:val="22"/>
        </w:rPr>
        <w:t xml:space="preserve"> (South East</w:t>
      </w:r>
      <w:r w:rsidR="001E59FA" w:rsidRPr="009A23F9">
        <w:rPr>
          <w:rFonts w:cs="Arial"/>
          <w:szCs w:val="22"/>
        </w:rPr>
        <w:t xml:space="preserve">, Yorkshire and </w:t>
      </w:r>
      <w:r w:rsidR="005F40ED">
        <w:rPr>
          <w:rFonts w:cs="Arial"/>
          <w:szCs w:val="22"/>
        </w:rPr>
        <w:t>T</w:t>
      </w:r>
      <w:r w:rsidR="001E59FA" w:rsidRPr="009A23F9">
        <w:rPr>
          <w:rFonts w:cs="Arial"/>
          <w:szCs w:val="22"/>
        </w:rPr>
        <w:t>he Humber</w:t>
      </w:r>
      <w:r w:rsidR="0085754F">
        <w:rPr>
          <w:rFonts w:cs="Arial"/>
          <w:szCs w:val="22"/>
        </w:rPr>
        <w:t xml:space="preserve"> and North West). O</w:t>
      </w:r>
      <w:r w:rsidR="0022037F" w:rsidRPr="009A23F9">
        <w:rPr>
          <w:rFonts w:cs="Arial"/>
          <w:szCs w:val="22"/>
        </w:rPr>
        <w:t xml:space="preserve">nly </w:t>
      </w:r>
      <w:r w:rsidR="001E59FA" w:rsidRPr="009A23F9">
        <w:rPr>
          <w:rFonts w:cs="Arial"/>
          <w:szCs w:val="22"/>
        </w:rPr>
        <w:t>one</w:t>
      </w:r>
      <w:r w:rsidR="0022037F" w:rsidRPr="009A23F9">
        <w:rPr>
          <w:rFonts w:cs="Arial"/>
          <w:szCs w:val="22"/>
        </w:rPr>
        <w:t xml:space="preserve"> region had less than </w:t>
      </w:r>
      <w:r w:rsidR="00477F10">
        <w:rPr>
          <w:rFonts w:cs="Arial"/>
          <w:szCs w:val="22"/>
        </w:rPr>
        <w:t>750</w:t>
      </w:r>
      <w:r w:rsidR="0022037F" w:rsidRPr="009A23F9">
        <w:rPr>
          <w:rFonts w:cs="Arial"/>
          <w:szCs w:val="22"/>
        </w:rPr>
        <w:t xml:space="preserve"> entertainment club premises certificates in force on 31 March 201</w:t>
      </w:r>
      <w:r w:rsidR="00477F10">
        <w:rPr>
          <w:rFonts w:cs="Arial"/>
          <w:szCs w:val="22"/>
        </w:rPr>
        <w:t>4</w:t>
      </w:r>
      <w:r w:rsidR="0022037F" w:rsidRPr="009A23F9">
        <w:rPr>
          <w:rFonts w:cs="Arial"/>
          <w:szCs w:val="22"/>
        </w:rPr>
        <w:t xml:space="preserve"> (North East).</w:t>
      </w:r>
    </w:p>
    <w:p w:rsidR="008C210E" w:rsidRPr="00B40FCF" w:rsidRDefault="008C210E" w:rsidP="00C177D2">
      <w:pPr>
        <w:spacing w:before="0"/>
        <w:ind w:left="1418"/>
        <w:rPr>
          <w:rFonts w:cs="Arial"/>
          <w:szCs w:val="22"/>
          <w:highlight w:val="yellow"/>
        </w:rPr>
      </w:pPr>
    </w:p>
    <w:p w:rsidR="00C85908" w:rsidRPr="00B4603E" w:rsidRDefault="00623BF5" w:rsidP="00C177D2">
      <w:pPr>
        <w:spacing w:before="0"/>
        <w:ind w:left="1418"/>
        <w:rPr>
          <w:rFonts w:cs="Arial"/>
          <w:b/>
          <w:szCs w:val="22"/>
          <w:lang w:eastAsia="en-GB"/>
        </w:rPr>
      </w:pPr>
      <w:r w:rsidRPr="00B4603E">
        <w:rPr>
          <w:rFonts w:cs="Arial"/>
          <w:b/>
          <w:szCs w:val="22"/>
        </w:rPr>
        <w:t>Figure 6</w:t>
      </w:r>
      <w:r w:rsidR="00C85908" w:rsidRPr="00B4603E">
        <w:rPr>
          <w:rFonts w:cs="Arial"/>
          <w:b/>
          <w:szCs w:val="22"/>
        </w:rPr>
        <w:t>:</w:t>
      </w:r>
      <w:r w:rsidR="00C85908" w:rsidRPr="00B4603E">
        <w:rPr>
          <w:rFonts w:cs="Arial"/>
          <w:b/>
          <w:szCs w:val="22"/>
          <w:lang w:eastAsia="en-GB"/>
        </w:rPr>
        <w:t xml:space="preserve"> The number of entertainment club premises certificates in force on 31 March 201</w:t>
      </w:r>
      <w:r w:rsidR="00477F10" w:rsidRPr="00B4603E">
        <w:rPr>
          <w:rFonts w:cs="Arial"/>
          <w:b/>
          <w:szCs w:val="22"/>
          <w:lang w:eastAsia="en-GB"/>
        </w:rPr>
        <w:t>4</w:t>
      </w:r>
      <w:r w:rsidR="00C85908" w:rsidRPr="00B4603E">
        <w:rPr>
          <w:rFonts w:cs="Arial"/>
          <w:b/>
          <w:szCs w:val="22"/>
          <w:lang w:eastAsia="en-GB"/>
        </w:rPr>
        <w:t xml:space="preserve"> by region</w:t>
      </w:r>
    </w:p>
    <w:p w:rsidR="00C85908" w:rsidRPr="00B40FCF" w:rsidRDefault="00B4603E" w:rsidP="00C177D2">
      <w:pPr>
        <w:spacing w:before="0"/>
        <w:ind w:left="1418"/>
        <w:rPr>
          <w:rFonts w:cs="Arial"/>
          <w:szCs w:val="22"/>
          <w:highlight w:val="yellow"/>
        </w:rPr>
      </w:pPr>
      <w:r>
        <w:rPr>
          <w:rFonts w:cs="Arial"/>
          <w:noProof/>
          <w:szCs w:val="22"/>
          <w:lang w:eastAsia="en-GB"/>
        </w:rPr>
        <w:drawing>
          <wp:inline distT="0" distB="0" distL="0" distR="0" wp14:anchorId="2439D994" wp14:editId="49D5CBAA">
            <wp:extent cx="5248894" cy="6001424"/>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tainment Licensing Stats - Figure_6_V3.png"/>
                    <pic:cNvPicPr/>
                  </pic:nvPicPr>
                  <pic:blipFill rotWithShape="1">
                    <a:blip r:embed="rId33">
                      <a:extLst>
                        <a:ext uri="{28A0092B-C50C-407E-A947-70E740481C1C}">
                          <a14:useLocalDpi xmlns:a14="http://schemas.microsoft.com/office/drawing/2010/main" val="0"/>
                        </a:ext>
                      </a:extLst>
                    </a:blip>
                    <a:srcRect l="5574" t="13225" r="2951" b="12761"/>
                    <a:stretch/>
                  </pic:blipFill>
                  <pic:spPr bwMode="auto">
                    <a:xfrm>
                      <a:off x="0" y="0"/>
                      <a:ext cx="5263540" cy="6018170"/>
                    </a:xfrm>
                    <a:prstGeom prst="rect">
                      <a:avLst/>
                    </a:prstGeom>
                    <a:ln>
                      <a:noFill/>
                    </a:ln>
                    <a:extLst>
                      <a:ext uri="{53640926-AAD7-44D8-BBD7-CCE9431645EC}">
                        <a14:shadowObscured xmlns:a14="http://schemas.microsoft.com/office/drawing/2010/main"/>
                      </a:ext>
                    </a:extLst>
                  </pic:spPr>
                </pic:pic>
              </a:graphicData>
            </a:graphic>
          </wp:inline>
        </w:drawing>
      </w:r>
    </w:p>
    <w:p w:rsidR="00C85908" w:rsidRPr="009A23F9" w:rsidRDefault="00C85908" w:rsidP="00C177D2">
      <w:pPr>
        <w:spacing w:before="0"/>
        <w:ind w:left="1418"/>
        <w:jc w:val="both"/>
        <w:rPr>
          <w:b/>
          <w:sz w:val="16"/>
          <w:szCs w:val="16"/>
        </w:rPr>
      </w:pPr>
      <w:r w:rsidRPr="009A23F9">
        <w:rPr>
          <w:b/>
          <w:sz w:val="16"/>
          <w:szCs w:val="16"/>
        </w:rPr>
        <w:t>Notes</w:t>
      </w:r>
    </w:p>
    <w:p w:rsidR="00C85908" w:rsidRPr="009A23F9" w:rsidRDefault="00F963BF" w:rsidP="00750877">
      <w:pPr>
        <w:spacing w:before="0"/>
        <w:ind w:left="698" w:firstLine="720"/>
        <w:rPr>
          <w:sz w:val="16"/>
          <w:szCs w:val="16"/>
        </w:rPr>
      </w:pPr>
      <w:r w:rsidRPr="009A23F9">
        <w:rPr>
          <w:sz w:val="16"/>
          <w:szCs w:val="16"/>
        </w:rPr>
        <w:t xml:space="preserve">1)  </w:t>
      </w:r>
      <w:r w:rsidR="00C85908" w:rsidRPr="009A23F9">
        <w:rPr>
          <w:sz w:val="16"/>
          <w:szCs w:val="16"/>
        </w:rPr>
        <w:t>Figures consist of a combination of actual responses and estimates to account for non-response</w:t>
      </w:r>
    </w:p>
    <w:p w:rsidR="00DA201E" w:rsidRPr="00B40FCF" w:rsidRDefault="00DA201E" w:rsidP="00C177D2">
      <w:pPr>
        <w:spacing w:before="0"/>
        <w:ind w:left="1418"/>
        <w:rPr>
          <w:rFonts w:cs="Arial"/>
          <w:szCs w:val="22"/>
          <w:highlight w:val="yellow"/>
        </w:rPr>
      </w:pPr>
    </w:p>
    <w:p w:rsidR="00115510" w:rsidRPr="00B40FCF" w:rsidRDefault="00115510" w:rsidP="00115510">
      <w:pPr>
        <w:spacing w:before="0"/>
        <w:rPr>
          <w:sz w:val="16"/>
          <w:szCs w:val="16"/>
          <w:highlight w:val="yellow"/>
        </w:rPr>
      </w:pPr>
    </w:p>
    <w:p w:rsidR="00115510" w:rsidRDefault="00115510" w:rsidP="008910A3">
      <w:pPr>
        <w:ind w:left="1440"/>
        <w:rPr>
          <w:rStyle w:val="Hyperlink"/>
          <w:rFonts w:cs="Arial"/>
        </w:rPr>
      </w:pPr>
      <w:r w:rsidRPr="00032BFF">
        <w:rPr>
          <w:szCs w:val="22"/>
        </w:rPr>
        <w:t xml:space="preserve">Excel tables for the number of entertainment </w:t>
      </w:r>
      <w:r w:rsidR="005E4332" w:rsidRPr="00032BFF">
        <w:rPr>
          <w:szCs w:val="22"/>
        </w:rPr>
        <w:t>club premises certificates</w:t>
      </w:r>
      <w:r w:rsidRPr="00032BFF">
        <w:rPr>
          <w:szCs w:val="22"/>
        </w:rPr>
        <w:t xml:space="preserve"> in force by region </w:t>
      </w:r>
      <w:r w:rsidR="005E4332" w:rsidRPr="00032BFF">
        <w:rPr>
          <w:szCs w:val="22"/>
        </w:rPr>
        <w:t xml:space="preserve">can be </w:t>
      </w:r>
      <w:r w:rsidRPr="00032BFF">
        <w:rPr>
          <w:szCs w:val="22"/>
        </w:rPr>
        <w:t xml:space="preserve">found at </w:t>
      </w:r>
      <w:hyperlink r:id="rId34" w:history="1">
        <w:r w:rsidR="008910A3">
          <w:rPr>
            <w:rStyle w:val="Hyperlink"/>
            <w:rFonts w:cs="Arial"/>
            <w:szCs w:val="22"/>
          </w:rPr>
          <w:t>https://www.gov.uk/government/publications/entertainment-licensing-2014</w:t>
        </w:r>
      </w:hyperlink>
    </w:p>
    <w:p w:rsidR="00623BF5" w:rsidRDefault="00623BF5" w:rsidP="00623BF5">
      <w:pPr>
        <w:spacing w:before="0"/>
        <w:ind w:left="1418"/>
        <w:rPr>
          <w:rStyle w:val="Hyperlink"/>
          <w:rFonts w:cs="Arial"/>
        </w:rPr>
      </w:pPr>
    </w:p>
    <w:p w:rsidR="00623BF5" w:rsidRDefault="00623BF5" w:rsidP="00623BF5">
      <w:pPr>
        <w:spacing w:before="0"/>
        <w:ind w:left="1418"/>
        <w:rPr>
          <w:rStyle w:val="Hyperlink"/>
          <w:rFonts w:cs="Arial"/>
          <w:b/>
          <w:color w:val="auto"/>
          <w:u w:val="none"/>
        </w:rPr>
      </w:pPr>
    </w:p>
    <w:p w:rsidR="00623BF5" w:rsidRDefault="00623BF5" w:rsidP="00623BF5">
      <w:pPr>
        <w:spacing w:before="0"/>
        <w:ind w:left="1418"/>
        <w:rPr>
          <w:rStyle w:val="Hyperlink"/>
          <w:rFonts w:cs="Arial"/>
          <w:b/>
          <w:color w:val="auto"/>
          <w:u w:val="none"/>
        </w:rPr>
      </w:pPr>
    </w:p>
    <w:p w:rsidR="00623BF5" w:rsidRDefault="00623BF5" w:rsidP="00623BF5">
      <w:pPr>
        <w:spacing w:before="0"/>
        <w:ind w:left="1418"/>
        <w:rPr>
          <w:rStyle w:val="Hyperlink"/>
          <w:rFonts w:cs="Arial"/>
          <w:b/>
          <w:color w:val="auto"/>
          <w:u w:val="none"/>
        </w:rPr>
      </w:pPr>
    </w:p>
    <w:p w:rsidR="00623BF5" w:rsidRPr="00B4603E" w:rsidRDefault="00623BF5" w:rsidP="00623BF5">
      <w:pPr>
        <w:spacing w:before="0"/>
        <w:ind w:left="1418"/>
        <w:rPr>
          <w:rStyle w:val="Hyperlink"/>
          <w:rFonts w:cs="Arial"/>
          <w:color w:val="auto"/>
          <w:u w:val="none"/>
        </w:rPr>
      </w:pPr>
      <w:r w:rsidRPr="00B4603E">
        <w:rPr>
          <w:rStyle w:val="Hyperlink"/>
          <w:rFonts w:cs="Arial"/>
          <w:b/>
          <w:color w:val="auto"/>
          <w:u w:val="none"/>
        </w:rPr>
        <w:lastRenderedPageBreak/>
        <w:t>Figure 7: The number of entertainment club premises certificates in force on 31 March 201</w:t>
      </w:r>
      <w:r w:rsidR="006645D5" w:rsidRPr="00B4603E">
        <w:rPr>
          <w:rStyle w:val="Hyperlink"/>
          <w:rFonts w:cs="Arial"/>
          <w:b/>
          <w:color w:val="auto"/>
          <w:u w:val="none"/>
        </w:rPr>
        <w:t>4</w:t>
      </w:r>
      <w:r w:rsidRPr="00B4603E">
        <w:rPr>
          <w:rStyle w:val="Hyperlink"/>
          <w:rFonts w:cs="Arial"/>
          <w:b/>
          <w:color w:val="auto"/>
          <w:u w:val="none"/>
        </w:rPr>
        <w:t xml:space="preserve"> by region, per 1</w:t>
      </w:r>
      <w:r w:rsidR="005552C7" w:rsidRPr="00B4603E">
        <w:rPr>
          <w:rStyle w:val="Hyperlink"/>
          <w:rFonts w:cs="Arial"/>
          <w:b/>
          <w:color w:val="auto"/>
          <w:u w:val="none"/>
        </w:rPr>
        <w:t>,</w:t>
      </w:r>
      <w:r w:rsidRPr="00B4603E">
        <w:rPr>
          <w:rStyle w:val="Hyperlink"/>
          <w:rFonts w:cs="Arial"/>
          <w:b/>
          <w:color w:val="auto"/>
          <w:u w:val="none"/>
        </w:rPr>
        <w:t xml:space="preserve">000 </w:t>
      </w:r>
      <w:proofErr w:type="gramStart"/>
      <w:r w:rsidRPr="00B4603E">
        <w:rPr>
          <w:rStyle w:val="Hyperlink"/>
          <w:rFonts w:cs="Arial"/>
          <w:b/>
          <w:color w:val="auto"/>
          <w:u w:val="none"/>
        </w:rPr>
        <w:t>population</w:t>
      </w:r>
      <w:proofErr w:type="gramEnd"/>
      <w:r w:rsidR="007733B9" w:rsidRPr="00B4603E">
        <w:rPr>
          <w:rStyle w:val="Hyperlink"/>
          <w:rFonts w:cs="Arial"/>
          <w:b/>
          <w:color w:val="auto"/>
          <w:u w:val="none"/>
        </w:rPr>
        <w:t>.</w:t>
      </w:r>
    </w:p>
    <w:p w:rsidR="00623BF5" w:rsidRDefault="00623BF5" w:rsidP="00623BF5">
      <w:pPr>
        <w:spacing w:before="0"/>
        <w:ind w:left="1418"/>
        <w:rPr>
          <w:noProof/>
          <w:lang w:eastAsia="en-GB"/>
        </w:rPr>
      </w:pPr>
    </w:p>
    <w:p w:rsidR="00B4603E" w:rsidRDefault="00B4603E" w:rsidP="00623BF5">
      <w:pPr>
        <w:spacing w:before="0"/>
        <w:ind w:left="1418"/>
        <w:rPr>
          <w:noProof/>
          <w:lang w:eastAsia="en-GB"/>
        </w:rPr>
      </w:pPr>
      <w:r>
        <w:rPr>
          <w:noProof/>
          <w:lang w:eastAsia="en-GB"/>
        </w:rPr>
        <w:drawing>
          <wp:inline distT="0" distB="0" distL="0" distR="0" wp14:anchorId="450BBA36" wp14:editId="3120C702">
            <wp:extent cx="5248894" cy="587459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tainment Licensing Stats - Figure_7_V3.png"/>
                    <pic:cNvPicPr/>
                  </pic:nvPicPr>
                  <pic:blipFill rotWithShape="1">
                    <a:blip r:embed="rId35">
                      <a:extLst>
                        <a:ext uri="{28A0092B-C50C-407E-A947-70E740481C1C}">
                          <a14:useLocalDpi xmlns:a14="http://schemas.microsoft.com/office/drawing/2010/main" val="0"/>
                        </a:ext>
                      </a:extLst>
                    </a:blip>
                    <a:srcRect l="4619" t="13508" r="2406" b="12854"/>
                    <a:stretch/>
                  </pic:blipFill>
                  <pic:spPr bwMode="auto">
                    <a:xfrm>
                      <a:off x="0" y="0"/>
                      <a:ext cx="5251358" cy="5877347"/>
                    </a:xfrm>
                    <a:prstGeom prst="rect">
                      <a:avLst/>
                    </a:prstGeom>
                    <a:ln>
                      <a:noFill/>
                    </a:ln>
                    <a:extLst>
                      <a:ext uri="{53640926-AAD7-44D8-BBD7-CCE9431645EC}">
                        <a14:shadowObscured xmlns:a14="http://schemas.microsoft.com/office/drawing/2010/main"/>
                      </a:ext>
                    </a:extLst>
                  </pic:spPr>
                </pic:pic>
              </a:graphicData>
            </a:graphic>
          </wp:inline>
        </w:drawing>
      </w:r>
    </w:p>
    <w:p w:rsidR="00B4603E" w:rsidRPr="00B40FCF" w:rsidRDefault="00B4603E" w:rsidP="00623BF5">
      <w:pPr>
        <w:spacing w:before="0"/>
        <w:ind w:left="1418"/>
        <w:rPr>
          <w:sz w:val="16"/>
          <w:szCs w:val="16"/>
          <w:highlight w:val="yellow"/>
        </w:rPr>
      </w:pPr>
    </w:p>
    <w:p w:rsidR="00623BF5" w:rsidRPr="009A23F9" w:rsidRDefault="00623BF5" w:rsidP="00623BF5">
      <w:pPr>
        <w:tabs>
          <w:tab w:val="left" w:pos="1590"/>
          <w:tab w:val="left" w:pos="1770"/>
        </w:tabs>
        <w:spacing w:before="0"/>
        <w:ind w:left="1418"/>
        <w:rPr>
          <w:rFonts w:cs="Arial"/>
          <w:szCs w:val="22"/>
        </w:rPr>
      </w:pPr>
      <w:r w:rsidRPr="009A23F9">
        <w:rPr>
          <w:rFonts w:cs="Arial"/>
          <w:szCs w:val="22"/>
        </w:rPr>
        <w:t xml:space="preserve">Figure 7 shows that the </w:t>
      </w:r>
      <w:r w:rsidR="00B4603E">
        <w:rPr>
          <w:rFonts w:cs="Arial"/>
          <w:szCs w:val="22"/>
        </w:rPr>
        <w:t>Wales</w:t>
      </w:r>
      <w:r w:rsidRPr="009A23F9">
        <w:rPr>
          <w:rFonts w:cs="Arial"/>
          <w:szCs w:val="22"/>
        </w:rPr>
        <w:t xml:space="preserve"> is amongst the regions with the greatest club premises certificates in force per </w:t>
      </w:r>
      <w:r w:rsidR="003B461C" w:rsidRPr="009A23F9">
        <w:rPr>
          <w:rFonts w:cs="Arial"/>
          <w:szCs w:val="22"/>
        </w:rPr>
        <w:t>head of</w:t>
      </w:r>
      <w:r w:rsidR="0085754F">
        <w:rPr>
          <w:rFonts w:cs="Arial"/>
          <w:szCs w:val="22"/>
        </w:rPr>
        <w:t xml:space="preserve"> population in contrast with</w:t>
      </w:r>
      <w:r w:rsidRPr="009A23F9">
        <w:rPr>
          <w:rFonts w:cs="Arial"/>
          <w:szCs w:val="22"/>
        </w:rPr>
        <w:t xml:space="preserve"> figure 6 </w:t>
      </w:r>
      <w:r w:rsidR="0085754F">
        <w:rPr>
          <w:rFonts w:cs="Arial"/>
          <w:szCs w:val="22"/>
        </w:rPr>
        <w:t xml:space="preserve">which </w:t>
      </w:r>
      <w:r w:rsidRPr="009A23F9">
        <w:rPr>
          <w:rFonts w:cs="Arial"/>
          <w:szCs w:val="22"/>
        </w:rPr>
        <w:t>show</w:t>
      </w:r>
      <w:r w:rsidR="0085754F">
        <w:rPr>
          <w:rFonts w:cs="Arial"/>
          <w:szCs w:val="22"/>
        </w:rPr>
        <w:t>s</w:t>
      </w:r>
      <w:r w:rsidRPr="009A23F9">
        <w:rPr>
          <w:rFonts w:cs="Arial"/>
          <w:szCs w:val="22"/>
        </w:rPr>
        <w:t xml:space="preserve"> that</w:t>
      </w:r>
      <w:r w:rsidR="0085754F">
        <w:rPr>
          <w:rFonts w:cs="Arial"/>
          <w:szCs w:val="22"/>
        </w:rPr>
        <w:t xml:space="preserve"> the </w:t>
      </w:r>
      <w:r w:rsidR="00B4603E">
        <w:rPr>
          <w:rFonts w:cs="Arial"/>
          <w:szCs w:val="22"/>
        </w:rPr>
        <w:t>Wales</w:t>
      </w:r>
      <w:r w:rsidRPr="009A23F9">
        <w:rPr>
          <w:rFonts w:cs="Arial"/>
          <w:szCs w:val="22"/>
        </w:rPr>
        <w:t xml:space="preserve"> is among the regions with </w:t>
      </w:r>
      <w:r w:rsidR="00B4603E">
        <w:rPr>
          <w:rFonts w:cs="Arial"/>
          <w:szCs w:val="22"/>
        </w:rPr>
        <w:t>a lower</w:t>
      </w:r>
      <w:r w:rsidR="0085754F">
        <w:rPr>
          <w:rFonts w:cs="Arial"/>
          <w:szCs w:val="22"/>
        </w:rPr>
        <w:t xml:space="preserve"> absolute number of club premises </w:t>
      </w:r>
      <w:r w:rsidR="00361F75">
        <w:rPr>
          <w:rFonts w:cs="Arial"/>
          <w:szCs w:val="22"/>
        </w:rPr>
        <w:t>certificates</w:t>
      </w:r>
      <w:r w:rsidRPr="009A23F9">
        <w:rPr>
          <w:rFonts w:cs="Arial"/>
          <w:szCs w:val="22"/>
        </w:rPr>
        <w:t xml:space="preserve">.  </w:t>
      </w:r>
    </w:p>
    <w:p w:rsidR="00623BF5" w:rsidRPr="009A23F9" w:rsidRDefault="00623BF5" w:rsidP="00623BF5">
      <w:pPr>
        <w:tabs>
          <w:tab w:val="left" w:pos="1770"/>
        </w:tabs>
        <w:spacing w:before="0"/>
        <w:ind w:left="0"/>
        <w:rPr>
          <w:rFonts w:cs="Arial"/>
          <w:szCs w:val="22"/>
        </w:rPr>
      </w:pPr>
    </w:p>
    <w:p w:rsidR="00032BFF" w:rsidRDefault="00286016" w:rsidP="00032BFF">
      <w:pPr>
        <w:ind w:left="1440"/>
      </w:pPr>
      <w:r w:rsidRPr="00032BFF">
        <w:rPr>
          <w:szCs w:val="22"/>
        </w:rPr>
        <w:t xml:space="preserve">Excel tables for the number of entertainment club </w:t>
      </w:r>
      <w:r w:rsidR="003B461C" w:rsidRPr="00032BFF">
        <w:rPr>
          <w:szCs w:val="22"/>
        </w:rPr>
        <w:t>premises certificates per head of population</w:t>
      </w:r>
      <w:r w:rsidRPr="00032BFF">
        <w:rPr>
          <w:szCs w:val="22"/>
        </w:rPr>
        <w:t xml:space="preserve"> are available at </w:t>
      </w:r>
      <w:hyperlink r:id="rId36" w:history="1">
        <w:r w:rsidR="008910A3">
          <w:rPr>
            <w:rStyle w:val="Hyperlink"/>
            <w:rFonts w:cs="Arial"/>
            <w:szCs w:val="22"/>
          </w:rPr>
          <w:t>https://www.gov.uk/government/publications/entertainment-licensing-2014</w:t>
        </w:r>
      </w:hyperlink>
    </w:p>
    <w:p w:rsidR="00286016" w:rsidRDefault="00286016" w:rsidP="00286016">
      <w:pPr>
        <w:spacing w:before="0"/>
        <w:ind w:left="1440"/>
        <w:rPr>
          <w:szCs w:val="22"/>
        </w:rPr>
      </w:pPr>
    </w:p>
    <w:p w:rsidR="009B6D42" w:rsidRDefault="009B6D42" w:rsidP="001A6F3D">
      <w:pPr>
        <w:spacing w:before="0"/>
        <w:ind w:left="1985"/>
        <w:rPr>
          <w:rFonts w:cs="Arial"/>
          <w:b/>
          <w:szCs w:val="22"/>
        </w:rPr>
      </w:pPr>
    </w:p>
    <w:p w:rsidR="00BD1340" w:rsidRPr="00952D4F" w:rsidRDefault="00BD1340" w:rsidP="001A6F3D">
      <w:pPr>
        <w:spacing w:before="0"/>
        <w:ind w:left="1985"/>
        <w:rPr>
          <w:rFonts w:cs="Arial"/>
          <w:b/>
          <w:szCs w:val="22"/>
        </w:rPr>
      </w:pPr>
    </w:p>
    <w:p w:rsidR="00A02EEC" w:rsidRPr="00A32F37" w:rsidRDefault="00A02EEC" w:rsidP="001A6F3D">
      <w:pPr>
        <w:spacing w:before="0"/>
        <w:ind w:left="1985"/>
        <w:rPr>
          <w:rFonts w:cs="Arial"/>
          <w:szCs w:val="22"/>
        </w:rPr>
      </w:pPr>
    </w:p>
    <w:p w:rsidR="002F6FD7" w:rsidRDefault="002F6FD7" w:rsidP="002A4FFC">
      <w:pPr>
        <w:pStyle w:val="Heading1Numbered"/>
        <w:numPr>
          <w:ilvl w:val="0"/>
          <w:numId w:val="0"/>
        </w:numPr>
        <w:spacing w:before="0" w:after="0"/>
      </w:pPr>
      <w:bookmarkStart w:id="7" w:name="_Toc340237633"/>
      <w:bookmarkStart w:id="8" w:name="_Toc373399196"/>
      <w:bookmarkEnd w:id="7"/>
      <w:r>
        <w:lastRenderedPageBreak/>
        <w:t>Annex A: Background note</w:t>
      </w:r>
      <w:r w:rsidR="00F421CF">
        <w:t>s</w:t>
      </w:r>
      <w:bookmarkEnd w:id="8"/>
    </w:p>
    <w:p w:rsidR="0022037F" w:rsidRDefault="0022037F" w:rsidP="002A4FFC">
      <w:pPr>
        <w:spacing w:before="0"/>
        <w:ind w:left="2345"/>
      </w:pPr>
    </w:p>
    <w:p w:rsidR="002F6FD7" w:rsidRDefault="002F6FD7" w:rsidP="00A46126">
      <w:pPr>
        <w:numPr>
          <w:ilvl w:val="0"/>
          <w:numId w:val="7"/>
        </w:numPr>
        <w:spacing w:before="0"/>
        <w:ind w:left="1985" w:hanging="567"/>
      </w:pPr>
      <w:r w:rsidRPr="009B6D42">
        <w:t xml:space="preserve">The Entertainment licensing </w:t>
      </w:r>
      <w:r w:rsidR="0015370D">
        <w:t>data collection</w:t>
      </w:r>
      <w:r w:rsidRPr="009B6D42">
        <w:t xml:space="preserve"> is commissioned by </w:t>
      </w:r>
      <w:r w:rsidR="00BD3C1D">
        <w:t xml:space="preserve">the </w:t>
      </w:r>
      <w:r w:rsidRPr="009B6D42">
        <w:t xml:space="preserve">Home Office on behalf of the Department for Culture, Media and Sport, as part of their data collection for the </w:t>
      </w:r>
      <w:r w:rsidRPr="009B6D42">
        <w:rPr>
          <w:i/>
        </w:rPr>
        <w:t>Alcohol, entertainment and late night refreshment licensing statistics</w:t>
      </w:r>
      <w:r w:rsidRPr="009B6D42">
        <w:t>.</w:t>
      </w:r>
      <w:r w:rsidR="00892534">
        <w:t xml:space="preserve"> See here for full details o</w:t>
      </w:r>
      <w:r w:rsidR="001270DB">
        <w:t>f</w:t>
      </w:r>
      <w:r w:rsidR="00DF4FB3">
        <w:t xml:space="preserve"> The L</w:t>
      </w:r>
      <w:r w:rsidR="00892534">
        <w:t xml:space="preserve">icensing </w:t>
      </w:r>
      <w:r w:rsidR="00DF4FB3">
        <w:t>A</w:t>
      </w:r>
      <w:r w:rsidR="00892534">
        <w:t>ct 2003</w:t>
      </w:r>
      <w:r w:rsidR="001270DB">
        <w:t xml:space="preserve"> </w:t>
      </w:r>
      <w:hyperlink r:id="rId37" w:history="1">
        <w:r w:rsidR="001270DB" w:rsidRPr="00246DC5">
          <w:rPr>
            <w:rStyle w:val="Hyperlink"/>
          </w:rPr>
          <w:t>http://www.legislation.gov.uk/ukpga/2003/17/contents</w:t>
        </w:r>
      </w:hyperlink>
    </w:p>
    <w:p w:rsidR="00853830" w:rsidRDefault="00293499" w:rsidP="00750877">
      <w:pPr>
        <w:spacing w:before="0"/>
        <w:ind w:left="1985"/>
        <w:rPr>
          <w:rStyle w:val="Hyperlink"/>
        </w:rPr>
      </w:pPr>
      <w:r>
        <w:t xml:space="preserve">Note that the Act has been partially amended by the Live Music Act 2012 </w:t>
      </w:r>
      <w:hyperlink r:id="rId38" w:history="1">
        <w:r w:rsidRPr="00246DC5">
          <w:rPr>
            <w:rStyle w:val="Hyperlink"/>
          </w:rPr>
          <w:t>http://www.legislation.gov.uk/ukpga/2012/2/contents/enacted</w:t>
        </w:r>
      </w:hyperlink>
    </w:p>
    <w:p w:rsidR="00853830" w:rsidRPr="00853830" w:rsidRDefault="00853830" w:rsidP="00907649">
      <w:pPr>
        <w:spacing w:before="0"/>
        <w:ind w:left="1985"/>
      </w:pPr>
      <w:r>
        <w:rPr>
          <w:rStyle w:val="Hyperlink"/>
          <w:color w:val="auto"/>
          <w:u w:val="none"/>
        </w:rPr>
        <w:t>And the “2013 order”</w:t>
      </w:r>
      <w:r w:rsidR="00907649">
        <w:rPr>
          <w:rStyle w:val="Hyperlink"/>
          <w:color w:val="auto"/>
          <w:u w:val="none"/>
        </w:rPr>
        <w:t xml:space="preserve"> </w:t>
      </w:r>
      <w:hyperlink r:id="rId39" w:history="1">
        <w:r w:rsidRPr="000A7A1F">
          <w:rPr>
            <w:rStyle w:val="Hyperlink"/>
          </w:rPr>
          <w:t>http://www.legislation.gov.uk/uksi/2013/1578/contents/made</w:t>
        </w:r>
      </w:hyperlink>
      <w:r>
        <w:rPr>
          <w:rStyle w:val="Hyperlink"/>
          <w:color w:val="auto"/>
          <w:u w:val="none"/>
        </w:rPr>
        <w:t xml:space="preserve"> </w:t>
      </w:r>
    </w:p>
    <w:p w:rsidR="002F6FD7" w:rsidRDefault="002F6FD7" w:rsidP="00A46126">
      <w:pPr>
        <w:spacing w:before="0"/>
        <w:ind w:left="1985" w:hanging="567"/>
      </w:pPr>
    </w:p>
    <w:p w:rsidR="002F6FD7" w:rsidRDefault="00F421CF" w:rsidP="00A46126">
      <w:pPr>
        <w:pStyle w:val="ListParagraph"/>
        <w:numPr>
          <w:ilvl w:val="0"/>
          <w:numId w:val="7"/>
        </w:numPr>
        <w:spacing w:before="0"/>
        <w:ind w:left="1985" w:hanging="567"/>
        <w:rPr>
          <w:rFonts w:cs="Arial"/>
          <w:szCs w:val="22"/>
        </w:rPr>
      </w:pPr>
      <w:r>
        <w:rPr>
          <w:rFonts w:cs="Arial"/>
          <w:i/>
          <w:szCs w:val="22"/>
        </w:rPr>
        <w:t>E</w:t>
      </w:r>
      <w:r w:rsidR="002F6FD7" w:rsidRPr="00EC2D9F">
        <w:rPr>
          <w:rFonts w:cs="Arial"/>
          <w:i/>
          <w:szCs w:val="22"/>
        </w:rPr>
        <w:t>ntertainment licensing</w:t>
      </w:r>
      <w:r>
        <w:rPr>
          <w:rFonts w:cs="Arial"/>
          <w:i/>
          <w:szCs w:val="22"/>
        </w:rPr>
        <w:t xml:space="preserve"> statistics 201</w:t>
      </w:r>
      <w:r w:rsidR="009A4BE4">
        <w:rPr>
          <w:rFonts w:cs="Arial"/>
          <w:i/>
          <w:szCs w:val="22"/>
        </w:rPr>
        <w:t>4</w:t>
      </w:r>
      <w:r>
        <w:rPr>
          <w:rFonts w:cs="Arial"/>
          <w:i/>
          <w:szCs w:val="22"/>
        </w:rPr>
        <w:t xml:space="preserve"> </w:t>
      </w:r>
      <w:r>
        <w:rPr>
          <w:rFonts w:cs="Arial"/>
          <w:szCs w:val="22"/>
        </w:rPr>
        <w:t>is</w:t>
      </w:r>
      <w:r w:rsidR="002F6FD7" w:rsidRPr="00DF2AF3">
        <w:rPr>
          <w:rFonts w:cs="Arial"/>
          <w:szCs w:val="22"/>
        </w:rPr>
        <w:t xml:space="preserve"> a Nat</w:t>
      </w:r>
      <w:r w:rsidR="00B40FCF">
        <w:rPr>
          <w:rFonts w:cs="Arial"/>
          <w:szCs w:val="22"/>
        </w:rPr>
        <w:t>ional Statistic and has bee</w:t>
      </w:r>
      <w:r w:rsidR="002F6FD7" w:rsidRPr="00DF2AF3">
        <w:rPr>
          <w:rFonts w:cs="Arial"/>
          <w:szCs w:val="22"/>
        </w:rPr>
        <w:t xml:space="preserve">n produced to the high professional standards set out in the Code of Practice for Official Statistics. National Statistics undergo regular quality assurance reviews to ensure they meet customer needs and are produced free from any political interference. For more information, see </w:t>
      </w:r>
      <w:hyperlink r:id="rId40" w:history="1">
        <w:r w:rsidR="002F6FD7" w:rsidRPr="00D22FDF">
          <w:rPr>
            <w:rStyle w:val="Hyperlink"/>
            <w:rFonts w:cs="Arial"/>
            <w:szCs w:val="22"/>
          </w:rPr>
          <w:t>http://www.statisticsauthority.gov.uk/assessment/code-of-practice/code-of-practice-for-official-statistics.pdf</w:t>
        </w:r>
      </w:hyperlink>
      <w:r w:rsidR="002F6FD7">
        <w:rPr>
          <w:rFonts w:cs="Arial"/>
          <w:szCs w:val="22"/>
        </w:rPr>
        <w:t xml:space="preserve">. </w:t>
      </w:r>
    </w:p>
    <w:p w:rsidR="00C56E8A" w:rsidRPr="00DF2AF3" w:rsidRDefault="00C56E8A" w:rsidP="00F33BFB">
      <w:pPr>
        <w:pStyle w:val="ListParagraph"/>
        <w:spacing w:before="0"/>
        <w:ind w:left="0"/>
        <w:rPr>
          <w:rFonts w:cs="Arial"/>
          <w:szCs w:val="22"/>
        </w:rPr>
      </w:pPr>
    </w:p>
    <w:p w:rsidR="002F6FD7" w:rsidRPr="00EE0982" w:rsidRDefault="002F6FD7" w:rsidP="00A46126">
      <w:pPr>
        <w:pStyle w:val="ListParagraph"/>
        <w:numPr>
          <w:ilvl w:val="0"/>
          <w:numId w:val="7"/>
        </w:numPr>
        <w:spacing w:before="0"/>
        <w:ind w:left="1985" w:hanging="567"/>
        <w:contextualSpacing w:val="0"/>
      </w:pPr>
      <w:r w:rsidRPr="00EE0982">
        <w:t>The</w:t>
      </w:r>
      <w:r>
        <w:t xml:space="preserve"> latest</w:t>
      </w:r>
      <w:r w:rsidRPr="00EE0982">
        <w:t xml:space="preserve"> </w:t>
      </w:r>
      <w:r w:rsidR="009B6D42">
        <w:t>results presented here are on the number of premises licences or club premises certificates</w:t>
      </w:r>
      <w:r w:rsidR="001270DB">
        <w:t xml:space="preserve"> authorising the provision of regulated entertainment</w:t>
      </w:r>
      <w:r w:rsidR="009B6D42">
        <w:t xml:space="preserve"> in force in </w:t>
      </w:r>
      <w:r w:rsidR="009B6D42" w:rsidRPr="009B6D42">
        <w:rPr>
          <w:b/>
        </w:rPr>
        <w:t>England and Wales</w:t>
      </w:r>
      <w:r w:rsidRPr="00EE0982">
        <w:t xml:space="preserve"> on</w:t>
      </w:r>
      <w:r w:rsidR="00743F3B">
        <w:t xml:space="preserve"> </w:t>
      </w:r>
      <w:r w:rsidR="00743F3B" w:rsidRPr="00EC2D9F">
        <w:rPr>
          <w:b/>
        </w:rPr>
        <w:t>31 March 201</w:t>
      </w:r>
      <w:r w:rsidR="009A4BE4">
        <w:rPr>
          <w:b/>
        </w:rPr>
        <w:t>4</w:t>
      </w:r>
      <w:r w:rsidRPr="00EE0982">
        <w:t xml:space="preserve">.  </w:t>
      </w:r>
    </w:p>
    <w:p w:rsidR="002F6FD7" w:rsidRPr="002512F8" w:rsidRDefault="002F6FD7" w:rsidP="00A46126">
      <w:pPr>
        <w:pStyle w:val="ListParagraph"/>
        <w:spacing w:before="0"/>
        <w:ind w:left="1985" w:hanging="567"/>
        <w:rPr>
          <w:rFonts w:cs="Arial"/>
          <w:i/>
          <w:szCs w:val="22"/>
        </w:rPr>
      </w:pPr>
    </w:p>
    <w:p w:rsidR="00743F3B" w:rsidRPr="00293499" w:rsidRDefault="002F6FD7" w:rsidP="00A46126">
      <w:pPr>
        <w:pStyle w:val="ListParagraph"/>
        <w:numPr>
          <w:ilvl w:val="0"/>
          <w:numId w:val="7"/>
        </w:numPr>
        <w:spacing w:before="0"/>
        <w:ind w:left="1985" w:hanging="567"/>
        <w:rPr>
          <w:rFonts w:cs="Arial"/>
          <w:szCs w:val="22"/>
        </w:rPr>
      </w:pPr>
      <w:r w:rsidRPr="00EE0982">
        <w:rPr>
          <w:rFonts w:cs="Arial"/>
          <w:szCs w:val="22"/>
        </w:rPr>
        <w:t xml:space="preserve">The </w:t>
      </w:r>
      <w:r w:rsidR="00743F3B">
        <w:rPr>
          <w:rFonts w:cs="Arial"/>
          <w:szCs w:val="22"/>
        </w:rPr>
        <w:t>q</w:t>
      </w:r>
      <w:r w:rsidR="001918A4">
        <w:rPr>
          <w:rFonts w:cs="Arial"/>
          <w:szCs w:val="22"/>
        </w:rPr>
        <w:t>uestionnaire covers all</w:t>
      </w:r>
      <w:r w:rsidR="00743F3B">
        <w:rPr>
          <w:rFonts w:cs="Arial"/>
          <w:szCs w:val="22"/>
        </w:rPr>
        <w:t xml:space="preserve"> licensing aut</w:t>
      </w:r>
      <w:r w:rsidR="009B6D42">
        <w:rPr>
          <w:rFonts w:cs="Arial"/>
          <w:szCs w:val="22"/>
        </w:rPr>
        <w:t>horities in England and Wales (3</w:t>
      </w:r>
      <w:r w:rsidR="001270DB">
        <w:rPr>
          <w:rFonts w:cs="Arial"/>
          <w:szCs w:val="22"/>
        </w:rPr>
        <w:t>50 licensing authorities).</w:t>
      </w:r>
    </w:p>
    <w:p w:rsidR="007F435D" w:rsidRPr="001270DB" w:rsidRDefault="007F435D" w:rsidP="00A46126">
      <w:pPr>
        <w:pStyle w:val="ListParagraph"/>
        <w:spacing w:before="0"/>
        <w:ind w:left="1985" w:hanging="567"/>
      </w:pPr>
    </w:p>
    <w:p w:rsidR="00201D95" w:rsidRPr="00201D95" w:rsidRDefault="003B4F6C" w:rsidP="00A46126">
      <w:pPr>
        <w:numPr>
          <w:ilvl w:val="0"/>
          <w:numId w:val="7"/>
        </w:numPr>
        <w:spacing w:before="0"/>
        <w:ind w:left="1985" w:hanging="567"/>
        <w:rPr>
          <w:rFonts w:cs="Arial"/>
          <w:szCs w:val="22"/>
        </w:rPr>
      </w:pPr>
      <w:r>
        <w:rPr>
          <w:rFonts w:cs="Arial"/>
          <w:szCs w:val="22"/>
        </w:rPr>
        <w:t>Prior to 2012, these figures</w:t>
      </w:r>
      <w:r w:rsidR="001270DB" w:rsidRPr="00DF4FB3">
        <w:rPr>
          <w:rFonts w:cs="Arial"/>
          <w:szCs w:val="22"/>
        </w:rPr>
        <w:t xml:space="preserve"> were reported on as part of the DCMS publication</w:t>
      </w:r>
      <w:r w:rsidR="00293499" w:rsidRPr="00DF4FB3">
        <w:rPr>
          <w:rFonts w:cs="Arial"/>
          <w:szCs w:val="22"/>
        </w:rPr>
        <w:t>:</w:t>
      </w:r>
      <w:r w:rsidR="001270DB" w:rsidRPr="00DF4FB3">
        <w:rPr>
          <w:rFonts w:cs="Arial"/>
          <w:szCs w:val="22"/>
        </w:rPr>
        <w:t xml:space="preserve"> Alcohol, Entertainment and Late Night Refreshment Licensing</w:t>
      </w:r>
      <w:r>
        <w:rPr>
          <w:rFonts w:cs="Arial"/>
          <w:szCs w:val="22"/>
        </w:rPr>
        <w:t>. This release from 2009/10</w:t>
      </w:r>
      <w:r w:rsidR="001270DB" w:rsidRPr="00DF4FB3">
        <w:rPr>
          <w:rFonts w:cs="Arial"/>
          <w:szCs w:val="22"/>
        </w:rPr>
        <w:t xml:space="preserve"> can be found </w:t>
      </w:r>
      <w:r w:rsidR="001E59FA">
        <w:rPr>
          <w:rFonts w:cs="Arial"/>
          <w:szCs w:val="22"/>
        </w:rPr>
        <w:t>at</w:t>
      </w:r>
      <w:r w:rsidR="001E59FA" w:rsidRPr="00DF4FB3">
        <w:rPr>
          <w:rFonts w:cs="Arial"/>
          <w:szCs w:val="22"/>
        </w:rPr>
        <w:t xml:space="preserve"> </w:t>
      </w:r>
      <w:hyperlink r:id="rId41" w:history="1">
        <w:r w:rsidR="001270DB" w:rsidRPr="00DF4FB3">
          <w:rPr>
            <w:rStyle w:val="Hyperlink"/>
            <w:rFonts w:cs="Arial"/>
            <w:szCs w:val="22"/>
          </w:rPr>
          <w:t>http://www.culture.gov.uk/what_we_do/research_and_statistics/4865.aspx</w:t>
        </w:r>
      </w:hyperlink>
      <w:r w:rsidR="00F33BFB">
        <w:rPr>
          <w:rStyle w:val="Hyperlink"/>
          <w:rFonts w:cs="Arial"/>
          <w:szCs w:val="22"/>
        </w:rPr>
        <w:t>.</w:t>
      </w:r>
      <w:r w:rsidR="00201D95">
        <w:rPr>
          <w:rStyle w:val="Hyperlink"/>
          <w:rFonts w:cs="Arial"/>
          <w:color w:val="auto"/>
          <w:szCs w:val="22"/>
          <w:u w:val="none"/>
        </w:rPr>
        <w:t xml:space="preserve">                      </w:t>
      </w:r>
      <w:r w:rsidR="00B40FCF">
        <w:rPr>
          <w:rStyle w:val="Hyperlink"/>
          <w:rFonts w:cs="Arial"/>
          <w:color w:val="auto"/>
          <w:szCs w:val="22"/>
          <w:u w:val="none"/>
        </w:rPr>
        <w:t>There</w:t>
      </w:r>
      <w:r w:rsidR="00201D95">
        <w:rPr>
          <w:rStyle w:val="Hyperlink"/>
          <w:rFonts w:cs="Arial"/>
          <w:color w:val="auto"/>
          <w:szCs w:val="22"/>
          <w:u w:val="none"/>
        </w:rPr>
        <w:t xml:space="preserve"> was no entertainment licensing data collection in 2011 and it is not feasible to retrospectively collect this data reliably. </w:t>
      </w:r>
    </w:p>
    <w:p w:rsidR="000F290B" w:rsidRDefault="000F290B" w:rsidP="00A46126">
      <w:pPr>
        <w:pStyle w:val="ListParagraph"/>
        <w:spacing w:before="0"/>
        <w:ind w:left="1985" w:hanging="567"/>
        <w:rPr>
          <w:rFonts w:cs="Arial"/>
          <w:szCs w:val="22"/>
        </w:rPr>
      </w:pPr>
    </w:p>
    <w:p w:rsidR="000F290B" w:rsidRDefault="000F290B" w:rsidP="00A46126">
      <w:pPr>
        <w:numPr>
          <w:ilvl w:val="0"/>
          <w:numId w:val="7"/>
        </w:numPr>
        <w:spacing w:before="0"/>
        <w:ind w:left="1985" w:hanging="567"/>
        <w:rPr>
          <w:rFonts w:cs="Arial"/>
          <w:szCs w:val="22"/>
        </w:rPr>
      </w:pPr>
      <w:r>
        <w:rPr>
          <w:rFonts w:cs="Arial"/>
          <w:szCs w:val="22"/>
        </w:rPr>
        <w:t xml:space="preserve">The </w:t>
      </w:r>
      <w:r w:rsidR="0022037F">
        <w:rPr>
          <w:rFonts w:cs="Arial"/>
          <w:szCs w:val="22"/>
        </w:rPr>
        <w:t xml:space="preserve">total </w:t>
      </w:r>
      <w:r>
        <w:rPr>
          <w:rFonts w:cs="Arial"/>
          <w:szCs w:val="22"/>
        </w:rPr>
        <w:t xml:space="preserve">compliance cost </w:t>
      </w:r>
      <w:r w:rsidR="0022037F">
        <w:rPr>
          <w:rFonts w:cs="Arial"/>
          <w:szCs w:val="22"/>
        </w:rPr>
        <w:t>of</w:t>
      </w:r>
      <w:r>
        <w:rPr>
          <w:rFonts w:cs="Arial"/>
          <w:szCs w:val="22"/>
        </w:rPr>
        <w:t xml:space="preserve"> licensing authorities responding to th</w:t>
      </w:r>
      <w:r w:rsidR="00F421CF">
        <w:rPr>
          <w:rFonts w:cs="Arial"/>
          <w:szCs w:val="22"/>
        </w:rPr>
        <w:t>e</w:t>
      </w:r>
      <w:r>
        <w:rPr>
          <w:rFonts w:cs="Arial"/>
          <w:szCs w:val="22"/>
        </w:rPr>
        <w:t xml:space="preserve"> questionnaire (not just the regu</w:t>
      </w:r>
      <w:r w:rsidR="00EC11A6">
        <w:rPr>
          <w:rFonts w:cs="Arial"/>
          <w:szCs w:val="22"/>
        </w:rPr>
        <w:t xml:space="preserve">lated entertainment section) is estimated </w:t>
      </w:r>
      <w:r w:rsidR="00EC11A6" w:rsidRPr="00EC11A6">
        <w:rPr>
          <w:rFonts w:cs="Arial"/>
          <w:szCs w:val="22"/>
        </w:rPr>
        <w:t>at</w:t>
      </w:r>
      <w:r w:rsidRPr="00EC11A6">
        <w:rPr>
          <w:rFonts w:cs="Arial"/>
          <w:szCs w:val="22"/>
        </w:rPr>
        <w:t xml:space="preserve"> £10,4</w:t>
      </w:r>
      <w:r w:rsidR="00F421CF" w:rsidRPr="00EC11A6">
        <w:rPr>
          <w:rFonts w:cs="Arial"/>
          <w:szCs w:val="22"/>
        </w:rPr>
        <w:t>00</w:t>
      </w:r>
      <w:r w:rsidR="0022037F" w:rsidRPr="00EC11A6">
        <w:rPr>
          <w:rFonts w:cs="Arial"/>
          <w:szCs w:val="22"/>
        </w:rPr>
        <w:t>.</w:t>
      </w:r>
    </w:p>
    <w:p w:rsidR="000D5679" w:rsidRDefault="000D5679" w:rsidP="000D5679">
      <w:pPr>
        <w:pStyle w:val="ListParagraph"/>
        <w:rPr>
          <w:rFonts w:cs="Arial"/>
          <w:szCs w:val="22"/>
        </w:rPr>
      </w:pPr>
    </w:p>
    <w:p w:rsidR="007F435D" w:rsidRDefault="00293499" w:rsidP="00A46126">
      <w:pPr>
        <w:pStyle w:val="ListParagraph"/>
        <w:numPr>
          <w:ilvl w:val="0"/>
          <w:numId w:val="7"/>
        </w:numPr>
        <w:spacing w:before="0"/>
        <w:ind w:left="1985" w:hanging="567"/>
        <w:rPr>
          <w:rFonts w:cs="Arial"/>
          <w:szCs w:val="22"/>
        </w:rPr>
      </w:pPr>
      <w:r w:rsidRPr="000D5679">
        <w:rPr>
          <w:rFonts w:cs="Arial"/>
          <w:szCs w:val="22"/>
        </w:rPr>
        <w:t>Of the 350 Licensing Auth</w:t>
      </w:r>
      <w:r w:rsidR="00B40FCF" w:rsidRPr="000D5679">
        <w:rPr>
          <w:rFonts w:cs="Arial"/>
          <w:szCs w:val="22"/>
        </w:rPr>
        <w:t>o</w:t>
      </w:r>
      <w:r w:rsidR="003103EF" w:rsidRPr="000D5679">
        <w:rPr>
          <w:rFonts w:cs="Arial"/>
          <w:szCs w:val="22"/>
        </w:rPr>
        <w:t>rities in Engl</w:t>
      </w:r>
      <w:r w:rsidR="003103EF" w:rsidRPr="004A0129">
        <w:rPr>
          <w:rFonts w:cs="Arial"/>
          <w:szCs w:val="22"/>
        </w:rPr>
        <w:t>and and Wales,</w:t>
      </w:r>
      <w:r w:rsidR="004A0129" w:rsidRPr="004A0129">
        <w:rPr>
          <w:rFonts w:cs="Arial"/>
          <w:szCs w:val="22"/>
        </w:rPr>
        <w:t xml:space="preserve"> all of </w:t>
      </w:r>
      <w:r w:rsidR="009F74B0">
        <w:rPr>
          <w:rFonts w:cs="Arial"/>
          <w:szCs w:val="22"/>
        </w:rPr>
        <w:t>them</w:t>
      </w:r>
      <w:r w:rsidR="004A0129" w:rsidRPr="004A0129">
        <w:rPr>
          <w:rFonts w:cs="Arial"/>
          <w:szCs w:val="22"/>
        </w:rPr>
        <w:t xml:space="preserve"> </w:t>
      </w:r>
      <w:r w:rsidR="003103EF" w:rsidRPr="004A0129">
        <w:rPr>
          <w:rFonts w:cs="Arial"/>
          <w:szCs w:val="22"/>
        </w:rPr>
        <w:t>(</w:t>
      </w:r>
      <w:r w:rsidR="004A0129" w:rsidRPr="004A0129">
        <w:rPr>
          <w:rFonts w:cs="Arial"/>
          <w:szCs w:val="22"/>
        </w:rPr>
        <w:t>100</w:t>
      </w:r>
      <w:r w:rsidRPr="004A0129">
        <w:rPr>
          <w:rFonts w:cs="Arial"/>
          <w:szCs w:val="22"/>
        </w:rPr>
        <w:t>%) responded to the questionnaire</w:t>
      </w:r>
      <w:r w:rsidR="0022037F" w:rsidRPr="004A0129">
        <w:rPr>
          <w:rFonts w:cs="Arial"/>
          <w:szCs w:val="22"/>
        </w:rPr>
        <w:t>. O</w:t>
      </w:r>
      <w:r w:rsidRPr="004A0129">
        <w:rPr>
          <w:rFonts w:cs="Arial"/>
          <w:szCs w:val="22"/>
        </w:rPr>
        <w:t>f these 30</w:t>
      </w:r>
      <w:r w:rsidR="000D5679" w:rsidRPr="004A0129">
        <w:rPr>
          <w:rFonts w:cs="Arial"/>
          <w:szCs w:val="22"/>
        </w:rPr>
        <w:t>1</w:t>
      </w:r>
      <w:r w:rsidRPr="004A0129">
        <w:rPr>
          <w:rFonts w:cs="Arial"/>
          <w:szCs w:val="22"/>
        </w:rPr>
        <w:t xml:space="preserve"> (8</w:t>
      </w:r>
      <w:r w:rsidR="000D5679" w:rsidRPr="004A0129">
        <w:rPr>
          <w:rFonts w:cs="Arial"/>
          <w:szCs w:val="22"/>
        </w:rPr>
        <w:t>7</w:t>
      </w:r>
      <w:r w:rsidRPr="004A0129">
        <w:rPr>
          <w:rFonts w:cs="Arial"/>
          <w:szCs w:val="22"/>
        </w:rPr>
        <w:t>.</w:t>
      </w:r>
      <w:r w:rsidR="000D5679" w:rsidRPr="004A0129">
        <w:rPr>
          <w:rFonts w:cs="Arial"/>
          <w:szCs w:val="22"/>
        </w:rPr>
        <w:t>7</w:t>
      </w:r>
      <w:r w:rsidRPr="004A0129">
        <w:rPr>
          <w:rFonts w:cs="Arial"/>
          <w:szCs w:val="22"/>
        </w:rPr>
        <w:t>%)</w:t>
      </w:r>
      <w:r w:rsidR="000D5679" w:rsidRPr="004A0129">
        <w:rPr>
          <w:rFonts w:cs="Arial"/>
          <w:szCs w:val="22"/>
        </w:rPr>
        <w:t xml:space="preserve"> and 307 (86.0</w:t>
      </w:r>
      <w:r w:rsidR="00F33BFB" w:rsidRPr="004A0129">
        <w:rPr>
          <w:rFonts w:cs="Arial"/>
          <w:szCs w:val="22"/>
        </w:rPr>
        <w:t>%)</w:t>
      </w:r>
      <w:r w:rsidRPr="004A0129">
        <w:rPr>
          <w:rFonts w:cs="Arial"/>
          <w:szCs w:val="22"/>
        </w:rPr>
        <w:t xml:space="preserve"> provided the total number of premises licences </w:t>
      </w:r>
      <w:r w:rsidR="00F33BFB" w:rsidRPr="004A0129">
        <w:rPr>
          <w:rFonts w:cs="Arial"/>
          <w:szCs w:val="22"/>
        </w:rPr>
        <w:t xml:space="preserve">and </w:t>
      </w:r>
      <w:r w:rsidR="00F33BFB" w:rsidRPr="000D5679">
        <w:rPr>
          <w:rFonts w:cs="Arial"/>
          <w:szCs w:val="22"/>
        </w:rPr>
        <w:t xml:space="preserve">club premises certificates respectively </w:t>
      </w:r>
      <w:r w:rsidRPr="000D5679">
        <w:rPr>
          <w:rFonts w:cs="Arial"/>
          <w:szCs w:val="22"/>
        </w:rPr>
        <w:t>authorisi</w:t>
      </w:r>
      <w:r w:rsidR="00B40FCF" w:rsidRPr="000D5679">
        <w:rPr>
          <w:rFonts w:cs="Arial"/>
          <w:szCs w:val="22"/>
        </w:rPr>
        <w:t>ng regulated entertainment</w:t>
      </w:r>
      <w:r w:rsidRPr="000D5679">
        <w:rPr>
          <w:rFonts w:cs="Arial"/>
          <w:szCs w:val="22"/>
        </w:rPr>
        <w:t xml:space="preserve"> </w:t>
      </w:r>
      <w:r>
        <w:rPr>
          <w:rFonts w:cs="Arial"/>
          <w:szCs w:val="22"/>
        </w:rPr>
        <w:t>in force in their authority on 31 March 201</w:t>
      </w:r>
      <w:r w:rsidR="009A4BE4">
        <w:rPr>
          <w:rFonts w:cs="Arial"/>
          <w:szCs w:val="22"/>
        </w:rPr>
        <w:t>4</w:t>
      </w:r>
      <w:r>
        <w:rPr>
          <w:rFonts w:cs="Arial"/>
          <w:szCs w:val="22"/>
        </w:rPr>
        <w:t>. See table 1</w:t>
      </w:r>
      <w:r w:rsidR="00520CD6">
        <w:rPr>
          <w:rFonts w:cs="Arial"/>
          <w:szCs w:val="22"/>
        </w:rPr>
        <w:t xml:space="preserve"> on page </w:t>
      </w:r>
      <w:r w:rsidR="007622F3">
        <w:rPr>
          <w:rFonts w:cs="Arial"/>
          <w:szCs w:val="22"/>
        </w:rPr>
        <w:t>21</w:t>
      </w:r>
      <w:r w:rsidR="00520CD6">
        <w:rPr>
          <w:rFonts w:cs="Arial"/>
          <w:szCs w:val="22"/>
        </w:rPr>
        <w:t xml:space="preserve"> </w:t>
      </w:r>
      <w:r>
        <w:rPr>
          <w:rFonts w:cs="Arial"/>
          <w:szCs w:val="22"/>
        </w:rPr>
        <w:t xml:space="preserve">for a full breakdown of response rates </w:t>
      </w:r>
      <w:r w:rsidR="009E3F97">
        <w:rPr>
          <w:rFonts w:cs="Arial"/>
          <w:szCs w:val="22"/>
        </w:rPr>
        <w:t>for each entertainment type.</w:t>
      </w:r>
    </w:p>
    <w:p w:rsidR="00DF4FB3" w:rsidRDefault="00DF4FB3" w:rsidP="00A46126">
      <w:pPr>
        <w:pStyle w:val="ListParagraph"/>
        <w:spacing w:before="0"/>
        <w:ind w:left="1985" w:hanging="567"/>
        <w:rPr>
          <w:rFonts w:cs="Arial"/>
          <w:szCs w:val="22"/>
        </w:rPr>
      </w:pPr>
    </w:p>
    <w:p w:rsidR="00CD6DB4" w:rsidRPr="00CD6DB4" w:rsidRDefault="009E3F97" w:rsidP="00A46126">
      <w:pPr>
        <w:pStyle w:val="ListParagraph"/>
        <w:numPr>
          <w:ilvl w:val="0"/>
          <w:numId w:val="7"/>
        </w:numPr>
        <w:spacing w:before="0"/>
        <w:ind w:left="1985" w:hanging="567"/>
        <w:rPr>
          <w:rFonts w:cs="Arial"/>
          <w:szCs w:val="22"/>
        </w:rPr>
      </w:pPr>
      <w:r>
        <w:rPr>
          <w:rFonts w:cs="Arial"/>
          <w:szCs w:val="22"/>
        </w:rPr>
        <w:t xml:space="preserve">Estimates have been made for non-response </w:t>
      </w:r>
      <w:r>
        <w:t>(</w:t>
      </w:r>
      <w:r w:rsidRPr="008B2F35">
        <w:t xml:space="preserve">Non-response refers to a </w:t>
      </w:r>
      <w:r w:rsidR="0022037F">
        <w:t xml:space="preserve">licensing authority </w:t>
      </w:r>
      <w:r w:rsidRPr="008B2F35">
        <w:t>either not returning a questionnaire or leaving a specific question in the questionnaire blank</w:t>
      </w:r>
      <w:r>
        <w:t xml:space="preserve">). </w:t>
      </w:r>
    </w:p>
    <w:p w:rsidR="00CD6DB4" w:rsidRDefault="00CD6DB4" w:rsidP="00A46126">
      <w:pPr>
        <w:pStyle w:val="ListParagraph"/>
        <w:spacing w:before="0"/>
        <w:ind w:left="1985" w:hanging="567"/>
      </w:pPr>
    </w:p>
    <w:p w:rsidR="00CD6DB4" w:rsidRDefault="009E3F97" w:rsidP="00750877">
      <w:pPr>
        <w:pStyle w:val="ListParagraph"/>
        <w:spacing w:before="0"/>
        <w:ind w:left="1985"/>
      </w:pPr>
      <w:r>
        <w:t>In cases where</w:t>
      </w:r>
      <w:r w:rsidR="00212C84">
        <w:t xml:space="preserve"> data were not provided for a category </w:t>
      </w:r>
      <w:r>
        <w:t>from the 201</w:t>
      </w:r>
      <w:r w:rsidR="009A4BE4">
        <w:t>4</w:t>
      </w:r>
      <w:r>
        <w:t xml:space="preserve"> collection but </w:t>
      </w:r>
      <w:r w:rsidR="00F33BFB">
        <w:t>were provided</w:t>
      </w:r>
      <w:r>
        <w:t xml:space="preserve"> in the 201</w:t>
      </w:r>
      <w:r w:rsidR="009A4BE4">
        <w:t>3</w:t>
      </w:r>
      <w:r>
        <w:t xml:space="preserve"> collection, an estimate wa</w:t>
      </w:r>
      <w:r w:rsidR="00DF4FB3">
        <w:t>s made by</w:t>
      </w:r>
      <w:r w:rsidR="00212C84">
        <w:t xml:space="preserve"> applying an adjustment to</w:t>
      </w:r>
      <w:r w:rsidR="00DF4FB3">
        <w:t xml:space="preserve"> the 201</w:t>
      </w:r>
      <w:r w:rsidR="009A4BE4">
        <w:t>3</w:t>
      </w:r>
      <w:r w:rsidR="00DF4FB3">
        <w:t xml:space="preserve"> </w:t>
      </w:r>
      <w:r w:rsidR="00212C84">
        <w:t>figure for that licensing authority</w:t>
      </w:r>
      <w:r w:rsidR="00F33BFB">
        <w:t>. This adjustment was</w:t>
      </w:r>
      <w:r>
        <w:t xml:space="preserve"> the average percentage change from 201</w:t>
      </w:r>
      <w:r w:rsidR="009A4BE4">
        <w:t>3</w:t>
      </w:r>
      <w:r>
        <w:t xml:space="preserve"> to </w:t>
      </w:r>
      <w:r w:rsidR="00DF4FB3">
        <w:t>201</w:t>
      </w:r>
      <w:r w:rsidR="009A4BE4">
        <w:t>4</w:t>
      </w:r>
      <w:r>
        <w:t xml:space="preserve"> for the relevant category o</w:t>
      </w:r>
      <w:r w:rsidR="00DF4FB3">
        <w:t xml:space="preserve">f </w:t>
      </w:r>
      <w:r w:rsidR="00DF4FB3">
        <w:lastRenderedPageBreak/>
        <w:t>licensing authority</w:t>
      </w:r>
      <w:r w:rsidR="00212C84">
        <w:t xml:space="preserve"> </w:t>
      </w:r>
      <w:r w:rsidR="001918A4">
        <w:t>(These are: District, London Borough, Metropolitan District, Unitary Authority, Welsh Unitary Authority or left unspecified)</w:t>
      </w:r>
    </w:p>
    <w:p w:rsidR="00CD6DB4" w:rsidRDefault="00CD6DB4" w:rsidP="00A46126">
      <w:pPr>
        <w:pStyle w:val="ListParagraph"/>
        <w:spacing w:before="0"/>
        <w:ind w:left="1985" w:hanging="567"/>
      </w:pPr>
    </w:p>
    <w:p w:rsidR="00CD6DB4" w:rsidRDefault="00DF4FB3" w:rsidP="00750877">
      <w:pPr>
        <w:pStyle w:val="ListParagraph"/>
        <w:spacing w:before="0"/>
        <w:ind w:left="1985"/>
      </w:pPr>
      <w:r>
        <w:t>If</w:t>
      </w:r>
      <w:r w:rsidR="00CD6DB4">
        <w:t xml:space="preserve"> a figure had not been given in</w:t>
      </w:r>
      <w:r>
        <w:t xml:space="preserve"> 201</w:t>
      </w:r>
      <w:r w:rsidR="009A4BE4">
        <w:t>4</w:t>
      </w:r>
      <w:r w:rsidR="00997236">
        <w:t xml:space="preserve"> or 201</w:t>
      </w:r>
      <w:r w:rsidR="009A4BE4">
        <w:t>3</w:t>
      </w:r>
      <w:r w:rsidR="009E3F97">
        <w:t>, the same procedure was followed usi</w:t>
      </w:r>
      <w:r>
        <w:t>ng the 20</w:t>
      </w:r>
      <w:r w:rsidR="00997236">
        <w:t>1</w:t>
      </w:r>
      <w:r w:rsidR="009A4BE4">
        <w:t>2</w:t>
      </w:r>
      <w:r>
        <w:t xml:space="preserve"> entry</w:t>
      </w:r>
      <w:r w:rsidR="00997236">
        <w:t>.</w:t>
      </w:r>
    </w:p>
    <w:p w:rsidR="00CD6DB4" w:rsidRDefault="00CD6DB4" w:rsidP="00997236">
      <w:pPr>
        <w:pStyle w:val="ListParagraph"/>
        <w:spacing w:before="0"/>
        <w:ind w:left="0"/>
      </w:pPr>
    </w:p>
    <w:p w:rsidR="00032BFF" w:rsidRDefault="00CD6DB4" w:rsidP="003D552A">
      <w:pPr>
        <w:pStyle w:val="ListParagraph"/>
        <w:spacing w:before="0"/>
        <w:ind w:left="1985"/>
      </w:pPr>
      <w:r>
        <w:t>However, i</w:t>
      </w:r>
      <w:r w:rsidR="00DF4FB3">
        <w:t>f there was</w:t>
      </w:r>
      <w:r w:rsidR="009E3F97">
        <w:t xml:space="preserve"> no </w:t>
      </w:r>
      <w:r>
        <w:t>figure</w:t>
      </w:r>
      <w:r w:rsidR="009E3F97">
        <w:t xml:space="preserve"> for </w:t>
      </w:r>
      <w:r w:rsidR="00E85017">
        <w:t xml:space="preserve">a particular licensing authority in </w:t>
      </w:r>
      <w:r w:rsidR="009E3F97">
        <w:t>201</w:t>
      </w:r>
      <w:r w:rsidR="009A4BE4">
        <w:t>4</w:t>
      </w:r>
      <w:r w:rsidR="009E3F97">
        <w:t>, 201</w:t>
      </w:r>
      <w:r w:rsidR="009A4BE4">
        <w:t>3</w:t>
      </w:r>
      <w:r w:rsidR="009E3F97">
        <w:t xml:space="preserve">, </w:t>
      </w:r>
      <w:r w:rsidR="00997236">
        <w:t>or 201</w:t>
      </w:r>
      <w:r w:rsidR="009A4BE4">
        <w:t>2</w:t>
      </w:r>
      <w:r w:rsidR="009E3F97">
        <w:t xml:space="preserve"> then an average figure for the relevant type of licensing authority was used.</w:t>
      </w:r>
      <w:r w:rsidR="009E3F97">
        <w:rPr>
          <w:rFonts w:cs="Arial"/>
          <w:szCs w:val="22"/>
        </w:rPr>
        <w:t xml:space="preserve"> Excel sheets </w:t>
      </w:r>
      <w:r w:rsidR="00D0403F">
        <w:rPr>
          <w:rFonts w:cs="Arial"/>
          <w:szCs w:val="22"/>
        </w:rPr>
        <w:t>of</w:t>
      </w:r>
      <w:r w:rsidR="009E3F97">
        <w:rPr>
          <w:rFonts w:cs="Arial"/>
          <w:szCs w:val="22"/>
        </w:rPr>
        <w:t xml:space="preserve"> modell</w:t>
      </w:r>
      <w:r w:rsidR="00D0403F">
        <w:rPr>
          <w:rFonts w:cs="Arial"/>
          <w:szCs w:val="22"/>
        </w:rPr>
        <w:t>ed estimates</w:t>
      </w:r>
      <w:r w:rsidR="009E3F97">
        <w:rPr>
          <w:rFonts w:cs="Arial"/>
          <w:szCs w:val="22"/>
        </w:rPr>
        <w:t xml:space="preserve"> can be found </w:t>
      </w:r>
      <w:r w:rsidR="001E59FA">
        <w:rPr>
          <w:rFonts w:cs="Arial"/>
          <w:szCs w:val="22"/>
        </w:rPr>
        <w:t>at</w:t>
      </w:r>
      <w:r w:rsidR="003D552A">
        <w:rPr>
          <w:rFonts w:cs="Arial"/>
          <w:szCs w:val="22"/>
        </w:rPr>
        <w:t xml:space="preserve">: </w:t>
      </w:r>
      <w:hyperlink r:id="rId42" w:history="1">
        <w:r w:rsidR="009A4BE4">
          <w:rPr>
            <w:rStyle w:val="Hyperlink"/>
          </w:rPr>
          <w:t>https://www.gov.uk/government/publications/entertainment-licensing-2014</w:t>
        </w:r>
      </w:hyperlink>
    </w:p>
    <w:p w:rsidR="009E3F97" w:rsidRPr="001270DB" w:rsidRDefault="009E3F97" w:rsidP="00A46126">
      <w:pPr>
        <w:pStyle w:val="ListParagraph"/>
        <w:spacing w:before="0"/>
        <w:ind w:left="1985" w:hanging="567"/>
        <w:rPr>
          <w:rFonts w:cs="Arial"/>
          <w:szCs w:val="22"/>
        </w:rPr>
      </w:pPr>
      <w:r>
        <w:t xml:space="preserve"> </w:t>
      </w:r>
    </w:p>
    <w:p w:rsidR="00F963BF" w:rsidRDefault="00A46126" w:rsidP="00A46126">
      <w:pPr>
        <w:numPr>
          <w:ilvl w:val="0"/>
          <w:numId w:val="7"/>
        </w:numPr>
        <w:spacing w:before="0"/>
        <w:ind w:left="1985" w:hanging="567"/>
        <w:rPr>
          <w:rFonts w:cs="Arial"/>
          <w:szCs w:val="22"/>
        </w:rPr>
      </w:pPr>
      <w:r>
        <w:rPr>
          <w:rFonts w:cs="Arial"/>
          <w:szCs w:val="22"/>
        </w:rPr>
        <w:t>Estimating for non-</w:t>
      </w:r>
      <w:r w:rsidR="00F963BF">
        <w:rPr>
          <w:rFonts w:cs="Arial"/>
          <w:szCs w:val="22"/>
        </w:rPr>
        <w:t xml:space="preserve">response allows changes to be compared on a comparable basis between years. There are some limitations to the estimation process, but the data are sufficiently robust for their intended use. </w:t>
      </w:r>
      <w:r w:rsidR="00364FDF">
        <w:rPr>
          <w:rFonts w:cs="Arial"/>
          <w:szCs w:val="22"/>
        </w:rPr>
        <w:t xml:space="preserve">These are discussed in Annex B. </w:t>
      </w:r>
      <w:r w:rsidR="00F963BF">
        <w:rPr>
          <w:rFonts w:cs="Arial"/>
          <w:szCs w:val="22"/>
        </w:rPr>
        <w:t xml:space="preserve">Data tables based </w:t>
      </w:r>
      <w:r w:rsidR="00F33BFB">
        <w:rPr>
          <w:rFonts w:cs="Arial"/>
          <w:szCs w:val="22"/>
        </w:rPr>
        <w:t xml:space="preserve">only </w:t>
      </w:r>
      <w:r w:rsidR="00F963BF">
        <w:rPr>
          <w:rFonts w:cs="Arial"/>
          <w:szCs w:val="22"/>
        </w:rPr>
        <w:t>on ac</w:t>
      </w:r>
      <w:r w:rsidR="00997236">
        <w:rPr>
          <w:rFonts w:cs="Arial"/>
          <w:szCs w:val="22"/>
        </w:rPr>
        <w:t>tual returns</w:t>
      </w:r>
      <w:r w:rsidR="00F33BFB">
        <w:rPr>
          <w:rFonts w:cs="Arial"/>
          <w:szCs w:val="22"/>
        </w:rPr>
        <w:t xml:space="preserve"> for individual licensing authorities </w:t>
      </w:r>
      <w:r w:rsidR="00997236">
        <w:rPr>
          <w:rFonts w:cs="Arial"/>
          <w:szCs w:val="22"/>
        </w:rPr>
        <w:t xml:space="preserve">are </w:t>
      </w:r>
      <w:r w:rsidR="001E59FA">
        <w:rPr>
          <w:rFonts w:cs="Arial"/>
          <w:szCs w:val="22"/>
        </w:rPr>
        <w:t xml:space="preserve">also </w:t>
      </w:r>
      <w:r w:rsidR="00997236">
        <w:rPr>
          <w:rFonts w:cs="Arial"/>
          <w:szCs w:val="22"/>
        </w:rPr>
        <w:t>available.</w:t>
      </w:r>
    </w:p>
    <w:p w:rsidR="00F963BF" w:rsidRDefault="00F963BF" w:rsidP="00D0403F">
      <w:pPr>
        <w:spacing w:before="0"/>
        <w:ind w:left="1985" w:hanging="567"/>
        <w:rPr>
          <w:rFonts w:cs="Arial"/>
          <w:szCs w:val="22"/>
        </w:rPr>
      </w:pPr>
    </w:p>
    <w:p w:rsidR="007F435D" w:rsidRPr="007F435D" w:rsidRDefault="007F435D" w:rsidP="00A46126">
      <w:pPr>
        <w:numPr>
          <w:ilvl w:val="0"/>
          <w:numId w:val="7"/>
        </w:numPr>
        <w:spacing w:before="0"/>
        <w:ind w:left="1985" w:hanging="567"/>
        <w:rPr>
          <w:rFonts w:cs="Arial"/>
          <w:szCs w:val="22"/>
        </w:rPr>
      </w:pPr>
      <w:r w:rsidRPr="001270DB">
        <w:rPr>
          <w:rFonts w:cs="Arial"/>
          <w:szCs w:val="22"/>
        </w:rPr>
        <w:t>We can</w:t>
      </w:r>
      <w:r w:rsidRPr="007F435D">
        <w:rPr>
          <w:rFonts w:cs="Arial"/>
          <w:szCs w:val="22"/>
        </w:rPr>
        <w:t xml:space="preserve"> also provide documents to meet the specific requirements of people with disabilities. Please call 020 7211 6000 or email </w:t>
      </w:r>
      <w:hyperlink r:id="rId43" w:history="1">
        <w:r w:rsidRPr="00734CE5">
          <w:rPr>
            <w:rStyle w:val="Hyperlink"/>
            <w:rFonts w:cs="Arial"/>
            <w:szCs w:val="22"/>
          </w:rPr>
          <w:t>evidence@culture.gsi.gov.uk</w:t>
        </w:r>
      </w:hyperlink>
      <w:r>
        <w:rPr>
          <w:rFonts w:cs="Arial"/>
          <w:szCs w:val="22"/>
        </w:rPr>
        <w:t xml:space="preserve"> </w:t>
      </w:r>
    </w:p>
    <w:p w:rsidR="007F435D" w:rsidRPr="00030F6D" w:rsidRDefault="007F435D" w:rsidP="00A46126">
      <w:pPr>
        <w:pStyle w:val="ListParagraph"/>
        <w:spacing w:before="0"/>
        <w:ind w:left="1985" w:hanging="567"/>
        <w:rPr>
          <w:rFonts w:cs="Arial"/>
          <w:szCs w:val="22"/>
        </w:rPr>
      </w:pPr>
    </w:p>
    <w:p w:rsidR="007F435D" w:rsidRPr="00030F6D" w:rsidRDefault="007F435D" w:rsidP="00A46126">
      <w:pPr>
        <w:pStyle w:val="ListParagraph"/>
        <w:numPr>
          <w:ilvl w:val="0"/>
          <w:numId w:val="7"/>
        </w:numPr>
        <w:spacing w:before="0"/>
        <w:ind w:left="1985" w:hanging="567"/>
        <w:rPr>
          <w:rFonts w:cs="Arial"/>
          <w:szCs w:val="22"/>
        </w:rPr>
      </w:pPr>
      <w:r w:rsidRPr="00030F6D">
        <w:rPr>
          <w:rFonts w:cs="Arial"/>
          <w:szCs w:val="22"/>
        </w:rPr>
        <w:t xml:space="preserve">The responsible statistician for this release is </w:t>
      </w:r>
      <w:r w:rsidR="009A4BE4">
        <w:rPr>
          <w:rFonts w:cs="Arial"/>
          <w:szCs w:val="22"/>
        </w:rPr>
        <w:t>Richard Boorman</w:t>
      </w:r>
      <w:r w:rsidRPr="00030F6D">
        <w:rPr>
          <w:rFonts w:cs="Arial"/>
          <w:szCs w:val="22"/>
        </w:rPr>
        <w:t>. For enquiries on this release,</w:t>
      </w:r>
      <w:r>
        <w:rPr>
          <w:rFonts w:cs="Arial"/>
          <w:szCs w:val="22"/>
        </w:rPr>
        <w:t xml:space="preserve"> please contact </w:t>
      </w:r>
      <w:r w:rsidR="009A4BE4">
        <w:rPr>
          <w:rFonts w:cs="Arial"/>
          <w:szCs w:val="22"/>
        </w:rPr>
        <w:t>Richard Boorman</w:t>
      </w:r>
      <w:r>
        <w:rPr>
          <w:rFonts w:cs="Arial"/>
          <w:szCs w:val="22"/>
        </w:rPr>
        <w:t xml:space="preserve"> on 0207 211</w:t>
      </w:r>
      <w:r w:rsidR="00F963BF">
        <w:rPr>
          <w:rFonts w:cs="Arial"/>
          <w:szCs w:val="22"/>
        </w:rPr>
        <w:t xml:space="preserve"> </w:t>
      </w:r>
      <w:r w:rsidR="009A4BE4">
        <w:rPr>
          <w:rFonts w:cs="Arial"/>
          <w:szCs w:val="22"/>
        </w:rPr>
        <w:t>6126</w:t>
      </w:r>
      <w:r>
        <w:rPr>
          <w:rFonts w:cs="Arial"/>
          <w:szCs w:val="22"/>
        </w:rPr>
        <w:t>.</w:t>
      </w:r>
    </w:p>
    <w:p w:rsidR="007F435D" w:rsidRPr="00030F6D" w:rsidRDefault="007F435D" w:rsidP="00A46126">
      <w:pPr>
        <w:pStyle w:val="ListParagraph"/>
        <w:spacing w:before="0"/>
        <w:ind w:left="1985" w:hanging="567"/>
        <w:rPr>
          <w:rFonts w:cs="Arial"/>
          <w:szCs w:val="22"/>
        </w:rPr>
      </w:pPr>
    </w:p>
    <w:p w:rsidR="007F435D" w:rsidRPr="00030F6D" w:rsidRDefault="007F435D" w:rsidP="00A46126">
      <w:pPr>
        <w:pStyle w:val="ListParagraph"/>
        <w:numPr>
          <w:ilvl w:val="0"/>
          <w:numId w:val="7"/>
        </w:numPr>
        <w:spacing w:before="0"/>
        <w:ind w:left="1985" w:hanging="567"/>
        <w:rPr>
          <w:rFonts w:cs="Arial"/>
          <w:szCs w:val="22"/>
        </w:rPr>
      </w:pPr>
      <w:r w:rsidRPr="00030F6D">
        <w:rPr>
          <w:rFonts w:cs="Arial"/>
          <w:szCs w:val="22"/>
        </w:rPr>
        <w:t>For general enquiries telephone: 0207 211 6200</w:t>
      </w:r>
    </w:p>
    <w:p w:rsidR="007F435D" w:rsidRPr="00030F6D" w:rsidRDefault="007F435D" w:rsidP="00D0403F">
      <w:pPr>
        <w:spacing w:before="0"/>
        <w:ind w:left="1985"/>
        <w:rPr>
          <w:rFonts w:cs="Arial"/>
          <w:szCs w:val="22"/>
        </w:rPr>
      </w:pPr>
      <w:r w:rsidRPr="00030F6D">
        <w:rPr>
          <w:rFonts w:cs="Arial"/>
          <w:szCs w:val="22"/>
        </w:rPr>
        <w:t xml:space="preserve">Department </w:t>
      </w:r>
      <w:r w:rsidR="00997236">
        <w:rPr>
          <w:rFonts w:cs="Arial"/>
          <w:szCs w:val="22"/>
        </w:rPr>
        <w:t>for Culture Media and Sport</w:t>
      </w:r>
      <w:r w:rsidR="00997236">
        <w:rPr>
          <w:rFonts w:cs="Arial"/>
          <w:szCs w:val="22"/>
        </w:rPr>
        <w:br/>
        <w:t>100 Parliament</w:t>
      </w:r>
      <w:r w:rsidRPr="00030F6D">
        <w:rPr>
          <w:rFonts w:cs="Arial"/>
          <w:szCs w:val="22"/>
        </w:rPr>
        <w:t xml:space="preserve"> Street</w:t>
      </w:r>
    </w:p>
    <w:p w:rsidR="007F435D" w:rsidRPr="00030F6D" w:rsidRDefault="007F435D" w:rsidP="00D0403F">
      <w:pPr>
        <w:spacing w:before="0"/>
        <w:ind w:left="1985"/>
        <w:rPr>
          <w:rFonts w:cs="Arial"/>
          <w:szCs w:val="22"/>
        </w:rPr>
      </w:pPr>
      <w:r w:rsidRPr="00030F6D">
        <w:rPr>
          <w:rFonts w:cs="Arial"/>
          <w:szCs w:val="22"/>
        </w:rPr>
        <w:t>London</w:t>
      </w:r>
    </w:p>
    <w:p w:rsidR="007F435D" w:rsidRPr="00030F6D" w:rsidRDefault="00997236" w:rsidP="00D0403F">
      <w:pPr>
        <w:spacing w:before="0"/>
        <w:ind w:left="1985"/>
        <w:rPr>
          <w:rFonts w:cs="Arial"/>
          <w:szCs w:val="22"/>
        </w:rPr>
      </w:pPr>
      <w:r>
        <w:rPr>
          <w:rFonts w:cs="Arial"/>
          <w:szCs w:val="22"/>
        </w:rPr>
        <w:t>SW1A</w:t>
      </w:r>
      <w:r w:rsidR="007F435D" w:rsidRPr="00030F6D">
        <w:rPr>
          <w:rFonts w:cs="Arial"/>
          <w:szCs w:val="22"/>
        </w:rPr>
        <w:t xml:space="preserve"> </w:t>
      </w:r>
      <w:r>
        <w:rPr>
          <w:rFonts w:cs="Arial"/>
          <w:szCs w:val="22"/>
        </w:rPr>
        <w:t>2BQ</w:t>
      </w:r>
    </w:p>
    <w:p w:rsidR="007F435D" w:rsidRDefault="00F14E89" w:rsidP="00D0403F">
      <w:pPr>
        <w:spacing w:before="0"/>
        <w:ind w:left="1985"/>
        <w:rPr>
          <w:rStyle w:val="Hyperlink"/>
          <w:rFonts w:cs="Arial"/>
          <w:szCs w:val="22"/>
        </w:rPr>
      </w:pPr>
      <w:hyperlink r:id="rId44" w:history="1">
        <w:r w:rsidR="007F435D" w:rsidRPr="00030F6D">
          <w:rPr>
            <w:rStyle w:val="Hyperlink"/>
            <w:rFonts w:cs="Arial"/>
            <w:szCs w:val="22"/>
          </w:rPr>
          <w:t>enquiries@culture.gov.uk</w:t>
        </w:r>
      </w:hyperlink>
    </w:p>
    <w:p w:rsidR="003A2BD8" w:rsidRDefault="003A2BD8" w:rsidP="00A46126">
      <w:pPr>
        <w:spacing w:before="0"/>
        <w:ind w:left="1985" w:hanging="567"/>
        <w:rPr>
          <w:rStyle w:val="Hyperlink"/>
          <w:rFonts w:cs="Arial"/>
          <w:szCs w:val="22"/>
        </w:rPr>
      </w:pPr>
    </w:p>
    <w:p w:rsidR="00B2164D" w:rsidRPr="004B290E" w:rsidRDefault="00B2164D" w:rsidP="00E1523D">
      <w:pPr>
        <w:spacing w:before="0"/>
        <w:ind w:left="0"/>
        <w:rPr>
          <w:color w:val="FF0000"/>
        </w:rPr>
      </w:pPr>
    </w:p>
    <w:p w:rsidR="00B2164D" w:rsidRPr="00D42AE1" w:rsidRDefault="00D01716" w:rsidP="00D01716">
      <w:pPr>
        <w:spacing w:before="0"/>
        <w:rPr>
          <w:b/>
        </w:rPr>
      </w:pPr>
      <w:r w:rsidRPr="00D42AE1">
        <w:rPr>
          <w:b/>
        </w:rPr>
        <w:t>Consultation</w:t>
      </w:r>
    </w:p>
    <w:p w:rsidR="00B2164D" w:rsidRDefault="00B2164D" w:rsidP="005F1108">
      <w:pPr>
        <w:spacing w:before="0"/>
        <w:ind w:left="0"/>
      </w:pPr>
    </w:p>
    <w:p w:rsidR="00983745" w:rsidRDefault="005F1108" w:rsidP="00983745">
      <w:pPr>
        <w:pStyle w:val="ListParagraph"/>
        <w:numPr>
          <w:ilvl w:val="0"/>
          <w:numId w:val="7"/>
        </w:numPr>
        <w:spacing w:before="0"/>
        <w:ind w:left="1985" w:hanging="567"/>
      </w:pPr>
      <w:r w:rsidRPr="00D42AE1">
        <w:t xml:space="preserve">Information on the number of Premises Licences and Club Premises Certificates in force which </w:t>
      </w:r>
      <w:proofErr w:type="gramStart"/>
      <w:r w:rsidRPr="00D42AE1">
        <w:t>cover</w:t>
      </w:r>
      <w:proofErr w:type="gramEnd"/>
      <w:r w:rsidRPr="00D42AE1">
        <w:t xml:space="preserve"> regulated entertainment in England and Wales is collected by the Home Office on behalf of the Department for Culture, Media and Sport (DCMS).</w:t>
      </w:r>
    </w:p>
    <w:p w:rsidR="00983745" w:rsidRDefault="00983745" w:rsidP="00983745">
      <w:pPr>
        <w:pStyle w:val="ListParagraph"/>
        <w:spacing w:before="0"/>
        <w:ind w:left="1985"/>
      </w:pPr>
    </w:p>
    <w:p w:rsidR="006F5CC0" w:rsidRDefault="00983745" w:rsidP="00983745">
      <w:pPr>
        <w:pStyle w:val="ListParagraph"/>
        <w:numPr>
          <w:ilvl w:val="0"/>
          <w:numId w:val="7"/>
        </w:numPr>
        <w:spacing w:before="0"/>
        <w:ind w:left="1985" w:hanging="567"/>
      </w:pPr>
      <w:r w:rsidRPr="00983745">
        <w:t xml:space="preserve">To reduce the administrative burden both on LAs and the DCMS and Home Office statistics teams, DCMS does not intend to publish entertainment licensing collection data for the year ending March 2015. The main use of the collection is to monitor the impact of new and amended legislation and the intention is to collect when needed. The Home Office (who collect these data on behalf of DCMS) will be resuming the collection for year ending March 2016 and we intend to publish these data in </w:t>
      </w:r>
      <w:proofErr w:type="gramStart"/>
      <w:r w:rsidRPr="00983745">
        <w:t>Autumn</w:t>
      </w:r>
      <w:proofErr w:type="gramEnd"/>
      <w:r w:rsidRPr="00983745">
        <w:t xml:space="preserve"> 2016.</w:t>
      </w:r>
      <w:r>
        <w:t xml:space="preserve"> </w:t>
      </w:r>
    </w:p>
    <w:p w:rsidR="006F5CC0" w:rsidRDefault="006F5CC0" w:rsidP="006F5CC0">
      <w:pPr>
        <w:pStyle w:val="ListParagraph"/>
      </w:pPr>
    </w:p>
    <w:p w:rsidR="006F5CC0" w:rsidRDefault="006F5CC0" w:rsidP="00983745">
      <w:pPr>
        <w:pStyle w:val="ListParagraph"/>
        <w:numPr>
          <w:ilvl w:val="0"/>
          <w:numId w:val="7"/>
        </w:numPr>
        <w:spacing w:before="0"/>
        <w:ind w:left="1985" w:hanging="567"/>
      </w:pPr>
      <w:r>
        <w:t>D</w:t>
      </w:r>
      <w:r w:rsidR="005F1108" w:rsidRPr="00D42AE1">
        <w:t>CMS is seeking feedback from stakeholders and users of this data</w:t>
      </w:r>
      <w:r w:rsidR="00983745">
        <w:t xml:space="preserve">. </w:t>
      </w:r>
      <w:r w:rsidR="005F1108" w:rsidRPr="00D42AE1">
        <w:t>We would be grateful if you could take the time to complete this short questionnaire which should take no longer than 5 minutes to he</w:t>
      </w:r>
      <w:r w:rsidR="00983745">
        <w:t xml:space="preserve">lp inform DCMS' decision making. </w:t>
      </w:r>
    </w:p>
    <w:p w:rsidR="006F5CC0" w:rsidRDefault="006F5CC0" w:rsidP="006F5CC0">
      <w:pPr>
        <w:pStyle w:val="ListParagraph"/>
      </w:pPr>
    </w:p>
    <w:p w:rsidR="003D552A" w:rsidRDefault="005F1108" w:rsidP="003D552A">
      <w:pPr>
        <w:pStyle w:val="ListParagraph"/>
        <w:numPr>
          <w:ilvl w:val="0"/>
          <w:numId w:val="7"/>
        </w:numPr>
        <w:spacing w:before="0"/>
        <w:ind w:left="1985" w:hanging="567"/>
      </w:pPr>
      <w:r w:rsidRPr="00D42AE1">
        <w:t xml:space="preserve">All information provided will be treated in confidence and not shared with anyone outside of DCMS. If you have any questions in relation to this survey or require assistance, please contact us at </w:t>
      </w:r>
      <w:hyperlink r:id="rId45" w:history="1">
        <w:r w:rsidRPr="005F1108">
          <w:rPr>
            <w:rStyle w:val="Hyperlink"/>
          </w:rPr>
          <w:t>evidence@culture.gsi.gov.uk</w:t>
        </w:r>
      </w:hyperlink>
      <w:r w:rsidR="003D552A">
        <w:rPr>
          <w:rStyle w:val="Hyperlink"/>
        </w:rPr>
        <w:t>.</w:t>
      </w:r>
      <w:r w:rsidRPr="006F5CC0">
        <w:rPr>
          <w:color w:val="E36C0A" w:themeColor="accent6" w:themeShade="BF"/>
        </w:rPr>
        <w:t xml:space="preserve"> </w:t>
      </w:r>
      <w:r w:rsidR="003D552A">
        <w:t xml:space="preserve">The consultation questionnaire can be found at: </w:t>
      </w:r>
      <w:bookmarkStart w:id="9" w:name="_GoBack"/>
      <w:bookmarkEnd w:id="9"/>
      <w:r w:rsidR="003D552A">
        <w:fldChar w:fldCharType="begin"/>
      </w:r>
      <w:r w:rsidR="003D552A">
        <w:instrText xml:space="preserve"> HYPERLINK "https://www.gov.uk/government/publications/entertainment-licensing-2014" </w:instrText>
      </w:r>
      <w:r w:rsidR="003D552A">
        <w:fldChar w:fldCharType="separate"/>
      </w:r>
      <w:r w:rsidR="003D552A">
        <w:rPr>
          <w:rStyle w:val="Hyperlink"/>
        </w:rPr>
        <w:t>https://www.gov.uk/government/publications/entertainment-licensing-2014</w:t>
      </w:r>
      <w:r w:rsidR="003D552A">
        <w:rPr>
          <w:rStyle w:val="Hyperlink"/>
        </w:rPr>
        <w:fldChar w:fldCharType="end"/>
      </w:r>
    </w:p>
    <w:p w:rsidR="003D552A" w:rsidRPr="006F5CC0" w:rsidRDefault="003D552A" w:rsidP="003D552A">
      <w:pPr>
        <w:pStyle w:val="ListParagraph"/>
        <w:spacing w:before="0"/>
        <w:ind w:left="1985"/>
      </w:pPr>
    </w:p>
    <w:p w:rsidR="003A2BD8" w:rsidRPr="003103EF" w:rsidRDefault="00520CD6" w:rsidP="001918A4">
      <w:pPr>
        <w:spacing w:before="0"/>
        <w:ind w:left="0"/>
        <w:rPr>
          <w:b/>
        </w:rPr>
      </w:pPr>
      <w:r w:rsidRPr="003103EF">
        <w:rPr>
          <w:b/>
        </w:rPr>
        <w:lastRenderedPageBreak/>
        <w:t>Table 1: The percentage of licensing authorities which provided the number of premises licences and club premises certificates authorising the provision of each regulated entertainment type</w:t>
      </w:r>
    </w:p>
    <w:p w:rsidR="007F435D" w:rsidRDefault="007F435D" w:rsidP="001A6F3D">
      <w:pPr>
        <w:spacing w:before="0"/>
        <w:ind w:left="2345"/>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95"/>
        <w:gridCol w:w="670"/>
        <w:gridCol w:w="670"/>
        <w:gridCol w:w="670"/>
        <w:gridCol w:w="670"/>
        <w:gridCol w:w="670"/>
        <w:gridCol w:w="670"/>
        <w:gridCol w:w="670"/>
        <w:gridCol w:w="670"/>
        <w:gridCol w:w="670"/>
      </w:tblGrid>
      <w:tr w:rsidR="000E5FAC" w:rsidRPr="00520CD6" w:rsidTr="003103EF">
        <w:trPr>
          <w:trHeight w:val="630"/>
          <w:jc w:val="center"/>
        </w:trPr>
        <w:tc>
          <w:tcPr>
            <w:tcW w:w="1177" w:type="dxa"/>
            <w:shd w:val="clear" w:color="auto" w:fill="auto"/>
            <w:vAlign w:val="center"/>
          </w:tcPr>
          <w:p w:rsidR="000E5FAC" w:rsidRPr="00FF0C77" w:rsidRDefault="000E5FAC" w:rsidP="003103EF">
            <w:pPr>
              <w:spacing w:before="0"/>
              <w:ind w:left="0"/>
              <w:jc w:val="center"/>
              <w:rPr>
                <w:rFonts w:cs="Arial"/>
                <w:color w:val="FF0000"/>
                <w:sz w:val="16"/>
                <w:szCs w:val="16"/>
              </w:rPr>
            </w:pPr>
          </w:p>
        </w:tc>
        <w:tc>
          <w:tcPr>
            <w:tcW w:w="1195" w:type="dxa"/>
            <w:shd w:val="clear" w:color="auto" w:fill="auto"/>
            <w:vAlign w:val="center"/>
          </w:tcPr>
          <w:p w:rsidR="000E5FAC" w:rsidRPr="003103EF" w:rsidRDefault="000E5FAC" w:rsidP="003103EF">
            <w:pPr>
              <w:spacing w:before="0"/>
              <w:ind w:left="0"/>
              <w:jc w:val="center"/>
              <w:rPr>
                <w:rFonts w:cs="Arial"/>
                <w:sz w:val="16"/>
                <w:szCs w:val="16"/>
              </w:rPr>
            </w:pP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Total</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a</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b</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c</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d</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e</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f</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g</w:t>
            </w:r>
          </w:p>
        </w:tc>
        <w:tc>
          <w:tcPr>
            <w:tcW w:w="670" w:type="dxa"/>
            <w:shd w:val="clear" w:color="auto" w:fill="auto"/>
            <w:vAlign w:val="center"/>
          </w:tcPr>
          <w:p w:rsidR="000E5FAC" w:rsidRPr="003103EF" w:rsidRDefault="000E5FAC" w:rsidP="003103EF">
            <w:pPr>
              <w:spacing w:before="0"/>
              <w:ind w:left="0"/>
              <w:jc w:val="center"/>
              <w:rPr>
                <w:rFonts w:cs="Arial"/>
                <w:sz w:val="16"/>
                <w:szCs w:val="16"/>
              </w:rPr>
            </w:pPr>
            <w:r w:rsidRPr="003103EF">
              <w:rPr>
                <w:rFonts w:cs="Arial"/>
                <w:sz w:val="16"/>
                <w:szCs w:val="16"/>
              </w:rPr>
              <w:t>h</w:t>
            </w:r>
          </w:p>
        </w:tc>
      </w:tr>
      <w:tr w:rsidR="003103EF" w:rsidRPr="00520CD6" w:rsidTr="003103EF">
        <w:trPr>
          <w:trHeight w:val="1327"/>
          <w:jc w:val="center"/>
        </w:trPr>
        <w:tc>
          <w:tcPr>
            <w:tcW w:w="1177" w:type="dxa"/>
            <w:vMerge w:val="restart"/>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Response rate as a percentage of licensing authorities that responded to the questionnaire (2)</w:t>
            </w:r>
          </w:p>
        </w:tc>
        <w:tc>
          <w:tcPr>
            <w:tcW w:w="1195" w:type="dxa"/>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Premises licences authorising provision of entertainment type</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97.8%</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83.4%</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82.2%</w:t>
            </w:r>
          </w:p>
        </w:tc>
      </w:tr>
      <w:tr w:rsidR="003103EF" w:rsidRPr="00520CD6" w:rsidTr="003103EF">
        <w:trPr>
          <w:trHeight w:val="1499"/>
          <w:jc w:val="center"/>
        </w:trPr>
        <w:tc>
          <w:tcPr>
            <w:tcW w:w="1177" w:type="dxa"/>
            <w:vMerge/>
            <w:shd w:val="clear" w:color="auto" w:fill="auto"/>
            <w:vAlign w:val="center"/>
          </w:tcPr>
          <w:p w:rsidR="003103EF" w:rsidRPr="003103EF" w:rsidRDefault="003103EF" w:rsidP="003103EF">
            <w:pPr>
              <w:spacing w:before="0"/>
              <w:ind w:left="0"/>
              <w:jc w:val="center"/>
              <w:rPr>
                <w:rFonts w:cs="Arial"/>
                <w:sz w:val="16"/>
                <w:szCs w:val="16"/>
              </w:rPr>
            </w:pPr>
          </w:p>
        </w:tc>
        <w:tc>
          <w:tcPr>
            <w:tcW w:w="1195" w:type="dxa"/>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Club premises certificates authorising provision of entertainment type</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95.9%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81.5%</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80.9%</w:t>
            </w:r>
          </w:p>
        </w:tc>
      </w:tr>
      <w:tr w:rsidR="003103EF" w:rsidRPr="00520CD6" w:rsidTr="003103EF">
        <w:trPr>
          <w:trHeight w:val="1488"/>
          <w:jc w:val="center"/>
        </w:trPr>
        <w:tc>
          <w:tcPr>
            <w:tcW w:w="1177" w:type="dxa"/>
            <w:vMerge w:val="restart"/>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Response rate as a percentage of all licensing authorities in England and Wales (3)</w:t>
            </w:r>
          </w:p>
        </w:tc>
        <w:tc>
          <w:tcPr>
            <w:tcW w:w="1195" w:type="dxa"/>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Premises licences authorising provision of entertainment type</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87.7%</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74.6%</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74.9%</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73.7%</w:t>
            </w:r>
          </w:p>
        </w:tc>
      </w:tr>
      <w:tr w:rsidR="003103EF" w:rsidRPr="00520CD6" w:rsidTr="003103EF">
        <w:trPr>
          <w:trHeight w:val="1531"/>
          <w:jc w:val="center"/>
        </w:trPr>
        <w:tc>
          <w:tcPr>
            <w:tcW w:w="1177" w:type="dxa"/>
            <w:vMerge/>
            <w:shd w:val="clear" w:color="auto" w:fill="auto"/>
            <w:vAlign w:val="center"/>
          </w:tcPr>
          <w:p w:rsidR="003103EF" w:rsidRPr="003103EF" w:rsidRDefault="003103EF" w:rsidP="003103EF">
            <w:pPr>
              <w:spacing w:before="0"/>
              <w:ind w:left="0"/>
              <w:jc w:val="center"/>
              <w:rPr>
                <w:rFonts w:cs="Arial"/>
                <w:sz w:val="16"/>
                <w:szCs w:val="16"/>
              </w:rPr>
            </w:pPr>
          </w:p>
        </w:tc>
        <w:tc>
          <w:tcPr>
            <w:tcW w:w="1195" w:type="dxa"/>
            <w:shd w:val="clear" w:color="auto" w:fill="auto"/>
            <w:vAlign w:val="center"/>
          </w:tcPr>
          <w:p w:rsidR="003103EF" w:rsidRPr="003103EF" w:rsidRDefault="003103EF" w:rsidP="003103EF">
            <w:pPr>
              <w:spacing w:before="0"/>
              <w:ind w:left="0"/>
              <w:jc w:val="center"/>
              <w:rPr>
                <w:rFonts w:cs="Arial"/>
                <w:sz w:val="16"/>
                <w:szCs w:val="16"/>
              </w:rPr>
            </w:pPr>
            <w:r w:rsidRPr="003103EF">
              <w:rPr>
                <w:rFonts w:cs="Arial"/>
                <w:sz w:val="16"/>
                <w:szCs w:val="16"/>
              </w:rPr>
              <w:t>Club premises certificates authorising provision of entertainment type</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86.0%</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73.1%</w:t>
            </w:r>
          </w:p>
        </w:tc>
        <w:tc>
          <w:tcPr>
            <w:tcW w:w="670" w:type="dxa"/>
            <w:shd w:val="clear" w:color="auto" w:fill="auto"/>
            <w:vAlign w:val="center"/>
          </w:tcPr>
          <w:p w:rsidR="003103EF" w:rsidRPr="00FF0C77" w:rsidRDefault="003103EF" w:rsidP="003103EF">
            <w:pPr>
              <w:spacing w:before="0"/>
              <w:ind w:left="0"/>
              <w:jc w:val="center"/>
              <w:rPr>
                <w:rFonts w:cs="Arial"/>
                <w:color w:val="FF0000"/>
                <w:sz w:val="16"/>
                <w:szCs w:val="16"/>
              </w:rPr>
            </w:pPr>
            <w:r>
              <w:rPr>
                <w:rFonts w:cs="Arial"/>
                <w:sz w:val="16"/>
                <w:szCs w:val="16"/>
              </w:rPr>
              <w:t>72.6%</w:t>
            </w:r>
          </w:p>
        </w:tc>
      </w:tr>
    </w:tbl>
    <w:p w:rsidR="002F6FD7" w:rsidRPr="00520CD6" w:rsidRDefault="00654AB0" w:rsidP="001918A4">
      <w:pPr>
        <w:spacing w:before="0"/>
        <w:ind w:left="0"/>
        <w:rPr>
          <w:rFonts w:cs="Arial"/>
          <w:sz w:val="16"/>
          <w:szCs w:val="16"/>
          <w:lang w:eastAsia="en-GB"/>
        </w:rPr>
      </w:pPr>
      <w:r>
        <w:rPr>
          <w:rFonts w:cs="Arial"/>
          <w:noProof/>
          <w:sz w:val="16"/>
          <w:szCs w:val="16"/>
          <w:lang w:eastAsia="en-GB"/>
        </w:rPr>
        <w:drawing>
          <wp:anchor distT="0" distB="0" distL="114300" distR="114300" simplePos="0" relativeHeight="251655168" behindDoc="0" locked="0" layoutInCell="1" allowOverlap="1" wp14:anchorId="7A794F93" wp14:editId="7E60135F">
            <wp:simplePos x="0" y="0"/>
            <wp:positionH relativeFrom="column">
              <wp:posOffset>-181610</wp:posOffset>
            </wp:positionH>
            <wp:positionV relativeFrom="paragraph">
              <wp:posOffset>6664325</wp:posOffset>
            </wp:positionV>
            <wp:extent cx="1140460" cy="1352550"/>
            <wp:effectExtent l="0" t="0" r="2540" b="0"/>
            <wp:wrapNone/>
            <wp:docPr id="35" name="Picture 8" descr="Description: 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cms gif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0460" cy="1352550"/>
                    </a:xfrm>
                    <a:prstGeom prst="rect">
                      <a:avLst/>
                    </a:prstGeom>
                    <a:noFill/>
                  </pic:spPr>
                </pic:pic>
              </a:graphicData>
            </a:graphic>
            <wp14:sizeRelH relativeFrom="page">
              <wp14:pctWidth>0</wp14:pctWidth>
            </wp14:sizeRelH>
            <wp14:sizeRelV relativeFrom="page">
              <wp14:pctHeight>0</wp14:pctHeight>
            </wp14:sizeRelV>
          </wp:anchor>
        </w:drawing>
      </w:r>
      <w:r w:rsidR="00B2164D" w:rsidRPr="00520CD6">
        <w:rPr>
          <w:rFonts w:cs="Arial"/>
          <w:sz w:val="16"/>
          <w:szCs w:val="16"/>
          <w:lang w:eastAsia="en-GB"/>
        </w:rPr>
        <w:t xml:space="preserve">Key: </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Plays</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Films</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Indoor sporting events</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Boxing or wrestling</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Live music</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Recorded music</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Performance of dance</w:t>
      </w:r>
    </w:p>
    <w:p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Entertainment similar to live music, recorded music or dance</w:t>
      </w:r>
    </w:p>
    <w:p w:rsidR="0054767D" w:rsidRDefault="0054767D" w:rsidP="001918A4">
      <w:pPr>
        <w:spacing w:before="0"/>
        <w:ind w:left="0"/>
        <w:rPr>
          <w:rFonts w:cs="Arial"/>
          <w:b/>
          <w:sz w:val="16"/>
          <w:szCs w:val="16"/>
        </w:rPr>
      </w:pPr>
    </w:p>
    <w:p w:rsidR="0054767D" w:rsidRDefault="0054767D" w:rsidP="001918A4">
      <w:pPr>
        <w:spacing w:before="0"/>
        <w:ind w:left="0"/>
        <w:rPr>
          <w:rFonts w:cs="Arial"/>
          <w:b/>
          <w:sz w:val="16"/>
          <w:szCs w:val="16"/>
        </w:rPr>
      </w:pPr>
      <w:r w:rsidRPr="00B5584A">
        <w:rPr>
          <w:rFonts w:cs="Arial"/>
          <w:b/>
          <w:sz w:val="16"/>
          <w:szCs w:val="16"/>
        </w:rPr>
        <w:t>Notes</w:t>
      </w:r>
    </w:p>
    <w:p w:rsidR="0054767D" w:rsidRDefault="0054767D" w:rsidP="001918A4">
      <w:pPr>
        <w:numPr>
          <w:ilvl w:val="0"/>
          <w:numId w:val="18"/>
        </w:numPr>
        <w:spacing w:before="0"/>
        <w:rPr>
          <w:rFonts w:cs="Arial"/>
          <w:sz w:val="16"/>
          <w:szCs w:val="16"/>
        </w:rPr>
      </w:pPr>
      <w:r w:rsidRPr="00B5584A">
        <w:rPr>
          <w:rFonts w:cs="Arial"/>
          <w:sz w:val="16"/>
          <w:szCs w:val="16"/>
        </w:rPr>
        <w:t xml:space="preserve">The sum of the number of </w:t>
      </w:r>
      <w:r>
        <w:rPr>
          <w:rFonts w:cs="Arial"/>
          <w:sz w:val="16"/>
          <w:szCs w:val="16"/>
        </w:rPr>
        <w:t xml:space="preserve">premises licences and </w:t>
      </w:r>
      <w:r w:rsidRPr="00B5584A">
        <w:rPr>
          <w:rFonts w:cs="Arial"/>
          <w:sz w:val="16"/>
          <w:szCs w:val="16"/>
        </w:rPr>
        <w:t xml:space="preserve">club premises certificates covering each entertainment type will not equal </w:t>
      </w:r>
      <w:r w:rsidR="00F410DB" w:rsidRPr="00B5584A">
        <w:rPr>
          <w:rFonts w:cs="Arial"/>
          <w:sz w:val="16"/>
          <w:szCs w:val="16"/>
        </w:rPr>
        <w:t>the</w:t>
      </w:r>
      <w:r w:rsidR="00F410DB">
        <w:rPr>
          <w:rFonts w:cs="Arial"/>
          <w:sz w:val="16"/>
          <w:szCs w:val="16"/>
        </w:rPr>
        <w:t xml:space="preserve"> total</w:t>
      </w:r>
      <w:r w:rsidR="001918A4">
        <w:rPr>
          <w:rFonts w:cs="Arial"/>
          <w:sz w:val="16"/>
          <w:szCs w:val="16"/>
        </w:rPr>
        <w:t xml:space="preserve"> number </w:t>
      </w:r>
      <w:r w:rsidRPr="00B5584A">
        <w:rPr>
          <w:rFonts w:cs="Arial"/>
          <w:sz w:val="16"/>
          <w:szCs w:val="16"/>
        </w:rPr>
        <w:t xml:space="preserve">in force since more than one form of entertainment can be covered by each such </w:t>
      </w:r>
      <w:r>
        <w:rPr>
          <w:rFonts w:cs="Arial"/>
          <w:sz w:val="16"/>
          <w:szCs w:val="16"/>
        </w:rPr>
        <w:t xml:space="preserve">licence or </w:t>
      </w:r>
      <w:r w:rsidRPr="00B5584A">
        <w:rPr>
          <w:rFonts w:cs="Arial"/>
          <w:sz w:val="16"/>
          <w:szCs w:val="16"/>
        </w:rPr>
        <w:t>certificate.</w:t>
      </w:r>
    </w:p>
    <w:p w:rsidR="00724361" w:rsidRDefault="00724361" w:rsidP="001918A4">
      <w:pPr>
        <w:numPr>
          <w:ilvl w:val="0"/>
          <w:numId w:val="18"/>
        </w:numPr>
        <w:spacing w:before="0"/>
        <w:rPr>
          <w:rFonts w:cs="Arial"/>
          <w:sz w:val="16"/>
          <w:szCs w:val="16"/>
        </w:rPr>
      </w:pPr>
      <w:r>
        <w:rPr>
          <w:rFonts w:cs="Arial"/>
          <w:sz w:val="16"/>
          <w:szCs w:val="16"/>
        </w:rPr>
        <w:t xml:space="preserve">Response rates as a percentage of licensing </w:t>
      </w:r>
      <w:r w:rsidRPr="003103EF">
        <w:rPr>
          <w:rFonts w:cs="Arial"/>
          <w:sz w:val="16"/>
          <w:szCs w:val="16"/>
        </w:rPr>
        <w:t>authorities that responded to the questionnaire</w:t>
      </w:r>
      <w:r w:rsidR="00EF109C" w:rsidRPr="003103EF">
        <w:rPr>
          <w:rFonts w:cs="Arial"/>
          <w:sz w:val="16"/>
          <w:szCs w:val="16"/>
        </w:rPr>
        <w:t>, refers to</w:t>
      </w:r>
      <w:r w:rsidRPr="003103EF">
        <w:rPr>
          <w:rFonts w:cs="Arial"/>
          <w:sz w:val="16"/>
          <w:szCs w:val="16"/>
        </w:rPr>
        <w:t xml:space="preserve"> the percentage</w:t>
      </w:r>
      <w:r w:rsidR="00D0403F" w:rsidRPr="003103EF">
        <w:rPr>
          <w:rFonts w:cs="Arial"/>
          <w:sz w:val="16"/>
          <w:szCs w:val="16"/>
        </w:rPr>
        <w:t xml:space="preserve"> of Licensing Authorities which responded to that specific question,</w:t>
      </w:r>
      <w:r w:rsidRPr="003103EF">
        <w:rPr>
          <w:rFonts w:cs="Arial"/>
          <w:sz w:val="16"/>
          <w:szCs w:val="16"/>
        </w:rPr>
        <w:t xml:space="preserve"> </w:t>
      </w:r>
      <w:r w:rsidR="00D0403F" w:rsidRPr="003103EF">
        <w:rPr>
          <w:rFonts w:cs="Arial"/>
          <w:sz w:val="16"/>
          <w:szCs w:val="16"/>
        </w:rPr>
        <w:t xml:space="preserve">out </w:t>
      </w:r>
      <w:r w:rsidRPr="003103EF">
        <w:rPr>
          <w:rFonts w:cs="Arial"/>
          <w:sz w:val="16"/>
          <w:szCs w:val="16"/>
        </w:rPr>
        <w:t>of the 3</w:t>
      </w:r>
      <w:r w:rsidR="003103EF" w:rsidRPr="003103EF">
        <w:rPr>
          <w:rFonts w:cs="Arial"/>
          <w:sz w:val="16"/>
          <w:szCs w:val="16"/>
        </w:rPr>
        <w:t>1</w:t>
      </w:r>
      <w:r w:rsidR="00052AD0" w:rsidRPr="003103EF">
        <w:rPr>
          <w:rFonts w:cs="Arial"/>
          <w:sz w:val="16"/>
          <w:szCs w:val="16"/>
        </w:rPr>
        <w:t>4</w:t>
      </w:r>
      <w:r w:rsidRPr="003103EF">
        <w:rPr>
          <w:rFonts w:cs="Arial"/>
          <w:sz w:val="16"/>
          <w:szCs w:val="16"/>
        </w:rPr>
        <w:t xml:space="preserve"> </w:t>
      </w:r>
      <w:r w:rsidR="00D0403F" w:rsidRPr="003103EF">
        <w:rPr>
          <w:rFonts w:cs="Arial"/>
          <w:sz w:val="16"/>
          <w:szCs w:val="16"/>
        </w:rPr>
        <w:t xml:space="preserve">responding </w:t>
      </w:r>
      <w:r w:rsidRPr="003103EF">
        <w:rPr>
          <w:rFonts w:cs="Arial"/>
          <w:sz w:val="16"/>
          <w:szCs w:val="16"/>
        </w:rPr>
        <w:t xml:space="preserve">Licensing Authorities who submitted a </w:t>
      </w:r>
      <w:r w:rsidR="00D0403F" w:rsidRPr="003103EF">
        <w:rPr>
          <w:rFonts w:cs="Arial"/>
          <w:sz w:val="16"/>
          <w:szCs w:val="16"/>
        </w:rPr>
        <w:t>return at all</w:t>
      </w:r>
      <w:r w:rsidR="00EF109C" w:rsidRPr="003103EF">
        <w:rPr>
          <w:rFonts w:cs="Arial"/>
          <w:sz w:val="16"/>
          <w:szCs w:val="16"/>
        </w:rPr>
        <w:t>.</w:t>
      </w:r>
    </w:p>
    <w:p w:rsidR="00724361" w:rsidRDefault="00724361" w:rsidP="001918A4">
      <w:pPr>
        <w:numPr>
          <w:ilvl w:val="0"/>
          <w:numId w:val="18"/>
        </w:numPr>
        <w:spacing w:before="0"/>
        <w:rPr>
          <w:rFonts w:cs="Arial"/>
          <w:sz w:val="16"/>
          <w:szCs w:val="16"/>
        </w:rPr>
      </w:pPr>
      <w:r>
        <w:rPr>
          <w:rFonts w:cs="Arial"/>
          <w:sz w:val="16"/>
          <w:szCs w:val="16"/>
        </w:rPr>
        <w:t>Response rates as a percentage of all licensing authorities in England and Wales</w:t>
      </w:r>
      <w:r w:rsidR="00EF109C">
        <w:rPr>
          <w:rFonts w:cs="Arial"/>
          <w:sz w:val="16"/>
          <w:szCs w:val="16"/>
        </w:rPr>
        <w:t>, refers to the percentage of all 350 licensing authorities which answered each specific question.</w:t>
      </w:r>
    </w:p>
    <w:p w:rsidR="000E3409" w:rsidRDefault="000E3409" w:rsidP="001918A4">
      <w:pPr>
        <w:spacing w:before="0"/>
        <w:rPr>
          <w:rFonts w:cs="Arial"/>
          <w:sz w:val="16"/>
          <w:szCs w:val="16"/>
          <w:lang w:eastAsia="en-GB"/>
        </w:rPr>
      </w:pPr>
    </w:p>
    <w:p w:rsidR="000E3409" w:rsidRDefault="000E3409" w:rsidP="001918A4">
      <w:pPr>
        <w:spacing w:before="0"/>
        <w:rPr>
          <w:rFonts w:cs="Arial"/>
          <w:sz w:val="16"/>
          <w:szCs w:val="16"/>
          <w:lang w:eastAsia="en-GB"/>
        </w:rPr>
      </w:pPr>
    </w:p>
    <w:p w:rsidR="000E3409" w:rsidRDefault="000E3409" w:rsidP="001918A4">
      <w:pPr>
        <w:spacing w:before="0"/>
        <w:rPr>
          <w:rFonts w:cs="Arial"/>
          <w:sz w:val="16"/>
          <w:szCs w:val="16"/>
          <w:lang w:eastAsia="en-GB"/>
        </w:rPr>
      </w:pPr>
    </w:p>
    <w:p w:rsidR="000E3409" w:rsidRDefault="000E3409" w:rsidP="001918A4">
      <w:pPr>
        <w:spacing w:before="0"/>
        <w:rPr>
          <w:rFonts w:cs="Arial"/>
          <w:sz w:val="16"/>
          <w:szCs w:val="16"/>
          <w:lang w:eastAsia="en-GB"/>
        </w:rPr>
      </w:pPr>
    </w:p>
    <w:p w:rsidR="000E3409" w:rsidRDefault="000E3409" w:rsidP="001918A4">
      <w:pPr>
        <w:spacing w:before="0"/>
        <w:rPr>
          <w:rFonts w:cs="Arial"/>
          <w:sz w:val="16"/>
          <w:szCs w:val="16"/>
          <w:lang w:eastAsia="en-GB"/>
        </w:rPr>
      </w:pPr>
    </w:p>
    <w:p w:rsidR="000E3409" w:rsidRDefault="000E3409" w:rsidP="001918A4">
      <w:pPr>
        <w:spacing w:before="0"/>
        <w:rPr>
          <w:rFonts w:cs="Arial"/>
          <w:sz w:val="16"/>
          <w:szCs w:val="16"/>
          <w:lang w:eastAsia="en-GB"/>
        </w:rPr>
      </w:pPr>
    </w:p>
    <w:p w:rsidR="000E3409" w:rsidRDefault="000E3409" w:rsidP="003103EF">
      <w:pPr>
        <w:spacing w:before="0"/>
        <w:ind w:left="0"/>
        <w:rPr>
          <w:rFonts w:cs="Arial"/>
          <w:sz w:val="16"/>
          <w:szCs w:val="16"/>
          <w:lang w:eastAsia="en-GB"/>
        </w:rPr>
      </w:pPr>
    </w:p>
    <w:p w:rsidR="000E3409" w:rsidRPr="007733B9" w:rsidRDefault="000E3409" w:rsidP="000E3409">
      <w:pPr>
        <w:pStyle w:val="Heading1Numbered"/>
        <w:numPr>
          <w:ilvl w:val="0"/>
          <w:numId w:val="0"/>
        </w:numPr>
        <w:spacing w:before="0" w:after="0"/>
      </w:pPr>
      <w:bookmarkStart w:id="10" w:name="_Toc373399197"/>
      <w:r w:rsidRPr="007733B9">
        <w:lastRenderedPageBreak/>
        <w:t>Annex B: Interpretation of modelled estimates</w:t>
      </w:r>
      <w:bookmarkEnd w:id="10"/>
      <w:r w:rsidRPr="007733B9">
        <w:t xml:space="preserve"> </w:t>
      </w:r>
    </w:p>
    <w:p w:rsidR="000E3409" w:rsidRPr="007733B9" w:rsidRDefault="000E3409" w:rsidP="000E3409">
      <w:pPr>
        <w:spacing w:before="0"/>
        <w:ind w:left="1418"/>
        <w:rPr>
          <w:rFonts w:cs="Arial"/>
          <w:szCs w:val="22"/>
        </w:rPr>
      </w:pPr>
    </w:p>
    <w:p w:rsidR="000E3409" w:rsidRPr="007733B9" w:rsidRDefault="000E3409" w:rsidP="000E3409">
      <w:pPr>
        <w:spacing w:before="0"/>
        <w:ind w:left="1418"/>
        <w:rPr>
          <w:rFonts w:cs="Arial"/>
          <w:szCs w:val="22"/>
        </w:rPr>
      </w:pPr>
      <w:r w:rsidRPr="007733B9">
        <w:rPr>
          <w:rFonts w:cs="Arial"/>
          <w:szCs w:val="22"/>
        </w:rPr>
        <w:t>As noted throughout the report, modelled estimates have been used where Licensing Authorities did not respond or provided incomplete returns. The method of calculating these estimates is described in Annex A.</w:t>
      </w:r>
    </w:p>
    <w:p w:rsidR="003002D7" w:rsidRPr="007733B9" w:rsidRDefault="003002D7" w:rsidP="000E3409">
      <w:pPr>
        <w:spacing w:before="0"/>
        <w:ind w:left="1418"/>
        <w:rPr>
          <w:rFonts w:cs="Arial"/>
          <w:szCs w:val="22"/>
        </w:rPr>
      </w:pPr>
    </w:p>
    <w:p w:rsidR="003002D7" w:rsidRPr="007733B9" w:rsidRDefault="003002D7" w:rsidP="000E3409">
      <w:pPr>
        <w:spacing w:before="0"/>
        <w:ind w:left="1418"/>
        <w:rPr>
          <w:rFonts w:cs="Arial"/>
          <w:szCs w:val="22"/>
        </w:rPr>
      </w:pPr>
      <w:r w:rsidRPr="007733B9">
        <w:rPr>
          <w:rFonts w:cs="Arial"/>
          <w:szCs w:val="22"/>
        </w:rPr>
        <w:t xml:space="preserve">There were no discernible trends as to which Licensing Authorities did not respond or provided incomplete returns. They were not for instance, mainly small Authorities likely to have few licences in force, nor were </w:t>
      </w:r>
      <w:r w:rsidR="00115BB2" w:rsidRPr="007733B9">
        <w:rPr>
          <w:rFonts w:cs="Arial"/>
          <w:szCs w:val="22"/>
        </w:rPr>
        <w:t xml:space="preserve">they </w:t>
      </w:r>
      <w:r w:rsidRPr="007733B9">
        <w:rPr>
          <w:rFonts w:cs="Arial"/>
          <w:szCs w:val="22"/>
        </w:rPr>
        <w:t>mainly large</w:t>
      </w:r>
      <w:r w:rsidR="00364FDF" w:rsidRPr="007733B9">
        <w:rPr>
          <w:rFonts w:cs="Arial"/>
          <w:szCs w:val="22"/>
        </w:rPr>
        <w:t xml:space="preserve"> authorities</w:t>
      </w:r>
      <w:r w:rsidR="00FC258E" w:rsidRPr="007733B9">
        <w:rPr>
          <w:rFonts w:cs="Arial"/>
          <w:szCs w:val="22"/>
        </w:rPr>
        <w:t xml:space="preserve"> with a greater number of licen</w:t>
      </w:r>
      <w:r w:rsidR="00C437C1">
        <w:rPr>
          <w:rFonts w:cs="Arial"/>
          <w:szCs w:val="22"/>
        </w:rPr>
        <w:t>c</w:t>
      </w:r>
      <w:r w:rsidR="00FC258E" w:rsidRPr="007733B9">
        <w:rPr>
          <w:rFonts w:cs="Arial"/>
          <w:szCs w:val="22"/>
        </w:rPr>
        <w:t>es in force</w:t>
      </w:r>
      <w:r w:rsidRPr="007733B9">
        <w:rPr>
          <w:rFonts w:cs="Arial"/>
          <w:szCs w:val="22"/>
        </w:rPr>
        <w:t>.</w:t>
      </w:r>
    </w:p>
    <w:p w:rsidR="000E3409" w:rsidRPr="007733B9" w:rsidRDefault="000E3409" w:rsidP="000E3409">
      <w:pPr>
        <w:spacing w:before="0"/>
        <w:ind w:left="1418"/>
        <w:rPr>
          <w:rFonts w:cs="Arial"/>
          <w:szCs w:val="22"/>
        </w:rPr>
      </w:pPr>
    </w:p>
    <w:p w:rsidR="006329C6" w:rsidRPr="007733B9" w:rsidRDefault="000E3409" w:rsidP="000E3409">
      <w:pPr>
        <w:spacing w:before="0"/>
        <w:ind w:left="1418"/>
        <w:rPr>
          <w:rFonts w:cs="Arial"/>
          <w:szCs w:val="22"/>
        </w:rPr>
      </w:pPr>
      <w:r w:rsidRPr="007733B9">
        <w:rPr>
          <w:rFonts w:cs="Arial"/>
          <w:szCs w:val="22"/>
        </w:rPr>
        <w:t xml:space="preserve">Modelled estimates </w:t>
      </w:r>
      <w:r w:rsidR="006329C6" w:rsidRPr="007733B9">
        <w:rPr>
          <w:rFonts w:cs="Arial"/>
          <w:szCs w:val="22"/>
        </w:rPr>
        <w:t>are</w:t>
      </w:r>
      <w:r w:rsidRPr="007733B9">
        <w:rPr>
          <w:rFonts w:cs="Arial"/>
          <w:szCs w:val="22"/>
        </w:rPr>
        <w:t xml:space="preserve"> imperfect by nature; as such there </w:t>
      </w:r>
      <w:r w:rsidR="006329C6" w:rsidRPr="007733B9">
        <w:rPr>
          <w:rFonts w:cs="Arial"/>
          <w:szCs w:val="22"/>
        </w:rPr>
        <w:t>is always</w:t>
      </w:r>
      <w:r w:rsidRPr="007733B9">
        <w:rPr>
          <w:rFonts w:cs="Arial"/>
          <w:szCs w:val="22"/>
        </w:rPr>
        <w:t xml:space="preserve"> a degree of error in the calculated estimates for individual Licensing Authorities. For this reason data for individual Licensing Authorities have only been p</w:t>
      </w:r>
      <w:r w:rsidR="00FD3BE9" w:rsidRPr="007733B9">
        <w:rPr>
          <w:rFonts w:cs="Arial"/>
          <w:szCs w:val="22"/>
        </w:rPr>
        <w:t>ublished</w:t>
      </w:r>
      <w:r w:rsidRPr="007733B9">
        <w:rPr>
          <w:rFonts w:cs="Arial"/>
          <w:szCs w:val="22"/>
        </w:rPr>
        <w:t xml:space="preserve"> for those that provided actual returns. </w:t>
      </w:r>
      <w:r w:rsidR="004A6576">
        <w:rPr>
          <w:rFonts w:cs="Arial"/>
          <w:szCs w:val="22"/>
        </w:rPr>
        <w:t>This represents 8</w:t>
      </w:r>
      <w:r w:rsidR="00833D6F">
        <w:rPr>
          <w:rFonts w:cs="Arial"/>
          <w:szCs w:val="22"/>
        </w:rPr>
        <w:t>8</w:t>
      </w:r>
      <w:r w:rsidR="00892E37" w:rsidRPr="007733B9">
        <w:rPr>
          <w:rFonts w:cs="Arial"/>
          <w:szCs w:val="22"/>
        </w:rPr>
        <w:t>.</w:t>
      </w:r>
      <w:r w:rsidR="00833D6F">
        <w:rPr>
          <w:rFonts w:cs="Arial"/>
          <w:szCs w:val="22"/>
        </w:rPr>
        <w:t>0</w:t>
      </w:r>
      <w:r w:rsidR="00FC258E" w:rsidRPr="007733B9">
        <w:rPr>
          <w:rFonts w:cs="Arial"/>
          <w:szCs w:val="22"/>
        </w:rPr>
        <w:t>%</w:t>
      </w:r>
      <w:r w:rsidR="00892E37" w:rsidRPr="007733B9">
        <w:rPr>
          <w:rFonts w:cs="Arial"/>
          <w:szCs w:val="22"/>
        </w:rPr>
        <w:t xml:space="preserve"> and 85.</w:t>
      </w:r>
      <w:r w:rsidR="00833D6F">
        <w:rPr>
          <w:rFonts w:cs="Arial"/>
          <w:szCs w:val="22"/>
        </w:rPr>
        <w:t>4</w:t>
      </w:r>
      <w:r w:rsidR="00892E37" w:rsidRPr="007733B9">
        <w:rPr>
          <w:rFonts w:cs="Arial"/>
          <w:szCs w:val="22"/>
        </w:rPr>
        <w:t>%</w:t>
      </w:r>
      <w:r w:rsidR="00FC258E" w:rsidRPr="007733B9">
        <w:rPr>
          <w:rFonts w:cs="Arial"/>
          <w:szCs w:val="22"/>
        </w:rPr>
        <w:t xml:space="preserve"> of all Licensing Authorities in England and Wales</w:t>
      </w:r>
      <w:r w:rsidR="00563A48">
        <w:rPr>
          <w:rFonts w:cs="Arial"/>
          <w:szCs w:val="22"/>
        </w:rPr>
        <w:t xml:space="preserve"> for </w:t>
      </w:r>
      <w:r w:rsidR="00892E37" w:rsidRPr="007733B9">
        <w:rPr>
          <w:rFonts w:cs="Arial"/>
          <w:szCs w:val="22"/>
        </w:rPr>
        <w:t>pre</w:t>
      </w:r>
      <w:r w:rsidR="00563A48">
        <w:rPr>
          <w:rFonts w:cs="Arial"/>
          <w:szCs w:val="22"/>
        </w:rPr>
        <w:t xml:space="preserve">mises licences and </w:t>
      </w:r>
      <w:r w:rsidR="00892E37" w:rsidRPr="007733B9">
        <w:rPr>
          <w:rFonts w:cs="Arial"/>
          <w:szCs w:val="22"/>
        </w:rPr>
        <w:t>club premises</w:t>
      </w:r>
      <w:r w:rsidR="00563A48">
        <w:rPr>
          <w:rFonts w:cs="Arial"/>
          <w:szCs w:val="22"/>
        </w:rPr>
        <w:t xml:space="preserve"> certificates authorising entertainment</w:t>
      </w:r>
      <w:r w:rsidR="00892E37" w:rsidRPr="007733B9">
        <w:rPr>
          <w:rFonts w:cs="Arial"/>
          <w:szCs w:val="22"/>
        </w:rPr>
        <w:t xml:space="preserve"> respectively</w:t>
      </w:r>
      <w:r w:rsidR="00FC258E" w:rsidRPr="007733B9">
        <w:rPr>
          <w:rFonts w:cs="Arial"/>
          <w:szCs w:val="22"/>
        </w:rPr>
        <w:t>.</w:t>
      </w:r>
    </w:p>
    <w:p w:rsidR="006329C6" w:rsidRPr="007733B9" w:rsidRDefault="006329C6" w:rsidP="000E3409">
      <w:pPr>
        <w:spacing w:before="0"/>
        <w:ind w:left="1418"/>
        <w:rPr>
          <w:rFonts w:cs="Arial"/>
          <w:szCs w:val="22"/>
        </w:rPr>
      </w:pPr>
    </w:p>
    <w:p w:rsidR="000E3409" w:rsidRPr="007733B9" w:rsidRDefault="006329C6" w:rsidP="000E3409">
      <w:pPr>
        <w:spacing w:before="0"/>
        <w:ind w:left="1418"/>
        <w:rPr>
          <w:rFonts w:cs="Arial"/>
          <w:szCs w:val="22"/>
        </w:rPr>
      </w:pPr>
      <w:r w:rsidRPr="007733B9">
        <w:rPr>
          <w:rFonts w:cs="Arial"/>
          <w:szCs w:val="22"/>
        </w:rPr>
        <w:t xml:space="preserve">We model for </w:t>
      </w:r>
      <w:r w:rsidR="00E80F84" w:rsidRPr="007733B9">
        <w:rPr>
          <w:rFonts w:cs="Arial"/>
          <w:szCs w:val="22"/>
        </w:rPr>
        <w:t>L</w:t>
      </w:r>
      <w:r w:rsidRPr="007733B9">
        <w:rPr>
          <w:rFonts w:cs="Arial"/>
          <w:szCs w:val="22"/>
        </w:rPr>
        <w:t>icensing Authorities</w:t>
      </w:r>
      <w:r w:rsidR="003B461C" w:rsidRPr="007733B9">
        <w:rPr>
          <w:rFonts w:cs="Arial"/>
          <w:szCs w:val="22"/>
        </w:rPr>
        <w:t xml:space="preserve"> which</w:t>
      </w:r>
      <w:r w:rsidR="00FC258E" w:rsidRPr="007733B9">
        <w:rPr>
          <w:rFonts w:cs="Arial"/>
          <w:szCs w:val="22"/>
        </w:rPr>
        <w:t xml:space="preserve"> do not provide complete responses</w:t>
      </w:r>
      <w:r w:rsidRPr="007733B9">
        <w:rPr>
          <w:rFonts w:cs="Arial"/>
          <w:szCs w:val="22"/>
        </w:rPr>
        <w:t xml:space="preserve"> d</w:t>
      </w:r>
      <w:r w:rsidR="000E3409" w:rsidRPr="007733B9">
        <w:rPr>
          <w:rFonts w:cs="Arial"/>
          <w:szCs w:val="22"/>
        </w:rPr>
        <w:t>espi</w:t>
      </w:r>
      <w:r w:rsidR="003002D7" w:rsidRPr="007733B9">
        <w:rPr>
          <w:rFonts w:cs="Arial"/>
          <w:szCs w:val="22"/>
        </w:rPr>
        <w:t>te this error in th</w:t>
      </w:r>
      <w:r w:rsidRPr="007733B9">
        <w:rPr>
          <w:rFonts w:cs="Arial"/>
          <w:szCs w:val="22"/>
        </w:rPr>
        <w:t>e</w:t>
      </w:r>
      <w:r w:rsidR="003002D7" w:rsidRPr="007733B9">
        <w:rPr>
          <w:rFonts w:cs="Arial"/>
          <w:szCs w:val="22"/>
        </w:rPr>
        <w:t xml:space="preserve"> modelling</w:t>
      </w:r>
      <w:r w:rsidR="00892E37" w:rsidRPr="007733B9">
        <w:rPr>
          <w:rFonts w:cs="Arial"/>
          <w:szCs w:val="22"/>
        </w:rPr>
        <w:t>.</w:t>
      </w:r>
      <w:r w:rsidRPr="007733B9">
        <w:rPr>
          <w:rFonts w:cs="Arial"/>
          <w:szCs w:val="22"/>
        </w:rPr>
        <w:t xml:space="preserve"> </w:t>
      </w:r>
      <w:r w:rsidR="00892E37" w:rsidRPr="007733B9">
        <w:rPr>
          <w:rFonts w:cs="Arial"/>
          <w:szCs w:val="22"/>
        </w:rPr>
        <w:t>I</w:t>
      </w:r>
      <w:r w:rsidR="003002D7" w:rsidRPr="007733B9">
        <w:rPr>
          <w:rFonts w:cs="Arial"/>
          <w:szCs w:val="22"/>
        </w:rPr>
        <w:t>mplementing it reduce</w:t>
      </w:r>
      <w:r w:rsidRPr="007733B9">
        <w:rPr>
          <w:rFonts w:cs="Arial"/>
          <w:szCs w:val="22"/>
        </w:rPr>
        <w:t>s</w:t>
      </w:r>
      <w:r w:rsidR="003002D7" w:rsidRPr="007733B9">
        <w:rPr>
          <w:rFonts w:cs="Arial"/>
          <w:szCs w:val="22"/>
        </w:rPr>
        <w:t xml:space="preserve"> the extent of error that would have existed had it not been done. </w:t>
      </w:r>
      <w:r w:rsidR="00B478AF">
        <w:rPr>
          <w:rFonts w:cs="Arial"/>
          <w:szCs w:val="22"/>
        </w:rPr>
        <w:t>For most Licensing Authorities</w:t>
      </w:r>
      <w:r w:rsidR="003002D7" w:rsidRPr="007733B9">
        <w:rPr>
          <w:rFonts w:cs="Arial"/>
          <w:szCs w:val="22"/>
        </w:rPr>
        <w:t xml:space="preserve"> (</w:t>
      </w:r>
      <w:r w:rsidR="00C84274" w:rsidRPr="007733B9">
        <w:rPr>
          <w:rFonts w:cs="Arial"/>
          <w:szCs w:val="22"/>
        </w:rPr>
        <w:t>97</w:t>
      </w:r>
      <w:r w:rsidR="003002D7" w:rsidRPr="007733B9">
        <w:rPr>
          <w:rFonts w:cs="Arial"/>
          <w:szCs w:val="22"/>
        </w:rPr>
        <w:t>%</w:t>
      </w:r>
      <w:r w:rsidR="00D9324D">
        <w:rPr>
          <w:rFonts w:cs="Arial"/>
          <w:szCs w:val="22"/>
        </w:rPr>
        <w:t xml:space="preserve"> and 97</w:t>
      </w:r>
      <w:r w:rsidR="00C84274" w:rsidRPr="007733B9">
        <w:rPr>
          <w:rFonts w:cs="Arial"/>
          <w:szCs w:val="22"/>
        </w:rPr>
        <w:t>% for</w:t>
      </w:r>
      <w:r w:rsidR="00B478AF">
        <w:rPr>
          <w:rFonts w:cs="Arial"/>
          <w:szCs w:val="22"/>
        </w:rPr>
        <w:t xml:space="preserve"> </w:t>
      </w:r>
      <w:r w:rsidR="00C84274" w:rsidRPr="007733B9">
        <w:rPr>
          <w:rFonts w:cs="Arial"/>
          <w:szCs w:val="22"/>
        </w:rPr>
        <w:t>pre</w:t>
      </w:r>
      <w:r w:rsidR="00B478AF">
        <w:rPr>
          <w:rFonts w:cs="Arial"/>
          <w:szCs w:val="22"/>
        </w:rPr>
        <w:t>mises licences and</w:t>
      </w:r>
      <w:r w:rsidR="00C84274" w:rsidRPr="007733B9">
        <w:rPr>
          <w:rFonts w:cs="Arial"/>
          <w:szCs w:val="22"/>
        </w:rPr>
        <w:t xml:space="preserve"> club premises certificates </w:t>
      </w:r>
      <w:r w:rsidR="00B478AF">
        <w:rPr>
          <w:rFonts w:cs="Arial"/>
          <w:szCs w:val="22"/>
        </w:rPr>
        <w:t xml:space="preserve">authorising entertainment </w:t>
      </w:r>
      <w:r w:rsidR="00C84274" w:rsidRPr="007733B9">
        <w:rPr>
          <w:rFonts w:cs="Arial"/>
          <w:szCs w:val="22"/>
        </w:rPr>
        <w:t>respectively</w:t>
      </w:r>
      <w:r w:rsidR="003002D7" w:rsidRPr="007733B9">
        <w:rPr>
          <w:rFonts w:cs="Arial"/>
          <w:szCs w:val="22"/>
        </w:rPr>
        <w:t>)</w:t>
      </w:r>
      <w:r w:rsidR="00B478AF">
        <w:rPr>
          <w:rFonts w:cs="Arial"/>
          <w:szCs w:val="22"/>
        </w:rPr>
        <w:t xml:space="preserve"> either, modelling was not required, or modelled estimates</w:t>
      </w:r>
      <w:r w:rsidR="003002D7" w:rsidRPr="007733B9">
        <w:rPr>
          <w:rFonts w:cs="Arial"/>
          <w:szCs w:val="22"/>
        </w:rPr>
        <w:t xml:space="preserve"> were based on returns </w:t>
      </w:r>
      <w:r w:rsidR="00FC258E" w:rsidRPr="007733B9">
        <w:rPr>
          <w:rFonts w:cs="Arial"/>
          <w:szCs w:val="22"/>
        </w:rPr>
        <w:t xml:space="preserve">that the </w:t>
      </w:r>
      <w:r w:rsidR="00E80F84" w:rsidRPr="007733B9">
        <w:rPr>
          <w:rFonts w:cs="Arial"/>
          <w:szCs w:val="22"/>
        </w:rPr>
        <w:t>L</w:t>
      </w:r>
      <w:r w:rsidR="00FC258E" w:rsidRPr="007733B9">
        <w:rPr>
          <w:rFonts w:cs="Arial"/>
          <w:szCs w:val="22"/>
        </w:rPr>
        <w:t xml:space="preserve">icensing </w:t>
      </w:r>
      <w:r w:rsidR="00E80F84" w:rsidRPr="007733B9">
        <w:rPr>
          <w:rFonts w:cs="Arial"/>
          <w:szCs w:val="22"/>
        </w:rPr>
        <w:t>A</w:t>
      </w:r>
      <w:r w:rsidR="00FC258E" w:rsidRPr="007733B9">
        <w:rPr>
          <w:rFonts w:cs="Arial"/>
          <w:szCs w:val="22"/>
        </w:rPr>
        <w:t xml:space="preserve">uthority </w:t>
      </w:r>
      <w:r w:rsidR="003002D7" w:rsidRPr="007733B9">
        <w:rPr>
          <w:rFonts w:cs="Arial"/>
          <w:szCs w:val="22"/>
        </w:rPr>
        <w:t>provided in previous years so are likely to accurately reflect the actual number of licences in force.</w:t>
      </w:r>
    </w:p>
    <w:p w:rsidR="003002D7" w:rsidRPr="007733B9" w:rsidRDefault="003002D7" w:rsidP="000E3409">
      <w:pPr>
        <w:spacing w:before="0"/>
        <w:ind w:left="1418"/>
        <w:rPr>
          <w:rFonts w:cs="Arial"/>
          <w:szCs w:val="22"/>
        </w:rPr>
      </w:pPr>
    </w:p>
    <w:p w:rsidR="00B2164D" w:rsidRPr="003002D7" w:rsidRDefault="00C84274" w:rsidP="00C56E8A">
      <w:pPr>
        <w:spacing w:before="0"/>
        <w:ind w:left="1418" w:firstLine="22"/>
        <w:rPr>
          <w:rFonts w:cs="Arial"/>
          <w:szCs w:val="22"/>
        </w:rPr>
      </w:pPr>
      <w:r w:rsidRPr="007733B9">
        <w:rPr>
          <w:rFonts w:cs="Arial"/>
          <w:szCs w:val="22"/>
        </w:rPr>
        <w:t>In the few cases where authorities which did</w:t>
      </w:r>
      <w:r w:rsidR="003002D7" w:rsidRPr="007733B9">
        <w:rPr>
          <w:rFonts w:cs="Arial"/>
          <w:szCs w:val="22"/>
        </w:rPr>
        <w:t xml:space="preserve"> no</w:t>
      </w:r>
      <w:r w:rsidRPr="007733B9">
        <w:rPr>
          <w:rFonts w:cs="Arial"/>
          <w:szCs w:val="22"/>
        </w:rPr>
        <w:t xml:space="preserve">t </w:t>
      </w:r>
      <w:r w:rsidR="006573C6" w:rsidRPr="007733B9">
        <w:rPr>
          <w:rFonts w:cs="Arial"/>
          <w:szCs w:val="22"/>
        </w:rPr>
        <w:t>respond</w:t>
      </w:r>
      <w:r w:rsidRPr="007733B9">
        <w:rPr>
          <w:rFonts w:cs="Arial"/>
          <w:szCs w:val="22"/>
        </w:rPr>
        <w:t xml:space="preserve"> </w:t>
      </w:r>
      <w:r w:rsidR="004A6576">
        <w:rPr>
          <w:rFonts w:cs="Arial"/>
          <w:szCs w:val="22"/>
        </w:rPr>
        <w:t>in 2013</w:t>
      </w:r>
      <w:r w:rsidR="003B461C" w:rsidRPr="007733B9">
        <w:rPr>
          <w:rFonts w:cs="Arial"/>
          <w:szCs w:val="22"/>
        </w:rPr>
        <w:t xml:space="preserve"> and</w:t>
      </w:r>
      <w:r w:rsidR="003002D7" w:rsidRPr="007733B9">
        <w:rPr>
          <w:rFonts w:cs="Arial"/>
          <w:szCs w:val="22"/>
        </w:rPr>
        <w:t xml:space="preserve"> did not respond in any </w:t>
      </w:r>
      <w:r w:rsidR="006329C6" w:rsidRPr="007733B9">
        <w:rPr>
          <w:rFonts w:cs="Arial"/>
          <w:szCs w:val="22"/>
        </w:rPr>
        <w:t xml:space="preserve">previous </w:t>
      </w:r>
      <w:r w:rsidR="003002D7" w:rsidRPr="007733B9">
        <w:rPr>
          <w:rFonts w:cs="Arial"/>
          <w:szCs w:val="22"/>
        </w:rPr>
        <w:t>year of data collection</w:t>
      </w:r>
      <w:r w:rsidR="004A6576">
        <w:rPr>
          <w:rFonts w:cs="Arial"/>
          <w:szCs w:val="22"/>
        </w:rPr>
        <w:t xml:space="preserve"> since 2010</w:t>
      </w:r>
      <w:r w:rsidRPr="007733B9">
        <w:rPr>
          <w:rFonts w:cs="Arial"/>
          <w:szCs w:val="22"/>
        </w:rPr>
        <w:t>,</w:t>
      </w:r>
      <w:r w:rsidR="006573C6" w:rsidRPr="007733B9">
        <w:rPr>
          <w:rFonts w:cs="Arial"/>
          <w:szCs w:val="22"/>
        </w:rPr>
        <w:t xml:space="preserve"> </w:t>
      </w:r>
      <w:r w:rsidRPr="007733B9">
        <w:rPr>
          <w:rFonts w:cs="Arial"/>
          <w:szCs w:val="22"/>
        </w:rPr>
        <w:t>a</w:t>
      </w:r>
      <w:r w:rsidR="003002D7" w:rsidRPr="007733B9">
        <w:rPr>
          <w:rFonts w:cs="Arial"/>
          <w:szCs w:val="22"/>
        </w:rPr>
        <w:t xml:space="preserve">n average for the authority type has been </w:t>
      </w:r>
      <w:r w:rsidR="006573C6" w:rsidRPr="007733B9">
        <w:rPr>
          <w:rFonts w:cs="Arial"/>
          <w:szCs w:val="22"/>
        </w:rPr>
        <w:t>u</w:t>
      </w:r>
      <w:r w:rsidR="003002D7" w:rsidRPr="007733B9">
        <w:rPr>
          <w:rFonts w:cs="Arial"/>
          <w:szCs w:val="22"/>
        </w:rPr>
        <w:t>sed</w:t>
      </w:r>
      <w:r w:rsidRPr="007733B9">
        <w:rPr>
          <w:rFonts w:cs="Arial"/>
          <w:szCs w:val="22"/>
        </w:rPr>
        <w:t>.</w:t>
      </w:r>
      <w:r w:rsidR="003002D7" w:rsidRPr="007733B9">
        <w:rPr>
          <w:rFonts w:cs="Arial"/>
          <w:szCs w:val="22"/>
        </w:rPr>
        <w:t xml:space="preserve"> </w:t>
      </w:r>
      <w:r w:rsidRPr="007733B9">
        <w:rPr>
          <w:rFonts w:cs="Arial"/>
          <w:szCs w:val="22"/>
        </w:rPr>
        <w:t xml:space="preserve">This </w:t>
      </w:r>
      <w:r w:rsidR="006329C6" w:rsidRPr="007733B9">
        <w:rPr>
          <w:rFonts w:cs="Arial"/>
          <w:szCs w:val="22"/>
        </w:rPr>
        <w:t>mak</w:t>
      </w:r>
      <w:r w:rsidRPr="007733B9">
        <w:rPr>
          <w:rFonts w:cs="Arial"/>
          <w:szCs w:val="22"/>
        </w:rPr>
        <w:t>es</w:t>
      </w:r>
      <w:r w:rsidR="006329C6" w:rsidRPr="007733B9">
        <w:rPr>
          <w:rFonts w:cs="Arial"/>
          <w:szCs w:val="22"/>
        </w:rPr>
        <w:t xml:space="preserve"> an assumption that similar authority types (e.g. </w:t>
      </w:r>
      <w:r w:rsidRPr="007733B9">
        <w:rPr>
          <w:rFonts w:cs="Arial"/>
          <w:szCs w:val="22"/>
        </w:rPr>
        <w:t>London Boroughs)</w:t>
      </w:r>
      <w:r w:rsidR="006329C6" w:rsidRPr="007733B9">
        <w:rPr>
          <w:rFonts w:cs="Arial"/>
          <w:szCs w:val="22"/>
        </w:rPr>
        <w:t xml:space="preserve"> have</w:t>
      </w:r>
      <w:r w:rsidR="006573C6" w:rsidRPr="007733B9">
        <w:rPr>
          <w:rFonts w:cs="Arial"/>
          <w:szCs w:val="22"/>
        </w:rPr>
        <w:t xml:space="preserve"> a</w:t>
      </w:r>
      <w:r w:rsidR="006329C6" w:rsidRPr="007733B9">
        <w:rPr>
          <w:rFonts w:cs="Arial"/>
          <w:szCs w:val="22"/>
        </w:rPr>
        <w:t xml:space="preserve"> similar number of licen</w:t>
      </w:r>
      <w:r w:rsidR="004C682B">
        <w:rPr>
          <w:rFonts w:cs="Arial"/>
          <w:szCs w:val="22"/>
        </w:rPr>
        <w:t>c</w:t>
      </w:r>
      <w:r w:rsidR="006329C6" w:rsidRPr="007733B9">
        <w:rPr>
          <w:rFonts w:cs="Arial"/>
          <w:szCs w:val="22"/>
        </w:rPr>
        <w:t>es in</w:t>
      </w:r>
      <w:r w:rsidR="006573C6" w:rsidRPr="007733B9">
        <w:rPr>
          <w:rFonts w:cs="Arial"/>
          <w:szCs w:val="22"/>
        </w:rPr>
        <w:t xml:space="preserve"> force</w:t>
      </w:r>
      <w:r w:rsidR="006329C6" w:rsidRPr="007733B9">
        <w:rPr>
          <w:rFonts w:cs="Arial"/>
          <w:szCs w:val="22"/>
        </w:rPr>
        <w:t xml:space="preserve">. </w:t>
      </w:r>
      <w:r w:rsidR="006573C6" w:rsidRPr="007733B9">
        <w:rPr>
          <w:rFonts w:cs="Arial"/>
          <w:szCs w:val="22"/>
        </w:rPr>
        <w:t>This</w:t>
      </w:r>
      <w:r w:rsidR="003002D7" w:rsidRPr="007733B9">
        <w:rPr>
          <w:rFonts w:cs="Arial"/>
          <w:szCs w:val="22"/>
        </w:rPr>
        <w:t xml:space="preserve"> </w:t>
      </w:r>
      <w:r w:rsidR="006329C6" w:rsidRPr="007733B9">
        <w:rPr>
          <w:rFonts w:cs="Arial"/>
          <w:szCs w:val="22"/>
        </w:rPr>
        <w:t xml:space="preserve">subset of modelled </w:t>
      </w:r>
      <w:r w:rsidR="003002D7" w:rsidRPr="007733B9">
        <w:rPr>
          <w:rFonts w:cs="Arial"/>
          <w:szCs w:val="22"/>
        </w:rPr>
        <w:t xml:space="preserve">estimates </w:t>
      </w:r>
      <w:r w:rsidR="006573C6" w:rsidRPr="007733B9">
        <w:rPr>
          <w:rFonts w:cs="Arial"/>
          <w:szCs w:val="22"/>
        </w:rPr>
        <w:t>is</w:t>
      </w:r>
      <w:r w:rsidR="003002D7" w:rsidRPr="007733B9">
        <w:rPr>
          <w:rFonts w:cs="Arial"/>
          <w:szCs w:val="22"/>
        </w:rPr>
        <w:t xml:space="preserve"> </w:t>
      </w:r>
      <w:r w:rsidR="006329C6" w:rsidRPr="007733B9">
        <w:rPr>
          <w:rFonts w:cs="Arial"/>
          <w:szCs w:val="22"/>
        </w:rPr>
        <w:t xml:space="preserve">therefore </w:t>
      </w:r>
      <w:r w:rsidR="003002D7" w:rsidRPr="007733B9">
        <w:rPr>
          <w:rFonts w:cs="Arial"/>
          <w:szCs w:val="22"/>
        </w:rPr>
        <w:t>likely to be less accurate</w:t>
      </w:r>
      <w:r w:rsidR="006329C6" w:rsidRPr="007733B9">
        <w:rPr>
          <w:rFonts w:cs="Arial"/>
          <w:szCs w:val="22"/>
        </w:rPr>
        <w:t xml:space="preserve">, </w:t>
      </w:r>
      <w:r w:rsidR="003002D7" w:rsidRPr="007733B9">
        <w:rPr>
          <w:rFonts w:cs="Arial"/>
          <w:szCs w:val="22"/>
        </w:rPr>
        <w:t xml:space="preserve">but </w:t>
      </w:r>
      <w:r w:rsidR="006329C6" w:rsidRPr="007733B9">
        <w:rPr>
          <w:rFonts w:cs="Arial"/>
          <w:szCs w:val="22"/>
        </w:rPr>
        <w:t>given they are only</w:t>
      </w:r>
      <w:r w:rsidR="003002D7" w:rsidRPr="007733B9">
        <w:rPr>
          <w:rFonts w:cs="Arial"/>
          <w:szCs w:val="22"/>
        </w:rPr>
        <w:t xml:space="preserve"> </w:t>
      </w:r>
      <w:r w:rsidR="006329C6" w:rsidRPr="007733B9">
        <w:rPr>
          <w:rFonts w:cs="Arial"/>
          <w:szCs w:val="22"/>
        </w:rPr>
        <w:t>used</w:t>
      </w:r>
      <w:r w:rsidR="003002D7" w:rsidRPr="007733B9">
        <w:rPr>
          <w:rFonts w:cs="Arial"/>
          <w:szCs w:val="22"/>
        </w:rPr>
        <w:t xml:space="preserve"> for </w:t>
      </w:r>
      <w:r w:rsidRPr="007733B9">
        <w:rPr>
          <w:rFonts w:cs="Arial"/>
          <w:szCs w:val="22"/>
        </w:rPr>
        <w:t>less than 4</w:t>
      </w:r>
      <w:r w:rsidR="003002D7" w:rsidRPr="007733B9">
        <w:rPr>
          <w:rFonts w:cs="Arial"/>
          <w:szCs w:val="22"/>
        </w:rPr>
        <w:t>% of all Licensing Authorities</w:t>
      </w:r>
      <w:r w:rsidR="00FC258E" w:rsidRPr="007733B9">
        <w:rPr>
          <w:rFonts w:cs="Arial"/>
          <w:szCs w:val="22"/>
        </w:rPr>
        <w:t xml:space="preserve">, we believe this introduces little bias and </w:t>
      </w:r>
      <w:r w:rsidR="006573C6" w:rsidRPr="007733B9">
        <w:rPr>
          <w:rFonts w:cs="Arial"/>
          <w:szCs w:val="22"/>
        </w:rPr>
        <w:t xml:space="preserve">that </w:t>
      </w:r>
      <w:r w:rsidR="00FC258E" w:rsidRPr="007733B9">
        <w:rPr>
          <w:rFonts w:cs="Arial"/>
          <w:szCs w:val="22"/>
        </w:rPr>
        <w:t>the national estimates are still robust</w:t>
      </w:r>
      <w:r w:rsidR="006573C6" w:rsidRPr="007733B9">
        <w:rPr>
          <w:rFonts w:cs="Arial"/>
          <w:szCs w:val="22"/>
        </w:rPr>
        <w:t>.</w:t>
      </w:r>
      <w:r w:rsidR="00FC258E" w:rsidRPr="007733B9">
        <w:rPr>
          <w:rFonts w:cs="Arial"/>
          <w:szCs w:val="22"/>
        </w:rPr>
        <w:t xml:space="preserve"> </w:t>
      </w:r>
      <w:r w:rsidR="003002D7" w:rsidRPr="007733B9">
        <w:rPr>
          <w:rFonts w:cs="Arial"/>
          <w:szCs w:val="22"/>
        </w:rPr>
        <w:t>As such this modelling should not influence the way that these statistics are interpreted</w:t>
      </w:r>
      <w:r w:rsidR="006770BE" w:rsidRPr="007733B9">
        <w:rPr>
          <w:rFonts w:cs="Arial"/>
          <w:szCs w:val="22"/>
        </w:rPr>
        <w:t>.</w:t>
      </w:r>
      <w:r w:rsidR="00654AB0">
        <w:rPr>
          <w:rFonts w:cs="Arial"/>
          <w:noProof/>
          <w:sz w:val="16"/>
          <w:szCs w:val="16"/>
          <w:lang w:eastAsia="en-GB"/>
        </w:rPr>
        <mc:AlternateContent>
          <mc:Choice Requires="wps">
            <w:drawing>
              <wp:anchor distT="0" distB="0" distL="114300" distR="114300" simplePos="0" relativeHeight="251658240" behindDoc="0" locked="0" layoutInCell="1" allowOverlap="1" wp14:anchorId="4A494364" wp14:editId="29DF2517">
                <wp:simplePos x="0" y="0"/>
                <wp:positionH relativeFrom="column">
                  <wp:posOffset>-161925</wp:posOffset>
                </wp:positionH>
                <wp:positionV relativeFrom="paragraph">
                  <wp:posOffset>8501380</wp:posOffset>
                </wp:positionV>
                <wp:extent cx="1714500" cy="685800"/>
                <wp:effectExtent l="0" t="0"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9DE" w:rsidRDefault="00CA19DE" w:rsidP="00DD60F7">
                            <w:pPr>
                              <w:pStyle w:val="Address"/>
                            </w:pPr>
                            <w:r>
                              <w:t>2-4 Cockspur Street</w:t>
                            </w:r>
                          </w:p>
                          <w:p w:rsidR="00CA19DE" w:rsidRDefault="00CA19DE" w:rsidP="00DD60F7">
                            <w:pPr>
                              <w:pStyle w:val="Address"/>
                            </w:pPr>
                            <w:r>
                              <w:t>London SW1Y 5DH</w:t>
                            </w:r>
                          </w:p>
                          <w:p w:rsidR="00CA19DE" w:rsidRDefault="00CA19DE" w:rsidP="00DD60F7">
                            <w:pPr>
                              <w:pStyle w:val="WebAddress"/>
                            </w:pPr>
                            <w:r>
                              <w:t>www.culture.gov.uk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2.75pt;margin-top:669.4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" stroked="f">
                <v:textbox>
                  <w:txbxContent>
                    <w:p w:rsidR="00CA19DE" w:rsidRDefault="00CA19DE" w:rsidP="00DD60F7">
                      <w:pPr>
                        <w:pStyle w:val="Address"/>
                      </w:pPr>
                      <w:r>
                        <w:t>2-4 Cockspur Street</w:t>
                      </w:r>
                    </w:p>
                    <w:p w:rsidR="00CA19DE" w:rsidRDefault="00CA19DE" w:rsidP="00DD60F7">
                      <w:pPr>
                        <w:pStyle w:val="Address"/>
                      </w:pPr>
                      <w:r>
                        <w:t>London SW1Y 5DH</w:t>
                      </w:r>
                    </w:p>
                    <w:p w:rsidR="00CA19DE" w:rsidRDefault="00CA19DE" w:rsidP="00DD60F7">
                      <w:pPr>
                        <w:pStyle w:val="WebAddress"/>
                      </w:pPr>
                      <w:r>
                        <w:t>www.culture.gov.uk</w:t>
                      </w:r>
                    </w:p>
                  </w:txbxContent>
                </v:textbox>
              </v:shape>
            </w:pict>
          </mc:Fallback>
        </mc:AlternateContent>
      </w:r>
      <w:r w:rsidR="00654AB0">
        <w:rPr>
          <w:rFonts w:cs="Arial"/>
          <w:noProof/>
          <w:sz w:val="16"/>
          <w:szCs w:val="16"/>
          <w:lang w:eastAsia="en-GB"/>
        </w:rPr>
        <w:drawing>
          <wp:anchor distT="0" distB="0" distL="114300" distR="114300" simplePos="0" relativeHeight="251657216" behindDoc="0" locked="0" layoutInCell="1" allowOverlap="1" wp14:anchorId="7F4F2100" wp14:editId="6AE0648E">
            <wp:simplePos x="0" y="0"/>
            <wp:positionH relativeFrom="column">
              <wp:posOffset>-153035</wp:posOffset>
            </wp:positionH>
            <wp:positionV relativeFrom="paragraph">
              <wp:posOffset>6837680</wp:posOffset>
            </wp:positionV>
            <wp:extent cx="1140460" cy="1352550"/>
            <wp:effectExtent l="0" t="0" r="2540" b="0"/>
            <wp:wrapNone/>
            <wp:docPr id="66" name="Picture 66" descr="Description: 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cms gif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0460" cy="1352550"/>
                    </a:xfrm>
                    <a:prstGeom prst="rect">
                      <a:avLst/>
                    </a:prstGeom>
                    <a:noFill/>
                  </pic:spPr>
                </pic:pic>
              </a:graphicData>
            </a:graphic>
            <wp14:sizeRelH relativeFrom="page">
              <wp14:pctWidth>0</wp14:pctWidth>
            </wp14:sizeRelH>
            <wp14:sizeRelV relativeFrom="page">
              <wp14:pctHeight>0</wp14:pctHeight>
            </wp14:sizeRelV>
          </wp:anchor>
        </w:drawing>
      </w:r>
    </w:p>
    <w:sectPr w:rsidR="00B2164D" w:rsidRPr="003002D7" w:rsidSect="002D3E77">
      <w:headerReference w:type="even" r:id="rId47"/>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89" w:rsidRDefault="00F14E89" w:rsidP="00FD27B8">
      <w:pPr>
        <w:pStyle w:val="Header"/>
      </w:pPr>
      <w:r>
        <w:separator/>
      </w:r>
    </w:p>
    <w:p w:rsidR="00F14E89" w:rsidRDefault="00F14E89"/>
  </w:endnote>
  <w:endnote w:type="continuationSeparator" w:id="0">
    <w:p w:rsidR="00F14E89" w:rsidRDefault="00F14E89" w:rsidP="00FD27B8">
      <w:pPr>
        <w:pStyle w:val="Header"/>
      </w:pPr>
      <w:r>
        <w:continuationSeparator/>
      </w:r>
    </w:p>
    <w:p w:rsidR="00F14E89" w:rsidRDefault="00F1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89" w:rsidRDefault="00F14E89" w:rsidP="00FD27B8">
      <w:pPr>
        <w:pStyle w:val="Header"/>
      </w:pPr>
    </w:p>
    <w:p w:rsidR="00F14E89" w:rsidRDefault="00F14E89"/>
  </w:footnote>
  <w:footnote w:type="continuationSeparator" w:id="0">
    <w:p w:rsidR="00F14E89" w:rsidRDefault="00F14E89" w:rsidP="00FD27B8">
      <w:pPr>
        <w:pStyle w:val="Header"/>
      </w:pPr>
      <w:r>
        <w:continuationSeparator/>
      </w:r>
    </w:p>
    <w:p w:rsidR="00F14E89" w:rsidRDefault="00F14E89"/>
  </w:footnote>
  <w:footnote w:id="1">
    <w:p w:rsidR="00CA19DE" w:rsidRPr="00351972" w:rsidRDefault="00CA19DE" w:rsidP="00C625F3">
      <w:pPr>
        <w:pStyle w:val="FootnoteText"/>
        <w:ind w:left="1440"/>
        <w:rPr>
          <w:sz w:val="18"/>
          <w:szCs w:val="18"/>
        </w:rPr>
      </w:pPr>
      <w:r w:rsidRPr="00351972">
        <w:rPr>
          <w:rStyle w:val="FootnoteReference"/>
          <w:sz w:val="18"/>
          <w:szCs w:val="18"/>
        </w:rPr>
        <w:footnoteRef/>
      </w:r>
      <w:r w:rsidRPr="00351972">
        <w:rPr>
          <w:sz w:val="18"/>
          <w:szCs w:val="18"/>
        </w:rPr>
        <w:t xml:space="preserve"> Information on the need for licences for regulated entertainment as set out in The Licensing Act 2003 is available at </w:t>
      </w:r>
      <w:hyperlink r:id="rId1" w:history="1">
        <w:r w:rsidRPr="00351972">
          <w:rPr>
            <w:rStyle w:val="Hyperlink"/>
            <w:sz w:val="18"/>
            <w:szCs w:val="18"/>
          </w:rPr>
          <w:t>http://www.legislation.gov.uk/ukpga/2003/17/contents</w:t>
        </w:r>
      </w:hyperlink>
      <w:r w:rsidRPr="00351972">
        <w:rPr>
          <w:sz w:val="18"/>
          <w:szCs w:val="18"/>
        </w:rPr>
        <w:t xml:space="preserve"> </w:t>
      </w:r>
    </w:p>
  </w:footnote>
  <w:footnote w:id="2">
    <w:p w:rsidR="00CA19DE" w:rsidRPr="00351972" w:rsidRDefault="00CA19DE" w:rsidP="00750877">
      <w:pPr>
        <w:pStyle w:val="FootnoteText"/>
        <w:ind w:left="1440"/>
        <w:rPr>
          <w:sz w:val="18"/>
          <w:szCs w:val="18"/>
        </w:rPr>
      </w:pPr>
      <w:r w:rsidRPr="00351972">
        <w:rPr>
          <w:rStyle w:val="FootnoteReference"/>
          <w:sz w:val="18"/>
          <w:szCs w:val="18"/>
        </w:rPr>
        <w:footnoteRef/>
      </w:r>
      <w:r w:rsidRPr="00351972">
        <w:rPr>
          <w:sz w:val="18"/>
          <w:szCs w:val="18"/>
        </w:rPr>
        <w:t xml:space="preserve"> Further information </w:t>
      </w:r>
      <w:r>
        <w:rPr>
          <w:sz w:val="18"/>
          <w:szCs w:val="18"/>
        </w:rPr>
        <w:t xml:space="preserve">on the Taking Part Survey is </w:t>
      </w:r>
      <w:r w:rsidRPr="00351972">
        <w:rPr>
          <w:sz w:val="18"/>
          <w:szCs w:val="18"/>
        </w:rPr>
        <w:t>available at</w:t>
      </w:r>
      <w:r>
        <w:rPr>
          <w:sz w:val="18"/>
          <w:szCs w:val="18"/>
        </w:rPr>
        <w:t xml:space="preserve"> </w:t>
      </w:r>
      <w:r w:rsidRPr="0022601B">
        <w:t>https://www.gov.uk/government/collections/sat--2</w:t>
      </w:r>
    </w:p>
  </w:footnote>
  <w:footnote w:id="3">
    <w:p w:rsidR="00CA19DE" w:rsidRPr="00F963BF" w:rsidRDefault="00CA19DE" w:rsidP="00750877">
      <w:pPr>
        <w:pStyle w:val="FootnoteText"/>
        <w:ind w:left="1440"/>
        <w:rPr>
          <w:sz w:val="18"/>
          <w:szCs w:val="18"/>
        </w:rPr>
      </w:pPr>
      <w:r w:rsidRPr="00F963BF">
        <w:rPr>
          <w:rStyle w:val="FootnoteReference"/>
          <w:sz w:val="18"/>
          <w:szCs w:val="18"/>
        </w:rPr>
        <w:footnoteRef/>
      </w:r>
      <w:r w:rsidRPr="00F963BF">
        <w:rPr>
          <w:sz w:val="18"/>
          <w:szCs w:val="18"/>
        </w:rPr>
        <w:t xml:space="preserve"> Scottish liquor licensing statistics are available here </w:t>
      </w:r>
      <w:hyperlink r:id="rId2" w:history="1">
        <w:r w:rsidRPr="00EB17AA">
          <w:rPr>
            <w:rStyle w:val="Hyperlink"/>
            <w:sz w:val="18"/>
            <w:szCs w:val="18"/>
          </w:rPr>
          <w:t>http://www.scotland.gov.uk/Topics/Statistics/Browse/Crime-Justice/TrendLiquor</w:t>
        </w:r>
      </w:hyperlink>
    </w:p>
  </w:footnote>
  <w:footnote w:id="4">
    <w:p w:rsidR="00CA19DE" w:rsidRDefault="00CA19DE" w:rsidP="00833D6F">
      <w:pPr>
        <w:pStyle w:val="FootnoteText"/>
        <w:ind w:left="1440"/>
      </w:pPr>
      <w:r>
        <w:rPr>
          <w:rStyle w:val="FootnoteReference"/>
        </w:rPr>
        <w:footnoteRef/>
      </w:r>
      <w:r>
        <w:t xml:space="preserve"> </w:t>
      </w:r>
      <w:r w:rsidRPr="00FB245C">
        <w:t>https://www.gov.uk/entertainment-licensing-changes-under-the-live-music-act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CA19DE" w:rsidTr="004A0C7E">
      <w:tc>
        <w:tcPr>
          <w:tcW w:w="10080" w:type="dxa"/>
          <w:shd w:val="clear" w:color="auto" w:fill="auto"/>
        </w:tcPr>
        <w:p w:rsidR="00CA19DE" w:rsidRDefault="00CA19DE">
          <w:pPr>
            <w:pStyle w:val="Header"/>
          </w:pPr>
          <w:r>
            <w:t>Department for Culture, Media and Sport</w:t>
          </w:r>
        </w:p>
      </w:tc>
    </w:tr>
    <w:tr w:rsidR="00CA19DE" w:rsidTr="004A0C7E">
      <w:tc>
        <w:tcPr>
          <w:tcW w:w="10080" w:type="dxa"/>
          <w:shd w:val="clear" w:color="auto" w:fill="auto"/>
        </w:tcPr>
        <w:p w:rsidR="00CA19DE" w:rsidRDefault="00CA19DE" w:rsidP="00F51926">
          <w:pPr>
            <w:pStyle w:val="HeaderBold"/>
          </w:pPr>
          <w:proofErr w:type="spellStart"/>
          <w:r>
            <w:t>DocumentTitle</w:t>
          </w:r>
          <w:proofErr w:type="spellEnd"/>
        </w:p>
      </w:tc>
    </w:tr>
  </w:tbl>
  <w:p w:rsidR="00CA19DE" w:rsidRDefault="00CA19DE"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CA19DE" w:rsidTr="00C9092E">
      <w:tc>
        <w:tcPr>
          <w:tcW w:w="8618" w:type="dxa"/>
          <w:shd w:val="clear" w:color="auto" w:fill="auto"/>
        </w:tcPr>
        <w:p w:rsidR="00CA19DE" w:rsidRDefault="00CA19DE" w:rsidP="00C9092E">
          <w:pPr>
            <w:pStyle w:val="Header"/>
            <w:tabs>
              <w:tab w:val="left" w:pos="1260"/>
              <w:tab w:val="right" w:pos="9253"/>
            </w:tabs>
          </w:pPr>
          <w:r>
            <w:tab/>
          </w:r>
          <w:r>
            <w:tab/>
            <w:t>Department for Culture, Media and Sport</w:t>
          </w:r>
        </w:p>
        <w:p w:rsidR="00CA19DE" w:rsidRDefault="00CA19DE" w:rsidP="00B257BC">
          <w:pPr>
            <w:pStyle w:val="Header"/>
            <w:jc w:val="right"/>
          </w:pPr>
          <w:r w:rsidRPr="00C9092E">
            <w:rPr>
              <w:b/>
            </w:rPr>
            <w:t>Entertainment Licensing</w:t>
          </w:r>
          <w:r>
            <w:rPr>
              <w:b/>
            </w:rPr>
            <w:t xml:space="preserve"> Statistics 2014 – Statistical R</w:t>
          </w:r>
          <w:r w:rsidRPr="00C9092E">
            <w:rPr>
              <w:b/>
            </w:rPr>
            <w:t>elease</w:t>
          </w:r>
        </w:p>
      </w:tc>
      <w:tc>
        <w:tcPr>
          <w:tcW w:w="720" w:type="dxa"/>
          <w:shd w:val="clear" w:color="auto" w:fill="auto"/>
        </w:tcPr>
        <w:p w:rsidR="00CA19DE" w:rsidRDefault="00CA19DE" w:rsidP="00801957">
          <w:pPr>
            <w:pStyle w:val="Header"/>
          </w:pPr>
          <w:r>
            <w:rPr>
              <w:noProof/>
              <w:lang w:eastAsia="en-GB"/>
            </w:rPr>
            <mc:AlternateContent>
              <mc:Choice Requires="wps">
                <w:drawing>
                  <wp:anchor distT="0" distB="0" distL="114300" distR="114300" simplePos="0" relativeHeight="251657216" behindDoc="0" locked="0" layoutInCell="1" allowOverlap="1" wp14:anchorId="0F75C124" wp14:editId="620C590E">
                    <wp:simplePos x="0" y="0"/>
                    <wp:positionH relativeFrom="column">
                      <wp:posOffset>45720</wp:posOffset>
                    </wp:positionH>
                    <wp:positionV relativeFrom="paragraph">
                      <wp:posOffset>-11430</wp:posOffset>
                    </wp:positionV>
                    <wp:extent cx="288290" cy="288290"/>
                    <wp:effectExtent l="7620" t="7620" r="889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CA19DE" w:rsidRDefault="00CA19DE" w:rsidP="00801957">
                                <w:pPr>
                                  <w:pStyle w:val="HeaderBold"/>
                                  <w:jc w:val="center"/>
                                </w:pPr>
                                <w:r>
                                  <w:fldChar w:fldCharType="begin"/>
                                </w:r>
                                <w:r>
                                  <w:instrText xml:space="preserve"> PAGE  \* Arabic  \* MERGEFORMAT </w:instrText>
                                </w:r>
                                <w:r>
                                  <w:fldChar w:fldCharType="separate"/>
                                </w:r>
                                <w:r w:rsidR="003D552A">
                                  <w:rPr>
                                    <w:noProof/>
                                  </w:rPr>
                                  <w:t>19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" strokeweight=".5pt">
                    <v:textbox inset="1mm,.5mm,1mm">
                      <w:txbxContent>
                        <w:p w:rsidR="00CA19DE" w:rsidRDefault="00CA19DE" w:rsidP="00801957">
                          <w:pPr>
                            <w:pStyle w:val="HeaderBold"/>
                            <w:jc w:val="center"/>
                          </w:pPr>
                          <w:r>
                            <w:fldChar w:fldCharType="begin"/>
                          </w:r>
                          <w:r>
                            <w:instrText xml:space="preserve"> PAGE  \* Arabic  \* MERGEFORMAT </w:instrText>
                          </w:r>
                          <w:r>
                            <w:fldChar w:fldCharType="separate"/>
                          </w:r>
                          <w:r w:rsidR="003D552A">
                            <w:rPr>
                              <w:noProof/>
                            </w:rPr>
                            <w:t>19</w:t>
                          </w:r>
                          <w:r>
                            <w:fldChar w:fldCharType="end"/>
                          </w:r>
                        </w:p>
                      </w:txbxContent>
                    </v:textbox>
                  </v:shape>
                </w:pict>
              </mc:Fallback>
            </mc:AlternateContent>
          </w:r>
        </w:p>
      </w:tc>
    </w:tr>
    <w:tr w:rsidR="00CA19DE" w:rsidTr="00C9092E">
      <w:tc>
        <w:tcPr>
          <w:tcW w:w="8618" w:type="dxa"/>
          <w:shd w:val="clear" w:color="auto" w:fill="auto"/>
        </w:tcPr>
        <w:p w:rsidR="00CA19DE" w:rsidRDefault="00CA19DE" w:rsidP="00C9092E">
          <w:pPr>
            <w:pStyle w:val="HeaderBold"/>
            <w:jc w:val="right"/>
          </w:pPr>
        </w:p>
      </w:tc>
      <w:tc>
        <w:tcPr>
          <w:tcW w:w="720" w:type="dxa"/>
          <w:shd w:val="clear" w:color="auto" w:fill="auto"/>
        </w:tcPr>
        <w:p w:rsidR="00CA19DE" w:rsidRDefault="00CA19DE" w:rsidP="00801957">
          <w:pPr>
            <w:pStyle w:val="HeaderBold"/>
          </w:pPr>
        </w:p>
      </w:tc>
    </w:tr>
  </w:tbl>
  <w:p w:rsidR="00CA19DE" w:rsidRDefault="00CA1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CA19DE" w:rsidTr="00C9092E">
      <w:tc>
        <w:tcPr>
          <w:tcW w:w="648" w:type="dxa"/>
          <w:shd w:val="clear" w:color="auto" w:fill="auto"/>
        </w:tcPr>
        <w:p w:rsidR="00CA19DE" w:rsidRDefault="00CA19DE" w:rsidP="00C9092E">
          <w:pPr>
            <w:pStyle w:val="Header"/>
            <w:jc w:val="right"/>
          </w:pPr>
          <w:r>
            <w:rPr>
              <w:noProof/>
              <w:lang w:eastAsia="en-GB"/>
            </w:rPr>
            <mc:AlternateContent>
              <mc:Choice Requires="wps">
                <w:drawing>
                  <wp:anchor distT="0" distB="0" distL="114300" distR="114300" simplePos="0" relativeHeight="251658240" behindDoc="0" locked="0" layoutInCell="1" allowOverlap="1" wp14:anchorId="57922D10" wp14:editId="62D3203A">
                    <wp:simplePos x="0" y="0"/>
                    <wp:positionH relativeFrom="column">
                      <wp:posOffset>-1905</wp:posOffset>
                    </wp:positionH>
                    <wp:positionV relativeFrom="paragraph">
                      <wp:posOffset>-17780</wp:posOffset>
                    </wp:positionV>
                    <wp:extent cx="288290" cy="288290"/>
                    <wp:effectExtent l="7620" t="10795"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CA19DE" w:rsidRDefault="00CA19DE" w:rsidP="00801957">
                                <w:pPr>
                                  <w:pStyle w:val="HeaderBold"/>
                                  <w:jc w:val="center"/>
                                </w:pPr>
                                <w:r>
                                  <w:fldChar w:fldCharType="begin"/>
                                </w:r>
                                <w:r>
                                  <w:instrText xml:space="preserve"> PAGE  \* Arabic  \* MERGEFORMAT </w:instrText>
                                </w:r>
                                <w:r>
                                  <w:fldChar w:fldCharType="separate"/>
                                </w:r>
                                <w:r w:rsidR="003D552A">
                                  <w:rPr>
                                    <w:noProof/>
                                  </w:rPr>
                                  <w:t>20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" strokeweight=".5pt">
                    <v:textbox inset="1mm,.5mm,1mm">
                      <w:txbxContent>
                        <w:p w:rsidR="00CA19DE" w:rsidRDefault="00CA19DE" w:rsidP="00801957">
                          <w:pPr>
                            <w:pStyle w:val="HeaderBold"/>
                            <w:jc w:val="center"/>
                          </w:pPr>
                          <w:r>
                            <w:fldChar w:fldCharType="begin"/>
                          </w:r>
                          <w:r>
                            <w:instrText xml:space="preserve"> PAGE  \* Arabic  \* MERGEFORMAT </w:instrText>
                          </w:r>
                          <w:r>
                            <w:fldChar w:fldCharType="separate"/>
                          </w:r>
                          <w:r w:rsidR="003D552A">
                            <w:rPr>
                              <w:noProof/>
                            </w:rPr>
                            <w:t>20</w:t>
                          </w:r>
                          <w:r>
                            <w:fldChar w:fldCharType="end"/>
                          </w:r>
                        </w:p>
                      </w:txbxContent>
                    </v:textbox>
                  </v:shape>
                </w:pict>
              </mc:Fallback>
            </mc:AlternateContent>
          </w:r>
        </w:p>
      </w:tc>
      <w:tc>
        <w:tcPr>
          <w:tcW w:w="9360" w:type="dxa"/>
          <w:shd w:val="clear" w:color="auto" w:fill="auto"/>
        </w:tcPr>
        <w:p w:rsidR="00CA19DE" w:rsidRDefault="00CA19DE" w:rsidP="00801957">
          <w:pPr>
            <w:pStyle w:val="Header"/>
          </w:pPr>
          <w:r>
            <w:t>Department for Culture, Media and Sport</w:t>
          </w:r>
        </w:p>
        <w:p w:rsidR="00CA19DE" w:rsidRPr="00C9092E" w:rsidRDefault="00CA19DE" w:rsidP="00B257BC">
          <w:pPr>
            <w:pStyle w:val="Header"/>
            <w:rPr>
              <w:b/>
            </w:rPr>
          </w:pPr>
          <w:r w:rsidRPr="00C9092E">
            <w:rPr>
              <w:b/>
            </w:rPr>
            <w:t>Entertainment Licensing</w:t>
          </w:r>
          <w:r>
            <w:rPr>
              <w:b/>
            </w:rPr>
            <w:t xml:space="preserve"> Statistics 2014 – Statistical R</w:t>
          </w:r>
          <w:r w:rsidRPr="00C9092E">
            <w:rPr>
              <w:b/>
            </w:rPr>
            <w:t xml:space="preserve">elease </w:t>
          </w:r>
        </w:p>
      </w:tc>
    </w:tr>
    <w:tr w:rsidR="00CA19DE" w:rsidTr="00C9092E">
      <w:tc>
        <w:tcPr>
          <w:tcW w:w="648" w:type="dxa"/>
          <w:shd w:val="clear" w:color="auto" w:fill="auto"/>
        </w:tcPr>
        <w:p w:rsidR="00CA19DE" w:rsidRDefault="00CA19DE" w:rsidP="00C9092E">
          <w:pPr>
            <w:pStyle w:val="HeaderBold"/>
            <w:jc w:val="right"/>
          </w:pPr>
        </w:p>
      </w:tc>
      <w:tc>
        <w:tcPr>
          <w:tcW w:w="9360" w:type="dxa"/>
          <w:shd w:val="clear" w:color="auto" w:fill="auto"/>
        </w:tcPr>
        <w:p w:rsidR="00CA19DE" w:rsidRDefault="00CA19DE" w:rsidP="00801957">
          <w:pPr>
            <w:pStyle w:val="HeaderBold"/>
          </w:pPr>
        </w:p>
      </w:tc>
    </w:tr>
  </w:tbl>
  <w:p w:rsidR="00CA19DE" w:rsidRPr="00801957" w:rsidRDefault="00CA19DE" w:rsidP="00801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0957407"/>
    <w:multiLevelType w:val="hybridMultilevel"/>
    <w:tmpl w:val="58E24DA2"/>
    <w:lvl w:ilvl="0" w:tplc="379E16A0">
      <w:start w:val="2"/>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
    <w:nsid w:val="016405D0"/>
    <w:multiLevelType w:val="hybridMultilevel"/>
    <w:tmpl w:val="72C6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F643A"/>
    <w:multiLevelType w:val="hybridMultilevel"/>
    <w:tmpl w:val="8AD0F298"/>
    <w:lvl w:ilvl="0" w:tplc="9D5424E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0ECB279D"/>
    <w:multiLevelType w:val="hybridMultilevel"/>
    <w:tmpl w:val="B9685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D15EB"/>
    <w:multiLevelType w:val="hybridMultilevel"/>
    <w:tmpl w:val="2FA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A6EEB"/>
    <w:multiLevelType w:val="hybridMultilevel"/>
    <w:tmpl w:val="DA6AB9BA"/>
    <w:lvl w:ilvl="0" w:tplc="0E3EB9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414FC8"/>
    <w:multiLevelType w:val="hybridMultilevel"/>
    <w:tmpl w:val="CD6C320C"/>
    <w:lvl w:ilvl="0" w:tplc="0809000F">
      <w:start w:val="1"/>
      <w:numFmt w:val="decimal"/>
      <w:lvlText w:val="%1."/>
      <w:lvlJc w:val="left"/>
      <w:pPr>
        <w:ind w:left="2288" w:hanging="360"/>
      </w:p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8">
    <w:nsid w:val="18483A75"/>
    <w:multiLevelType w:val="hybridMultilevel"/>
    <w:tmpl w:val="29D06444"/>
    <w:lvl w:ilvl="0" w:tplc="A64050C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9AF08CC"/>
    <w:multiLevelType w:val="hybridMultilevel"/>
    <w:tmpl w:val="C77E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956CC"/>
    <w:multiLevelType w:val="hybridMultilevel"/>
    <w:tmpl w:val="4BBE22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1EB11818"/>
    <w:multiLevelType w:val="hybridMultilevel"/>
    <w:tmpl w:val="A6F0BCD0"/>
    <w:lvl w:ilvl="0" w:tplc="06F06AA4">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nsid w:val="26456F31"/>
    <w:multiLevelType w:val="hybridMultilevel"/>
    <w:tmpl w:val="DE0C1EE8"/>
    <w:lvl w:ilvl="0" w:tplc="500654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303C1A17"/>
    <w:multiLevelType w:val="multilevel"/>
    <w:tmpl w:val="A0E01FE4"/>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4">
    <w:nsid w:val="3490425C"/>
    <w:multiLevelType w:val="hybridMultilevel"/>
    <w:tmpl w:val="7550D85E"/>
    <w:lvl w:ilvl="0" w:tplc="0A76C35E">
      <w:start w:val="1"/>
      <w:numFmt w:val="lowerLetter"/>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5">
    <w:nsid w:val="38A13E6A"/>
    <w:multiLevelType w:val="hybridMultilevel"/>
    <w:tmpl w:val="8ADCB3DC"/>
    <w:lvl w:ilvl="0" w:tplc="AEF0A7DE">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6">
    <w:nsid w:val="3AFC0EBE"/>
    <w:multiLevelType w:val="hybridMultilevel"/>
    <w:tmpl w:val="035E96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B170A1"/>
    <w:multiLevelType w:val="hybridMultilevel"/>
    <w:tmpl w:val="31DAD150"/>
    <w:lvl w:ilvl="0" w:tplc="A8D4466E">
      <w:start w:val="1"/>
      <w:numFmt w:val="decimal"/>
      <w:lvlText w:val="%1."/>
      <w:lvlJc w:val="left"/>
      <w:pPr>
        <w:ind w:left="2345" w:hanging="360"/>
      </w:pPr>
      <w:rPr>
        <w:rFonts w:hint="default"/>
        <w:i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4FBB0FBD"/>
    <w:multiLevelType w:val="hybridMultilevel"/>
    <w:tmpl w:val="DC96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B3244"/>
    <w:multiLevelType w:val="hybridMultilevel"/>
    <w:tmpl w:val="49D0366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600F5BE3"/>
    <w:multiLevelType w:val="hybridMultilevel"/>
    <w:tmpl w:val="9DECE7EE"/>
    <w:lvl w:ilvl="0" w:tplc="FFE6C694">
      <w:start w:val="1"/>
      <w:numFmt w:val="decimal"/>
      <w:lvlText w:val="%1)"/>
      <w:lvlJc w:val="left"/>
      <w:pPr>
        <w:ind w:left="2345" w:hanging="360"/>
      </w:pPr>
      <w:rPr>
        <w:rFonts w:hint="default"/>
        <w:sz w:val="16"/>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nsid w:val="60D9393B"/>
    <w:multiLevelType w:val="hybridMultilevel"/>
    <w:tmpl w:val="E84A096E"/>
    <w:lvl w:ilvl="0" w:tplc="5F72FBF8">
      <w:start w:val="1"/>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2">
    <w:nsid w:val="62DE2452"/>
    <w:multiLevelType w:val="hybridMultilevel"/>
    <w:tmpl w:val="FBC0971A"/>
    <w:lvl w:ilvl="0" w:tplc="81D8C7EA">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66774177"/>
    <w:multiLevelType w:val="hybridMultilevel"/>
    <w:tmpl w:val="720EFF78"/>
    <w:lvl w:ilvl="0" w:tplc="4AC4BC90">
      <w:start w:val="1"/>
      <w:numFmt w:val="decimal"/>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nsid w:val="68E55C92"/>
    <w:multiLevelType w:val="hybridMultilevel"/>
    <w:tmpl w:val="18DAC08C"/>
    <w:lvl w:ilvl="0" w:tplc="545EEB3C">
      <w:start w:val="1"/>
      <w:numFmt w:val="decimal"/>
      <w:lvlText w:val="%1)"/>
      <w:lvlJc w:val="left"/>
      <w:pPr>
        <w:ind w:left="4036" w:hanging="360"/>
      </w:pPr>
      <w:rPr>
        <w:rFonts w:hint="default"/>
      </w:rPr>
    </w:lvl>
    <w:lvl w:ilvl="1" w:tplc="08090019" w:tentative="1">
      <w:start w:val="1"/>
      <w:numFmt w:val="lowerLetter"/>
      <w:lvlText w:val="%2."/>
      <w:lvlJc w:val="left"/>
      <w:pPr>
        <w:ind w:left="4756" w:hanging="360"/>
      </w:pPr>
    </w:lvl>
    <w:lvl w:ilvl="2" w:tplc="0809001B" w:tentative="1">
      <w:start w:val="1"/>
      <w:numFmt w:val="lowerRoman"/>
      <w:lvlText w:val="%3."/>
      <w:lvlJc w:val="right"/>
      <w:pPr>
        <w:ind w:left="5476" w:hanging="180"/>
      </w:pPr>
    </w:lvl>
    <w:lvl w:ilvl="3" w:tplc="0809000F" w:tentative="1">
      <w:start w:val="1"/>
      <w:numFmt w:val="decimal"/>
      <w:lvlText w:val="%4."/>
      <w:lvlJc w:val="left"/>
      <w:pPr>
        <w:ind w:left="6196" w:hanging="360"/>
      </w:pPr>
    </w:lvl>
    <w:lvl w:ilvl="4" w:tplc="08090019" w:tentative="1">
      <w:start w:val="1"/>
      <w:numFmt w:val="lowerLetter"/>
      <w:lvlText w:val="%5."/>
      <w:lvlJc w:val="left"/>
      <w:pPr>
        <w:ind w:left="6916" w:hanging="360"/>
      </w:pPr>
    </w:lvl>
    <w:lvl w:ilvl="5" w:tplc="0809001B" w:tentative="1">
      <w:start w:val="1"/>
      <w:numFmt w:val="lowerRoman"/>
      <w:lvlText w:val="%6."/>
      <w:lvlJc w:val="right"/>
      <w:pPr>
        <w:ind w:left="7636" w:hanging="180"/>
      </w:pPr>
    </w:lvl>
    <w:lvl w:ilvl="6" w:tplc="0809000F" w:tentative="1">
      <w:start w:val="1"/>
      <w:numFmt w:val="decimal"/>
      <w:lvlText w:val="%7."/>
      <w:lvlJc w:val="left"/>
      <w:pPr>
        <w:ind w:left="8356" w:hanging="360"/>
      </w:pPr>
    </w:lvl>
    <w:lvl w:ilvl="7" w:tplc="08090019" w:tentative="1">
      <w:start w:val="1"/>
      <w:numFmt w:val="lowerLetter"/>
      <w:lvlText w:val="%8."/>
      <w:lvlJc w:val="left"/>
      <w:pPr>
        <w:ind w:left="9076" w:hanging="360"/>
      </w:pPr>
    </w:lvl>
    <w:lvl w:ilvl="8" w:tplc="0809001B" w:tentative="1">
      <w:start w:val="1"/>
      <w:numFmt w:val="lowerRoman"/>
      <w:lvlText w:val="%9."/>
      <w:lvlJc w:val="right"/>
      <w:pPr>
        <w:ind w:left="9796" w:hanging="180"/>
      </w:pPr>
    </w:lvl>
  </w:abstractNum>
  <w:abstractNum w:abstractNumId="25">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6">
    <w:nsid w:val="6E8C5265"/>
    <w:multiLevelType w:val="hybridMultilevel"/>
    <w:tmpl w:val="7BD03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FE85A51"/>
    <w:multiLevelType w:val="hybridMultilevel"/>
    <w:tmpl w:val="52A29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63D530B"/>
    <w:multiLevelType w:val="hybridMultilevel"/>
    <w:tmpl w:val="100CDB38"/>
    <w:lvl w:ilvl="0" w:tplc="0686A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145F5E"/>
    <w:multiLevelType w:val="hybridMultilevel"/>
    <w:tmpl w:val="D74C383A"/>
    <w:lvl w:ilvl="0" w:tplc="08090001">
      <w:start w:val="1"/>
      <w:numFmt w:val="bullet"/>
      <w:lvlText w:val=""/>
      <w:lvlJc w:val="left"/>
      <w:pPr>
        <w:ind w:left="3220" w:hanging="360"/>
      </w:pPr>
      <w:rPr>
        <w:rFonts w:ascii="Symbol" w:hAnsi="Symbol" w:hint="default"/>
      </w:rPr>
    </w:lvl>
    <w:lvl w:ilvl="1" w:tplc="08090003" w:tentative="1">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30">
    <w:nsid w:val="796F5E33"/>
    <w:multiLevelType w:val="hybridMultilevel"/>
    <w:tmpl w:val="20A2399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AE02C71"/>
    <w:multiLevelType w:val="hybridMultilevel"/>
    <w:tmpl w:val="5600D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D4510B7"/>
    <w:multiLevelType w:val="hybridMultilevel"/>
    <w:tmpl w:val="C892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4"/>
  </w:num>
  <w:num w:numId="5">
    <w:abstractNumId w:val="19"/>
  </w:num>
  <w:num w:numId="6">
    <w:abstractNumId w:val="28"/>
  </w:num>
  <w:num w:numId="7">
    <w:abstractNumId w:val="17"/>
  </w:num>
  <w:num w:numId="8">
    <w:abstractNumId w:val="1"/>
  </w:num>
  <w:num w:numId="9">
    <w:abstractNumId w:val="29"/>
  </w:num>
  <w:num w:numId="10">
    <w:abstractNumId w:val="11"/>
  </w:num>
  <w:num w:numId="11">
    <w:abstractNumId w:val="9"/>
  </w:num>
  <w:num w:numId="12">
    <w:abstractNumId w:val="14"/>
  </w:num>
  <w:num w:numId="13">
    <w:abstractNumId w:val="23"/>
  </w:num>
  <w:num w:numId="14">
    <w:abstractNumId w:val="20"/>
  </w:num>
  <w:num w:numId="15">
    <w:abstractNumId w:val="22"/>
  </w:num>
  <w:num w:numId="16">
    <w:abstractNumId w:val="21"/>
  </w:num>
  <w:num w:numId="17">
    <w:abstractNumId w:val="13"/>
  </w:num>
  <w:num w:numId="18">
    <w:abstractNumId w:val="16"/>
  </w:num>
  <w:num w:numId="19">
    <w:abstractNumId w:val="15"/>
  </w:num>
  <w:num w:numId="20">
    <w:abstractNumId w:val="26"/>
  </w:num>
  <w:num w:numId="21">
    <w:abstractNumId w:val="18"/>
  </w:num>
  <w:num w:numId="22">
    <w:abstractNumId w:val="31"/>
  </w:num>
  <w:num w:numId="23">
    <w:abstractNumId w:val="2"/>
  </w:num>
  <w:num w:numId="24">
    <w:abstractNumId w:val="27"/>
  </w:num>
  <w:num w:numId="25">
    <w:abstractNumId w:val="24"/>
  </w:num>
  <w:num w:numId="26">
    <w:abstractNumId w:val="10"/>
  </w:num>
  <w:num w:numId="27">
    <w:abstractNumId w:val="3"/>
  </w:num>
  <w:num w:numId="28">
    <w:abstractNumId w:val="12"/>
  </w:num>
  <w:num w:numId="29">
    <w:abstractNumId w:val="8"/>
  </w:num>
  <w:num w:numId="30">
    <w:abstractNumId w:val="6"/>
  </w:num>
  <w:num w:numId="31">
    <w:abstractNumId w:val="5"/>
  </w:num>
  <w:num w:numId="32">
    <w:abstractNumId w:val="30"/>
  </w:num>
  <w:num w:numId="33">
    <w:abstractNumId w:val="7"/>
  </w:num>
  <w:num w:numId="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FA"/>
    <w:rsid w:val="00010085"/>
    <w:rsid w:val="00015AED"/>
    <w:rsid w:val="00015B61"/>
    <w:rsid w:val="000272A7"/>
    <w:rsid w:val="00027A16"/>
    <w:rsid w:val="00032BFF"/>
    <w:rsid w:val="00034C28"/>
    <w:rsid w:val="00041739"/>
    <w:rsid w:val="000427CD"/>
    <w:rsid w:val="00042868"/>
    <w:rsid w:val="0004306B"/>
    <w:rsid w:val="00052A3E"/>
    <w:rsid w:val="00052AD0"/>
    <w:rsid w:val="00052F76"/>
    <w:rsid w:val="0005654A"/>
    <w:rsid w:val="00060D5C"/>
    <w:rsid w:val="0006321D"/>
    <w:rsid w:val="00063FA3"/>
    <w:rsid w:val="00064DAB"/>
    <w:rsid w:val="00070A1E"/>
    <w:rsid w:val="000718D4"/>
    <w:rsid w:val="000727E0"/>
    <w:rsid w:val="000757AB"/>
    <w:rsid w:val="0007598B"/>
    <w:rsid w:val="000814DD"/>
    <w:rsid w:val="00082A8E"/>
    <w:rsid w:val="000B0374"/>
    <w:rsid w:val="000B1A1A"/>
    <w:rsid w:val="000B46F1"/>
    <w:rsid w:val="000C34EF"/>
    <w:rsid w:val="000C60F3"/>
    <w:rsid w:val="000C7B1C"/>
    <w:rsid w:val="000D1550"/>
    <w:rsid w:val="000D5679"/>
    <w:rsid w:val="000D5F87"/>
    <w:rsid w:val="000E3409"/>
    <w:rsid w:val="000E5FAC"/>
    <w:rsid w:val="000E74F0"/>
    <w:rsid w:val="000F2137"/>
    <w:rsid w:val="000F290B"/>
    <w:rsid w:val="000F6AC4"/>
    <w:rsid w:val="000F7913"/>
    <w:rsid w:val="00104CFC"/>
    <w:rsid w:val="001062B9"/>
    <w:rsid w:val="00106809"/>
    <w:rsid w:val="00111B1F"/>
    <w:rsid w:val="00112848"/>
    <w:rsid w:val="001145D3"/>
    <w:rsid w:val="00115510"/>
    <w:rsid w:val="00115BB2"/>
    <w:rsid w:val="00120689"/>
    <w:rsid w:val="00122FEE"/>
    <w:rsid w:val="00125909"/>
    <w:rsid w:val="0012602D"/>
    <w:rsid w:val="001270DB"/>
    <w:rsid w:val="00127DE2"/>
    <w:rsid w:val="00133336"/>
    <w:rsid w:val="00134E93"/>
    <w:rsid w:val="00135142"/>
    <w:rsid w:val="001369EA"/>
    <w:rsid w:val="001459BB"/>
    <w:rsid w:val="0015370D"/>
    <w:rsid w:val="00154811"/>
    <w:rsid w:val="00155080"/>
    <w:rsid w:val="00155ADD"/>
    <w:rsid w:val="00157A69"/>
    <w:rsid w:val="00157C15"/>
    <w:rsid w:val="0016041F"/>
    <w:rsid w:val="00161E5E"/>
    <w:rsid w:val="00164EB7"/>
    <w:rsid w:val="00165339"/>
    <w:rsid w:val="001663B0"/>
    <w:rsid w:val="00171854"/>
    <w:rsid w:val="00180563"/>
    <w:rsid w:val="00181E76"/>
    <w:rsid w:val="00187DF4"/>
    <w:rsid w:val="00191775"/>
    <w:rsid w:val="001918A4"/>
    <w:rsid w:val="001A0077"/>
    <w:rsid w:val="001A245A"/>
    <w:rsid w:val="001A6F3D"/>
    <w:rsid w:val="001B6B26"/>
    <w:rsid w:val="001B77E4"/>
    <w:rsid w:val="001D0114"/>
    <w:rsid w:val="001D187C"/>
    <w:rsid w:val="001D577B"/>
    <w:rsid w:val="001E0E9B"/>
    <w:rsid w:val="001E1826"/>
    <w:rsid w:val="001E2003"/>
    <w:rsid w:val="001E3E3F"/>
    <w:rsid w:val="001E4EE9"/>
    <w:rsid w:val="001E59FA"/>
    <w:rsid w:val="001F080E"/>
    <w:rsid w:val="001F0A37"/>
    <w:rsid w:val="001F14E1"/>
    <w:rsid w:val="001F4ACA"/>
    <w:rsid w:val="00201D95"/>
    <w:rsid w:val="00201E60"/>
    <w:rsid w:val="0021255D"/>
    <w:rsid w:val="00212C84"/>
    <w:rsid w:val="00214B08"/>
    <w:rsid w:val="00216753"/>
    <w:rsid w:val="0022037F"/>
    <w:rsid w:val="00220892"/>
    <w:rsid w:val="00223F10"/>
    <w:rsid w:val="0022601B"/>
    <w:rsid w:val="0023155C"/>
    <w:rsid w:val="00231BDF"/>
    <w:rsid w:val="0024027B"/>
    <w:rsid w:val="002436C4"/>
    <w:rsid w:val="00245AA5"/>
    <w:rsid w:val="00246FC5"/>
    <w:rsid w:val="00247145"/>
    <w:rsid w:val="00253104"/>
    <w:rsid w:val="00253701"/>
    <w:rsid w:val="00255C4F"/>
    <w:rsid w:val="00256047"/>
    <w:rsid w:val="00263722"/>
    <w:rsid w:val="00267ADE"/>
    <w:rsid w:val="00267D9A"/>
    <w:rsid w:val="0027214D"/>
    <w:rsid w:val="00277B50"/>
    <w:rsid w:val="002803C8"/>
    <w:rsid w:val="00282990"/>
    <w:rsid w:val="00283206"/>
    <w:rsid w:val="00286016"/>
    <w:rsid w:val="00293499"/>
    <w:rsid w:val="002941A0"/>
    <w:rsid w:val="002A2D0A"/>
    <w:rsid w:val="002A4FFC"/>
    <w:rsid w:val="002B151A"/>
    <w:rsid w:val="002B19A2"/>
    <w:rsid w:val="002B1B33"/>
    <w:rsid w:val="002B50FA"/>
    <w:rsid w:val="002B5376"/>
    <w:rsid w:val="002B5C17"/>
    <w:rsid w:val="002C1B99"/>
    <w:rsid w:val="002C3E6D"/>
    <w:rsid w:val="002C4775"/>
    <w:rsid w:val="002C5DF6"/>
    <w:rsid w:val="002D2A86"/>
    <w:rsid w:val="002D3E77"/>
    <w:rsid w:val="002D772A"/>
    <w:rsid w:val="002E10CC"/>
    <w:rsid w:val="002E2379"/>
    <w:rsid w:val="002E391C"/>
    <w:rsid w:val="002E512C"/>
    <w:rsid w:val="002E649F"/>
    <w:rsid w:val="002F2445"/>
    <w:rsid w:val="002F2EBC"/>
    <w:rsid w:val="002F69CC"/>
    <w:rsid w:val="002F6FD7"/>
    <w:rsid w:val="003002D7"/>
    <w:rsid w:val="0030243C"/>
    <w:rsid w:val="00307690"/>
    <w:rsid w:val="003103EF"/>
    <w:rsid w:val="00311D74"/>
    <w:rsid w:val="00317932"/>
    <w:rsid w:val="00317F3B"/>
    <w:rsid w:val="00320047"/>
    <w:rsid w:val="003406C0"/>
    <w:rsid w:val="00344AB3"/>
    <w:rsid w:val="0034624D"/>
    <w:rsid w:val="00351972"/>
    <w:rsid w:val="00360C80"/>
    <w:rsid w:val="00361912"/>
    <w:rsid w:val="00361F75"/>
    <w:rsid w:val="003627F6"/>
    <w:rsid w:val="00364FDF"/>
    <w:rsid w:val="003774A1"/>
    <w:rsid w:val="003829C6"/>
    <w:rsid w:val="00384096"/>
    <w:rsid w:val="0038529D"/>
    <w:rsid w:val="00385FAD"/>
    <w:rsid w:val="00392019"/>
    <w:rsid w:val="003A11CC"/>
    <w:rsid w:val="003A2BD8"/>
    <w:rsid w:val="003A765D"/>
    <w:rsid w:val="003B461C"/>
    <w:rsid w:val="003B4F6C"/>
    <w:rsid w:val="003C5C48"/>
    <w:rsid w:val="003C5C92"/>
    <w:rsid w:val="003D056C"/>
    <w:rsid w:val="003D552A"/>
    <w:rsid w:val="003D79C5"/>
    <w:rsid w:val="003D7B62"/>
    <w:rsid w:val="003E2C43"/>
    <w:rsid w:val="003E5929"/>
    <w:rsid w:val="003F0099"/>
    <w:rsid w:val="003F30C8"/>
    <w:rsid w:val="003F720D"/>
    <w:rsid w:val="00401173"/>
    <w:rsid w:val="00401326"/>
    <w:rsid w:val="00401C56"/>
    <w:rsid w:val="00404E0B"/>
    <w:rsid w:val="004075A3"/>
    <w:rsid w:val="0040791C"/>
    <w:rsid w:val="00417EC8"/>
    <w:rsid w:val="004247E4"/>
    <w:rsid w:val="00435158"/>
    <w:rsid w:val="004361F2"/>
    <w:rsid w:val="004529A2"/>
    <w:rsid w:val="004563B9"/>
    <w:rsid w:val="0046583A"/>
    <w:rsid w:val="004714B3"/>
    <w:rsid w:val="00477478"/>
    <w:rsid w:val="00477F10"/>
    <w:rsid w:val="0048631D"/>
    <w:rsid w:val="00492820"/>
    <w:rsid w:val="00493B5C"/>
    <w:rsid w:val="00494FE2"/>
    <w:rsid w:val="00497E55"/>
    <w:rsid w:val="004A0129"/>
    <w:rsid w:val="004A0C7E"/>
    <w:rsid w:val="004A6145"/>
    <w:rsid w:val="004A627C"/>
    <w:rsid w:val="004A6576"/>
    <w:rsid w:val="004A6A0C"/>
    <w:rsid w:val="004B1231"/>
    <w:rsid w:val="004B290E"/>
    <w:rsid w:val="004B7EBD"/>
    <w:rsid w:val="004C03E8"/>
    <w:rsid w:val="004C2265"/>
    <w:rsid w:val="004C682B"/>
    <w:rsid w:val="004D11A4"/>
    <w:rsid w:val="004D6E11"/>
    <w:rsid w:val="004D7553"/>
    <w:rsid w:val="004D7ED9"/>
    <w:rsid w:val="004E584F"/>
    <w:rsid w:val="004E5986"/>
    <w:rsid w:val="004E7E85"/>
    <w:rsid w:val="004F1B70"/>
    <w:rsid w:val="004F377D"/>
    <w:rsid w:val="004F4211"/>
    <w:rsid w:val="005022B2"/>
    <w:rsid w:val="0051143B"/>
    <w:rsid w:val="0051193A"/>
    <w:rsid w:val="00520CD6"/>
    <w:rsid w:val="00525BB3"/>
    <w:rsid w:val="00536691"/>
    <w:rsid w:val="00542840"/>
    <w:rsid w:val="0054395A"/>
    <w:rsid w:val="0054767D"/>
    <w:rsid w:val="00550F5A"/>
    <w:rsid w:val="005552C7"/>
    <w:rsid w:val="00556BFA"/>
    <w:rsid w:val="00563A48"/>
    <w:rsid w:val="00576EBD"/>
    <w:rsid w:val="00577B52"/>
    <w:rsid w:val="00585FC9"/>
    <w:rsid w:val="00593AAD"/>
    <w:rsid w:val="005A11D6"/>
    <w:rsid w:val="005A51C7"/>
    <w:rsid w:val="005A53E6"/>
    <w:rsid w:val="005A5D21"/>
    <w:rsid w:val="005A76B6"/>
    <w:rsid w:val="005B04B7"/>
    <w:rsid w:val="005B39EB"/>
    <w:rsid w:val="005B3AFA"/>
    <w:rsid w:val="005C0743"/>
    <w:rsid w:val="005C4984"/>
    <w:rsid w:val="005D1207"/>
    <w:rsid w:val="005D18B2"/>
    <w:rsid w:val="005D220F"/>
    <w:rsid w:val="005D24F5"/>
    <w:rsid w:val="005D27CF"/>
    <w:rsid w:val="005D3906"/>
    <w:rsid w:val="005D5EEB"/>
    <w:rsid w:val="005E09C7"/>
    <w:rsid w:val="005E2EFA"/>
    <w:rsid w:val="005E332B"/>
    <w:rsid w:val="005E4332"/>
    <w:rsid w:val="005F1108"/>
    <w:rsid w:val="005F33D4"/>
    <w:rsid w:val="005F40ED"/>
    <w:rsid w:val="005F4960"/>
    <w:rsid w:val="00603CAE"/>
    <w:rsid w:val="00606109"/>
    <w:rsid w:val="0060633C"/>
    <w:rsid w:val="00617F3C"/>
    <w:rsid w:val="00623BF5"/>
    <w:rsid w:val="0062436E"/>
    <w:rsid w:val="006306B0"/>
    <w:rsid w:val="00631751"/>
    <w:rsid w:val="006329C6"/>
    <w:rsid w:val="00634FD8"/>
    <w:rsid w:val="006351E3"/>
    <w:rsid w:val="00642D1B"/>
    <w:rsid w:val="00645DC4"/>
    <w:rsid w:val="0064642D"/>
    <w:rsid w:val="00650B64"/>
    <w:rsid w:val="00654AB0"/>
    <w:rsid w:val="006569B9"/>
    <w:rsid w:val="006573C6"/>
    <w:rsid w:val="006642E7"/>
    <w:rsid w:val="006645D5"/>
    <w:rsid w:val="00665B55"/>
    <w:rsid w:val="006702A6"/>
    <w:rsid w:val="00671E89"/>
    <w:rsid w:val="006770BE"/>
    <w:rsid w:val="0068195C"/>
    <w:rsid w:val="0069013D"/>
    <w:rsid w:val="00692696"/>
    <w:rsid w:val="00695F14"/>
    <w:rsid w:val="00697B06"/>
    <w:rsid w:val="006A03E8"/>
    <w:rsid w:val="006A5E7F"/>
    <w:rsid w:val="006B1128"/>
    <w:rsid w:val="006C1D0C"/>
    <w:rsid w:val="006C2246"/>
    <w:rsid w:val="006C2927"/>
    <w:rsid w:val="006C33E3"/>
    <w:rsid w:val="006D52C1"/>
    <w:rsid w:val="006F4D46"/>
    <w:rsid w:val="006F5CC0"/>
    <w:rsid w:val="0070234A"/>
    <w:rsid w:val="00702421"/>
    <w:rsid w:val="00704931"/>
    <w:rsid w:val="007065AC"/>
    <w:rsid w:val="00706DC6"/>
    <w:rsid w:val="00710B0E"/>
    <w:rsid w:val="00712165"/>
    <w:rsid w:val="00713D9C"/>
    <w:rsid w:val="007161D5"/>
    <w:rsid w:val="00720CF3"/>
    <w:rsid w:val="00720ECD"/>
    <w:rsid w:val="00724361"/>
    <w:rsid w:val="00724E7C"/>
    <w:rsid w:val="00726EC3"/>
    <w:rsid w:val="007311CA"/>
    <w:rsid w:val="00734E10"/>
    <w:rsid w:val="007351BD"/>
    <w:rsid w:val="00736975"/>
    <w:rsid w:val="00736FC5"/>
    <w:rsid w:val="007378A3"/>
    <w:rsid w:val="00740093"/>
    <w:rsid w:val="00741878"/>
    <w:rsid w:val="00743F3B"/>
    <w:rsid w:val="007448D5"/>
    <w:rsid w:val="00747112"/>
    <w:rsid w:val="007501AA"/>
    <w:rsid w:val="00750877"/>
    <w:rsid w:val="00752402"/>
    <w:rsid w:val="00754725"/>
    <w:rsid w:val="00760628"/>
    <w:rsid w:val="00761E9A"/>
    <w:rsid w:val="007622F3"/>
    <w:rsid w:val="00762EB1"/>
    <w:rsid w:val="00766593"/>
    <w:rsid w:val="00767F75"/>
    <w:rsid w:val="007733B9"/>
    <w:rsid w:val="007912BA"/>
    <w:rsid w:val="007967A9"/>
    <w:rsid w:val="00797D44"/>
    <w:rsid w:val="007A182D"/>
    <w:rsid w:val="007A4A49"/>
    <w:rsid w:val="007B1027"/>
    <w:rsid w:val="007B3A76"/>
    <w:rsid w:val="007C0DCF"/>
    <w:rsid w:val="007C12E9"/>
    <w:rsid w:val="007D12BA"/>
    <w:rsid w:val="007D35B7"/>
    <w:rsid w:val="007D38A0"/>
    <w:rsid w:val="007D62A9"/>
    <w:rsid w:val="007D67A2"/>
    <w:rsid w:val="007E0740"/>
    <w:rsid w:val="007F398D"/>
    <w:rsid w:val="007F435D"/>
    <w:rsid w:val="007F75E6"/>
    <w:rsid w:val="00800270"/>
    <w:rsid w:val="00801957"/>
    <w:rsid w:val="00804E35"/>
    <w:rsid w:val="00805099"/>
    <w:rsid w:val="008119B1"/>
    <w:rsid w:val="00811E44"/>
    <w:rsid w:val="00812DA1"/>
    <w:rsid w:val="00813917"/>
    <w:rsid w:val="00821714"/>
    <w:rsid w:val="00823063"/>
    <w:rsid w:val="0082600B"/>
    <w:rsid w:val="00826D24"/>
    <w:rsid w:val="0082711C"/>
    <w:rsid w:val="00832E56"/>
    <w:rsid w:val="008337E9"/>
    <w:rsid w:val="00833D6F"/>
    <w:rsid w:val="0084105C"/>
    <w:rsid w:val="00841BC2"/>
    <w:rsid w:val="00843D3B"/>
    <w:rsid w:val="008500BD"/>
    <w:rsid w:val="00851934"/>
    <w:rsid w:val="00852A83"/>
    <w:rsid w:val="00853830"/>
    <w:rsid w:val="0085754F"/>
    <w:rsid w:val="00857C3B"/>
    <w:rsid w:val="00861A6B"/>
    <w:rsid w:val="00866288"/>
    <w:rsid w:val="00870449"/>
    <w:rsid w:val="00870D39"/>
    <w:rsid w:val="00881883"/>
    <w:rsid w:val="008910A3"/>
    <w:rsid w:val="00892534"/>
    <w:rsid w:val="00892E37"/>
    <w:rsid w:val="008A1A04"/>
    <w:rsid w:val="008A4F4F"/>
    <w:rsid w:val="008B2F35"/>
    <w:rsid w:val="008C210E"/>
    <w:rsid w:val="008D1852"/>
    <w:rsid w:val="008D2DDB"/>
    <w:rsid w:val="008D303A"/>
    <w:rsid w:val="008D3B91"/>
    <w:rsid w:val="008D7B48"/>
    <w:rsid w:val="008E1532"/>
    <w:rsid w:val="008F0C5A"/>
    <w:rsid w:val="008F22AF"/>
    <w:rsid w:val="00905018"/>
    <w:rsid w:val="00905F76"/>
    <w:rsid w:val="00907495"/>
    <w:rsid w:val="00907649"/>
    <w:rsid w:val="00907C8A"/>
    <w:rsid w:val="0091341A"/>
    <w:rsid w:val="009169CC"/>
    <w:rsid w:val="00920EAC"/>
    <w:rsid w:val="0092196E"/>
    <w:rsid w:val="00921ECE"/>
    <w:rsid w:val="009253DB"/>
    <w:rsid w:val="009325DF"/>
    <w:rsid w:val="00933613"/>
    <w:rsid w:val="0094023A"/>
    <w:rsid w:val="00942CD3"/>
    <w:rsid w:val="00942EA8"/>
    <w:rsid w:val="009456CE"/>
    <w:rsid w:val="00950AEB"/>
    <w:rsid w:val="00950FF0"/>
    <w:rsid w:val="00952D4F"/>
    <w:rsid w:val="009530CA"/>
    <w:rsid w:val="00957833"/>
    <w:rsid w:val="00960223"/>
    <w:rsid w:val="00962D11"/>
    <w:rsid w:val="009646DD"/>
    <w:rsid w:val="00967CFF"/>
    <w:rsid w:val="00972A85"/>
    <w:rsid w:val="0097556C"/>
    <w:rsid w:val="00975B42"/>
    <w:rsid w:val="0098096D"/>
    <w:rsid w:val="00983745"/>
    <w:rsid w:val="00987BD5"/>
    <w:rsid w:val="00991EE0"/>
    <w:rsid w:val="00996262"/>
    <w:rsid w:val="00997236"/>
    <w:rsid w:val="009A23F9"/>
    <w:rsid w:val="009A4BE4"/>
    <w:rsid w:val="009A55E0"/>
    <w:rsid w:val="009A72A9"/>
    <w:rsid w:val="009B069B"/>
    <w:rsid w:val="009B1C1E"/>
    <w:rsid w:val="009B3D14"/>
    <w:rsid w:val="009B6D42"/>
    <w:rsid w:val="009C0016"/>
    <w:rsid w:val="009C0AC5"/>
    <w:rsid w:val="009C1B73"/>
    <w:rsid w:val="009C4DEC"/>
    <w:rsid w:val="009D1BA8"/>
    <w:rsid w:val="009D65DD"/>
    <w:rsid w:val="009D7F82"/>
    <w:rsid w:val="009E3F97"/>
    <w:rsid w:val="009E78C9"/>
    <w:rsid w:val="009F17ED"/>
    <w:rsid w:val="009F2DD7"/>
    <w:rsid w:val="009F2E41"/>
    <w:rsid w:val="009F74B0"/>
    <w:rsid w:val="00A02680"/>
    <w:rsid w:val="00A02EEC"/>
    <w:rsid w:val="00A07E35"/>
    <w:rsid w:val="00A20B0F"/>
    <w:rsid w:val="00A2583C"/>
    <w:rsid w:val="00A311AF"/>
    <w:rsid w:val="00A31987"/>
    <w:rsid w:val="00A32F37"/>
    <w:rsid w:val="00A35E9E"/>
    <w:rsid w:val="00A440CD"/>
    <w:rsid w:val="00A46126"/>
    <w:rsid w:val="00A53F57"/>
    <w:rsid w:val="00A565AF"/>
    <w:rsid w:val="00A677F3"/>
    <w:rsid w:val="00A72D68"/>
    <w:rsid w:val="00A8402B"/>
    <w:rsid w:val="00A8682D"/>
    <w:rsid w:val="00A93622"/>
    <w:rsid w:val="00AA0178"/>
    <w:rsid w:val="00AA1D1E"/>
    <w:rsid w:val="00AA50E9"/>
    <w:rsid w:val="00AB2AB1"/>
    <w:rsid w:val="00AB4D40"/>
    <w:rsid w:val="00AC1A93"/>
    <w:rsid w:val="00AC5001"/>
    <w:rsid w:val="00AC7FD8"/>
    <w:rsid w:val="00AE1E54"/>
    <w:rsid w:val="00AE2694"/>
    <w:rsid w:val="00AE2A0A"/>
    <w:rsid w:val="00AE7933"/>
    <w:rsid w:val="00AF150D"/>
    <w:rsid w:val="00AF775C"/>
    <w:rsid w:val="00B11880"/>
    <w:rsid w:val="00B16196"/>
    <w:rsid w:val="00B2164D"/>
    <w:rsid w:val="00B224FB"/>
    <w:rsid w:val="00B257BC"/>
    <w:rsid w:val="00B36397"/>
    <w:rsid w:val="00B400A6"/>
    <w:rsid w:val="00B40FCF"/>
    <w:rsid w:val="00B411D2"/>
    <w:rsid w:val="00B4603E"/>
    <w:rsid w:val="00B478AF"/>
    <w:rsid w:val="00B52CB1"/>
    <w:rsid w:val="00B5482B"/>
    <w:rsid w:val="00B5584A"/>
    <w:rsid w:val="00B76109"/>
    <w:rsid w:val="00B77334"/>
    <w:rsid w:val="00B90E38"/>
    <w:rsid w:val="00B91E98"/>
    <w:rsid w:val="00B928E4"/>
    <w:rsid w:val="00BA0316"/>
    <w:rsid w:val="00BA5D21"/>
    <w:rsid w:val="00BA715A"/>
    <w:rsid w:val="00BB5F22"/>
    <w:rsid w:val="00BB78CA"/>
    <w:rsid w:val="00BC37AC"/>
    <w:rsid w:val="00BC7422"/>
    <w:rsid w:val="00BC770A"/>
    <w:rsid w:val="00BD1340"/>
    <w:rsid w:val="00BD3C1D"/>
    <w:rsid w:val="00BD3C7C"/>
    <w:rsid w:val="00BD3D34"/>
    <w:rsid w:val="00BE04BE"/>
    <w:rsid w:val="00BE12CC"/>
    <w:rsid w:val="00BE394D"/>
    <w:rsid w:val="00BE4A27"/>
    <w:rsid w:val="00BF42DA"/>
    <w:rsid w:val="00BF504C"/>
    <w:rsid w:val="00BF5395"/>
    <w:rsid w:val="00BF5A77"/>
    <w:rsid w:val="00BF78D9"/>
    <w:rsid w:val="00C015D8"/>
    <w:rsid w:val="00C01BDF"/>
    <w:rsid w:val="00C032E0"/>
    <w:rsid w:val="00C07DC1"/>
    <w:rsid w:val="00C104C5"/>
    <w:rsid w:val="00C15E2C"/>
    <w:rsid w:val="00C177D2"/>
    <w:rsid w:val="00C17844"/>
    <w:rsid w:val="00C25CFA"/>
    <w:rsid w:val="00C26DB6"/>
    <w:rsid w:val="00C3206D"/>
    <w:rsid w:val="00C423DE"/>
    <w:rsid w:val="00C437C1"/>
    <w:rsid w:val="00C52E8C"/>
    <w:rsid w:val="00C54035"/>
    <w:rsid w:val="00C55D78"/>
    <w:rsid w:val="00C56E8A"/>
    <w:rsid w:val="00C57483"/>
    <w:rsid w:val="00C625F3"/>
    <w:rsid w:val="00C6497E"/>
    <w:rsid w:val="00C65DA3"/>
    <w:rsid w:val="00C713C3"/>
    <w:rsid w:val="00C748D0"/>
    <w:rsid w:val="00C7618C"/>
    <w:rsid w:val="00C767AD"/>
    <w:rsid w:val="00C84274"/>
    <w:rsid w:val="00C85908"/>
    <w:rsid w:val="00C9092E"/>
    <w:rsid w:val="00C91058"/>
    <w:rsid w:val="00C9164B"/>
    <w:rsid w:val="00C92F62"/>
    <w:rsid w:val="00C93981"/>
    <w:rsid w:val="00C95C8D"/>
    <w:rsid w:val="00C95D76"/>
    <w:rsid w:val="00CA0A9B"/>
    <w:rsid w:val="00CA19DE"/>
    <w:rsid w:val="00CB31F9"/>
    <w:rsid w:val="00CB5843"/>
    <w:rsid w:val="00CC02EF"/>
    <w:rsid w:val="00CC1B2D"/>
    <w:rsid w:val="00CD6DB4"/>
    <w:rsid w:val="00CD77EA"/>
    <w:rsid w:val="00CE0A8D"/>
    <w:rsid w:val="00CE51DC"/>
    <w:rsid w:val="00CF0597"/>
    <w:rsid w:val="00CF060C"/>
    <w:rsid w:val="00CF096A"/>
    <w:rsid w:val="00CF0BF4"/>
    <w:rsid w:val="00CF5357"/>
    <w:rsid w:val="00D01716"/>
    <w:rsid w:val="00D03D99"/>
    <w:rsid w:val="00D0403F"/>
    <w:rsid w:val="00D05FBF"/>
    <w:rsid w:val="00D1194B"/>
    <w:rsid w:val="00D134B1"/>
    <w:rsid w:val="00D14597"/>
    <w:rsid w:val="00D15012"/>
    <w:rsid w:val="00D16DBB"/>
    <w:rsid w:val="00D208A8"/>
    <w:rsid w:val="00D255EF"/>
    <w:rsid w:val="00D26D26"/>
    <w:rsid w:val="00D2732F"/>
    <w:rsid w:val="00D315E2"/>
    <w:rsid w:val="00D323EE"/>
    <w:rsid w:val="00D35585"/>
    <w:rsid w:val="00D4258B"/>
    <w:rsid w:val="00D42AE1"/>
    <w:rsid w:val="00D464A5"/>
    <w:rsid w:val="00D470B9"/>
    <w:rsid w:val="00D52122"/>
    <w:rsid w:val="00D5464A"/>
    <w:rsid w:val="00D5787D"/>
    <w:rsid w:val="00D60FC8"/>
    <w:rsid w:val="00D6339E"/>
    <w:rsid w:val="00D64443"/>
    <w:rsid w:val="00D66E27"/>
    <w:rsid w:val="00D73CC1"/>
    <w:rsid w:val="00D74D62"/>
    <w:rsid w:val="00D7583B"/>
    <w:rsid w:val="00D80423"/>
    <w:rsid w:val="00D804E9"/>
    <w:rsid w:val="00D817D6"/>
    <w:rsid w:val="00D8513B"/>
    <w:rsid w:val="00D9324D"/>
    <w:rsid w:val="00D9489F"/>
    <w:rsid w:val="00D9492E"/>
    <w:rsid w:val="00D949BD"/>
    <w:rsid w:val="00D96CCE"/>
    <w:rsid w:val="00DA201E"/>
    <w:rsid w:val="00DA248B"/>
    <w:rsid w:val="00DA2B47"/>
    <w:rsid w:val="00DA5D67"/>
    <w:rsid w:val="00DA7BB4"/>
    <w:rsid w:val="00DB69E8"/>
    <w:rsid w:val="00DC0B90"/>
    <w:rsid w:val="00DD279C"/>
    <w:rsid w:val="00DD4B6B"/>
    <w:rsid w:val="00DD60F7"/>
    <w:rsid w:val="00DE0321"/>
    <w:rsid w:val="00DE0B98"/>
    <w:rsid w:val="00DE4BD9"/>
    <w:rsid w:val="00DE5CAA"/>
    <w:rsid w:val="00DF4FB3"/>
    <w:rsid w:val="00E00D1C"/>
    <w:rsid w:val="00E033EA"/>
    <w:rsid w:val="00E053A3"/>
    <w:rsid w:val="00E06239"/>
    <w:rsid w:val="00E06BD7"/>
    <w:rsid w:val="00E10694"/>
    <w:rsid w:val="00E1082D"/>
    <w:rsid w:val="00E11CDF"/>
    <w:rsid w:val="00E1523D"/>
    <w:rsid w:val="00E15968"/>
    <w:rsid w:val="00E27C51"/>
    <w:rsid w:val="00E30B79"/>
    <w:rsid w:val="00E379D3"/>
    <w:rsid w:val="00E40CB2"/>
    <w:rsid w:val="00E41EE6"/>
    <w:rsid w:val="00E439A6"/>
    <w:rsid w:val="00E45FAF"/>
    <w:rsid w:val="00E60E67"/>
    <w:rsid w:val="00E62E9B"/>
    <w:rsid w:val="00E65A81"/>
    <w:rsid w:val="00E737D3"/>
    <w:rsid w:val="00E7796B"/>
    <w:rsid w:val="00E77FE2"/>
    <w:rsid w:val="00E80F84"/>
    <w:rsid w:val="00E8132C"/>
    <w:rsid w:val="00E8145A"/>
    <w:rsid w:val="00E85017"/>
    <w:rsid w:val="00E916EB"/>
    <w:rsid w:val="00E92CC8"/>
    <w:rsid w:val="00E94D71"/>
    <w:rsid w:val="00EB35BA"/>
    <w:rsid w:val="00EB6EA2"/>
    <w:rsid w:val="00EB79B3"/>
    <w:rsid w:val="00EC11A6"/>
    <w:rsid w:val="00EC2D9F"/>
    <w:rsid w:val="00EC4BCF"/>
    <w:rsid w:val="00EC6521"/>
    <w:rsid w:val="00EE16BF"/>
    <w:rsid w:val="00EE2DDB"/>
    <w:rsid w:val="00EE5690"/>
    <w:rsid w:val="00EF109C"/>
    <w:rsid w:val="00EF11BE"/>
    <w:rsid w:val="00EF55CC"/>
    <w:rsid w:val="00F02588"/>
    <w:rsid w:val="00F05B3D"/>
    <w:rsid w:val="00F066E3"/>
    <w:rsid w:val="00F14E89"/>
    <w:rsid w:val="00F15038"/>
    <w:rsid w:val="00F15220"/>
    <w:rsid w:val="00F20CF3"/>
    <w:rsid w:val="00F21E39"/>
    <w:rsid w:val="00F234B1"/>
    <w:rsid w:val="00F30213"/>
    <w:rsid w:val="00F31F12"/>
    <w:rsid w:val="00F33BFB"/>
    <w:rsid w:val="00F36729"/>
    <w:rsid w:val="00F410DB"/>
    <w:rsid w:val="00F421CF"/>
    <w:rsid w:val="00F51926"/>
    <w:rsid w:val="00F545C4"/>
    <w:rsid w:val="00F56BB5"/>
    <w:rsid w:val="00F60377"/>
    <w:rsid w:val="00F60A6D"/>
    <w:rsid w:val="00F6143B"/>
    <w:rsid w:val="00F666D9"/>
    <w:rsid w:val="00F72961"/>
    <w:rsid w:val="00F76F12"/>
    <w:rsid w:val="00F80452"/>
    <w:rsid w:val="00F878CE"/>
    <w:rsid w:val="00F87D51"/>
    <w:rsid w:val="00F963BF"/>
    <w:rsid w:val="00F9791D"/>
    <w:rsid w:val="00FA2962"/>
    <w:rsid w:val="00FA396B"/>
    <w:rsid w:val="00FA526F"/>
    <w:rsid w:val="00FA57BC"/>
    <w:rsid w:val="00FA5A08"/>
    <w:rsid w:val="00FA7A88"/>
    <w:rsid w:val="00FB01B5"/>
    <w:rsid w:val="00FB1C4A"/>
    <w:rsid w:val="00FB2688"/>
    <w:rsid w:val="00FB41D7"/>
    <w:rsid w:val="00FB4543"/>
    <w:rsid w:val="00FB74E7"/>
    <w:rsid w:val="00FC258E"/>
    <w:rsid w:val="00FC3E13"/>
    <w:rsid w:val="00FC5B86"/>
    <w:rsid w:val="00FD125B"/>
    <w:rsid w:val="00FD1266"/>
    <w:rsid w:val="00FD27B8"/>
    <w:rsid w:val="00FD3BE9"/>
    <w:rsid w:val="00FD50E3"/>
    <w:rsid w:val="00FD63D7"/>
    <w:rsid w:val="00FD7232"/>
    <w:rsid w:val="00FD72DC"/>
    <w:rsid w:val="00FE10BB"/>
    <w:rsid w:val="00FE5D2B"/>
    <w:rsid w:val="00FE6E85"/>
    <w:rsid w:val="00FF0C77"/>
    <w:rsid w:val="00FF346B"/>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7422"/>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paragraph" w:customStyle="1" w:styleId="Default">
    <w:name w:val="Default"/>
    <w:rsid w:val="004A0C7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A0C7E"/>
    <w:pPr>
      <w:spacing w:before="0"/>
    </w:pPr>
    <w:rPr>
      <w:rFonts w:ascii="Tahoma" w:hAnsi="Tahoma" w:cs="Tahoma"/>
      <w:sz w:val="16"/>
      <w:szCs w:val="16"/>
    </w:rPr>
  </w:style>
  <w:style w:type="character" w:customStyle="1" w:styleId="BalloonTextChar">
    <w:name w:val="Balloon Text Char"/>
    <w:link w:val="BalloonText"/>
    <w:rsid w:val="004A0C7E"/>
    <w:rPr>
      <w:rFonts w:ascii="Tahoma" w:hAnsi="Tahoma" w:cs="Tahoma"/>
      <w:sz w:val="16"/>
      <w:szCs w:val="16"/>
      <w:lang w:eastAsia="en-US"/>
    </w:rPr>
  </w:style>
  <w:style w:type="character" w:styleId="CommentReference">
    <w:name w:val="annotation reference"/>
    <w:rsid w:val="009C0016"/>
    <w:rPr>
      <w:sz w:val="16"/>
      <w:szCs w:val="16"/>
    </w:rPr>
  </w:style>
  <w:style w:type="paragraph" w:styleId="CommentText">
    <w:name w:val="annotation text"/>
    <w:basedOn w:val="Normal"/>
    <w:link w:val="CommentTextChar"/>
    <w:rsid w:val="009C0016"/>
    <w:rPr>
      <w:sz w:val="20"/>
      <w:szCs w:val="20"/>
    </w:rPr>
  </w:style>
  <w:style w:type="character" w:customStyle="1" w:styleId="CommentTextChar">
    <w:name w:val="Comment Text Char"/>
    <w:link w:val="CommentText"/>
    <w:rsid w:val="009C0016"/>
    <w:rPr>
      <w:rFonts w:ascii="Arial" w:hAnsi="Arial"/>
      <w:lang w:eastAsia="en-US"/>
    </w:rPr>
  </w:style>
  <w:style w:type="paragraph" w:styleId="CommentSubject">
    <w:name w:val="annotation subject"/>
    <w:basedOn w:val="CommentText"/>
    <w:next w:val="CommentText"/>
    <w:link w:val="CommentSubjectChar"/>
    <w:rsid w:val="009C0016"/>
    <w:rPr>
      <w:b/>
      <w:bCs/>
    </w:rPr>
  </w:style>
  <w:style w:type="character" w:customStyle="1" w:styleId="CommentSubjectChar">
    <w:name w:val="Comment Subject Char"/>
    <w:link w:val="CommentSubject"/>
    <w:rsid w:val="009C0016"/>
    <w:rPr>
      <w:rFonts w:ascii="Arial" w:hAnsi="Arial"/>
      <w:b/>
      <w:bCs/>
      <w:lang w:eastAsia="en-US"/>
    </w:rPr>
  </w:style>
  <w:style w:type="paragraph" w:styleId="Revision">
    <w:name w:val="Revision"/>
    <w:hidden/>
    <w:uiPriority w:val="99"/>
    <w:semiHidden/>
    <w:rsid w:val="004A6145"/>
    <w:rPr>
      <w:rFonts w:ascii="Arial" w:hAnsi="Arial"/>
      <w:sz w:val="22"/>
      <w:szCs w:val="24"/>
      <w:lang w:eastAsia="en-US"/>
    </w:rPr>
  </w:style>
  <w:style w:type="paragraph" w:styleId="ListParagraph">
    <w:name w:val="List Paragraph"/>
    <w:basedOn w:val="Normal"/>
    <w:uiPriority w:val="34"/>
    <w:qFormat/>
    <w:rsid w:val="002F6FD7"/>
    <w:pPr>
      <w:ind w:left="720"/>
      <w:contextualSpacing/>
    </w:pPr>
  </w:style>
  <w:style w:type="character" w:customStyle="1" w:styleId="ends2">
    <w:name w:val="ends2"/>
    <w:rsid w:val="00D949BD"/>
    <w:rPr>
      <w:vanish w:val="0"/>
      <w:webHidden w:val="0"/>
      <w:specVanish w:val="0"/>
    </w:rPr>
  </w:style>
  <w:style w:type="character" w:styleId="FollowedHyperlink">
    <w:name w:val="FollowedHyperlink"/>
    <w:rsid w:val="00892534"/>
    <w:rPr>
      <w:color w:val="800080"/>
      <w:u w:val="single"/>
    </w:rPr>
  </w:style>
  <w:style w:type="paragraph" w:styleId="EndnoteText">
    <w:name w:val="endnote text"/>
    <w:basedOn w:val="Normal"/>
    <w:link w:val="EndnoteTextChar"/>
    <w:rsid w:val="00CA0A9B"/>
    <w:rPr>
      <w:sz w:val="20"/>
      <w:szCs w:val="20"/>
    </w:rPr>
  </w:style>
  <w:style w:type="character" w:customStyle="1" w:styleId="EndnoteTextChar">
    <w:name w:val="Endnote Text Char"/>
    <w:link w:val="EndnoteText"/>
    <w:rsid w:val="00CA0A9B"/>
    <w:rPr>
      <w:rFonts w:ascii="Arial" w:hAnsi="Arial"/>
      <w:lang w:eastAsia="en-US"/>
    </w:rPr>
  </w:style>
  <w:style w:type="character" w:styleId="EndnoteReference">
    <w:name w:val="endnote reference"/>
    <w:rsid w:val="00CA0A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7422"/>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paragraph" w:customStyle="1" w:styleId="Default">
    <w:name w:val="Default"/>
    <w:rsid w:val="004A0C7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A0C7E"/>
    <w:pPr>
      <w:spacing w:before="0"/>
    </w:pPr>
    <w:rPr>
      <w:rFonts w:ascii="Tahoma" w:hAnsi="Tahoma" w:cs="Tahoma"/>
      <w:sz w:val="16"/>
      <w:szCs w:val="16"/>
    </w:rPr>
  </w:style>
  <w:style w:type="character" w:customStyle="1" w:styleId="BalloonTextChar">
    <w:name w:val="Balloon Text Char"/>
    <w:link w:val="BalloonText"/>
    <w:rsid w:val="004A0C7E"/>
    <w:rPr>
      <w:rFonts w:ascii="Tahoma" w:hAnsi="Tahoma" w:cs="Tahoma"/>
      <w:sz w:val="16"/>
      <w:szCs w:val="16"/>
      <w:lang w:eastAsia="en-US"/>
    </w:rPr>
  </w:style>
  <w:style w:type="character" w:styleId="CommentReference">
    <w:name w:val="annotation reference"/>
    <w:rsid w:val="009C0016"/>
    <w:rPr>
      <w:sz w:val="16"/>
      <w:szCs w:val="16"/>
    </w:rPr>
  </w:style>
  <w:style w:type="paragraph" w:styleId="CommentText">
    <w:name w:val="annotation text"/>
    <w:basedOn w:val="Normal"/>
    <w:link w:val="CommentTextChar"/>
    <w:rsid w:val="009C0016"/>
    <w:rPr>
      <w:sz w:val="20"/>
      <w:szCs w:val="20"/>
    </w:rPr>
  </w:style>
  <w:style w:type="character" w:customStyle="1" w:styleId="CommentTextChar">
    <w:name w:val="Comment Text Char"/>
    <w:link w:val="CommentText"/>
    <w:rsid w:val="009C0016"/>
    <w:rPr>
      <w:rFonts w:ascii="Arial" w:hAnsi="Arial"/>
      <w:lang w:eastAsia="en-US"/>
    </w:rPr>
  </w:style>
  <w:style w:type="paragraph" w:styleId="CommentSubject">
    <w:name w:val="annotation subject"/>
    <w:basedOn w:val="CommentText"/>
    <w:next w:val="CommentText"/>
    <w:link w:val="CommentSubjectChar"/>
    <w:rsid w:val="009C0016"/>
    <w:rPr>
      <w:b/>
      <w:bCs/>
    </w:rPr>
  </w:style>
  <w:style w:type="character" w:customStyle="1" w:styleId="CommentSubjectChar">
    <w:name w:val="Comment Subject Char"/>
    <w:link w:val="CommentSubject"/>
    <w:rsid w:val="009C0016"/>
    <w:rPr>
      <w:rFonts w:ascii="Arial" w:hAnsi="Arial"/>
      <w:b/>
      <w:bCs/>
      <w:lang w:eastAsia="en-US"/>
    </w:rPr>
  </w:style>
  <w:style w:type="paragraph" w:styleId="Revision">
    <w:name w:val="Revision"/>
    <w:hidden/>
    <w:uiPriority w:val="99"/>
    <w:semiHidden/>
    <w:rsid w:val="004A6145"/>
    <w:rPr>
      <w:rFonts w:ascii="Arial" w:hAnsi="Arial"/>
      <w:sz w:val="22"/>
      <w:szCs w:val="24"/>
      <w:lang w:eastAsia="en-US"/>
    </w:rPr>
  </w:style>
  <w:style w:type="paragraph" w:styleId="ListParagraph">
    <w:name w:val="List Paragraph"/>
    <w:basedOn w:val="Normal"/>
    <w:uiPriority w:val="34"/>
    <w:qFormat/>
    <w:rsid w:val="002F6FD7"/>
    <w:pPr>
      <w:ind w:left="720"/>
      <w:contextualSpacing/>
    </w:pPr>
  </w:style>
  <w:style w:type="character" w:customStyle="1" w:styleId="ends2">
    <w:name w:val="ends2"/>
    <w:rsid w:val="00D949BD"/>
    <w:rPr>
      <w:vanish w:val="0"/>
      <w:webHidden w:val="0"/>
      <w:specVanish w:val="0"/>
    </w:rPr>
  </w:style>
  <w:style w:type="character" w:styleId="FollowedHyperlink">
    <w:name w:val="FollowedHyperlink"/>
    <w:rsid w:val="00892534"/>
    <w:rPr>
      <w:color w:val="800080"/>
      <w:u w:val="single"/>
    </w:rPr>
  </w:style>
  <w:style w:type="paragraph" w:styleId="EndnoteText">
    <w:name w:val="endnote text"/>
    <w:basedOn w:val="Normal"/>
    <w:link w:val="EndnoteTextChar"/>
    <w:rsid w:val="00CA0A9B"/>
    <w:rPr>
      <w:sz w:val="20"/>
      <w:szCs w:val="20"/>
    </w:rPr>
  </w:style>
  <w:style w:type="character" w:customStyle="1" w:styleId="EndnoteTextChar">
    <w:name w:val="Endnote Text Char"/>
    <w:link w:val="EndnoteText"/>
    <w:rsid w:val="00CA0A9B"/>
    <w:rPr>
      <w:rFonts w:ascii="Arial" w:hAnsi="Arial"/>
      <w:lang w:eastAsia="en-US"/>
    </w:rPr>
  </w:style>
  <w:style w:type="character" w:styleId="EndnoteReference">
    <w:name w:val="endnote reference"/>
    <w:rsid w:val="00CA0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137">
      <w:bodyDiv w:val="1"/>
      <w:marLeft w:val="0"/>
      <w:marRight w:val="0"/>
      <w:marTop w:val="0"/>
      <w:marBottom w:val="0"/>
      <w:divBdr>
        <w:top w:val="none" w:sz="0" w:space="0" w:color="auto"/>
        <w:left w:val="none" w:sz="0" w:space="0" w:color="auto"/>
        <w:bottom w:val="none" w:sz="0" w:space="0" w:color="auto"/>
        <w:right w:val="none" w:sz="0" w:space="0" w:color="auto"/>
      </w:divBdr>
    </w:div>
    <w:div w:id="19087900">
      <w:bodyDiv w:val="1"/>
      <w:marLeft w:val="0"/>
      <w:marRight w:val="0"/>
      <w:marTop w:val="0"/>
      <w:marBottom w:val="0"/>
      <w:divBdr>
        <w:top w:val="none" w:sz="0" w:space="0" w:color="auto"/>
        <w:left w:val="none" w:sz="0" w:space="0" w:color="auto"/>
        <w:bottom w:val="none" w:sz="0" w:space="0" w:color="auto"/>
        <w:right w:val="none" w:sz="0" w:space="0" w:color="auto"/>
      </w:divBdr>
    </w:div>
    <w:div w:id="102848071">
      <w:bodyDiv w:val="1"/>
      <w:marLeft w:val="0"/>
      <w:marRight w:val="0"/>
      <w:marTop w:val="0"/>
      <w:marBottom w:val="0"/>
      <w:divBdr>
        <w:top w:val="none" w:sz="0" w:space="0" w:color="auto"/>
        <w:left w:val="none" w:sz="0" w:space="0" w:color="auto"/>
        <w:bottom w:val="none" w:sz="0" w:space="0" w:color="auto"/>
        <w:right w:val="none" w:sz="0" w:space="0" w:color="auto"/>
      </w:divBdr>
    </w:div>
    <w:div w:id="113865177">
      <w:bodyDiv w:val="1"/>
      <w:marLeft w:val="0"/>
      <w:marRight w:val="0"/>
      <w:marTop w:val="0"/>
      <w:marBottom w:val="0"/>
      <w:divBdr>
        <w:top w:val="none" w:sz="0" w:space="0" w:color="auto"/>
        <w:left w:val="none" w:sz="0" w:space="0" w:color="auto"/>
        <w:bottom w:val="none" w:sz="0" w:space="0" w:color="auto"/>
        <w:right w:val="none" w:sz="0" w:space="0" w:color="auto"/>
      </w:divBdr>
    </w:div>
    <w:div w:id="134882235">
      <w:bodyDiv w:val="1"/>
      <w:marLeft w:val="0"/>
      <w:marRight w:val="0"/>
      <w:marTop w:val="0"/>
      <w:marBottom w:val="0"/>
      <w:divBdr>
        <w:top w:val="none" w:sz="0" w:space="0" w:color="auto"/>
        <w:left w:val="none" w:sz="0" w:space="0" w:color="auto"/>
        <w:bottom w:val="none" w:sz="0" w:space="0" w:color="auto"/>
        <w:right w:val="none" w:sz="0" w:space="0" w:color="auto"/>
      </w:divBdr>
    </w:div>
    <w:div w:id="189413826">
      <w:bodyDiv w:val="1"/>
      <w:marLeft w:val="0"/>
      <w:marRight w:val="0"/>
      <w:marTop w:val="0"/>
      <w:marBottom w:val="0"/>
      <w:divBdr>
        <w:top w:val="none" w:sz="0" w:space="0" w:color="auto"/>
        <w:left w:val="none" w:sz="0" w:space="0" w:color="auto"/>
        <w:bottom w:val="none" w:sz="0" w:space="0" w:color="auto"/>
        <w:right w:val="none" w:sz="0" w:space="0" w:color="auto"/>
      </w:divBdr>
      <w:divsChild>
        <w:div w:id="176316513">
          <w:marLeft w:val="0"/>
          <w:marRight w:val="0"/>
          <w:marTop w:val="0"/>
          <w:marBottom w:val="100"/>
          <w:divBdr>
            <w:top w:val="none" w:sz="0" w:space="0" w:color="auto"/>
            <w:left w:val="none" w:sz="0" w:space="0" w:color="auto"/>
            <w:bottom w:val="none" w:sz="0" w:space="0" w:color="auto"/>
            <w:right w:val="none" w:sz="0" w:space="0" w:color="auto"/>
          </w:divBdr>
          <w:divsChild>
            <w:div w:id="1387070334">
              <w:marLeft w:val="0"/>
              <w:marRight w:val="0"/>
              <w:marTop w:val="0"/>
              <w:marBottom w:val="0"/>
              <w:divBdr>
                <w:top w:val="none" w:sz="0" w:space="0" w:color="auto"/>
                <w:left w:val="none" w:sz="0" w:space="0" w:color="auto"/>
                <w:bottom w:val="none" w:sz="0" w:space="0" w:color="auto"/>
                <w:right w:val="none" w:sz="0" w:space="0" w:color="auto"/>
              </w:divBdr>
              <w:divsChild>
                <w:div w:id="487016809">
                  <w:marLeft w:val="0"/>
                  <w:marRight w:val="0"/>
                  <w:marTop w:val="0"/>
                  <w:marBottom w:val="0"/>
                  <w:divBdr>
                    <w:top w:val="none" w:sz="0" w:space="0" w:color="auto"/>
                    <w:left w:val="none" w:sz="0" w:space="0" w:color="auto"/>
                    <w:bottom w:val="none" w:sz="0" w:space="0" w:color="auto"/>
                    <w:right w:val="none" w:sz="0" w:space="0" w:color="auto"/>
                  </w:divBdr>
                  <w:divsChild>
                    <w:div w:id="570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9016">
      <w:bodyDiv w:val="1"/>
      <w:marLeft w:val="0"/>
      <w:marRight w:val="0"/>
      <w:marTop w:val="0"/>
      <w:marBottom w:val="0"/>
      <w:divBdr>
        <w:top w:val="none" w:sz="0" w:space="0" w:color="auto"/>
        <w:left w:val="none" w:sz="0" w:space="0" w:color="auto"/>
        <w:bottom w:val="none" w:sz="0" w:space="0" w:color="auto"/>
        <w:right w:val="none" w:sz="0" w:space="0" w:color="auto"/>
      </w:divBdr>
    </w:div>
    <w:div w:id="242883195">
      <w:bodyDiv w:val="1"/>
      <w:marLeft w:val="0"/>
      <w:marRight w:val="0"/>
      <w:marTop w:val="0"/>
      <w:marBottom w:val="0"/>
      <w:divBdr>
        <w:top w:val="none" w:sz="0" w:space="0" w:color="auto"/>
        <w:left w:val="none" w:sz="0" w:space="0" w:color="auto"/>
        <w:bottom w:val="none" w:sz="0" w:space="0" w:color="auto"/>
        <w:right w:val="none" w:sz="0" w:space="0" w:color="auto"/>
      </w:divBdr>
    </w:div>
    <w:div w:id="253708502">
      <w:bodyDiv w:val="1"/>
      <w:marLeft w:val="0"/>
      <w:marRight w:val="0"/>
      <w:marTop w:val="0"/>
      <w:marBottom w:val="0"/>
      <w:divBdr>
        <w:top w:val="none" w:sz="0" w:space="0" w:color="auto"/>
        <w:left w:val="none" w:sz="0" w:space="0" w:color="auto"/>
        <w:bottom w:val="none" w:sz="0" w:space="0" w:color="auto"/>
        <w:right w:val="none" w:sz="0" w:space="0" w:color="auto"/>
      </w:divBdr>
    </w:div>
    <w:div w:id="275909954">
      <w:bodyDiv w:val="1"/>
      <w:marLeft w:val="0"/>
      <w:marRight w:val="0"/>
      <w:marTop w:val="0"/>
      <w:marBottom w:val="0"/>
      <w:divBdr>
        <w:top w:val="none" w:sz="0" w:space="0" w:color="auto"/>
        <w:left w:val="none" w:sz="0" w:space="0" w:color="auto"/>
        <w:bottom w:val="none" w:sz="0" w:space="0" w:color="auto"/>
        <w:right w:val="none" w:sz="0" w:space="0" w:color="auto"/>
      </w:divBdr>
    </w:div>
    <w:div w:id="302084219">
      <w:bodyDiv w:val="1"/>
      <w:marLeft w:val="0"/>
      <w:marRight w:val="0"/>
      <w:marTop w:val="0"/>
      <w:marBottom w:val="0"/>
      <w:divBdr>
        <w:top w:val="none" w:sz="0" w:space="0" w:color="auto"/>
        <w:left w:val="none" w:sz="0" w:space="0" w:color="auto"/>
        <w:bottom w:val="none" w:sz="0" w:space="0" w:color="auto"/>
        <w:right w:val="none" w:sz="0" w:space="0" w:color="auto"/>
      </w:divBdr>
    </w:div>
    <w:div w:id="321545978">
      <w:bodyDiv w:val="1"/>
      <w:marLeft w:val="0"/>
      <w:marRight w:val="0"/>
      <w:marTop w:val="0"/>
      <w:marBottom w:val="0"/>
      <w:divBdr>
        <w:top w:val="none" w:sz="0" w:space="0" w:color="auto"/>
        <w:left w:val="none" w:sz="0" w:space="0" w:color="auto"/>
        <w:bottom w:val="none" w:sz="0" w:space="0" w:color="auto"/>
        <w:right w:val="none" w:sz="0" w:space="0" w:color="auto"/>
      </w:divBdr>
    </w:div>
    <w:div w:id="362511725">
      <w:bodyDiv w:val="1"/>
      <w:marLeft w:val="0"/>
      <w:marRight w:val="0"/>
      <w:marTop w:val="0"/>
      <w:marBottom w:val="0"/>
      <w:divBdr>
        <w:top w:val="none" w:sz="0" w:space="0" w:color="auto"/>
        <w:left w:val="none" w:sz="0" w:space="0" w:color="auto"/>
        <w:bottom w:val="none" w:sz="0" w:space="0" w:color="auto"/>
        <w:right w:val="none" w:sz="0" w:space="0" w:color="auto"/>
      </w:divBdr>
    </w:div>
    <w:div w:id="388578951">
      <w:bodyDiv w:val="1"/>
      <w:marLeft w:val="0"/>
      <w:marRight w:val="0"/>
      <w:marTop w:val="0"/>
      <w:marBottom w:val="0"/>
      <w:divBdr>
        <w:top w:val="none" w:sz="0" w:space="0" w:color="auto"/>
        <w:left w:val="none" w:sz="0" w:space="0" w:color="auto"/>
        <w:bottom w:val="none" w:sz="0" w:space="0" w:color="auto"/>
        <w:right w:val="none" w:sz="0" w:space="0" w:color="auto"/>
      </w:divBdr>
    </w:div>
    <w:div w:id="410661936">
      <w:bodyDiv w:val="1"/>
      <w:marLeft w:val="0"/>
      <w:marRight w:val="0"/>
      <w:marTop w:val="0"/>
      <w:marBottom w:val="0"/>
      <w:divBdr>
        <w:top w:val="none" w:sz="0" w:space="0" w:color="auto"/>
        <w:left w:val="none" w:sz="0" w:space="0" w:color="auto"/>
        <w:bottom w:val="none" w:sz="0" w:space="0" w:color="auto"/>
        <w:right w:val="none" w:sz="0" w:space="0" w:color="auto"/>
      </w:divBdr>
    </w:div>
    <w:div w:id="465706966">
      <w:bodyDiv w:val="1"/>
      <w:marLeft w:val="0"/>
      <w:marRight w:val="0"/>
      <w:marTop w:val="0"/>
      <w:marBottom w:val="0"/>
      <w:divBdr>
        <w:top w:val="none" w:sz="0" w:space="0" w:color="auto"/>
        <w:left w:val="none" w:sz="0" w:space="0" w:color="auto"/>
        <w:bottom w:val="none" w:sz="0" w:space="0" w:color="auto"/>
        <w:right w:val="none" w:sz="0" w:space="0" w:color="auto"/>
      </w:divBdr>
    </w:div>
    <w:div w:id="505249769">
      <w:bodyDiv w:val="1"/>
      <w:marLeft w:val="0"/>
      <w:marRight w:val="0"/>
      <w:marTop w:val="0"/>
      <w:marBottom w:val="0"/>
      <w:divBdr>
        <w:top w:val="none" w:sz="0" w:space="0" w:color="auto"/>
        <w:left w:val="none" w:sz="0" w:space="0" w:color="auto"/>
        <w:bottom w:val="none" w:sz="0" w:space="0" w:color="auto"/>
        <w:right w:val="none" w:sz="0" w:space="0" w:color="auto"/>
      </w:divBdr>
    </w:div>
    <w:div w:id="578489541">
      <w:bodyDiv w:val="1"/>
      <w:marLeft w:val="0"/>
      <w:marRight w:val="0"/>
      <w:marTop w:val="0"/>
      <w:marBottom w:val="0"/>
      <w:divBdr>
        <w:top w:val="none" w:sz="0" w:space="0" w:color="auto"/>
        <w:left w:val="none" w:sz="0" w:space="0" w:color="auto"/>
        <w:bottom w:val="none" w:sz="0" w:space="0" w:color="auto"/>
        <w:right w:val="none" w:sz="0" w:space="0" w:color="auto"/>
      </w:divBdr>
    </w:div>
    <w:div w:id="625770446">
      <w:bodyDiv w:val="1"/>
      <w:marLeft w:val="0"/>
      <w:marRight w:val="0"/>
      <w:marTop w:val="0"/>
      <w:marBottom w:val="0"/>
      <w:divBdr>
        <w:top w:val="none" w:sz="0" w:space="0" w:color="auto"/>
        <w:left w:val="none" w:sz="0" w:space="0" w:color="auto"/>
        <w:bottom w:val="none" w:sz="0" w:space="0" w:color="auto"/>
        <w:right w:val="none" w:sz="0" w:space="0" w:color="auto"/>
      </w:divBdr>
    </w:div>
    <w:div w:id="628585872">
      <w:bodyDiv w:val="1"/>
      <w:marLeft w:val="0"/>
      <w:marRight w:val="0"/>
      <w:marTop w:val="0"/>
      <w:marBottom w:val="0"/>
      <w:divBdr>
        <w:top w:val="none" w:sz="0" w:space="0" w:color="auto"/>
        <w:left w:val="none" w:sz="0" w:space="0" w:color="auto"/>
        <w:bottom w:val="none" w:sz="0" w:space="0" w:color="auto"/>
        <w:right w:val="none" w:sz="0" w:space="0" w:color="auto"/>
      </w:divBdr>
    </w:div>
    <w:div w:id="635530932">
      <w:bodyDiv w:val="1"/>
      <w:marLeft w:val="0"/>
      <w:marRight w:val="0"/>
      <w:marTop w:val="0"/>
      <w:marBottom w:val="0"/>
      <w:divBdr>
        <w:top w:val="none" w:sz="0" w:space="0" w:color="auto"/>
        <w:left w:val="none" w:sz="0" w:space="0" w:color="auto"/>
        <w:bottom w:val="none" w:sz="0" w:space="0" w:color="auto"/>
        <w:right w:val="none" w:sz="0" w:space="0" w:color="auto"/>
      </w:divBdr>
    </w:div>
    <w:div w:id="638847478">
      <w:bodyDiv w:val="1"/>
      <w:marLeft w:val="0"/>
      <w:marRight w:val="0"/>
      <w:marTop w:val="0"/>
      <w:marBottom w:val="0"/>
      <w:divBdr>
        <w:top w:val="none" w:sz="0" w:space="0" w:color="auto"/>
        <w:left w:val="none" w:sz="0" w:space="0" w:color="auto"/>
        <w:bottom w:val="none" w:sz="0" w:space="0" w:color="auto"/>
        <w:right w:val="none" w:sz="0" w:space="0" w:color="auto"/>
      </w:divBdr>
      <w:divsChild>
        <w:div w:id="1921912660">
          <w:marLeft w:val="0"/>
          <w:marRight w:val="0"/>
          <w:marTop w:val="0"/>
          <w:marBottom w:val="0"/>
          <w:divBdr>
            <w:top w:val="none" w:sz="0" w:space="0" w:color="auto"/>
            <w:left w:val="none" w:sz="0" w:space="0" w:color="auto"/>
            <w:bottom w:val="none" w:sz="0" w:space="0" w:color="auto"/>
            <w:right w:val="none" w:sz="0" w:space="0" w:color="auto"/>
          </w:divBdr>
          <w:divsChild>
            <w:div w:id="722825931">
              <w:marLeft w:val="0"/>
              <w:marRight w:val="0"/>
              <w:marTop w:val="0"/>
              <w:marBottom w:val="0"/>
              <w:divBdr>
                <w:top w:val="single" w:sz="12" w:space="2" w:color="367ED6"/>
                <w:left w:val="single" w:sz="12" w:space="2" w:color="367ED6"/>
                <w:bottom w:val="single" w:sz="12" w:space="2" w:color="367ED6"/>
                <w:right w:val="single" w:sz="12" w:space="2" w:color="367ED6"/>
              </w:divBdr>
              <w:divsChild>
                <w:div w:id="13652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0659">
      <w:bodyDiv w:val="1"/>
      <w:marLeft w:val="0"/>
      <w:marRight w:val="0"/>
      <w:marTop w:val="0"/>
      <w:marBottom w:val="0"/>
      <w:divBdr>
        <w:top w:val="none" w:sz="0" w:space="0" w:color="auto"/>
        <w:left w:val="none" w:sz="0" w:space="0" w:color="auto"/>
        <w:bottom w:val="none" w:sz="0" w:space="0" w:color="auto"/>
        <w:right w:val="none" w:sz="0" w:space="0" w:color="auto"/>
      </w:divBdr>
    </w:div>
    <w:div w:id="702750943">
      <w:bodyDiv w:val="1"/>
      <w:marLeft w:val="0"/>
      <w:marRight w:val="0"/>
      <w:marTop w:val="0"/>
      <w:marBottom w:val="0"/>
      <w:divBdr>
        <w:top w:val="none" w:sz="0" w:space="0" w:color="auto"/>
        <w:left w:val="none" w:sz="0" w:space="0" w:color="auto"/>
        <w:bottom w:val="none" w:sz="0" w:space="0" w:color="auto"/>
        <w:right w:val="none" w:sz="0" w:space="0" w:color="auto"/>
      </w:divBdr>
    </w:div>
    <w:div w:id="704450273">
      <w:bodyDiv w:val="1"/>
      <w:marLeft w:val="0"/>
      <w:marRight w:val="0"/>
      <w:marTop w:val="0"/>
      <w:marBottom w:val="0"/>
      <w:divBdr>
        <w:top w:val="none" w:sz="0" w:space="0" w:color="auto"/>
        <w:left w:val="none" w:sz="0" w:space="0" w:color="auto"/>
        <w:bottom w:val="none" w:sz="0" w:space="0" w:color="auto"/>
        <w:right w:val="none" w:sz="0" w:space="0" w:color="auto"/>
      </w:divBdr>
    </w:div>
    <w:div w:id="715617980">
      <w:bodyDiv w:val="1"/>
      <w:marLeft w:val="0"/>
      <w:marRight w:val="0"/>
      <w:marTop w:val="0"/>
      <w:marBottom w:val="0"/>
      <w:divBdr>
        <w:top w:val="none" w:sz="0" w:space="0" w:color="auto"/>
        <w:left w:val="none" w:sz="0" w:space="0" w:color="auto"/>
        <w:bottom w:val="none" w:sz="0" w:space="0" w:color="auto"/>
        <w:right w:val="none" w:sz="0" w:space="0" w:color="auto"/>
      </w:divBdr>
    </w:div>
    <w:div w:id="738744222">
      <w:bodyDiv w:val="1"/>
      <w:marLeft w:val="0"/>
      <w:marRight w:val="0"/>
      <w:marTop w:val="0"/>
      <w:marBottom w:val="0"/>
      <w:divBdr>
        <w:top w:val="none" w:sz="0" w:space="0" w:color="auto"/>
        <w:left w:val="none" w:sz="0" w:space="0" w:color="auto"/>
        <w:bottom w:val="none" w:sz="0" w:space="0" w:color="auto"/>
        <w:right w:val="none" w:sz="0" w:space="0" w:color="auto"/>
      </w:divBdr>
    </w:div>
    <w:div w:id="744569882">
      <w:bodyDiv w:val="1"/>
      <w:marLeft w:val="0"/>
      <w:marRight w:val="0"/>
      <w:marTop w:val="0"/>
      <w:marBottom w:val="0"/>
      <w:divBdr>
        <w:top w:val="none" w:sz="0" w:space="0" w:color="auto"/>
        <w:left w:val="none" w:sz="0" w:space="0" w:color="auto"/>
        <w:bottom w:val="none" w:sz="0" w:space="0" w:color="auto"/>
        <w:right w:val="none" w:sz="0" w:space="0" w:color="auto"/>
      </w:divBdr>
    </w:div>
    <w:div w:id="747576882">
      <w:bodyDiv w:val="1"/>
      <w:marLeft w:val="0"/>
      <w:marRight w:val="0"/>
      <w:marTop w:val="0"/>
      <w:marBottom w:val="0"/>
      <w:divBdr>
        <w:top w:val="none" w:sz="0" w:space="0" w:color="auto"/>
        <w:left w:val="none" w:sz="0" w:space="0" w:color="auto"/>
        <w:bottom w:val="none" w:sz="0" w:space="0" w:color="auto"/>
        <w:right w:val="none" w:sz="0" w:space="0" w:color="auto"/>
      </w:divBdr>
    </w:div>
    <w:div w:id="813570394">
      <w:bodyDiv w:val="1"/>
      <w:marLeft w:val="0"/>
      <w:marRight w:val="0"/>
      <w:marTop w:val="0"/>
      <w:marBottom w:val="0"/>
      <w:divBdr>
        <w:top w:val="none" w:sz="0" w:space="0" w:color="auto"/>
        <w:left w:val="none" w:sz="0" w:space="0" w:color="auto"/>
        <w:bottom w:val="none" w:sz="0" w:space="0" w:color="auto"/>
        <w:right w:val="none" w:sz="0" w:space="0" w:color="auto"/>
      </w:divBdr>
    </w:div>
    <w:div w:id="947853578">
      <w:bodyDiv w:val="1"/>
      <w:marLeft w:val="0"/>
      <w:marRight w:val="0"/>
      <w:marTop w:val="0"/>
      <w:marBottom w:val="0"/>
      <w:divBdr>
        <w:top w:val="none" w:sz="0" w:space="0" w:color="auto"/>
        <w:left w:val="none" w:sz="0" w:space="0" w:color="auto"/>
        <w:bottom w:val="none" w:sz="0" w:space="0" w:color="auto"/>
        <w:right w:val="none" w:sz="0" w:space="0" w:color="auto"/>
      </w:divBdr>
    </w:div>
    <w:div w:id="970668518">
      <w:bodyDiv w:val="1"/>
      <w:marLeft w:val="0"/>
      <w:marRight w:val="0"/>
      <w:marTop w:val="0"/>
      <w:marBottom w:val="0"/>
      <w:divBdr>
        <w:top w:val="none" w:sz="0" w:space="0" w:color="auto"/>
        <w:left w:val="none" w:sz="0" w:space="0" w:color="auto"/>
        <w:bottom w:val="none" w:sz="0" w:space="0" w:color="auto"/>
        <w:right w:val="none" w:sz="0" w:space="0" w:color="auto"/>
      </w:divBdr>
    </w:div>
    <w:div w:id="1105883683">
      <w:bodyDiv w:val="1"/>
      <w:marLeft w:val="0"/>
      <w:marRight w:val="0"/>
      <w:marTop w:val="0"/>
      <w:marBottom w:val="0"/>
      <w:divBdr>
        <w:top w:val="none" w:sz="0" w:space="0" w:color="auto"/>
        <w:left w:val="none" w:sz="0" w:space="0" w:color="auto"/>
        <w:bottom w:val="none" w:sz="0" w:space="0" w:color="auto"/>
        <w:right w:val="none" w:sz="0" w:space="0" w:color="auto"/>
      </w:divBdr>
    </w:div>
    <w:div w:id="1110903242">
      <w:bodyDiv w:val="1"/>
      <w:marLeft w:val="0"/>
      <w:marRight w:val="0"/>
      <w:marTop w:val="0"/>
      <w:marBottom w:val="0"/>
      <w:divBdr>
        <w:top w:val="none" w:sz="0" w:space="0" w:color="auto"/>
        <w:left w:val="none" w:sz="0" w:space="0" w:color="auto"/>
        <w:bottom w:val="none" w:sz="0" w:space="0" w:color="auto"/>
        <w:right w:val="none" w:sz="0" w:space="0" w:color="auto"/>
      </w:divBdr>
    </w:div>
    <w:div w:id="1116561833">
      <w:bodyDiv w:val="1"/>
      <w:marLeft w:val="0"/>
      <w:marRight w:val="0"/>
      <w:marTop w:val="0"/>
      <w:marBottom w:val="0"/>
      <w:divBdr>
        <w:top w:val="none" w:sz="0" w:space="0" w:color="auto"/>
        <w:left w:val="none" w:sz="0" w:space="0" w:color="auto"/>
        <w:bottom w:val="none" w:sz="0" w:space="0" w:color="auto"/>
        <w:right w:val="none" w:sz="0" w:space="0" w:color="auto"/>
      </w:divBdr>
    </w:div>
    <w:div w:id="1125659747">
      <w:bodyDiv w:val="1"/>
      <w:marLeft w:val="0"/>
      <w:marRight w:val="0"/>
      <w:marTop w:val="0"/>
      <w:marBottom w:val="0"/>
      <w:divBdr>
        <w:top w:val="none" w:sz="0" w:space="0" w:color="auto"/>
        <w:left w:val="none" w:sz="0" w:space="0" w:color="auto"/>
        <w:bottom w:val="none" w:sz="0" w:space="0" w:color="auto"/>
        <w:right w:val="none" w:sz="0" w:space="0" w:color="auto"/>
      </w:divBdr>
    </w:div>
    <w:div w:id="1140685158">
      <w:bodyDiv w:val="1"/>
      <w:marLeft w:val="0"/>
      <w:marRight w:val="0"/>
      <w:marTop w:val="0"/>
      <w:marBottom w:val="0"/>
      <w:divBdr>
        <w:top w:val="none" w:sz="0" w:space="0" w:color="auto"/>
        <w:left w:val="none" w:sz="0" w:space="0" w:color="auto"/>
        <w:bottom w:val="none" w:sz="0" w:space="0" w:color="auto"/>
        <w:right w:val="none" w:sz="0" w:space="0" w:color="auto"/>
      </w:divBdr>
    </w:div>
    <w:div w:id="1149057735">
      <w:bodyDiv w:val="1"/>
      <w:marLeft w:val="0"/>
      <w:marRight w:val="0"/>
      <w:marTop w:val="0"/>
      <w:marBottom w:val="0"/>
      <w:divBdr>
        <w:top w:val="none" w:sz="0" w:space="0" w:color="auto"/>
        <w:left w:val="none" w:sz="0" w:space="0" w:color="auto"/>
        <w:bottom w:val="none" w:sz="0" w:space="0" w:color="auto"/>
        <w:right w:val="none" w:sz="0" w:space="0" w:color="auto"/>
      </w:divBdr>
    </w:div>
    <w:div w:id="1161703332">
      <w:bodyDiv w:val="1"/>
      <w:marLeft w:val="0"/>
      <w:marRight w:val="0"/>
      <w:marTop w:val="0"/>
      <w:marBottom w:val="0"/>
      <w:divBdr>
        <w:top w:val="none" w:sz="0" w:space="0" w:color="auto"/>
        <w:left w:val="none" w:sz="0" w:space="0" w:color="auto"/>
        <w:bottom w:val="none" w:sz="0" w:space="0" w:color="auto"/>
        <w:right w:val="none" w:sz="0" w:space="0" w:color="auto"/>
      </w:divBdr>
    </w:div>
    <w:div w:id="1163933919">
      <w:bodyDiv w:val="1"/>
      <w:marLeft w:val="0"/>
      <w:marRight w:val="0"/>
      <w:marTop w:val="0"/>
      <w:marBottom w:val="0"/>
      <w:divBdr>
        <w:top w:val="none" w:sz="0" w:space="0" w:color="auto"/>
        <w:left w:val="none" w:sz="0" w:space="0" w:color="auto"/>
        <w:bottom w:val="none" w:sz="0" w:space="0" w:color="auto"/>
        <w:right w:val="none" w:sz="0" w:space="0" w:color="auto"/>
      </w:divBdr>
    </w:div>
    <w:div w:id="1172835740">
      <w:bodyDiv w:val="1"/>
      <w:marLeft w:val="0"/>
      <w:marRight w:val="0"/>
      <w:marTop w:val="0"/>
      <w:marBottom w:val="0"/>
      <w:divBdr>
        <w:top w:val="none" w:sz="0" w:space="0" w:color="auto"/>
        <w:left w:val="none" w:sz="0" w:space="0" w:color="auto"/>
        <w:bottom w:val="none" w:sz="0" w:space="0" w:color="auto"/>
        <w:right w:val="none" w:sz="0" w:space="0" w:color="auto"/>
      </w:divBdr>
    </w:div>
    <w:div w:id="1199003236">
      <w:bodyDiv w:val="1"/>
      <w:marLeft w:val="0"/>
      <w:marRight w:val="0"/>
      <w:marTop w:val="0"/>
      <w:marBottom w:val="0"/>
      <w:divBdr>
        <w:top w:val="none" w:sz="0" w:space="0" w:color="auto"/>
        <w:left w:val="none" w:sz="0" w:space="0" w:color="auto"/>
        <w:bottom w:val="none" w:sz="0" w:space="0" w:color="auto"/>
        <w:right w:val="none" w:sz="0" w:space="0" w:color="auto"/>
      </w:divBdr>
    </w:div>
    <w:div w:id="1204714442">
      <w:bodyDiv w:val="1"/>
      <w:marLeft w:val="0"/>
      <w:marRight w:val="0"/>
      <w:marTop w:val="0"/>
      <w:marBottom w:val="0"/>
      <w:divBdr>
        <w:top w:val="none" w:sz="0" w:space="0" w:color="auto"/>
        <w:left w:val="none" w:sz="0" w:space="0" w:color="auto"/>
        <w:bottom w:val="none" w:sz="0" w:space="0" w:color="auto"/>
        <w:right w:val="none" w:sz="0" w:space="0" w:color="auto"/>
      </w:divBdr>
    </w:div>
    <w:div w:id="1252935113">
      <w:bodyDiv w:val="1"/>
      <w:marLeft w:val="0"/>
      <w:marRight w:val="0"/>
      <w:marTop w:val="0"/>
      <w:marBottom w:val="0"/>
      <w:divBdr>
        <w:top w:val="none" w:sz="0" w:space="0" w:color="auto"/>
        <w:left w:val="none" w:sz="0" w:space="0" w:color="auto"/>
        <w:bottom w:val="none" w:sz="0" w:space="0" w:color="auto"/>
        <w:right w:val="none" w:sz="0" w:space="0" w:color="auto"/>
      </w:divBdr>
    </w:div>
    <w:div w:id="1275747371">
      <w:bodyDiv w:val="1"/>
      <w:marLeft w:val="0"/>
      <w:marRight w:val="0"/>
      <w:marTop w:val="0"/>
      <w:marBottom w:val="0"/>
      <w:divBdr>
        <w:top w:val="none" w:sz="0" w:space="0" w:color="auto"/>
        <w:left w:val="none" w:sz="0" w:space="0" w:color="auto"/>
        <w:bottom w:val="none" w:sz="0" w:space="0" w:color="auto"/>
        <w:right w:val="none" w:sz="0" w:space="0" w:color="auto"/>
      </w:divBdr>
    </w:div>
    <w:div w:id="1290043079">
      <w:bodyDiv w:val="1"/>
      <w:marLeft w:val="0"/>
      <w:marRight w:val="0"/>
      <w:marTop w:val="0"/>
      <w:marBottom w:val="0"/>
      <w:divBdr>
        <w:top w:val="none" w:sz="0" w:space="0" w:color="auto"/>
        <w:left w:val="none" w:sz="0" w:space="0" w:color="auto"/>
        <w:bottom w:val="none" w:sz="0" w:space="0" w:color="auto"/>
        <w:right w:val="none" w:sz="0" w:space="0" w:color="auto"/>
      </w:divBdr>
    </w:div>
    <w:div w:id="1290280753">
      <w:bodyDiv w:val="1"/>
      <w:marLeft w:val="0"/>
      <w:marRight w:val="0"/>
      <w:marTop w:val="0"/>
      <w:marBottom w:val="0"/>
      <w:divBdr>
        <w:top w:val="none" w:sz="0" w:space="0" w:color="auto"/>
        <w:left w:val="none" w:sz="0" w:space="0" w:color="auto"/>
        <w:bottom w:val="none" w:sz="0" w:space="0" w:color="auto"/>
        <w:right w:val="none" w:sz="0" w:space="0" w:color="auto"/>
      </w:divBdr>
    </w:div>
    <w:div w:id="1350376955">
      <w:bodyDiv w:val="1"/>
      <w:marLeft w:val="0"/>
      <w:marRight w:val="0"/>
      <w:marTop w:val="0"/>
      <w:marBottom w:val="0"/>
      <w:divBdr>
        <w:top w:val="none" w:sz="0" w:space="0" w:color="auto"/>
        <w:left w:val="none" w:sz="0" w:space="0" w:color="auto"/>
        <w:bottom w:val="none" w:sz="0" w:space="0" w:color="auto"/>
        <w:right w:val="none" w:sz="0" w:space="0" w:color="auto"/>
      </w:divBdr>
    </w:div>
    <w:div w:id="1371032029">
      <w:bodyDiv w:val="1"/>
      <w:marLeft w:val="0"/>
      <w:marRight w:val="0"/>
      <w:marTop w:val="0"/>
      <w:marBottom w:val="0"/>
      <w:divBdr>
        <w:top w:val="none" w:sz="0" w:space="0" w:color="auto"/>
        <w:left w:val="none" w:sz="0" w:space="0" w:color="auto"/>
        <w:bottom w:val="none" w:sz="0" w:space="0" w:color="auto"/>
        <w:right w:val="none" w:sz="0" w:space="0" w:color="auto"/>
      </w:divBdr>
    </w:div>
    <w:div w:id="1388647515">
      <w:bodyDiv w:val="1"/>
      <w:marLeft w:val="0"/>
      <w:marRight w:val="0"/>
      <w:marTop w:val="0"/>
      <w:marBottom w:val="0"/>
      <w:divBdr>
        <w:top w:val="none" w:sz="0" w:space="0" w:color="auto"/>
        <w:left w:val="none" w:sz="0" w:space="0" w:color="auto"/>
        <w:bottom w:val="none" w:sz="0" w:space="0" w:color="auto"/>
        <w:right w:val="none" w:sz="0" w:space="0" w:color="auto"/>
      </w:divBdr>
    </w:div>
    <w:div w:id="1397703150">
      <w:bodyDiv w:val="1"/>
      <w:marLeft w:val="0"/>
      <w:marRight w:val="0"/>
      <w:marTop w:val="0"/>
      <w:marBottom w:val="0"/>
      <w:divBdr>
        <w:top w:val="none" w:sz="0" w:space="0" w:color="auto"/>
        <w:left w:val="none" w:sz="0" w:space="0" w:color="auto"/>
        <w:bottom w:val="none" w:sz="0" w:space="0" w:color="auto"/>
        <w:right w:val="none" w:sz="0" w:space="0" w:color="auto"/>
      </w:divBdr>
    </w:div>
    <w:div w:id="1401054505">
      <w:bodyDiv w:val="1"/>
      <w:marLeft w:val="0"/>
      <w:marRight w:val="0"/>
      <w:marTop w:val="0"/>
      <w:marBottom w:val="0"/>
      <w:divBdr>
        <w:top w:val="none" w:sz="0" w:space="0" w:color="auto"/>
        <w:left w:val="none" w:sz="0" w:space="0" w:color="auto"/>
        <w:bottom w:val="none" w:sz="0" w:space="0" w:color="auto"/>
        <w:right w:val="none" w:sz="0" w:space="0" w:color="auto"/>
      </w:divBdr>
    </w:div>
    <w:div w:id="1457024774">
      <w:bodyDiv w:val="1"/>
      <w:marLeft w:val="0"/>
      <w:marRight w:val="0"/>
      <w:marTop w:val="0"/>
      <w:marBottom w:val="0"/>
      <w:divBdr>
        <w:top w:val="none" w:sz="0" w:space="0" w:color="auto"/>
        <w:left w:val="none" w:sz="0" w:space="0" w:color="auto"/>
        <w:bottom w:val="none" w:sz="0" w:space="0" w:color="auto"/>
        <w:right w:val="none" w:sz="0" w:space="0" w:color="auto"/>
      </w:divBdr>
    </w:div>
    <w:div w:id="1462186430">
      <w:bodyDiv w:val="1"/>
      <w:marLeft w:val="0"/>
      <w:marRight w:val="0"/>
      <w:marTop w:val="0"/>
      <w:marBottom w:val="0"/>
      <w:divBdr>
        <w:top w:val="none" w:sz="0" w:space="0" w:color="auto"/>
        <w:left w:val="none" w:sz="0" w:space="0" w:color="auto"/>
        <w:bottom w:val="none" w:sz="0" w:space="0" w:color="auto"/>
        <w:right w:val="none" w:sz="0" w:space="0" w:color="auto"/>
      </w:divBdr>
    </w:div>
    <w:div w:id="1462191259">
      <w:bodyDiv w:val="1"/>
      <w:marLeft w:val="0"/>
      <w:marRight w:val="0"/>
      <w:marTop w:val="0"/>
      <w:marBottom w:val="0"/>
      <w:divBdr>
        <w:top w:val="none" w:sz="0" w:space="0" w:color="auto"/>
        <w:left w:val="none" w:sz="0" w:space="0" w:color="auto"/>
        <w:bottom w:val="none" w:sz="0" w:space="0" w:color="auto"/>
        <w:right w:val="none" w:sz="0" w:space="0" w:color="auto"/>
      </w:divBdr>
    </w:div>
    <w:div w:id="1463503422">
      <w:bodyDiv w:val="1"/>
      <w:marLeft w:val="0"/>
      <w:marRight w:val="0"/>
      <w:marTop w:val="0"/>
      <w:marBottom w:val="0"/>
      <w:divBdr>
        <w:top w:val="none" w:sz="0" w:space="0" w:color="auto"/>
        <w:left w:val="none" w:sz="0" w:space="0" w:color="auto"/>
        <w:bottom w:val="none" w:sz="0" w:space="0" w:color="auto"/>
        <w:right w:val="none" w:sz="0" w:space="0" w:color="auto"/>
      </w:divBdr>
    </w:div>
    <w:div w:id="1563829716">
      <w:bodyDiv w:val="1"/>
      <w:marLeft w:val="0"/>
      <w:marRight w:val="0"/>
      <w:marTop w:val="0"/>
      <w:marBottom w:val="0"/>
      <w:divBdr>
        <w:top w:val="none" w:sz="0" w:space="0" w:color="auto"/>
        <w:left w:val="none" w:sz="0" w:space="0" w:color="auto"/>
        <w:bottom w:val="none" w:sz="0" w:space="0" w:color="auto"/>
        <w:right w:val="none" w:sz="0" w:space="0" w:color="auto"/>
      </w:divBdr>
    </w:div>
    <w:div w:id="1567035101">
      <w:bodyDiv w:val="1"/>
      <w:marLeft w:val="0"/>
      <w:marRight w:val="0"/>
      <w:marTop w:val="0"/>
      <w:marBottom w:val="0"/>
      <w:divBdr>
        <w:top w:val="none" w:sz="0" w:space="0" w:color="auto"/>
        <w:left w:val="none" w:sz="0" w:space="0" w:color="auto"/>
        <w:bottom w:val="none" w:sz="0" w:space="0" w:color="auto"/>
        <w:right w:val="none" w:sz="0" w:space="0" w:color="auto"/>
      </w:divBdr>
    </w:div>
    <w:div w:id="1574047553">
      <w:bodyDiv w:val="1"/>
      <w:marLeft w:val="0"/>
      <w:marRight w:val="0"/>
      <w:marTop w:val="0"/>
      <w:marBottom w:val="0"/>
      <w:divBdr>
        <w:top w:val="none" w:sz="0" w:space="0" w:color="auto"/>
        <w:left w:val="none" w:sz="0" w:space="0" w:color="auto"/>
        <w:bottom w:val="none" w:sz="0" w:space="0" w:color="auto"/>
        <w:right w:val="none" w:sz="0" w:space="0" w:color="auto"/>
      </w:divBdr>
    </w:div>
    <w:div w:id="1582717815">
      <w:bodyDiv w:val="1"/>
      <w:marLeft w:val="0"/>
      <w:marRight w:val="0"/>
      <w:marTop w:val="0"/>
      <w:marBottom w:val="0"/>
      <w:divBdr>
        <w:top w:val="none" w:sz="0" w:space="0" w:color="auto"/>
        <w:left w:val="none" w:sz="0" w:space="0" w:color="auto"/>
        <w:bottom w:val="none" w:sz="0" w:space="0" w:color="auto"/>
        <w:right w:val="none" w:sz="0" w:space="0" w:color="auto"/>
      </w:divBdr>
    </w:div>
    <w:div w:id="1584677628">
      <w:bodyDiv w:val="1"/>
      <w:marLeft w:val="0"/>
      <w:marRight w:val="0"/>
      <w:marTop w:val="0"/>
      <w:marBottom w:val="0"/>
      <w:divBdr>
        <w:top w:val="none" w:sz="0" w:space="0" w:color="auto"/>
        <w:left w:val="none" w:sz="0" w:space="0" w:color="auto"/>
        <w:bottom w:val="none" w:sz="0" w:space="0" w:color="auto"/>
        <w:right w:val="none" w:sz="0" w:space="0" w:color="auto"/>
      </w:divBdr>
    </w:div>
    <w:div w:id="1586567596">
      <w:bodyDiv w:val="1"/>
      <w:marLeft w:val="0"/>
      <w:marRight w:val="0"/>
      <w:marTop w:val="0"/>
      <w:marBottom w:val="0"/>
      <w:divBdr>
        <w:top w:val="none" w:sz="0" w:space="0" w:color="auto"/>
        <w:left w:val="none" w:sz="0" w:space="0" w:color="auto"/>
        <w:bottom w:val="none" w:sz="0" w:space="0" w:color="auto"/>
        <w:right w:val="none" w:sz="0" w:space="0" w:color="auto"/>
      </w:divBdr>
    </w:div>
    <w:div w:id="1597133901">
      <w:bodyDiv w:val="1"/>
      <w:marLeft w:val="0"/>
      <w:marRight w:val="0"/>
      <w:marTop w:val="0"/>
      <w:marBottom w:val="0"/>
      <w:divBdr>
        <w:top w:val="none" w:sz="0" w:space="0" w:color="auto"/>
        <w:left w:val="none" w:sz="0" w:space="0" w:color="auto"/>
        <w:bottom w:val="none" w:sz="0" w:space="0" w:color="auto"/>
        <w:right w:val="none" w:sz="0" w:space="0" w:color="auto"/>
      </w:divBdr>
    </w:div>
    <w:div w:id="1621690454">
      <w:bodyDiv w:val="1"/>
      <w:marLeft w:val="0"/>
      <w:marRight w:val="0"/>
      <w:marTop w:val="0"/>
      <w:marBottom w:val="0"/>
      <w:divBdr>
        <w:top w:val="none" w:sz="0" w:space="0" w:color="auto"/>
        <w:left w:val="none" w:sz="0" w:space="0" w:color="auto"/>
        <w:bottom w:val="none" w:sz="0" w:space="0" w:color="auto"/>
        <w:right w:val="none" w:sz="0" w:space="0" w:color="auto"/>
      </w:divBdr>
    </w:div>
    <w:div w:id="1630548594">
      <w:bodyDiv w:val="1"/>
      <w:marLeft w:val="0"/>
      <w:marRight w:val="0"/>
      <w:marTop w:val="0"/>
      <w:marBottom w:val="0"/>
      <w:divBdr>
        <w:top w:val="none" w:sz="0" w:space="0" w:color="auto"/>
        <w:left w:val="none" w:sz="0" w:space="0" w:color="auto"/>
        <w:bottom w:val="none" w:sz="0" w:space="0" w:color="auto"/>
        <w:right w:val="none" w:sz="0" w:space="0" w:color="auto"/>
      </w:divBdr>
    </w:div>
    <w:div w:id="1647512916">
      <w:bodyDiv w:val="1"/>
      <w:marLeft w:val="0"/>
      <w:marRight w:val="0"/>
      <w:marTop w:val="0"/>
      <w:marBottom w:val="0"/>
      <w:divBdr>
        <w:top w:val="none" w:sz="0" w:space="0" w:color="auto"/>
        <w:left w:val="none" w:sz="0" w:space="0" w:color="auto"/>
        <w:bottom w:val="none" w:sz="0" w:space="0" w:color="auto"/>
        <w:right w:val="none" w:sz="0" w:space="0" w:color="auto"/>
      </w:divBdr>
    </w:div>
    <w:div w:id="1649356708">
      <w:bodyDiv w:val="1"/>
      <w:marLeft w:val="0"/>
      <w:marRight w:val="0"/>
      <w:marTop w:val="0"/>
      <w:marBottom w:val="0"/>
      <w:divBdr>
        <w:top w:val="none" w:sz="0" w:space="0" w:color="auto"/>
        <w:left w:val="none" w:sz="0" w:space="0" w:color="auto"/>
        <w:bottom w:val="none" w:sz="0" w:space="0" w:color="auto"/>
        <w:right w:val="none" w:sz="0" w:space="0" w:color="auto"/>
      </w:divBdr>
    </w:div>
    <w:div w:id="1664508260">
      <w:bodyDiv w:val="1"/>
      <w:marLeft w:val="0"/>
      <w:marRight w:val="0"/>
      <w:marTop w:val="0"/>
      <w:marBottom w:val="0"/>
      <w:divBdr>
        <w:top w:val="none" w:sz="0" w:space="0" w:color="auto"/>
        <w:left w:val="none" w:sz="0" w:space="0" w:color="auto"/>
        <w:bottom w:val="none" w:sz="0" w:space="0" w:color="auto"/>
        <w:right w:val="none" w:sz="0" w:space="0" w:color="auto"/>
      </w:divBdr>
    </w:div>
    <w:div w:id="1669862761">
      <w:bodyDiv w:val="1"/>
      <w:marLeft w:val="0"/>
      <w:marRight w:val="0"/>
      <w:marTop w:val="0"/>
      <w:marBottom w:val="0"/>
      <w:divBdr>
        <w:top w:val="none" w:sz="0" w:space="0" w:color="auto"/>
        <w:left w:val="none" w:sz="0" w:space="0" w:color="auto"/>
        <w:bottom w:val="none" w:sz="0" w:space="0" w:color="auto"/>
        <w:right w:val="none" w:sz="0" w:space="0" w:color="auto"/>
      </w:divBdr>
      <w:divsChild>
        <w:div w:id="2028869126">
          <w:marLeft w:val="0"/>
          <w:marRight w:val="0"/>
          <w:marTop w:val="0"/>
          <w:marBottom w:val="0"/>
          <w:divBdr>
            <w:top w:val="none" w:sz="0" w:space="0" w:color="auto"/>
            <w:left w:val="none" w:sz="0" w:space="0" w:color="auto"/>
            <w:bottom w:val="none" w:sz="0" w:space="0" w:color="auto"/>
            <w:right w:val="none" w:sz="0" w:space="0" w:color="auto"/>
          </w:divBdr>
          <w:divsChild>
            <w:div w:id="192227988">
              <w:marLeft w:val="0"/>
              <w:marRight w:val="0"/>
              <w:marTop w:val="0"/>
              <w:marBottom w:val="0"/>
              <w:divBdr>
                <w:top w:val="single" w:sz="12" w:space="2" w:color="367ED6"/>
                <w:left w:val="single" w:sz="12" w:space="2" w:color="367ED6"/>
                <w:bottom w:val="single" w:sz="12" w:space="2" w:color="367ED6"/>
                <w:right w:val="single" w:sz="12" w:space="2" w:color="367ED6"/>
              </w:divBdr>
              <w:divsChild>
                <w:div w:id="49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9951">
      <w:bodyDiv w:val="1"/>
      <w:marLeft w:val="0"/>
      <w:marRight w:val="0"/>
      <w:marTop w:val="0"/>
      <w:marBottom w:val="0"/>
      <w:divBdr>
        <w:top w:val="none" w:sz="0" w:space="0" w:color="auto"/>
        <w:left w:val="none" w:sz="0" w:space="0" w:color="auto"/>
        <w:bottom w:val="none" w:sz="0" w:space="0" w:color="auto"/>
        <w:right w:val="none" w:sz="0" w:space="0" w:color="auto"/>
      </w:divBdr>
    </w:div>
    <w:div w:id="1735735429">
      <w:bodyDiv w:val="1"/>
      <w:marLeft w:val="0"/>
      <w:marRight w:val="0"/>
      <w:marTop w:val="0"/>
      <w:marBottom w:val="0"/>
      <w:divBdr>
        <w:top w:val="none" w:sz="0" w:space="0" w:color="auto"/>
        <w:left w:val="none" w:sz="0" w:space="0" w:color="auto"/>
        <w:bottom w:val="none" w:sz="0" w:space="0" w:color="auto"/>
        <w:right w:val="none" w:sz="0" w:space="0" w:color="auto"/>
      </w:divBdr>
    </w:div>
    <w:div w:id="1751073201">
      <w:bodyDiv w:val="1"/>
      <w:marLeft w:val="0"/>
      <w:marRight w:val="0"/>
      <w:marTop w:val="0"/>
      <w:marBottom w:val="0"/>
      <w:divBdr>
        <w:top w:val="none" w:sz="0" w:space="0" w:color="auto"/>
        <w:left w:val="none" w:sz="0" w:space="0" w:color="auto"/>
        <w:bottom w:val="none" w:sz="0" w:space="0" w:color="auto"/>
        <w:right w:val="none" w:sz="0" w:space="0" w:color="auto"/>
      </w:divBdr>
    </w:div>
    <w:div w:id="1780291328">
      <w:bodyDiv w:val="1"/>
      <w:marLeft w:val="0"/>
      <w:marRight w:val="0"/>
      <w:marTop w:val="0"/>
      <w:marBottom w:val="0"/>
      <w:divBdr>
        <w:top w:val="none" w:sz="0" w:space="0" w:color="auto"/>
        <w:left w:val="none" w:sz="0" w:space="0" w:color="auto"/>
        <w:bottom w:val="none" w:sz="0" w:space="0" w:color="auto"/>
        <w:right w:val="none" w:sz="0" w:space="0" w:color="auto"/>
      </w:divBdr>
    </w:div>
    <w:div w:id="1797219732">
      <w:bodyDiv w:val="1"/>
      <w:marLeft w:val="0"/>
      <w:marRight w:val="0"/>
      <w:marTop w:val="0"/>
      <w:marBottom w:val="0"/>
      <w:divBdr>
        <w:top w:val="none" w:sz="0" w:space="0" w:color="auto"/>
        <w:left w:val="none" w:sz="0" w:space="0" w:color="auto"/>
        <w:bottom w:val="none" w:sz="0" w:space="0" w:color="auto"/>
        <w:right w:val="none" w:sz="0" w:space="0" w:color="auto"/>
      </w:divBdr>
    </w:div>
    <w:div w:id="1833331285">
      <w:bodyDiv w:val="1"/>
      <w:marLeft w:val="0"/>
      <w:marRight w:val="0"/>
      <w:marTop w:val="0"/>
      <w:marBottom w:val="0"/>
      <w:divBdr>
        <w:top w:val="none" w:sz="0" w:space="0" w:color="auto"/>
        <w:left w:val="none" w:sz="0" w:space="0" w:color="auto"/>
        <w:bottom w:val="none" w:sz="0" w:space="0" w:color="auto"/>
        <w:right w:val="none" w:sz="0" w:space="0" w:color="auto"/>
      </w:divBdr>
    </w:div>
    <w:div w:id="1889953790">
      <w:bodyDiv w:val="1"/>
      <w:marLeft w:val="0"/>
      <w:marRight w:val="0"/>
      <w:marTop w:val="0"/>
      <w:marBottom w:val="0"/>
      <w:divBdr>
        <w:top w:val="none" w:sz="0" w:space="0" w:color="auto"/>
        <w:left w:val="none" w:sz="0" w:space="0" w:color="auto"/>
        <w:bottom w:val="none" w:sz="0" w:space="0" w:color="auto"/>
        <w:right w:val="none" w:sz="0" w:space="0" w:color="auto"/>
      </w:divBdr>
    </w:div>
    <w:div w:id="1897204126">
      <w:bodyDiv w:val="1"/>
      <w:marLeft w:val="0"/>
      <w:marRight w:val="0"/>
      <w:marTop w:val="0"/>
      <w:marBottom w:val="0"/>
      <w:divBdr>
        <w:top w:val="none" w:sz="0" w:space="0" w:color="auto"/>
        <w:left w:val="none" w:sz="0" w:space="0" w:color="auto"/>
        <w:bottom w:val="none" w:sz="0" w:space="0" w:color="auto"/>
        <w:right w:val="none" w:sz="0" w:space="0" w:color="auto"/>
      </w:divBdr>
    </w:div>
    <w:div w:id="1900632734">
      <w:bodyDiv w:val="1"/>
      <w:marLeft w:val="0"/>
      <w:marRight w:val="0"/>
      <w:marTop w:val="0"/>
      <w:marBottom w:val="0"/>
      <w:divBdr>
        <w:top w:val="none" w:sz="0" w:space="0" w:color="auto"/>
        <w:left w:val="none" w:sz="0" w:space="0" w:color="auto"/>
        <w:bottom w:val="none" w:sz="0" w:space="0" w:color="auto"/>
        <w:right w:val="none" w:sz="0" w:space="0" w:color="auto"/>
      </w:divBdr>
    </w:div>
    <w:div w:id="1909417247">
      <w:bodyDiv w:val="1"/>
      <w:marLeft w:val="0"/>
      <w:marRight w:val="0"/>
      <w:marTop w:val="0"/>
      <w:marBottom w:val="0"/>
      <w:divBdr>
        <w:top w:val="none" w:sz="0" w:space="0" w:color="auto"/>
        <w:left w:val="none" w:sz="0" w:space="0" w:color="auto"/>
        <w:bottom w:val="none" w:sz="0" w:space="0" w:color="auto"/>
        <w:right w:val="none" w:sz="0" w:space="0" w:color="auto"/>
      </w:divBdr>
    </w:div>
    <w:div w:id="1915122584">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10594775">
      <w:bodyDiv w:val="1"/>
      <w:marLeft w:val="0"/>
      <w:marRight w:val="0"/>
      <w:marTop w:val="0"/>
      <w:marBottom w:val="0"/>
      <w:divBdr>
        <w:top w:val="none" w:sz="0" w:space="0" w:color="auto"/>
        <w:left w:val="none" w:sz="0" w:space="0" w:color="auto"/>
        <w:bottom w:val="none" w:sz="0" w:space="0" w:color="auto"/>
        <w:right w:val="none" w:sz="0" w:space="0" w:color="auto"/>
      </w:divBdr>
    </w:div>
    <w:div w:id="2013560409">
      <w:bodyDiv w:val="1"/>
      <w:marLeft w:val="0"/>
      <w:marRight w:val="0"/>
      <w:marTop w:val="0"/>
      <w:marBottom w:val="0"/>
      <w:divBdr>
        <w:top w:val="none" w:sz="0" w:space="0" w:color="auto"/>
        <w:left w:val="none" w:sz="0" w:space="0" w:color="auto"/>
        <w:bottom w:val="none" w:sz="0" w:space="0" w:color="auto"/>
        <w:right w:val="none" w:sz="0" w:space="0" w:color="auto"/>
      </w:divBdr>
    </w:div>
    <w:div w:id="2019965414">
      <w:bodyDiv w:val="1"/>
      <w:marLeft w:val="0"/>
      <w:marRight w:val="0"/>
      <w:marTop w:val="0"/>
      <w:marBottom w:val="0"/>
      <w:divBdr>
        <w:top w:val="none" w:sz="0" w:space="0" w:color="auto"/>
        <w:left w:val="none" w:sz="0" w:space="0" w:color="auto"/>
        <w:bottom w:val="none" w:sz="0" w:space="0" w:color="auto"/>
        <w:right w:val="none" w:sz="0" w:space="0" w:color="auto"/>
      </w:divBdr>
    </w:div>
    <w:div w:id="2062970703">
      <w:bodyDiv w:val="1"/>
      <w:marLeft w:val="0"/>
      <w:marRight w:val="0"/>
      <w:marTop w:val="0"/>
      <w:marBottom w:val="0"/>
      <w:divBdr>
        <w:top w:val="none" w:sz="0" w:space="0" w:color="auto"/>
        <w:left w:val="none" w:sz="0" w:space="0" w:color="auto"/>
        <w:bottom w:val="none" w:sz="0" w:space="0" w:color="auto"/>
        <w:right w:val="none" w:sz="0" w:space="0" w:color="auto"/>
      </w:divBdr>
    </w:div>
    <w:div w:id="21178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collections/taking-part" TargetMode="External"/><Relationship Id="rId26" Type="http://schemas.openxmlformats.org/officeDocument/2006/relationships/image" Target="media/image5.png"/><Relationship Id="rId39" Type="http://schemas.openxmlformats.org/officeDocument/2006/relationships/hyperlink" Target="http://www.legislation.gov.uk/uksi/2013/1578/contents/made" TargetMode="External"/><Relationship Id="rId3" Type="http://schemas.openxmlformats.org/officeDocument/2006/relationships/styles" Target="styles.xml"/><Relationship Id="rId21" Type="http://schemas.openxmlformats.org/officeDocument/2006/relationships/hyperlink" Target="http://www.legislation.gov.uk/uksi/2013/1578/contents/made" TargetMode="External"/><Relationship Id="rId34" Type="http://schemas.openxmlformats.org/officeDocument/2006/relationships/hyperlink" Target="https://www.gov.uk/government/publications/entertainment-licensing-2014" TargetMode="External"/><Relationship Id="rId42" Type="http://schemas.openxmlformats.org/officeDocument/2006/relationships/hyperlink" Target="https://www.gov.uk/government/publications/entertainment-licensing-2014"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egislation.gov.uk/uksi/2005/42/contents/made" TargetMode="External"/><Relationship Id="rId25" Type="http://schemas.openxmlformats.org/officeDocument/2006/relationships/hyperlink" Target="https://www.gov.uk/government/publications/entertainment-licensing-2014" TargetMode="External"/><Relationship Id="rId33" Type="http://schemas.openxmlformats.org/officeDocument/2006/relationships/image" Target="media/image8.png"/><Relationship Id="rId38" Type="http://schemas.openxmlformats.org/officeDocument/2006/relationships/hyperlink" Target="http://www.legislation.gov.uk/ukpga/2012/2/contents/enacted"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v.uk/government/publications/entertainment-licensing-2014" TargetMode="External"/><Relationship Id="rId20" Type="http://schemas.openxmlformats.org/officeDocument/2006/relationships/hyperlink" Target="http://www.legislation.gov.uk/ukpga/2012/2/enacted" TargetMode="External"/><Relationship Id="rId29" Type="http://schemas.openxmlformats.org/officeDocument/2006/relationships/hyperlink" Target="https://www.gov.uk/government/publications/entertainment-licensing-2014" TargetMode="External"/><Relationship Id="rId41" Type="http://schemas.openxmlformats.org/officeDocument/2006/relationships/hyperlink" Target="http://www.culture.gov.uk/what_we_do/research_and_statistics/486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https://www.gov.uk/government/publications/entertainment-licensing-2014" TargetMode="External"/><Relationship Id="rId37" Type="http://schemas.openxmlformats.org/officeDocument/2006/relationships/hyperlink" Target="http://www.legislation.gov.uk/ukpga/2003/17/contents" TargetMode="External"/><Relationship Id="rId40" Type="http://schemas.openxmlformats.org/officeDocument/2006/relationships/hyperlink" Target="http://www.statisticsauthority.gov.uk/assessment/code-of-practice/code-of-practice-for-official-statistics.pdf" TargetMode="External"/><Relationship Id="rId45" Type="http://schemas.openxmlformats.org/officeDocument/2006/relationships/hyperlink" Target="mailto:evidence@culture.gsi.gov.uk" TargetMode="External"/><Relationship Id="rId5" Type="http://schemas.openxmlformats.org/officeDocument/2006/relationships/settings" Target="settings.xml"/><Relationship Id="rId15" Type="http://schemas.openxmlformats.org/officeDocument/2006/relationships/hyperlink" Target="https://www.gov.uk/government/publications/entertainment-licensing-2014" TargetMode="External"/><Relationship Id="rId23" Type="http://schemas.openxmlformats.org/officeDocument/2006/relationships/hyperlink" Target="http://www.legislation.gov.uk/ukpga/2003/17/schedule/1/enacted" TargetMode="External"/><Relationship Id="rId28" Type="http://schemas.openxmlformats.org/officeDocument/2006/relationships/image" Target="media/image6.png"/><Relationship Id="rId36" Type="http://schemas.openxmlformats.org/officeDocument/2006/relationships/hyperlink" Target="https://www.gov.uk/government/publications/entertainment-licensing-2014"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v.uk/government/publications/alcohol-and-late-night-refreshment-licensing-england-and-wales-31-march-2014" TargetMode="External"/><Relationship Id="rId31" Type="http://schemas.openxmlformats.org/officeDocument/2006/relationships/image" Target="media/image7.jpeg"/><Relationship Id="rId44" Type="http://schemas.openxmlformats.org/officeDocument/2006/relationships/hyperlink" Target="mailto:enquiries@cultur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entertainment-licensing-2014" TargetMode="External"/><Relationship Id="rId22" Type="http://schemas.openxmlformats.org/officeDocument/2006/relationships/hyperlink" Target="http://www.legislation.gov.uk/uksi/2014/3253/contents/made" TargetMode="External"/><Relationship Id="rId27" Type="http://schemas.openxmlformats.org/officeDocument/2006/relationships/hyperlink" Target="https://www.gov.uk/government/publications/entertainment-licensing-2014" TargetMode="External"/><Relationship Id="rId30" Type="http://schemas.openxmlformats.org/officeDocument/2006/relationships/hyperlink" Target="http://www.legislation.gov.uk/uksi/2005/42/contents/made" TargetMode="External"/><Relationship Id="rId35" Type="http://schemas.openxmlformats.org/officeDocument/2006/relationships/image" Target="media/image9.png"/><Relationship Id="rId43" Type="http://schemas.openxmlformats.org/officeDocument/2006/relationships/hyperlink" Target="mailto:evidence@culture.gsi.gov.uk"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cotland.gov.uk/Topics/Statistics/Browse/Crime-Justice/TrendLiquor" TargetMode="External"/><Relationship Id="rId1" Type="http://schemas.openxmlformats.org/officeDocument/2006/relationships/hyperlink" Target="http://www.legislation.gov.uk/ukpga/2003/17/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4236-B321-4373-BC0E-3A365D2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12</TotalTime>
  <Pages>21</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Sam</dc:creator>
  <cp:lastModifiedBy>BOORMAN, Richard</cp:lastModifiedBy>
  <cp:revision>9</cp:revision>
  <cp:lastPrinted>2013-11-28T12:40:00Z</cp:lastPrinted>
  <dcterms:created xsi:type="dcterms:W3CDTF">2014-12-16T11:53:00Z</dcterms:created>
  <dcterms:modified xsi:type="dcterms:W3CDTF">2014-12-16T13:40:00Z</dcterms:modified>
</cp:coreProperties>
</file>