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761CD" w:rsidRDefault="009B1CC5">
      <w:pPr>
        <w:spacing w:line="240" w:lineRule="auto"/>
      </w:pPr>
      <w:bookmarkStart w:id="0" w:name="_GoBack"/>
      <w:bookmarkEnd w:id="0"/>
      <w:r>
        <w:rPr>
          <w:rFonts w:ascii="Bliss" w:eastAsia="Bliss" w:hAnsi="Bliss" w:cs="Bliss"/>
          <w:b/>
          <w:sz w:val="28"/>
        </w:rPr>
        <w:t>Review of the Spoliation of the Advisory Panel</w:t>
      </w:r>
    </w:p>
    <w:p w:rsidR="002761CD" w:rsidRDefault="002761CD">
      <w:pPr>
        <w:widowControl w:val="0"/>
        <w:spacing w:before="20" w:line="360" w:lineRule="auto"/>
      </w:pPr>
    </w:p>
    <w:p w:rsidR="002761CD" w:rsidRDefault="009B1CC5">
      <w:pPr>
        <w:widowControl w:val="0"/>
        <w:spacing w:before="20" w:line="360" w:lineRule="auto"/>
      </w:pPr>
      <w:r>
        <w:rPr>
          <w:rFonts w:ascii="Bliss" w:eastAsia="Bliss" w:hAnsi="Bliss" w:cs="Bliss"/>
          <w:sz w:val="24"/>
          <w:u w:val="single"/>
        </w:rPr>
        <w:t xml:space="preserve">Terms of reference </w:t>
      </w:r>
    </w:p>
    <w:p w:rsidR="002761CD" w:rsidRDefault="009B1CC5">
      <w:pPr>
        <w:spacing w:after="200" w:line="360" w:lineRule="auto"/>
      </w:pPr>
      <w:r>
        <w:rPr>
          <w:rFonts w:ascii="Calibri" w:eastAsia="Calibri" w:hAnsi="Calibri" w:cs="Calibri"/>
          <w:b/>
          <w:sz w:val="24"/>
        </w:rPr>
        <w:t xml:space="preserve">The review </w:t>
      </w:r>
    </w:p>
    <w:p w:rsidR="002761CD" w:rsidRDefault="009B1CC5">
      <w:pPr>
        <w:numPr>
          <w:ilvl w:val="0"/>
          <w:numId w:val="2"/>
        </w:numPr>
        <w:spacing w:after="200" w:line="360" w:lineRule="auto"/>
        <w:ind w:hanging="359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Purpose: </w:t>
      </w:r>
      <w:r>
        <w:rPr>
          <w:rFonts w:ascii="Calibri" w:eastAsia="Calibri" w:hAnsi="Calibri" w:cs="Calibri"/>
          <w:sz w:val="24"/>
        </w:rPr>
        <w:t xml:space="preserve">The purpose is to conduct a review of the Spoliation Advisory Panel. </w:t>
      </w:r>
    </w:p>
    <w:p w:rsidR="002761CD" w:rsidRDefault="009B1CC5">
      <w:pPr>
        <w:numPr>
          <w:ilvl w:val="0"/>
          <w:numId w:val="2"/>
        </w:numPr>
        <w:spacing w:after="200" w:line="360" w:lineRule="auto"/>
        <w:ind w:hanging="359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Expected outcome of the review: </w:t>
      </w:r>
      <w:r>
        <w:rPr>
          <w:rFonts w:ascii="Calibri" w:eastAsia="Calibri" w:hAnsi="Calibri" w:cs="Calibri"/>
          <w:sz w:val="24"/>
        </w:rPr>
        <w:t>The Reviewer will provide DCMS with a final report which will include a number of recommendations in response to the questions raised in the Scoping Document.  In preparing the recommendations, consideration should be given to the resources available in th</w:t>
      </w:r>
      <w:r>
        <w:rPr>
          <w:rFonts w:ascii="Calibri" w:eastAsia="Calibri" w:hAnsi="Calibri" w:cs="Calibri"/>
          <w:sz w:val="24"/>
        </w:rPr>
        <w:t xml:space="preserve">e Department and elsewhere for taking these forward, such that they should be capable of being implemented.  </w:t>
      </w:r>
    </w:p>
    <w:p w:rsidR="002761CD" w:rsidRDefault="009B1CC5">
      <w:pPr>
        <w:numPr>
          <w:ilvl w:val="0"/>
          <w:numId w:val="2"/>
        </w:numPr>
        <w:spacing w:after="200" w:line="360" w:lineRule="auto"/>
        <w:ind w:hanging="359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Timeframe of the review:  </w:t>
      </w:r>
      <w:r>
        <w:rPr>
          <w:rFonts w:ascii="Calibri" w:eastAsia="Calibri" w:hAnsi="Calibri" w:cs="Calibri"/>
          <w:sz w:val="24"/>
        </w:rPr>
        <w:t xml:space="preserve">The review will continue until February 2015. </w:t>
      </w:r>
    </w:p>
    <w:p w:rsidR="002761CD" w:rsidRDefault="009B1CC5">
      <w:pPr>
        <w:spacing w:after="200" w:line="360" w:lineRule="auto"/>
      </w:pPr>
      <w:r>
        <w:rPr>
          <w:rFonts w:ascii="Calibri" w:eastAsia="Calibri" w:hAnsi="Calibri" w:cs="Calibri"/>
          <w:b/>
          <w:sz w:val="24"/>
        </w:rPr>
        <w:t xml:space="preserve">The Spoliation Advisory Panel </w:t>
      </w:r>
    </w:p>
    <w:p w:rsidR="002761CD" w:rsidRDefault="009B1CC5">
      <w:pPr>
        <w:widowControl w:val="0"/>
        <w:numPr>
          <w:ilvl w:val="1"/>
          <w:numId w:val="3"/>
        </w:numPr>
        <w:spacing w:before="20" w:line="360" w:lineRule="auto"/>
        <w:ind w:hanging="431"/>
        <w:contextualSpacing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The Spoliation Advisory Panel (SAP) was es</w:t>
      </w:r>
      <w:r>
        <w:rPr>
          <w:rFonts w:ascii="Calibri" w:eastAsia="Calibri" w:hAnsi="Calibri" w:cs="Calibri"/>
          <w:sz w:val="24"/>
        </w:rPr>
        <w:t xml:space="preserve">tablished by Government in 2000 to </w:t>
      </w:r>
      <w:proofErr w:type="gramStart"/>
      <w:r>
        <w:rPr>
          <w:rFonts w:ascii="Calibri" w:eastAsia="Calibri" w:hAnsi="Calibri" w:cs="Calibri"/>
          <w:sz w:val="24"/>
        </w:rPr>
        <w:t>advise</w:t>
      </w:r>
      <w:proofErr w:type="gramEnd"/>
      <w:r>
        <w:rPr>
          <w:rFonts w:ascii="Calibri" w:eastAsia="Calibri" w:hAnsi="Calibri" w:cs="Calibri"/>
          <w:sz w:val="24"/>
        </w:rPr>
        <w:t xml:space="preserve"> on appropriate solutions to claims made for the return of cultural objects in the possession of UK museums and galleries that were lost during the Nazi era (1933-1945).  </w:t>
      </w:r>
    </w:p>
    <w:p w:rsidR="002761CD" w:rsidRDefault="002761CD">
      <w:pPr>
        <w:widowControl w:val="0"/>
        <w:spacing w:before="20" w:line="360" w:lineRule="auto"/>
        <w:ind w:left="792"/>
      </w:pPr>
    </w:p>
    <w:p w:rsidR="002761CD" w:rsidRDefault="009B1CC5">
      <w:pPr>
        <w:widowControl w:val="0"/>
        <w:spacing w:before="20" w:line="360" w:lineRule="auto"/>
      </w:pPr>
      <w:r>
        <w:rPr>
          <w:rFonts w:ascii="Calibri" w:eastAsia="Calibri" w:hAnsi="Calibri" w:cs="Calibri"/>
          <w:b/>
          <w:sz w:val="24"/>
        </w:rPr>
        <w:t>The Scope of the Review: Key consideration</w:t>
      </w:r>
      <w:r>
        <w:rPr>
          <w:rFonts w:ascii="Calibri" w:eastAsia="Calibri" w:hAnsi="Calibri" w:cs="Calibri"/>
          <w:b/>
          <w:sz w:val="24"/>
        </w:rPr>
        <w:t>s</w:t>
      </w:r>
    </w:p>
    <w:p w:rsidR="002761CD" w:rsidRDefault="009B1CC5">
      <w:pPr>
        <w:spacing w:after="200"/>
      </w:pPr>
      <w:r>
        <w:rPr>
          <w:rFonts w:ascii="Calibri" w:eastAsia="Calibri" w:hAnsi="Calibri" w:cs="Calibri"/>
          <w:sz w:val="24"/>
        </w:rPr>
        <w:t xml:space="preserve">The review will make recommendations around some of the following </w:t>
      </w:r>
      <w:proofErr w:type="gramStart"/>
      <w:r>
        <w:rPr>
          <w:rFonts w:ascii="Calibri" w:eastAsia="Calibri" w:hAnsi="Calibri" w:cs="Calibri"/>
          <w:sz w:val="24"/>
        </w:rPr>
        <w:t>issues :</w:t>
      </w:r>
      <w:proofErr w:type="gramEnd"/>
    </w:p>
    <w:p w:rsidR="002761CD" w:rsidRDefault="009B1CC5">
      <w:pPr>
        <w:spacing w:after="200"/>
        <w:ind w:firstLine="720"/>
      </w:pPr>
      <w:r>
        <w:rPr>
          <w:rFonts w:ascii="Calibri" w:eastAsia="Calibri" w:hAnsi="Calibri" w:cs="Calibri"/>
          <w:b/>
          <w:sz w:val="24"/>
        </w:rPr>
        <w:t>Membership of the Panel</w:t>
      </w:r>
      <w:r>
        <w:rPr>
          <w:rFonts w:ascii="Calibri" w:eastAsia="Calibri" w:hAnsi="Calibri" w:cs="Calibri"/>
          <w:sz w:val="24"/>
        </w:rPr>
        <w:t xml:space="preserve">: </w:t>
      </w:r>
    </w:p>
    <w:p w:rsidR="002761CD" w:rsidRDefault="009B1CC5">
      <w:pPr>
        <w:numPr>
          <w:ilvl w:val="2"/>
          <w:numId w:val="1"/>
        </w:numPr>
        <w:spacing w:after="200"/>
        <w:ind w:hanging="503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Membership and composition of the Panel</w:t>
      </w:r>
    </w:p>
    <w:p w:rsidR="002761CD" w:rsidRDefault="009B1CC5">
      <w:pPr>
        <w:numPr>
          <w:ilvl w:val="2"/>
          <w:numId w:val="1"/>
        </w:numPr>
        <w:spacing w:after="200"/>
        <w:ind w:hanging="503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Appointment process </w:t>
      </w:r>
    </w:p>
    <w:p w:rsidR="002761CD" w:rsidRDefault="009B1CC5">
      <w:pPr>
        <w:numPr>
          <w:ilvl w:val="2"/>
          <w:numId w:val="1"/>
        </w:numPr>
        <w:spacing w:after="200"/>
        <w:ind w:hanging="503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Skills and qualifications </w:t>
      </w:r>
    </w:p>
    <w:p w:rsidR="002761CD" w:rsidRDefault="009B1CC5">
      <w:pPr>
        <w:spacing w:after="200"/>
        <w:ind w:left="720"/>
      </w:pPr>
      <w:r>
        <w:rPr>
          <w:rFonts w:ascii="Calibri" w:eastAsia="Calibri" w:hAnsi="Calibri" w:cs="Calibri"/>
          <w:b/>
          <w:sz w:val="24"/>
        </w:rPr>
        <w:t xml:space="preserve">Working relationships and external relationships: </w:t>
      </w:r>
    </w:p>
    <w:p w:rsidR="002761CD" w:rsidRDefault="009B1CC5">
      <w:pPr>
        <w:numPr>
          <w:ilvl w:val="2"/>
          <w:numId w:val="1"/>
        </w:numPr>
        <w:spacing w:after="200"/>
        <w:ind w:hanging="503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Format</w:t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of repo</w:t>
      </w:r>
      <w:r>
        <w:rPr>
          <w:rFonts w:ascii="Calibri" w:eastAsia="Calibri" w:hAnsi="Calibri" w:cs="Calibri"/>
          <w:sz w:val="24"/>
        </w:rPr>
        <w:t>rt</w:t>
      </w:r>
    </w:p>
    <w:p w:rsidR="002761CD" w:rsidRDefault="009B1CC5">
      <w:pPr>
        <w:numPr>
          <w:ilvl w:val="2"/>
          <w:numId w:val="1"/>
        </w:numPr>
        <w:spacing w:after="200"/>
        <w:ind w:hanging="503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Methods of contact</w:t>
      </w:r>
    </w:p>
    <w:p w:rsidR="002761CD" w:rsidRDefault="009B1CC5">
      <w:pPr>
        <w:numPr>
          <w:ilvl w:val="2"/>
          <w:numId w:val="1"/>
        </w:numPr>
        <w:spacing w:after="200"/>
        <w:ind w:hanging="503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Evidence submission</w:t>
      </w:r>
    </w:p>
    <w:p w:rsidR="002761CD" w:rsidRDefault="009B1CC5">
      <w:pPr>
        <w:spacing w:after="200"/>
        <w:ind w:left="720"/>
      </w:pPr>
      <w:r>
        <w:rPr>
          <w:rFonts w:ascii="Calibri" w:eastAsia="Calibri" w:hAnsi="Calibri" w:cs="Calibri"/>
          <w:b/>
          <w:sz w:val="24"/>
        </w:rPr>
        <w:t xml:space="preserve">Terms of reference and rules of procedure: </w:t>
      </w:r>
    </w:p>
    <w:p w:rsidR="002761CD" w:rsidRDefault="009B1CC5">
      <w:pPr>
        <w:numPr>
          <w:ilvl w:val="2"/>
          <w:numId w:val="1"/>
        </w:numPr>
        <w:spacing w:after="200"/>
        <w:ind w:hanging="503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Scope of the claims</w:t>
      </w:r>
    </w:p>
    <w:p w:rsidR="002761CD" w:rsidRDefault="009B1CC5">
      <w:pPr>
        <w:numPr>
          <w:ilvl w:val="2"/>
          <w:numId w:val="1"/>
        </w:numPr>
        <w:spacing w:after="200"/>
        <w:ind w:hanging="503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Confidentiality</w:t>
      </w:r>
    </w:p>
    <w:p w:rsidR="002761CD" w:rsidRDefault="009B1CC5">
      <w:pPr>
        <w:numPr>
          <w:ilvl w:val="2"/>
          <w:numId w:val="1"/>
        </w:numPr>
        <w:spacing w:after="200"/>
        <w:ind w:hanging="503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Issues of jurisdiction</w:t>
      </w:r>
    </w:p>
    <w:p w:rsidR="002761CD" w:rsidRDefault="009B1CC5">
      <w:pPr>
        <w:numPr>
          <w:ilvl w:val="2"/>
          <w:numId w:val="1"/>
        </w:numPr>
        <w:spacing w:after="200"/>
        <w:ind w:hanging="503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Holocaust Act</w:t>
      </w:r>
    </w:p>
    <w:p w:rsidR="002761CD" w:rsidRDefault="009B1CC5">
      <w:pPr>
        <w:numPr>
          <w:ilvl w:val="2"/>
          <w:numId w:val="1"/>
        </w:numPr>
        <w:spacing w:after="200"/>
        <w:ind w:hanging="503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Evidence submission</w:t>
      </w:r>
    </w:p>
    <w:p w:rsidR="002761CD" w:rsidRDefault="009B1CC5">
      <w:pPr>
        <w:numPr>
          <w:ilvl w:val="2"/>
          <w:numId w:val="1"/>
        </w:numPr>
        <w:spacing w:after="200"/>
        <w:ind w:hanging="503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Reporting</w:t>
      </w:r>
    </w:p>
    <w:p w:rsidR="002761CD" w:rsidRDefault="009B1CC5">
      <w:pPr>
        <w:spacing w:after="200"/>
        <w:ind w:left="720"/>
      </w:pPr>
      <w:r>
        <w:rPr>
          <w:rFonts w:ascii="Calibri" w:eastAsia="Calibri" w:hAnsi="Calibri" w:cs="Calibri"/>
          <w:b/>
          <w:sz w:val="24"/>
        </w:rPr>
        <w:t xml:space="preserve">Secretariat and relation with department: </w:t>
      </w:r>
    </w:p>
    <w:p w:rsidR="002761CD" w:rsidRDefault="009B1CC5">
      <w:pPr>
        <w:numPr>
          <w:ilvl w:val="2"/>
          <w:numId w:val="1"/>
        </w:numPr>
        <w:spacing w:after="200"/>
        <w:ind w:hanging="503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Delegation of secretariat </w:t>
      </w:r>
    </w:p>
    <w:p w:rsidR="002761CD" w:rsidRDefault="009B1CC5">
      <w:pPr>
        <w:numPr>
          <w:ilvl w:val="2"/>
          <w:numId w:val="1"/>
        </w:numPr>
        <w:spacing w:after="200"/>
        <w:ind w:hanging="503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Role of secretariat</w:t>
      </w:r>
    </w:p>
    <w:p w:rsidR="002761CD" w:rsidRDefault="009B1CC5">
      <w:pPr>
        <w:spacing w:after="200"/>
        <w:ind w:left="720"/>
      </w:pPr>
      <w:r>
        <w:rPr>
          <w:rFonts w:ascii="Calibri" w:eastAsia="Calibri" w:hAnsi="Calibri" w:cs="Calibri"/>
          <w:b/>
          <w:sz w:val="24"/>
        </w:rPr>
        <w:t xml:space="preserve">Funding and resourcing: </w:t>
      </w:r>
    </w:p>
    <w:p w:rsidR="002761CD" w:rsidRDefault="009B1CC5">
      <w:pPr>
        <w:numPr>
          <w:ilvl w:val="2"/>
          <w:numId w:val="4"/>
        </w:numPr>
        <w:spacing w:after="200"/>
        <w:ind w:hanging="503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Resources</w:t>
      </w:r>
    </w:p>
    <w:p w:rsidR="002761CD" w:rsidRDefault="009B1CC5">
      <w:pPr>
        <w:numPr>
          <w:ilvl w:val="2"/>
          <w:numId w:val="4"/>
        </w:numPr>
        <w:spacing w:after="200"/>
        <w:ind w:hanging="503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Claims</w:t>
      </w:r>
    </w:p>
    <w:p w:rsidR="002761CD" w:rsidRDefault="009B1CC5">
      <w:pPr>
        <w:numPr>
          <w:ilvl w:val="2"/>
          <w:numId w:val="4"/>
        </w:numPr>
        <w:spacing w:after="200"/>
        <w:ind w:hanging="503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Reimbursement</w:t>
      </w:r>
    </w:p>
    <w:p w:rsidR="002761CD" w:rsidRDefault="009B1CC5">
      <w:pPr>
        <w:numPr>
          <w:ilvl w:val="2"/>
          <w:numId w:val="4"/>
        </w:numPr>
        <w:spacing w:after="200"/>
        <w:ind w:hanging="503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Legal support</w:t>
      </w:r>
    </w:p>
    <w:sectPr w:rsidR="002761CD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liss">
    <w:panose1 w:val="00000400000000000000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E0586"/>
    <w:multiLevelType w:val="multilevel"/>
    <w:tmpl w:val="3DDEECB8"/>
    <w:lvl w:ilvl="0">
      <w:start w:val="2"/>
      <w:numFmt w:val="bullet"/>
      <w:lvlText w:val="●"/>
      <w:lvlJc w:val="left"/>
      <w:pPr>
        <w:ind w:left="360" w:firstLine="0"/>
      </w:pPr>
    </w:lvl>
    <w:lvl w:ilvl="1">
      <w:start w:val="1"/>
      <w:numFmt w:val="bullet"/>
      <w:lvlText w:val="●"/>
      <w:lvlJc w:val="left"/>
      <w:pPr>
        <w:ind w:left="792" w:firstLine="360"/>
      </w:pPr>
    </w:lvl>
    <w:lvl w:ilvl="2">
      <w:start w:val="1"/>
      <w:numFmt w:val="bullet"/>
      <w:lvlText w:val="■"/>
      <w:lvlJc w:val="left"/>
      <w:pPr>
        <w:ind w:left="1224" w:firstLine="720"/>
      </w:pPr>
      <w:rPr>
        <w:b/>
      </w:rPr>
    </w:lvl>
    <w:lvl w:ilvl="3">
      <w:start w:val="1"/>
      <w:numFmt w:val="bullet"/>
      <w:lvlText w:val="●"/>
      <w:lvlJc w:val="left"/>
      <w:pPr>
        <w:ind w:left="1728" w:firstLine="1080"/>
      </w:pPr>
    </w:lvl>
    <w:lvl w:ilvl="4">
      <w:start w:val="1"/>
      <w:numFmt w:val="bullet"/>
      <w:lvlText w:val="○"/>
      <w:lvlJc w:val="left"/>
      <w:pPr>
        <w:ind w:left="2232" w:firstLine="1440"/>
      </w:pPr>
    </w:lvl>
    <w:lvl w:ilvl="5">
      <w:start w:val="1"/>
      <w:numFmt w:val="bullet"/>
      <w:lvlText w:val="■"/>
      <w:lvlJc w:val="left"/>
      <w:pPr>
        <w:ind w:left="2736" w:firstLine="1800"/>
      </w:pPr>
    </w:lvl>
    <w:lvl w:ilvl="6">
      <w:start w:val="1"/>
      <w:numFmt w:val="bullet"/>
      <w:lvlText w:val="●"/>
      <w:lvlJc w:val="left"/>
      <w:pPr>
        <w:ind w:left="3240" w:firstLine="2160"/>
      </w:pPr>
    </w:lvl>
    <w:lvl w:ilvl="7">
      <w:start w:val="1"/>
      <w:numFmt w:val="bullet"/>
      <w:lvlText w:val="○"/>
      <w:lvlJc w:val="left"/>
      <w:pPr>
        <w:ind w:left="3744" w:firstLine="2520"/>
      </w:pPr>
    </w:lvl>
    <w:lvl w:ilvl="8">
      <w:start w:val="1"/>
      <w:numFmt w:val="bullet"/>
      <w:lvlText w:val="■"/>
      <w:lvlJc w:val="left"/>
      <w:pPr>
        <w:ind w:left="4320" w:firstLine="2880"/>
      </w:pPr>
    </w:lvl>
  </w:abstractNum>
  <w:abstractNum w:abstractNumId="1">
    <w:nsid w:val="21851B0E"/>
    <w:multiLevelType w:val="multilevel"/>
    <w:tmpl w:val="29667D32"/>
    <w:lvl w:ilvl="0">
      <w:start w:val="3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○"/>
      <w:lvlJc w:val="left"/>
      <w:pPr>
        <w:ind w:left="792" w:firstLine="360"/>
      </w:pPr>
      <w:rPr>
        <w:b/>
      </w:rPr>
    </w:lvl>
    <w:lvl w:ilvl="2">
      <w:start w:val="1"/>
      <w:numFmt w:val="bullet"/>
      <w:lvlText w:val="●"/>
      <w:lvlJc w:val="left"/>
      <w:pPr>
        <w:ind w:left="1224" w:firstLine="720"/>
      </w:pPr>
      <w:rPr>
        <w:b/>
      </w:rPr>
    </w:lvl>
    <w:lvl w:ilvl="3">
      <w:start w:val="1"/>
      <w:numFmt w:val="decimal"/>
      <w:lvlText w:val="%1.○.●.%4."/>
      <w:lvlJc w:val="left"/>
      <w:pPr>
        <w:ind w:left="1728" w:firstLine="1080"/>
      </w:pPr>
    </w:lvl>
    <w:lvl w:ilvl="4">
      <w:start w:val="1"/>
      <w:numFmt w:val="decimal"/>
      <w:lvlText w:val="%1.○.●.%4.%5."/>
      <w:lvlJc w:val="left"/>
      <w:pPr>
        <w:ind w:left="2232" w:firstLine="1440"/>
      </w:pPr>
    </w:lvl>
    <w:lvl w:ilvl="5">
      <w:start w:val="1"/>
      <w:numFmt w:val="decimal"/>
      <w:lvlText w:val="%1.○.●.%4.%5.%6."/>
      <w:lvlJc w:val="left"/>
      <w:pPr>
        <w:ind w:left="2736" w:firstLine="1800"/>
      </w:pPr>
    </w:lvl>
    <w:lvl w:ilvl="6">
      <w:start w:val="1"/>
      <w:numFmt w:val="decimal"/>
      <w:lvlText w:val="%1.○.●.%4.%5.%6.%7."/>
      <w:lvlJc w:val="left"/>
      <w:pPr>
        <w:ind w:left="3240" w:firstLine="2160"/>
      </w:pPr>
    </w:lvl>
    <w:lvl w:ilvl="7">
      <w:start w:val="1"/>
      <w:numFmt w:val="decimal"/>
      <w:lvlText w:val="%1.○.●.%4.%5.%6.%7.%8."/>
      <w:lvlJc w:val="left"/>
      <w:pPr>
        <w:ind w:left="3744" w:firstLine="2520"/>
      </w:pPr>
    </w:lvl>
    <w:lvl w:ilvl="8">
      <w:start w:val="1"/>
      <w:numFmt w:val="decimal"/>
      <w:lvlText w:val="%1.○.●.%4.%5.%6.%7.%8.%9."/>
      <w:lvlJc w:val="left"/>
      <w:pPr>
        <w:ind w:left="4320" w:firstLine="2880"/>
      </w:pPr>
    </w:lvl>
  </w:abstractNum>
  <w:abstractNum w:abstractNumId="2">
    <w:nsid w:val="473172B6"/>
    <w:multiLevelType w:val="multilevel"/>
    <w:tmpl w:val="204E96F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7A1C5199"/>
    <w:multiLevelType w:val="multilevel"/>
    <w:tmpl w:val="678CF2C6"/>
    <w:lvl w:ilvl="0">
      <w:start w:val="3"/>
      <w:numFmt w:val="bullet"/>
      <w:lvlText w:val="●"/>
      <w:lvlJc w:val="left"/>
      <w:pPr>
        <w:ind w:left="360" w:firstLine="0"/>
      </w:pPr>
    </w:lvl>
    <w:lvl w:ilvl="1">
      <w:start w:val="1"/>
      <w:numFmt w:val="bullet"/>
      <w:lvlText w:val="○"/>
      <w:lvlJc w:val="left"/>
      <w:pPr>
        <w:ind w:left="792" w:firstLine="360"/>
      </w:pPr>
      <w:rPr>
        <w:b/>
      </w:rPr>
    </w:lvl>
    <w:lvl w:ilvl="2">
      <w:start w:val="1"/>
      <w:numFmt w:val="bullet"/>
      <w:lvlText w:val="●"/>
      <w:lvlJc w:val="left"/>
      <w:pPr>
        <w:ind w:left="1224" w:firstLine="720"/>
      </w:pPr>
      <w:rPr>
        <w:b/>
      </w:rPr>
    </w:lvl>
    <w:lvl w:ilvl="3">
      <w:start w:val="1"/>
      <w:numFmt w:val="bullet"/>
      <w:lvlText w:val="●"/>
      <w:lvlJc w:val="left"/>
      <w:pPr>
        <w:ind w:left="1728" w:firstLine="1080"/>
      </w:pPr>
    </w:lvl>
    <w:lvl w:ilvl="4">
      <w:start w:val="1"/>
      <w:numFmt w:val="bullet"/>
      <w:lvlText w:val="○"/>
      <w:lvlJc w:val="left"/>
      <w:pPr>
        <w:ind w:left="2232" w:firstLine="1440"/>
      </w:pPr>
    </w:lvl>
    <w:lvl w:ilvl="5">
      <w:start w:val="1"/>
      <w:numFmt w:val="bullet"/>
      <w:lvlText w:val="■"/>
      <w:lvlJc w:val="left"/>
      <w:pPr>
        <w:ind w:left="2736" w:firstLine="1800"/>
      </w:pPr>
    </w:lvl>
    <w:lvl w:ilvl="6">
      <w:start w:val="1"/>
      <w:numFmt w:val="bullet"/>
      <w:lvlText w:val="●"/>
      <w:lvlJc w:val="left"/>
      <w:pPr>
        <w:ind w:left="3240" w:firstLine="2160"/>
      </w:pPr>
    </w:lvl>
    <w:lvl w:ilvl="7">
      <w:start w:val="1"/>
      <w:numFmt w:val="bullet"/>
      <w:lvlText w:val="○"/>
      <w:lvlJc w:val="left"/>
      <w:pPr>
        <w:ind w:left="3744" w:firstLine="2520"/>
      </w:pPr>
    </w:lvl>
    <w:lvl w:ilvl="8">
      <w:start w:val="1"/>
      <w:numFmt w:val="bullet"/>
      <w:lvlText w:val="■"/>
      <w:lvlJc w:val="left"/>
      <w:pPr>
        <w:ind w:left="4320" w:firstLine="28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761CD"/>
    <w:rsid w:val="002761CD"/>
    <w:rsid w:val="009B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1331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Redacted version of SAP review ToR.docx</vt:lpstr>
    </vt:vector>
  </TitlesOfParts>
  <Company>DCMS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Redacted version of SAP review ToR.docx</dc:title>
  <dc:creator>CALNAN ANDREW</dc:creator>
  <cp:lastModifiedBy>CALNAN ANDREW</cp:lastModifiedBy>
  <cp:revision>2</cp:revision>
  <dcterms:created xsi:type="dcterms:W3CDTF">2014-12-11T10:10:00Z</dcterms:created>
  <dcterms:modified xsi:type="dcterms:W3CDTF">2014-12-11T10:10:00Z</dcterms:modified>
</cp:coreProperties>
</file>