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1A" w:rsidRDefault="00AF081A" w:rsidP="00AF081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236C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38C1EE" wp14:editId="14749C5C">
            <wp:simplePos x="0" y="0"/>
            <wp:positionH relativeFrom="column">
              <wp:posOffset>-121285</wp:posOffset>
            </wp:positionH>
            <wp:positionV relativeFrom="paragraph">
              <wp:posOffset>-563245</wp:posOffset>
            </wp:positionV>
            <wp:extent cx="1200150" cy="714375"/>
            <wp:effectExtent l="0" t="0" r="0" b="9525"/>
            <wp:wrapSquare wrapText="bothSides"/>
            <wp:docPr id="4" name="Picture 3" descr="\\communities\sites\SMCPCS\Lists\WorkplaceDocuments\Commission set-up and ops\Social Mobility and Child Poverty Commission 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\\communities\sites\SMCPCS\Lists\WorkplaceDocuments\Commission set-up and ops\Social Mobility and Child Poverty Commission 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14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F081A" w:rsidRDefault="00AF081A" w:rsidP="00AF081A">
      <w:pPr>
        <w:spacing w:after="0" w:line="240" w:lineRule="auto"/>
        <w:jc w:val="center"/>
        <w:rPr>
          <w:rFonts w:ascii="Arial" w:hAnsi="Arial" w:cs="Arial"/>
          <w:b/>
        </w:rPr>
      </w:pPr>
    </w:p>
    <w:p w:rsidR="009602AE" w:rsidRDefault="009602AE" w:rsidP="00ED753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Tenders</w:t>
      </w:r>
      <w:r w:rsidR="00AF081A" w:rsidRPr="00A16146">
        <w:rPr>
          <w:rFonts w:ascii="Arial" w:hAnsi="Arial" w:cs="Arial"/>
          <w:b/>
        </w:rPr>
        <w:t xml:space="preserve"> sought for research </w:t>
      </w:r>
      <w:r>
        <w:rPr>
          <w:rFonts w:ascii="Arial" w:hAnsi="Arial" w:cs="Arial"/>
          <w:b/>
        </w:rPr>
        <w:t>project</w:t>
      </w:r>
    </w:p>
    <w:p w:rsidR="009602AE" w:rsidRDefault="009602AE" w:rsidP="00ED7539">
      <w:pPr>
        <w:spacing w:after="0" w:line="240" w:lineRule="auto"/>
        <w:jc w:val="center"/>
        <w:rPr>
          <w:rFonts w:ascii="Arial" w:hAnsi="Arial" w:cs="Arial"/>
          <w:b/>
        </w:rPr>
      </w:pPr>
    </w:p>
    <w:p w:rsidR="00B17BA0" w:rsidRPr="00A16146" w:rsidRDefault="006C0345" w:rsidP="00ED7539">
      <w:pPr>
        <w:spacing w:after="0" w:line="240" w:lineRule="auto"/>
        <w:jc w:val="center"/>
        <w:rPr>
          <w:rFonts w:ascii="Arial" w:hAnsi="Arial" w:cs="Arial"/>
          <w:b/>
        </w:rPr>
      </w:pPr>
      <w:r w:rsidRPr="00A16146">
        <w:rPr>
          <w:rFonts w:ascii="Arial" w:hAnsi="Arial" w:cs="Arial"/>
          <w:b/>
        </w:rPr>
        <w:t>Downward Mobility, Opportunity Hoarding and the “Glass Floor”</w:t>
      </w:r>
    </w:p>
    <w:p w:rsidR="00AC6663" w:rsidRDefault="00AC6663" w:rsidP="00AF081A">
      <w:pPr>
        <w:spacing w:after="0" w:line="240" w:lineRule="auto"/>
        <w:rPr>
          <w:rFonts w:ascii="Arial" w:hAnsi="Arial" w:cs="Arial"/>
          <w:b/>
        </w:rPr>
      </w:pPr>
    </w:p>
    <w:p w:rsidR="00AF081A" w:rsidRDefault="00AF081A" w:rsidP="00AF081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Overview</w:t>
      </w:r>
    </w:p>
    <w:p w:rsidR="00AF081A" w:rsidRDefault="00AF081A" w:rsidP="00AF081A">
      <w:pPr>
        <w:spacing w:after="0" w:line="240" w:lineRule="auto"/>
        <w:rPr>
          <w:rFonts w:ascii="Arial" w:hAnsi="Arial" w:cs="Arial"/>
          <w:b/>
        </w:rPr>
      </w:pPr>
    </w:p>
    <w:p w:rsidR="00773ABE" w:rsidRDefault="00AF081A" w:rsidP="00773A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Social Mobility &amp; Child Poverty Commission</w:t>
      </w:r>
      <w:r w:rsidR="00AC6663">
        <w:rPr>
          <w:rFonts w:ascii="Arial" w:hAnsi="Arial" w:cs="Arial"/>
        </w:rPr>
        <w:t xml:space="preserve"> (</w:t>
      </w:r>
      <w:hyperlink r:id="rId9" w:history="1">
        <w:r w:rsidR="00AC6663" w:rsidRPr="00072C4D">
          <w:rPr>
            <w:rStyle w:val="Hyperlink"/>
            <w:rFonts w:ascii="Arial" w:hAnsi="Arial" w:cs="Arial"/>
          </w:rPr>
          <w:t>www.gov.uk/smcpc</w:t>
        </w:r>
      </w:hyperlink>
      <w:r w:rsidR="00AC666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is </w:t>
      </w:r>
      <w:r w:rsidR="00AC6663">
        <w:rPr>
          <w:rFonts w:ascii="Arial" w:hAnsi="Arial" w:cs="Arial"/>
        </w:rPr>
        <w:t xml:space="preserve">inviting proposals </w:t>
      </w:r>
      <w:r w:rsidR="0004517E">
        <w:rPr>
          <w:rFonts w:ascii="Arial" w:hAnsi="Arial" w:cs="Arial"/>
        </w:rPr>
        <w:t>for research into</w:t>
      </w:r>
      <w:r w:rsidR="00A44A44">
        <w:rPr>
          <w:rFonts w:ascii="Arial" w:hAnsi="Arial" w:cs="Arial"/>
        </w:rPr>
        <w:t xml:space="preserve"> the relationship between socio-economic background, cognitive and non-cognitive skills, and </w:t>
      </w:r>
      <w:r w:rsidR="006C0345">
        <w:rPr>
          <w:rFonts w:ascii="Arial" w:hAnsi="Arial" w:cs="Arial"/>
        </w:rPr>
        <w:t xml:space="preserve">adult </w:t>
      </w:r>
      <w:r w:rsidR="00AC6663">
        <w:rPr>
          <w:rFonts w:ascii="Arial" w:hAnsi="Arial" w:cs="Arial"/>
        </w:rPr>
        <w:t>job</w:t>
      </w:r>
      <w:r w:rsidR="006C0345">
        <w:rPr>
          <w:rFonts w:ascii="Arial" w:hAnsi="Arial" w:cs="Arial"/>
        </w:rPr>
        <w:t xml:space="preserve"> </w:t>
      </w:r>
      <w:r w:rsidR="00A16146">
        <w:rPr>
          <w:rFonts w:ascii="Arial" w:hAnsi="Arial" w:cs="Arial"/>
        </w:rPr>
        <w:t>outcomes</w:t>
      </w:r>
      <w:r w:rsidR="006C0345">
        <w:rPr>
          <w:rFonts w:ascii="Arial" w:hAnsi="Arial" w:cs="Arial"/>
        </w:rPr>
        <w:t xml:space="preserve">. </w:t>
      </w:r>
      <w:r w:rsidR="00773ABE">
        <w:rPr>
          <w:rFonts w:ascii="Arial" w:hAnsi="Arial" w:cs="Arial"/>
        </w:rPr>
        <w:t>This research forms part of the Social Mobility &amp; Child Poverty Commission’s role as an advocate for social mobility in the UK.</w:t>
      </w:r>
      <w:r w:rsidR="00773ABE" w:rsidRPr="00A16146">
        <w:rPr>
          <w:rFonts w:ascii="Arial" w:hAnsi="Arial" w:cs="Arial"/>
        </w:rPr>
        <w:t xml:space="preserve"> </w:t>
      </w:r>
    </w:p>
    <w:p w:rsidR="00073C68" w:rsidRDefault="00073C68" w:rsidP="00AF081A">
      <w:pPr>
        <w:spacing w:after="0" w:line="240" w:lineRule="auto"/>
        <w:rPr>
          <w:rFonts w:ascii="Arial" w:hAnsi="Arial" w:cs="Arial"/>
        </w:rPr>
      </w:pPr>
    </w:p>
    <w:p w:rsidR="00AC6663" w:rsidRDefault="0004517E" w:rsidP="00AF08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purpose of this work</w:t>
      </w:r>
      <w:r w:rsidR="00AC6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A44A44">
        <w:rPr>
          <w:rFonts w:ascii="Arial" w:hAnsi="Arial" w:cs="Arial"/>
        </w:rPr>
        <w:t xml:space="preserve">to </w:t>
      </w:r>
      <w:r w:rsidR="00B54868">
        <w:rPr>
          <w:rFonts w:ascii="Arial" w:hAnsi="Arial" w:cs="Arial"/>
        </w:rPr>
        <w:t>understand</w:t>
      </w:r>
      <w:r w:rsidR="00AC6663">
        <w:rPr>
          <w:rFonts w:ascii="Arial" w:hAnsi="Arial" w:cs="Arial"/>
        </w:rPr>
        <w:t xml:space="preserve"> </w:t>
      </w:r>
      <w:r w:rsidR="00BD4044">
        <w:rPr>
          <w:rFonts w:ascii="Arial" w:hAnsi="Arial" w:cs="Arial"/>
        </w:rPr>
        <w:t>why some people from advantaged backgrounds succeed in the labour market despite apparent low ability</w:t>
      </w:r>
      <w:r>
        <w:rPr>
          <w:rFonts w:ascii="Arial" w:hAnsi="Arial" w:cs="Arial"/>
        </w:rPr>
        <w:t xml:space="preserve"> or few</w:t>
      </w:r>
      <w:r w:rsidR="0097551C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academic achievements.</w:t>
      </w:r>
      <w:r w:rsidR="00BD4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Conversely, t</w:t>
      </w:r>
      <w:r w:rsidR="00AC6663">
        <w:rPr>
          <w:rFonts w:ascii="Arial" w:hAnsi="Arial" w:cs="Arial"/>
        </w:rPr>
        <w:t xml:space="preserve">he research should </w:t>
      </w:r>
      <w:r w:rsidR="00B54868">
        <w:rPr>
          <w:rFonts w:ascii="Arial" w:hAnsi="Arial" w:cs="Arial"/>
        </w:rPr>
        <w:t>examine</w:t>
      </w:r>
      <w:r w:rsidR="00AC6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why</w:t>
      </w:r>
      <w:r w:rsidR="00AC6663">
        <w:rPr>
          <w:rFonts w:ascii="Arial" w:hAnsi="Arial" w:cs="Arial"/>
        </w:rPr>
        <w:t xml:space="preserve"> some people from disadvantaged backgrounds do not succeed, despite </w:t>
      </w:r>
      <w:r>
        <w:rPr>
          <w:rFonts w:ascii="Arial" w:hAnsi="Arial" w:cs="Arial"/>
        </w:rPr>
        <w:t>apparent ability or academic attainment</w:t>
      </w:r>
      <w:r w:rsidR="00AC6663">
        <w:rPr>
          <w:rFonts w:ascii="Arial" w:hAnsi="Arial" w:cs="Arial"/>
        </w:rPr>
        <w:t>.</w:t>
      </w:r>
      <w:r w:rsidR="00A44A44">
        <w:rPr>
          <w:rFonts w:ascii="Arial" w:hAnsi="Arial" w:cs="Arial"/>
        </w:rPr>
        <w:t xml:space="preserve"> These different outcomes should be explained </w:t>
      </w:r>
      <w:r w:rsidR="00B54868">
        <w:rPr>
          <w:rFonts w:ascii="Arial" w:hAnsi="Arial" w:cs="Arial"/>
        </w:rPr>
        <w:t xml:space="preserve">in terms of </w:t>
      </w:r>
      <w:r>
        <w:rPr>
          <w:rFonts w:ascii="Arial" w:hAnsi="Arial" w:cs="Arial"/>
        </w:rPr>
        <w:t xml:space="preserve">correlations with </w:t>
      </w:r>
      <w:r w:rsidR="00B54868">
        <w:rPr>
          <w:rFonts w:ascii="Arial" w:hAnsi="Arial" w:cs="Arial"/>
        </w:rPr>
        <w:t xml:space="preserve">individual characteristics </w:t>
      </w:r>
      <w:r w:rsidR="00A44A44">
        <w:rPr>
          <w:rFonts w:ascii="Arial" w:hAnsi="Arial" w:cs="Arial"/>
        </w:rPr>
        <w:t xml:space="preserve">using </w:t>
      </w:r>
      <w:r w:rsidR="00B54868">
        <w:rPr>
          <w:rFonts w:ascii="Arial" w:hAnsi="Arial" w:cs="Arial"/>
        </w:rPr>
        <w:t xml:space="preserve">longitudinal </w:t>
      </w:r>
      <w:r w:rsidR="00A44A44">
        <w:rPr>
          <w:rFonts w:ascii="Arial" w:hAnsi="Arial" w:cs="Arial"/>
        </w:rPr>
        <w:t>cohort study data</w:t>
      </w:r>
      <w:r w:rsidR="00B54868">
        <w:rPr>
          <w:rFonts w:ascii="Arial" w:hAnsi="Arial" w:cs="Arial"/>
        </w:rPr>
        <w:t>.</w:t>
      </w:r>
      <w:r w:rsidR="00A44A44">
        <w:rPr>
          <w:rFonts w:ascii="Arial" w:hAnsi="Arial" w:cs="Arial"/>
        </w:rPr>
        <w:t xml:space="preserve"> </w:t>
      </w:r>
    </w:p>
    <w:p w:rsidR="00AC6663" w:rsidRDefault="00AC6663" w:rsidP="00AF081A">
      <w:pPr>
        <w:spacing w:after="0" w:line="240" w:lineRule="auto"/>
        <w:rPr>
          <w:rFonts w:ascii="Arial" w:hAnsi="Arial" w:cs="Arial"/>
        </w:rPr>
      </w:pPr>
    </w:p>
    <w:p w:rsidR="00AF081A" w:rsidRDefault="00AF081A" w:rsidP="00AF08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successful bidder will have a track record of working in this subject area</w:t>
      </w:r>
      <w:r w:rsidR="001B4CD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will </w:t>
      </w:r>
      <w:r w:rsidR="00B54868">
        <w:rPr>
          <w:rFonts w:ascii="Arial" w:hAnsi="Arial" w:cs="Arial"/>
        </w:rPr>
        <w:t>be an individual or group experienced in</w:t>
      </w:r>
      <w:r>
        <w:rPr>
          <w:rFonts w:ascii="Arial" w:hAnsi="Arial" w:cs="Arial"/>
        </w:rPr>
        <w:t xml:space="preserve"> producing </w:t>
      </w:r>
      <w:r w:rsidR="002D479F">
        <w:rPr>
          <w:rFonts w:ascii="Arial" w:hAnsi="Arial" w:cs="Arial"/>
        </w:rPr>
        <w:t>well-evidenced</w:t>
      </w:r>
      <w:r>
        <w:rPr>
          <w:rFonts w:ascii="Arial" w:hAnsi="Arial" w:cs="Arial"/>
        </w:rPr>
        <w:t xml:space="preserve">, newsworthy, conclusions. </w:t>
      </w:r>
    </w:p>
    <w:p w:rsidR="00AF081A" w:rsidRDefault="00AF081A" w:rsidP="00AF081A">
      <w:pPr>
        <w:spacing w:after="0" w:line="240" w:lineRule="auto"/>
        <w:rPr>
          <w:rFonts w:ascii="Arial" w:hAnsi="Arial" w:cs="Arial"/>
        </w:rPr>
      </w:pPr>
    </w:p>
    <w:p w:rsidR="0048548E" w:rsidRDefault="0048548E" w:rsidP="004854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research will be commissioned via a single </w:t>
      </w:r>
      <w:r w:rsidR="00C85C60">
        <w:rPr>
          <w:rFonts w:ascii="Arial" w:hAnsi="Arial" w:cs="Arial"/>
        </w:rPr>
        <w:t>procurement</w:t>
      </w:r>
      <w:r>
        <w:rPr>
          <w:rFonts w:ascii="Arial" w:hAnsi="Arial" w:cs="Arial"/>
        </w:rPr>
        <w:t xml:space="preserve"> phase, for which </w:t>
      </w:r>
      <w:r w:rsidRPr="00AC6663">
        <w:rPr>
          <w:rFonts w:ascii="Arial" w:hAnsi="Arial" w:cs="Arial"/>
        </w:rPr>
        <w:t>succinct</w:t>
      </w:r>
      <w:r>
        <w:rPr>
          <w:rFonts w:ascii="Arial" w:hAnsi="Arial" w:cs="Arial"/>
        </w:rPr>
        <w:t xml:space="preserve"> proposals are invited. Assessment of tenders will be on the basis of the criteria at the end of this document.</w:t>
      </w:r>
      <w:r w:rsidRPr="00AC6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contract between the Commission and the successful bidder will run from the date of issue until no later than the </w:t>
      </w:r>
      <w:r w:rsidR="00C85C60">
        <w:rPr>
          <w:rFonts w:ascii="Arial" w:hAnsi="Arial" w:cs="Arial"/>
        </w:rPr>
        <w:t>middle of March 2015</w:t>
      </w:r>
      <w:r>
        <w:rPr>
          <w:rFonts w:ascii="Arial" w:hAnsi="Arial" w:cs="Arial"/>
        </w:rPr>
        <w:t>.</w:t>
      </w:r>
      <w:r w:rsidRPr="00960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Research will be published on the Commission’s website and should be drafted with Social Mobility &amp; Child Poverty Commission branding and format. </w:t>
      </w:r>
    </w:p>
    <w:p w:rsidR="0048548E" w:rsidRDefault="0048548E" w:rsidP="0048548E">
      <w:pPr>
        <w:spacing w:after="0" w:line="240" w:lineRule="auto"/>
        <w:rPr>
          <w:rFonts w:ascii="Arial" w:hAnsi="Arial" w:cs="Arial"/>
        </w:rPr>
      </w:pPr>
    </w:p>
    <w:p w:rsidR="00AF081A" w:rsidRDefault="00AC6663" w:rsidP="00AF08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Tenders</w:t>
      </w:r>
      <w:r w:rsidR="00AF081A">
        <w:rPr>
          <w:rFonts w:ascii="Arial" w:hAnsi="Arial" w:cs="Arial"/>
        </w:rPr>
        <w:t xml:space="preserve"> should be submitted to </w:t>
      </w:r>
      <w:hyperlink r:id="rId10" w:history="1">
        <w:r w:rsidR="00AF081A" w:rsidRPr="00F86B85">
          <w:rPr>
            <w:rStyle w:val="Hyperlink"/>
            <w:rFonts w:ascii="Arial" w:hAnsi="Arial" w:cs="Arial"/>
          </w:rPr>
          <w:t>contact@smcpcommission.gsi.gov.uk</w:t>
        </w:r>
      </w:hyperlink>
      <w:r w:rsidR="00AF081A">
        <w:rPr>
          <w:rFonts w:ascii="Arial" w:hAnsi="Arial" w:cs="Arial"/>
        </w:rPr>
        <w:t xml:space="preserve"> </w:t>
      </w:r>
      <w:r w:rsidR="009033E3">
        <w:rPr>
          <w:rFonts w:ascii="Arial" w:hAnsi="Arial" w:cs="Arial"/>
        </w:rPr>
        <w:t xml:space="preserve">no later than 17:00 Tuesday </w:t>
      </w:r>
      <w:r w:rsidR="00C85C60">
        <w:rPr>
          <w:rFonts w:ascii="Arial" w:hAnsi="Arial" w:cs="Arial"/>
        </w:rPr>
        <w:t>6 January</w:t>
      </w:r>
      <w:r w:rsidR="009033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They should </w:t>
      </w:r>
      <w:r w:rsidR="009602AE">
        <w:rPr>
          <w:rFonts w:ascii="Arial" w:hAnsi="Arial" w:cs="Arial"/>
        </w:rPr>
        <w:t xml:space="preserve">be in Word or PDF format and </w:t>
      </w:r>
      <w:r>
        <w:rPr>
          <w:rFonts w:ascii="Arial" w:hAnsi="Arial" w:cs="Arial"/>
        </w:rPr>
        <w:t>include:</w:t>
      </w:r>
    </w:p>
    <w:p w:rsidR="00AF081A" w:rsidRDefault="00AF081A" w:rsidP="00AF081A">
      <w:pPr>
        <w:spacing w:after="0" w:line="240" w:lineRule="auto"/>
        <w:rPr>
          <w:rFonts w:ascii="Arial" w:hAnsi="Arial" w:cs="Arial"/>
        </w:rPr>
      </w:pPr>
    </w:p>
    <w:p w:rsidR="0004517E" w:rsidRDefault="00AC6663" w:rsidP="00AF08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Your proposed approach to the research</w:t>
      </w:r>
      <w:r w:rsidR="0004517E">
        <w:rPr>
          <w:rFonts w:ascii="Arial" w:hAnsi="Arial" w:cs="Arial"/>
        </w:rPr>
        <w:t xml:space="preserve"> (2 sides max). You may wish to set out in this section:</w:t>
      </w:r>
    </w:p>
    <w:p w:rsidR="0048548E" w:rsidRDefault="0048548E" w:rsidP="0048548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Overview of analytical approach, including approach to defining ‘higher’ and ‘lower’ socio-economic groups;</w:t>
      </w:r>
    </w:p>
    <w:p w:rsidR="0048548E" w:rsidRPr="0048548E" w:rsidRDefault="0048548E" w:rsidP="0048548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How you can add value and why you should be selected;</w:t>
      </w:r>
    </w:p>
    <w:p w:rsidR="0004517E" w:rsidRDefault="0004517E" w:rsidP="0004517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Proposed datasets</w:t>
      </w:r>
      <w:r w:rsidR="0048548E">
        <w:rPr>
          <w:rFonts w:ascii="Arial" w:hAnsi="Arial" w:cs="Arial"/>
        </w:rPr>
        <w:t>;</w:t>
      </w:r>
    </w:p>
    <w:p w:rsidR="0004517E" w:rsidRDefault="0004517E" w:rsidP="0004517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 individual characteristics your proposals will assess</w:t>
      </w:r>
      <w:r w:rsidR="0048548E">
        <w:rPr>
          <w:rFonts w:ascii="Arial" w:hAnsi="Arial" w:cs="Arial"/>
        </w:rPr>
        <w:t>;</w:t>
      </w:r>
    </w:p>
    <w:p w:rsidR="00AF081A" w:rsidRDefault="0004517E" w:rsidP="0004517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Expected findings</w:t>
      </w:r>
      <w:r w:rsidR="0048548E">
        <w:rPr>
          <w:rFonts w:ascii="Arial" w:hAnsi="Arial" w:cs="Arial"/>
        </w:rPr>
        <w:t>;</w:t>
      </w:r>
    </w:p>
    <w:p w:rsidR="0004517E" w:rsidRDefault="0004517E" w:rsidP="0004517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Timeline for research</w:t>
      </w:r>
      <w:r w:rsidR="009142BE">
        <w:rPr>
          <w:rFonts w:ascii="Arial" w:hAnsi="Arial" w:cs="Arial"/>
        </w:rPr>
        <w:t xml:space="preserve"> and risks</w:t>
      </w:r>
      <w:r w:rsidR="0048548E">
        <w:rPr>
          <w:rFonts w:ascii="Arial" w:hAnsi="Arial" w:cs="Arial"/>
        </w:rPr>
        <w:t>.</w:t>
      </w:r>
    </w:p>
    <w:p w:rsidR="00AF081A" w:rsidRDefault="00AF081A" w:rsidP="00AF081A">
      <w:pPr>
        <w:pStyle w:val="ListParagraph"/>
        <w:rPr>
          <w:rFonts w:ascii="Arial" w:hAnsi="Arial" w:cs="Arial"/>
        </w:rPr>
      </w:pPr>
    </w:p>
    <w:p w:rsidR="00AF081A" w:rsidRDefault="00AC6663" w:rsidP="00AF08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Examples of key relevant experience </w:t>
      </w:r>
      <w:r w:rsidR="0004517E">
        <w:rPr>
          <w:rFonts w:ascii="Arial" w:hAnsi="Arial" w:cs="Arial"/>
        </w:rPr>
        <w:t xml:space="preserve">and  individual/staff expertise and qualifications </w:t>
      </w:r>
      <w:r>
        <w:rPr>
          <w:rFonts w:ascii="Arial" w:hAnsi="Arial" w:cs="Arial"/>
        </w:rPr>
        <w:t>(1</w:t>
      </w:r>
      <w:r w:rsidR="0004517E">
        <w:rPr>
          <w:rFonts w:ascii="Arial" w:hAnsi="Arial" w:cs="Arial"/>
        </w:rPr>
        <w:t>-2</w:t>
      </w:r>
      <w:r>
        <w:rPr>
          <w:rFonts w:ascii="Arial" w:hAnsi="Arial" w:cs="Arial"/>
        </w:rPr>
        <w:t xml:space="preserve"> side</w:t>
      </w:r>
      <w:r w:rsidR="000451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max)</w:t>
      </w:r>
      <w:r w:rsidR="009602AE">
        <w:rPr>
          <w:rFonts w:ascii="Arial" w:hAnsi="Arial" w:cs="Arial"/>
        </w:rPr>
        <w:t>;</w:t>
      </w:r>
    </w:p>
    <w:p w:rsidR="00AC6663" w:rsidRPr="00AC6663" w:rsidRDefault="00AC6663" w:rsidP="00AC6663">
      <w:pPr>
        <w:pStyle w:val="ListParagraph"/>
        <w:rPr>
          <w:rFonts w:ascii="Arial" w:hAnsi="Arial" w:cs="Arial"/>
        </w:rPr>
      </w:pPr>
    </w:p>
    <w:p w:rsidR="00AC6663" w:rsidRDefault="00AC6663" w:rsidP="00AF08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Summary of </w:t>
      </w:r>
      <w:r w:rsidR="009142BE">
        <w:rPr>
          <w:rFonts w:ascii="Arial" w:hAnsi="Arial" w:cs="Arial"/>
        </w:rPr>
        <w:t>cost</w:t>
      </w:r>
      <w:r w:rsidR="000451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 side max)</w:t>
      </w:r>
      <w:r w:rsidR="009602AE">
        <w:rPr>
          <w:rFonts w:ascii="Arial" w:hAnsi="Arial" w:cs="Arial"/>
        </w:rPr>
        <w:t>.</w:t>
      </w:r>
    </w:p>
    <w:p w:rsidR="00AC6663" w:rsidRPr="00AC6663" w:rsidRDefault="00AC6663" w:rsidP="00AC6663">
      <w:pPr>
        <w:pStyle w:val="ListParagraph"/>
        <w:rPr>
          <w:rFonts w:ascii="Arial" w:hAnsi="Arial" w:cs="Arial"/>
        </w:rPr>
      </w:pPr>
    </w:p>
    <w:p w:rsidR="00AC6663" w:rsidRPr="00AC6663" w:rsidRDefault="009602AE" w:rsidP="00AC6663">
      <w:pPr>
        <w:rPr>
          <w:rFonts w:ascii="Arial" w:hAnsi="Arial" w:cs="Arial"/>
        </w:rPr>
      </w:pPr>
      <w:r>
        <w:rPr>
          <w:rFonts w:ascii="Arial" w:hAnsi="Arial" w:cs="Arial"/>
        </w:rPr>
        <w:t>Communication of</w:t>
      </w:r>
      <w:r w:rsidR="00AC6663">
        <w:rPr>
          <w:rFonts w:ascii="Arial" w:hAnsi="Arial" w:cs="Arial"/>
        </w:rPr>
        <w:t xml:space="preserve"> complex information in a </w:t>
      </w:r>
      <w:r>
        <w:rPr>
          <w:rFonts w:ascii="Arial" w:hAnsi="Arial" w:cs="Arial"/>
        </w:rPr>
        <w:t>straightforward</w:t>
      </w:r>
      <w:r w:rsidR="00AC6663">
        <w:rPr>
          <w:rFonts w:ascii="Arial" w:hAnsi="Arial" w:cs="Arial"/>
        </w:rPr>
        <w:t xml:space="preserve"> way</w:t>
      </w:r>
      <w:r>
        <w:rPr>
          <w:rFonts w:ascii="Arial" w:hAnsi="Arial" w:cs="Arial"/>
        </w:rPr>
        <w:t xml:space="preserve"> is necessary to this project</w:t>
      </w:r>
      <w:r w:rsidR="00AC6663">
        <w:rPr>
          <w:rFonts w:ascii="Arial" w:hAnsi="Arial" w:cs="Arial"/>
        </w:rPr>
        <w:t xml:space="preserve">. Therefore </w:t>
      </w:r>
      <w:r w:rsidR="00AC6663" w:rsidRPr="00AC6663">
        <w:rPr>
          <w:rFonts w:ascii="Arial" w:hAnsi="Arial" w:cs="Arial"/>
          <w:b/>
          <w:u w:val="single"/>
        </w:rPr>
        <w:t xml:space="preserve">tenders that exceed 5 sides of A4 will be </w:t>
      </w:r>
      <w:r w:rsidR="0004517E">
        <w:rPr>
          <w:rFonts w:ascii="Arial" w:hAnsi="Arial" w:cs="Arial"/>
          <w:b/>
          <w:u w:val="single"/>
        </w:rPr>
        <w:t>not be considered</w:t>
      </w:r>
      <w:r w:rsidR="00AC6663">
        <w:rPr>
          <w:rFonts w:ascii="Arial" w:hAnsi="Arial" w:cs="Arial"/>
        </w:rPr>
        <w:t>.</w:t>
      </w:r>
    </w:p>
    <w:p w:rsidR="00AF081A" w:rsidRDefault="00AF081A" w:rsidP="00AF081A">
      <w:pPr>
        <w:spacing w:after="0" w:line="240" w:lineRule="auto"/>
        <w:rPr>
          <w:rFonts w:ascii="Arial" w:hAnsi="Arial" w:cs="Arial"/>
          <w:b/>
        </w:rPr>
      </w:pPr>
    </w:p>
    <w:p w:rsidR="00AF081A" w:rsidRDefault="00AF081A" w:rsidP="00AF08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F081A" w:rsidRPr="008236C9" w:rsidRDefault="000E1F9B" w:rsidP="00AF081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="00AF081A" w:rsidRPr="008236C9">
        <w:rPr>
          <w:rFonts w:ascii="Arial" w:hAnsi="Arial" w:cs="Arial"/>
          <w:b/>
        </w:rPr>
        <w:t>esearch questions</w:t>
      </w:r>
    </w:p>
    <w:p w:rsidR="00AF081A" w:rsidRPr="008236C9" w:rsidRDefault="00AF081A" w:rsidP="00AF081A">
      <w:pPr>
        <w:spacing w:after="0" w:line="240" w:lineRule="auto"/>
        <w:rPr>
          <w:rFonts w:ascii="Arial" w:hAnsi="Arial" w:cs="Arial"/>
        </w:rPr>
      </w:pPr>
    </w:p>
    <w:p w:rsidR="009E30F4" w:rsidRDefault="009E30F4" w:rsidP="00AF08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research seeks to replicate </w:t>
      </w:r>
      <w:r w:rsidR="001D28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study </w:t>
      </w:r>
      <w:r w:rsidR="009142BE">
        <w:rPr>
          <w:rFonts w:ascii="Arial" w:hAnsi="Arial" w:cs="Arial"/>
        </w:rPr>
        <w:t xml:space="preserve">from the USA </w:t>
      </w:r>
      <w:r>
        <w:rPr>
          <w:rFonts w:ascii="Arial" w:hAnsi="Arial" w:cs="Arial"/>
        </w:rPr>
        <w:t xml:space="preserve">conducted by the Brookings Institute </w:t>
      </w:r>
      <w:hyperlink r:id="rId11" w:history="1">
        <w:r w:rsidR="000E1F9B" w:rsidRPr="009602AE">
          <w:rPr>
            <w:rStyle w:val="Hyperlink"/>
            <w:rFonts w:ascii="Arial" w:hAnsi="Arial" w:cs="Arial"/>
          </w:rPr>
          <w:t>(Reeves and Howard 2013)</w:t>
        </w:r>
      </w:hyperlink>
      <w:r w:rsidR="000E1F9B">
        <w:rPr>
          <w:rFonts w:ascii="Arial" w:hAnsi="Arial" w:cs="Arial"/>
        </w:rPr>
        <w:t xml:space="preserve">. It seeks </w:t>
      </w:r>
      <w:r>
        <w:rPr>
          <w:rFonts w:ascii="Arial" w:hAnsi="Arial" w:cs="Arial"/>
        </w:rPr>
        <w:t xml:space="preserve">to establish whether a </w:t>
      </w:r>
      <w:r w:rsidR="009142BE">
        <w:rPr>
          <w:rFonts w:ascii="Arial" w:hAnsi="Arial" w:cs="Arial"/>
        </w:rPr>
        <w:t>‘</w:t>
      </w:r>
      <w:r>
        <w:rPr>
          <w:rFonts w:ascii="Arial" w:hAnsi="Arial" w:cs="Arial"/>
        </w:rPr>
        <w:t>glass floor</w:t>
      </w:r>
      <w:r w:rsidR="009142B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exists in the UK to prevent </w:t>
      </w:r>
      <w:r w:rsidR="001D28B5">
        <w:rPr>
          <w:rFonts w:ascii="Arial" w:hAnsi="Arial" w:cs="Arial"/>
        </w:rPr>
        <w:t>social mobility downwards as well as upwards</w:t>
      </w:r>
      <w:r>
        <w:rPr>
          <w:rFonts w:ascii="Arial" w:hAnsi="Arial" w:cs="Arial"/>
        </w:rPr>
        <w:t xml:space="preserve">. </w:t>
      </w:r>
      <w:r w:rsidR="001D18E3">
        <w:rPr>
          <w:rFonts w:ascii="Arial" w:hAnsi="Arial" w:cs="Arial"/>
        </w:rPr>
        <w:t>We anticipate the study would draw on data from the B</w:t>
      </w:r>
      <w:r w:rsidR="009142BE">
        <w:rPr>
          <w:rFonts w:ascii="Arial" w:hAnsi="Arial" w:cs="Arial"/>
        </w:rPr>
        <w:t>ritish Birth Cohort Study 1970, but researchers may propose other or additional datasets.</w:t>
      </w:r>
    </w:p>
    <w:p w:rsidR="00AF081A" w:rsidRPr="008236C9" w:rsidRDefault="00AF081A" w:rsidP="00AF081A">
      <w:pPr>
        <w:spacing w:after="0" w:line="240" w:lineRule="auto"/>
        <w:rPr>
          <w:rFonts w:ascii="Arial" w:hAnsi="Arial" w:cs="Arial"/>
        </w:rPr>
      </w:pPr>
    </w:p>
    <w:p w:rsidR="009E30F4" w:rsidRDefault="009E30F4" w:rsidP="009E30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Key questions for the research are: </w:t>
      </w:r>
    </w:p>
    <w:p w:rsidR="009E30F4" w:rsidRDefault="009E30F4" w:rsidP="009E30F4">
      <w:pPr>
        <w:spacing w:after="0" w:line="240" w:lineRule="auto"/>
        <w:rPr>
          <w:rFonts w:ascii="Arial" w:hAnsi="Arial" w:cs="Arial"/>
        </w:rPr>
      </w:pPr>
    </w:p>
    <w:p w:rsidR="001D28B5" w:rsidRDefault="001D28B5" w:rsidP="001D28B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what extent are both cognitive and non-cognitive skills in adolescents from high and low income background linked to their household income in later life? </w:t>
      </w:r>
    </w:p>
    <w:p w:rsidR="001D28B5" w:rsidRDefault="001D28B5" w:rsidP="001D28B5">
      <w:pPr>
        <w:pStyle w:val="ListParagraph"/>
        <w:ind w:left="1440"/>
        <w:rPr>
          <w:rFonts w:ascii="Arial" w:hAnsi="Arial" w:cs="Arial"/>
        </w:rPr>
      </w:pPr>
    </w:p>
    <w:p w:rsidR="001D28B5" w:rsidRDefault="001D28B5" w:rsidP="001D28B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individuals from a higher socio-economic background outperform the trajectory that their skills and educational attainment would indicate they are on course to meet? Do individuals from a lower socio-economic background underperform on the basis of skill and attainment? </w:t>
      </w:r>
    </w:p>
    <w:p w:rsidR="001D28B5" w:rsidRDefault="001D28B5" w:rsidP="001D28B5">
      <w:pPr>
        <w:pStyle w:val="ListParagraph"/>
        <w:rPr>
          <w:rFonts w:ascii="Arial" w:hAnsi="Arial" w:cs="Arial"/>
        </w:rPr>
      </w:pPr>
    </w:p>
    <w:p w:rsidR="00E72460" w:rsidRDefault="00E72460" w:rsidP="00E7246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D18E3">
        <w:rPr>
          <w:rFonts w:ascii="Arial" w:hAnsi="Arial" w:cs="Arial"/>
        </w:rPr>
        <w:t>The research will need to create a simple model predicting adult income on the basis of cognitive ab</w:t>
      </w:r>
      <w:r>
        <w:rPr>
          <w:rFonts w:ascii="Arial" w:hAnsi="Arial" w:cs="Arial"/>
        </w:rPr>
        <w:t>ility and non-cognitive ability, then compare this to longitudinal survey data;</w:t>
      </w:r>
      <w:r w:rsidRPr="001D18E3">
        <w:rPr>
          <w:rFonts w:ascii="Arial" w:hAnsi="Arial" w:cs="Arial"/>
        </w:rPr>
        <w:t xml:space="preserve"> </w:t>
      </w:r>
    </w:p>
    <w:p w:rsidR="001D28B5" w:rsidRDefault="001D28B5" w:rsidP="001D28B5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study should identify two groups of individuals: those from a high social economic background </w:t>
      </w:r>
      <w:r w:rsidR="00C85C60">
        <w:rPr>
          <w:rFonts w:ascii="Arial" w:hAnsi="Arial" w:cs="Arial"/>
        </w:rPr>
        <w:t>(for example,</w:t>
      </w:r>
      <w:r w:rsidR="009033E3">
        <w:rPr>
          <w:rFonts w:ascii="Arial" w:hAnsi="Arial" w:cs="Arial"/>
        </w:rPr>
        <w:t xml:space="preserve"> top 40% of earners) </w:t>
      </w:r>
      <w:r>
        <w:rPr>
          <w:rFonts w:ascii="Arial" w:hAnsi="Arial" w:cs="Arial"/>
        </w:rPr>
        <w:t xml:space="preserve">with low ability who, on the basis of this, would be predicted to be downwardly mobile and those from lower socio-economic backgrounds </w:t>
      </w:r>
      <w:r w:rsidR="00C85C60">
        <w:rPr>
          <w:rFonts w:ascii="Arial" w:hAnsi="Arial" w:cs="Arial"/>
        </w:rPr>
        <w:t>(for example,</w:t>
      </w:r>
      <w:r w:rsidR="009033E3">
        <w:rPr>
          <w:rFonts w:ascii="Arial" w:hAnsi="Arial" w:cs="Arial"/>
        </w:rPr>
        <w:t xml:space="preserve"> bottom 40% of earners) </w:t>
      </w:r>
      <w:r>
        <w:rPr>
          <w:rFonts w:ascii="Arial" w:hAnsi="Arial" w:cs="Arial"/>
        </w:rPr>
        <w:t>and high ability predicted to be upwardly mobile</w:t>
      </w:r>
      <w:r w:rsidR="009033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1D18E3" w:rsidRPr="001D18E3" w:rsidRDefault="001D18E3" w:rsidP="001D18E3">
      <w:pPr>
        <w:pStyle w:val="ListParagraph"/>
        <w:ind w:left="1440"/>
        <w:rPr>
          <w:rFonts w:ascii="Arial" w:hAnsi="Arial" w:cs="Arial"/>
        </w:rPr>
      </w:pPr>
    </w:p>
    <w:p w:rsidR="009E30F4" w:rsidRDefault="009E30F4" w:rsidP="009E30F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What factors enable individuals from an advantaged background with lower skills to avoid downward mobility? For example, their own education, their parents’ education or entry into certain occupations?</w:t>
      </w:r>
    </w:p>
    <w:p w:rsidR="000E1F9B" w:rsidRDefault="000E1F9B" w:rsidP="000E1F9B">
      <w:pPr>
        <w:pStyle w:val="ListParagraph"/>
        <w:rPr>
          <w:rFonts w:ascii="Arial" w:hAnsi="Arial" w:cs="Arial"/>
        </w:rPr>
      </w:pPr>
    </w:p>
    <w:p w:rsidR="001D18E3" w:rsidRDefault="001D18E3" w:rsidP="001D18E3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research should develop a model to estimate the characteristics that determine whether </w:t>
      </w:r>
      <w:r w:rsidR="00A16146">
        <w:rPr>
          <w:rFonts w:ascii="Arial" w:hAnsi="Arial" w:cs="Arial"/>
        </w:rPr>
        <w:t>individuals</w:t>
      </w:r>
      <w:r>
        <w:rPr>
          <w:rFonts w:ascii="Arial" w:hAnsi="Arial" w:cs="Arial"/>
        </w:rPr>
        <w:t xml:space="preserve"> from the two groups above do in fact end up in the top of earners in adulthood. </w:t>
      </w:r>
      <w:r w:rsidR="00C85C60">
        <w:rPr>
          <w:rFonts w:ascii="Arial" w:hAnsi="Arial" w:cs="Arial"/>
        </w:rPr>
        <w:t>For example, a</w:t>
      </w:r>
      <w:r w:rsidR="000E1F9B">
        <w:rPr>
          <w:rFonts w:ascii="Arial" w:hAnsi="Arial" w:cs="Arial"/>
        </w:rPr>
        <w:t xml:space="preserve"> </w:t>
      </w:r>
      <w:hyperlink r:id="rId12" w:history="1">
        <w:r w:rsidR="000E1F9B" w:rsidRPr="000E1F9B">
          <w:rPr>
            <w:rStyle w:val="Hyperlink"/>
            <w:rFonts w:ascii="Arial" w:hAnsi="Arial" w:cs="Arial"/>
          </w:rPr>
          <w:t xml:space="preserve">recent </w:t>
        </w:r>
        <w:r w:rsidR="000E1F9B">
          <w:rPr>
            <w:rStyle w:val="Hyperlink"/>
            <w:rFonts w:ascii="Arial" w:hAnsi="Arial" w:cs="Arial"/>
          </w:rPr>
          <w:t>study</w:t>
        </w:r>
      </w:hyperlink>
      <w:r w:rsidR="000E1F9B">
        <w:rPr>
          <w:rFonts w:ascii="Arial" w:hAnsi="Arial" w:cs="Arial"/>
        </w:rPr>
        <w:t xml:space="preserve"> has considered the link between income elasticity and numeracy, literacy, problem solving and non-cognitive skills</w:t>
      </w:r>
      <w:r w:rsidR="001D28B5">
        <w:rPr>
          <w:rFonts w:ascii="Arial" w:hAnsi="Arial" w:cs="Arial"/>
        </w:rPr>
        <w:t>, characteristics that may be of interest for this research</w:t>
      </w:r>
      <w:r w:rsidR="000E1F9B">
        <w:rPr>
          <w:rFonts w:ascii="Arial" w:hAnsi="Arial" w:cs="Arial"/>
        </w:rPr>
        <w:t>.</w:t>
      </w:r>
    </w:p>
    <w:p w:rsidR="009E30F4" w:rsidRDefault="009E30F4" w:rsidP="009E30F4">
      <w:pPr>
        <w:pStyle w:val="ListParagraph"/>
        <w:rPr>
          <w:rFonts w:ascii="Arial" w:hAnsi="Arial" w:cs="Arial"/>
        </w:rPr>
      </w:pPr>
    </w:p>
    <w:p w:rsidR="00AF081A" w:rsidRPr="008236C9" w:rsidRDefault="00AF081A" w:rsidP="00AF081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u w:val="single"/>
        </w:rPr>
      </w:pPr>
      <w:r w:rsidRPr="008236C9">
        <w:rPr>
          <w:rFonts w:ascii="Arial" w:hAnsi="Arial" w:cs="Arial"/>
          <w:b/>
          <w:bCs/>
          <w:lang w:eastAsia="en-GB"/>
        </w:rPr>
        <w:t>Acceptable standards of bidders</w:t>
      </w:r>
    </w:p>
    <w:p w:rsidR="00AF081A" w:rsidRPr="008236C9" w:rsidRDefault="00AF081A" w:rsidP="00AF081A">
      <w:pPr>
        <w:spacing w:after="0" w:line="240" w:lineRule="auto"/>
        <w:rPr>
          <w:rFonts w:ascii="Arial" w:hAnsi="Arial" w:cs="Arial"/>
          <w:b/>
        </w:rPr>
      </w:pPr>
    </w:p>
    <w:p w:rsidR="00AF081A" w:rsidRPr="008236C9" w:rsidRDefault="00AF081A" w:rsidP="00AF081A">
      <w:pPr>
        <w:spacing w:after="0" w:line="240" w:lineRule="auto"/>
        <w:rPr>
          <w:rFonts w:ascii="Arial" w:hAnsi="Arial" w:cs="Arial"/>
        </w:rPr>
      </w:pPr>
      <w:r w:rsidRPr="008236C9">
        <w:rPr>
          <w:rFonts w:ascii="Arial" w:hAnsi="Arial" w:cs="Arial"/>
        </w:rPr>
        <w:t>The following sets out the acceptable standards of bidders for this research and how these should be evidenced:</w:t>
      </w:r>
    </w:p>
    <w:p w:rsidR="00AF081A" w:rsidRPr="008236C9" w:rsidRDefault="00AF081A" w:rsidP="00AF081A">
      <w:pPr>
        <w:spacing w:after="0" w:line="240" w:lineRule="auto"/>
        <w:rPr>
          <w:rFonts w:ascii="Arial" w:hAnsi="Arial" w:cs="Arial"/>
        </w:rPr>
      </w:pPr>
    </w:p>
    <w:p w:rsidR="00AF081A" w:rsidRPr="008236C9" w:rsidRDefault="00AF081A" w:rsidP="00AF081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8236C9">
        <w:rPr>
          <w:rFonts w:ascii="Arial" w:hAnsi="Arial" w:cs="Arial"/>
        </w:rPr>
        <w:t>Experience of working flexibly with clients in developing complex research and analysis;</w:t>
      </w:r>
    </w:p>
    <w:p w:rsidR="00AF081A" w:rsidRPr="008236C9" w:rsidRDefault="00AF081A" w:rsidP="00AF081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8236C9">
        <w:rPr>
          <w:rFonts w:ascii="Arial" w:hAnsi="Arial" w:cs="Arial"/>
        </w:rPr>
        <w:t>Clarity in communicating progress of work to clients and explaining issues that arise in a timely manner;</w:t>
      </w:r>
    </w:p>
    <w:p w:rsidR="00AF081A" w:rsidRPr="008236C9" w:rsidRDefault="00AF081A" w:rsidP="00AF081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8236C9">
        <w:rPr>
          <w:rFonts w:ascii="Arial" w:hAnsi="Arial" w:cs="Arial"/>
        </w:rPr>
        <w:t>Risk management expertise including track record in escalating risks to clients for discussion;</w:t>
      </w:r>
    </w:p>
    <w:p w:rsidR="00AF081A" w:rsidRDefault="00AF081A" w:rsidP="00AF081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8236C9">
        <w:rPr>
          <w:rFonts w:ascii="Arial" w:hAnsi="Arial" w:cs="Arial"/>
        </w:rPr>
        <w:t>If necessary, experience in working with other organisations as part of larger research programmes.</w:t>
      </w:r>
    </w:p>
    <w:p w:rsidR="00A16146" w:rsidRPr="008236C9" w:rsidRDefault="00A16146" w:rsidP="00AF081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track record of research drawing on longitudinal data resulting in news-worthy conclusions. </w:t>
      </w:r>
    </w:p>
    <w:p w:rsidR="00AF081A" w:rsidRPr="008236C9" w:rsidRDefault="00AF081A" w:rsidP="00AF081A">
      <w:pPr>
        <w:spacing w:after="0" w:line="240" w:lineRule="auto"/>
        <w:rPr>
          <w:rFonts w:ascii="Arial" w:hAnsi="Arial" w:cs="Arial"/>
        </w:rPr>
      </w:pPr>
    </w:p>
    <w:p w:rsidR="00AF081A" w:rsidRPr="008236C9" w:rsidRDefault="00AF081A" w:rsidP="00AF081A">
      <w:pPr>
        <w:spacing w:after="0" w:line="240" w:lineRule="auto"/>
        <w:rPr>
          <w:rFonts w:ascii="Arial" w:hAnsi="Arial" w:cs="Arial"/>
          <w:i/>
        </w:rPr>
      </w:pPr>
      <w:r w:rsidRPr="008236C9">
        <w:rPr>
          <w:rFonts w:ascii="Arial" w:hAnsi="Arial" w:cs="Arial"/>
          <w:i/>
        </w:rPr>
        <w:lastRenderedPageBreak/>
        <w:t xml:space="preserve">In specific for </w:t>
      </w:r>
      <w:r w:rsidR="000E1F9B">
        <w:rPr>
          <w:rFonts w:ascii="Arial" w:hAnsi="Arial" w:cs="Arial"/>
          <w:i/>
        </w:rPr>
        <w:t>this</w:t>
      </w:r>
      <w:r w:rsidRPr="008236C9">
        <w:rPr>
          <w:rFonts w:ascii="Arial" w:hAnsi="Arial" w:cs="Arial"/>
          <w:i/>
        </w:rPr>
        <w:t xml:space="preserve"> quantitative research </w:t>
      </w:r>
    </w:p>
    <w:p w:rsidR="00AF081A" w:rsidRPr="008236C9" w:rsidRDefault="00AF081A" w:rsidP="00AF081A">
      <w:pPr>
        <w:spacing w:after="0" w:line="240" w:lineRule="auto"/>
        <w:rPr>
          <w:rFonts w:ascii="Arial" w:hAnsi="Arial" w:cs="Arial"/>
        </w:rPr>
      </w:pPr>
    </w:p>
    <w:p w:rsidR="00AF081A" w:rsidRPr="008236C9" w:rsidRDefault="00AF081A" w:rsidP="00AF081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8236C9">
        <w:rPr>
          <w:rFonts w:ascii="Arial" w:hAnsi="Arial" w:cs="Arial"/>
        </w:rPr>
        <w:t>a track record of research in this area, extracting original, news-worthy conclusions from existing public datasets and</w:t>
      </w:r>
      <w:r w:rsidR="00E72460">
        <w:rPr>
          <w:rFonts w:ascii="Arial" w:hAnsi="Arial" w:cs="Arial"/>
        </w:rPr>
        <w:t xml:space="preserve"> presenting this in a clear way.</w:t>
      </w:r>
    </w:p>
    <w:p w:rsidR="00A16146" w:rsidRDefault="00A16146" w:rsidP="0042131A">
      <w:pPr>
        <w:pStyle w:val="DeptBullets"/>
        <w:numPr>
          <w:ilvl w:val="0"/>
          <w:numId w:val="0"/>
        </w:numPr>
        <w:spacing w:after="0"/>
        <w:rPr>
          <w:rFonts w:ascii="Arial" w:hAnsi="Arial" w:cs="Arial"/>
          <w:b/>
        </w:rPr>
      </w:pPr>
    </w:p>
    <w:p w:rsidR="0042131A" w:rsidRDefault="0042131A" w:rsidP="0042131A">
      <w:pPr>
        <w:pStyle w:val="DeptBullets"/>
        <w:numPr>
          <w:ilvl w:val="0"/>
          <w:numId w:val="0"/>
        </w:numPr>
        <w:spacing w:after="0"/>
        <w:rPr>
          <w:rFonts w:ascii="Arial" w:hAnsi="Arial" w:cs="Arial"/>
          <w:b/>
        </w:rPr>
      </w:pPr>
      <w:r w:rsidRPr="008236C9">
        <w:rPr>
          <w:rFonts w:ascii="Arial" w:hAnsi="Arial" w:cs="Arial"/>
          <w:b/>
        </w:rPr>
        <w:t>Evaluation criteria</w:t>
      </w:r>
    </w:p>
    <w:p w:rsidR="0042131A" w:rsidRDefault="0042131A" w:rsidP="0042131A">
      <w:pPr>
        <w:pStyle w:val="DeptBullets"/>
        <w:numPr>
          <w:ilvl w:val="0"/>
          <w:numId w:val="0"/>
        </w:numPr>
        <w:spacing w:after="0"/>
        <w:rPr>
          <w:rFonts w:ascii="Arial" w:hAnsi="Arial" w:cs="Arial"/>
          <w:b/>
        </w:rPr>
      </w:pPr>
    </w:p>
    <w:p w:rsidR="0042131A" w:rsidRDefault="009142BE" w:rsidP="0042131A">
      <w:pPr>
        <w:pStyle w:val="DeptBullets"/>
        <w:numPr>
          <w:ilvl w:val="0"/>
          <w:numId w:val="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Tenders</w:t>
      </w:r>
      <w:r w:rsidRPr="00D47C1A">
        <w:rPr>
          <w:rFonts w:ascii="Arial" w:hAnsi="Arial" w:cs="Arial"/>
        </w:rPr>
        <w:t xml:space="preserve"> will be evaluated against </w:t>
      </w:r>
      <w:r>
        <w:rPr>
          <w:rFonts w:ascii="Arial" w:hAnsi="Arial" w:cs="Arial"/>
        </w:rPr>
        <w:t>the criteria below</w:t>
      </w:r>
      <w:r w:rsidR="0042131A">
        <w:rPr>
          <w:rFonts w:ascii="Arial" w:hAnsi="Arial" w:cs="Arial"/>
        </w:rPr>
        <w:t>. A primary weighting means the criteria will be given greater consideration in assessment of bids.</w:t>
      </w:r>
    </w:p>
    <w:p w:rsidR="0042131A" w:rsidRDefault="0042131A" w:rsidP="0042131A">
      <w:pPr>
        <w:pStyle w:val="DeptBullets"/>
        <w:numPr>
          <w:ilvl w:val="0"/>
          <w:numId w:val="0"/>
        </w:num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258"/>
        <w:gridCol w:w="1904"/>
      </w:tblGrid>
      <w:tr w:rsidR="0042131A" w:rsidTr="001D28B5">
        <w:tc>
          <w:tcPr>
            <w:tcW w:w="3080" w:type="dxa"/>
            <w:shd w:val="clear" w:color="auto" w:fill="F2F2F2" w:themeFill="background1" w:themeFillShade="F2"/>
          </w:tcPr>
          <w:p w:rsidR="0042131A" w:rsidRPr="00E30623" w:rsidRDefault="0042131A" w:rsidP="005544EB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</w:rPr>
            </w:pPr>
            <w:r w:rsidRPr="00E30623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258" w:type="dxa"/>
            <w:shd w:val="clear" w:color="auto" w:fill="F2F2F2" w:themeFill="background1" w:themeFillShade="F2"/>
          </w:tcPr>
          <w:p w:rsidR="0042131A" w:rsidRPr="00E30623" w:rsidRDefault="0042131A" w:rsidP="005544EB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</w:rPr>
            </w:pPr>
            <w:r w:rsidRPr="00E30623">
              <w:rPr>
                <w:rFonts w:ascii="Arial" w:hAnsi="Arial" w:cs="Arial"/>
                <w:b/>
              </w:rPr>
              <w:t>Potential examples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42131A" w:rsidRDefault="0042131A" w:rsidP="005544EB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</w:rPr>
            </w:pPr>
            <w:r w:rsidRPr="00E30623">
              <w:rPr>
                <w:rFonts w:ascii="Arial" w:hAnsi="Arial" w:cs="Arial"/>
                <w:b/>
              </w:rPr>
              <w:t>Weighting</w:t>
            </w:r>
          </w:p>
          <w:p w:rsidR="0042131A" w:rsidRPr="00E30623" w:rsidRDefault="0042131A" w:rsidP="005544EB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2131A" w:rsidTr="001D28B5">
        <w:tc>
          <w:tcPr>
            <w:tcW w:w="3080" w:type="dxa"/>
          </w:tcPr>
          <w:p w:rsidR="0042131A" w:rsidRPr="008236C9" w:rsidRDefault="00C86046" w:rsidP="005544E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and organisational e</w:t>
            </w:r>
            <w:r w:rsidR="0042131A" w:rsidRPr="008236C9">
              <w:rPr>
                <w:rFonts w:ascii="Arial" w:hAnsi="Arial" w:cs="Arial"/>
              </w:rPr>
              <w:t>xpe</w:t>
            </w:r>
            <w:r w:rsidR="0042131A">
              <w:rPr>
                <w:rFonts w:ascii="Arial" w:hAnsi="Arial" w:cs="Arial"/>
              </w:rPr>
              <w:t>rience in conducting and presenting quantitative research</w:t>
            </w:r>
          </w:p>
          <w:p w:rsidR="0042131A" w:rsidRDefault="0042131A" w:rsidP="005544E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42131A" w:rsidRDefault="0042131A" w:rsidP="0042131A">
            <w:pPr>
              <w:pStyle w:val="DeptBulle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 of research using longitudinal datasets</w:t>
            </w:r>
          </w:p>
          <w:p w:rsidR="0042131A" w:rsidRDefault="0042131A" w:rsidP="0042131A">
            <w:pPr>
              <w:pStyle w:val="DeptBulle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presenting findings in catching and clear ways</w:t>
            </w:r>
          </w:p>
        </w:tc>
        <w:tc>
          <w:tcPr>
            <w:tcW w:w="1904" w:type="dxa"/>
          </w:tcPr>
          <w:p w:rsidR="0042131A" w:rsidRDefault="0042131A" w:rsidP="005544E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</w:t>
            </w:r>
          </w:p>
        </w:tc>
      </w:tr>
      <w:tr w:rsidR="00656E2C" w:rsidTr="001D28B5">
        <w:tc>
          <w:tcPr>
            <w:tcW w:w="3080" w:type="dxa"/>
          </w:tcPr>
          <w:p w:rsidR="00656E2C" w:rsidRPr="008236C9" w:rsidRDefault="00656E2C" w:rsidP="00FD5B1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 w:rsidRPr="008236C9">
              <w:rPr>
                <w:rFonts w:ascii="Arial" w:hAnsi="Arial" w:cs="Arial"/>
              </w:rPr>
              <w:t>Expertise of proposed staff</w:t>
            </w:r>
          </w:p>
          <w:p w:rsidR="00656E2C" w:rsidRDefault="00656E2C" w:rsidP="00FD5B1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656E2C" w:rsidRDefault="00656E2C" w:rsidP="00FD5B13">
            <w:pPr>
              <w:pStyle w:val="DeptBullets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staff in relevant research techniques</w:t>
            </w:r>
          </w:p>
          <w:p w:rsidR="00656E2C" w:rsidRDefault="00656E2C" w:rsidP="00FD5B13">
            <w:pPr>
              <w:pStyle w:val="DeptBullets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specific research in this area and familiarity with relevant data</w:t>
            </w:r>
          </w:p>
        </w:tc>
        <w:tc>
          <w:tcPr>
            <w:tcW w:w="1904" w:type="dxa"/>
          </w:tcPr>
          <w:p w:rsidR="00656E2C" w:rsidRDefault="00656E2C" w:rsidP="00FD5B1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</w:t>
            </w:r>
          </w:p>
        </w:tc>
      </w:tr>
      <w:tr w:rsidR="000E1F9B" w:rsidTr="001D28B5">
        <w:tc>
          <w:tcPr>
            <w:tcW w:w="3080" w:type="dxa"/>
          </w:tcPr>
          <w:p w:rsidR="000E1F9B" w:rsidRPr="008236C9" w:rsidRDefault="000E1F9B" w:rsidP="000354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 w:rsidRPr="008236C9">
              <w:rPr>
                <w:rFonts w:ascii="Arial" w:hAnsi="Arial" w:cs="Arial"/>
              </w:rPr>
              <w:t>Cost</w:t>
            </w:r>
          </w:p>
          <w:p w:rsidR="000E1F9B" w:rsidRPr="008236C9" w:rsidRDefault="000E1F9B" w:rsidP="000354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0E1F9B" w:rsidRDefault="000E1F9B" w:rsidP="00035434">
            <w:pPr>
              <w:pStyle w:val="DeptBullets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Estimation of cost for whole life of project</w:t>
            </w:r>
          </w:p>
        </w:tc>
        <w:tc>
          <w:tcPr>
            <w:tcW w:w="1904" w:type="dxa"/>
          </w:tcPr>
          <w:p w:rsidR="000E1F9B" w:rsidRDefault="000E1F9B" w:rsidP="000354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</w:t>
            </w:r>
          </w:p>
        </w:tc>
      </w:tr>
      <w:tr w:rsidR="000E1F9B" w:rsidTr="001D28B5">
        <w:tc>
          <w:tcPr>
            <w:tcW w:w="3080" w:type="dxa"/>
          </w:tcPr>
          <w:p w:rsidR="000E1F9B" w:rsidRDefault="000E1F9B" w:rsidP="00A161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 w:rsidRPr="008236C9">
              <w:rPr>
                <w:rFonts w:ascii="Arial" w:hAnsi="Arial" w:cs="Arial"/>
              </w:rPr>
              <w:t xml:space="preserve">Experience in field of </w:t>
            </w:r>
            <w:r>
              <w:rPr>
                <w:rFonts w:ascii="Arial" w:hAnsi="Arial" w:cs="Arial"/>
              </w:rPr>
              <w:t xml:space="preserve">social mobility </w:t>
            </w:r>
          </w:p>
        </w:tc>
        <w:tc>
          <w:tcPr>
            <w:tcW w:w="4258" w:type="dxa"/>
          </w:tcPr>
          <w:p w:rsidR="000E1F9B" w:rsidRDefault="000E1F9B" w:rsidP="005544EB">
            <w:pPr>
              <w:pStyle w:val="DeptBullets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 of publications or other research demonstrating expertise</w:t>
            </w:r>
          </w:p>
          <w:p w:rsidR="000E1F9B" w:rsidRDefault="000E1F9B" w:rsidP="00A16146">
            <w:pPr>
              <w:pStyle w:val="DeptBullets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 of work adding substantially new contributions social mobility particularly labour market trajectories</w:t>
            </w:r>
          </w:p>
        </w:tc>
        <w:tc>
          <w:tcPr>
            <w:tcW w:w="1904" w:type="dxa"/>
          </w:tcPr>
          <w:p w:rsidR="000E1F9B" w:rsidRDefault="000E1F9B" w:rsidP="005544E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</w:t>
            </w:r>
          </w:p>
        </w:tc>
      </w:tr>
    </w:tbl>
    <w:p w:rsidR="001D28B5" w:rsidRDefault="001D28B5" w:rsidP="000E1F9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0E1F9B" w:rsidRPr="008236C9" w:rsidRDefault="000E1F9B" w:rsidP="000E1F9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u w:val="single"/>
        </w:rPr>
      </w:pPr>
      <w:r w:rsidRPr="008236C9">
        <w:rPr>
          <w:rFonts w:ascii="Arial" w:hAnsi="Arial" w:cs="Arial"/>
          <w:b/>
          <w:bCs/>
          <w:lang w:eastAsia="en-GB"/>
        </w:rPr>
        <w:t>Delivery Requirements</w:t>
      </w:r>
      <w:r w:rsidRPr="008236C9">
        <w:rPr>
          <w:rFonts w:ascii="Arial" w:hAnsi="Arial" w:cs="Arial"/>
          <w:lang w:eastAsia="en-GB"/>
        </w:rPr>
        <w:t xml:space="preserve"> </w:t>
      </w:r>
    </w:p>
    <w:p w:rsidR="000E1F9B" w:rsidRPr="008236C9" w:rsidRDefault="000E1F9B" w:rsidP="000E1F9B">
      <w:pPr>
        <w:spacing w:after="0" w:line="240" w:lineRule="auto"/>
        <w:rPr>
          <w:rFonts w:ascii="Arial" w:hAnsi="Arial" w:cs="Arial"/>
        </w:rPr>
      </w:pPr>
    </w:p>
    <w:p w:rsidR="000E1F9B" w:rsidRDefault="000E1F9B" w:rsidP="000E1F9B">
      <w:pPr>
        <w:spacing w:after="0" w:line="240" w:lineRule="auto"/>
        <w:rPr>
          <w:rFonts w:ascii="Arial" w:hAnsi="Arial" w:cs="Arial"/>
        </w:rPr>
      </w:pPr>
      <w:r w:rsidRPr="008236C9">
        <w:rPr>
          <w:rFonts w:ascii="Arial" w:hAnsi="Arial" w:cs="Arial"/>
        </w:rPr>
        <w:t xml:space="preserve">Based on commissioning in </w:t>
      </w:r>
      <w:r w:rsidR="00C85C60">
        <w:rPr>
          <w:rFonts w:ascii="Arial" w:hAnsi="Arial" w:cs="Arial"/>
        </w:rPr>
        <w:t>January</w:t>
      </w:r>
      <w:r w:rsidR="006E24E2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 xml:space="preserve"> </w:t>
      </w:r>
      <w:r w:rsidRPr="008236C9">
        <w:rPr>
          <w:rFonts w:ascii="Arial" w:hAnsi="Arial" w:cs="Arial"/>
        </w:rPr>
        <w:t>the deadline f</w:t>
      </w:r>
      <w:r w:rsidRPr="009033E3">
        <w:rPr>
          <w:rFonts w:ascii="Arial" w:hAnsi="Arial" w:cs="Arial"/>
        </w:rPr>
        <w:t>or final products will be</w:t>
      </w:r>
      <w:r w:rsidR="00C85C60">
        <w:rPr>
          <w:rFonts w:ascii="Arial" w:hAnsi="Arial" w:cs="Arial"/>
        </w:rPr>
        <w:t xml:space="preserve"> mid-</w:t>
      </w:r>
      <w:r w:rsidR="009033E3" w:rsidRPr="009033E3">
        <w:rPr>
          <w:rFonts w:ascii="Arial" w:hAnsi="Arial" w:cs="Arial"/>
        </w:rPr>
        <w:t>March 2015</w:t>
      </w:r>
      <w:r w:rsidRPr="009033E3">
        <w:rPr>
          <w:rFonts w:ascii="Arial" w:hAnsi="Arial" w:cs="Arial"/>
        </w:rPr>
        <w:t>. Final products should be in electronic format.</w:t>
      </w:r>
    </w:p>
    <w:p w:rsidR="000E1F9B" w:rsidRDefault="000E1F9B" w:rsidP="000E1F9B">
      <w:pPr>
        <w:spacing w:after="0" w:line="240" w:lineRule="auto"/>
        <w:rPr>
          <w:rFonts w:ascii="Arial" w:hAnsi="Arial" w:cs="Arial"/>
        </w:rPr>
      </w:pPr>
    </w:p>
    <w:p w:rsidR="000E1F9B" w:rsidRPr="008236C9" w:rsidRDefault="000E1F9B" w:rsidP="000E1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estimate the research should cost no more than £15,000. </w:t>
      </w:r>
    </w:p>
    <w:p w:rsidR="000E1F9B" w:rsidRPr="00B17BA0" w:rsidRDefault="000E1F9B">
      <w:pPr>
        <w:rPr>
          <w:rFonts w:ascii="Arial" w:hAnsi="Arial" w:cs="Arial"/>
        </w:rPr>
      </w:pPr>
    </w:p>
    <w:sectPr w:rsidR="000E1F9B" w:rsidRPr="00B17BA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21" w:rsidRDefault="00B42521" w:rsidP="00AF081A">
      <w:pPr>
        <w:spacing w:after="0" w:line="240" w:lineRule="auto"/>
      </w:pPr>
      <w:r>
        <w:separator/>
      </w:r>
    </w:p>
  </w:endnote>
  <w:endnote w:type="continuationSeparator" w:id="0">
    <w:p w:rsidR="00B42521" w:rsidRDefault="00B42521" w:rsidP="00AF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246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81A" w:rsidRDefault="00AF08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81A" w:rsidRDefault="00AF0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21" w:rsidRDefault="00B42521" w:rsidP="00AF081A">
      <w:pPr>
        <w:spacing w:after="0" w:line="240" w:lineRule="auto"/>
      </w:pPr>
      <w:r>
        <w:separator/>
      </w:r>
    </w:p>
  </w:footnote>
  <w:footnote w:type="continuationSeparator" w:id="0">
    <w:p w:rsidR="00B42521" w:rsidRDefault="00B42521" w:rsidP="00AF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850"/>
    <w:multiLevelType w:val="hybridMultilevel"/>
    <w:tmpl w:val="5D66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DF5643A"/>
    <w:multiLevelType w:val="hybridMultilevel"/>
    <w:tmpl w:val="9758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12BD5"/>
    <w:multiLevelType w:val="hybridMultilevel"/>
    <w:tmpl w:val="6FCE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0404E"/>
    <w:multiLevelType w:val="hybridMultilevel"/>
    <w:tmpl w:val="7A7C5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D23B1"/>
    <w:multiLevelType w:val="hybridMultilevel"/>
    <w:tmpl w:val="D35E6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61529"/>
    <w:multiLevelType w:val="hybridMultilevel"/>
    <w:tmpl w:val="D8DA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C1929"/>
    <w:multiLevelType w:val="hybridMultilevel"/>
    <w:tmpl w:val="CF76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3261C"/>
    <w:multiLevelType w:val="hybridMultilevel"/>
    <w:tmpl w:val="8B1E7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459DB"/>
    <w:multiLevelType w:val="hybridMultilevel"/>
    <w:tmpl w:val="C8AE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4BF54B30"/>
    <w:multiLevelType w:val="hybridMultilevel"/>
    <w:tmpl w:val="5404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5012E"/>
    <w:multiLevelType w:val="multilevel"/>
    <w:tmpl w:val="DBA4DF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4F26C2B"/>
    <w:multiLevelType w:val="hybridMultilevel"/>
    <w:tmpl w:val="3D14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F2CEE"/>
    <w:multiLevelType w:val="hybridMultilevel"/>
    <w:tmpl w:val="B706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1A"/>
    <w:rsid w:val="0004517E"/>
    <w:rsid w:val="00073C68"/>
    <w:rsid w:val="000E1F9B"/>
    <w:rsid w:val="00114623"/>
    <w:rsid w:val="001B4CD2"/>
    <w:rsid w:val="001C6D7A"/>
    <w:rsid w:val="001D18E3"/>
    <w:rsid w:val="001D28B5"/>
    <w:rsid w:val="002D479F"/>
    <w:rsid w:val="003431AE"/>
    <w:rsid w:val="00390687"/>
    <w:rsid w:val="0042131A"/>
    <w:rsid w:val="00456DEC"/>
    <w:rsid w:val="0048548E"/>
    <w:rsid w:val="00496A7B"/>
    <w:rsid w:val="005E2A76"/>
    <w:rsid w:val="00656E2C"/>
    <w:rsid w:val="006C0345"/>
    <w:rsid w:val="006E24E2"/>
    <w:rsid w:val="007411FD"/>
    <w:rsid w:val="007462C6"/>
    <w:rsid w:val="00773ABE"/>
    <w:rsid w:val="008E26AE"/>
    <w:rsid w:val="009033E3"/>
    <w:rsid w:val="009142BE"/>
    <w:rsid w:val="009602AE"/>
    <w:rsid w:val="0097551C"/>
    <w:rsid w:val="009C2A4C"/>
    <w:rsid w:val="009E30F4"/>
    <w:rsid w:val="00A16146"/>
    <w:rsid w:val="00A44A44"/>
    <w:rsid w:val="00A74670"/>
    <w:rsid w:val="00A82CAD"/>
    <w:rsid w:val="00AC6663"/>
    <w:rsid w:val="00AF081A"/>
    <w:rsid w:val="00B17BA0"/>
    <w:rsid w:val="00B42521"/>
    <w:rsid w:val="00B54868"/>
    <w:rsid w:val="00BD4044"/>
    <w:rsid w:val="00BD6D51"/>
    <w:rsid w:val="00C85C60"/>
    <w:rsid w:val="00C86046"/>
    <w:rsid w:val="00DE471F"/>
    <w:rsid w:val="00E72460"/>
    <w:rsid w:val="00E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rsid w:val="00AF081A"/>
    <w:pPr>
      <w:numPr>
        <w:numId w:val="1"/>
      </w:numPr>
      <w:spacing w:after="240" w:line="240" w:lineRule="auto"/>
    </w:pPr>
  </w:style>
  <w:style w:type="paragraph" w:styleId="ListParagraph">
    <w:name w:val="List Paragraph"/>
    <w:basedOn w:val="Normal"/>
    <w:uiPriority w:val="34"/>
    <w:qFormat/>
    <w:rsid w:val="00AF081A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8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81A"/>
  </w:style>
  <w:style w:type="paragraph" w:styleId="Footer">
    <w:name w:val="footer"/>
    <w:basedOn w:val="Normal"/>
    <w:link w:val="FooterChar"/>
    <w:uiPriority w:val="99"/>
    <w:unhideWhenUsed/>
    <w:rsid w:val="00AF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81A"/>
  </w:style>
  <w:style w:type="table" w:styleId="TableGrid">
    <w:name w:val="Table Grid"/>
    <w:basedOn w:val="TableNormal"/>
    <w:uiPriority w:val="59"/>
    <w:rsid w:val="0042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9E30F4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9E30F4"/>
    <w:rPr>
      <w:rFonts w:ascii="Arial" w:eastAsia="Times New Roman" w:hAnsi="Arial" w:cs="Arial"/>
      <w:szCs w:val="20"/>
    </w:rPr>
  </w:style>
  <w:style w:type="paragraph" w:styleId="NoSpacing">
    <w:name w:val="No Spacing"/>
    <w:uiPriority w:val="1"/>
    <w:qFormat/>
    <w:rsid w:val="00A1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2A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2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A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rsid w:val="00AF081A"/>
    <w:pPr>
      <w:numPr>
        <w:numId w:val="1"/>
      </w:numPr>
      <w:spacing w:after="240" w:line="240" w:lineRule="auto"/>
    </w:pPr>
  </w:style>
  <w:style w:type="paragraph" w:styleId="ListParagraph">
    <w:name w:val="List Paragraph"/>
    <w:basedOn w:val="Normal"/>
    <w:uiPriority w:val="34"/>
    <w:qFormat/>
    <w:rsid w:val="00AF081A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8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81A"/>
  </w:style>
  <w:style w:type="paragraph" w:styleId="Footer">
    <w:name w:val="footer"/>
    <w:basedOn w:val="Normal"/>
    <w:link w:val="FooterChar"/>
    <w:uiPriority w:val="99"/>
    <w:unhideWhenUsed/>
    <w:rsid w:val="00AF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81A"/>
  </w:style>
  <w:style w:type="table" w:styleId="TableGrid">
    <w:name w:val="Table Grid"/>
    <w:basedOn w:val="TableNormal"/>
    <w:uiPriority w:val="59"/>
    <w:rsid w:val="0042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9E30F4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9E30F4"/>
    <w:rPr>
      <w:rFonts w:ascii="Arial" w:eastAsia="Times New Roman" w:hAnsi="Arial" w:cs="Arial"/>
      <w:szCs w:val="20"/>
    </w:rPr>
  </w:style>
  <w:style w:type="paragraph" w:styleId="NoSpacing">
    <w:name w:val="No Spacing"/>
    <w:uiPriority w:val="1"/>
    <w:qFormat/>
    <w:rsid w:val="00A1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2A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2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icagofed.org/digital_assets/publications/chicago_fed_letter/2015/cfl3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ookings.edu/~/media/research/files/papers/2013/11/glass%20floor%20downward%20mobility%20equality%20opportunity%20hoarding%20reeves%20howard/glass%20floor%20downward%20mobility%20equality%20opportunity%20hoarding%20reeves%20howar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smcpcommission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uk/smc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51459DB9</Template>
  <TotalTime>1</TotalTime>
  <Pages>3</Pages>
  <Words>1022</Words>
  <Characters>5830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FEINTUCK, Jack</dc:creator>
  <cp:lastModifiedBy>SKELTON, Faye</cp:lastModifiedBy>
  <cp:revision>2</cp:revision>
  <cp:lastPrinted>2014-11-20T09:13:00Z</cp:lastPrinted>
  <dcterms:created xsi:type="dcterms:W3CDTF">2014-12-08T09:40:00Z</dcterms:created>
  <dcterms:modified xsi:type="dcterms:W3CDTF">2014-12-08T09:40:00Z</dcterms:modified>
</cp:coreProperties>
</file>