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461E2B">
      <w:pPr>
        <w:pStyle w:val="Heading1"/>
        <w:jc w:val="center"/>
        <w:rPr>
          <w:rFonts w:ascii="Arial" w:hAnsi="Arial" w:cs="Arial"/>
          <w:sz w:val="56"/>
        </w:rPr>
      </w:pPr>
      <w:r w:rsidRPr="00461E2B">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461E2B"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461E2B"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461E2B"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461E2B"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461E2B"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461E2B"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461E2B"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461E2B"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461E2B"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461E2B"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proofErr w:type="gramStart"/>
      <w:r w:rsidR="00841918" w:rsidRPr="00841918">
        <w:rPr>
          <w:rFonts w:ascii="Arial" w:hAnsi="Arial" w:cs="Arial"/>
          <w:sz w:val="24"/>
          <w:lang w:val="en-US"/>
        </w:rPr>
        <w:t>………………………………………..…</w:t>
      </w:r>
      <w:proofErr w:type="gramEnd"/>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461E2B"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461E2B"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461E2B"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461E2B"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461E2B"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461E2B"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461E2B"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461E2B"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proofErr w:type="gramStart"/>
      <w:r w:rsidRPr="0020481E">
        <w:rPr>
          <w:rFonts w:ascii="Arial" w:hAnsi="Arial" w:cs="Arial"/>
          <w:sz w:val="24"/>
        </w:rPr>
        <w:t>project</w:t>
      </w:r>
      <w:proofErr w:type="gramEnd"/>
      <w:r w:rsidRPr="0020481E">
        <w:rPr>
          <w:rFonts w:ascii="Arial" w:hAnsi="Arial" w:cs="Arial"/>
          <w:sz w:val="24"/>
        </w:rPr>
        <w:t xml:space="preserve">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proofErr w:type="gramStart"/>
      <w:r>
        <w:rPr>
          <w:rFonts w:ascii="Arial" w:hAnsi="Arial" w:cs="Arial"/>
          <w:sz w:val="24"/>
        </w:rPr>
        <w:t>t</w:t>
      </w:r>
      <w:r w:rsidR="00834FCB" w:rsidRPr="0020481E">
        <w:rPr>
          <w:rFonts w:ascii="Arial" w:hAnsi="Arial" w:cs="Arial"/>
          <w:sz w:val="24"/>
        </w:rPr>
        <w:t>he</w:t>
      </w:r>
      <w:proofErr w:type="gramEnd"/>
      <w:r w:rsidR="00834FCB" w:rsidRPr="0020481E">
        <w:rPr>
          <w:rFonts w:ascii="Arial" w:hAnsi="Arial" w:cs="Arial"/>
          <w:sz w:val="24"/>
        </w:rPr>
        <w:t xml:space="preserv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890512" w:rsidRDefault="0020481E" w:rsidP="00890512">
      <w:pPr>
        <w:spacing w:after="120" w:line="276" w:lineRule="auto"/>
        <w:ind w:left="-425"/>
        <w:rPr>
          <w:rFonts w:ascii="Arial" w:hAnsi="Arial" w:cs="Arial"/>
          <w:b/>
          <w:sz w:val="24"/>
        </w:rPr>
      </w:pPr>
      <w:r w:rsidRPr="00C42077">
        <w:rPr>
          <w:rFonts w:ascii="Arial" w:hAnsi="Arial" w:cs="Arial"/>
          <w:b/>
          <w:sz w:val="24"/>
        </w:rPr>
        <w:t>Funding available</w:t>
      </w:r>
    </w:p>
    <w:p w:rsidR="00475614" w:rsidRPr="00890512" w:rsidRDefault="00A5677C" w:rsidP="00890512">
      <w:pPr>
        <w:spacing w:after="120" w:line="276" w:lineRule="auto"/>
        <w:ind w:left="-425"/>
        <w:rPr>
          <w:rFonts w:ascii="Arial" w:hAnsi="Arial" w:cs="Arial"/>
          <w:b/>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bidding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lastRenderedPageBreak/>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proofErr w:type="spellStart"/>
            <w:r>
              <w:rPr>
                <w:rFonts w:ascii="Arial" w:hAnsi="Arial" w:cs="Arial"/>
                <w:b/>
              </w:rPr>
              <w:t>Full</w:t>
            </w:r>
            <w:r w:rsidR="00B337D3">
              <w:rPr>
                <w:rFonts w:ascii="Arial" w:hAnsi="Arial" w:cs="Arial"/>
                <w:b/>
              </w:rPr>
              <w:t>l</w:t>
            </w:r>
            <w:proofErr w:type="spellEnd"/>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lastRenderedPageBreak/>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461E2B" w:rsidP="007734A1">
      <w:pPr>
        <w:spacing w:after="120"/>
        <w:rPr>
          <w:rFonts w:ascii="Arial" w:hAnsi="Arial" w:cs="Arial"/>
          <w:b/>
          <w:sz w:val="24"/>
        </w:rPr>
      </w:pPr>
      <w:r w:rsidRPr="00461E2B">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461E2B" w:rsidP="00622A4A">
      <w:pPr>
        <w:spacing w:after="120"/>
        <w:ind w:left="-425"/>
        <w:rPr>
          <w:rFonts w:ascii="Arial" w:hAnsi="Arial" w:cs="Arial"/>
          <w:b/>
          <w:sz w:val="24"/>
        </w:rPr>
      </w:pPr>
      <w:r w:rsidRPr="00461E2B">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 xml:space="preserve">A full proposal (FP) </w:t>
                  </w:r>
                  <w:proofErr w:type="spellStart"/>
                  <w:r w:rsidRPr="00C42077">
                    <w:rPr>
                      <w:rFonts w:ascii="Arial" w:hAnsi="Arial" w:cs="Arial"/>
                      <w:szCs w:val="22"/>
                    </w:rPr>
                    <w:t>comprise</w:t>
                  </w:r>
                  <w:r>
                    <w:rPr>
                      <w:rFonts w:ascii="Arial" w:hAnsi="Arial" w:cs="Arial"/>
                      <w:szCs w:val="22"/>
                    </w:rPr>
                    <w:t>s</w:t>
                  </w:r>
                  <w:r w:rsidRPr="00C42077">
                    <w:rPr>
                      <w:rFonts w:ascii="Arial" w:hAnsi="Arial" w:cs="Arial"/>
                      <w:szCs w:val="22"/>
                    </w:rPr>
                    <w:t>f</w:t>
                  </w:r>
                  <w:proofErr w:type="spellEnd"/>
                  <w:r w:rsidRPr="00C42077">
                    <w:rPr>
                      <w:rFonts w:ascii="Arial" w:hAnsi="Arial" w:cs="Arial"/>
                      <w:szCs w:val="22"/>
                    </w:rPr>
                    <w:t xml:space="preserve">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w:t>
                  </w:r>
                  <w:proofErr w:type="gramStart"/>
                  <w:r>
                    <w:rPr>
                      <w:rFonts w:ascii="Arial" w:hAnsi="Arial" w:cs="Arial"/>
                      <w:szCs w:val="22"/>
                    </w:rPr>
                    <w:t xml:space="preserve">by  </w:t>
                  </w:r>
                  <w:r w:rsidRPr="00841918">
                    <w:rPr>
                      <w:rFonts w:ascii="Arial" w:hAnsi="Arial" w:cs="Arial"/>
                      <w:b/>
                      <w:szCs w:val="22"/>
                    </w:rPr>
                    <w:t>5</w:t>
                  </w:r>
                  <w:proofErr w:type="gramEnd"/>
                  <w:r w:rsidRPr="00841918">
                    <w:rPr>
                      <w:rFonts w:ascii="Arial" w:hAnsi="Arial" w:cs="Arial"/>
                      <w:b/>
                      <w:szCs w:val="22"/>
                    </w:rPr>
                    <w:t xml:space="preserve">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461E2B" w:rsidP="00622A4A">
      <w:pPr>
        <w:spacing w:after="120"/>
        <w:ind w:left="-425"/>
        <w:rPr>
          <w:rFonts w:ascii="Arial" w:hAnsi="Arial" w:cs="Arial"/>
          <w:b/>
          <w:sz w:val="24"/>
        </w:rPr>
      </w:pPr>
      <w:r w:rsidRPr="00461E2B">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461E2B">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lastRenderedPageBreak/>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w:t>
      </w:r>
      <w:proofErr w:type="gramStart"/>
      <w:r w:rsidR="005A1AF8" w:rsidRPr="00861108">
        <w:rPr>
          <w:rFonts w:ascii="Arial" w:hAnsi="Arial" w:cs="Arial"/>
          <w:bCs/>
          <w:sz w:val="24"/>
          <w:szCs w:val="22"/>
        </w:rPr>
        <w:t>the</w:t>
      </w:r>
      <w:r w:rsidR="008E40D7">
        <w:rPr>
          <w:rFonts w:ascii="Arial" w:hAnsi="Arial" w:cs="Arial"/>
          <w:bCs/>
          <w:sz w:val="24"/>
          <w:szCs w:val="22"/>
        </w:rPr>
        <w:t xml:space="preserve"> </w:t>
      </w:r>
      <w:r w:rsidR="005A1AF8" w:rsidRPr="00861108">
        <w:rPr>
          <w:rFonts w:ascii="Arial" w:hAnsi="Arial" w:cs="Arial"/>
          <w:bCs/>
          <w:sz w:val="24"/>
          <w:szCs w:val="22"/>
        </w:rPr>
        <w:t xml:space="preserve"> decision</w:t>
      </w:r>
      <w:proofErr w:type="gramEnd"/>
      <w:r w:rsidR="005A1AF8" w:rsidRPr="00861108">
        <w:rPr>
          <w:rFonts w:ascii="Arial" w:hAnsi="Arial" w:cs="Arial"/>
          <w:bCs/>
          <w:sz w:val="24"/>
          <w:szCs w:val="22"/>
        </w:rPr>
        <w:t xml:space="preserve">.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lastRenderedPageBreak/>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 xml:space="preserve">Section </w:t>
      </w:r>
      <w:proofErr w:type="gramStart"/>
      <w:r w:rsidRPr="00C42077">
        <w:rPr>
          <w:rFonts w:ascii="Arial" w:hAnsi="Arial" w:cs="Arial"/>
        </w:rPr>
        <w:t>A</w:t>
      </w:r>
      <w:proofErr w:type="gramEnd"/>
      <w:r w:rsidRPr="00C42077">
        <w:rPr>
          <w:rFonts w:ascii="Arial" w:hAnsi="Arial" w:cs="Arial"/>
        </w:rPr>
        <w:t xml:space="preserve">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lastRenderedPageBreak/>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lastRenderedPageBreak/>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Annex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w:t>
      </w:r>
      <w:proofErr w:type="spellStart"/>
      <w:r>
        <w:rPr>
          <w:rFonts w:ascii="Arial" w:hAnsi="Arial"/>
          <w:b w:val="0"/>
        </w:rPr>
        <w:t>pdfs</w:t>
      </w:r>
      <w:proofErr w:type="spellEnd"/>
      <w:r>
        <w:rPr>
          <w:rFonts w:ascii="Arial" w:hAnsi="Arial"/>
          <w:b w:val="0"/>
        </w:rPr>
        <w:t xml:space="preserve">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w:t>
      </w:r>
      <w:proofErr w:type="spellStart"/>
      <w:r w:rsidR="00301611" w:rsidRPr="00301611">
        <w:rPr>
          <w:rFonts w:ascii="Arial" w:hAnsi="Arial" w:cs="Arial"/>
          <w:sz w:val="24"/>
        </w:rPr>
        <w:t>funder</w:t>
      </w:r>
      <w:proofErr w:type="spellEnd"/>
      <w:r w:rsidR="00301611" w:rsidRPr="00301611">
        <w:rPr>
          <w:rFonts w:ascii="Arial" w:hAnsi="Arial" w:cs="Arial"/>
          <w:sz w:val="24"/>
        </w:rPr>
        <w:t xml:space="preserve">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lastRenderedPageBreak/>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proofErr w:type="gramStart"/>
      <w:r w:rsidR="007E427C">
        <w:rPr>
          <w:rFonts w:ascii="Arial" w:hAnsi="Arial" w:cs="Arial"/>
          <w:sz w:val="24"/>
        </w:rPr>
        <w:t xml:space="preserve">its </w:t>
      </w:r>
      <w:r w:rsidR="00FD142F">
        <w:rPr>
          <w:rFonts w:ascii="Arial" w:hAnsi="Arial" w:cs="Arial"/>
          <w:sz w:val="24"/>
        </w:rPr>
        <w:t xml:space="preserve"> outputs</w:t>
      </w:r>
      <w:proofErr w:type="gramEnd"/>
      <w:r w:rsidR="00FD142F">
        <w:rPr>
          <w:rFonts w:ascii="Arial" w:hAnsi="Arial" w:cs="Arial"/>
          <w:sz w:val="24"/>
        </w:rPr>
        <w:t xml:space="preserve">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lastRenderedPageBreak/>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proofErr w:type="gramStart"/>
            <w:r>
              <w:rPr>
                <w:rFonts w:ascii="Arial" w:hAnsi="Arial" w:cs="Arial"/>
              </w:rPr>
              <w:t>helping</w:t>
            </w:r>
            <w:proofErr w:type="gramEnd"/>
            <w:r>
              <w:rPr>
                <w:rFonts w:ascii="Arial" w:hAnsi="Arial" w:cs="Arial"/>
              </w:rPr>
              <w:t xml:space="preserve">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Layden: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lastRenderedPageBreak/>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947110"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proofErr w:type="gramStart"/>
            <w:r w:rsidRPr="00E17061">
              <w:rPr>
                <w:rFonts w:ascii="Arial" w:hAnsi="Arial" w:cs="Arial"/>
              </w:rPr>
              <w:t>put</w:t>
            </w:r>
            <w:proofErr w:type="gramEnd"/>
            <w:r w:rsidRPr="00E17061">
              <w:rPr>
                <w:rFonts w:ascii="Arial" w:hAnsi="Arial" w:cs="Arial"/>
              </w:rPr>
              <w:t xml:space="preserve">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 xml:space="preserve">Projects which have a multiplier effect - for example, by working with trade associations or chambers of commerce - or which take a </w:t>
            </w:r>
            <w:proofErr w:type="spellStart"/>
            <w:r w:rsidRPr="00E17061">
              <w:rPr>
                <w:rFonts w:ascii="Arial" w:hAnsi="Arial" w:cs="Arial"/>
              </w:rPr>
              <w:t>sectoral</w:t>
            </w:r>
            <w:proofErr w:type="spellEnd"/>
            <w:r w:rsidRPr="00E17061">
              <w:rPr>
                <w:rFonts w:ascii="Arial" w:hAnsi="Arial" w:cs="Arial"/>
              </w:rPr>
              <w:t xml:space="preserve">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Projects which incorporate the “</w:t>
            </w:r>
            <w:proofErr w:type="spellStart"/>
            <w:r w:rsidRPr="00E17061">
              <w:rPr>
                <w:rFonts w:ascii="Arial" w:hAnsi="Arial" w:cs="Arial"/>
              </w:rPr>
              <w:t>Ruggie</w:t>
            </w:r>
            <w:proofErr w:type="spellEnd"/>
            <w:r w:rsidRPr="00E17061">
              <w:rPr>
                <w:rFonts w:ascii="Arial" w:hAnsi="Arial" w:cs="Arial"/>
              </w:rPr>
              <w:t xml:space="preserv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lastRenderedPageBreak/>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947110"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947110"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rPr>
              <w:t>i</w:t>
            </w:r>
            <w:r w:rsidRPr="00C13636">
              <w:rPr>
                <w:rFonts w:ascii="Arial" w:hAnsi="Arial" w:cs="Arial"/>
              </w:rPr>
              <w:t>mproving</w:t>
            </w:r>
            <w:proofErr w:type="gramEnd"/>
            <w:r w:rsidRPr="00C13636">
              <w:rPr>
                <w:rFonts w:ascii="Arial" w:hAnsi="Arial" w:cs="Arial"/>
              </w:rPr>
              <w:t xml:space="preserve">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947110" w:rsidRDefault="0036236C">
            <w:pPr>
              <w:pStyle w:val="ListParagraph"/>
              <w:numPr>
                <w:ilvl w:val="0"/>
                <w:numId w:val="4"/>
              </w:numPr>
              <w:autoSpaceDE w:val="0"/>
              <w:autoSpaceDN w:val="0"/>
              <w:adjustRightInd w:val="0"/>
              <w:spacing w:after="120"/>
              <w:ind w:left="460" w:hanging="284"/>
              <w:rPr>
                <w:rFonts w:ascii="Arial" w:hAnsi="Arial" w:cs="Arial"/>
              </w:rPr>
            </w:pPr>
            <w:proofErr w:type="gramStart"/>
            <w:r>
              <w:rPr>
                <w:rFonts w:ascii="Arial" w:hAnsi="Arial" w:cs="Arial"/>
                <w:b/>
              </w:rPr>
              <w:t>i</w:t>
            </w:r>
            <w:r w:rsidRPr="00C13636">
              <w:rPr>
                <w:rFonts w:ascii="Arial" w:hAnsi="Arial" w:cs="Arial"/>
                <w:b/>
              </w:rPr>
              <w:t>ncreasing</w:t>
            </w:r>
            <w:proofErr w:type="gramEnd"/>
            <w:r w:rsidRPr="00C13636">
              <w:rPr>
                <w:rFonts w:ascii="Arial" w:hAnsi="Arial" w:cs="Arial"/>
                <w:b/>
              </w:rPr>
              <w:t xml:space="preserve">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 xml:space="preserve">country who </w:t>
            </w:r>
            <w:proofErr w:type="gramStart"/>
            <w:r w:rsidRPr="00647482">
              <w:rPr>
                <w:rFonts w:ascii="Arial" w:hAnsi="Arial" w:cs="Arial"/>
              </w:rPr>
              <w:t>have</w:t>
            </w:r>
            <w:proofErr w:type="gramEnd"/>
            <w:r w:rsidRPr="00647482">
              <w:rPr>
                <w:rFonts w:ascii="Arial" w:hAnsi="Arial" w:cs="Arial"/>
              </w:rPr>
              <w:t xml:space="preser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Kouki: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lastRenderedPageBreak/>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947110"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lastRenderedPageBreak/>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w:t>
            </w:r>
            <w:proofErr w:type="spellStart"/>
            <w:r>
              <w:rPr>
                <w:rFonts w:ascii="Arial" w:hAnsi="Arial" w:cs="Arial"/>
              </w:rPr>
              <w:t>FoRB</w:t>
            </w:r>
            <w:proofErr w:type="spellEnd"/>
            <w:r>
              <w:rPr>
                <w:rFonts w:ascii="Arial" w:hAnsi="Arial" w:cs="Arial"/>
              </w:rPr>
              <w:t xml:space="preserve">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proofErr w:type="spellStart"/>
            <w:r>
              <w:rPr>
                <w:rFonts w:ascii="Arial" w:hAnsi="Arial" w:cs="Arial"/>
                <w:szCs w:val="22"/>
                <w:u w:val="single"/>
              </w:rPr>
              <w:t>FoRB</w:t>
            </w:r>
            <w:proofErr w:type="spellEnd"/>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proofErr w:type="spellStart"/>
            <w:r>
              <w:rPr>
                <w:rFonts w:ascii="Arial" w:hAnsi="Arial" w:cs="Arial"/>
                <w:szCs w:val="22"/>
              </w:rPr>
              <w:t>FoRB</w:t>
            </w:r>
            <w:proofErr w:type="spellEnd"/>
            <w:r>
              <w:rPr>
                <w:rFonts w:ascii="Arial" w:hAnsi="Arial" w:cs="Arial"/>
                <w:szCs w:val="22"/>
              </w:rPr>
              <w:t xml:space="preserve">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w:t>
            </w:r>
            <w:proofErr w:type="spellStart"/>
            <w:r>
              <w:rPr>
                <w:rFonts w:ascii="Arial" w:hAnsi="Arial" w:cs="Arial"/>
                <w:szCs w:val="22"/>
              </w:rPr>
              <w:t>FoRB</w:t>
            </w:r>
            <w:proofErr w:type="spellEnd"/>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proofErr w:type="spellStart"/>
            <w:r w:rsidR="00E00077">
              <w:rPr>
                <w:rFonts w:ascii="Arial" w:hAnsi="Arial" w:cs="Arial"/>
                <w:szCs w:val="22"/>
              </w:rPr>
              <w:t>FoRB</w:t>
            </w:r>
            <w:proofErr w:type="spellEnd"/>
            <w:r w:rsidR="00E00077">
              <w:rPr>
                <w:rFonts w:ascii="Arial" w:hAnsi="Arial" w:cs="Arial"/>
                <w:szCs w:val="22"/>
              </w:rPr>
              <w:t>,</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lastRenderedPageBreak/>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proofErr w:type="gramStart"/>
            <w:r>
              <w:rPr>
                <w:rFonts w:ascii="Arial" w:hAnsi="Arial" w:cs="Arial"/>
                <w:szCs w:val="22"/>
              </w:rPr>
              <w:t>w</w:t>
            </w:r>
            <w:r w:rsidRPr="00E1434E">
              <w:rPr>
                <w:rFonts w:ascii="Arial" w:hAnsi="Arial" w:cs="Arial"/>
                <w:szCs w:val="22"/>
              </w:rPr>
              <w:t>here</w:t>
            </w:r>
            <w:proofErr w:type="gramEnd"/>
            <w:r w:rsidRPr="00E1434E">
              <w:rPr>
                <w:rFonts w:ascii="Arial" w:hAnsi="Arial" w:cs="Arial"/>
                <w:szCs w:val="22"/>
              </w:rPr>
              <w:t xml:space="preserv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Hyperlink"/>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lastRenderedPageBreak/>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proofErr w:type="gramStart"/>
            <w:r>
              <w:rPr>
                <w:rFonts w:ascii="Arial" w:hAnsi="Arial" w:cs="Arial"/>
                <w:szCs w:val="22"/>
              </w:rPr>
              <w:t>p</w:t>
            </w:r>
            <w:r w:rsidRPr="00BA3668">
              <w:rPr>
                <w:rFonts w:ascii="Arial" w:hAnsi="Arial" w:cs="Arial"/>
                <w:szCs w:val="22"/>
              </w:rPr>
              <w:t>rojects</w:t>
            </w:r>
            <w:proofErr w:type="gramEnd"/>
            <w:r w:rsidRPr="00BA3668">
              <w:rPr>
                <w:rFonts w:ascii="Arial" w:hAnsi="Arial" w:cs="Arial"/>
                <w:szCs w:val="22"/>
              </w:rPr>
              <w:t xml:space="preserve">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Jambert-Gray: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lastRenderedPageBreak/>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Eshelby: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lastRenderedPageBreak/>
        <w:t>ANNEX A: EXAMPLE ACTIVITY BASED BUDGET</w:t>
      </w:r>
    </w:p>
    <w:bookmarkEnd w:id="50"/>
    <w:p w:rsidR="008D0AE9" w:rsidRPr="002F0944" w:rsidRDefault="00461E2B" w:rsidP="001D1071">
      <w:pPr>
        <w:rPr>
          <w:rFonts w:ascii="Arial" w:hAnsi="Arial" w:cs="Arial"/>
          <w:b/>
          <w:szCs w:val="22"/>
          <w:u w:val="single"/>
        </w:rPr>
      </w:pPr>
      <w:r w:rsidRPr="00461E2B">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7318749"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A1" w:rsidRDefault="00C151A1">
      <w:r>
        <w:separator/>
      </w:r>
    </w:p>
  </w:endnote>
  <w:endnote w:type="continuationSeparator" w:id="0">
    <w:p w:rsidR="00C151A1" w:rsidRDefault="00C15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461E2B"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890512">
      <w:rPr>
        <w:rFonts w:ascii="Arial" w:hAnsi="Arial" w:cs="Arial"/>
        <w:noProof/>
        <w:sz w:val="20"/>
      </w:rPr>
      <w:t>4</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A1" w:rsidRDefault="00C151A1">
      <w:r>
        <w:separator/>
      </w:r>
    </w:p>
  </w:footnote>
  <w:footnote w:type="continuationSeparator" w:id="0">
    <w:p w:rsidR="00C151A1" w:rsidRDefault="00C1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61E2B"/>
    <w:rsid w:val="00475614"/>
    <w:rsid w:val="004765E7"/>
    <w:rsid w:val="00496C02"/>
    <w:rsid w:val="0049759C"/>
    <w:rsid w:val="004A2ACE"/>
    <w:rsid w:val="004C1E7D"/>
    <w:rsid w:val="004C794B"/>
    <w:rsid w:val="004E0566"/>
    <w:rsid w:val="004F64ED"/>
    <w:rsid w:val="00500D7F"/>
    <w:rsid w:val="0051551F"/>
    <w:rsid w:val="00524692"/>
    <w:rsid w:val="00532727"/>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160F"/>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90512"/>
    <w:rsid w:val="008D0AE9"/>
    <w:rsid w:val="008D6A1E"/>
    <w:rsid w:val="008E1577"/>
    <w:rsid w:val="008E1A22"/>
    <w:rsid w:val="008E1DE4"/>
    <w:rsid w:val="008E40D7"/>
    <w:rsid w:val="00907CFA"/>
    <w:rsid w:val="00915A04"/>
    <w:rsid w:val="00932755"/>
    <w:rsid w:val="00947110"/>
    <w:rsid w:val="009522BF"/>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151A1"/>
    <w:rsid w:val="00C25B27"/>
    <w:rsid w:val="00C42077"/>
    <w:rsid w:val="00C6093B"/>
    <w:rsid w:val="00C637D5"/>
    <w:rsid w:val="00C71A48"/>
    <w:rsid w:val="00C81F45"/>
    <w:rsid w:val="00C96A05"/>
    <w:rsid w:val="00CB32A5"/>
    <w:rsid w:val="00CD7190"/>
    <w:rsid w:val="00CF5301"/>
    <w:rsid w:val="00D030FB"/>
    <w:rsid w:val="00D040B9"/>
    <w:rsid w:val="00D1246F"/>
    <w:rsid w:val="00D128EA"/>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593F-C09E-4488-B261-410DAD0E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36889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jabarrie</cp:lastModifiedBy>
  <cp:revision>4</cp:revision>
  <cp:lastPrinted>2014-11-03T20:58:00Z</cp:lastPrinted>
  <dcterms:created xsi:type="dcterms:W3CDTF">2014-11-12T16:51:00Z</dcterms:created>
  <dcterms:modified xsi:type="dcterms:W3CDTF">2014-11-12T17:33:00Z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