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A5" w:rsidRPr="003C0A5B" w:rsidRDefault="002866A5" w:rsidP="003C0A5B">
      <w:pPr>
        <w:pStyle w:val="Default"/>
      </w:pPr>
    </w:p>
    <w:p w:rsidR="003C0A5B" w:rsidRPr="003C0A5B" w:rsidRDefault="003C0A5B" w:rsidP="003C0A5B">
      <w:pPr>
        <w:pStyle w:val="Default"/>
        <w:jc w:val="center"/>
        <w:rPr>
          <w:sz w:val="22"/>
          <w:szCs w:val="22"/>
        </w:rPr>
      </w:pPr>
      <w:r w:rsidRPr="003C0A5B">
        <w:t xml:space="preserve"> </w:t>
      </w:r>
      <w:r w:rsidRPr="003C0A5B">
        <w:rPr>
          <w:b/>
          <w:bCs/>
          <w:sz w:val="22"/>
          <w:szCs w:val="22"/>
        </w:rPr>
        <w:t xml:space="preserve">HCA REGULATORY NOTICE </w:t>
      </w:r>
    </w:p>
    <w:p w:rsidR="003C0A5B" w:rsidRPr="003C0A5B" w:rsidRDefault="003C0A5B" w:rsidP="003C0A5B">
      <w:pPr>
        <w:pStyle w:val="Default"/>
        <w:rPr>
          <w:sz w:val="22"/>
          <w:szCs w:val="22"/>
        </w:rPr>
      </w:pPr>
      <w:r w:rsidRPr="003C0A5B">
        <w:rPr>
          <w:b/>
          <w:bCs/>
          <w:sz w:val="22"/>
          <w:szCs w:val="22"/>
        </w:rPr>
        <w:t xml:space="preserve">Registered Provider </w:t>
      </w:r>
    </w:p>
    <w:p w:rsidR="003C0A5B" w:rsidRPr="003C0A5B" w:rsidRDefault="003C0A5B" w:rsidP="003C0A5B">
      <w:pPr>
        <w:pStyle w:val="Default"/>
        <w:spacing w:before="240"/>
        <w:rPr>
          <w:sz w:val="22"/>
          <w:szCs w:val="22"/>
        </w:rPr>
      </w:pPr>
      <w:bookmarkStart w:id="0" w:name="_GoBack"/>
      <w:r w:rsidRPr="003C0A5B">
        <w:rPr>
          <w:sz w:val="22"/>
          <w:szCs w:val="22"/>
        </w:rPr>
        <w:t>Quadrant-</w:t>
      </w:r>
      <w:proofErr w:type="spellStart"/>
      <w:r w:rsidRPr="003C0A5B">
        <w:rPr>
          <w:sz w:val="22"/>
          <w:szCs w:val="22"/>
        </w:rPr>
        <w:t>Brownswood</w:t>
      </w:r>
      <w:proofErr w:type="spellEnd"/>
      <w:r w:rsidRPr="003C0A5B">
        <w:rPr>
          <w:sz w:val="22"/>
          <w:szCs w:val="22"/>
        </w:rPr>
        <w:t xml:space="preserve"> Tenant Co-operative Limited</w:t>
      </w:r>
      <w:bookmarkEnd w:id="0"/>
      <w:r w:rsidRPr="003C0A5B">
        <w:rPr>
          <w:sz w:val="22"/>
          <w:szCs w:val="22"/>
        </w:rPr>
        <w:t xml:space="preserve"> (C2157) (QBTC) </w:t>
      </w:r>
    </w:p>
    <w:p w:rsidR="003C0A5B" w:rsidRPr="003C0A5B" w:rsidRDefault="003C0A5B" w:rsidP="003C0A5B">
      <w:pPr>
        <w:pStyle w:val="Default"/>
        <w:spacing w:before="240"/>
        <w:rPr>
          <w:sz w:val="22"/>
          <w:szCs w:val="22"/>
        </w:rPr>
      </w:pPr>
    </w:p>
    <w:p w:rsidR="003C0A5B" w:rsidRDefault="003C0A5B" w:rsidP="003C0A5B">
      <w:pPr>
        <w:pStyle w:val="Default"/>
        <w:rPr>
          <w:b/>
          <w:bCs/>
          <w:sz w:val="22"/>
          <w:szCs w:val="22"/>
        </w:rPr>
      </w:pPr>
      <w:r w:rsidRPr="003C0A5B">
        <w:rPr>
          <w:b/>
          <w:bCs/>
          <w:sz w:val="22"/>
          <w:szCs w:val="22"/>
        </w:rPr>
        <w:t xml:space="preserve">Regulatory Finding </w:t>
      </w:r>
    </w:p>
    <w:p w:rsidR="00F343D1" w:rsidRPr="003C0A5B" w:rsidRDefault="00F343D1" w:rsidP="003C0A5B">
      <w:pPr>
        <w:pStyle w:val="Default"/>
        <w:rPr>
          <w:sz w:val="22"/>
          <w:szCs w:val="22"/>
        </w:rPr>
      </w:pPr>
    </w:p>
    <w:p w:rsidR="003C0A5B" w:rsidRDefault="003C0A5B" w:rsidP="003C0A5B">
      <w:pPr>
        <w:pStyle w:val="Default"/>
        <w:rPr>
          <w:sz w:val="22"/>
          <w:szCs w:val="22"/>
        </w:rPr>
      </w:pPr>
      <w:r w:rsidRPr="003C0A5B">
        <w:rPr>
          <w:sz w:val="22"/>
          <w:szCs w:val="22"/>
        </w:rPr>
        <w:t xml:space="preserve">The regulator has concluded that </w:t>
      </w:r>
    </w:p>
    <w:p w:rsidR="00F343D1" w:rsidRPr="003C0A5B" w:rsidRDefault="00F343D1" w:rsidP="003C0A5B">
      <w:pPr>
        <w:pStyle w:val="Default"/>
        <w:rPr>
          <w:sz w:val="22"/>
          <w:szCs w:val="22"/>
        </w:rPr>
      </w:pPr>
    </w:p>
    <w:p w:rsidR="003C0A5B" w:rsidRPr="003C0A5B" w:rsidRDefault="003C0A5B" w:rsidP="003C0A5B">
      <w:pPr>
        <w:pStyle w:val="Default"/>
        <w:rPr>
          <w:sz w:val="22"/>
          <w:szCs w:val="22"/>
        </w:rPr>
      </w:pPr>
      <w:r w:rsidRPr="003C0A5B">
        <w:rPr>
          <w:sz w:val="22"/>
          <w:szCs w:val="22"/>
        </w:rPr>
        <w:t xml:space="preserve">a) QBTC has failed to meet the Governance and </w:t>
      </w:r>
      <w:r w:rsidR="00F343D1">
        <w:rPr>
          <w:sz w:val="22"/>
          <w:szCs w:val="22"/>
        </w:rPr>
        <w:t xml:space="preserve">Financial </w:t>
      </w:r>
      <w:r w:rsidRPr="003C0A5B">
        <w:rPr>
          <w:sz w:val="22"/>
          <w:szCs w:val="22"/>
        </w:rPr>
        <w:t xml:space="preserve">Viability Standard; </w:t>
      </w:r>
    </w:p>
    <w:p w:rsidR="003C0A5B" w:rsidRPr="003C0A5B" w:rsidRDefault="003C0A5B" w:rsidP="003C0A5B">
      <w:pPr>
        <w:pStyle w:val="Default"/>
        <w:rPr>
          <w:sz w:val="22"/>
          <w:szCs w:val="22"/>
        </w:rPr>
      </w:pPr>
      <w:r w:rsidRPr="003C0A5B">
        <w:rPr>
          <w:sz w:val="22"/>
          <w:szCs w:val="22"/>
        </w:rPr>
        <w:t xml:space="preserve">b) </w:t>
      </w:r>
      <w:proofErr w:type="gramStart"/>
      <w:r w:rsidRPr="003C0A5B">
        <w:rPr>
          <w:sz w:val="22"/>
          <w:szCs w:val="22"/>
        </w:rPr>
        <w:t>the</w:t>
      </w:r>
      <w:proofErr w:type="gramEnd"/>
      <w:r w:rsidRPr="003C0A5B">
        <w:rPr>
          <w:sz w:val="22"/>
          <w:szCs w:val="22"/>
        </w:rPr>
        <w:t xml:space="preserve"> appointment of </w:t>
      </w:r>
      <w:r w:rsidR="00F343D1">
        <w:rPr>
          <w:sz w:val="22"/>
          <w:szCs w:val="22"/>
        </w:rPr>
        <w:t>four</w:t>
      </w:r>
      <w:r w:rsidR="004722DD">
        <w:rPr>
          <w:sz w:val="22"/>
          <w:szCs w:val="22"/>
        </w:rPr>
        <w:t xml:space="preserve"> </w:t>
      </w:r>
      <w:r w:rsidRPr="003C0A5B">
        <w:rPr>
          <w:sz w:val="22"/>
          <w:szCs w:val="22"/>
        </w:rPr>
        <w:t xml:space="preserve">officers </w:t>
      </w:r>
      <w:r w:rsidR="004722DD">
        <w:rPr>
          <w:sz w:val="22"/>
          <w:szCs w:val="22"/>
        </w:rPr>
        <w:t xml:space="preserve">to the Management Committee (Board) of QBTC </w:t>
      </w:r>
      <w:r w:rsidRPr="003C0A5B">
        <w:rPr>
          <w:sz w:val="22"/>
          <w:szCs w:val="22"/>
        </w:rPr>
        <w:t>under s</w:t>
      </w:r>
      <w:r w:rsidR="00F343D1">
        <w:rPr>
          <w:sz w:val="22"/>
          <w:szCs w:val="22"/>
        </w:rPr>
        <w:t>ection</w:t>
      </w:r>
      <w:r w:rsidRPr="003C0A5B">
        <w:rPr>
          <w:sz w:val="22"/>
          <w:szCs w:val="22"/>
        </w:rPr>
        <w:t xml:space="preserve"> 269 of the Housing and Regeneration Act 2008 (as amended by the Localism Act 2011) is necessary.</w:t>
      </w:r>
    </w:p>
    <w:p w:rsidR="003C0A5B" w:rsidRPr="003C0A5B" w:rsidRDefault="003C0A5B" w:rsidP="003C0A5B">
      <w:pPr>
        <w:pStyle w:val="Default"/>
        <w:rPr>
          <w:b/>
          <w:bCs/>
          <w:sz w:val="22"/>
          <w:szCs w:val="22"/>
        </w:rPr>
      </w:pPr>
    </w:p>
    <w:p w:rsidR="003C0A5B" w:rsidRPr="003C0A5B" w:rsidRDefault="003C0A5B" w:rsidP="003C0A5B">
      <w:pPr>
        <w:pStyle w:val="Default"/>
        <w:rPr>
          <w:sz w:val="22"/>
          <w:szCs w:val="22"/>
        </w:rPr>
      </w:pPr>
      <w:r w:rsidRPr="003C0A5B">
        <w:rPr>
          <w:b/>
          <w:bCs/>
          <w:sz w:val="22"/>
          <w:szCs w:val="22"/>
        </w:rPr>
        <w:t xml:space="preserve">The case </w:t>
      </w:r>
    </w:p>
    <w:p w:rsidR="003C0A5B" w:rsidRPr="003C0A5B" w:rsidRDefault="003C0A5B" w:rsidP="003C0A5B">
      <w:pPr>
        <w:pStyle w:val="Default"/>
      </w:pPr>
    </w:p>
    <w:p w:rsidR="003C0A5B" w:rsidRPr="003C0A5B" w:rsidRDefault="003C0A5B" w:rsidP="003C0A5B">
      <w:pPr>
        <w:pStyle w:val="Default"/>
        <w:rPr>
          <w:sz w:val="22"/>
          <w:szCs w:val="22"/>
        </w:rPr>
      </w:pPr>
      <w:r w:rsidRPr="003C0A5B">
        <w:rPr>
          <w:sz w:val="22"/>
          <w:szCs w:val="22"/>
        </w:rPr>
        <w:t xml:space="preserve">QBTC is a tenant membership co-operative, owning 141 general needs units and operating in North London. As a provider with less than 1,000 units, QBTC does not receive a regulatory judgement but was the subject of a regulatory notice published on 28 May 2014 which stated the regulator’s conclusion that the provider had failed to meet the requirements of the Governance and </w:t>
      </w:r>
      <w:r w:rsidR="00F343D1">
        <w:rPr>
          <w:sz w:val="22"/>
          <w:szCs w:val="22"/>
        </w:rPr>
        <w:t xml:space="preserve">Financial </w:t>
      </w:r>
      <w:r w:rsidRPr="003C0A5B">
        <w:rPr>
          <w:sz w:val="22"/>
          <w:szCs w:val="22"/>
        </w:rPr>
        <w:t>Viability Standard.</w:t>
      </w:r>
    </w:p>
    <w:p w:rsidR="003C0A5B" w:rsidRPr="003C0A5B" w:rsidRDefault="003C0A5B" w:rsidP="003C0A5B">
      <w:pPr>
        <w:pStyle w:val="Default"/>
        <w:rPr>
          <w:sz w:val="22"/>
          <w:szCs w:val="22"/>
        </w:rPr>
      </w:pPr>
    </w:p>
    <w:p w:rsidR="003C0A5B" w:rsidRDefault="003C0A5B" w:rsidP="003C0A5B">
      <w:pPr>
        <w:pStyle w:val="Default"/>
        <w:rPr>
          <w:sz w:val="22"/>
          <w:szCs w:val="22"/>
        </w:rPr>
      </w:pPr>
      <w:r w:rsidRPr="003C0A5B">
        <w:rPr>
          <w:sz w:val="22"/>
          <w:szCs w:val="22"/>
        </w:rPr>
        <w:t>QBTC entered into a voluntary undertaking with the regulator in July 2014 which committed it to an action plan to address issues of regulatory concern, including putting into effect the decision the membership had taken in April 2014 to outsource its management.</w:t>
      </w:r>
      <w:r w:rsidR="004722DD">
        <w:rPr>
          <w:sz w:val="22"/>
          <w:szCs w:val="22"/>
        </w:rPr>
        <w:t xml:space="preserve">  There has been slippage in meeting the milestones set out in the action plan.</w:t>
      </w:r>
    </w:p>
    <w:p w:rsidR="004722DD" w:rsidRPr="003C0A5B" w:rsidRDefault="004722DD" w:rsidP="003C0A5B">
      <w:pPr>
        <w:pStyle w:val="Default"/>
        <w:rPr>
          <w:sz w:val="22"/>
          <w:szCs w:val="22"/>
        </w:rPr>
      </w:pPr>
    </w:p>
    <w:p w:rsidR="004722DD" w:rsidRPr="003C0A5B" w:rsidRDefault="004722DD" w:rsidP="004722DD">
      <w:pPr>
        <w:rPr>
          <w:rFonts w:eastAsiaTheme="minorHAnsi"/>
          <w:sz w:val="22"/>
          <w:szCs w:val="22"/>
        </w:rPr>
      </w:pPr>
      <w:r w:rsidRPr="003C0A5B">
        <w:rPr>
          <w:rFonts w:eastAsiaTheme="minorHAnsi"/>
          <w:sz w:val="22"/>
          <w:szCs w:val="22"/>
        </w:rPr>
        <w:t>In addition</w:t>
      </w:r>
      <w:r w:rsidR="00F343D1">
        <w:rPr>
          <w:rFonts w:eastAsiaTheme="minorHAnsi"/>
          <w:sz w:val="22"/>
          <w:szCs w:val="22"/>
        </w:rPr>
        <w:t>,</w:t>
      </w:r>
      <w:r w:rsidRPr="003C0A5B">
        <w:rPr>
          <w:rFonts w:eastAsiaTheme="minorHAnsi"/>
          <w:sz w:val="22"/>
          <w:szCs w:val="22"/>
        </w:rPr>
        <w:t xml:space="preserve"> the </w:t>
      </w:r>
      <w:r w:rsidR="0002011E">
        <w:rPr>
          <w:rFonts w:eastAsiaTheme="minorHAnsi"/>
          <w:sz w:val="22"/>
          <w:szCs w:val="22"/>
        </w:rPr>
        <w:t>regulator</w:t>
      </w:r>
      <w:r w:rsidRPr="003C0A5B">
        <w:rPr>
          <w:rFonts w:eastAsiaTheme="minorHAnsi"/>
          <w:sz w:val="22"/>
          <w:szCs w:val="22"/>
        </w:rPr>
        <w:t xml:space="preserve"> re</w:t>
      </w:r>
      <w:r w:rsidR="00F343D1">
        <w:rPr>
          <w:rFonts w:eastAsiaTheme="minorHAnsi"/>
          <w:sz w:val="22"/>
          <w:szCs w:val="22"/>
        </w:rPr>
        <w:t>m</w:t>
      </w:r>
      <w:r w:rsidRPr="003C0A5B">
        <w:rPr>
          <w:rFonts w:eastAsiaTheme="minorHAnsi"/>
          <w:sz w:val="22"/>
          <w:szCs w:val="22"/>
        </w:rPr>
        <w:t>ains concern</w:t>
      </w:r>
      <w:r w:rsidR="00F343D1">
        <w:rPr>
          <w:rFonts w:eastAsiaTheme="minorHAnsi"/>
          <w:sz w:val="22"/>
          <w:szCs w:val="22"/>
        </w:rPr>
        <w:t>ed</w:t>
      </w:r>
      <w:r w:rsidRPr="003C0A5B">
        <w:rPr>
          <w:rFonts w:eastAsiaTheme="minorHAnsi"/>
          <w:sz w:val="22"/>
          <w:szCs w:val="22"/>
        </w:rPr>
        <w:t xml:space="preserve"> that the Management Committee is not exercising strategic oversight of the provider and </w:t>
      </w:r>
      <w:r w:rsidR="00F343D1">
        <w:rPr>
          <w:rFonts w:eastAsiaTheme="minorHAnsi"/>
          <w:sz w:val="22"/>
          <w:szCs w:val="22"/>
        </w:rPr>
        <w:t>continues to be</w:t>
      </w:r>
      <w:r w:rsidR="00F343D1" w:rsidRPr="003C0A5B">
        <w:rPr>
          <w:rFonts w:eastAsiaTheme="minorHAnsi"/>
          <w:sz w:val="22"/>
          <w:szCs w:val="22"/>
        </w:rPr>
        <w:t xml:space="preserve"> </w:t>
      </w:r>
      <w:r w:rsidRPr="003C0A5B">
        <w:rPr>
          <w:rFonts w:eastAsiaTheme="minorHAnsi"/>
          <w:sz w:val="22"/>
          <w:szCs w:val="22"/>
        </w:rPr>
        <w:t>unable to demonstrate effective control of the organisation</w:t>
      </w:r>
      <w:r w:rsidR="00C842D0">
        <w:rPr>
          <w:rFonts w:eastAsiaTheme="minorHAnsi"/>
          <w:sz w:val="22"/>
          <w:szCs w:val="22"/>
        </w:rPr>
        <w:t>,</w:t>
      </w:r>
      <w:r w:rsidRPr="003C0A5B">
        <w:rPr>
          <w:rFonts w:eastAsiaTheme="minorHAnsi"/>
          <w:sz w:val="22"/>
          <w:szCs w:val="22"/>
        </w:rPr>
        <w:t xml:space="preserve"> largely due to repeated disagreements and conflict; that the Management Committee has not yet properly addressed financial </w:t>
      </w:r>
      <w:r w:rsidR="003534B8">
        <w:rPr>
          <w:rFonts w:eastAsiaTheme="minorHAnsi"/>
          <w:sz w:val="22"/>
          <w:szCs w:val="22"/>
        </w:rPr>
        <w:t xml:space="preserve">and other </w:t>
      </w:r>
      <w:r w:rsidRPr="003C0A5B">
        <w:rPr>
          <w:rFonts w:eastAsiaTheme="minorHAnsi"/>
          <w:sz w:val="22"/>
          <w:szCs w:val="22"/>
        </w:rPr>
        <w:t xml:space="preserve">risk factors,  in particular in asset management and in the use of litigation where other less costly actions may be viable; and further that the Management Committee has no strategic plan for the management of its assets nor the </w:t>
      </w:r>
      <w:r w:rsidR="003534B8">
        <w:rPr>
          <w:rFonts w:eastAsiaTheme="minorHAnsi"/>
          <w:sz w:val="22"/>
          <w:szCs w:val="22"/>
        </w:rPr>
        <w:t xml:space="preserve">detailed </w:t>
      </w:r>
      <w:r w:rsidRPr="003C0A5B">
        <w:rPr>
          <w:rFonts w:eastAsiaTheme="minorHAnsi"/>
          <w:sz w:val="22"/>
          <w:szCs w:val="22"/>
        </w:rPr>
        <w:t xml:space="preserve">information on which to base such a plan. </w:t>
      </w:r>
      <w:r w:rsidR="0002011E">
        <w:rPr>
          <w:rFonts w:eastAsiaTheme="minorHAnsi"/>
          <w:sz w:val="22"/>
          <w:szCs w:val="22"/>
        </w:rPr>
        <w:t>The regulator</w:t>
      </w:r>
      <w:r w:rsidRPr="003C0A5B">
        <w:rPr>
          <w:rFonts w:eastAsiaTheme="minorHAnsi"/>
          <w:sz w:val="22"/>
          <w:szCs w:val="22"/>
        </w:rPr>
        <w:t xml:space="preserve"> retains significant concerns about the Management Committee’s ability to operate effectively and to agree and execute a strategy that is appropriate for and in the best interests of QBTC and its residents.</w:t>
      </w:r>
    </w:p>
    <w:p w:rsidR="003C0A5B" w:rsidRPr="003C0A5B" w:rsidRDefault="003C0A5B" w:rsidP="003C0A5B">
      <w:pPr>
        <w:pStyle w:val="Default"/>
        <w:rPr>
          <w:sz w:val="22"/>
          <w:szCs w:val="22"/>
        </w:rPr>
      </w:pPr>
    </w:p>
    <w:p w:rsidR="003C0A5B" w:rsidRPr="003C0A5B" w:rsidRDefault="003C0A5B" w:rsidP="003C0A5B">
      <w:pPr>
        <w:rPr>
          <w:rFonts w:eastAsiaTheme="minorHAnsi"/>
          <w:sz w:val="22"/>
          <w:szCs w:val="22"/>
        </w:rPr>
      </w:pPr>
      <w:r w:rsidRPr="003C0A5B">
        <w:rPr>
          <w:rFonts w:eastAsiaTheme="minorHAnsi"/>
          <w:sz w:val="22"/>
          <w:szCs w:val="22"/>
        </w:rPr>
        <w:t xml:space="preserve">The </w:t>
      </w:r>
      <w:r w:rsidR="004722DD">
        <w:rPr>
          <w:rFonts w:eastAsiaTheme="minorHAnsi"/>
          <w:sz w:val="22"/>
          <w:szCs w:val="22"/>
        </w:rPr>
        <w:t>regulator</w:t>
      </w:r>
      <w:r w:rsidRPr="003C0A5B">
        <w:rPr>
          <w:rFonts w:eastAsiaTheme="minorHAnsi"/>
          <w:sz w:val="22"/>
          <w:szCs w:val="22"/>
        </w:rPr>
        <w:t xml:space="preserve"> is able to use the powers set out at Section 269 </w:t>
      </w:r>
      <w:r w:rsidR="00F343D1">
        <w:rPr>
          <w:rFonts w:eastAsiaTheme="minorHAnsi"/>
          <w:sz w:val="22"/>
          <w:szCs w:val="22"/>
        </w:rPr>
        <w:t xml:space="preserve">of the </w:t>
      </w:r>
      <w:r w:rsidRPr="003C0A5B">
        <w:rPr>
          <w:rFonts w:eastAsiaTheme="minorHAnsi"/>
          <w:sz w:val="22"/>
          <w:szCs w:val="22"/>
        </w:rPr>
        <w:t>H</w:t>
      </w:r>
      <w:r w:rsidR="00F343D1">
        <w:rPr>
          <w:rFonts w:eastAsiaTheme="minorHAnsi"/>
          <w:sz w:val="22"/>
          <w:szCs w:val="22"/>
        </w:rPr>
        <w:t xml:space="preserve">ousing and </w:t>
      </w:r>
      <w:r w:rsidRPr="003C0A5B">
        <w:rPr>
          <w:rFonts w:eastAsiaTheme="minorHAnsi"/>
          <w:sz w:val="22"/>
          <w:szCs w:val="22"/>
        </w:rPr>
        <w:t>R</w:t>
      </w:r>
      <w:r w:rsidR="00F343D1">
        <w:rPr>
          <w:rFonts w:eastAsiaTheme="minorHAnsi"/>
          <w:sz w:val="22"/>
          <w:szCs w:val="22"/>
        </w:rPr>
        <w:t xml:space="preserve">egeneration </w:t>
      </w:r>
      <w:r w:rsidRPr="003C0A5B">
        <w:rPr>
          <w:rFonts w:eastAsiaTheme="minorHAnsi"/>
          <w:sz w:val="22"/>
          <w:szCs w:val="22"/>
        </w:rPr>
        <w:t>A</w:t>
      </w:r>
      <w:r w:rsidR="00F343D1">
        <w:rPr>
          <w:rFonts w:eastAsiaTheme="minorHAnsi"/>
          <w:sz w:val="22"/>
          <w:szCs w:val="22"/>
        </w:rPr>
        <w:t>ct</w:t>
      </w:r>
      <w:r w:rsidRPr="003C0A5B">
        <w:rPr>
          <w:rFonts w:eastAsiaTheme="minorHAnsi"/>
          <w:sz w:val="22"/>
          <w:szCs w:val="22"/>
        </w:rPr>
        <w:t xml:space="preserve"> where it considers that appointment of additional officers is necessary for the proper management of a provider’s affairs.  The </w:t>
      </w:r>
      <w:r w:rsidR="004722DD">
        <w:rPr>
          <w:rFonts w:eastAsiaTheme="minorHAnsi"/>
          <w:sz w:val="22"/>
          <w:szCs w:val="22"/>
        </w:rPr>
        <w:t>regulator</w:t>
      </w:r>
      <w:r w:rsidRPr="003C0A5B">
        <w:rPr>
          <w:rFonts w:eastAsiaTheme="minorHAnsi"/>
          <w:sz w:val="22"/>
          <w:szCs w:val="22"/>
        </w:rPr>
        <w:t xml:space="preserve"> has indicated it will consider use of this power (inter alia) where there has been a failure against one or more economic standards; where the provider has failed to deal with previous regulatory interventions to the satisfaction of the regulator and where the governing body lacks the skills and experience to run the business.</w:t>
      </w:r>
    </w:p>
    <w:p w:rsidR="003C0A5B" w:rsidRPr="003C0A5B" w:rsidRDefault="003C0A5B" w:rsidP="003C0A5B">
      <w:pPr>
        <w:rPr>
          <w:rFonts w:eastAsiaTheme="minorHAnsi"/>
          <w:sz w:val="22"/>
          <w:szCs w:val="22"/>
        </w:rPr>
      </w:pPr>
    </w:p>
    <w:p w:rsidR="003C0A5B" w:rsidRDefault="004722DD" w:rsidP="003C0A5B">
      <w:pPr>
        <w:rPr>
          <w:rFonts w:eastAsiaTheme="minorHAnsi"/>
          <w:sz w:val="22"/>
          <w:szCs w:val="22"/>
        </w:rPr>
      </w:pPr>
      <w:r>
        <w:rPr>
          <w:rFonts w:eastAsiaTheme="minorHAnsi"/>
          <w:sz w:val="22"/>
          <w:szCs w:val="22"/>
        </w:rPr>
        <w:t>In light of the</w:t>
      </w:r>
      <w:r w:rsidR="003C0A5B" w:rsidRPr="003C0A5B">
        <w:rPr>
          <w:rFonts w:eastAsiaTheme="minorHAnsi"/>
          <w:sz w:val="22"/>
          <w:szCs w:val="22"/>
        </w:rPr>
        <w:t xml:space="preserve"> concerns</w:t>
      </w:r>
      <w:r>
        <w:rPr>
          <w:rFonts w:eastAsiaTheme="minorHAnsi"/>
          <w:sz w:val="22"/>
          <w:szCs w:val="22"/>
        </w:rPr>
        <w:t xml:space="preserve"> outlined above</w:t>
      </w:r>
      <w:r w:rsidR="00545CF1">
        <w:rPr>
          <w:rFonts w:eastAsiaTheme="minorHAnsi"/>
          <w:sz w:val="22"/>
          <w:szCs w:val="22"/>
        </w:rPr>
        <w:t>,</w:t>
      </w:r>
      <w:r w:rsidR="003C0A5B" w:rsidRPr="003C0A5B">
        <w:rPr>
          <w:rFonts w:eastAsiaTheme="minorHAnsi"/>
          <w:sz w:val="22"/>
          <w:szCs w:val="22"/>
        </w:rPr>
        <w:t xml:space="preserve"> the </w:t>
      </w:r>
      <w:r>
        <w:rPr>
          <w:rFonts w:eastAsiaTheme="minorHAnsi"/>
          <w:sz w:val="22"/>
          <w:szCs w:val="22"/>
        </w:rPr>
        <w:t>regulator</w:t>
      </w:r>
      <w:r w:rsidR="003C0A5B" w:rsidRPr="003C0A5B">
        <w:rPr>
          <w:rFonts w:eastAsiaTheme="minorHAnsi"/>
          <w:sz w:val="22"/>
          <w:szCs w:val="22"/>
        </w:rPr>
        <w:t xml:space="preserve"> considers that the appointment of officers is necessary.  </w:t>
      </w:r>
      <w:r w:rsidR="00545CF1">
        <w:rPr>
          <w:rFonts w:eastAsiaTheme="minorHAnsi"/>
          <w:sz w:val="22"/>
          <w:szCs w:val="22"/>
        </w:rPr>
        <w:t>Four</w:t>
      </w:r>
      <w:r>
        <w:rPr>
          <w:rFonts w:eastAsiaTheme="minorHAnsi"/>
          <w:sz w:val="22"/>
          <w:szCs w:val="22"/>
        </w:rPr>
        <w:t xml:space="preserve"> officers have been appointed</w:t>
      </w:r>
      <w:r w:rsidR="0002011E">
        <w:rPr>
          <w:rFonts w:eastAsiaTheme="minorHAnsi"/>
          <w:sz w:val="22"/>
          <w:szCs w:val="22"/>
        </w:rPr>
        <w:t xml:space="preserve"> for a period of </w:t>
      </w:r>
      <w:r w:rsidR="00545CF1">
        <w:rPr>
          <w:rFonts w:eastAsiaTheme="minorHAnsi"/>
          <w:sz w:val="22"/>
          <w:szCs w:val="22"/>
        </w:rPr>
        <w:t>six</w:t>
      </w:r>
      <w:r w:rsidR="0002011E">
        <w:rPr>
          <w:rFonts w:eastAsiaTheme="minorHAnsi"/>
          <w:sz w:val="22"/>
          <w:szCs w:val="22"/>
        </w:rPr>
        <w:t xml:space="preserve"> months, after which the appointments will be reviewed and consideration given to whether the appointments </w:t>
      </w:r>
      <w:r w:rsidR="00545CF1">
        <w:rPr>
          <w:rFonts w:eastAsiaTheme="minorHAnsi"/>
          <w:sz w:val="22"/>
          <w:szCs w:val="22"/>
        </w:rPr>
        <w:t xml:space="preserve">need </w:t>
      </w:r>
      <w:r w:rsidR="0002011E">
        <w:rPr>
          <w:rFonts w:eastAsiaTheme="minorHAnsi"/>
          <w:sz w:val="22"/>
          <w:szCs w:val="22"/>
        </w:rPr>
        <w:t>to be extended for a further period of time.  The appointees are</w:t>
      </w:r>
      <w:r>
        <w:rPr>
          <w:rFonts w:eastAsiaTheme="minorHAnsi"/>
          <w:sz w:val="22"/>
          <w:szCs w:val="22"/>
        </w:rPr>
        <w:t xml:space="preserve"> senior housing professionals with the skills and experience necessary to provide additional capacity to the Management Committee.  The regulator will continue to monitor QBTC closely until </w:t>
      </w:r>
      <w:r w:rsidR="00545CF1">
        <w:rPr>
          <w:rFonts w:eastAsiaTheme="minorHAnsi"/>
          <w:sz w:val="22"/>
          <w:szCs w:val="22"/>
        </w:rPr>
        <w:t>it</w:t>
      </w:r>
      <w:r>
        <w:rPr>
          <w:rFonts w:eastAsiaTheme="minorHAnsi"/>
          <w:sz w:val="22"/>
          <w:szCs w:val="22"/>
        </w:rPr>
        <w:t xml:space="preserve"> is fully assured that QBTC is compliant with the regulatory standards.</w:t>
      </w:r>
    </w:p>
    <w:sectPr w:rsidR="003C0A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4F" w:rsidRDefault="004C254F" w:rsidP="003C0A5B">
      <w:r>
        <w:separator/>
      </w:r>
    </w:p>
  </w:endnote>
  <w:endnote w:type="continuationSeparator" w:id="0">
    <w:p w:rsidR="004C254F" w:rsidRDefault="004C254F" w:rsidP="003C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rsidP="003C0A5B">
    <w:pPr>
      <w:pStyle w:val="Footer"/>
    </w:pPr>
    <w:bookmarkStart w:id="1" w:name="aliashAdvancedFooterprot1FooterEvenPages"/>
  </w:p>
  <w:bookmarkEnd w:id="1"/>
  <w:p w:rsidR="003C0A5B" w:rsidRDefault="003C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rsidP="003C0A5B">
    <w:pPr>
      <w:pStyle w:val="Footer"/>
    </w:pPr>
    <w:bookmarkStart w:id="2" w:name="aliashAdvancedFooterprotec1FooterPrimary"/>
  </w:p>
  <w:bookmarkEnd w:id="2"/>
  <w:p w:rsidR="003C0A5B" w:rsidRDefault="003C0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rsidP="003C0A5B">
    <w:pPr>
      <w:pStyle w:val="Footer"/>
    </w:pPr>
    <w:bookmarkStart w:id="3" w:name="aliashAdvancedFooterprot1FooterFirstPage"/>
  </w:p>
  <w:bookmarkEnd w:id="3"/>
  <w:p w:rsidR="003C0A5B" w:rsidRDefault="003C0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4F" w:rsidRDefault="004C254F" w:rsidP="003C0A5B">
      <w:r>
        <w:separator/>
      </w:r>
    </w:p>
  </w:footnote>
  <w:footnote w:type="continuationSeparator" w:id="0">
    <w:p w:rsidR="004C254F" w:rsidRDefault="004C254F" w:rsidP="003C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B" w:rsidRDefault="003C0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5B"/>
    <w:rsid w:val="0002011E"/>
    <w:rsid w:val="00023B66"/>
    <w:rsid w:val="000B547F"/>
    <w:rsid w:val="000F0C12"/>
    <w:rsid w:val="00175894"/>
    <w:rsid w:val="002866A5"/>
    <w:rsid w:val="0029593E"/>
    <w:rsid w:val="003534B8"/>
    <w:rsid w:val="003C0A5B"/>
    <w:rsid w:val="00457111"/>
    <w:rsid w:val="004722DD"/>
    <w:rsid w:val="004C254F"/>
    <w:rsid w:val="00545CF1"/>
    <w:rsid w:val="00564969"/>
    <w:rsid w:val="00A867CF"/>
    <w:rsid w:val="00C842D0"/>
    <w:rsid w:val="00F3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5B"/>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0A5B"/>
    <w:pPr>
      <w:tabs>
        <w:tab w:val="center" w:pos="4513"/>
        <w:tab w:val="right" w:pos="9026"/>
      </w:tabs>
    </w:pPr>
  </w:style>
  <w:style w:type="character" w:customStyle="1" w:styleId="HeaderChar">
    <w:name w:val="Header Char"/>
    <w:basedOn w:val="DefaultParagraphFont"/>
    <w:link w:val="Header"/>
    <w:uiPriority w:val="99"/>
    <w:rsid w:val="003C0A5B"/>
    <w:rPr>
      <w:rFonts w:ascii="Arial" w:eastAsia="Times New Roman" w:hAnsi="Arial" w:cs="Arial"/>
      <w:sz w:val="24"/>
      <w:szCs w:val="20"/>
    </w:rPr>
  </w:style>
  <w:style w:type="paragraph" w:styleId="Footer">
    <w:name w:val="footer"/>
    <w:basedOn w:val="Normal"/>
    <w:link w:val="FooterChar"/>
    <w:uiPriority w:val="99"/>
    <w:unhideWhenUsed/>
    <w:rsid w:val="003C0A5B"/>
    <w:pPr>
      <w:tabs>
        <w:tab w:val="center" w:pos="4513"/>
        <w:tab w:val="right" w:pos="9026"/>
      </w:tabs>
    </w:pPr>
  </w:style>
  <w:style w:type="character" w:customStyle="1" w:styleId="FooterChar">
    <w:name w:val="Footer Char"/>
    <w:basedOn w:val="DefaultParagraphFont"/>
    <w:link w:val="Footer"/>
    <w:uiPriority w:val="99"/>
    <w:rsid w:val="003C0A5B"/>
    <w:rPr>
      <w:rFonts w:ascii="Arial" w:eastAsia="Times New Roman" w:hAnsi="Arial" w:cs="Arial"/>
      <w:sz w:val="24"/>
      <w:szCs w:val="20"/>
    </w:rPr>
  </w:style>
  <w:style w:type="character" w:styleId="CommentReference">
    <w:name w:val="annotation reference"/>
    <w:basedOn w:val="DefaultParagraphFont"/>
    <w:uiPriority w:val="99"/>
    <w:semiHidden/>
    <w:unhideWhenUsed/>
    <w:rsid w:val="00F343D1"/>
    <w:rPr>
      <w:sz w:val="16"/>
      <w:szCs w:val="16"/>
    </w:rPr>
  </w:style>
  <w:style w:type="paragraph" w:styleId="CommentText">
    <w:name w:val="annotation text"/>
    <w:basedOn w:val="Normal"/>
    <w:link w:val="CommentTextChar"/>
    <w:uiPriority w:val="99"/>
    <w:semiHidden/>
    <w:unhideWhenUsed/>
    <w:rsid w:val="00F343D1"/>
    <w:rPr>
      <w:sz w:val="20"/>
    </w:rPr>
  </w:style>
  <w:style w:type="character" w:customStyle="1" w:styleId="CommentTextChar">
    <w:name w:val="Comment Text Char"/>
    <w:basedOn w:val="DefaultParagraphFont"/>
    <w:link w:val="CommentText"/>
    <w:uiPriority w:val="99"/>
    <w:semiHidden/>
    <w:rsid w:val="00F343D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343D1"/>
    <w:rPr>
      <w:b/>
      <w:bCs/>
    </w:rPr>
  </w:style>
  <w:style w:type="character" w:customStyle="1" w:styleId="CommentSubjectChar">
    <w:name w:val="Comment Subject Char"/>
    <w:basedOn w:val="CommentTextChar"/>
    <w:link w:val="CommentSubject"/>
    <w:uiPriority w:val="99"/>
    <w:semiHidden/>
    <w:rsid w:val="00F343D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343D1"/>
    <w:rPr>
      <w:rFonts w:ascii="Tahoma" w:hAnsi="Tahoma" w:cs="Tahoma"/>
      <w:sz w:val="16"/>
      <w:szCs w:val="16"/>
    </w:rPr>
  </w:style>
  <w:style w:type="character" w:customStyle="1" w:styleId="BalloonTextChar">
    <w:name w:val="Balloon Text Char"/>
    <w:basedOn w:val="DefaultParagraphFont"/>
    <w:link w:val="BalloonText"/>
    <w:uiPriority w:val="99"/>
    <w:semiHidden/>
    <w:rsid w:val="00F343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5B"/>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0A5B"/>
    <w:pPr>
      <w:tabs>
        <w:tab w:val="center" w:pos="4513"/>
        <w:tab w:val="right" w:pos="9026"/>
      </w:tabs>
    </w:pPr>
  </w:style>
  <w:style w:type="character" w:customStyle="1" w:styleId="HeaderChar">
    <w:name w:val="Header Char"/>
    <w:basedOn w:val="DefaultParagraphFont"/>
    <w:link w:val="Header"/>
    <w:uiPriority w:val="99"/>
    <w:rsid w:val="003C0A5B"/>
    <w:rPr>
      <w:rFonts w:ascii="Arial" w:eastAsia="Times New Roman" w:hAnsi="Arial" w:cs="Arial"/>
      <w:sz w:val="24"/>
      <w:szCs w:val="20"/>
    </w:rPr>
  </w:style>
  <w:style w:type="paragraph" w:styleId="Footer">
    <w:name w:val="footer"/>
    <w:basedOn w:val="Normal"/>
    <w:link w:val="FooterChar"/>
    <w:uiPriority w:val="99"/>
    <w:unhideWhenUsed/>
    <w:rsid w:val="003C0A5B"/>
    <w:pPr>
      <w:tabs>
        <w:tab w:val="center" w:pos="4513"/>
        <w:tab w:val="right" w:pos="9026"/>
      </w:tabs>
    </w:pPr>
  </w:style>
  <w:style w:type="character" w:customStyle="1" w:styleId="FooterChar">
    <w:name w:val="Footer Char"/>
    <w:basedOn w:val="DefaultParagraphFont"/>
    <w:link w:val="Footer"/>
    <w:uiPriority w:val="99"/>
    <w:rsid w:val="003C0A5B"/>
    <w:rPr>
      <w:rFonts w:ascii="Arial" w:eastAsia="Times New Roman" w:hAnsi="Arial" w:cs="Arial"/>
      <w:sz w:val="24"/>
      <w:szCs w:val="20"/>
    </w:rPr>
  </w:style>
  <w:style w:type="character" w:styleId="CommentReference">
    <w:name w:val="annotation reference"/>
    <w:basedOn w:val="DefaultParagraphFont"/>
    <w:uiPriority w:val="99"/>
    <w:semiHidden/>
    <w:unhideWhenUsed/>
    <w:rsid w:val="00F343D1"/>
    <w:rPr>
      <w:sz w:val="16"/>
      <w:szCs w:val="16"/>
    </w:rPr>
  </w:style>
  <w:style w:type="paragraph" w:styleId="CommentText">
    <w:name w:val="annotation text"/>
    <w:basedOn w:val="Normal"/>
    <w:link w:val="CommentTextChar"/>
    <w:uiPriority w:val="99"/>
    <w:semiHidden/>
    <w:unhideWhenUsed/>
    <w:rsid w:val="00F343D1"/>
    <w:rPr>
      <w:sz w:val="20"/>
    </w:rPr>
  </w:style>
  <w:style w:type="character" w:customStyle="1" w:styleId="CommentTextChar">
    <w:name w:val="Comment Text Char"/>
    <w:basedOn w:val="DefaultParagraphFont"/>
    <w:link w:val="CommentText"/>
    <w:uiPriority w:val="99"/>
    <w:semiHidden/>
    <w:rsid w:val="00F343D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343D1"/>
    <w:rPr>
      <w:b/>
      <w:bCs/>
    </w:rPr>
  </w:style>
  <w:style w:type="character" w:customStyle="1" w:styleId="CommentSubjectChar">
    <w:name w:val="Comment Subject Char"/>
    <w:basedOn w:val="CommentTextChar"/>
    <w:link w:val="CommentSubject"/>
    <w:uiPriority w:val="99"/>
    <w:semiHidden/>
    <w:rsid w:val="00F343D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343D1"/>
    <w:rPr>
      <w:rFonts w:ascii="Tahoma" w:hAnsi="Tahoma" w:cs="Tahoma"/>
      <w:sz w:val="16"/>
      <w:szCs w:val="16"/>
    </w:rPr>
  </w:style>
  <w:style w:type="character" w:customStyle="1" w:styleId="BalloonTextChar">
    <w:name w:val="Balloon Text Char"/>
    <w:basedOn w:val="DefaultParagraphFont"/>
    <w:link w:val="BalloonText"/>
    <w:uiPriority w:val="99"/>
    <w:semiHidden/>
    <w:rsid w:val="00F343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Rapley</dc:creator>
  <cp:lastModifiedBy>Andrew Oldfield</cp:lastModifiedBy>
  <cp:revision>2</cp:revision>
  <dcterms:created xsi:type="dcterms:W3CDTF">2014-11-11T10:25:00Z</dcterms:created>
  <dcterms:modified xsi:type="dcterms:W3CDTF">2014-11-11T10:25:00Z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e8d1fde2-87c2-4392-b9c3-9d8c6e702033</vt:lpwstr>
  </property>
  <property fmtid="{D5CDD505-2E9C-101B-9397-08002B2CF9AE}" pid="3" name="HCAGPMS">
    <vt:lpwstr>OFFICIAL</vt:lpwstr>
  </property>
</Properties>
</file>