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6C83" w14:textId="77777777" w:rsidR="00435158" w:rsidRDefault="00DC5A01" w:rsidP="00435158">
      <w:pPr>
        <w:pStyle w:val="CoverSubTitle"/>
      </w:pPr>
      <w:bookmarkStart w:id="0" w:name="_GoBack"/>
      <w:bookmarkEnd w:id="0"/>
      <w:r>
        <w:rPr>
          <w:noProof/>
          <w:lang w:eastAsia="en-GB"/>
        </w:rPr>
        <w:drawing>
          <wp:anchor distT="0" distB="0" distL="114300" distR="114300" simplePos="0" relativeHeight="251655680" behindDoc="0" locked="0" layoutInCell="1" allowOverlap="1" wp14:anchorId="57116D7E" wp14:editId="57116D7F">
            <wp:simplePos x="0" y="0"/>
            <wp:positionH relativeFrom="column">
              <wp:posOffset>-417195</wp:posOffset>
            </wp:positionH>
            <wp:positionV relativeFrom="paragraph">
              <wp:posOffset>-236855</wp:posOffset>
            </wp:positionV>
            <wp:extent cx="1559560" cy="1845310"/>
            <wp:effectExtent l="0" t="0" r="2540" b="2540"/>
            <wp:wrapNone/>
            <wp:docPr id="4" name="Picture 4"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ms gi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845310"/>
                    </a:xfrm>
                    <a:prstGeom prst="rect">
                      <a:avLst/>
                    </a:prstGeom>
                    <a:noFill/>
                  </pic:spPr>
                </pic:pic>
              </a:graphicData>
            </a:graphic>
            <wp14:sizeRelH relativeFrom="page">
              <wp14:pctWidth>0</wp14:pctWidth>
            </wp14:sizeRelH>
            <wp14:sizeRelV relativeFrom="page">
              <wp14:pctHeight>0</wp14:pctHeight>
            </wp14:sizeRelV>
          </wp:anchor>
        </w:drawing>
      </w:r>
    </w:p>
    <w:p w14:paraId="57116C84" w14:textId="77777777" w:rsidR="00435158" w:rsidRDefault="00435158" w:rsidP="00435158">
      <w:pPr>
        <w:pStyle w:val="CoverSubTitle"/>
      </w:pPr>
    </w:p>
    <w:p w14:paraId="57116C85" w14:textId="77777777" w:rsidR="00435158" w:rsidRDefault="00435158" w:rsidP="00435158">
      <w:pPr>
        <w:pStyle w:val="BodyText"/>
      </w:pPr>
    </w:p>
    <w:p w14:paraId="57116C86" w14:textId="77777777" w:rsidR="00435158" w:rsidRDefault="00435158" w:rsidP="00435158">
      <w:pPr>
        <w:pStyle w:val="BodyText"/>
      </w:pPr>
    </w:p>
    <w:p w14:paraId="57116C87" w14:textId="77777777" w:rsidR="00435158" w:rsidRDefault="00435158" w:rsidP="00435158">
      <w:pPr>
        <w:pStyle w:val="BodyText"/>
      </w:pPr>
    </w:p>
    <w:p w14:paraId="57116C88" w14:textId="77777777" w:rsidR="005D3906" w:rsidRDefault="005D3906" w:rsidP="00435158">
      <w:pPr>
        <w:pStyle w:val="BodyText"/>
      </w:pPr>
    </w:p>
    <w:p w14:paraId="57116C89" w14:textId="77777777" w:rsidR="001369EA" w:rsidRDefault="001369EA" w:rsidP="00435158">
      <w:pPr>
        <w:pStyle w:val="BodyText"/>
      </w:pPr>
    </w:p>
    <w:p w14:paraId="57116C8A" w14:textId="77777777" w:rsidR="001369EA" w:rsidRDefault="001369EA" w:rsidP="00435158">
      <w:pPr>
        <w:pStyle w:val="BodyText"/>
      </w:pPr>
    </w:p>
    <w:p w14:paraId="57116C8B" w14:textId="77777777" w:rsidR="005D3906" w:rsidRDefault="005D3906" w:rsidP="005D3906"/>
    <w:p w14:paraId="57116C8C" w14:textId="77777777" w:rsidR="005D3906" w:rsidRDefault="005D3906" w:rsidP="005D3906"/>
    <w:p w14:paraId="57116C8D" w14:textId="77777777" w:rsidR="00435158" w:rsidRDefault="00435158" w:rsidP="005D3906"/>
    <w:p w14:paraId="57116C8E" w14:textId="77777777" w:rsidR="005D3906" w:rsidRDefault="005D3906" w:rsidP="005D3906"/>
    <w:p w14:paraId="57116C8F" w14:textId="77777777" w:rsidR="005D3906" w:rsidRDefault="00DC5A01" w:rsidP="005D3906">
      <w:r>
        <w:rPr>
          <w:noProof/>
          <w:lang w:eastAsia="en-GB"/>
        </w:rPr>
        <mc:AlternateContent>
          <mc:Choice Requires="wps">
            <w:drawing>
              <wp:anchor distT="0" distB="0" distL="114300" distR="114300" simplePos="0" relativeHeight="251656704" behindDoc="0" locked="0" layoutInCell="1" allowOverlap="1" wp14:anchorId="57116D80" wp14:editId="57116D81">
                <wp:simplePos x="0" y="0"/>
                <wp:positionH relativeFrom="column">
                  <wp:posOffset>-342900</wp:posOffset>
                </wp:positionH>
                <wp:positionV relativeFrom="paragraph">
                  <wp:posOffset>48895</wp:posOffset>
                </wp:positionV>
                <wp:extent cx="6983730" cy="6983730"/>
                <wp:effectExtent l="9525" t="10795" r="762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7116DAE" w14:textId="77777777" w:rsidR="000132EC" w:rsidRDefault="000132EC" w:rsidP="00EF55CC"/>
                          <w:p w14:paraId="57116DAF" w14:textId="77777777" w:rsidR="000132EC" w:rsidRDefault="000132EC" w:rsidP="00DA248B">
                            <w:pPr>
                              <w:pStyle w:val="CoverDocumentTitle"/>
                              <w:ind w:left="454"/>
                            </w:pPr>
                            <w:r>
                              <w:t>Per</w:t>
                            </w:r>
                            <w:r w:rsidR="008B492B">
                              <w:t>formance Indicator Guidance 201</w:t>
                            </w:r>
                            <w:r w:rsidR="003701ED">
                              <w:t>2</w:t>
                            </w:r>
                            <w:r>
                              <w:t xml:space="preserve">   </w:t>
                            </w:r>
                          </w:p>
                          <w:p w14:paraId="57116DB0" w14:textId="77777777" w:rsidR="000132EC" w:rsidRDefault="000132EC" w:rsidP="00DA248B">
                            <w:pPr>
                              <w:pStyle w:val="CoverSubTitle"/>
                              <w:ind w:left="454"/>
                            </w:pPr>
                            <w:r>
                              <w:t xml:space="preserve">Museums &amp; Galleries   </w:t>
                            </w:r>
                          </w:p>
                          <w:p w14:paraId="57116DB1" w14:textId="77777777" w:rsidR="000132EC" w:rsidRDefault="000132EC" w:rsidP="00DA248B">
                            <w:pPr>
                              <w:pStyle w:val="CoverDate"/>
                              <w:ind w:left="454"/>
                            </w:pPr>
                            <w:r>
                              <w:t xml:space="preserve">   </w:t>
                            </w:r>
                          </w:p>
                          <w:p w14:paraId="57116DB2" w14:textId="77777777" w:rsidR="000132EC" w:rsidRDefault="000132EC"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">
                <v:textbox>
                  <w:txbxContent>
                    <w:p w:rsidR="000132EC" w:rsidRDefault="000132EC" w:rsidP="00EF55CC"/>
                    <w:p w:rsidR="000132EC" w:rsidRDefault="000132EC" w:rsidP="00DA248B">
                      <w:pPr>
                        <w:pStyle w:val="CoverDocumentTitle"/>
                        <w:ind w:left="454"/>
                      </w:pPr>
                      <w:r>
                        <w:t>Per</w:t>
                      </w:r>
                      <w:r w:rsidR="008B492B">
                        <w:t>formance Indicator Guidance 201</w:t>
                      </w:r>
                      <w:r w:rsidR="003701ED">
                        <w:t>2</w:t>
                      </w:r>
                      <w:bookmarkStart w:id="1" w:name="_GoBack"/>
                      <w:bookmarkEnd w:id="1"/>
                      <w:r>
                        <w:t xml:space="preserve">   </w:t>
                      </w:r>
                    </w:p>
                    <w:p w:rsidR="000132EC" w:rsidRDefault="000132EC" w:rsidP="00DA248B">
                      <w:pPr>
                        <w:pStyle w:val="CoverSubTitle"/>
                        <w:ind w:left="454"/>
                      </w:pPr>
                      <w:r>
                        <w:t xml:space="preserve">Museums &amp; Galleries   </w:t>
                      </w:r>
                    </w:p>
                    <w:p w:rsidR="000132EC" w:rsidRDefault="000132EC" w:rsidP="00DA248B">
                      <w:pPr>
                        <w:pStyle w:val="CoverDate"/>
                        <w:ind w:left="454"/>
                      </w:pPr>
                      <w:r>
                        <w:t xml:space="preserve">   </w:t>
                      </w:r>
                    </w:p>
                    <w:p w:rsidR="000132EC" w:rsidRDefault="000132EC" w:rsidP="00C95C8D">
                      <w:pPr>
                        <w:pStyle w:val="CoverDate"/>
                      </w:pPr>
                    </w:p>
                  </w:txbxContent>
                </v:textbox>
              </v:shape>
            </w:pict>
          </mc:Fallback>
        </mc:AlternateContent>
      </w:r>
    </w:p>
    <w:p w14:paraId="57116C90" w14:textId="77777777" w:rsidR="005D3906" w:rsidRDefault="005D3906" w:rsidP="005D3906"/>
    <w:p w14:paraId="57116C91" w14:textId="77777777" w:rsidR="00FD27B8" w:rsidRDefault="00FD27B8" w:rsidP="005D3906"/>
    <w:p w14:paraId="57116C92" w14:textId="77777777" w:rsidR="005D3906" w:rsidRDefault="005D3906" w:rsidP="005D3906"/>
    <w:p w14:paraId="57116C93" w14:textId="77777777" w:rsidR="005D3906" w:rsidRDefault="005D3906" w:rsidP="005D3906"/>
    <w:p w14:paraId="57116C94" w14:textId="77777777" w:rsidR="005D3906" w:rsidRDefault="005D3906" w:rsidP="005D3906"/>
    <w:p w14:paraId="57116C95" w14:textId="77777777" w:rsidR="005D3906" w:rsidRDefault="005D3906" w:rsidP="005D3906"/>
    <w:p w14:paraId="57116C96" w14:textId="77777777" w:rsidR="005D3906" w:rsidRDefault="005D3906" w:rsidP="005D3906"/>
    <w:p w14:paraId="57116C97" w14:textId="77777777" w:rsidR="005D3906" w:rsidRDefault="005D3906" w:rsidP="005D3906"/>
    <w:p w14:paraId="57116C98" w14:textId="77777777" w:rsidR="005D3906" w:rsidRDefault="005D3906" w:rsidP="005D3906"/>
    <w:p w14:paraId="57116C99" w14:textId="77777777" w:rsidR="005D3906" w:rsidRDefault="005D3906" w:rsidP="005D3906"/>
    <w:p w14:paraId="57116C9A" w14:textId="77777777" w:rsidR="005D3906" w:rsidRDefault="005D3906" w:rsidP="005D3906"/>
    <w:p w14:paraId="57116C9B" w14:textId="77777777" w:rsidR="005D3906" w:rsidRDefault="005D3906" w:rsidP="005D3906"/>
    <w:p w14:paraId="57116C9C" w14:textId="77777777" w:rsidR="005D3906" w:rsidRDefault="005D3906" w:rsidP="005D3906"/>
    <w:p w14:paraId="57116C9D" w14:textId="77777777" w:rsidR="00841BC2" w:rsidRDefault="00841BC2" w:rsidP="005D3906"/>
    <w:p w14:paraId="57116C9E" w14:textId="77777777" w:rsidR="00841BC2" w:rsidRDefault="00841BC2" w:rsidP="005D3906"/>
    <w:p w14:paraId="57116C9F" w14:textId="77777777" w:rsidR="00841BC2" w:rsidRDefault="00841BC2" w:rsidP="005D3906"/>
    <w:p w14:paraId="57116CA0" w14:textId="77777777" w:rsidR="00841BC2" w:rsidRDefault="00841BC2" w:rsidP="005D3906"/>
    <w:p w14:paraId="57116CA1" w14:textId="77777777" w:rsidR="00841BC2" w:rsidRDefault="00841BC2" w:rsidP="005D3906"/>
    <w:p w14:paraId="57116CA2" w14:textId="77777777" w:rsidR="00841BC2" w:rsidRDefault="00DC5A01" w:rsidP="005D3906">
      <w:r>
        <w:rPr>
          <w:noProof/>
          <w:lang w:eastAsia="en-GB"/>
        </w:rPr>
        <w:drawing>
          <wp:anchor distT="0" distB="0" distL="114300" distR="114300" simplePos="0" relativeHeight="251659776" behindDoc="0" locked="0" layoutInCell="1" allowOverlap="1" wp14:anchorId="57116D82" wp14:editId="57116D83">
            <wp:simplePos x="0" y="0"/>
            <wp:positionH relativeFrom="column">
              <wp:posOffset>5667375</wp:posOffset>
            </wp:positionH>
            <wp:positionV relativeFrom="paragraph">
              <wp:posOffset>1569085</wp:posOffset>
            </wp:positionV>
            <wp:extent cx="828675" cy="828675"/>
            <wp:effectExtent l="0" t="0" r="9525" b="9525"/>
            <wp:wrapNone/>
            <wp:docPr id="16" name="Picture 16" descr="dcms strap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ms strapline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14:paraId="57116CA3" w14:textId="77777777" w:rsidR="00841BC2" w:rsidRDefault="00841BC2" w:rsidP="005D3906">
      <w:pPr>
        <w:sectPr w:rsidR="00841BC2" w:rsidSect="00CC02EF">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794" w:right="1021" w:bottom="1134" w:left="1021" w:header="709" w:footer="709" w:gutter="0"/>
          <w:cols w:space="708"/>
          <w:docGrid w:linePitch="360"/>
        </w:sectPr>
      </w:pPr>
    </w:p>
    <w:p w14:paraId="57116CA4" w14:textId="77777777" w:rsidR="00841BC2" w:rsidRDefault="00841BC2" w:rsidP="009B069B"/>
    <w:p w14:paraId="57116CA5" w14:textId="77777777" w:rsidR="00841BC2" w:rsidRDefault="00841BC2" w:rsidP="009B069B"/>
    <w:p w14:paraId="57116CA6" w14:textId="77777777" w:rsidR="009B069B" w:rsidRDefault="009B069B" w:rsidP="009B069B"/>
    <w:p w14:paraId="57116CA7" w14:textId="77777777" w:rsidR="00841BC2" w:rsidRDefault="00401C56" w:rsidP="00401C56">
      <w:pPr>
        <w:pStyle w:val="MissionStatement"/>
      </w:pPr>
      <w:r w:rsidRPr="00401C56">
        <w:t xml:space="preserve">Our aim is to improve the quality of life for all </w:t>
      </w:r>
      <w:r w:rsidR="00401173">
        <w:t xml:space="preserve">     </w:t>
      </w:r>
      <w:r w:rsidRPr="00401C56">
        <w:t>through cultural and sporting activities, support the pursuit of excellence, and champion the tourism, creative and leisure industries</w:t>
      </w:r>
      <w:r w:rsidR="002B5C17">
        <w:t>.</w:t>
      </w:r>
    </w:p>
    <w:p w14:paraId="57116CA8" w14:textId="77777777" w:rsidR="00401C56" w:rsidRPr="00401C56" w:rsidRDefault="00401C56" w:rsidP="00401C56"/>
    <w:p w14:paraId="57116CA9" w14:textId="77777777" w:rsidR="005E332B" w:rsidRDefault="005E332B" w:rsidP="005D3906">
      <w:pPr>
        <w:sectPr w:rsidR="005E332B" w:rsidSect="005A5D21">
          <w:headerReference w:type="even" r:id="rId16"/>
          <w:pgSz w:w="11906" w:h="16838" w:code="9"/>
          <w:pgMar w:top="1418" w:right="1021" w:bottom="1134" w:left="1021" w:header="540" w:footer="709" w:gutter="0"/>
          <w:cols w:space="708"/>
          <w:docGrid w:linePitch="360"/>
        </w:sectPr>
      </w:pPr>
    </w:p>
    <w:p w14:paraId="57116CAA" w14:textId="77777777" w:rsidR="00FD27B8" w:rsidRDefault="00FD27B8" w:rsidP="00FB74E7">
      <w:pPr>
        <w:pStyle w:val="StyleTOCHeadingBottomSinglesolidlineAuto05ptLine"/>
      </w:pPr>
      <w:r>
        <w:lastRenderedPageBreak/>
        <w:t>Contents</w:t>
      </w:r>
    </w:p>
    <w:p w14:paraId="57116CAB" w14:textId="77777777" w:rsidR="001069EA" w:rsidRDefault="007F025D" w:rsidP="001069EA">
      <w:pPr>
        <w:pStyle w:val="TOC1"/>
        <w:tabs>
          <w:tab w:val="right" w:pos="9854"/>
        </w:tabs>
        <w:rPr>
          <w:noProof/>
        </w:rPr>
      </w:pPr>
      <w:r>
        <w:fldChar w:fldCharType="begin"/>
      </w:r>
      <w:r w:rsidR="002F69CC">
        <w:instrText xml:space="preserve"> TOC \o "1-2" </w:instrText>
      </w:r>
      <w:r>
        <w:fldChar w:fldCharType="separate"/>
      </w:r>
      <w:r w:rsidR="002F69CC">
        <w:rPr>
          <w:noProof/>
        </w:rPr>
        <w:t xml:space="preserve">Section 1: </w:t>
      </w:r>
      <w:r w:rsidR="006075CD">
        <w:rPr>
          <w:noProof/>
        </w:rPr>
        <w:t>Access</w:t>
      </w:r>
      <w:r w:rsidR="001069EA">
        <w:rPr>
          <w:noProof/>
        </w:rPr>
        <w:tab/>
        <w:t>4</w:t>
      </w:r>
    </w:p>
    <w:p w14:paraId="57116CAC" w14:textId="77777777" w:rsidR="001069EA" w:rsidRDefault="0046107E" w:rsidP="001069EA">
      <w:pPr>
        <w:pStyle w:val="TOC1"/>
        <w:tabs>
          <w:tab w:val="right" w:pos="9854"/>
        </w:tabs>
      </w:pPr>
      <w:r>
        <w:t xml:space="preserve">Section 2: Audience </w:t>
      </w:r>
      <w:r w:rsidR="005C2175">
        <w:t>p</w:t>
      </w:r>
      <w:r w:rsidR="001069EA">
        <w:t>rofile</w:t>
      </w:r>
      <w:r w:rsidR="001069EA">
        <w:tab/>
        <w:t>7</w:t>
      </w:r>
    </w:p>
    <w:p w14:paraId="57116CAD" w14:textId="77777777" w:rsidR="001069EA" w:rsidRDefault="001105C2" w:rsidP="001069EA">
      <w:pPr>
        <w:pStyle w:val="TOC1"/>
        <w:tabs>
          <w:tab w:val="right" w:pos="9854"/>
        </w:tabs>
      </w:pPr>
      <w:r>
        <w:t xml:space="preserve">Section 3: Learning and </w:t>
      </w:r>
      <w:r w:rsidR="005C2175">
        <w:t>o</w:t>
      </w:r>
      <w:r>
        <w:t>utreach</w:t>
      </w:r>
      <w:r>
        <w:tab/>
      </w:r>
      <w:r w:rsidR="001069EA">
        <w:t>10</w:t>
      </w:r>
      <w:r w:rsidR="007F025D">
        <w:fldChar w:fldCharType="end"/>
      </w:r>
    </w:p>
    <w:p w14:paraId="57116CAE" w14:textId="77777777" w:rsidR="001069EA" w:rsidRDefault="005C2175" w:rsidP="001069EA">
      <w:pPr>
        <w:pStyle w:val="TOC1"/>
        <w:tabs>
          <w:tab w:val="right" w:pos="9854"/>
        </w:tabs>
      </w:pPr>
      <w:r>
        <w:t>Section 4: Visitor satisfaction</w:t>
      </w:r>
      <w:r w:rsidR="001069EA">
        <w:tab/>
        <w:t>17</w:t>
      </w:r>
    </w:p>
    <w:p w14:paraId="57116CAF" w14:textId="77777777" w:rsidR="001069EA" w:rsidRDefault="005C2175" w:rsidP="001069EA">
      <w:pPr>
        <w:pStyle w:val="TOC1"/>
        <w:tabs>
          <w:tab w:val="right" w:pos="9854"/>
        </w:tabs>
      </w:pPr>
      <w:r>
        <w:t>Section 5: Income generation</w:t>
      </w:r>
      <w:r w:rsidR="001069EA">
        <w:tab/>
        <w:t>18</w:t>
      </w:r>
    </w:p>
    <w:p w14:paraId="57116CB0" w14:textId="77777777" w:rsidR="005C2175" w:rsidRDefault="001069EA" w:rsidP="001069EA">
      <w:pPr>
        <w:pStyle w:val="TOC1"/>
        <w:tabs>
          <w:tab w:val="right" w:pos="9854"/>
        </w:tabs>
      </w:pPr>
      <w:r>
        <w:t>S</w:t>
      </w:r>
      <w:r w:rsidR="005C2175">
        <w:t>ection 6: Regional engagement</w:t>
      </w:r>
      <w:r>
        <w:tab/>
        <w:t>19</w:t>
      </w:r>
    </w:p>
    <w:p w14:paraId="57116CB1" w14:textId="77777777" w:rsidR="0023155C" w:rsidRDefault="0023155C"/>
    <w:p w14:paraId="57116CB2" w14:textId="77777777" w:rsidR="005A5D21" w:rsidRDefault="005A5D21">
      <w:pPr>
        <w:sectPr w:rsidR="005A5D21" w:rsidSect="00D73CC1">
          <w:headerReference w:type="even" r:id="rId17"/>
          <w:headerReference w:type="default" r:id="rId18"/>
          <w:type w:val="oddPage"/>
          <w:pgSz w:w="11906" w:h="16838" w:code="9"/>
          <w:pgMar w:top="1418" w:right="1021" w:bottom="1134" w:left="1021" w:header="539" w:footer="709" w:gutter="0"/>
          <w:cols w:space="708"/>
          <w:docGrid w:linePitch="360"/>
        </w:sectPr>
      </w:pPr>
    </w:p>
    <w:p w14:paraId="57116CB3" w14:textId="77777777" w:rsidR="00FD27B8" w:rsidRDefault="006075CD" w:rsidP="0046107E">
      <w:pPr>
        <w:pStyle w:val="Heading1Numbered"/>
        <w:numPr>
          <w:ilvl w:val="0"/>
          <w:numId w:val="0"/>
        </w:numPr>
        <w:tabs>
          <w:tab w:val="left" w:pos="5310"/>
        </w:tabs>
      </w:pPr>
      <w:r>
        <w:lastRenderedPageBreak/>
        <w:t>Section 1: Access</w:t>
      </w:r>
      <w:r w:rsidR="0046107E">
        <w:tab/>
      </w:r>
    </w:p>
    <w:p w14:paraId="57116CB4" w14:textId="77777777" w:rsidR="00F066E3" w:rsidRDefault="00F066E3" w:rsidP="006075CD">
      <w:pPr>
        <w:ind w:left="0"/>
      </w:pPr>
    </w:p>
    <w:tbl>
      <w:tblPr>
        <w:tblStyle w:val="TableGrid"/>
        <w:tblW w:w="0" w:type="auto"/>
        <w:tblInd w:w="360" w:type="dxa"/>
        <w:tblLook w:val="04A0" w:firstRow="1" w:lastRow="0" w:firstColumn="1" w:lastColumn="0" w:noHBand="0" w:noVBand="1"/>
      </w:tblPr>
      <w:tblGrid>
        <w:gridCol w:w="461"/>
        <w:gridCol w:w="3238"/>
        <w:gridCol w:w="6021"/>
      </w:tblGrid>
      <w:tr w:rsidR="006075CD" w:rsidRPr="007501A2" w14:paraId="57116CCA" w14:textId="77777777" w:rsidTr="006075CD">
        <w:tc>
          <w:tcPr>
            <w:tcW w:w="461" w:type="dxa"/>
          </w:tcPr>
          <w:p w14:paraId="57116CB5" w14:textId="77777777" w:rsidR="006075CD" w:rsidRPr="007501A2" w:rsidRDefault="006075CD" w:rsidP="006075CD">
            <w:pPr>
              <w:ind w:left="0"/>
              <w:rPr>
                <w:sz w:val="24"/>
              </w:rPr>
            </w:pPr>
            <w:r w:rsidRPr="007501A2">
              <w:rPr>
                <w:sz w:val="24"/>
              </w:rPr>
              <w:t>1</w:t>
            </w:r>
          </w:p>
        </w:tc>
        <w:tc>
          <w:tcPr>
            <w:tcW w:w="3238" w:type="dxa"/>
          </w:tcPr>
          <w:p w14:paraId="57116CB6" w14:textId="77777777" w:rsidR="006075CD" w:rsidRPr="007501A2" w:rsidRDefault="006075CD" w:rsidP="006075CD">
            <w:pPr>
              <w:ind w:left="0"/>
              <w:rPr>
                <w:sz w:val="24"/>
              </w:rPr>
            </w:pPr>
            <w:r w:rsidRPr="007501A2">
              <w:rPr>
                <w:sz w:val="24"/>
              </w:rPr>
              <w:t>Number of visits to the museum/gallery (excluding virtual visits)</w:t>
            </w:r>
          </w:p>
          <w:p w14:paraId="57116CB7" w14:textId="77777777" w:rsidR="006075CD" w:rsidRPr="007501A2" w:rsidRDefault="006075CD" w:rsidP="006075CD">
            <w:pPr>
              <w:ind w:left="0"/>
              <w:rPr>
                <w:sz w:val="24"/>
              </w:rPr>
            </w:pPr>
          </w:p>
          <w:p w14:paraId="57116CB8" w14:textId="77777777" w:rsidR="006075CD" w:rsidRPr="00AD5F84" w:rsidRDefault="008B492B" w:rsidP="006075CD">
            <w:pPr>
              <w:ind w:left="0"/>
              <w:rPr>
                <w:b/>
                <w:sz w:val="24"/>
              </w:rPr>
            </w:pPr>
            <w:r w:rsidRPr="00AD5F84">
              <w:rPr>
                <w:b/>
                <w:sz w:val="24"/>
              </w:rPr>
              <w:t>Key Performance Indicator</w:t>
            </w:r>
          </w:p>
        </w:tc>
        <w:tc>
          <w:tcPr>
            <w:tcW w:w="6021" w:type="dxa"/>
          </w:tcPr>
          <w:p w14:paraId="57116CB9" w14:textId="77777777" w:rsidR="006075CD" w:rsidRPr="007501A2" w:rsidRDefault="006075CD" w:rsidP="006075CD">
            <w:pPr>
              <w:ind w:left="0"/>
              <w:rPr>
                <w:sz w:val="24"/>
              </w:rPr>
            </w:pPr>
            <w:r w:rsidRPr="007501A2">
              <w:rPr>
                <w:sz w:val="24"/>
              </w:rPr>
              <w:t xml:space="preserve">Actual physical count of the total number of all visits made to the museum/gallery. A visit refers to a single trip to a museum/gallery by an individual and a period of time in which he/she physically accesses the collections. </w:t>
            </w:r>
          </w:p>
          <w:p w14:paraId="57116CBA" w14:textId="77777777" w:rsidR="006075CD" w:rsidRPr="007501A2" w:rsidRDefault="006075CD" w:rsidP="006075CD">
            <w:pPr>
              <w:ind w:left="0"/>
              <w:rPr>
                <w:sz w:val="24"/>
              </w:rPr>
            </w:pPr>
          </w:p>
          <w:p w14:paraId="57116CBB" w14:textId="77777777" w:rsidR="006075CD" w:rsidRDefault="006075CD" w:rsidP="006075CD">
            <w:pPr>
              <w:ind w:left="0"/>
              <w:rPr>
                <w:sz w:val="24"/>
                <w:u w:val="single"/>
              </w:rPr>
            </w:pPr>
            <w:r w:rsidRPr="007501A2">
              <w:rPr>
                <w:sz w:val="24"/>
                <w:u w:val="single"/>
              </w:rPr>
              <w:t>Performance Indicator includes:</w:t>
            </w:r>
          </w:p>
          <w:p w14:paraId="57116CBC" w14:textId="77777777" w:rsidR="007501A2" w:rsidRPr="007501A2" w:rsidRDefault="007501A2" w:rsidP="007501A2">
            <w:pPr>
              <w:numPr>
                <w:ilvl w:val="0"/>
                <w:numId w:val="14"/>
              </w:numPr>
              <w:rPr>
                <w:sz w:val="24"/>
              </w:rPr>
            </w:pPr>
            <w:r w:rsidRPr="007501A2">
              <w:rPr>
                <w:sz w:val="24"/>
              </w:rPr>
              <w:t xml:space="preserve">All “ordinary visits” to the museum/gallery </w:t>
            </w:r>
            <w:r w:rsidR="00C65D1E" w:rsidRPr="007501A2">
              <w:rPr>
                <w:sz w:val="24"/>
              </w:rPr>
              <w:t>(</w:t>
            </w:r>
            <w:r w:rsidR="00C65D1E">
              <w:rPr>
                <w:sz w:val="24"/>
              </w:rPr>
              <w:t xml:space="preserve">i.e </w:t>
            </w:r>
            <w:r w:rsidR="00C65D1E" w:rsidRPr="007501A2">
              <w:rPr>
                <w:sz w:val="24"/>
              </w:rPr>
              <w:t xml:space="preserve">those not involving the education programme) </w:t>
            </w:r>
            <w:r w:rsidR="00E976FD">
              <w:rPr>
                <w:sz w:val="24"/>
              </w:rPr>
              <w:t>plus</w:t>
            </w:r>
            <w:r w:rsidRPr="007501A2">
              <w:rPr>
                <w:sz w:val="24"/>
              </w:rPr>
              <w:t xml:space="preserve"> the educational visits measured in </w:t>
            </w:r>
            <w:r w:rsidR="00DB4872">
              <w:rPr>
                <w:sz w:val="24"/>
              </w:rPr>
              <w:t>5</w:t>
            </w:r>
            <w:r w:rsidRPr="007501A2">
              <w:rPr>
                <w:sz w:val="24"/>
              </w:rPr>
              <w:t xml:space="preserve">.1 and </w:t>
            </w:r>
            <w:r w:rsidR="00DB4872">
              <w:rPr>
                <w:sz w:val="24"/>
              </w:rPr>
              <w:t>5</w:t>
            </w:r>
            <w:r w:rsidRPr="007501A2">
              <w:rPr>
                <w:sz w:val="24"/>
              </w:rPr>
              <w:t>.2</w:t>
            </w:r>
          </w:p>
          <w:p w14:paraId="57116CBD" w14:textId="77777777" w:rsidR="007501A2" w:rsidRPr="007501A2" w:rsidRDefault="007501A2" w:rsidP="007501A2">
            <w:pPr>
              <w:numPr>
                <w:ilvl w:val="0"/>
                <w:numId w:val="14"/>
              </w:numPr>
              <w:rPr>
                <w:sz w:val="24"/>
              </w:rPr>
            </w:pPr>
            <w:r w:rsidRPr="007501A2">
              <w:rPr>
                <w:sz w:val="24"/>
              </w:rPr>
              <w:t>Visits to evening events</w:t>
            </w:r>
          </w:p>
          <w:p w14:paraId="57116CBE" w14:textId="77777777" w:rsidR="007501A2" w:rsidRDefault="007501A2" w:rsidP="007501A2">
            <w:pPr>
              <w:numPr>
                <w:ilvl w:val="0"/>
                <w:numId w:val="14"/>
              </w:numPr>
              <w:rPr>
                <w:sz w:val="24"/>
              </w:rPr>
            </w:pPr>
            <w:r w:rsidRPr="007501A2">
              <w:rPr>
                <w:sz w:val="24"/>
              </w:rPr>
              <w:t>UK and overseas visits</w:t>
            </w:r>
          </w:p>
          <w:p w14:paraId="57116CBF" w14:textId="77777777" w:rsidR="007501A2" w:rsidRDefault="007501A2" w:rsidP="007501A2">
            <w:pPr>
              <w:ind w:left="0"/>
              <w:rPr>
                <w:sz w:val="24"/>
              </w:rPr>
            </w:pPr>
          </w:p>
          <w:p w14:paraId="57116CC0" w14:textId="77777777" w:rsidR="007501A2" w:rsidRDefault="007501A2" w:rsidP="007501A2">
            <w:pPr>
              <w:ind w:left="0"/>
              <w:rPr>
                <w:sz w:val="24"/>
                <w:u w:val="single"/>
              </w:rPr>
            </w:pPr>
            <w:r w:rsidRPr="007501A2">
              <w:rPr>
                <w:sz w:val="24"/>
                <w:u w:val="single"/>
              </w:rPr>
              <w:t>The  Performance Indicator excludes:</w:t>
            </w:r>
          </w:p>
          <w:p w14:paraId="57116CC1" w14:textId="77777777" w:rsidR="007501A2" w:rsidRPr="007501A2" w:rsidRDefault="007501A2" w:rsidP="007501A2">
            <w:pPr>
              <w:numPr>
                <w:ilvl w:val="0"/>
                <w:numId w:val="15"/>
              </w:numPr>
              <w:rPr>
                <w:sz w:val="24"/>
              </w:rPr>
            </w:pPr>
            <w:r w:rsidRPr="007501A2">
              <w:rPr>
                <w:sz w:val="24"/>
              </w:rPr>
              <w:t>Visits by corporate hire customers</w:t>
            </w:r>
          </w:p>
          <w:p w14:paraId="57116CC2" w14:textId="77777777" w:rsidR="007501A2" w:rsidRPr="007501A2" w:rsidRDefault="007501A2" w:rsidP="007501A2">
            <w:pPr>
              <w:numPr>
                <w:ilvl w:val="0"/>
                <w:numId w:val="15"/>
              </w:numPr>
              <w:rPr>
                <w:sz w:val="24"/>
              </w:rPr>
            </w:pPr>
            <w:r w:rsidRPr="007501A2">
              <w:rPr>
                <w:sz w:val="24"/>
              </w:rPr>
              <w:t>Visits by staff and volunteers</w:t>
            </w:r>
          </w:p>
          <w:p w14:paraId="57116CC3" w14:textId="77777777" w:rsidR="007501A2" w:rsidRPr="007501A2" w:rsidRDefault="007501A2" w:rsidP="007501A2">
            <w:pPr>
              <w:numPr>
                <w:ilvl w:val="0"/>
                <w:numId w:val="15"/>
              </w:numPr>
              <w:rPr>
                <w:sz w:val="24"/>
              </w:rPr>
            </w:pPr>
            <w:r w:rsidRPr="007501A2">
              <w:rPr>
                <w:sz w:val="24"/>
              </w:rPr>
              <w:t>Visits by suppliers and contractors</w:t>
            </w:r>
          </w:p>
          <w:p w14:paraId="57116CC4" w14:textId="77777777" w:rsidR="007501A2" w:rsidRPr="007501A2" w:rsidRDefault="007501A2" w:rsidP="007501A2">
            <w:pPr>
              <w:numPr>
                <w:ilvl w:val="0"/>
                <w:numId w:val="15"/>
              </w:numPr>
              <w:rPr>
                <w:sz w:val="24"/>
              </w:rPr>
            </w:pPr>
            <w:r w:rsidRPr="007501A2">
              <w:rPr>
                <w:sz w:val="24"/>
              </w:rPr>
              <w:t>Virtual visits</w:t>
            </w:r>
          </w:p>
          <w:p w14:paraId="57116CC5" w14:textId="77777777" w:rsidR="007501A2" w:rsidRPr="007501A2" w:rsidRDefault="007501A2" w:rsidP="007501A2">
            <w:pPr>
              <w:numPr>
                <w:ilvl w:val="0"/>
                <w:numId w:val="15"/>
              </w:numPr>
              <w:rPr>
                <w:sz w:val="24"/>
              </w:rPr>
            </w:pPr>
            <w:r w:rsidRPr="007501A2">
              <w:rPr>
                <w:sz w:val="24"/>
              </w:rPr>
              <w:t>Visits to touring exhibitions held at other venues</w:t>
            </w:r>
          </w:p>
          <w:p w14:paraId="57116CC6" w14:textId="77777777" w:rsidR="007501A2" w:rsidRDefault="007501A2" w:rsidP="007501A2">
            <w:pPr>
              <w:numPr>
                <w:ilvl w:val="0"/>
                <w:numId w:val="15"/>
              </w:numPr>
              <w:rPr>
                <w:sz w:val="24"/>
              </w:rPr>
            </w:pPr>
            <w:r w:rsidRPr="007501A2">
              <w:rPr>
                <w:sz w:val="24"/>
              </w:rPr>
              <w:t xml:space="preserve">Instances of participation </w:t>
            </w:r>
            <w:r>
              <w:rPr>
                <w:sz w:val="24"/>
              </w:rPr>
              <w:t>in off-site outreach programmes</w:t>
            </w:r>
          </w:p>
          <w:p w14:paraId="57116CC7" w14:textId="77777777" w:rsidR="007501A2" w:rsidRDefault="007501A2" w:rsidP="007501A2">
            <w:pPr>
              <w:ind w:left="0"/>
              <w:rPr>
                <w:sz w:val="24"/>
              </w:rPr>
            </w:pPr>
          </w:p>
          <w:p w14:paraId="57116CC8" w14:textId="77777777" w:rsidR="006075CD" w:rsidRDefault="007501A2" w:rsidP="007501A2">
            <w:pPr>
              <w:ind w:left="0"/>
              <w:rPr>
                <w:sz w:val="24"/>
              </w:rPr>
            </w:pPr>
            <w:r>
              <w:rPr>
                <w:sz w:val="24"/>
              </w:rPr>
              <w:t xml:space="preserve">If visits to shops, cafes and grounds/gardens </w:t>
            </w:r>
            <w:proofErr w:type="spellStart"/>
            <w:r>
              <w:rPr>
                <w:sz w:val="24"/>
              </w:rPr>
              <w:t>etc</w:t>
            </w:r>
            <w:proofErr w:type="spellEnd"/>
            <w:r>
              <w:rPr>
                <w:sz w:val="24"/>
              </w:rPr>
              <w:t xml:space="preserve"> are counted separately from visits to the museum/gallery, they should not be added on to the museum/gallery visits to give a total number of visits. However,</w:t>
            </w:r>
            <w:r w:rsidR="004E085D">
              <w:rPr>
                <w:sz w:val="24"/>
              </w:rPr>
              <w:t xml:space="preserve"> </w:t>
            </w:r>
            <w:r>
              <w:rPr>
                <w:sz w:val="24"/>
              </w:rPr>
              <w:t xml:space="preserve">visits to the shop, cafe and grounds/gardens may be presented as a separate optional measure. </w:t>
            </w:r>
          </w:p>
          <w:p w14:paraId="57116CC9" w14:textId="77777777" w:rsidR="007501A2" w:rsidRPr="007501A2" w:rsidRDefault="007501A2" w:rsidP="007501A2">
            <w:pPr>
              <w:ind w:left="0"/>
              <w:rPr>
                <w:sz w:val="24"/>
              </w:rPr>
            </w:pPr>
          </w:p>
        </w:tc>
      </w:tr>
      <w:tr w:rsidR="006075CD" w:rsidRPr="007501A2" w14:paraId="57116CDF" w14:textId="77777777" w:rsidTr="006075CD">
        <w:tc>
          <w:tcPr>
            <w:tcW w:w="461" w:type="dxa"/>
          </w:tcPr>
          <w:p w14:paraId="57116CCB" w14:textId="77777777" w:rsidR="006075CD" w:rsidRPr="007501A2" w:rsidRDefault="006075CD" w:rsidP="006075CD">
            <w:pPr>
              <w:ind w:left="0"/>
              <w:rPr>
                <w:sz w:val="24"/>
              </w:rPr>
            </w:pPr>
            <w:r w:rsidRPr="007501A2">
              <w:rPr>
                <w:sz w:val="24"/>
              </w:rPr>
              <w:t>2</w:t>
            </w:r>
          </w:p>
        </w:tc>
        <w:tc>
          <w:tcPr>
            <w:tcW w:w="3238" w:type="dxa"/>
          </w:tcPr>
          <w:p w14:paraId="57116CCC" w14:textId="77777777" w:rsidR="006075CD" w:rsidRDefault="007501A2" w:rsidP="006075CD">
            <w:pPr>
              <w:ind w:left="0"/>
              <w:rPr>
                <w:sz w:val="24"/>
              </w:rPr>
            </w:pPr>
            <w:r>
              <w:rPr>
                <w:sz w:val="24"/>
              </w:rPr>
              <w:t>Number of unique website visits</w:t>
            </w:r>
          </w:p>
          <w:p w14:paraId="57116CCD" w14:textId="77777777" w:rsidR="007501A2" w:rsidRDefault="007501A2" w:rsidP="006075CD">
            <w:pPr>
              <w:ind w:left="0"/>
              <w:rPr>
                <w:sz w:val="24"/>
              </w:rPr>
            </w:pPr>
          </w:p>
          <w:p w14:paraId="57116CCE" w14:textId="77777777" w:rsidR="007501A2" w:rsidRPr="007501A2" w:rsidRDefault="007501A2" w:rsidP="006075CD">
            <w:pPr>
              <w:ind w:left="0"/>
              <w:rPr>
                <w:sz w:val="24"/>
              </w:rPr>
            </w:pPr>
          </w:p>
        </w:tc>
        <w:tc>
          <w:tcPr>
            <w:tcW w:w="6021" w:type="dxa"/>
          </w:tcPr>
          <w:p w14:paraId="57116CCF" w14:textId="77777777" w:rsidR="006075CD" w:rsidRDefault="007501A2" w:rsidP="006075CD">
            <w:pPr>
              <w:ind w:left="0"/>
              <w:rPr>
                <w:sz w:val="24"/>
              </w:rPr>
            </w:pPr>
            <w:r>
              <w:rPr>
                <w:sz w:val="24"/>
              </w:rPr>
              <w:lastRenderedPageBreak/>
              <w:t xml:space="preserve">The total number of website visits by unique users which are recorded for the museum/gallery website. </w:t>
            </w:r>
          </w:p>
          <w:p w14:paraId="57116CD0" w14:textId="77777777" w:rsidR="007501A2" w:rsidRDefault="007501A2" w:rsidP="006075CD">
            <w:pPr>
              <w:ind w:left="0"/>
              <w:rPr>
                <w:sz w:val="24"/>
              </w:rPr>
            </w:pPr>
          </w:p>
          <w:p w14:paraId="57116CD1" w14:textId="77777777" w:rsidR="007501A2" w:rsidRDefault="007501A2" w:rsidP="006075CD">
            <w:pPr>
              <w:ind w:left="0"/>
              <w:rPr>
                <w:sz w:val="24"/>
              </w:rPr>
            </w:pPr>
            <w:r>
              <w:rPr>
                <w:sz w:val="24"/>
              </w:rPr>
              <w:lastRenderedPageBreak/>
              <w:t xml:space="preserve">The definitions used here in relation to website visits are those approved by ABC Electronics. </w:t>
            </w:r>
          </w:p>
          <w:p w14:paraId="57116CD2" w14:textId="77777777" w:rsidR="007501A2" w:rsidRDefault="007501A2" w:rsidP="006075CD">
            <w:pPr>
              <w:ind w:left="0"/>
              <w:rPr>
                <w:sz w:val="24"/>
              </w:rPr>
            </w:pPr>
          </w:p>
          <w:p w14:paraId="57116CD3" w14:textId="77777777" w:rsidR="004951FA" w:rsidRDefault="007501A2" w:rsidP="006075CD">
            <w:pPr>
              <w:ind w:left="0"/>
              <w:rPr>
                <w:sz w:val="24"/>
              </w:rPr>
            </w:pPr>
            <w:r>
              <w:rPr>
                <w:sz w:val="24"/>
              </w:rPr>
              <w:t xml:space="preserve">A website </w:t>
            </w:r>
            <w:r w:rsidRPr="007501A2">
              <w:rPr>
                <w:sz w:val="24"/>
                <w:u w:val="single"/>
              </w:rPr>
              <w:t>visit</w:t>
            </w:r>
            <w:r w:rsidR="004951FA">
              <w:rPr>
                <w:sz w:val="24"/>
              </w:rPr>
              <w:t xml:space="preserve"> </w:t>
            </w:r>
            <w:r>
              <w:rPr>
                <w:sz w:val="24"/>
              </w:rPr>
              <w:t>(sometimes known as a user session) is a series of one or more page impressions, served to one user, which ends when there is a gap of 30 minutes or more between successive page impressions for that user. A visit is effectively a near continuous burst of activity by a valid user. A visit is determined when a unique user enters or re-enters a website during</w:t>
            </w:r>
            <w:r w:rsidR="004951FA">
              <w:rPr>
                <w:sz w:val="24"/>
              </w:rPr>
              <w:t xml:space="preserve"> a specified period. A visit is determined by counting bursts of activity (page impressions) made by valid unique users that have not re-entered the site within the past 30 minutes. Visits from spiders and robots should be excluded from this measure. Visits are a better indicator of total site activity than unique users since they indicate frequency of use. </w:t>
            </w:r>
          </w:p>
          <w:p w14:paraId="57116CD4" w14:textId="77777777" w:rsidR="004951FA" w:rsidRDefault="004951FA" w:rsidP="006075CD">
            <w:pPr>
              <w:ind w:left="0"/>
              <w:rPr>
                <w:sz w:val="24"/>
              </w:rPr>
            </w:pPr>
          </w:p>
          <w:p w14:paraId="57116CD5" w14:textId="77777777" w:rsidR="004951FA" w:rsidRDefault="004951FA" w:rsidP="006075CD">
            <w:pPr>
              <w:ind w:left="0"/>
              <w:rPr>
                <w:sz w:val="24"/>
              </w:rPr>
            </w:pPr>
            <w:r>
              <w:rPr>
                <w:sz w:val="24"/>
              </w:rPr>
              <w:t xml:space="preserve">A </w:t>
            </w:r>
            <w:r w:rsidRPr="001438C9">
              <w:rPr>
                <w:sz w:val="24"/>
                <w:u w:val="single"/>
              </w:rPr>
              <w:t>unique user</w:t>
            </w:r>
            <w:r>
              <w:rPr>
                <w:sz w:val="24"/>
              </w:rPr>
              <w:t xml:space="preserve"> is a unique and valid identifier. Sites may use:</w:t>
            </w:r>
          </w:p>
          <w:p w14:paraId="57116CD6" w14:textId="77777777" w:rsidR="004951FA" w:rsidRDefault="004951FA" w:rsidP="006075CD">
            <w:pPr>
              <w:ind w:left="0"/>
              <w:rPr>
                <w:sz w:val="24"/>
              </w:rPr>
            </w:pPr>
          </w:p>
          <w:p w14:paraId="57116CD7" w14:textId="77777777" w:rsidR="007501A2" w:rsidRDefault="004951FA" w:rsidP="004951FA">
            <w:pPr>
              <w:numPr>
                <w:ilvl w:val="0"/>
                <w:numId w:val="16"/>
              </w:numPr>
              <w:rPr>
                <w:sz w:val="24"/>
              </w:rPr>
            </w:pPr>
            <w:r>
              <w:rPr>
                <w:sz w:val="24"/>
              </w:rPr>
              <w:t>IP + User-Agent</w:t>
            </w:r>
          </w:p>
          <w:p w14:paraId="57116CD8" w14:textId="77777777" w:rsidR="001438C9" w:rsidRDefault="001438C9" w:rsidP="004951FA">
            <w:pPr>
              <w:numPr>
                <w:ilvl w:val="0"/>
                <w:numId w:val="16"/>
              </w:numPr>
              <w:rPr>
                <w:sz w:val="24"/>
              </w:rPr>
            </w:pPr>
            <w:r>
              <w:rPr>
                <w:sz w:val="24"/>
              </w:rPr>
              <w:t xml:space="preserve">Cookie and/or </w:t>
            </w:r>
          </w:p>
          <w:p w14:paraId="57116CD9" w14:textId="77777777" w:rsidR="001438C9" w:rsidRDefault="001438C9" w:rsidP="004951FA">
            <w:pPr>
              <w:numPr>
                <w:ilvl w:val="0"/>
                <w:numId w:val="16"/>
              </w:numPr>
              <w:rPr>
                <w:sz w:val="24"/>
              </w:rPr>
            </w:pPr>
            <w:r>
              <w:rPr>
                <w:sz w:val="24"/>
              </w:rPr>
              <w:t>Registration ID</w:t>
            </w:r>
          </w:p>
          <w:p w14:paraId="57116CDA" w14:textId="77777777" w:rsidR="001438C9" w:rsidRDefault="001438C9" w:rsidP="001438C9">
            <w:pPr>
              <w:ind w:left="0"/>
              <w:rPr>
                <w:sz w:val="24"/>
              </w:rPr>
            </w:pPr>
          </w:p>
          <w:p w14:paraId="57116CDB" w14:textId="77777777" w:rsidR="001438C9" w:rsidRDefault="001438C9" w:rsidP="001438C9">
            <w:pPr>
              <w:ind w:left="0"/>
              <w:rPr>
                <w:sz w:val="24"/>
              </w:rPr>
            </w:pPr>
            <w:r>
              <w:rPr>
                <w:sz w:val="24"/>
              </w:rPr>
              <w:t xml:space="preserve">Where a unique user is calculated by IP + User-Agent, this definition may overstate or understate the real number of individual users. A unique user is, at a minimum, a unique combination of an IP address + the Brower ID and Operating system entering a website by any valid page and is counted once for the given period (the minimum audit period is one calendar month), The number of unique users is an indicator of the site’s audience or reach. </w:t>
            </w:r>
          </w:p>
          <w:p w14:paraId="57116CDC" w14:textId="77777777" w:rsidR="001438C9" w:rsidRDefault="001438C9" w:rsidP="001438C9">
            <w:pPr>
              <w:ind w:left="0"/>
              <w:rPr>
                <w:sz w:val="24"/>
              </w:rPr>
            </w:pPr>
          </w:p>
          <w:p w14:paraId="57116CDD" w14:textId="77777777" w:rsidR="001438C9" w:rsidRPr="001438C9" w:rsidRDefault="001438C9" w:rsidP="001438C9">
            <w:pPr>
              <w:ind w:left="0"/>
              <w:rPr>
                <w:sz w:val="24"/>
              </w:rPr>
            </w:pPr>
            <w:r>
              <w:rPr>
                <w:sz w:val="24"/>
              </w:rPr>
              <w:t xml:space="preserve">A </w:t>
            </w:r>
            <w:r w:rsidRPr="001438C9">
              <w:rPr>
                <w:sz w:val="24"/>
                <w:u w:val="single"/>
              </w:rPr>
              <w:t>robot</w:t>
            </w:r>
            <w:r>
              <w:rPr>
                <w:sz w:val="24"/>
              </w:rPr>
              <w:t xml:space="preserve"> is a program that automatically visits websites and reads their pages and other information in order to create entries for an index. The major search engines on the Web all have such a program, which is also known as a </w:t>
            </w:r>
            <w:r w:rsidRPr="001438C9">
              <w:rPr>
                <w:sz w:val="24"/>
                <w:u w:val="single"/>
              </w:rPr>
              <w:t>crawler</w:t>
            </w:r>
            <w:r>
              <w:rPr>
                <w:sz w:val="24"/>
              </w:rPr>
              <w:t xml:space="preserve">, a </w:t>
            </w:r>
            <w:r w:rsidRPr="001438C9">
              <w:rPr>
                <w:sz w:val="24"/>
                <w:u w:val="single"/>
              </w:rPr>
              <w:t>robot</w:t>
            </w:r>
            <w:r>
              <w:rPr>
                <w:sz w:val="24"/>
              </w:rPr>
              <w:t xml:space="preserve"> or a </w:t>
            </w:r>
            <w:r w:rsidRPr="001438C9">
              <w:rPr>
                <w:sz w:val="24"/>
                <w:u w:val="single"/>
              </w:rPr>
              <w:t>bo</w:t>
            </w:r>
            <w:r>
              <w:rPr>
                <w:sz w:val="24"/>
              </w:rPr>
              <w:t xml:space="preserve">t. </w:t>
            </w:r>
            <w:r w:rsidRPr="001438C9">
              <w:rPr>
                <w:sz w:val="24"/>
                <w:u w:val="single"/>
              </w:rPr>
              <w:t>Robots</w:t>
            </w:r>
            <w:r>
              <w:rPr>
                <w:sz w:val="24"/>
              </w:rPr>
              <w:t xml:space="preserve"> and </w:t>
            </w:r>
            <w:r w:rsidRPr="001438C9">
              <w:rPr>
                <w:sz w:val="24"/>
                <w:u w:val="single"/>
              </w:rPr>
              <w:t>spiders</w:t>
            </w:r>
            <w:r>
              <w:rPr>
                <w:sz w:val="24"/>
              </w:rPr>
              <w:t xml:space="preserve"> are typically programmed to automatically visits sites that have been submitted by their owners as new or updated. Entire sites or specific pages can be selectively visited and indexed. Spiders are called spiders because they usually visit many sites in </w:t>
            </w:r>
            <w:r>
              <w:rPr>
                <w:sz w:val="24"/>
              </w:rPr>
              <w:lastRenderedPageBreak/>
              <w:t xml:space="preserve">parallel at the same time, their legs spanning a large area of the </w:t>
            </w:r>
            <w:r w:rsidR="0046107E">
              <w:rPr>
                <w:sz w:val="24"/>
              </w:rPr>
              <w:t>“</w:t>
            </w:r>
            <w:r>
              <w:rPr>
                <w:sz w:val="24"/>
              </w:rPr>
              <w:t>web</w:t>
            </w:r>
            <w:r w:rsidR="0046107E">
              <w:rPr>
                <w:sz w:val="24"/>
              </w:rPr>
              <w:t>”</w:t>
            </w:r>
            <w:r>
              <w:rPr>
                <w:sz w:val="24"/>
              </w:rPr>
              <w:t xml:space="preserve">. ABC Electronic stipulates that traffic in a site’s access logs visited by such programs should be excluded from this Performance Indicator. </w:t>
            </w:r>
          </w:p>
          <w:p w14:paraId="57116CDE" w14:textId="77777777" w:rsidR="001438C9" w:rsidRPr="007501A2" w:rsidRDefault="001438C9" w:rsidP="001438C9">
            <w:pPr>
              <w:ind w:left="0"/>
              <w:rPr>
                <w:sz w:val="24"/>
              </w:rPr>
            </w:pPr>
          </w:p>
        </w:tc>
      </w:tr>
    </w:tbl>
    <w:p w14:paraId="57116CE0" w14:textId="77777777" w:rsidR="0046107E" w:rsidRDefault="0046107E" w:rsidP="006075CD">
      <w:pPr>
        <w:ind w:left="360"/>
        <w:rPr>
          <w:sz w:val="24"/>
        </w:rPr>
      </w:pPr>
    </w:p>
    <w:p w14:paraId="57116CE1" w14:textId="77777777" w:rsidR="0046107E" w:rsidRDefault="0046107E" w:rsidP="0046107E">
      <w:pPr>
        <w:pStyle w:val="Heading1Numbered"/>
        <w:numPr>
          <w:ilvl w:val="0"/>
          <w:numId w:val="0"/>
        </w:numPr>
        <w:tabs>
          <w:tab w:val="left" w:pos="5310"/>
        </w:tabs>
      </w:pPr>
      <w:r w:rsidRPr="0046107E">
        <w:lastRenderedPageBreak/>
        <w:t>Section 2: Audience Profile</w:t>
      </w:r>
    </w:p>
    <w:tbl>
      <w:tblPr>
        <w:tblStyle w:val="TableGrid"/>
        <w:tblW w:w="0" w:type="auto"/>
        <w:tblInd w:w="250" w:type="dxa"/>
        <w:tblLook w:val="04A0" w:firstRow="1" w:lastRow="0" w:firstColumn="1" w:lastColumn="0" w:noHBand="0" w:noVBand="1"/>
      </w:tblPr>
      <w:tblGrid>
        <w:gridCol w:w="461"/>
        <w:gridCol w:w="2826"/>
        <w:gridCol w:w="6543"/>
      </w:tblGrid>
      <w:tr w:rsidR="0046107E" w14:paraId="57116CEF" w14:textId="77777777" w:rsidTr="0046107E">
        <w:tc>
          <w:tcPr>
            <w:tcW w:w="461" w:type="dxa"/>
          </w:tcPr>
          <w:p w14:paraId="57116CE2" w14:textId="77777777" w:rsidR="0046107E" w:rsidRDefault="0046107E" w:rsidP="0046107E">
            <w:pPr>
              <w:ind w:left="0"/>
            </w:pPr>
            <w:r>
              <w:t>3</w:t>
            </w:r>
          </w:p>
        </w:tc>
        <w:tc>
          <w:tcPr>
            <w:tcW w:w="2826" w:type="dxa"/>
          </w:tcPr>
          <w:p w14:paraId="57116CE3" w14:textId="77777777" w:rsidR="0046107E" w:rsidRDefault="0046107E" w:rsidP="0046107E">
            <w:pPr>
              <w:ind w:left="0"/>
            </w:pPr>
            <w:r>
              <w:t>Number of visits by children under 16</w:t>
            </w:r>
          </w:p>
          <w:p w14:paraId="57116CE4" w14:textId="77777777" w:rsidR="0046107E" w:rsidRDefault="0046107E" w:rsidP="0046107E">
            <w:pPr>
              <w:ind w:left="0"/>
            </w:pPr>
          </w:p>
          <w:p w14:paraId="57116CE5" w14:textId="77777777" w:rsidR="0046107E" w:rsidRDefault="0046107E" w:rsidP="008B492B">
            <w:pPr>
              <w:ind w:left="0"/>
            </w:pPr>
          </w:p>
        </w:tc>
        <w:tc>
          <w:tcPr>
            <w:tcW w:w="6543" w:type="dxa"/>
          </w:tcPr>
          <w:p w14:paraId="57116CE6" w14:textId="77777777" w:rsidR="0046107E" w:rsidRDefault="0046107E" w:rsidP="0046107E">
            <w:pPr>
              <w:ind w:left="0"/>
            </w:pPr>
            <w:r>
              <w:t xml:space="preserve">A visit refers to a single trip to a museum/gallery be an individual and a period of time in which he/she physically accesses the collections. Children are defined as being aged </w:t>
            </w:r>
            <w:proofErr w:type="gramStart"/>
            <w:r>
              <w:t>under</w:t>
            </w:r>
            <w:proofErr w:type="gramEnd"/>
            <w:r>
              <w:t xml:space="preserve"> 16. However, in the context of a school visit by Year 11 groups, pupils who may be aged 16 when they visit should still be regarded as </w:t>
            </w:r>
            <w:proofErr w:type="gramStart"/>
            <w:r>
              <w:t>under</w:t>
            </w:r>
            <w:proofErr w:type="gramEnd"/>
            <w:r>
              <w:t xml:space="preserve"> 16, </w:t>
            </w:r>
            <w:proofErr w:type="spellStart"/>
            <w:r>
              <w:t>i.e</w:t>
            </w:r>
            <w:proofErr w:type="spellEnd"/>
            <w:r>
              <w:t xml:space="preserve"> of compulsory school age. A child in a school class that visits a museum in the morning and returns that afternoon for a second session should be counted as having made one visit.</w:t>
            </w:r>
          </w:p>
          <w:p w14:paraId="57116CE7" w14:textId="77777777" w:rsidR="0046107E" w:rsidRDefault="0046107E" w:rsidP="0046107E">
            <w:pPr>
              <w:ind w:left="0"/>
            </w:pPr>
          </w:p>
          <w:p w14:paraId="57116CE8" w14:textId="77777777" w:rsidR="0046107E" w:rsidRPr="0046107E" w:rsidRDefault="0046107E" w:rsidP="0046107E">
            <w:pPr>
              <w:ind w:left="0"/>
              <w:rPr>
                <w:u w:val="single"/>
              </w:rPr>
            </w:pPr>
            <w:r w:rsidRPr="0046107E">
              <w:rPr>
                <w:u w:val="single"/>
              </w:rPr>
              <w:t>The Performance Indicator includes:</w:t>
            </w:r>
          </w:p>
          <w:p w14:paraId="57116CE9" w14:textId="77777777" w:rsidR="0046107E" w:rsidRDefault="0046107E" w:rsidP="0046107E">
            <w:pPr>
              <w:numPr>
                <w:ilvl w:val="0"/>
                <w:numId w:val="22"/>
              </w:numPr>
            </w:pPr>
            <w:r>
              <w:t>general visits made by children under 16</w:t>
            </w:r>
          </w:p>
          <w:p w14:paraId="57116CEA" w14:textId="77777777" w:rsidR="0046107E" w:rsidRDefault="00A46686" w:rsidP="0046107E">
            <w:pPr>
              <w:numPr>
                <w:ilvl w:val="0"/>
                <w:numId w:val="22"/>
              </w:numPr>
            </w:pPr>
            <w:proofErr w:type="gramStart"/>
            <w:r>
              <w:t>visits</w:t>
            </w:r>
            <w:proofErr w:type="gramEnd"/>
            <w:r>
              <w:t xml:space="preserve"> made by children under 16 participating in educational activities at the museum/gallery</w:t>
            </w:r>
            <w:r w:rsidR="00DB4872">
              <w:t>.</w:t>
            </w:r>
            <w:r>
              <w:t xml:space="preserve"> </w:t>
            </w:r>
          </w:p>
          <w:p w14:paraId="57116CEB" w14:textId="77777777" w:rsidR="00A46686" w:rsidRDefault="00A46686" w:rsidP="00A46686">
            <w:pPr>
              <w:ind w:left="0"/>
              <w:rPr>
                <w:u w:val="single"/>
              </w:rPr>
            </w:pPr>
          </w:p>
          <w:p w14:paraId="57116CEC" w14:textId="77777777" w:rsidR="00A46686" w:rsidRDefault="00A46686" w:rsidP="00A46686">
            <w:pPr>
              <w:ind w:left="0"/>
              <w:rPr>
                <w:u w:val="single"/>
              </w:rPr>
            </w:pPr>
            <w:r w:rsidRPr="00A46686">
              <w:rPr>
                <w:u w:val="single"/>
              </w:rPr>
              <w:t xml:space="preserve">The </w:t>
            </w:r>
            <w:r>
              <w:rPr>
                <w:u w:val="single"/>
              </w:rPr>
              <w:t>P</w:t>
            </w:r>
            <w:r w:rsidRPr="00A46686">
              <w:rPr>
                <w:u w:val="single"/>
              </w:rPr>
              <w:t xml:space="preserve">erformance </w:t>
            </w:r>
            <w:r>
              <w:rPr>
                <w:u w:val="single"/>
              </w:rPr>
              <w:t>I</w:t>
            </w:r>
            <w:r w:rsidRPr="00A46686">
              <w:rPr>
                <w:u w:val="single"/>
              </w:rPr>
              <w:t>ndicator excludes</w:t>
            </w:r>
            <w:r>
              <w:rPr>
                <w:u w:val="single"/>
              </w:rPr>
              <w:t>:</w:t>
            </w:r>
          </w:p>
          <w:p w14:paraId="57116CED" w14:textId="77777777" w:rsidR="0046107E" w:rsidRDefault="00A46686" w:rsidP="00A46686">
            <w:pPr>
              <w:numPr>
                <w:ilvl w:val="0"/>
                <w:numId w:val="24"/>
              </w:numPr>
            </w:pPr>
            <w:proofErr w:type="gramStart"/>
            <w:r>
              <w:t>instances</w:t>
            </w:r>
            <w:proofErr w:type="gramEnd"/>
            <w:r>
              <w:t xml:space="preserve"> of children under 16 participating in off-site outreach programmes.</w:t>
            </w:r>
          </w:p>
          <w:p w14:paraId="57116CEE" w14:textId="77777777" w:rsidR="0046107E" w:rsidRDefault="0046107E" w:rsidP="0046107E">
            <w:pPr>
              <w:ind w:left="0"/>
            </w:pPr>
          </w:p>
        </w:tc>
      </w:tr>
      <w:tr w:rsidR="0046107E" w14:paraId="57116CFD" w14:textId="77777777" w:rsidTr="0046107E">
        <w:tc>
          <w:tcPr>
            <w:tcW w:w="461" w:type="dxa"/>
          </w:tcPr>
          <w:p w14:paraId="57116CF0" w14:textId="77777777" w:rsidR="0046107E" w:rsidRDefault="008B492B" w:rsidP="0046107E">
            <w:pPr>
              <w:ind w:left="0"/>
            </w:pPr>
            <w:r>
              <w:t>4</w:t>
            </w:r>
          </w:p>
        </w:tc>
        <w:tc>
          <w:tcPr>
            <w:tcW w:w="2826" w:type="dxa"/>
          </w:tcPr>
          <w:p w14:paraId="57116CF1" w14:textId="77777777" w:rsidR="0075075B" w:rsidRDefault="0075075B" w:rsidP="0075075B">
            <w:pPr>
              <w:ind w:left="0"/>
            </w:pPr>
            <w:r>
              <w:t xml:space="preserve">Number of overseas visits </w:t>
            </w:r>
          </w:p>
          <w:p w14:paraId="57116CF2" w14:textId="77777777" w:rsidR="0046107E" w:rsidRDefault="0046107E" w:rsidP="0046107E">
            <w:pPr>
              <w:ind w:left="0"/>
            </w:pPr>
          </w:p>
        </w:tc>
        <w:tc>
          <w:tcPr>
            <w:tcW w:w="6543" w:type="dxa"/>
          </w:tcPr>
          <w:p w14:paraId="57116CF3" w14:textId="77777777" w:rsidR="0075075B" w:rsidRPr="002742DF" w:rsidRDefault="0075075B" w:rsidP="0075075B">
            <w:pPr>
              <w:ind w:left="0"/>
            </w:pPr>
            <w:r>
              <w:t xml:space="preserve">Total number of visits made to the museum by visitors not </w:t>
            </w:r>
            <w:r w:rsidRPr="0075075B">
              <w:t xml:space="preserve">usually </w:t>
            </w:r>
            <w:r>
              <w:t xml:space="preserve">based or resident in the </w:t>
            </w:r>
            <w:smartTag w:uri="urn:schemas-microsoft-com:office:smarttags" w:element="country-region">
              <w:smartTag w:uri="urn:schemas-microsoft-com:office:smarttags" w:element="place">
                <w:r>
                  <w:t>UK</w:t>
                </w:r>
              </w:smartTag>
            </w:smartTag>
            <w:r>
              <w:t>. This indicator relates to tourist visitors and is based on residency and not nationality.</w:t>
            </w:r>
          </w:p>
          <w:p w14:paraId="57116CF4" w14:textId="77777777" w:rsidR="0075075B" w:rsidRDefault="0075075B" w:rsidP="0075075B">
            <w:pPr>
              <w:ind w:left="0"/>
            </w:pPr>
          </w:p>
          <w:p w14:paraId="57116CF5" w14:textId="77777777" w:rsidR="0075075B" w:rsidRPr="0075075B" w:rsidRDefault="0075075B" w:rsidP="0075075B">
            <w:pPr>
              <w:ind w:left="0"/>
            </w:pPr>
            <w:r>
              <w:t xml:space="preserve">A visit refers to a single trip to a museum/gallery by an individual, and a period of time in which he/she physically accesses the collections.  </w:t>
            </w:r>
          </w:p>
          <w:p w14:paraId="57116CF6" w14:textId="77777777" w:rsidR="0075075B" w:rsidRPr="0075075B" w:rsidRDefault="0075075B" w:rsidP="0075075B">
            <w:pPr>
              <w:rPr>
                <w:color w:val="000000"/>
              </w:rPr>
            </w:pPr>
          </w:p>
          <w:p w14:paraId="57116CF7" w14:textId="77777777" w:rsidR="0075075B" w:rsidRPr="0075075B" w:rsidRDefault="0075075B" w:rsidP="0075075B">
            <w:pPr>
              <w:ind w:left="0"/>
              <w:rPr>
                <w:color w:val="000000"/>
              </w:rPr>
            </w:pPr>
            <w:r w:rsidRPr="0075075B">
              <w:rPr>
                <w:color w:val="000000"/>
                <w:u w:val="single"/>
              </w:rPr>
              <w:t xml:space="preserve">The </w:t>
            </w:r>
            <w:r w:rsidRPr="0075075B">
              <w:rPr>
                <w:u w:val="single"/>
              </w:rPr>
              <w:t>Performance</w:t>
            </w:r>
            <w:r w:rsidRPr="0075075B">
              <w:rPr>
                <w:color w:val="000000"/>
                <w:u w:val="single"/>
              </w:rPr>
              <w:t xml:space="preserve"> Indicator includes</w:t>
            </w:r>
            <w:r w:rsidRPr="0075075B">
              <w:rPr>
                <w:color w:val="000000"/>
              </w:rPr>
              <w:t>:</w:t>
            </w:r>
          </w:p>
          <w:p w14:paraId="57116CF8" w14:textId="77777777" w:rsidR="0075075B" w:rsidRPr="006D2B86" w:rsidRDefault="0075075B" w:rsidP="003174A1">
            <w:pPr>
              <w:numPr>
                <w:ilvl w:val="0"/>
                <w:numId w:val="26"/>
              </w:numPr>
            </w:pPr>
            <w:r w:rsidRPr="006D2B86">
              <w:t>visit</w:t>
            </w:r>
            <w:r>
              <w:t>ors</w:t>
            </w:r>
            <w:r w:rsidRPr="006D2B86">
              <w:t xml:space="preserve"> from the Isle of Man or </w:t>
            </w:r>
            <w:smartTag w:uri="urn:schemas-microsoft-com:office:smarttags" w:element="place">
              <w:r w:rsidRPr="006D2B86">
                <w:t>Channel Islands</w:t>
              </w:r>
            </w:smartTag>
            <w:r w:rsidRPr="006D2B86">
              <w:t xml:space="preserve"> </w:t>
            </w:r>
          </w:p>
          <w:p w14:paraId="57116CF9" w14:textId="77777777" w:rsidR="0075075B" w:rsidRPr="0075075B" w:rsidRDefault="0075075B" w:rsidP="003174A1">
            <w:pPr>
              <w:ind w:left="0"/>
              <w:rPr>
                <w:u w:val="single"/>
              </w:rPr>
            </w:pPr>
            <w:r w:rsidRPr="0075075B">
              <w:rPr>
                <w:u w:val="single"/>
              </w:rPr>
              <w:t xml:space="preserve">The </w:t>
            </w:r>
            <w:r w:rsidRPr="003174A1">
              <w:rPr>
                <w:color w:val="000000"/>
                <w:u w:val="single"/>
              </w:rPr>
              <w:t>Performance</w:t>
            </w:r>
            <w:r w:rsidRPr="0075075B">
              <w:rPr>
                <w:u w:val="single"/>
              </w:rPr>
              <w:t xml:space="preserve"> Indicator excludes:</w:t>
            </w:r>
          </w:p>
          <w:p w14:paraId="57116CFA" w14:textId="77777777" w:rsidR="0046107E" w:rsidRPr="003174A1" w:rsidRDefault="0075075B" w:rsidP="003174A1">
            <w:pPr>
              <w:numPr>
                <w:ilvl w:val="0"/>
                <w:numId w:val="26"/>
              </w:numPr>
            </w:pPr>
            <w:r w:rsidRPr="0075075B">
              <w:rPr>
                <w:color w:val="000000"/>
              </w:rPr>
              <w:t>visitors participating in off-site outreach programmes</w:t>
            </w:r>
          </w:p>
          <w:p w14:paraId="57116CFB" w14:textId="77777777" w:rsidR="003174A1" w:rsidRPr="003174A1" w:rsidRDefault="003174A1" w:rsidP="003174A1"/>
          <w:p w14:paraId="57116CFC" w14:textId="77777777" w:rsidR="003174A1" w:rsidRDefault="003174A1" w:rsidP="003174A1">
            <w:pPr>
              <w:ind w:left="720"/>
            </w:pPr>
          </w:p>
        </w:tc>
      </w:tr>
    </w:tbl>
    <w:p w14:paraId="57116CFE" w14:textId="77777777" w:rsidR="003174A1" w:rsidRDefault="003174A1" w:rsidP="0046107E"/>
    <w:p w14:paraId="57116CFF" w14:textId="77777777" w:rsidR="003174A1" w:rsidRDefault="001105C2" w:rsidP="001105C2">
      <w:pPr>
        <w:pStyle w:val="Heading1Numbered"/>
        <w:numPr>
          <w:ilvl w:val="0"/>
          <w:numId w:val="0"/>
        </w:numPr>
        <w:tabs>
          <w:tab w:val="left" w:pos="5310"/>
        </w:tabs>
      </w:pPr>
      <w:r>
        <w:lastRenderedPageBreak/>
        <w:t>Section 3: Learning and Outreach</w:t>
      </w:r>
    </w:p>
    <w:p w14:paraId="57116D00" w14:textId="77777777" w:rsidR="003174A1" w:rsidRDefault="003174A1" w:rsidP="0046107E"/>
    <w:tbl>
      <w:tblPr>
        <w:tblStyle w:val="TableGrid"/>
        <w:tblW w:w="0" w:type="auto"/>
        <w:tblInd w:w="250" w:type="dxa"/>
        <w:tblLook w:val="04A0" w:firstRow="1" w:lastRow="0" w:firstColumn="1" w:lastColumn="0" w:noHBand="0" w:noVBand="1"/>
      </w:tblPr>
      <w:tblGrid>
        <w:gridCol w:w="522"/>
        <w:gridCol w:w="2820"/>
        <w:gridCol w:w="6488"/>
      </w:tblGrid>
      <w:tr w:rsidR="003174A1" w14:paraId="57116D04" w14:textId="77777777" w:rsidTr="008B492B">
        <w:tc>
          <w:tcPr>
            <w:tcW w:w="522" w:type="dxa"/>
          </w:tcPr>
          <w:p w14:paraId="57116D01" w14:textId="77777777" w:rsidR="003174A1" w:rsidRDefault="008B492B" w:rsidP="0046107E">
            <w:pPr>
              <w:ind w:left="0"/>
            </w:pPr>
            <w:r>
              <w:t>5</w:t>
            </w:r>
          </w:p>
        </w:tc>
        <w:tc>
          <w:tcPr>
            <w:tcW w:w="2820" w:type="dxa"/>
          </w:tcPr>
          <w:p w14:paraId="57116D02" w14:textId="77777777" w:rsidR="003174A1" w:rsidRDefault="00632584" w:rsidP="001105C2">
            <w:pPr>
              <w:ind w:left="0"/>
            </w:pPr>
            <w:r>
              <w:rPr>
                <w:b/>
                <w:color w:val="000000"/>
              </w:rPr>
              <w:t>VISITORS UNDER 18</w:t>
            </w:r>
          </w:p>
        </w:tc>
        <w:tc>
          <w:tcPr>
            <w:tcW w:w="6488" w:type="dxa"/>
          </w:tcPr>
          <w:p w14:paraId="57116D03" w14:textId="77777777" w:rsidR="003174A1" w:rsidRDefault="003174A1" w:rsidP="0046107E">
            <w:pPr>
              <w:ind w:left="0"/>
            </w:pPr>
          </w:p>
        </w:tc>
      </w:tr>
      <w:tr w:rsidR="003174A1" w14:paraId="57116D15" w14:textId="77777777" w:rsidTr="008B492B">
        <w:tc>
          <w:tcPr>
            <w:tcW w:w="522" w:type="dxa"/>
          </w:tcPr>
          <w:p w14:paraId="57116D05" w14:textId="77777777" w:rsidR="003174A1" w:rsidRDefault="008B492B" w:rsidP="0046107E">
            <w:pPr>
              <w:ind w:left="0"/>
            </w:pPr>
            <w:r>
              <w:t>5.1</w:t>
            </w:r>
          </w:p>
        </w:tc>
        <w:tc>
          <w:tcPr>
            <w:tcW w:w="2820" w:type="dxa"/>
          </w:tcPr>
          <w:p w14:paraId="57116D06" w14:textId="77777777" w:rsidR="001105C2" w:rsidRPr="001105C2" w:rsidRDefault="001105C2" w:rsidP="001105C2">
            <w:pPr>
              <w:ind w:left="0"/>
              <w:rPr>
                <w:color w:val="000000"/>
              </w:rPr>
            </w:pPr>
            <w:r w:rsidRPr="001105C2">
              <w:rPr>
                <w:color w:val="000000"/>
              </w:rPr>
              <w:t xml:space="preserve">Number of </w:t>
            </w:r>
            <w:r w:rsidRPr="001105C2">
              <w:t>facilitated</w:t>
            </w:r>
            <w:r w:rsidRPr="001105C2">
              <w:rPr>
                <w:color w:val="000000"/>
              </w:rPr>
              <w:t xml:space="preserve"> and self-directed visits to the museum/gallery by </w:t>
            </w:r>
            <w:r w:rsidR="00926617">
              <w:rPr>
                <w:color w:val="000000"/>
              </w:rPr>
              <w:t>visitors</w:t>
            </w:r>
            <w:r w:rsidRPr="001105C2">
              <w:rPr>
                <w:color w:val="000000"/>
              </w:rPr>
              <w:t xml:space="preserve"> under 1</w:t>
            </w:r>
            <w:r w:rsidR="008B492B">
              <w:rPr>
                <w:color w:val="000000"/>
              </w:rPr>
              <w:t>8</w:t>
            </w:r>
            <w:r w:rsidRPr="001105C2">
              <w:rPr>
                <w:color w:val="000000"/>
              </w:rPr>
              <w:t xml:space="preserve"> in formal education</w:t>
            </w:r>
          </w:p>
          <w:p w14:paraId="57116D07" w14:textId="77777777" w:rsidR="003174A1" w:rsidRDefault="003174A1" w:rsidP="008B492B">
            <w:pPr>
              <w:ind w:left="0"/>
            </w:pPr>
          </w:p>
        </w:tc>
        <w:tc>
          <w:tcPr>
            <w:tcW w:w="6488" w:type="dxa"/>
          </w:tcPr>
          <w:p w14:paraId="57116D08" w14:textId="77777777" w:rsidR="001105C2" w:rsidRDefault="001105C2" w:rsidP="001105C2">
            <w:pPr>
              <w:ind w:left="0"/>
            </w:pPr>
            <w:r w:rsidRPr="001105C2">
              <w:rPr>
                <w:color w:val="000000"/>
              </w:rPr>
              <w:t xml:space="preserve">A visit refers to a trip to a museum/gallery, and a period of time spent there.  </w:t>
            </w:r>
            <w:r w:rsidR="00926617">
              <w:rPr>
                <w:color w:val="000000"/>
              </w:rPr>
              <w:t>I</w:t>
            </w:r>
            <w:r w:rsidRPr="001105C2">
              <w:rPr>
                <w:color w:val="000000"/>
              </w:rPr>
              <w:t>n the context of a school visit by Year 1</w:t>
            </w:r>
            <w:r w:rsidR="008B492B">
              <w:rPr>
                <w:color w:val="000000"/>
              </w:rPr>
              <w:t>3</w:t>
            </w:r>
            <w:r w:rsidRPr="001105C2">
              <w:rPr>
                <w:color w:val="000000"/>
              </w:rPr>
              <w:t xml:space="preserve"> groups, pupils who may be aged 1</w:t>
            </w:r>
            <w:r w:rsidR="008B492B">
              <w:rPr>
                <w:color w:val="000000"/>
              </w:rPr>
              <w:t>8</w:t>
            </w:r>
            <w:r w:rsidRPr="001105C2">
              <w:rPr>
                <w:color w:val="000000"/>
              </w:rPr>
              <w:t xml:space="preserve"> when they visit should still be regarded as </w:t>
            </w:r>
            <w:proofErr w:type="gramStart"/>
            <w:r w:rsidRPr="001105C2">
              <w:rPr>
                <w:color w:val="000000"/>
              </w:rPr>
              <w:t>under</w:t>
            </w:r>
            <w:proofErr w:type="gramEnd"/>
            <w:r w:rsidRPr="001105C2">
              <w:rPr>
                <w:color w:val="000000"/>
              </w:rPr>
              <w:t xml:space="preserve"> 1</w:t>
            </w:r>
            <w:r w:rsidR="008B492B">
              <w:rPr>
                <w:color w:val="000000"/>
              </w:rPr>
              <w:t>8</w:t>
            </w:r>
            <w:r w:rsidRPr="001105C2">
              <w:rPr>
                <w:color w:val="000000"/>
              </w:rPr>
              <w:t xml:space="preserve">.  </w:t>
            </w:r>
            <w:r>
              <w:t>Any one class that visits a museum/gallery in the morning and returns that afternoon for a second session should be counted as having made one visit.</w:t>
            </w:r>
          </w:p>
          <w:p w14:paraId="57116D09" w14:textId="77777777" w:rsidR="001105C2" w:rsidRPr="001105C2" w:rsidRDefault="001105C2" w:rsidP="001105C2">
            <w:pPr>
              <w:rPr>
                <w:color w:val="000000"/>
              </w:rPr>
            </w:pPr>
          </w:p>
          <w:p w14:paraId="57116D0A" w14:textId="77777777" w:rsidR="001105C2" w:rsidRPr="001105C2" w:rsidRDefault="001105C2" w:rsidP="001105C2">
            <w:pPr>
              <w:ind w:left="0"/>
              <w:rPr>
                <w:color w:val="000000"/>
              </w:rPr>
            </w:pPr>
            <w:r w:rsidRPr="001105C2">
              <w:rPr>
                <w:color w:val="000000"/>
              </w:rPr>
              <w:t xml:space="preserve">A facilitated visit is a group visit to a museum/gallery that is led or heavily supported by a member of staff (including volunteers) or a person hired by the museum e.g. an artist, for at least part of the visit. </w:t>
            </w:r>
          </w:p>
          <w:p w14:paraId="57116D0B" w14:textId="77777777" w:rsidR="001105C2" w:rsidRPr="001105C2" w:rsidRDefault="001105C2" w:rsidP="001105C2">
            <w:pPr>
              <w:ind w:left="0"/>
              <w:rPr>
                <w:color w:val="000000"/>
              </w:rPr>
            </w:pPr>
            <w:r w:rsidRPr="001105C2">
              <w:rPr>
                <w:color w:val="000000"/>
              </w:rPr>
              <w:t xml:space="preserve">A facilitated visit is one that has been planned and structured by teachers and museum/gallery staff to support the curriculum, with specific learning outcomes. Welcoming a school on arrival or providing an introductory talk or ‘spontaneous’ activity with a museum demonstrator whilst on the visit does not make it a facilitated visit. </w:t>
            </w:r>
          </w:p>
          <w:p w14:paraId="57116D0C" w14:textId="77777777" w:rsidR="001105C2" w:rsidRPr="001105C2" w:rsidRDefault="001105C2" w:rsidP="001105C2">
            <w:pPr>
              <w:rPr>
                <w:color w:val="000000"/>
              </w:rPr>
            </w:pPr>
          </w:p>
          <w:p w14:paraId="57116D0D" w14:textId="77777777" w:rsidR="001105C2" w:rsidRPr="001105C2" w:rsidRDefault="001105C2" w:rsidP="001105C2">
            <w:pPr>
              <w:ind w:left="0"/>
              <w:rPr>
                <w:color w:val="000000"/>
              </w:rPr>
            </w:pPr>
            <w:r w:rsidRPr="001105C2">
              <w:rPr>
                <w:color w:val="000000"/>
              </w:rPr>
              <w:t xml:space="preserve">A self-directed visit is a group visit facilitated by a person who is not a member of the museum/gallery staff. For example, it may be led by teachers using resource packs provided by the museum/gallery or downloaded from its website based on the collections.  In this instance, volunteers should be regarded as museum/gallery staff. </w:t>
            </w:r>
          </w:p>
          <w:p w14:paraId="57116D0E" w14:textId="77777777" w:rsidR="001105C2" w:rsidRPr="001105C2" w:rsidRDefault="001105C2" w:rsidP="001105C2">
            <w:pPr>
              <w:rPr>
                <w:color w:val="000000"/>
              </w:rPr>
            </w:pPr>
          </w:p>
          <w:p w14:paraId="57116D0F" w14:textId="77777777" w:rsidR="001105C2" w:rsidRPr="001105C2" w:rsidRDefault="001105C2" w:rsidP="001105C2">
            <w:pPr>
              <w:ind w:left="0"/>
              <w:rPr>
                <w:color w:val="000000"/>
              </w:rPr>
            </w:pPr>
            <w:r w:rsidRPr="001105C2">
              <w:rPr>
                <w:color w:val="000000"/>
                <w:u w:val="single"/>
              </w:rPr>
              <w:t>The Performance Indicator includes</w:t>
            </w:r>
            <w:r w:rsidRPr="001105C2">
              <w:rPr>
                <w:color w:val="000000"/>
              </w:rPr>
              <w:t>:</w:t>
            </w:r>
          </w:p>
          <w:p w14:paraId="57116D10" w14:textId="77777777" w:rsidR="001105C2" w:rsidRPr="001105C2" w:rsidRDefault="00926617" w:rsidP="001105C2">
            <w:pPr>
              <w:numPr>
                <w:ilvl w:val="0"/>
                <w:numId w:val="26"/>
              </w:numPr>
              <w:rPr>
                <w:color w:val="000000"/>
              </w:rPr>
            </w:pPr>
            <w:r>
              <w:rPr>
                <w:color w:val="000000"/>
              </w:rPr>
              <w:t>visitors</w:t>
            </w:r>
            <w:r w:rsidR="001105C2" w:rsidRPr="001105C2">
              <w:rPr>
                <w:color w:val="000000"/>
              </w:rPr>
              <w:t xml:space="preserve"> in identifiable SEN units or SEN schools</w:t>
            </w:r>
          </w:p>
          <w:p w14:paraId="57116D11" w14:textId="77777777" w:rsidR="001105C2" w:rsidRPr="001105C2" w:rsidRDefault="001105C2" w:rsidP="001105C2">
            <w:pPr>
              <w:numPr>
                <w:ilvl w:val="0"/>
                <w:numId w:val="26"/>
              </w:numPr>
              <w:rPr>
                <w:color w:val="000000"/>
                <w:u w:val="single"/>
              </w:rPr>
            </w:pPr>
            <w:r w:rsidRPr="006D2B86">
              <w:t>visits by Summer School students that are in support of the curriculum</w:t>
            </w:r>
          </w:p>
          <w:p w14:paraId="57116D12" w14:textId="77777777" w:rsidR="001105C2" w:rsidRPr="001105C2" w:rsidRDefault="001105C2" w:rsidP="001105C2">
            <w:pPr>
              <w:ind w:left="0"/>
              <w:rPr>
                <w:color w:val="000000"/>
              </w:rPr>
            </w:pPr>
            <w:r w:rsidRPr="001105C2">
              <w:rPr>
                <w:color w:val="000000"/>
                <w:u w:val="single"/>
              </w:rPr>
              <w:t>The Performance Indicator excludes</w:t>
            </w:r>
            <w:r w:rsidRPr="001105C2">
              <w:rPr>
                <w:color w:val="000000"/>
              </w:rPr>
              <w:t xml:space="preserve">: </w:t>
            </w:r>
          </w:p>
          <w:p w14:paraId="57116D13" w14:textId="77777777" w:rsidR="001105C2" w:rsidRPr="001105C2" w:rsidRDefault="00926617" w:rsidP="001105C2">
            <w:pPr>
              <w:numPr>
                <w:ilvl w:val="0"/>
                <w:numId w:val="26"/>
              </w:numPr>
              <w:rPr>
                <w:color w:val="000000"/>
              </w:rPr>
            </w:pPr>
            <w:r>
              <w:rPr>
                <w:color w:val="000000"/>
              </w:rPr>
              <w:t>visitors</w:t>
            </w:r>
            <w:r w:rsidR="001105C2" w:rsidRPr="001105C2">
              <w:rPr>
                <w:color w:val="000000"/>
              </w:rPr>
              <w:t xml:space="preserve"> being educated at home</w:t>
            </w:r>
          </w:p>
          <w:p w14:paraId="57116D14" w14:textId="77777777" w:rsidR="001105C2" w:rsidRDefault="00926617" w:rsidP="008B492B">
            <w:pPr>
              <w:numPr>
                <w:ilvl w:val="0"/>
                <w:numId w:val="26"/>
              </w:numPr>
            </w:pPr>
            <w:r>
              <w:rPr>
                <w:color w:val="000000"/>
              </w:rPr>
              <w:t xml:space="preserve">visitors </w:t>
            </w:r>
            <w:r w:rsidR="001105C2" w:rsidRPr="001105C2">
              <w:rPr>
                <w:color w:val="000000"/>
              </w:rPr>
              <w:t>under 1</w:t>
            </w:r>
            <w:r w:rsidR="008B492B">
              <w:rPr>
                <w:color w:val="000000"/>
              </w:rPr>
              <w:t>8</w:t>
            </w:r>
            <w:r w:rsidR="001105C2" w:rsidRPr="001105C2">
              <w:rPr>
                <w:color w:val="000000"/>
              </w:rPr>
              <w:t xml:space="preserve"> participating in off-site outreach programmes</w:t>
            </w:r>
          </w:p>
        </w:tc>
      </w:tr>
      <w:tr w:rsidR="001105C2" w14:paraId="57116D27" w14:textId="77777777" w:rsidTr="008B492B">
        <w:tc>
          <w:tcPr>
            <w:tcW w:w="522" w:type="dxa"/>
          </w:tcPr>
          <w:p w14:paraId="57116D16" w14:textId="77777777" w:rsidR="001105C2" w:rsidRDefault="002A4EC9" w:rsidP="0046107E">
            <w:pPr>
              <w:ind w:left="0"/>
            </w:pPr>
            <w:r>
              <w:t>5.2</w:t>
            </w:r>
          </w:p>
        </w:tc>
        <w:tc>
          <w:tcPr>
            <w:tcW w:w="2820" w:type="dxa"/>
          </w:tcPr>
          <w:p w14:paraId="57116D17" w14:textId="77777777" w:rsidR="001105C2" w:rsidRPr="001105C2" w:rsidRDefault="001105C2" w:rsidP="001105C2">
            <w:pPr>
              <w:ind w:left="0"/>
              <w:rPr>
                <w:color w:val="000000"/>
              </w:rPr>
            </w:pPr>
            <w:r w:rsidRPr="001105C2">
              <w:rPr>
                <w:color w:val="000000"/>
              </w:rPr>
              <w:t xml:space="preserve">Number of instances of </w:t>
            </w:r>
            <w:r w:rsidR="00926617">
              <w:rPr>
                <w:color w:val="000000"/>
              </w:rPr>
              <w:t>visitors</w:t>
            </w:r>
            <w:r w:rsidRPr="001105C2">
              <w:rPr>
                <w:color w:val="000000"/>
              </w:rPr>
              <w:t xml:space="preserve"> under 1</w:t>
            </w:r>
            <w:r w:rsidR="008B492B">
              <w:rPr>
                <w:color w:val="000000"/>
              </w:rPr>
              <w:t>8</w:t>
            </w:r>
            <w:r w:rsidRPr="001105C2">
              <w:rPr>
                <w:color w:val="000000"/>
              </w:rPr>
              <w:t xml:space="preserve"> participating in on-site organised activities</w:t>
            </w:r>
          </w:p>
          <w:p w14:paraId="57116D18" w14:textId="77777777" w:rsidR="001105C2" w:rsidRDefault="001105C2" w:rsidP="001105C2">
            <w:pPr>
              <w:ind w:left="0"/>
              <w:rPr>
                <w:i/>
                <w:color w:val="000000"/>
              </w:rPr>
            </w:pPr>
          </w:p>
          <w:p w14:paraId="57116D19" w14:textId="77777777" w:rsidR="001105C2" w:rsidRPr="001105C2" w:rsidRDefault="001105C2" w:rsidP="001105C2">
            <w:pPr>
              <w:rPr>
                <w:i/>
                <w:color w:val="000000"/>
              </w:rPr>
            </w:pPr>
          </w:p>
          <w:p w14:paraId="57116D1A" w14:textId="77777777" w:rsidR="001105C2" w:rsidRPr="001105C2" w:rsidRDefault="001105C2" w:rsidP="001105C2">
            <w:pPr>
              <w:ind w:left="0"/>
              <w:rPr>
                <w:color w:val="000000"/>
              </w:rPr>
            </w:pPr>
          </w:p>
        </w:tc>
        <w:tc>
          <w:tcPr>
            <w:tcW w:w="6488" w:type="dxa"/>
          </w:tcPr>
          <w:p w14:paraId="57116D1B" w14:textId="77777777" w:rsidR="001105C2" w:rsidRDefault="001105C2" w:rsidP="001105C2">
            <w:pPr>
              <w:ind w:left="0"/>
            </w:pPr>
            <w:r w:rsidRPr="00F966AA">
              <w:rPr>
                <w:u w:val="single"/>
              </w:rPr>
              <w:lastRenderedPageBreak/>
              <w:t>Organised activities</w:t>
            </w:r>
            <w:r w:rsidRPr="00F966AA">
              <w:rPr>
                <w:b/>
              </w:rPr>
              <w:t xml:space="preserve"> </w:t>
            </w:r>
            <w:r w:rsidRPr="00F966AA">
              <w:t xml:space="preserve">refer to </w:t>
            </w:r>
            <w:r w:rsidRPr="006D2B86">
              <w:t>pre-planned,</w:t>
            </w:r>
            <w:r>
              <w:t xml:space="preserve"> </w:t>
            </w:r>
            <w:r w:rsidRPr="00F966AA">
              <w:t xml:space="preserve">mediated activities, such as talks, lectures, courses, </w:t>
            </w:r>
            <w:r w:rsidRPr="001105C2">
              <w:rPr>
                <w:color w:val="000000"/>
              </w:rPr>
              <w:t>demonstrations</w:t>
            </w:r>
            <w:r w:rsidRPr="00F966AA">
              <w:t xml:space="preserve">, guided tours </w:t>
            </w:r>
            <w:proofErr w:type="spellStart"/>
            <w:r w:rsidRPr="00F966AA">
              <w:t>etc</w:t>
            </w:r>
            <w:proofErr w:type="spellEnd"/>
            <w:r w:rsidRPr="00F966AA">
              <w:t xml:space="preserve"> led by museum staff, volunteers or freelancers employed by the museum.  It does not include activities such as quizzes, </w:t>
            </w:r>
            <w:r w:rsidRPr="00F966AA">
              <w:lastRenderedPageBreak/>
              <w:t xml:space="preserve">trails, dressing-up </w:t>
            </w:r>
            <w:proofErr w:type="spellStart"/>
            <w:r w:rsidRPr="00F966AA">
              <w:t>etc</w:t>
            </w:r>
            <w:proofErr w:type="spellEnd"/>
            <w:r w:rsidRPr="00F966AA">
              <w:t xml:space="preserve"> if the museum’s staffs only involvement is in handing out packs, badges, costumes etc.</w:t>
            </w:r>
          </w:p>
          <w:p w14:paraId="57116D1C" w14:textId="77777777" w:rsidR="001105C2" w:rsidRDefault="001105C2" w:rsidP="001105C2">
            <w:pPr>
              <w:ind w:left="0"/>
              <w:rPr>
                <w:color w:val="000000"/>
              </w:rPr>
            </w:pPr>
            <w:r>
              <w:rPr>
                <w:color w:val="000000"/>
              </w:rPr>
              <w:t xml:space="preserve">Instance is used to acknowledge the difference between a </w:t>
            </w:r>
            <w:r w:rsidR="00484DAE">
              <w:rPr>
                <w:color w:val="000000"/>
              </w:rPr>
              <w:t xml:space="preserve">visitor </w:t>
            </w:r>
            <w:r>
              <w:rPr>
                <w:color w:val="000000"/>
              </w:rPr>
              <w:t xml:space="preserve">and his/her </w:t>
            </w:r>
            <w:r w:rsidRPr="001105C2">
              <w:t>participation</w:t>
            </w:r>
            <w:r>
              <w:rPr>
                <w:color w:val="000000"/>
              </w:rPr>
              <w:t xml:space="preserve"> in museum/gallery organised activities. The measure is asking for the number of participations by </w:t>
            </w:r>
            <w:r w:rsidR="00484DAE">
              <w:rPr>
                <w:color w:val="000000"/>
              </w:rPr>
              <w:t>visitors under 18</w:t>
            </w:r>
            <w:r>
              <w:rPr>
                <w:color w:val="000000"/>
              </w:rPr>
              <w:t xml:space="preserve">, as distinct from the number of </w:t>
            </w:r>
            <w:r w:rsidR="00484DAE">
              <w:rPr>
                <w:color w:val="000000"/>
              </w:rPr>
              <w:t xml:space="preserve">visitors under 18 </w:t>
            </w:r>
            <w:r>
              <w:rPr>
                <w:color w:val="000000"/>
              </w:rPr>
              <w:t>participating. An individual may clock up several instances of participation in museum activities over the course of a year.</w:t>
            </w:r>
          </w:p>
          <w:p w14:paraId="57116D1D" w14:textId="77777777" w:rsidR="001105C2" w:rsidRDefault="001105C2" w:rsidP="001105C2">
            <w:pPr>
              <w:ind w:left="0"/>
              <w:rPr>
                <w:color w:val="000000"/>
              </w:rPr>
            </w:pPr>
            <w:r>
              <w:rPr>
                <w:color w:val="000000"/>
              </w:rPr>
              <w:t xml:space="preserve">Participation is the act of taking part in something. An individual (or participant) may participate in event programmes more than once a year. There is no requirement to monitor ‘active’ participation – participation at a workshop for example is essentially attending. </w:t>
            </w:r>
          </w:p>
          <w:p w14:paraId="57116D1E" w14:textId="77777777" w:rsidR="001105C2" w:rsidRDefault="001105C2" w:rsidP="001105C2">
            <w:pPr>
              <w:rPr>
                <w:color w:val="000000"/>
              </w:rPr>
            </w:pPr>
          </w:p>
          <w:p w14:paraId="57116D1F" w14:textId="77777777" w:rsidR="001105C2" w:rsidRDefault="001105C2" w:rsidP="001105C2">
            <w:pPr>
              <w:ind w:left="0"/>
              <w:rPr>
                <w:color w:val="000000"/>
              </w:rPr>
            </w:pPr>
            <w:r>
              <w:rPr>
                <w:color w:val="000000"/>
                <w:u w:val="single"/>
              </w:rPr>
              <w:t>The Performance Indicator includes</w:t>
            </w:r>
            <w:r>
              <w:rPr>
                <w:color w:val="000000"/>
              </w:rPr>
              <w:t xml:space="preserve">: </w:t>
            </w:r>
          </w:p>
          <w:p w14:paraId="57116D20" w14:textId="77777777" w:rsidR="001105C2" w:rsidRDefault="001105C2" w:rsidP="001105C2">
            <w:pPr>
              <w:numPr>
                <w:ilvl w:val="0"/>
                <w:numId w:val="26"/>
              </w:numPr>
              <w:rPr>
                <w:color w:val="000000"/>
              </w:rPr>
            </w:pPr>
            <w:r>
              <w:rPr>
                <w:color w:val="000000"/>
              </w:rPr>
              <w:t xml:space="preserve">organised holiday activities, homework and out of school clubs on the premises  </w:t>
            </w:r>
          </w:p>
          <w:p w14:paraId="57116D21" w14:textId="77777777" w:rsidR="004463F0" w:rsidRDefault="004463F0" w:rsidP="001105C2">
            <w:pPr>
              <w:ind w:left="0"/>
              <w:rPr>
                <w:color w:val="000000"/>
              </w:rPr>
            </w:pPr>
          </w:p>
          <w:p w14:paraId="57116D22" w14:textId="77777777" w:rsidR="001105C2" w:rsidRDefault="001105C2" w:rsidP="001105C2">
            <w:pPr>
              <w:ind w:left="0"/>
              <w:rPr>
                <w:color w:val="000000"/>
              </w:rPr>
            </w:pPr>
            <w:r>
              <w:rPr>
                <w:color w:val="000000"/>
                <w:u w:val="single"/>
              </w:rPr>
              <w:t>The Performance Indicator excludes</w:t>
            </w:r>
            <w:r>
              <w:rPr>
                <w:color w:val="000000"/>
              </w:rPr>
              <w:t xml:space="preserve">: </w:t>
            </w:r>
          </w:p>
          <w:p w14:paraId="57116D23" w14:textId="77777777" w:rsidR="001105C2" w:rsidRDefault="001105C2" w:rsidP="001105C2">
            <w:pPr>
              <w:numPr>
                <w:ilvl w:val="0"/>
                <w:numId w:val="26"/>
              </w:numPr>
              <w:rPr>
                <w:color w:val="000000"/>
              </w:rPr>
            </w:pPr>
            <w:r>
              <w:rPr>
                <w:color w:val="000000"/>
              </w:rPr>
              <w:t>supervised or unsupervised play with interactive displays and unsupervised completion of activities</w:t>
            </w:r>
          </w:p>
          <w:p w14:paraId="57116D24" w14:textId="77777777" w:rsidR="001105C2" w:rsidRPr="006D2B86" w:rsidRDefault="001105C2" w:rsidP="001105C2">
            <w:pPr>
              <w:numPr>
                <w:ilvl w:val="0"/>
                <w:numId w:val="26"/>
              </w:numPr>
              <w:rPr>
                <w:color w:val="000000"/>
              </w:rPr>
            </w:pPr>
            <w:r w:rsidRPr="001105C2">
              <w:rPr>
                <w:color w:val="000000"/>
              </w:rPr>
              <w:t>demonstrations by museum interpreters, even if there is interaction between the visitor and the demonstrator about the collections or displays</w:t>
            </w:r>
          </w:p>
          <w:p w14:paraId="57116D25" w14:textId="77777777" w:rsidR="001105C2" w:rsidRDefault="00926617" w:rsidP="001105C2">
            <w:pPr>
              <w:numPr>
                <w:ilvl w:val="0"/>
                <w:numId w:val="26"/>
              </w:numPr>
              <w:rPr>
                <w:color w:val="000000"/>
              </w:rPr>
            </w:pPr>
            <w:r>
              <w:rPr>
                <w:color w:val="000000"/>
              </w:rPr>
              <w:t>visitors</w:t>
            </w:r>
            <w:r w:rsidR="001105C2">
              <w:rPr>
                <w:color w:val="000000"/>
              </w:rPr>
              <w:t xml:space="preserve"> under 1</w:t>
            </w:r>
            <w:r>
              <w:rPr>
                <w:color w:val="000000"/>
              </w:rPr>
              <w:t>8</w:t>
            </w:r>
            <w:r w:rsidR="001105C2">
              <w:rPr>
                <w:color w:val="000000"/>
              </w:rPr>
              <w:t xml:space="preserve"> participating in off-site outreach programmes</w:t>
            </w:r>
          </w:p>
          <w:p w14:paraId="57116D26" w14:textId="77777777" w:rsidR="001105C2" w:rsidRDefault="001105C2" w:rsidP="008B492B">
            <w:pPr>
              <w:ind w:left="0"/>
              <w:rPr>
                <w:color w:val="000000"/>
              </w:rPr>
            </w:pPr>
            <w:r w:rsidRPr="00F966AA">
              <w:t>If 1</w:t>
            </w:r>
            <w:r w:rsidR="008B492B">
              <w:t>8</w:t>
            </w:r>
            <w:r w:rsidRPr="00F966AA">
              <w:t xml:space="preserve">-year olds participate in organised activities </w:t>
            </w:r>
            <w:r w:rsidRPr="001105C2">
              <w:rPr>
                <w:color w:val="000000"/>
              </w:rPr>
              <w:t>designed</w:t>
            </w:r>
            <w:r w:rsidRPr="00F966AA">
              <w:t xml:space="preserve"> primarily for school-age children they</w:t>
            </w:r>
            <w:r w:rsidR="00926617">
              <w:t xml:space="preserve"> should be regarded as ‘visitors under 18</w:t>
            </w:r>
            <w:r w:rsidRPr="00F966AA">
              <w:t xml:space="preserve">’ in this instance and their participation recorded under measure </w:t>
            </w:r>
            <w:r w:rsidR="008B492B">
              <w:t>5</w:t>
            </w:r>
            <w:r w:rsidRPr="00F966AA">
              <w:t>.1.</w:t>
            </w:r>
          </w:p>
        </w:tc>
      </w:tr>
    </w:tbl>
    <w:p w14:paraId="57116D28" w14:textId="77777777" w:rsidR="003174A1" w:rsidRDefault="003174A1" w:rsidP="0046107E"/>
    <w:p w14:paraId="57116D29" w14:textId="77777777" w:rsidR="009B7AC6" w:rsidRDefault="009B7AC6" w:rsidP="009B7AC6">
      <w:pPr>
        <w:pStyle w:val="Heading1Numbered"/>
        <w:numPr>
          <w:ilvl w:val="0"/>
          <w:numId w:val="0"/>
        </w:numPr>
        <w:tabs>
          <w:tab w:val="left" w:pos="5310"/>
        </w:tabs>
      </w:pPr>
      <w:r>
        <w:lastRenderedPageBreak/>
        <w:t>Section 4: Visitor satisfaction</w:t>
      </w:r>
    </w:p>
    <w:p w14:paraId="57116D2A" w14:textId="77777777" w:rsidR="009B7AC6" w:rsidRDefault="009B7AC6" w:rsidP="009B7AC6"/>
    <w:tbl>
      <w:tblPr>
        <w:tblStyle w:val="TableGrid"/>
        <w:tblW w:w="0" w:type="auto"/>
        <w:tblInd w:w="108" w:type="dxa"/>
        <w:tblLook w:val="04A0" w:firstRow="1" w:lastRow="0" w:firstColumn="1" w:lastColumn="0" w:noHBand="0" w:noVBand="1"/>
      </w:tblPr>
      <w:tblGrid>
        <w:gridCol w:w="567"/>
        <w:gridCol w:w="2835"/>
        <w:gridCol w:w="6570"/>
      </w:tblGrid>
      <w:tr w:rsidR="009B7AC6" w14:paraId="57116D37" w14:textId="77777777" w:rsidTr="009B7AC6">
        <w:tc>
          <w:tcPr>
            <w:tcW w:w="567" w:type="dxa"/>
          </w:tcPr>
          <w:p w14:paraId="57116D2B" w14:textId="77777777" w:rsidR="009B7AC6" w:rsidRDefault="008B492B" w:rsidP="009B7AC6">
            <w:pPr>
              <w:ind w:left="0"/>
            </w:pPr>
            <w:r>
              <w:t>6</w:t>
            </w:r>
          </w:p>
        </w:tc>
        <w:tc>
          <w:tcPr>
            <w:tcW w:w="2835" w:type="dxa"/>
          </w:tcPr>
          <w:p w14:paraId="57116D2C" w14:textId="77777777" w:rsidR="009B7AC6" w:rsidRDefault="009B7AC6" w:rsidP="009B7AC6">
            <w:pPr>
              <w:ind w:left="0"/>
            </w:pPr>
            <w:r w:rsidRPr="009B7AC6">
              <w:rPr>
                <w:color w:val="000000"/>
              </w:rPr>
              <w:t>% of visitors who would recommend a visit</w:t>
            </w:r>
          </w:p>
        </w:tc>
        <w:tc>
          <w:tcPr>
            <w:tcW w:w="6570" w:type="dxa"/>
          </w:tcPr>
          <w:p w14:paraId="57116D2D" w14:textId="77777777" w:rsidR="009B7AC6" w:rsidRDefault="009B7AC6" w:rsidP="009B7AC6">
            <w:pPr>
              <w:ind w:left="0"/>
              <w:rPr>
                <w:color w:val="000000"/>
              </w:rPr>
            </w:pPr>
            <w:r w:rsidRPr="009B7AC6">
              <w:rPr>
                <w:color w:val="000000"/>
              </w:rPr>
              <w:t>Submit combined top 2 responses to the following survey question.</w:t>
            </w:r>
          </w:p>
          <w:p w14:paraId="57116D2E" w14:textId="77777777" w:rsidR="009B7AC6" w:rsidRPr="009B7AC6" w:rsidRDefault="009B7AC6" w:rsidP="009B7AC6">
            <w:pPr>
              <w:ind w:left="0"/>
              <w:rPr>
                <w:color w:val="000000"/>
              </w:rPr>
            </w:pPr>
          </w:p>
          <w:p w14:paraId="57116D2F" w14:textId="77777777" w:rsidR="009B7AC6" w:rsidRPr="009B7AC6" w:rsidRDefault="009B7AC6" w:rsidP="009B7AC6">
            <w:pPr>
              <w:ind w:left="0"/>
              <w:rPr>
                <w:color w:val="000000"/>
              </w:rPr>
            </w:pPr>
            <w:r w:rsidRPr="009B7AC6">
              <w:rPr>
                <w:color w:val="000000"/>
              </w:rPr>
              <w:t>How likely are you to recommend a visit to [the museum/gallery] to your friends or family?</w:t>
            </w:r>
          </w:p>
          <w:p w14:paraId="57116D30" w14:textId="77777777" w:rsidR="009B7AC6" w:rsidRPr="009B7AC6" w:rsidRDefault="009B7AC6" w:rsidP="009B7AC6">
            <w:pPr>
              <w:rPr>
                <w:color w:val="000000"/>
              </w:rPr>
            </w:pPr>
          </w:p>
          <w:p w14:paraId="57116D31" w14:textId="77777777" w:rsidR="009B7AC6" w:rsidRPr="009B7AC6" w:rsidRDefault="009B7AC6" w:rsidP="009B7AC6">
            <w:pPr>
              <w:ind w:left="0"/>
              <w:rPr>
                <w:color w:val="000000"/>
              </w:rPr>
            </w:pPr>
            <w:r w:rsidRPr="009B7AC6">
              <w:rPr>
                <w:color w:val="000000"/>
              </w:rPr>
              <w:t>Definitely will</w:t>
            </w:r>
          </w:p>
          <w:p w14:paraId="57116D32" w14:textId="77777777" w:rsidR="009B7AC6" w:rsidRPr="009B7AC6" w:rsidRDefault="009B7AC6" w:rsidP="009B7AC6">
            <w:pPr>
              <w:ind w:left="0"/>
              <w:rPr>
                <w:color w:val="000000"/>
              </w:rPr>
            </w:pPr>
            <w:r w:rsidRPr="009B7AC6">
              <w:rPr>
                <w:color w:val="000000"/>
              </w:rPr>
              <w:t>Probably</w:t>
            </w:r>
          </w:p>
          <w:p w14:paraId="57116D33" w14:textId="77777777" w:rsidR="009B7AC6" w:rsidRPr="009B7AC6" w:rsidRDefault="009B7AC6" w:rsidP="009B7AC6">
            <w:pPr>
              <w:ind w:left="0"/>
              <w:rPr>
                <w:color w:val="000000"/>
              </w:rPr>
            </w:pPr>
            <w:r w:rsidRPr="009B7AC6">
              <w:rPr>
                <w:color w:val="000000"/>
              </w:rPr>
              <w:t>Possibly</w:t>
            </w:r>
          </w:p>
          <w:p w14:paraId="57116D34" w14:textId="77777777" w:rsidR="009B7AC6" w:rsidRPr="009B7AC6" w:rsidRDefault="009B7AC6" w:rsidP="009B7AC6">
            <w:pPr>
              <w:ind w:left="0"/>
              <w:rPr>
                <w:color w:val="000000"/>
              </w:rPr>
            </w:pPr>
            <w:r w:rsidRPr="009B7AC6">
              <w:rPr>
                <w:color w:val="000000"/>
              </w:rPr>
              <w:t>Probably not</w:t>
            </w:r>
          </w:p>
          <w:p w14:paraId="57116D35" w14:textId="77777777" w:rsidR="009B7AC6" w:rsidRPr="009B7AC6" w:rsidRDefault="009B7AC6" w:rsidP="009B7AC6">
            <w:pPr>
              <w:ind w:left="0"/>
              <w:rPr>
                <w:color w:val="000000"/>
              </w:rPr>
            </w:pPr>
            <w:r w:rsidRPr="009B7AC6">
              <w:rPr>
                <w:color w:val="000000"/>
              </w:rPr>
              <w:t>Definitely not</w:t>
            </w:r>
          </w:p>
          <w:p w14:paraId="57116D36" w14:textId="77777777" w:rsidR="009B7AC6" w:rsidRPr="009B7AC6" w:rsidRDefault="009B7AC6" w:rsidP="009B7AC6">
            <w:pPr>
              <w:ind w:left="0"/>
              <w:rPr>
                <w:color w:val="000000"/>
              </w:rPr>
            </w:pPr>
            <w:r w:rsidRPr="009B7AC6">
              <w:rPr>
                <w:color w:val="000000"/>
              </w:rPr>
              <w:t>Don’t know</w:t>
            </w:r>
          </w:p>
        </w:tc>
      </w:tr>
    </w:tbl>
    <w:p w14:paraId="57116D38" w14:textId="77777777" w:rsidR="009B7AC6" w:rsidRDefault="000132EC" w:rsidP="000132EC">
      <w:pPr>
        <w:pStyle w:val="Heading1Numbered"/>
        <w:numPr>
          <w:ilvl w:val="0"/>
          <w:numId w:val="0"/>
        </w:numPr>
        <w:tabs>
          <w:tab w:val="left" w:pos="5310"/>
        </w:tabs>
      </w:pPr>
      <w:r>
        <w:lastRenderedPageBreak/>
        <w:t>Section 5: Income generation</w:t>
      </w:r>
    </w:p>
    <w:p w14:paraId="57116D39" w14:textId="77777777" w:rsidR="000132EC" w:rsidRDefault="000132EC" w:rsidP="000132EC"/>
    <w:tbl>
      <w:tblPr>
        <w:tblStyle w:val="TableGrid"/>
        <w:tblW w:w="0" w:type="auto"/>
        <w:tblInd w:w="108" w:type="dxa"/>
        <w:tblLayout w:type="fixed"/>
        <w:tblLook w:val="04A0" w:firstRow="1" w:lastRow="0" w:firstColumn="1" w:lastColumn="0" w:noHBand="0" w:noVBand="1"/>
      </w:tblPr>
      <w:tblGrid>
        <w:gridCol w:w="567"/>
        <w:gridCol w:w="1904"/>
        <w:gridCol w:w="7501"/>
      </w:tblGrid>
      <w:tr w:rsidR="000132EC" w14:paraId="57116D3D" w14:textId="77777777" w:rsidTr="004F2B3E">
        <w:tc>
          <w:tcPr>
            <w:tcW w:w="567" w:type="dxa"/>
          </w:tcPr>
          <w:p w14:paraId="57116D3A" w14:textId="77777777" w:rsidR="000132EC" w:rsidRDefault="008B492B" w:rsidP="000132EC">
            <w:pPr>
              <w:ind w:left="0"/>
            </w:pPr>
            <w:r>
              <w:t>7</w:t>
            </w:r>
          </w:p>
        </w:tc>
        <w:tc>
          <w:tcPr>
            <w:tcW w:w="1904" w:type="dxa"/>
          </w:tcPr>
          <w:p w14:paraId="57116D3B" w14:textId="77777777" w:rsidR="000132EC" w:rsidRDefault="000132EC" w:rsidP="000132EC">
            <w:pPr>
              <w:ind w:left="0"/>
            </w:pPr>
            <w:r w:rsidRPr="000132EC">
              <w:rPr>
                <w:b/>
                <w:color w:val="000000"/>
              </w:rPr>
              <w:t>SELF-GENERATED INCOME</w:t>
            </w:r>
          </w:p>
        </w:tc>
        <w:tc>
          <w:tcPr>
            <w:tcW w:w="7501" w:type="dxa"/>
          </w:tcPr>
          <w:p w14:paraId="57116D3C" w14:textId="77777777" w:rsidR="000132EC" w:rsidRDefault="000132EC" w:rsidP="000132EC">
            <w:pPr>
              <w:ind w:left="0"/>
            </w:pPr>
          </w:p>
        </w:tc>
      </w:tr>
      <w:tr w:rsidR="000132EC" w14:paraId="57116D41" w14:textId="77777777" w:rsidTr="004F2B3E">
        <w:tc>
          <w:tcPr>
            <w:tcW w:w="567" w:type="dxa"/>
          </w:tcPr>
          <w:p w14:paraId="57116D3E" w14:textId="77777777" w:rsidR="000132EC" w:rsidRDefault="000132EC" w:rsidP="000132EC">
            <w:pPr>
              <w:ind w:left="0"/>
            </w:pPr>
          </w:p>
        </w:tc>
        <w:tc>
          <w:tcPr>
            <w:tcW w:w="1904" w:type="dxa"/>
          </w:tcPr>
          <w:p w14:paraId="57116D3F" w14:textId="77777777" w:rsidR="000132EC" w:rsidRPr="000132EC" w:rsidRDefault="000132EC" w:rsidP="000132EC">
            <w:pPr>
              <w:ind w:left="0"/>
              <w:rPr>
                <w:b/>
                <w:color w:val="000000"/>
              </w:rPr>
            </w:pPr>
            <w:r w:rsidRPr="000132EC">
              <w:rPr>
                <w:color w:val="000000"/>
              </w:rPr>
              <w:t>Admissions</w:t>
            </w:r>
          </w:p>
        </w:tc>
        <w:tc>
          <w:tcPr>
            <w:tcW w:w="7501" w:type="dxa"/>
          </w:tcPr>
          <w:p w14:paraId="57116D40" w14:textId="77777777" w:rsidR="000132EC" w:rsidRDefault="000132EC" w:rsidP="000132EC">
            <w:pPr>
              <w:ind w:left="0"/>
            </w:pPr>
            <w:r w:rsidRPr="000132EC">
              <w:rPr>
                <w:color w:val="000000"/>
              </w:rPr>
              <w:t>Admissions income (gross income) – i.e. charges made to view the permanent collection or temporary exhibitions.</w:t>
            </w:r>
          </w:p>
        </w:tc>
      </w:tr>
      <w:tr w:rsidR="000132EC" w14:paraId="57116D45" w14:textId="77777777" w:rsidTr="004F2B3E">
        <w:tc>
          <w:tcPr>
            <w:tcW w:w="567" w:type="dxa"/>
          </w:tcPr>
          <w:p w14:paraId="57116D42" w14:textId="77777777" w:rsidR="000132EC" w:rsidRDefault="000132EC" w:rsidP="000132EC">
            <w:pPr>
              <w:ind w:left="0"/>
            </w:pPr>
          </w:p>
        </w:tc>
        <w:tc>
          <w:tcPr>
            <w:tcW w:w="1904" w:type="dxa"/>
          </w:tcPr>
          <w:p w14:paraId="57116D43" w14:textId="77777777" w:rsidR="000132EC" w:rsidRPr="000132EC" w:rsidRDefault="000132EC" w:rsidP="000132EC">
            <w:pPr>
              <w:ind w:left="0"/>
              <w:rPr>
                <w:b/>
                <w:color w:val="000000"/>
              </w:rPr>
            </w:pPr>
            <w:r w:rsidRPr="000132EC">
              <w:rPr>
                <w:color w:val="000000"/>
              </w:rPr>
              <w:t>Trading income</w:t>
            </w:r>
          </w:p>
        </w:tc>
        <w:tc>
          <w:tcPr>
            <w:tcW w:w="7501" w:type="dxa"/>
          </w:tcPr>
          <w:p w14:paraId="57116D44" w14:textId="77777777" w:rsidR="000132EC" w:rsidRDefault="000132EC" w:rsidP="000132EC">
            <w:pPr>
              <w:ind w:left="0"/>
            </w:pPr>
            <w:r w:rsidRPr="000132EC">
              <w:rPr>
                <w:color w:val="000000"/>
              </w:rPr>
              <w:t>Trading income (net profit) – i.e. activities which involve selling a product or service to a customer (e.g. retail sales, publications, reproductions, royalties, corporate hire, catering, location hire (TV and films), licensing, image licensing, consultancy, services, learning and access income.</w:t>
            </w:r>
          </w:p>
        </w:tc>
      </w:tr>
      <w:tr w:rsidR="000132EC" w14:paraId="57116D73" w14:textId="77777777" w:rsidTr="004F2B3E">
        <w:tc>
          <w:tcPr>
            <w:tcW w:w="567" w:type="dxa"/>
          </w:tcPr>
          <w:p w14:paraId="57116D46" w14:textId="77777777" w:rsidR="000132EC" w:rsidRDefault="000132EC" w:rsidP="000132EC">
            <w:pPr>
              <w:ind w:left="0"/>
            </w:pPr>
          </w:p>
        </w:tc>
        <w:tc>
          <w:tcPr>
            <w:tcW w:w="1904" w:type="dxa"/>
          </w:tcPr>
          <w:p w14:paraId="57116D47" w14:textId="77777777" w:rsidR="000132EC" w:rsidRDefault="00DC5A01" w:rsidP="000132EC">
            <w:pPr>
              <w:ind w:left="0"/>
              <w:rPr>
                <w:color w:val="000000"/>
              </w:rPr>
            </w:pPr>
            <w:r>
              <w:rPr>
                <w:color w:val="000000"/>
              </w:rPr>
              <w:t>Charitable Giving (Fundraising/</w:t>
            </w:r>
            <w:r w:rsidR="001D6774">
              <w:rPr>
                <w:color w:val="000000"/>
              </w:rPr>
              <w:t xml:space="preserve">  </w:t>
            </w:r>
            <w:r>
              <w:rPr>
                <w:color w:val="000000"/>
              </w:rPr>
              <w:t>contributed income)</w:t>
            </w:r>
          </w:p>
          <w:p w14:paraId="57116D48" w14:textId="77777777" w:rsidR="00AD5F84" w:rsidRPr="00AD5F84" w:rsidRDefault="00AD5F84" w:rsidP="000132EC">
            <w:pPr>
              <w:ind w:left="0"/>
              <w:rPr>
                <w:b/>
                <w:color w:val="000000"/>
              </w:rPr>
            </w:pPr>
            <w:r w:rsidRPr="00AD5F84">
              <w:rPr>
                <w:b/>
                <w:color w:val="000000"/>
              </w:rPr>
              <w:t>Key Performance Indicator</w:t>
            </w:r>
          </w:p>
        </w:tc>
        <w:tc>
          <w:tcPr>
            <w:tcW w:w="7501" w:type="dxa"/>
          </w:tcPr>
          <w:p w14:paraId="57116D49" w14:textId="77777777" w:rsidR="004F2B3E" w:rsidRDefault="004F2B3E" w:rsidP="004F2B3E">
            <w:pPr>
              <w:ind w:left="0"/>
            </w:pPr>
            <w:r>
              <w:t>Charitable giving (a.k.a. Fundraising/contributed income) is defined as any money or gift received from an individual, charity or private company, which is from one of the following: bequests, legacies, donations and capital grants from individuals, charities, foundations, trusts and private companies, as well as income raised through sponsorship and income from membership schemes.</w:t>
            </w:r>
          </w:p>
          <w:p w14:paraId="57116D4A" w14:textId="77777777" w:rsidR="004F2B3E" w:rsidRDefault="004F2B3E" w:rsidP="004F2B3E">
            <w:pPr>
              <w:ind w:left="0"/>
            </w:pPr>
            <w:r>
              <w:t>This should not include any money received from a publicly funded organisation, central government grants, investment income or lottery grant funding.</w:t>
            </w:r>
          </w:p>
          <w:p w14:paraId="57116D4B" w14:textId="77777777" w:rsidR="006865E6" w:rsidRDefault="006865E6" w:rsidP="004F2B3E">
            <w:pPr>
              <w:ind w:left="0"/>
              <w:rPr>
                <w:color w:val="1F497D"/>
              </w:rPr>
            </w:pPr>
            <w:r>
              <w:t>The sources used to calculate these indicators are derived from individual sponsored organisation’s statutory accounts.</w:t>
            </w:r>
          </w:p>
          <w:p w14:paraId="57116D4C" w14:textId="77777777" w:rsidR="004F2B3E" w:rsidRDefault="004F2B3E" w:rsidP="004F2B3E">
            <w:pPr>
              <w:ind w:left="0"/>
              <w:rPr>
                <w:color w:val="000000"/>
              </w:rPr>
            </w:pPr>
            <w:r>
              <w:rPr>
                <w:color w:val="000000"/>
              </w:rPr>
              <w:t>We have summarised this in the table below:</w:t>
            </w:r>
          </w:p>
          <w:tbl>
            <w:tblPr>
              <w:tblW w:w="0" w:type="auto"/>
              <w:tblLayout w:type="fixed"/>
              <w:tblCellMar>
                <w:left w:w="0" w:type="dxa"/>
                <w:right w:w="0" w:type="dxa"/>
              </w:tblCellMar>
              <w:tblLook w:val="04A0" w:firstRow="1" w:lastRow="0" w:firstColumn="1" w:lastColumn="0" w:noHBand="0" w:noVBand="1"/>
            </w:tblPr>
            <w:tblGrid>
              <w:gridCol w:w="5353"/>
              <w:gridCol w:w="3853"/>
            </w:tblGrid>
            <w:tr w:rsidR="004F2B3E" w14:paraId="57116D4F" w14:textId="77777777" w:rsidTr="004F2B3E">
              <w:trPr>
                <w:trHeight w:val="645"/>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7116D4D" w14:textId="77777777" w:rsidR="004F2B3E" w:rsidRDefault="004F2B3E" w:rsidP="004F2B3E">
                  <w:pPr>
                    <w:spacing w:line="276" w:lineRule="auto"/>
                    <w:ind w:left="0"/>
                    <w:rPr>
                      <w:rFonts w:ascii="Calibri" w:eastAsiaTheme="minorHAnsi" w:hAnsi="Calibri" w:cs="Calibri"/>
                      <w:szCs w:val="22"/>
                    </w:rPr>
                  </w:pPr>
                  <w:r>
                    <w:t>Donations, legacies, bequests and similar income</w:t>
                  </w:r>
                </w:p>
              </w:tc>
              <w:tc>
                <w:tcPr>
                  <w:tcW w:w="385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116D4E" w14:textId="77777777" w:rsidR="004F2B3E" w:rsidRDefault="004F2B3E" w:rsidP="004F2B3E">
                  <w:pPr>
                    <w:spacing w:line="276" w:lineRule="auto"/>
                    <w:ind w:left="0"/>
                    <w:rPr>
                      <w:rFonts w:ascii="Calibri" w:eastAsiaTheme="minorHAnsi" w:hAnsi="Calibri" w:cs="Calibri"/>
                      <w:szCs w:val="22"/>
                    </w:rPr>
                  </w:pPr>
                  <w:r>
                    <w:t>Included</w:t>
                  </w:r>
                </w:p>
              </w:tc>
            </w:tr>
            <w:tr w:rsidR="004F2B3E" w14:paraId="57116D52" w14:textId="77777777" w:rsidTr="004F2B3E">
              <w:trPr>
                <w:trHeight w:val="343"/>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50" w14:textId="77777777" w:rsidR="004F2B3E" w:rsidRDefault="004F2B3E" w:rsidP="004F2B3E">
                  <w:pPr>
                    <w:spacing w:line="276" w:lineRule="auto"/>
                    <w:ind w:left="0"/>
                    <w:rPr>
                      <w:rFonts w:ascii="Calibri" w:eastAsiaTheme="minorHAnsi" w:hAnsi="Calibri" w:cs="Calibri"/>
                      <w:szCs w:val="22"/>
                    </w:rPr>
                  </w:pPr>
                  <w:r>
                    <w:t>Donated objects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51" w14:textId="77777777" w:rsidR="004F2B3E" w:rsidRDefault="004F2B3E" w:rsidP="004F2B3E">
                  <w:pPr>
                    <w:spacing w:line="276" w:lineRule="auto"/>
                    <w:ind w:left="0"/>
                    <w:rPr>
                      <w:rFonts w:ascii="Calibri" w:eastAsiaTheme="minorHAnsi" w:hAnsi="Calibri" w:cs="Calibri"/>
                      <w:szCs w:val="22"/>
                    </w:rPr>
                  </w:pPr>
                  <w:r>
                    <w:t>Included</w:t>
                  </w:r>
                </w:p>
              </w:tc>
            </w:tr>
            <w:tr w:rsidR="004F2B3E" w14:paraId="57116D55"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53" w14:textId="77777777" w:rsidR="004F2B3E" w:rsidRDefault="004F2B3E" w:rsidP="004F2B3E">
                  <w:pPr>
                    <w:spacing w:line="276" w:lineRule="auto"/>
                    <w:ind w:left="0"/>
                    <w:rPr>
                      <w:rFonts w:ascii="Calibri" w:eastAsiaTheme="minorHAnsi" w:hAnsi="Calibri" w:cs="Calibri"/>
                      <w:szCs w:val="22"/>
                    </w:rPr>
                  </w:pPr>
                  <w:r>
                    <w:t>Sponsorship</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54" w14:textId="77777777" w:rsidR="004F2B3E" w:rsidRDefault="004F2B3E" w:rsidP="004F2B3E">
                  <w:pPr>
                    <w:spacing w:line="276" w:lineRule="auto"/>
                    <w:ind w:left="0"/>
                    <w:rPr>
                      <w:rFonts w:ascii="Calibri" w:eastAsiaTheme="minorHAnsi" w:hAnsi="Calibri" w:cs="Calibri"/>
                      <w:szCs w:val="22"/>
                    </w:rPr>
                  </w:pPr>
                  <w:r>
                    <w:t>Included</w:t>
                  </w:r>
                </w:p>
              </w:tc>
            </w:tr>
            <w:tr w:rsidR="004F2B3E" w14:paraId="57116D58"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56" w14:textId="77777777" w:rsidR="004F2B3E" w:rsidRDefault="004F2B3E" w:rsidP="004F2B3E">
                  <w:pPr>
                    <w:spacing w:line="276" w:lineRule="auto"/>
                    <w:ind w:left="0"/>
                    <w:rPr>
                      <w:rFonts w:ascii="Calibri" w:eastAsiaTheme="minorHAnsi" w:hAnsi="Calibri" w:cs="Calibri"/>
                      <w:szCs w:val="22"/>
                    </w:rPr>
                  </w:pPr>
                  <w:r>
                    <w:t>Donations from connected charities + Other donations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57" w14:textId="77777777" w:rsidR="004F2B3E" w:rsidRDefault="004F2B3E" w:rsidP="004F2B3E">
                  <w:pPr>
                    <w:spacing w:line="276" w:lineRule="auto"/>
                    <w:ind w:left="0"/>
                    <w:rPr>
                      <w:rFonts w:ascii="Calibri" w:eastAsiaTheme="minorHAnsi" w:hAnsi="Calibri" w:cs="Calibri"/>
                      <w:szCs w:val="22"/>
                    </w:rPr>
                  </w:pPr>
                  <w:r>
                    <w:t>Included</w:t>
                  </w:r>
                </w:p>
              </w:tc>
            </w:tr>
            <w:tr w:rsidR="004F2B3E" w14:paraId="57116D5B"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59" w14:textId="77777777" w:rsidR="004F2B3E" w:rsidRDefault="004F2B3E" w:rsidP="004F2B3E">
                  <w:pPr>
                    <w:spacing w:line="276" w:lineRule="auto"/>
                    <w:ind w:left="0"/>
                    <w:rPr>
                      <w:rFonts w:ascii="Calibri" w:eastAsiaTheme="minorHAnsi" w:hAnsi="Calibri" w:cs="Calibri"/>
                      <w:szCs w:val="22"/>
                    </w:rPr>
                  </w:pPr>
                  <w:r>
                    <w:t>Capital grants and donations (not from public bodies)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5A" w14:textId="77777777" w:rsidR="004F2B3E" w:rsidRDefault="004F2B3E" w:rsidP="004F2B3E">
                  <w:pPr>
                    <w:spacing w:line="276" w:lineRule="auto"/>
                    <w:ind w:left="0"/>
                    <w:rPr>
                      <w:rFonts w:ascii="Calibri" w:eastAsiaTheme="minorHAnsi" w:hAnsi="Calibri" w:cs="Calibri"/>
                      <w:szCs w:val="22"/>
                    </w:rPr>
                  </w:pPr>
                  <w:r>
                    <w:t>Included</w:t>
                  </w:r>
                </w:p>
              </w:tc>
            </w:tr>
            <w:tr w:rsidR="004F2B3E" w14:paraId="57116D5E"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5C" w14:textId="77777777" w:rsidR="004F2B3E" w:rsidRDefault="004F2B3E" w:rsidP="004F2B3E">
                  <w:pPr>
                    <w:spacing w:line="276" w:lineRule="auto"/>
                    <w:ind w:left="0"/>
                    <w:rPr>
                      <w:rFonts w:ascii="Calibri" w:eastAsiaTheme="minorHAnsi" w:hAnsi="Calibri" w:cs="Calibri"/>
                      <w:szCs w:val="22"/>
                    </w:rPr>
                  </w:pPr>
                  <w:r>
                    <w:t>Membership schemes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5D" w14:textId="77777777" w:rsidR="004F2B3E" w:rsidRDefault="004F2B3E" w:rsidP="004F2B3E">
                  <w:pPr>
                    <w:spacing w:line="276" w:lineRule="auto"/>
                    <w:ind w:left="0"/>
                    <w:rPr>
                      <w:rFonts w:ascii="Calibri" w:eastAsiaTheme="minorHAnsi" w:hAnsi="Calibri" w:cs="Calibri"/>
                      <w:szCs w:val="22"/>
                    </w:rPr>
                  </w:pPr>
                  <w:r>
                    <w:t>Included</w:t>
                  </w:r>
                </w:p>
              </w:tc>
            </w:tr>
            <w:tr w:rsidR="004F2B3E" w14:paraId="57116D61"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5F" w14:textId="77777777" w:rsidR="004F2B3E" w:rsidRDefault="004F2B3E" w:rsidP="004F2B3E">
                  <w:pPr>
                    <w:spacing w:line="276" w:lineRule="auto"/>
                    <w:ind w:left="0"/>
                    <w:rPr>
                      <w:rFonts w:ascii="Calibri" w:eastAsiaTheme="minorHAnsi" w:hAnsi="Calibri" w:cs="Calibri"/>
                      <w:szCs w:val="22"/>
                    </w:rPr>
                  </w:pPr>
                  <w:r>
                    <w:t>Trading income</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60" w14:textId="77777777" w:rsidR="004F2B3E" w:rsidRDefault="004F2B3E" w:rsidP="004F2B3E">
                  <w:pPr>
                    <w:spacing w:line="276" w:lineRule="auto"/>
                    <w:ind w:left="0"/>
                    <w:rPr>
                      <w:rFonts w:ascii="Calibri" w:eastAsiaTheme="minorHAnsi" w:hAnsi="Calibri" w:cs="Calibri"/>
                      <w:szCs w:val="22"/>
                    </w:rPr>
                  </w:pPr>
                  <w:r>
                    <w:t>Not Included</w:t>
                  </w:r>
                </w:p>
              </w:tc>
            </w:tr>
            <w:tr w:rsidR="004F2B3E" w14:paraId="57116D64"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62" w14:textId="77777777" w:rsidR="004F2B3E" w:rsidRDefault="004F2B3E" w:rsidP="004F2B3E">
                  <w:pPr>
                    <w:spacing w:line="276" w:lineRule="auto"/>
                    <w:ind w:left="0"/>
                    <w:rPr>
                      <w:rFonts w:ascii="Calibri" w:eastAsiaTheme="minorHAnsi" w:hAnsi="Calibri" w:cs="Calibri"/>
                      <w:szCs w:val="22"/>
                    </w:rPr>
                  </w:pPr>
                  <w:r>
                    <w:t>Investment income</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63" w14:textId="77777777" w:rsidR="004F2B3E" w:rsidRDefault="004F2B3E" w:rsidP="004F2B3E">
                  <w:pPr>
                    <w:spacing w:line="276" w:lineRule="auto"/>
                    <w:ind w:left="0"/>
                    <w:rPr>
                      <w:rFonts w:ascii="Calibri" w:eastAsiaTheme="minorHAnsi" w:hAnsi="Calibri" w:cs="Calibri"/>
                      <w:szCs w:val="22"/>
                    </w:rPr>
                  </w:pPr>
                  <w:r>
                    <w:t>Not Included</w:t>
                  </w:r>
                </w:p>
              </w:tc>
            </w:tr>
            <w:tr w:rsidR="004F2B3E" w14:paraId="57116D67"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65" w14:textId="77777777" w:rsidR="004F2B3E" w:rsidRDefault="004F2B3E" w:rsidP="004F2B3E">
                  <w:pPr>
                    <w:spacing w:line="276" w:lineRule="auto"/>
                    <w:ind w:left="0"/>
                    <w:rPr>
                      <w:rFonts w:ascii="Calibri" w:eastAsiaTheme="minorHAnsi" w:hAnsi="Calibri" w:cs="Calibri"/>
                      <w:szCs w:val="22"/>
                    </w:rPr>
                  </w:pPr>
                  <w:r>
                    <w:t>Admissions &amp; exhibition fees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66" w14:textId="77777777" w:rsidR="004F2B3E" w:rsidRDefault="004F2B3E" w:rsidP="004F2B3E">
                  <w:pPr>
                    <w:spacing w:line="276" w:lineRule="auto"/>
                    <w:ind w:left="0"/>
                    <w:rPr>
                      <w:rFonts w:ascii="Calibri" w:eastAsiaTheme="minorHAnsi" w:hAnsi="Calibri" w:cs="Calibri"/>
                      <w:szCs w:val="22"/>
                    </w:rPr>
                  </w:pPr>
                  <w:r>
                    <w:t>Not Included</w:t>
                  </w:r>
                </w:p>
              </w:tc>
            </w:tr>
            <w:tr w:rsidR="004F2B3E" w14:paraId="57116D6A"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68" w14:textId="77777777" w:rsidR="004F2B3E" w:rsidRDefault="004F2B3E" w:rsidP="004F2B3E">
                  <w:pPr>
                    <w:spacing w:line="276" w:lineRule="auto"/>
                    <w:ind w:left="0"/>
                    <w:rPr>
                      <w:rFonts w:ascii="Calibri" w:eastAsiaTheme="minorHAnsi" w:hAnsi="Calibri" w:cs="Calibri"/>
                      <w:szCs w:val="22"/>
                    </w:rPr>
                  </w:pPr>
                  <w:r>
                    <w:t>Other income</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69" w14:textId="77777777" w:rsidR="004F2B3E" w:rsidRDefault="004F2B3E" w:rsidP="004F2B3E">
                  <w:pPr>
                    <w:spacing w:line="276" w:lineRule="auto"/>
                    <w:ind w:left="0"/>
                    <w:rPr>
                      <w:rFonts w:ascii="Calibri" w:eastAsiaTheme="minorHAnsi" w:hAnsi="Calibri" w:cs="Calibri"/>
                      <w:szCs w:val="22"/>
                    </w:rPr>
                  </w:pPr>
                  <w:r>
                    <w:t>Not Included</w:t>
                  </w:r>
                </w:p>
              </w:tc>
            </w:tr>
            <w:tr w:rsidR="004F2B3E" w14:paraId="57116D6D" w14:textId="77777777" w:rsidTr="004F2B3E">
              <w:trPr>
                <w:trHeight w:val="285"/>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6B" w14:textId="77777777" w:rsidR="004F2B3E" w:rsidRDefault="004F2B3E" w:rsidP="004F2B3E">
                  <w:pPr>
                    <w:spacing w:line="276" w:lineRule="auto"/>
                    <w:ind w:left="0"/>
                    <w:rPr>
                      <w:rFonts w:ascii="Calibri" w:eastAsiaTheme="minorHAnsi" w:hAnsi="Calibri" w:cs="Calibri"/>
                      <w:szCs w:val="22"/>
                    </w:rPr>
                  </w:pPr>
                  <w:r>
                    <w:lastRenderedPageBreak/>
                    <w:t>Development funds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6C" w14:textId="77777777" w:rsidR="004F2B3E" w:rsidRDefault="004F2B3E" w:rsidP="004F2B3E">
                  <w:pPr>
                    <w:spacing w:line="276" w:lineRule="auto"/>
                    <w:ind w:left="0"/>
                    <w:rPr>
                      <w:rFonts w:ascii="Calibri" w:eastAsiaTheme="minorHAnsi" w:hAnsi="Calibri" w:cs="Calibri"/>
                      <w:szCs w:val="22"/>
                    </w:rPr>
                  </w:pPr>
                  <w:r>
                    <w:t>Not Included</w:t>
                  </w:r>
                </w:p>
              </w:tc>
            </w:tr>
            <w:tr w:rsidR="004F2B3E" w14:paraId="57116D70" w14:textId="77777777" w:rsidTr="004F2B3E">
              <w:trPr>
                <w:trHeight w:val="311"/>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6D6E" w14:textId="77777777" w:rsidR="004F2B3E" w:rsidRDefault="004F2B3E" w:rsidP="004F2B3E">
                  <w:pPr>
                    <w:spacing w:line="276" w:lineRule="auto"/>
                    <w:ind w:left="0"/>
                    <w:rPr>
                      <w:rFonts w:ascii="Calibri" w:eastAsiaTheme="minorHAnsi" w:hAnsi="Calibri" w:cs="Calibri"/>
                      <w:szCs w:val="22"/>
                    </w:rPr>
                  </w:pPr>
                  <w:r>
                    <w:t>Activities for generating funds</w:t>
                  </w:r>
                </w:p>
              </w:tc>
              <w:tc>
                <w:tcPr>
                  <w:tcW w:w="3853"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6D6F" w14:textId="77777777" w:rsidR="004F2B3E" w:rsidRDefault="004F2B3E" w:rsidP="004F2B3E">
                  <w:pPr>
                    <w:spacing w:line="276" w:lineRule="auto"/>
                    <w:ind w:left="0"/>
                    <w:rPr>
                      <w:rFonts w:ascii="Calibri" w:eastAsiaTheme="minorHAnsi" w:hAnsi="Calibri" w:cs="Calibri"/>
                      <w:szCs w:val="22"/>
                    </w:rPr>
                  </w:pPr>
                  <w:r>
                    <w:t>Not Included</w:t>
                  </w:r>
                </w:p>
              </w:tc>
            </w:tr>
          </w:tbl>
          <w:p w14:paraId="57116D71" w14:textId="77777777" w:rsidR="004F2B3E" w:rsidRDefault="004F2B3E" w:rsidP="004F2B3E">
            <w:pPr>
              <w:ind w:left="0"/>
              <w:rPr>
                <w:color w:val="000000"/>
              </w:rPr>
            </w:pPr>
          </w:p>
          <w:p w14:paraId="57116D72" w14:textId="77777777" w:rsidR="000132EC" w:rsidRDefault="000132EC" w:rsidP="00DC5A01">
            <w:pPr>
              <w:ind w:left="0"/>
            </w:pPr>
          </w:p>
        </w:tc>
      </w:tr>
    </w:tbl>
    <w:p w14:paraId="57116D74" w14:textId="77777777" w:rsidR="000132EC" w:rsidRDefault="000132EC" w:rsidP="000132EC"/>
    <w:p w14:paraId="57116D75" w14:textId="77777777" w:rsidR="000132EC" w:rsidRDefault="000132EC" w:rsidP="000132EC">
      <w:pPr>
        <w:pStyle w:val="Heading1Numbered"/>
        <w:numPr>
          <w:ilvl w:val="0"/>
          <w:numId w:val="0"/>
        </w:numPr>
        <w:tabs>
          <w:tab w:val="left" w:pos="5310"/>
        </w:tabs>
      </w:pPr>
      <w:r>
        <w:lastRenderedPageBreak/>
        <w:t>Section 6: Regional engagement</w:t>
      </w:r>
    </w:p>
    <w:p w14:paraId="57116D76" w14:textId="77777777" w:rsidR="000132EC" w:rsidRDefault="000132EC" w:rsidP="000132EC"/>
    <w:tbl>
      <w:tblPr>
        <w:tblStyle w:val="TableGrid"/>
        <w:tblW w:w="0" w:type="auto"/>
        <w:tblInd w:w="108" w:type="dxa"/>
        <w:tblLook w:val="04A0" w:firstRow="1" w:lastRow="0" w:firstColumn="1" w:lastColumn="0" w:noHBand="0" w:noVBand="1"/>
      </w:tblPr>
      <w:tblGrid>
        <w:gridCol w:w="709"/>
        <w:gridCol w:w="2835"/>
        <w:gridCol w:w="6428"/>
      </w:tblGrid>
      <w:tr w:rsidR="005C2175" w14:paraId="57116D7C" w14:textId="77777777" w:rsidTr="005C2175">
        <w:tc>
          <w:tcPr>
            <w:tcW w:w="709" w:type="dxa"/>
          </w:tcPr>
          <w:p w14:paraId="57116D77" w14:textId="77777777" w:rsidR="005C2175" w:rsidRDefault="008B492B" w:rsidP="000132EC">
            <w:pPr>
              <w:ind w:left="0"/>
            </w:pPr>
            <w:r>
              <w:t>8</w:t>
            </w:r>
          </w:p>
        </w:tc>
        <w:tc>
          <w:tcPr>
            <w:tcW w:w="2835" w:type="dxa"/>
          </w:tcPr>
          <w:p w14:paraId="57116D78" w14:textId="77777777" w:rsidR="005C2175" w:rsidRDefault="005C2175" w:rsidP="005C2175">
            <w:pPr>
              <w:ind w:left="0"/>
            </w:pPr>
            <w:r w:rsidRPr="005C2175">
              <w:rPr>
                <w:color w:val="000000"/>
              </w:rPr>
              <w:t>Number of UK loan venues</w:t>
            </w:r>
          </w:p>
        </w:tc>
        <w:tc>
          <w:tcPr>
            <w:tcW w:w="6428" w:type="dxa"/>
          </w:tcPr>
          <w:p w14:paraId="57116D79" w14:textId="77777777" w:rsidR="005C2175" w:rsidRPr="00A136BE" w:rsidRDefault="005C2175" w:rsidP="005C2175">
            <w:pPr>
              <w:ind w:left="0"/>
            </w:pPr>
            <w:r w:rsidRPr="005C2175">
              <w:rPr>
                <w:color w:val="000000"/>
              </w:rPr>
              <w:t xml:space="preserve">A loan venue is defined as any approved borrowing institution, organisation or exhibition facility (or individual researcher).  In the event that a loan has been made to an individual (e.g. a researcher) that individual will be counted as a venue.  This figure should include the number of </w:t>
            </w:r>
            <w:smartTag w:uri="urn:schemas-microsoft-com:office:smarttags" w:element="country-region">
              <w:smartTag w:uri="urn:schemas-microsoft-com:office:smarttags" w:element="place">
                <w:r w:rsidRPr="005C2175">
                  <w:rPr>
                    <w:color w:val="000000"/>
                  </w:rPr>
                  <w:t>UK</w:t>
                </w:r>
              </w:smartTag>
            </w:smartTag>
            <w:r w:rsidRPr="005C2175">
              <w:rPr>
                <w:color w:val="000000"/>
              </w:rPr>
              <w:t xml:space="preserve"> venues to which loans are in place at the beginning of the year as well as the number of venues to which new loans have been made during the year.  </w:t>
            </w:r>
            <w:r w:rsidRPr="006D2B86">
              <w:t xml:space="preserve">Venues in the Isle of Man or the Channel Islands should be regarded as overseas loan venues as these islands are not part of the </w:t>
            </w:r>
            <w:smartTag w:uri="urn:schemas-microsoft-com:office:smarttags" w:element="country-region">
              <w:smartTag w:uri="urn:schemas-microsoft-com:office:smarttags" w:element="place">
                <w:r w:rsidRPr="006D2B86">
                  <w:t>UK</w:t>
                </w:r>
              </w:smartTag>
            </w:smartTag>
            <w:r w:rsidRPr="006D2B86">
              <w:t>.</w:t>
            </w:r>
          </w:p>
          <w:p w14:paraId="57116D7A" w14:textId="77777777" w:rsidR="005C2175" w:rsidRDefault="005C2175" w:rsidP="005C2175"/>
          <w:p w14:paraId="57116D7B" w14:textId="77777777" w:rsidR="005C2175" w:rsidRDefault="005C2175" w:rsidP="000132EC">
            <w:pPr>
              <w:ind w:left="0"/>
            </w:pPr>
          </w:p>
        </w:tc>
      </w:tr>
    </w:tbl>
    <w:p w14:paraId="57116D7D" w14:textId="77777777" w:rsidR="000132EC" w:rsidRPr="000132EC" w:rsidRDefault="000132EC" w:rsidP="000132EC"/>
    <w:sectPr w:rsidR="000132EC" w:rsidRPr="000132EC" w:rsidSect="002D3E77">
      <w:headerReference w:type="even" r:id="rId19"/>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6D88" w14:textId="77777777" w:rsidR="000132EC" w:rsidRDefault="000132EC" w:rsidP="00FD27B8">
      <w:pPr>
        <w:pStyle w:val="Header"/>
      </w:pPr>
      <w:r>
        <w:separator/>
      </w:r>
    </w:p>
    <w:p w14:paraId="57116D89" w14:textId="77777777" w:rsidR="000132EC" w:rsidRDefault="000132EC"/>
  </w:endnote>
  <w:endnote w:type="continuationSeparator" w:id="0">
    <w:p w14:paraId="57116D8A" w14:textId="77777777" w:rsidR="000132EC" w:rsidRDefault="000132EC" w:rsidP="00FD27B8">
      <w:pPr>
        <w:pStyle w:val="Header"/>
      </w:pPr>
      <w:r>
        <w:continuationSeparator/>
      </w:r>
    </w:p>
    <w:p w14:paraId="57116D8B" w14:textId="77777777" w:rsidR="000132EC" w:rsidRDefault="0001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D92" w14:textId="77777777" w:rsidR="009A62D2" w:rsidRDefault="009A6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D93" w14:textId="77777777" w:rsidR="009A62D2" w:rsidRDefault="009A6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D95" w14:textId="77777777" w:rsidR="009A62D2" w:rsidRDefault="009A6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6D84" w14:textId="77777777" w:rsidR="000132EC" w:rsidRDefault="000132EC" w:rsidP="00FD27B8">
      <w:pPr>
        <w:pStyle w:val="Header"/>
      </w:pPr>
    </w:p>
    <w:p w14:paraId="57116D85" w14:textId="77777777" w:rsidR="000132EC" w:rsidRDefault="000132EC"/>
  </w:footnote>
  <w:footnote w:type="continuationSeparator" w:id="0">
    <w:p w14:paraId="57116D86" w14:textId="77777777" w:rsidR="000132EC" w:rsidRDefault="000132EC" w:rsidP="00FD27B8">
      <w:pPr>
        <w:pStyle w:val="Header"/>
      </w:pPr>
      <w:r>
        <w:continuationSeparator/>
      </w:r>
    </w:p>
    <w:p w14:paraId="57116D87" w14:textId="77777777" w:rsidR="000132EC" w:rsidRDefault="00013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0132EC" w14:paraId="57116D8D" w14:textId="77777777" w:rsidTr="00A35E9E">
      <w:tc>
        <w:tcPr>
          <w:tcW w:w="10080" w:type="dxa"/>
        </w:tcPr>
        <w:p w14:paraId="57116D8C" w14:textId="77777777" w:rsidR="000132EC" w:rsidRDefault="000132EC">
          <w:pPr>
            <w:pStyle w:val="Header"/>
          </w:pPr>
          <w:r>
            <w:t>Department for Culture, Media and Sport</w:t>
          </w:r>
        </w:p>
      </w:tc>
    </w:tr>
    <w:tr w:rsidR="000132EC" w14:paraId="57116D8F" w14:textId="77777777" w:rsidTr="00A35E9E">
      <w:tc>
        <w:tcPr>
          <w:tcW w:w="10080" w:type="dxa"/>
        </w:tcPr>
        <w:p w14:paraId="57116D8E" w14:textId="77777777" w:rsidR="000132EC" w:rsidRDefault="000132EC" w:rsidP="00F51926">
          <w:pPr>
            <w:pStyle w:val="HeaderBold"/>
          </w:pPr>
          <w:proofErr w:type="spellStart"/>
          <w:r>
            <w:t>DocumentTitle</w:t>
          </w:r>
          <w:proofErr w:type="spellEnd"/>
        </w:p>
      </w:tc>
    </w:tr>
  </w:tbl>
  <w:p w14:paraId="57116D90" w14:textId="77777777" w:rsidR="000132EC" w:rsidRDefault="000132EC"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D91" w14:textId="77777777" w:rsidR="009A62D2" w:rsidRDefault="009A6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D94" w14:textId="77777777" w:rsidR="009A62D2" w:rsidRDefault="009A62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0132EC" w14:paraId="57116D97" w14:textId="77777777" w:rsidTr="00A35E9E">
      <w:tc>
        <w:tcPr>
          <w:tcW w:w="10080" w:type="dxa"/>
        </w:tcPr>
        <w:p w14:paraId="57116D96" w14:textId="77777777" w:rsidR="000132EC" w:rsidRDefault="000132EC">
          <w:pPr>
            <w:pStyle w:val="Header"/>
          </w:pPr>
          <w:r>
            <w:t>Department for Culture, Media and Sport</w:t>
          </w:r>
        </w:p>
      </w:tc>
    </w:tr>
    <w:tr w:rsidR="000132EC" w14:paraId="57116D99" w14:textId="77777777" w:rsidTr="00A35E9E">
      <w:tc>
        <w:tcPr>
          <w:tcW w:w="10080" w:type="dxa"/>
        </w:tcPr>
        <w:p w14:paraId="57116D98" w14:textId="77777777" w:rsidR="000132EC" w:rsidRDefault="000132EC" w:rsidP="009A62D2">
          <w:pPr>
            <w:pStyle w:val="HeaderBold"/>
          </w:pPr>
          <w:r>
            <w:t>Performance Indicator Guidance 20</w:t>
          </w:r>
          <w:r w:rsidR="009A62D2">
            <w:t>12</w:t>
          </w:r>
        </w:p>
      </w:tc>
    </w:tr>
  </w:tbl>
  <w:p w14:paraId="57116D9A" w14:textId="77777777" w:rsidR="000132EC" w:rsidRDefault="000132EC" w:rsidP="00A35E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0132EC" w14:paraId="57116D9D" w14:textId="77777777" w:rsidTr="00645DC4">
      <w:tc>
        <w:tcPr>
          <w:tcW w:w="648" w:type="dxa"/>
        </w:tcPr>
        <w:p w14:paraId="57116D9B" w14:textId="77777777" w:rsidR="000132EC" w:rsidRDefault="00DC5A01" w:rsidP="004E5986">
          <w:pPr>
            <w:pStyle w:val="Header"/>
            <w:jc w:val="right"/>
          </w:pPr>
          <w:r>
            <w:rPr>
              <w:noProof/>
              <w:lang w:eastAsia="en-GB"/>
            </w:rPr>
            <mc:AlternateContent>
              <mc:Choice Requires="wps">
                <w:drawing>
                  <wp:anchor distT="0" distB="0" distL="114300" distR="114300" simplePos="0" relativeHeight="251658240" behindDoc="0" locked="0" layoutInCell="1" allowOverlap="1" wp14:anchorId="57116DAA" wp14:editId="57116DAB">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7116DB3" w14:textId="77777777" w:rsidR="000132EC" w:rsidRDefault="00DC5A01" w:rsidP="00FE5D2B">
                                <w:pPr>
                                  <w:pStyle w:val="HeaderBold"/>
                                  <w:jc w:val="center"/>
                                </w:pPr>
                                <w:r>
                                  <w:fldChar w:fldCharType="begin"/>
                                </w:r>
                                <w:r>
                                  <w:instrText xml:space="preserve"> PAGE  \* Arabic  \* MERGEFORMAT </w:instrText>
                                </w:r>
                                <w:r>
                                  <w:fldChar w:fldCharType="separate"/>
                                </w:r>
                                <w:r w:rsidR="000132EC">
                                  <w:rPr>
                                    <w:noProof/>
                                  </w:rPr>
                                  <w:t>10</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0132EC" w:rsidRDefault="00DC5A01" w:rsidP="00FE5D2B">
                          <w:pPr>
                            <w:pStyle w:val="HeaderBold"/>
                            <w:jc w:val="center"/>
                          </w:pPr>
                          <w:r>
                            <w:fldChar w:fldCharType="begin"/>
                          </w:r>
                          <w:r>
                            <w:instrText xml:space="preserve"> PAGE  \* Arabic  \* MERGEFORMAT </w:instrText>
                          </w:r>
                          <w:r>
                            <w:fldChar w:fldCharType="separate"/>
                          </w:r>
                          <w:r w:rsidR="000132EC">
                            <w:rPr>
                              <w:noProof/>
                            </w:rPr>
                            <w:t>10</w:t>
                          </w:r>
                          <w:r>
                            <w:rPr>
                              <w:noProof/>
                            </w:rPr>
                            <w:fldChar w:fldCharType="end"/>
                          </w:r>
                        </w:p>
                      </w:txbxContent>
                    </v:textbox>
                  </v:shape>
                </w:pict>
              </mc:Fallback>
            </mc:AlternateContent>
          </w:r>
        </w:p>
      </w:tc>
      <w:tc>
        <w:tcPr>
          <w:tcW w:w="9360" w:type="dxa"/>
        </w:tcPr>
        <w:p w14:paraId="57116D9C" w14:textId="77777777" w:rsidR="000132EC" w:rsidRDefault="000132EC" w:rsidP="00645DC4">
          <w:pPr>
            <w:pStyle w:val="Header"/>
          </w:pPr>
          <w:r>
            <w:t>Department for Culture, Media and Sport</w:t>
          </w:r>
        </w:p>
      </w:tc>
    </w:tr>
    <w:tr w:rsidR="000132EC" w14:paraId="57116DA0" w14:textId="77777777" w:rsidTr="00645DC4">
      <w:tc>
        <w:tcPr>
          <w:tcW w:w="648" w:type="dxa"/>
        </w:tcPr>
        <w:p w14:paraId="57116D9E" w14:textId="77777777" w:rsidR="000132EC" w:rsidRDefault="000132EC" w:rsidP="004E5986">
          <w:pPr>
            <w:pStyle w:val="HeaderBold"/>
            <w:jc w:val="right"/>
          </w:pPr>
        </w:p>
      </w:tc>
      <w:tc>
        <w:tcPr>
          <w:tcW w:w="9360" w:type="dxa"/>
        </w:tcPr>
        <w:p w14:paraId="57116D9F" w14:textId="77777777" w:rsidR="000132EC" w:rsidRDefault="000132EC" w:rsidP="00645DC4">
          <w:pPr>
            <w:pStyle w:val="HeaderBold"/>
          </w:pPr>
          <w:r>
            <w:t>Performance Indicator Guidance 2008</w:t>
          </w:r>
        </w:p>
      </w:tc>
    </w:tr>
  </w:tbl>
  <w:p w14:paraId="57116DA1" w14:textId="77777777" w:rsidR="000132EC" w:rsidRDefault="000132EC" w:rsidP="00A35E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0132EC" w14:paraId="57116DA4" w14:textId="77777777" w:rsidTr="00645DC4">
      <w:tc>
        <w:tcPr>
          <w:tcW w:w="8618" w:type="dxa"/>
        </w:tcPr>
        <w:p w14:paraId="57116DA2" w14:textId="77777777" w:rsidR="000132EC" w:rsidRDefault="000132EC" w:rsidP="00645DC4">
          <w:pPr>
            <w:pStyle w:val="Header"/>
            <w:jc w:val="right"/>
          </w:pPr>
          <w:r>
            <w:t>Department for Culture, Media and Sport</w:t>
          </w:r>
        </w:p>
      </w:tc>
      <w:tc>
        <w:tcPr>
          <w:tcW w:w="720" w:type="dxa"/>
        </w:tcPr>
        <w:p w14:paraId="57116DA3" w14:textId="77777777" w:rsidR="000132EC" w:rsidRDefault="00DC5A01">
          <w:pPr>
            <w:pStyle w:val="Header"/>
          </w:pPr>
          <w:r>
            <w:rPr>
              <w:noProof/>
              <w:lang w:eastAsia="en-GB"/>
            </w:rPr>
            <mc:AlternateContent>
              <mc:Choice Requires="wps">
                <w:drawing>
                  <wp:anchor distT="0" distB="0" distL="114300" distR="114300" simplePos="0" relativeHeight="251657216" behindDoc="0" locked="0" layoutInCell="1" allowOverlap="1" wp14:anchorId="57116DAC" wp14:editId="57116DAD">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7116DB4" w14:textId="77777777" w:rsidR="000132EC" w:rsidRDefault="00DC5A01" w:rsidP="00FE5D2B">
                                <w:pPr>
                                  <w:pStyle w:val="HeaderBold"/>
                                  <w:jc w:val="center"/>
                                </w:pPr>
                                <w:r>
                                  <w:fldChar w:fldCharType="begin"/>
                                </w:r>
                                <w:r>
                                  <w:instrText xml:space="preserve"> PAGE  \* Arabic  \* MERGEFORMAT </w:instrText>
                                </w:r>
                                <w:r>
                                  <w:fldChar w:fldCharType="separate"/>
                                </w:r>
                                <w:r w:rsidR="00ED4A1C">
                                  <w:rPr>
                                    <w:noProof/>
                                  </w:rPr>
                                  <w:t>3</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57116DB4" w14:textId="77777777" w:rsidR="000132EC" w:rsidRDefault="00DC5A01" w:rsidP="00FE5D2B">
                          <w:pPr>
                            <w:pStyle w:val="HeaderBold"/>
                            <w:jc w:val="center"/>
                          </w:pPr>
                          <w:r>
                            <w:fldChar w:fldCharType="begin"/>
                          </w:r>
                          <w:r>
                            <w:instrText xml:space="preserve"> PAGE  \* Arabic  \* MERGEFORMAT </w:instrText>
                          </w:r>
                          <w:r>
                            <w:fldChar w:fldCharType="separate"/>
                          </w:r>
                          <w:r w:rsidR="00ED4A1C">
                            <w:rPr>
                              <w:noProof/>
                            </w:rPr>
                            <w:t>3</w:t>
                          </w:r>
                          <w:r>
                            <w:rPr>
                              <w:noProof/>
                            </w:rPr>
                            <w:fldChar w:fldCharType="end"/>
                          </w:r>
                        </w:p>
                      </w:txbxContent>
                    </v:textbox>
                  </v:shape>
                </w:pict>
              </mc:Fallback>
            </mc:AlternateContent>
          </w:r>
        </w:p>
      </w:tc>
    </w:tr>
    <w:tr w:rsidR="000132EC" w14:paraId="57116DA7" w14:textId="77777777" w:rsidTr="00645DC4">
      <w:tc>
        <w:tcPr>
          <w:tcW w:w="8618" w:type="dxa"/>
        </w:tcPr>
        <w:p w14:paraId="57116DA5" w14:textId="77777777" w:rsidR="000132EC" w:rsidRDefault="000132EC" w:rsidP="00645DC4">
          <w:pPr>
            <w:pStyle w:val="HeaderBold"/>
            <w:jc w:val="right"/>
          </w:pPr>
          <w:r>
            <w:t xml:space="preserve">Performance </w:t>
          </w:r>
          <w:r w:rsidR="009A62D2">
            <w:t>Indicator Guidance 2012</w:t>
          </w:r>
        </w:p>
      </w:tc>
      <w:tc>
        <w:tcPr>
          <w:tcW w:w="720" w:type="dxa"/>
        </w:tcPr>
        <w:p w14:paraId="57116DA6" w14:textId="77777777" w:rsidR="000132EC" w:rsidRDefault="000132EC" w:rsidP="001663B0">
          <w:pPr>
            <w:pStyle w:val="HeaderBold"/>
          </w:pPr>
        </w:p>
      </w:tc>
    </w:tr>
  </w:tbl>
  <w:p w14:paraId="57116DA8" w14:textId="77777777" w:rsidR="000132EC" w:rsidRDefault="000132EC" w:rsidP="004610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DA9" w14:textId="77777777" w:rsidR="000132EC" w:rsidRDefault="000132EC"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D80F94"/>
    <w:multiLevelType w:val="hybridMultilevel"/>
    <w:tmpl w:val="8A2409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13"/>
        </w:tabs>
        <w:ind w:left="513" w:hanging="360"/>
      </w:pPr>
      <w:rPr>
        <w:rFonts w:ascii="Courier New" w:hAnsi="Courier New" w:cs="Courier New" w:hint="default"/>
      </w:rPr>
    </w:lvl>
    <w:lvl w:ilvl="2" w:tplc="08090005" w:tentative="1">
      <w:start w:val="1"/>
      <w:numFmt w:val="bullet"/>
      <w:lvlText w:val=""/>
      <w:lvlJc w:val="left"/>
      <w:pPr>
        <w:tabs>
          <w:tab w:val="num" w:pos="1233"/>
        </w:tabs>
        <w:ind w:left="1233" w:hanging="360"/>
      </w:pPr>
      <w:rPr>
        <w:rFonts w:ascii="Wingdings" w:hAnsi="Wingdings" w:hint="default"/>
      </w:rPr>
    </w:lvl>
    <w:lvl w:ilvl="3" w:tplc="08090001" w:tentative="1">
      <w:start w:val="1"/>
      <w:numFmt w:val="bullet"/>
      <w:lvlText w:val=""/>
      <w:lvlJc w:val="left"/>
      <w:pPr>
        <w:tabs>
          <w:tab w:val="num" w:pos="1953"/>
        </w:tabs>
        <w:ind w:left="1953" w:hanging="360"/>
      </w:pPr>
      <w:rPr>
        <w:rFonts w:ascii="Symbol" w:hAnsi="Symbol" w:hint="default"/>
      </w:rPr>
    </w:lvl>
    <w:lvl w:ilvl="4" w:tplc="08090003" w:tentative="1">
      <w:start w:val="1"/>
      <w:numFmt w:val="bullet"/>
      <w:lvlText w:val="o"/>
      <w:lvlJc w:val="left"/>
      <w:pPr>
        <w:tabs>
          <w:tab w:val="num" w:pos="2673"/>
        </w:tabs>
        <w:ind w:left="2673" w:hanging="360"/>
      </w:pPr>
      <w:rPr>
        <w:rFonts w:ascii="Courier New" w:hAnsi="Courier New" w:cs="Courier New" w:hint="default"/>
      </w:rPr>
    </w:lvl>
    <w:lvl w:ilvl="5" w:tplc="08090005" w:tentative="1">
      <w:start w:val="1"/>
      <w:numFmt w:val="bullet"/>
      <w:lvlText w:val=""/>
      <w:lvlJc w:val="left"/>
      <w:pPr>
        <w:tabs>
          <w:tab w:val="num" w:pos="3393"/>
        </w:tabs>
        <w:ind w:left="3393" w:hanging="360"/>
      </w:pPr>
      <w:rPr>
        <w:rFonts w:ascii="Wingdings" w:hAnsi="Wingdings" w:hint="default"/>
      </w:rPr>
    </w:lvl>
    <w:lvl w:ilvl="6" w:tplc="08090001" w:tentative="1">
      <w:start w:val="1"/>
      <w:numFmt w:val="bullet"/>
      <w:lvlText w:val=""/>
      <w:lvlJc w:val="left"/>
      <w:pPr>
        <w:tabs>
          <w:tab w:val="num" w:pos="4113"/>
        </w:tabs>
        <w:ind w:left="4113" w:hanging="360"/>
      </w:pPr>
      <w:rPr>
        <w:rFonts w:ascii="Symbol" w:hAnsi="Symbol" w:hint="default"/>
      </w:rPr>
    </w:lvl>
    <w:lvl w:ilvl="7" w:tplc="08090003" w:tentative="1">
      <w:start w:val="1"/>
      <w:numFmt w:val="bullet"/>
      <w:lvlText w:val="o"/>
      <w:lvlJc w:val="left"/>
      <w:pPr>
        <w:tabs>
          <w:tab w:val="num" w:pos="4833"/>
        </w:tabs>
        <w:ind w:left="4833" w:hanging="360"/>
      </w:pPr>
      <w:rPr>
        <w:rFonts w:ascii="Courier New" w:hAnsi="Courier New" w:cs="Courier New" w:hint="default"/>
      </w:rPr>
    </w:lvl>
    <w:lvl w:ilvl="8" w:tplc="08090005" w:tentative="1">
      <w:start w:val="1"/>
      <w:numFmt w:val="bullet"/>
      <w:lvlText w:val=""/>
      <w:lvlJc w:val="left"/>
      <w:pPr>
        <w:tabs>
          <w:tab w:val="num" w:pos="5553"/>
        </w:tabs>
        <w:ind w:left="5553" w:hanging="360"/>
      </w:pPr>
      <w:rPr>
        <w:rFonts w:ascii="Wingdings" w:hAnsi="Wingdings" w:hint="default"/>
      </w:rPr>
    </w:lvl>
  </w:abstractNum>
  <w:abstractNum w:abstractNumId="5">
    <w:nsid w:val="019B46F5"/>
    <w:multiLevelType w:val="hybridMultilevel"/>
    <w:tmpl w:val="F724DD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5C336A5"/>
    <w:multiLevelType w:val="hybridMultilevel"/>
    <w:tmpl w:val="176871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nsid w:val="07190930"/>
    <w:multiLevelType w:val="hybridMultilevel"/>
    <w:tmpl w:val="5406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E361E"/>
    <w:multiLevelType w:val="hybridMultilevel"/>
    <w:tmpl w:val="C01EED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1AB30ADB"/>
    <w:multiLevelType w:val="hybridMultilevel"/>
    <w:tmpl w:val="5F82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41E79"/>
    <w:multiLevelType w:val="hybridMultilevel"/>
    <w:tmpl w:val="9D5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349C3"/>
    <w:multiLevelType w:val="hybridMultilevel"/>
    <w:tmpl w:val="EA766B0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13"/>
        </w:tabs>
        <w:ind w:left="513" w:hanging="360"/>
      </w:pPr>
      <w:rPr>
        <w:rFonts w:ascii="Courier New" w:hAnsi="Courier New" w:cs="Courier New" w:hint="default"/>
      </w:rPr>
    </w:lvl>
    <w:lvl w:ilvl="2" w:tplc="08090005" w:tentative="1">
      <w:start w:val="1"/>
      <w:numFmt w:val="bullet"/>
      <w:lvlText w:val=""/>
      <w:lvlJc w:val="left"/>
      <w:pPr>
        <w:tabs>
          <w:tab w:val="num" w:pos="1233"/>
        </w:tabs>
        <w:ind w:left="1233" w:hanging="360"/>
      </w:pPr>
      <w:rPr>
        <w:rFonts w:ascii="Wingdings" w:hAnsi="Wingdings" w:hint="default"/>
      </w:rPr>
    </w:lvl>
    <w:lvl w:ilvl="3" w:tplc="08090001" w:tentative="1">
      <w:start w:val="1"/>
      <w:numFmt w:val="bullet"/>
      <w:lvlText w:val=""/>
      <w:lvlJc w:val="left"/>
      <w:pPr>
        <w:tabs>
          <w:tab w:val="num" w:pos="1953"/>
        </w:tabs>
        <w:ind w:left="1953" w:hanging="360"/>
      </w:pPr>
      <w:rPr>
        <w:rFonts w:ascii="Symbol" w:hAnsi="Symbol" w:hint="default"/>
      </w:rPr>
    </w:lvl>
    <w:lvl w:ilvl="4" w:tplc="08090003" w:tentative="1">
      <w:start w:val="1"/>
      <w:numFmt w:val="bullet"/>
      <w:lvlText w:val="o"/>
      <w:lvlJc w:val="left"/>
      <w:pPr>
        <w:tabs>
          <w:tab w:val="num" w:pos="2673"/>
        </w:tabs>
        <w:ind w:left="2673" w:hanging="360"/>
      </w:pPr>
      <w:rPr>
        <w:rFonts w:ascii="Courier New" w:hAnsi="Courier New" w:cs="Courier New" w:hint="default"/>
      </w:rPr>
    </w:lvl>
    <w:lvl w:ilvl="5" w:tplc="08090005" w:tentative="1">
      <w:start w:val="1"/>
      <w:numFmt w:val="bullet"/>
      <w:lvlText w:val=""/>
      <w:lvlJc w:val="left"/>
      <w:pPr>
        <w:tabs>
          <w:tab w:val="num" w:pos="3393"/>
        </w:tabs>
        <w:ind w:left="3393" w:hanging="360"/>
      </w:pPr>
      <w:rPr>
        <w:rFonts w:ascii="Wingdings" w:hAnsi="Wingdings" w:hint="default"/>
      </w:rPr>
    </w:lvl>
    <w:lvl w:ilvl="6" w:tplc="08090001" w:tentative="1">
      <w:start w:val="1"/>
      <w:numFmt w:val="bullet"/>
      <w:lvlText w:val=""/>
      <w:lvlJc w:val="left"/>
      <w:pPr>
        <w:tabs>
          <w:tab w:val="num" w:pos="4113"/>
        </w:tabs>
        <w:ind w:left="4113" w:hanging="360"/>
      </w:pPr>
      <w:rPr>
        <w:rFonts w:ascii="Symbol" w:hAnsi="Symbol" w:hint="default"/>
      </w:rPr>
    </w:lvl>
    <w:lvl w:ilvl="7" w:tplc="08090003" w:tentative="1">
      <w:start w:val="1"/>
      <w:numFmt w:val="bullet"/>
      <w:lvlText w:val="o"/>
      <w:lvlJc w:val="left"/>
      <w:pPr>
        <w:tabs>
          <w:tab w:val="num" w:pos="4833"/>
        </w:tabs>
        <w:ind w:left="4833" w:hanging="360"/>
      </w:pPr>
      <w:rPr>
        <w:rFonts w:ascii="Courier New" w:hAnsi="Courier New" w:cs="Courier New" w:hint="default"/>
      </w:rPr>
    </w:lvl>
    <w:lvl w:ilvl="8" w:tplc="08090005" w:tentative="1">
      <w:start w:val="1"/>
      <w:numFmt w:val="bullet"/>
      <w:lvlText w:val=""/>
      <w:lvlJc w:val="left"/>
      <w:pPr>
        <w:tabs>
          <w:tab w:val="num" w:pos="5553"/>
        </w:tabs>
        <w:ind w:left="5553" w:hanging="360"/>
      </w:pPr>
      <w:rPr>
        <w:rFonts w:ascii="Wingdings" w:hAnsi="Wingdings" w:hint="default"/>
      </w:rPr>
    </w:lvl>
  </w:abstractNum>
  <w:abstractNum w:abstractNumId="13">
    <w:nsid w:val="279416AF"/>
    <w:multiLevelType w:val="hybridMultilevel"/>
    <w:tmpl w:val="D11E1F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282C4D04"/>
    <w:multiLevelType w:val="hybridMultilevel"/>
    <w:tmpl w:val="433C9F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82C5BC2"/>
    <w:multiLevelType w:val="hybridMultilevel"/>
    <w:tmpl w:val="37CE59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303C1A17"/>
    <w:multiLevelType w:val="multilevel"/>
    <w:tmpl w:val="25CC68A4"/>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8">
    <w:nsid w:val="31D50153"/>
    <w:multiLevelType w:val="hybridMultilevel"/>
    <w:tmpl w:val="170225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1FB2393"/>
    <w:multiLevelType w:val="hybridMultilevel"/>
    <w:tmpl w:val="7C600E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32620621"/>
    <w:multiLevelType w:val="hybridMultilevel"/>
    <w:tmpl w:val="1B2A5D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336E38D8"/>
    <w:multiLevelType w:val="hybridMultilevel"/>
    <w:tmpl w:val="FA4AB1C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13"/>
        </w:tabs>
        <w:ind w:left="513" w:hanging="360"/>
      </w:pPr>
      <w:rPr>
        <w:rFonts w:ascii="Courier New" w:hAnsi="Courier New" w:cs="Courier New" w:hint="default"/>
      </w:rPr>
    </w:lvl>
    <w:lvl w:ilvl="2" w:tplc="08090005" w:tentative="1">
      <w:start w:val="1"/>
      <w:numFmt w:val="bullet"/>
      <w:lvlText w:val=""/>
      <w:lvlJc w:val="left"/>
      <w:pPr>
        <w:tabs>
          <w:tab w:val="num" w:pos="1233"/>
        </w:tabs>
        <w:ind w:left="1233" w:hanging="360"/>
      </w:pPr>
      <w:rPr>
        <w:rFonts w:ascii="Wingdings" w:hAnsi="Wingdings" w:hint="default"/>
      </w:rPr>
    </w:lvl>
    <w:lvl w:ilvl="3" w:tplc="08090001" w:tentative="1">
      <w:start w:val="1"/>
      <w:numFmt w:val="bullet"/>
      <w:lvlText w:val=""/>
      <w:lvlJc w:val="left"/>
      <w:pPr>
        <w:tabs>
          <w:tab w:val="num" w:pos="1953"/>
        </w:tabs>
        <w:ind w:left="1953" w:hanging="360"/>
      </w:pPr>
      <w:rPr>
        <w:rFonts w:ascii="Symbol" w:hAnsi="Symbol" w:hint="default"/>
      </w:rPr>
    </w:lvl>
    <w:lvl w:ilvl="4" w:tplc="08090003" w:tentative="1">
      <w:start w:val="1"/>
      <w:numFmt w:val="bullet"/>
      <w:lvlText w:val="o"/>
      <w:lvlJc w:val="left"/>
      <w:pPr>
        <w:tabs>
          <w:tab w:val="num" w:pos="2673"/>
        </w:tabs>
        <w:ind w:left="2673" w:hanging="360"/>
      </w:pPr>
      <w:rPr>
        <w:rFonts w:ascii="Courier New" w:hAnsi="Courier New" w:cs="Courier New" w:hint="default"/>
      </w:rPr>
    </w:lvl>
    <w:lvl w:ilvl="5" w:tplc="08090005" w:tentative="1">
      <w:start w:val="1"/>
      <w:numFmt w:val="bullet"/>
      <w:lvlText w:val=""/>
      <w:lvlJc w:val="left"/>
      <w:pPr>
        <w:tabs>
          <w:tab w:val="num" w:pos="3393"/>
        </w:tabs>
        <w:ind w:left="3393" w:hanging="360"/>
      </w:pPr>
      <w:rPr>
        <w:rFonts w:ascii="Wingdings" w:hAnsi="Wingdings" w:hint="default"/>
      </w:rPr>
    </w:lvl>
    <w:lvl w:ilvl="6" w:tplc="08090001" w:tentative="1">
      <w:start w:val="1"/>
      <w:numFmt w:val="bullet"/>
      <w:lvlText w:val=""/>
      <w:lvlJc w:val="left"/>
      <w:pPr>
        <w:tabs>
          <w:tab w:val="num" w:pos="4113"/>
        </w:tabs>
        <w:ind w:left="4113" w:hanging="360"/>
      </w:pPr>
      <w:rPr>
        <w:rFonts w:ascii="Symbol" w:hAnsi="Symbol" w:hint="default"/>
      </w:rPr>
    </w:lvl>
    <w:lvl w:ilvl="7" w:tplc="08090003" w:tentative="1">
      <w:start w:val="1"/>
      <w:numFmt w:val="bullet"/>
      <w:lvlText w:val="o"/>
      <w:lvlJc w:val="left"/>
      <w:pPr>
        <w:tabs>
          <w:tab w:val="num" w:pos="4833"/>
        </w:tabs>
        <w:ind w:left="4833" w:hanging="360"/>
      </w:pPr>
      <w:rPr>
        <w:rFonts w:ascii="Courier New" w:hAnsi="Courier New" w:cs="Courier New" w:hint="default"/>
      </w:rPr>
    </w:lvl>
    <w:lvl w:ilvl="8" w:tplc="08090005" w:tentative="1">
      <w:start w:val="1"/>
      <w:numFmt w:val="bullet"/>
      <w:lvlText w:val=""/>
      <w:lvlJc w:val="left"/>
      <w:pPr>
        <w:tabs>
          <w:tab w:val="num" w:pos="5553"/>
        </w:tabs>
        <w:ind w:left="5553" w:hanging="360"/>
      </w:pPr>
      <w:rPr>
        <w:rFonts w:ascii="Wingdings" w:hAnsi="Wingdings" w:hint="default"/>
      </w:rPr>
    </w:lvl>
  </w:abstractNum>
  <w:abstractNum w:abstractNumId="22">
    <w:nsid w:val="419A7EFA"/>
    <w:multiLevelType w:val="hybridMultilevel"/>
    <w:tmpl w:val="20AAA1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441B7CD9"/>
    <w:multiLevelType w:val="hybridMultilevel"/>
    <w:tmpl w:val="CC3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154F82"/>
    <w:multiLevelType w:val="hybridMultilevel"/>
    <w:tmpl w:val="74F43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8B80A16"/>
    <w:multiLevelType w:val="hybridMultilevel"/>
    <w:tmpl w:val="41B2D7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7">
    <w:nsid w:val="720A319B"/>
    <w:multiLevelType w:val="hybridMultilevel"/>
    <w:tmpl w:val="A5C286CA"/>
    <w:lvl w:ilvl="0" w:tplc="FFFFFFFF">
      <w:start w:val="1"/>
      <w:numFmt w:val="bullet"/>
      <w:lvlText w:val=""/>
      <w:lvlJc w:val="left"/>
      <w:pPr>
        <w:tabs>
          <w:tab w:val="num" w:pos="360"/>
        </w:tabs>
        <w:ind w:left="360" w:hanging="360"/>
      </w:pPr>
      <w:rPr>
        <w:rFonts w:ascii="Symbol" w:hAnsi="Symbol" w:hint="default"/>
      </w:rPr>
    </w:lvl>
    <w:lvl w:ilvl="1" w:tplc="FFFFFFFF">
      <w:start w:val="11"/>
      <w:numFmt w:val="bullet"/>
      <w:lvlText w:val="-"/>
      <w:lvlJc w:val="left"/>
      <w:pPr>
        <w:tabs>
          <w:tab w:val="num" w:pos="1080"/>
        </w:tabs>
        <w:ind w:left="1080" w:hanging="360"/>
      </w:pPr>
      <w:rPr>
        <w:rFonts w:ascii="Bliss" w:eastAsia="Times New Roman" w:hAnsi="Bliss"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4C21494"/>
    <w:multiLevelType w:val="hybridMultilevel"/>
    <w:tmpl w:val="509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8F7B81"/>
    <w:multiLevelType w:val="hybridMultilevel"/>
    <w:tmpl w:val="B292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F24DE1"/>
    <w:multiLevelType w:val="hybridMultilevel"/>
    <w:tmpl w:val="C8BC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6"/>
  </w:num>
  <w:num w:numId="4">
    <w:abstractNumId w:val="0"/>
  </w:num>
  <w:num w:numId="5">
    <w:abstractNumId w:val="3"/>
  </w:num>
  <w:num w:numId="6">
    <w:abstractNumId w:val="7"/>
  </w:num>
  <w:num w:numId="7">
    <w:abstractNumId w:val="1"/>
  </w:num>
  <w:num w:numId="8">
    <w:abstractNumId w:val="2"/>
  </w:num>
  <w:num w:numId="9">
    <w:abstractNumId w:val="26"/>
  </w:num>
  <w:num w:numId="10">
    <w:abstractNumId w:val="17"/>
  </w:num>
  <w:num w:numId="11">
    <w:abstractNumId w:val="5"/>
  </w:num>
  <w:num w:numId="12">
    <w:abstractNumId w:val="19"/>
  </w:num>
  <w:num w:numId="13">
    <w:abstractNumId w:val="15"/>
  </w:num>
  <w:num w:numId="14">
    <w:abstractNumId w:val="10"/>
  </w:num>
  <w:num w:numId="15">
    <w:abstractNumId w:val="23"/>
  </w:num>
  <w:num w:numId="16">
    <w:abstractNumId w:val="13"/>
  </w:num>
  <w:num w:numId="17">
    <w:abstractNumId w:val="17"/>
  </w:num>
  <w:num w:numId="18">
    <w:abstractNumId w:val="17"/>
  </w:num>
  <w:num w:numId="19">
    <w:abstractNumId w:val="17"/>
  </w:num>
  <w:num w:numId="20">
    <w:abstractNumId w:val="17"/>
  </w:num>
  <w:num w:numId="21">
    <w:abstractNumId w:val="17"/>
  </w:num>
  <w:num w:numId="22">
    <w:abstractNumId w:val="30"/>
  </w:num>
  <w:num w:numId="23">
    <w:abstractNumId w:val="29"/>
  </w:num>
  <w:num w:numId="24">
    <w:abstractNumId w:val="28"/>
  </w:num>
  <w:num w:numId="25">
    <w:abstractNumId w:val="11"/>
  </w:num>
  <w:num w:numId="26">
    <w:abstractNumId w:val="8"/>
  </w:num>
  <w:num w:numId="27">
    <w:abstractNumId w:val="24"/>
  </w:num>
  <w:num w:numId="28">
    <w:abstractNumId w:val="21"/>
  </w:num>
  <w:num w:numId="29">
    <w:abstractNumId w:val="17"/>
  </w:num>
  <w:num w:numId="30">
    <w:abstractNumId w:val="17"/>
  </w:num>
  <w:num w:numId="31">
    <w:abstractNumId w:val="20"/>
  </w:num>
  <w:num w:numId="32">
    <w:abstractNumId w:val="9"/>
  </w:num>
  <w:num w:numId="33">
    <w:abstractNumId w:val="25"/>
  </w:num>
  <w:num w:numId="34">
    <w:abstractNumId w:val="6"/>
  </w:num>
  <w:num w:numId="35">
    <w:abstractNumId w:val="12"/>
  </w:num>
  <w:num w:numId="36">
    <w:abstractNumId w:val="27"/>
  </w:num>
  <w:num w:numId="37">
    <w:abstractNumId w:val="22"/>
  </w:num>
  <w:num w:numId="38">
    <w:abstractNumId w:val="18"/>
  </w:num>
  <w:num w:numId="39">
    <w:abstractNumId w:val="14"/>
  </w:num>
  <w:num w:numId="40">
    <w:abstractNumId w:val="4"/>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A2"/>
    <w:rsid w:val="000132EC"/>
    <w:rsid w:val="00015B61"/>
    <w:rsid w:val="000272A7"/>
    <w:rsid w:val="00041739"/>
    <w:rsid w:val="00042868"/>
    <w:rsid w:val="0004306B"/>
    <w:rsid w:val="00046250"/>
    <w:rsid w:val="00052A3E"/>
    <w:rsid w:val="00052F76"/>
    <w:rsid w:val="0005654A"/>
    <w:rsid w:val="00060D5C"/>
    <w:rsid w:val="0006321D"/>
    <w:rsid w:val="00070A1E"/>
    <w:rsid w:val="000718D4"/>
    <w:rsid w:val="0007598B"/>
    <w:rsid w:val="00082A8E"/>
    <w:rsid w:val="000A1247"/>
    <w:rsid w:val="001062B9"/>
    <w:rsid w:val="001069EA"/>
    <w:rsid w:val="001105C2"/>
    <w:rsid w:val="00111B1F"/>
    <w:rsid w:val="001145D3"/>
    <w:rsid w:val="00125909"/>
    <w:rsid w:val="00135142"/>
    <w:rsid w:val="001369EA"/>
    <w:rsid w:val="001438C9"/>
    <w:rsid w:val="00155080"/>
    <w:rsid w:val="00157A69"/>
    <w:rsid w:val="00157C15"/>
    <w:rsid w:val="001663B0"/>
    <w:rsid w:val="00187DF4"/>
    <w:rsid w:val="001D187C"/>
    <w:rsid w:val="001D6774"/>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A4EC9"/>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174A1"/>
    <w:rsid w:val="003701ED"/>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463F0"/>
    <w:rsid w:val="004563B9"/>
    <w:rsid w:val="0046107E"/>
    <w:rsid w:val="00477478"/>
    <w:rsid w:val="00484DAE"/>
    <w:rsid w:val="00492820"/>
    <w:rsid w:val="00493B5C"/>
    <w:rsid w:val="00494FE2"/>
    <w:rsid w:val="004951FA"/>
    <w:rsid w:val="00497B94"/>
    <w:rsid w:val="00497E55"/>
    <w:rsid w:val="004A627C"/>
    <w:rsid w:val="004B7EBD"/>
    <w:rsid w:val="004C2265"/>
    <w:rsid w:val="004D6E11"/>
    <w:rsid w:val="004E085D"/>
    <w:rsid w:val="004E584F"/>
    <w:rsid w:val="004E5986"/>
    <w:rsid w:val="004F2B3E"/>
    <w:rsid w:val="0051143B"/>
    <w:rsid w:val="00525BB3"/>
    <w:rsid w:val="00542840"/>
    <w:rsid w:val="00550F5A"/>
    <w:rsid w:val="00577B52"/>
    <w:rsid w:val="005A51C7"/>
    <w:rsid w:val="005A5D21"/>
    <w:rsid w:val="005A76B6"/>
    <w:rsid w:val="005B04B7"/>
    <w:rsid w:val="005B39EB"/>
    <w:rsid w:val="005B3AFA"/>
    <w:rsid w:val="005C0743"/>
    <w:rsid w:val="005C2175"/>
    <w:rsid w:val="005C4984"/>
    <w:rsid w:val="005D1207"/>
    <w:rsid w:val="005D3906"/>
    <w:rsid w:val="005E09C7"/>
    <w:rsid w:val="005E2EFA"/>
    <w:rsid w:val="005E332B"/>
    <w:rsid w:val="00606109"/>
    <w:rsid w:val="006075CD"/>
    <w:rsid w:val="00611E4E"/>
    <w:rsid w:val="00631751"/>
    <w:rsid w:val="00632584"/>
    <w:rsid w:val="006351E3"/>
    <w:rsid w:val="00642D1B"/>
    <w:rsid w:val="00645DC4"/>
    <w:rsid w:val="00650B64"/>
    <w:rsid w:val="006702A6"/>
    <w:rsid w:val="00671E89"/>
    <w:rsid w:val="0068195C"/>
    <w:rsid w:val="006865E6"/>
    <w:rsid w:val="0069013D"/>
    <w:rsid w:val="006A5E7F"/>
    <w:rsid w:val="006C1D0C"/>
    <w:rsid w:val="006C33E3"/>
    <w:rsid w:val="00702421"/>
    <w:rsid w:val="007065AC"/>
    <w:rsid w:val="0070707E"/>
    <w:rsid w:val="00710B0E"/>
    <w:rsid w:val="007161D5"/>
    <w:rsid w:val="00720ECD"/>
    <w:rsid w:val="00724E7C"/>
    <w:rsid w:val="00726EC3"/>
    <w:rsid w:val="007501A2"/>
    <w:rsid w:val="0075075B"/>
    <w:rsid w:val="00760628"/>
    <w:rsid w:val="00761E9A"/>
    <w:rsid w:val="007629AD"/>
    <w:rsid w:val="00767F75"/>
    <w:rsid w:val="00776C6F"/>
    <w:rsid w:val="00795D26"/>
    <w:rsid w:val="007A182D"/>
    <w:rsid w:val="007A4A49"/>
    <w:rsid w:val="007B1027"/>
    <w:rsid w:val="007C12E9"/>
    <w:rsid w:val="007D12BA"/>
    <w:rsid w:val="007D35B7"/>
    <w:rsid w:val="007D38A0"/>
    <w:rsid w:val="007D67A2"/>
    <w:rsid w:val="007F025D"/>
    <w:rsid w:val="007F2AE1"/>
    <w:rsid w:val="007F75E6"/>
    <w:rsid w:val="00812DA1"/>
    <w:rsid w:val="0084105C"/>
    <w:rsid w:val="00841BC2"/>
    <w:rsid w:val="008500BD"/>
    <w:rsid w:val="00861A6B"/>
    <w:rsid w:val="00862794"/>
    <w:rsid w:val="00870449"/>
    <w:rsid w:val="008A4F4F"/>
    <w:rsid w:val="008B492B"/>
    <w:rsid w:val="008D1852"/>
    <w:rsid w:val="008D3B91"/>
    <w:rsid w:val="008D7B48"/>
    <w:rsid w:val="00920EAC"/>
    <w:rsid w:val="0092196E"/>
    <w:rsid w:val="00921ECE"/>
    <w:rsid w:val="009253DB"/>
    <w:rsid w:val="00926617"/>
    <w:rsid w:val="00933613"/>
    <w:rsid w:val="00942EA8"/>
    <w:rsid w:val="009456CE"/>
    <w:rsid w:val="00950AEB"/>
    <w:rsid w:val="00962D11"/>
    <w:rsid w:val="0097556C"/>
    <w:rsid w:val="00987BD5"/>
    <w:rsid w:val="00996262"/>
    <w:rsid w:val="009A62D2"/>
    <w:rsid w:val="009B069B"/>
    <w:rsid w:val="009B3D14"/>
    <w:rsid w:val="009B7AC6"/>
    <w:rsid w:val="009C1B73"/>
    <w:rsid w:val="009C4DEC"/>
    <w:rsid w:val="009E78C9"/>
    <w:rsid w:val="00A35E9E"/>
    <w:rsid w:val="00A46686"/>
    <w:rsid w:val="00A677F3"/>
    <w:rsid w:val="00AA0178"/>
    <w:rsid w:val="00AB2AB1"/>
    <w:rsid w:val="00AC4D96"/>
    <w:rsid w:val="00AD5F84"/>
    <w:rsid w:val="00AE2A0A"/>
    <w:rsid w:val="00AE6A38"/>
    <w:rsid w:val="00AE7933"/>
    <w:rsid w:val="00AF150D"/>
    <w:rsid w:val="00AF775C"/>
    <w:rsid w:val="00B11880"/>
    <w:rsid w:val="00B16196"/>
    <w:rsid w:val="00B36397"/>
    <w:rsid w:val="00B52CB1"/>
    <w:rsid w:val="00B5482B"/>
    <w:rsid w:val="00B91E98"/>
    <w:rsid w:val="00B928E4"/>
    <w:rsid w:val="00BA715A"/>
    <w:rsid w:val="00BC770A"/>
    <w:rsid w:val="00BD3C7C"/>
    <w:rsid w:val="00BD3D34"/>
    <w:rsid w:val="00BD6716"/>
    <w:rsid w:val="00BE4A27"/>
    <w:rsid w:val="00BF5395"/>
    <w:rsid w:val="00C01BDF"/>
    <w:rsid w:val="00C07DC1"/>
    <w:rsid w:val="00C17844"/>
    <w:rsid w:val="00C52E8C"/>
    <w:rsid w:val="00C6497E"/>
    <w:rsid w:val="00C65D1E"/>
    <w:rsid w:val="00C713C3"/>
    <w:rsid w:val="00C748D0"/>
    <w:rsid w:val="00C767AD"/>
    <w:rsid w:val="00C95C8D"/>
    <w:rsid w:val="00CC02EF"/>
    <w:rsid w:val="00CC1B2D"/>
    <w:rsid w:val="00CE0A8D"/>
    <w:rsid w:val="00CE51DC"/>
    <w:rsid w:val="00CF0597"/>
    <w:rsid w:val="00CF096A"/>
    <w:rsid w:val="00D03D99"/>
    <w:rsid w:val="00D05FBF"/>
    <w:rsid w:val="00D1194B"/>
    <w:rsid w:val="00D134B1"/>
    <w:rsid w:val="00D255EF"/>
    <w:rsid w:val="00D2732F"/>
    <w:rsid w:val="00D315E2"/>
    <w:rsid w:val="00D4258B"/>
    <w:rsid w:val="00D6339E"/>
    <w:rsid w:val="00D64443"/>
    <w:rsid w:val="00D73CC1"/>
    <w:rsid w:val="00D804E9"/>
    <w:rsid w:val="00D8513B"/>
    <w:rsid w:val="00D86BC9"/>
    <w:rsid w:val="00D9489F"/>
    <w:rsid w:val="00DA248B"/>
    <w:rsid w:val="00DA7BB4"/>
    <w:rsid w:val="00DB4872"/>
    <w:rsid w:val="00DB69E8"/>
    <w:rsid w:val="00DC1BBC"/>
    <w:rsid w:val="00DC5A01"/>
    <w:rsid w:val="00DD4B6B"/>
    <w:rsid w:val="00DE0B98"/>
    <w:rsid w:val="00DE4BD9"/>
    <w:rsid w:val="00DE5CAA"/>
    <w:rsid w:val="00E033EA"/>
    <w:rsid w:val="00E06BD7"/>
    <w:rsid w:val="00E1082D"/>
    <w:rsid w:val="00E15968"/>
    <w:rsid w:val="00E174AF"/>
    <w:rsid w:val="00E27C51"/>
    <w:rsid w:val="00E41EE6"/>
    <w:rsid w:val="00E62E9B"/>
    <w:rsid w:val="00E7796B"/>
    <w:rsid w:val="00E916EB"/>
    <w:rsid w:val="00E92CC8"/>
    <w:rsid w:val="00E94D71"/>
    <w:rsid w:val="00E976FD"/>
    <w:rsid w:val="00EB35BA"/>
    <w:rsid w:val="00EC6521"/>
    <w:rsid w:val="00ED4A1C"/>
    <w:rsid w:val="00EF55CC"/>
    <w:rsid w:val="00F02588"/>
    <w:rsid w:val="00F05B3D"/>
    <w:rsid w:val="00F066E3"/>
    <w:rsid w:val="00F21B65"/>
    <w:rsid w:val="00F21E39"/>
    <w:rsid w:val="00F234B1"/>
    <w:rsid w:val="00F51926"/>
    <w:rsid w:val="00F545C4"/>
    <w:rsid w:val="00F666D9"/>
    <w:rsid w:val="00F72185"/>
    <w:rsid w:val="00F80452"/>
    <w:rsid w:val="00F878CE"/>
    <w:rsid w:val="00F9791D"/>
    <w:rsid w:val="00FA396B"/>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5711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rsid w:val="00497B94"/>
    <w:pPr>
      <w:outlineLvl w:val="3"/>
    </w:pPr>
    <w:rPr>
      <w:bCs/>
      <w:szCs w:val="28"/>
    </w:rPr>
  </w:style>
  <w:style w:type="paragraph" w:styleId="Heading5">
    <w:name w:val="heading 5"/>
    <w:basedOn w:val="Heading4"/>
    <w:next w:val="Normal"/>
    <w:qFormat/>
    <w:rsid w:val="00497B94"/>
    <w:pPr>
      <w:outlineLvl w:val="4"/>
    </w:pPr>
    <w:rPr>
      <w:bCs w:val="0"/>
      <w:iCs w:val="0"/>
      <w:szCs w:val="26"/>
    </w:rPr>
  </w:style>
  <w:style w:type="paragraph" w:styleId="Heading6">
    <w:name w:val="heading 6"/>
    <w:basedOn w:val="Heading5"/>
    <w:next w:val="Normal"/>
    <w:qFormat/>
    <w:rsid w:val="00497B94"/>
    <w:pPr>
      <w:outlineLvl w:val="5"/>
    </w:pPr>
    <w:rPr>
      <w:bCs/>
      <w:szCs w:val="22"/>
    </w:rPr>
  </w:style>
  <w:style w:type="paragraph" w:styleId="Heading7">
    <w:name w:val="heading 7"/>
    <w:basedOn w:val="Heading6"/>
    <w:next w:val="Normal"/>
    <w:qFormat/>
    <w:rsid w:val="00497B94"/>
    <w:pPr>
      <w:outlineLvl w:val="6"/>
    </w:pPr>
  </w:style>
  <w:style w:type="paragraph" w:styleId="Heading8">
    <w:name w:val="heading 8"/>
    <w:basedOn w:val="Heading7"/>
    <w:next w:val="Normal"/>
    <w:qFormat/>
    <w:rsid w:val="00497B94"/>
    <w:pPr>
      <w:outlineLvl w:val="7"/>
    </w:pPr>
    <w:rPr>
      <w:iCs/>
    </w:rPr>
  </w:style>
  <w:style w:type="paragraph" w:styleId="Heading9">
    <w:name w:val="heading 9"/>
    <w:basedOn w:val="Heading8"/>
    <w:next w:val="Normal"/>
    <w:qFormat/>
    <w:rsid w:val="00497B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sid w:val="00497B94"/>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rsid w:val="00497B94"/>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rsid w:val="00497B94"/>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rsid w:val="00497B94"/>
    <w:pPr>
      <w:ind w:left="0"/>
    </w:pPr>
  </w:style>
  <w:style w:type="paragraph" w:styleId="TOC5">
    <w:name w:val="toc 5"/>
    <w:basedOn w:val="Normal"/>
    <w:next w:val="Normal"/>
    <w:semiHidden/>
    <w:rsid w:val="00497B94"/>
    <w:pPr>
      <w:ind w:left="0"/>
    </w:pPr>
  </w:style>
  <w:style w:type="paragraph" w:styleId="TOC6">
    <w:name w:val="toc 6"/>
    <w:basedOn w:val="Normal"/>
    <w:next w:val="Normal"/>
    <w:semiHidden/>
    <w:rsid w:val="00497B94"/>
    <w:pPr>
      <w:ind w:left="0"/>
    </w:pPr>
  </w:style>
  <w:style w:type="paragraph" w:styleId="TOC7">
    <w:name w:val="toc 7"/>
    <w:basedOn w:val="Normal"/>
    <w:next w:val="Normal"/>
    <w:semiHidden/>
    <w:rsid w:val="00497B94"/>
    <w:pPr>
      <w:ind w:left="0"/>
    </w:pPr>
  </w:style>
  <w:style w:type="paragraph" w:styleId="TOC8">
    <w:name w:val="toc 8"/>
    <w:basedOn w:val="Normal"/>
    <w:next w:val="Normal"/>
    <w:semiHidden/>
    <w:rsid w:val="00497B94"/>
    <w:pPr>
      <w:ind w:left="0"/>
    </w:pPr>
  </w:style>
  <w:style w:type="paragraph" w:styleId="TOC9">
    <w:name w:val="toc 9"/>
    <w:basedOn w:val="Normal"/>
    <w:next w:val="Normal"/>
    <w:semiHidden/>
    <w:rsid w:val="00497B94"/>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rsid w:val="00497B94"/>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odyTextIndent">
    <w:name w:val="Body Text Indent"/>
    <w:basedOn w:val="Normal"/>
    <w:link w:val="BodyTextIndentChar"/>
    <w:rsid w:val="006075CD"/>
    <w:pPr>
      <w:spacing w:after="120"/>
      <w:ind w:left="283"/>
    </w:pPr>
  </w:style>
  <w:style w:type="paragraph" w:styleId="TableofFigures">
    <w:name w:val="table of figures"/>
    <w:basedOn w:val="Normal"/>
    <w:next w:val="Normal"/>
    <w:semiHidden/>
    <w:rsid w:val="00497B94"/>
    <w:pPr>
      <w:ind w:left="480" w:hanging="480"/>
    </w:pPr>
  </w:style>
  <w:style w:type="paragraph" w:styleId="Index1">
    <w:name w:val="index 1"/>
    <w:basedOn w:val="Normal"/>
    <w:next w:val="Normal"/>
    <w:autoRedefine/>
    <w:semiHidden/>
    <w:rsid w:val="00497B94"/>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rsid w:val="00497B94"/>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odyTextIndentChar">
    <w:name w:val="Body Text Indent Char"/>
    <w:basedOn w:val="DefaultParagraphFont"/>
    <w:link w:val="BodyTextIndent"/>
    <w:rsid w:val="006075CD"/>
    <w:rPr>
      <w:rFonts w:ascii="Arial" w:hAnsi="Arial"/>
      <w:sz w:val="22"/>
      <w:szCs w:val="24"/>
      <w:lang w:eastAsia="en-US"/>
    </w:rPr>
  </w:style>
  <w:style w:type="paragraph" w:styleId="BalloonText">
    <w:name w:val="Balloon Text"/>
    <w:basedOn w:val="Normal"/>
    <w:link w:val="BalloonTextChar"/>
    <w:rsid w:val="00D86BC9"/>
    <w:pPr>
      <w:spacing w:before="0"/>
    </w:pPr>
    <w:rPr>
      <w:rFonts w:ascii="Tahoma" w:hAnsi="Tahoma" w:cs="Tahoma"/>
      <w:sz w:val="16"/>
      <w:szCs w:val="16"/>
    </w:rPr>
  </w:style>
  <w:style w:type="character" w:customStyle="1" w:styleId="BalloonTextChar">
    <w:name w:val="Balloon Text Char"/>
    <w:basedOn w:val="DefaultParagraphFont"/>
    <w:link w:val="BalloonText"/>
    <w:rsid w:val="00D86B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rsid w:val="00497B94"/>
    <w:pPr>
      <w:outlineLvl w:val="3"/>
    </w:pPr>
    <w:rPr>
      <w:bCs/>
      <w:szCs w:val="28"/>
    </w:rPr>
  </w:style>
  <w:style w:type="paragraph" w:styleId="Heading5">
    <w:name w:val="heading 5"/>
    <w:basedOn w:val="Heading4"/>
    <w:next w:val="Normal"/>
    <w:qFormat/>
    <w:rsid w:val="00497B94"/>
    <w:pPr>
      <w:outlineLvl w:val="4"/>
    </w:pPr>
    <w:rPr>
      <w:bCs w:val="0"/>
      <w:iCs w:val="0"/>
      <w:szCs w:val="26"/>
    </w:rPr>
  </w:style>
  <w:style w:type="paragraph" w:styleId="Heading6">
    <w:name w:val="heading 6"/>
    <w:basedOn w:val="Heading5"/>
    <w:next w:val="Normal"/>
    <w:qFormat/>
    <w:rsid w:val="00497B94"/>
    <w:pPr>
      <w:outlineLvl w:val="5"/>
    </w:pPr>
    <w:rPr>
      <w:bCs/>
      <w:szCs w:val="22"/>
    </w:rPr>
  </w:style>
  <w:style w:type="paragraph" w:styleId="Heading7">
    <w:name w:val="heading 7"/>
    <w:basedOn w:val="Heading6"/>
    <w:next w:val="Normal"/>
    <w:qFormat/>
    <w:rsid w:val="00497B94"/>
    <w:pPr>
      <w:outlineLvl w:val="6"/>
    </w:pPr>
  </w:style>
  <w:style w:type="paragraph" w:styleId="Heading8">
    <w:name w:val="heading 8"/>
    <w:basedOn w:val="Heading7"/>
    <w:next w:val="Normal"/>
    <w:qFormat/>
    <w:rsid w:val="00497B94"/>
    <w:pPr>
      <w:outlineLvl w:val="7"/>
    </w:pPr>
    <w:rPr>
      <w:iCs/>
    </w:rPr>
  </w:style>
  <w:style w:type="paragraph" w:styleId="Heading9">
    <w:name w:val="heading 9"/>
    <w:basedOn w:val="Heading8"/>
    <w:next w:val="Normal"/>
    <w:qFormat/>
    <w:rsid w:val="00497B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sid w:val="00497B94"/>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rsid w:val="00497B94"/>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rsid w:val="00497B94"/>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rsid w:val="00497B94"/>
    <w:pPr>
      <w:ind w:left="0"/>
    </w:pPr>
  </w:style>
  <w:style w:type="paragraph" w:styleId="TOC5">
    <w:name w:val="toc 5"/>
    <w:basedOn w:val="Normal"/>
    <w:next w:val="Normal"/>
    <w:semiHidden/>
    <w:rsid w:val="00497B94"/>
    <w:pPr>
      <w:ind w:left="0"/>
    </w:pPr>
  </w:style>
  <w:style w:type="paragraph" w:styleId="TOC6">
    <w:name w:val="toc 6"/>
    <w:basedOn w:val="Normal"/>
    <w:next w:val="Normal"/>
    <w:semiHidden/>
    <w:rsid w:val="00497B94"/>
    <w:pPr>
      <w:ind w:left="0"/>
    </w:pPr>
  </w:style>
  <w:style w:type="paragraph" w:styleId="TOC7">
    <w:name w:val="toc 7"/>
    <w:basedOn w:val="Normal"/>
    <w:next w:val="Normal"/>
    <w:semiHidden/>
    <w:rsid w:val="00497B94"/>
    <w:pPr>
      <w:ind w:left="0"/>
    </w:pPr>
  </w:style>
  <w:style w:type="paragraph" w:styleId="TOC8">
    <w:name w:val="toc 8"/>
    <w:basedOn w:val="Normal"/>
    <w:next w:val="Normal"/>
    <w:semiHidden/>
    <w:rsid w:val="00497B94"/>
    <w:pPr>
      <w:ind w:left="0"/>
    </w:pPr>
  </w:style>
  <w:style w:type="paragraph" w:styleId="TOC9">
    <w:name w:val="toc 9"/>
    <w:basedOn w:val="Normal"/>
    <w:next w:val="Normal"/>
    <w:semiHidden/>
    <w:rsid w:val="00497B94"/>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rsid w:val="00497B94"/>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odyTextIndent">
    <w:name w:val="Body Text Indent"/>
    <w:basedOn w:val="Normal"/>
    <w:link w:val="BodyTextIndentChar"/>
    <w:rsid w:val="006075CD"/>
    <w:pPr>
      <w:spacing w:after="120"/>
      <w:ind w:left="283"/>
    </w:pPr>
  </w:style>
  <w:style w:type="paragraph" w:styleId="TableofFigures">
    <w:name w:val="table of figures"/>
    <w:basedOn w:val="Normal"/>
    <w:next w:val="Normal"/>
    <w:semiHidden/>
    <w:rsid w:val="00497B94"/>
    <w:pPr>
      <w:ind w:left="480" w:hanging="480"/>
    </w:pPr>
  </w:style>
  <w:style w:type="paragraph" w:styleId="Index1">
    <w:name w:val="index 1"/>
    <w:basedOn w:val="Normal"/>
    <w:next w:val="Normal"/>
    <w:autoRedefine/>
    <w:semiHidden/>
    <w:rsid w:val="00497B94"/>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rsid w:val="00497B94"/>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odyTextIndentChar">
    <w:name w:val="Body Text Indent Char"/>
    <w:basedOn w:val="DefaultParagraphFont"/>
    <w:link w:val="BodyTextIndent"/>
    <w:rsid w:val="006075CD"/>
    <w:rPr>
      <w:rFonts w:ascii="Arial" w:hAnsi="Arial"/>
      <w:sz w:val="22"/>
      <w:szCs w:val="24"/>
      <w:lang w:eastAsia="en-US"/>
    </w:rPr>
  </w:style>
  <w:style w:type="paragraph" w:styleId="BalloonText">
    <w:name w:val="Balloon Text"/>
    <w:basedOn w:val="Normal"/>
    <w:link w:val="BalloonTextChar"/>
    <w:rsid w:val="00D86BC9"/>
    <w:pPr>
      <w:spacing w:before="0"/>
    </w:pPr>
    <w:rPr>
      <w:rFonts w:ascii="Tahoma" w:hAnsi="Tahoma" w:cs="Tahoma"/>
      <w:sz w:val="16"/>
      <w:szCs w:val="16"/>
    </w:rPr>
  </w:style>
  <w:style w:type="character" w:customStyle="1" w:styleId="BalloonTextChar">
    <w:name w:val="Balloon Text Char"/>
    <w:basedOn w:val="DefaultParagraphFont"/>
    <w:link w:val="BalloonText"/>
    <w:rsid w:val="00D86B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75913">
      <w:bodyDiv w:val="1"/>
      <w:marLeft w:val="0"/>
      <w:marRight w:val="0"/>
      <w:marTop w:val="0"/>
      <w:marBottom w:val="0"/>
      <w:divBdr>
        <w:top w:val="none" w:sz="0" w:space="0" w:color="auto"/>
        <w:left w:val="none" w:sz="0" w:space="0" w:color="auto"/>
        <w:bottom w:val="none" w:sz="0" w:space="0" w:color="auto"/>
        <w:right w:val="none" w:sz="0" w:space="0" w:color="auto"/>
      </w:divBdr>
    </w:div>
    <w:div w:id="934559828">
      <w:bodyDiv w:val="1"/>
      <w:marLeft w:val="0"/>
      <w:marRight w:val="0"/>
      <w:marTop w:val="0"/>
      <w:marBottom w:val="0"/>
      <w:divBdr>
        <w:top w:val="none" w:sz="0" w:space="0" w:color="auto"/>
        <w:left w:val="none" w:sz="0" w:space="0" w:color="auto"/>
        <w:bottom w:val="none" w:sz="0" w:space="0" w:color="auto"/>
        <w:right w:val="none" w:sz="0" w:space="0" w:color="auto"/>
      </w:divBdr>
    </w:div>
    <w:div w:id="11016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Publication Template.dot</Template>
  <TotalTime>0</TotalTime>
  <Pages>13</Pages>
  <Words>1780</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225778</dc:creator>
  <cp:lastModifiedBy>FOXELL LIZ</cp:lastModifiedBy>
  <cp:revision>2</cp:revision>
  <cp:lastPrinted>2012-03-21T09:35:00Z</cp:lastPrinted>
  <dcterms:created xsi:type="dcterms:W3CDTF">2014-11-05T13:39:00Z</dcterms:created>
  <dcterms:modified xsi:type="dcterms:W3CDTF">2014-11-05T13:39:00Z</dcterms:modified>
</cp:coreProperties>
</file>