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RPr="002D703E" w:rsidTr="0043665C">
        <w:tc>
          <w:tcPr>
            <w:tcW w:w="3510" w:type="dxa"/>
          </w:tcPr>
          <w:p w:rsidR="00C6015B" w:rsidRPr="002D703E" w:rsidRDefault="00C6015B" w:rsidP="00C6015B">
            <w:r w:rsidRPr="002D703E">
              <w:t xml:space="preserve">Project Number </w:t>
            </w:r>
          </w:p>
          <w:p w:rsidR="009A2B69" w:rsidRPr="002D703E" w:rsidRDefault="009A2B69" w:rsidP="009A2B69"/>
        </w:tc>
        <w:tc>
          <w:tcPr>
            <w:tcW w:w="5732" w:type="dxa"/>
          </w:tcPr>
          <w:p w:rsidR="002D703E" w:rsidRDefault="00255133" w:rsidP="00255133">
            <w:r>
              <w:t>GB-3-PPY1020 INA</w:t>
            </w:r>
          </w:p>
          <w:p w:rsidR="00C6015B" w:rsidRPr="002D703E" w:rsidRDefault="00255133" w:rsidP="00255133">
            <w:r>
              <w:t>GB-3-PPY 1007 INA</w:t>
            </w:r>
          </w:p>
        </w:tc>
      </w:tr>
      <w:tr w:rsidR="00C6015B" w:rsidRPr="002D703E" w:rsidTr="0043665C">
        <w:tc>
          <w:tcPr>
            <w:tcW w:w="3510" w:type="dxa"/>
          </w:tcPr>
          <w:p w:rsidR="00C6015B" w:rsidRPr="002D703E" w:rsidRDefault="00C6015B" w:rsidP="00C6015B">
            <w:r w:rsidRPr="002D703E">
              <w:t>Project Title</w:t>
            </w:r>
          </w:p>
          <w:p w:rsidR="00C6015B" w:rsidRPr="002D703E" w:rsidRDefault="00C6015B" w:rsidP="001C4482"/>
        </w:tc>
        <w:tc>
          <w:tcPr>
            <w:tcW w:w="5732" w:type="dxa"/>
          </w:tcPr>
          <w:p w:rsidR="00C6015B" w:rsidRPr="002D703E" w:rsidRDefault="00845B62" w:rsidP="001C4482">
            <w:r w:rsidRPr="002D703E">
              <w:t>Unlocking Energy Efficiency Investment Potential in Indonesia</w:t>
            </w:r>
          </w:p>
        </w:tc>
      </w:tr>
      <w:tr w:rsidR="00C6015B" w:rsidRPr="002D703E" w:rsidTr="0043665C">
        <w:tc>
          <w:tcPr>
            <w:tcW w:w="3510" w:type="dxa"/>
          </w:tcPr>
          <w:p w:rsidR="00C6015B" w:rsidRPr="002D703E" w:rsidRDefault="00F23B01" w:rsidP="00F23B01">
            <w:r w:rsidRPr="002D703E">
              <w:t>Project Cost (total cost / cost to FCO if different)</w:t>
            </w:r>
          </w:p>
        </w:tc>
        <w:tc>
          <w:tcPr>
            <w:tcW w:w="5732" w:type="dxa"/>
          </w:tcPr>
          <w:p w:rsidR="00C6015B" w:rsidRPr="002D703E" w:rsidRDefault="00845B62" w:rsidP="00894BC8">
            <w:r w:rsidRPr="002D703E">
              <w:t>£</w:t>
            </w:r>
            <w:r w:rsidR="00894BC8" w:rsidRPr="002D703E">
              <w:t xml:space="preserve">233,550 </w:t>
            </w:r>
          </w:p>
        </w:tc>
      </w:tr>
      <w:tr w:rsidR="00C6015B" w:rsidRPr="002D703E" w:rsidTr="0043665C">
        <w:tc>
          <w:tcPr>
            <w:tcW w:w="3510" w:type="dxa"/>
          </w:tcPr>
          <w:p w:rsidR="00C6015B" w:rsidRPr="002D703E" w:rsidRDefault="00C6015B" w:rsidP="00C6015B">
            <w:r w:rsidRPr="002D703E">
              <w:t xml:space="preserve">Project </w:t>
            </w:r>
            <w:r w:rsidR="0043665C" w:rsidRPr="002D703E">
              <w:t>Start/End Dates</w:t>
            </w:r>
          </w:p>
          <w:p w:rsidR="00C6015B" w:rsidRPr="002D703E" w:rsidRDefault="00C6015B" w:rsidP="001C4482"/>
        </w:tc>
        <w:tc>
          <w:tcPr>
            <w:tcW w:w="5732" w:type="dxa"/>
          </w:tcPr>
          <w:p w:rsidR="00C6015B" w:rsidRPr="002D703E" w:rsidRDefault="004F44C2" w:rsidP="004F44C2">
            <w:r w:rsidRPr="002D703E">
              <w:t>1 July 2011 to</w:t>
            </w:r>
            <w:r w:rsidR="00845B62" w:rsidRPr="002D703E">
              <w:t xml:space="preserve"> 31 March 2013</w:t>
            </w:r>
          </w:p>
        </w:tc>
      </w:tr>
      <w:tr w:rsidR="00C6015B" w:rsidRPr="002D703E" w:rsidTr="0043665C">
        <w:tc>
          <w:tcPr>
            <w:tcW w:w="3510" w:type="dxa"/>
          </w:tcPr>
          <w:p w:rsidR="0043665C" w:rsidRPr="002D703E" w:rsidRDefault="0043665C" w:rsidP="0043665C">
            <w:r w:rsidRPr="002D703E">
              <w:t>Programme</w:t>
            </w:r>
          </w:p>
          <w:p w:rsidR="00C6015B" w:rsidRPr="002D703E" w:rsidRDefault="00C6015B" w:rsidP="0043665C"/>
        </w:tc>
        <w:tc>
          <w:tcPr>
            <w:tcW w:w="5732" w:type="dxa"/>
          </w:tcPr>
          <w:p w:rsidR="00C6015B" w:rsidRPr="002D703E" w:rsidRDefault="00845B62" w:rsidP="004F44C2">
            <w:r w:rsidRPr="002D703E">
              <w:t xml:space="preserve">Prosperity Fund </w:t>
            </w:r>
          </w:p>
        </w:tc>
      </w:tr>
      <w:tr w:rsidR="00C6015B" w:rsidRPr="002D703E" w:rsidTr="0043665C">
        <w:tc>
          <w:tcPr>
            <w:tcW w:w="3510" w:type="dxa"/>
          </w:tcPr>
          <w:p w:rsidR="0043665C" w:rsidRPr="002D703E" w:rsidRDefault="0043665C" w:rsidP="0043665C">
            <w:r w:rsidRPr="002D703E">
              <w:t>Country/Countries</w:t>
            </w:r>
          </w:p>
          <w:p w:rsidR="00C6015B" w:rsidRPr="002D703E" w:rsidRDefault="00C6015B" w:rsidP="001C4482"/>
        </w:tc>
        <w:tc>
          <w:tcPr>
            <w:tcW w:w="5732" w:type="dxa"/>
          </w:tcPr>
          <w:p w:rsidR="00C6015B" w:rsidRPr="002D703E" w:rsidRDefault="00845B62" w:rsidP="001C4482">
            <w:r w:rsidRPr="002D703E">
              <w:t>Indonesia</w:t>
            </w:r>
          </w:p>
        </w:tc>
      </w:tr>
      <w:tr w:rsidR="00C6015B" w:rsidRPr="002D703E" w:rsidTr="0043665C">
        <w:tc>
          <w:tcPr>
            <w:tcW w:w="3510" w:type="dxa"/>
          </w:tcPr>
          <w:p w:rsidR="0043665C" w:rsidRPr="002D703E" w:rsidRDefault="0043665C" w:rsidP="0043665C">
            <w:r w:rsidRPr="002D703E">
              <w:t>O</w:t>
            </w:r>
            <w:r w:rsidR="007C118F" w:rsidRPr="002D703E">
              <w:t xml:space="preserve">fficial </w:t>
            </w:r>
            <w:r w:rsidRPr="002D703E">
              <w:t>D</w:t>
            </w:r>
            <w:r w:rsidR="007C118F" w:rsidRPr="002D703E">
              <w:t xml:space="preserve">evelopment </w:t>
            </w:r>
            <w:r w:rsidRPr="002D703E">
              <w:t>A</w:t>
            </w:r>
            <w:r w:rsidR="007C118F" w:rsidRPr="002D703E">
              <w:t>ssistance</w:t>
            </w:r>
            <w:r w:rsidRPr="002D703E">
              <w:t xml:space="preserve">    Y/N</w:t>
            </w:r>
          </w:p>
          <w:p w:rsidR="00C6015B" w:rsidRPr="002D703E" w:rsidRDefault="00C6015B" w:rsidP="001C4482"/>
        </w:tc>
        <w:tc>
          <w:tcPr>
            <w:tcW w:w="5732" w:type="dxa"/>
          </w:tcPr>
          <w:p w:rsidR="00C6015B" w:rsidRPr="002D703E" w:rsidRDefault="00845B62" w:rsidP="001C4482">
            <w:r w:rsidRPr="002D703E">
              <w:t>Yes</w:t>
            </w:r>
          </w:p>
        </w:tc>
      </w:tr>
    </w:tbl>
    <w:p w:rsidR="00C6015B" w:rsidRPr="002D703E" w:rsidRDefault="00C6015B" w:rsidP="001C4482">
      <w:pPr>
        <w:spacing w:after="0" w:line="240" w:lineRule="auto"/>
      </w:pPr>
    </w:p>
    <w:p w:rsidR="00C6015B" w:rsidRPr="002D703E" w:rsidRDefault="00C6015B" w:rsidP="00982CF6">
      <w:pPr>
        <w:spacing w:after="0" w:line="240" w:lineRule="auto"/>
      </w:pPr>
    </w:p>
    <w:p w:rsidR="00982CF6" w:rsidRPr="002D703E" w:rsidRDefault="00982CF6" w:rsidP="007C118F">
      <w:pPr>
        <w:pStyle w:val="ListParagraph"/>
        <w:numPr>
          <w:ilvl w:val="0"/>
          <w:numId w:val="1"/>
        </w:numPr>
        <w:spacing w:after="0" w:line="240" w:lineRule="auto"/>
      </w:pPr>
      <w:r w:rsidRPr="002D703E">
        <w:rPr>
          <w:b/>
        </w:rPr>
        <w:t>Project Purpose</w:t>
      </w:r>
      <w:r w:rsidR="00C6015B" w:rsidRPr="002D703E">
        <w:t xml:space="preserve"> </w:t>
      </w:r>
      <w:r w:rsidR="0043665C" w:rsidRPr="002D703E">
        <w:t>(from proposal form)</w:t>
      </w:r>
    </w:p>
    <w:tbl>
      <w:tblPr>
        <w:tblStyle w:val="TableGrid"/>
        <w:tblW w:w="0" w:type="auto"/>
        <w:tblLook w:val="04A0"/>
      </w:tblPr>
      <w:tblGrid>
        <w:gridCol w:w="9242"/>
      </w:tblGrid>
      <w:tr w:rsidR="00C6015B" w:rsidRPr="002D703E" w:rsidTr="00C6015B">
        <w:tc>
          <w:tcPr>
            <w:tcW w:w="9242" w:type="dxa"/>
          </w:tcPr>
          <w:p w:rsidR="007D4E54" w:rsidRPr="002D703E" w:rsidRDefault="00845B62" w:rsidP="006B163F">
            <w:r w:rsidRPr="002D703E">
              <w:t>To develop a successful model of energy efficiency as</w:t>
            </w:r>
            <w:r w:rsidR="00C97BE7" w:rsidRPr="002D703E">
              <w:t xml:space="preserve"> a</w:t>
            </w:r>
            <w:r w:rsidRPr="002D703E">
              <w:t xml:space="preserve"> business case by applying ESCO (Energy Service Company) business model and support for establishment of energy efficiency financing mechanism in Indonesia.</w:t>
            </w:r>
          </w:p>
        </w:tc>
      </w:tr>
    </w:tbl>
    <w:p w:rsidR="00C6015B" w:rsidRPr="002D703E" w:rsidRDefault="00C6015B" w:rsidP="00982CF6">
      <w:pPr>
        <w:spacing w:after="0" w:line="240" w:lineRule="auto"/>
      </w:pPr>
    </w:p>
    <w:p w:rsidR="007D4E54" w:rsidRPr="002D703E" w:rsidRDefault="007D4E54" w:rsidP="00982CF6">
      <w:pPr>
        <w:spacing w:after="0" w:line="240" w:lineRule="auto"/>
      </w:pPr>
    </w:p>
    <w:p w:rsidR="007D4E54" w:rsidRPr="002D703E" w:rsidRDefault="007D4E54" w:rsidP="00982CF6">
      <w:pPr>
        <w:spacing w:after="0" w:line="240" w:lineRule="auto"/>
      </w:pPr>
    </w:p>
    <w:p w:rsidR="001C4482" w:rsidRPr="002D703E" w:rsidRDefault="001C4482" w:rsidP="007C118F">
      <w:pPr>
        <w:pStyle w:val="ListParagraph"/>
        <w:numPr>
          <w:ilvl w:val="0"/>
          <w:numId w:val="1"/>
        </w:numPr>
        <w:spacing w:after="0" w:line="240" w:lineRule="auto"/>
      </w:pPr>
      <w:r w:rsidRPr="002D703E">
        <w:rPr>
          <w:b/>
        </w:rPr>
        <w:t>Project Background</w:t>
      </w:r>
      <w:r w:rsidR="00E50276" w:rsidRPr="002D703E">
        <w:rPr>
          <w:b/>
        </w:rPr>
        <w:t xml:space="preserve"> / Context</w:t>
      </w:r>
      <w:r w:rsidR="00C6015B" w:rsidRPr="002D703E">
        <w:t xml:space="preserve"> including what the project set out to achieve</w:t>
      </w:r>
      <w:r w:rsidR="007D4E54" w:rsidRPr="002D703E">
        <w:t xml:space="preserve"> (150 words max)</w:t>
      </w:r>
    </w:p>
    <w:tbl>
      <w:tblPr>
        <w:tblStyle w:val="TableGrid"/>
        <w:tblW w:w="0" w:type="auto"/>
        <w:tblLook w:val="04A0"/>
      </w:tblPr>
      <w:tblGrid>
        <w:gridCol w:w="9242"/>
      </w:tblGrid>
      <w:tr w:rsidR="00C6015B" w:rsidRPr="002D703E" w:rsidTr="00C6015B">
        <w:tc>
          <w:tcPr>
            <w:tcW w:w="9242" w:type="dxa"/>
          </w:tcPr>
          <w:p w:rsidR="006B163F" w:rsidRDefault="006B163F" w:rsidP="006B163F">
            <w:pPr>
              <w:jc w:val="both"/>
              <w:rPr>
                <w:rFonts w:eastAsia="Times New Roman"/>
                <w:color w:val="000000"/>
                <w:lang w:eastAsia="en-GB"/>
              </w:rPr>
            </w:pPr>
            <w:r w:rsidRPr="002D703E">
              <w:rPr>
                <w:rFonts w:eastAsia="Times New Roman"/>
                <w:color w:val="000000"/>
                <w:lang w:eastAsia="en-GB"/>
              </w:rPr>
              <w:t>Investments in energy efficiency are a cost effective way to reduce greenhouse gas emission</w:t>
            </w:r>
            <w:r w:rsidR="00B272A9" w:rsidRPr="002D703E">
              <w:rPr>
                <w:rFonts w:eastAsia="Times New Roman"/>
                <w:color w:val="000000"/>
                <w:lang w:eastAsia="en-GB"/>
              </w:rPr>
              <w:t>,</w:t>
            </w:r>
            <w:r w:rsidR="00B272A9" w:rsidRPr="002D703E">
              <w:rPr>
                <w:rFonts w:eastAsia="Times New Roman"/>
                <w:color w:val="000000"/>
                <w:lang w:val="id-ID" w:eastAsia="en-GB"/>
              </w:rPr>
              <w:t xml:space="preserve"> at</w:t>
            </w:r>
            <w:r w:rsidRPr="002D703E">
              <w:rPr>
                <w:rFonts w:eastAsia="Times New Roman"/>
                <w:color w:val="000000"/>
                <w:lang w:val="id-ID" w:eastAsia="en-GB"/>
              </w:rPr>
              <w:t xml:space="preserve"> the same time, having energy efficiency on board is basically saving money</w:t>
            </w:r>
            <w:r w:rsidRPr="002D703E">
              <w:rPr>
                <w:rFonts w:eastAsia="Times New Roman"/>
                <w:color w:val="000000"/>
                <w:lang w:eastAsia="en-GB"/>
              </w:rPr>
              <w:t xml:space="preserve">. However, making investment in energy efficiency works requires a set of conditions, in addition to the size of potential market. Indonesia has large potential for energy efficiency and the Government of Indonesia (GoI) has set ambitious target to reduce energy intensity </w:t>
            </w:r>
            <w:r w:rsidRPr="004D3A94">
              <w:rPr>
                <w:rFonts w:eastAsia="Times New Roman"/>
                <w:lang w:eastAsia="en-GB"/>
              </w:rPr>
              <w:t>by 1% per year on average</w:t>
            </w:r>
            <w:r w:rsidRPr="002D703E">
              <w:rPr>
                <w:rFonts w:eastAsia="Times New Roman"/>
                <w:color w:val="000000"/>
                <w:lang w:eastAsia="en-GB"/>
              </w:rPr>
              <w:t xml:space="preserve"> until 2025 in its energy efficiency plan. </w:t>
            </w:r>
          </w:p>
          <w:p w:rsidR="006B163F" w:rsidRPr="002D703E" w:rsidRDefault="006B163F" w:rsidP="006B163F">
            <w:pPr>
              <w:jc w:val="both"/>
              <w:rPr>
                <w:rFonts w:eastAsia="Times New Roman"/>
                <w:color w:val="000000"/>
                <w:lang w:val="id-ID" w:eastAsia="en-GB"/>
              </w:rPr>
            </w:pPr>
          </w:p>
          <w:p w:rsidR="006B163F" w:rsidRPr="002D703E" w:rsidRDefault="006B163F" w:rsidP="006B163F">
            <w:pPr>
              <w:jc w:val="both"/>
              <w:rPr>
                <w:rFonts w:eastAsia="Times New Roman"/>
                <w:color w:val="000000"/>
                <w:lang w:eastAsia="en-GB"/>
              </w:rPr>
            </w:pPr>
            <w:r w:rsidRPr="002D703E">
              <w:rPr>
                <w:rFonts w:eastAsia="Times New Roman"/>
                <w:color w:val="000000"/>
                <w:lang w:eastAsia="en-GB"/>
              </w:rPr>
              <w:t xml:space="preserve">Nevertheless, this target is clearly lacking of support by policy measures and regulatory instruments; undermining by energy subsidies and poor energy financing scheme to </w:t>
            </w:r>
            <w:r w:rsidRPr="002D703E">
              <w:rPr>
                <w:rFonts w:eastAsia="Times New Roman"/>
                <w:color w:val="000000"/>
                <w:lang w:val="id-ID" w:eastAsia="en-GB"/>
              </w:rPr>
              <w:t xml:space="preserve">specifically </w:t>
            </w:r>
            <w:r w:rsidRPr="002D703E">
              <w:rPr>
                <w:rFonts w:eastAsia="Times New Roman"/>
                <w:color w:val="000000"/>
                <w:lang w:eastAsia="en-GB"/>
              </w:rPr>
              <w:t>support</w:t>
            </w:r>
            <w:r w:rsidRPr="002D703E">
              <w:rPr>
                <w:rFonts w:eastAsia="Times New Roman"/>
                <w:color w:val="000000"/>
                <w:lang w:val="id-ID" w:eastAsia="en-GB"/>
              </w:rPr>
              <w:t>ing</w:t>
            </w:r>
            <w:r w:rsidRPr="002D703E">
              <w:rPr>
                <w:rFonts w:eastAsia="Times New Roman"/>
                <w:color w:val="000000"/>
                <w:lang w:eastAsia="en-GB"/>
              </w:rPr>
              <w:t xml:space="preserve"> access to finance for energy efficiency projects. ReExCapital Asia Report on Energy Efficiency in Southeast Asia’s Market Feasibility Report (2010) concluded that “despite ambitious energy efficiency goals in place</w:t>
            </w:r>
            <w:r w:rsidRPr="002D703E">
              <w:rPr>
                <w:rFonts w:eastAsia="Times New Roman"/>
                <w:color w:val="000000"/>
                <w:lang w:val="id-ID" w:eastAsia="en-GB"/>
              </w:rPr>
              <w:t>,</w:t>
            </w:r>
            <w:r w:rsidRPr="002D703E">
              <w:rPr>
                <w:rFonts w:eastAsia="Times New Roman"/>
                <w:color w:val="000000"/>
                <w:lang w:eastAsia="en-GB"/>
              </w:rPr>
              <w:t xml:space="preserve"> it is hard to take confidence that these will lead to the rapid investment.” The report analyse that this problem laid in the institutional weakness to manage energy efficiency program, and the overall poorly regulatory capacity to support large scale and sustainable energy efficiency projects. </w:t>
            </w:r>
          </w:p>
          <w:p w:rsidR="00894BC8" w:rsidRDefault="006B163F" w:rsidP="006B163F">
            <w:pPr>
              <w:jc w:val="both"/>
              <w:rPr>
                <w:rFonts w:eastAsia="Times New Roman"/>
                <w:color w:val="000000"/>
                <w:lang w:eastAsia="en-GB"/>
              </w:rPr>
            </w:pPr>
            <w:r w:rsidRPr="002D703E">
              <w:rPr>
                <w:rFonts w:eastAsia="Times New Roman"/>
                <w:color w:val="000000"/>
                <w:lang w:eastAsia="en-GB"/>
              </w:rPr>
              <w:t>The solution to this problem is by taking the first approach to strengthen regulatory capacity by identif</w:t>
            </w:r>
            <w:r w:rsidRPr="002D703E">
              <w:rPr>
                <w:rFonts w:eastAsia="Times New Roman"/>
                <w:color w:val="000000"/>
                <w:lang w:val="id-ID" w:eastAsia="en-GB"/>
              </w:rPr>
              <w:t>ying</w:t>
            </w:r>
            <w:r w:rsidRPr="002D703E">
              <w:rPr>
                <w:rFonts w:eastAsia="Times New Roman"/>
                <w:color w:val="000000"/>
                <w:lang w:eastAsia="en-GB"/>
              </w:rPr>
              <w:t xml:space="preserve"> and recogni</w:t>
            </w:r>
            <w:r w:rsidRPr="002D703E">
              <w:rPr>
                <w:rFonts w:eastAsia="Times New Roman"/>
                <w:color w:val="000000"/>
                <w:lang w:val="id-ID" w:eastAsia="en-GB"/>
              </w:rPr>
              <w:t xml:space="preserve">zing </w:t>
            </w:r>
            <w:r w:rsidRPr="002D703E">
              <w:rPr>
                <w:rFonts w:eastAsia="Times New Roman"/>
                <w:color w:val="000000"/>
                <w:lang w:eastAsia="en-GB"/>
              </w:rPr>
              <w:t xml:space="preserve">the implementation barriers of energy efficiency project, addressing </w:t>
            </w:r>
            <w:r w:rsidR="00894BC8" w:rsidRPr="002D703E">
              <w:rPr>
                <w:rFonts w:eastAsia="Times New Roman"/>
                <w:color w:val="000000"/>
                <w:lang w:eastAsia="en-GB"/>
              </w:rPr>
              <w:t>coordinated measures.</w:t>
            </w:r>
          </w:p>
          <w:p w:rsidR="002D703E" w:rsidRPr="002D703E" w:rsidRDefault="002D703E" w:rsidP="00894BC8">
            <w:pPr>
              <w:jc w:val="both"/>
              <w:rPr>
                <w:rFonts w:eastAsia="Times New Roman"/>
                <w:color w:val="000000"/>
                <w:lang w:val="id-ID" w:eastAsia="en-GB"/>
              </w:rPr>
            </w:pPr>
          </w:p>
          <w:p w:rsidR="007D4E54" w:rsidRPr="002D703E" w:rsidRDefault="00894BC8" w:rsidP="00FB5C7E">
            <w:pPr>
              <w:jc w:val="both"/>
            </w:pPr>
            <w:r w:rsidRPr="002D703E">
              <w:t>This project is an effort to develop strategies and action plan</w:t>
            </w:r>
            <w:r w:rsidRPr="002D703E">
              <w:rPr>
                <w:lang w:val="id-ID"/>
              </w:rPr>
              <w:t>s</w:t>
            </w:r>
            <w:r w:rsidRPr="002D703E">
              <w:t xml:space="preserve"> to remove the implementation barriers and institutional weakness through a multi-stakeholder process. It is assumes that once the barriers are removed and institutions are strengthen, the energy efficiency market potential shall be unlocked and create opportunities for the investment to flow into energy efficiency. The final </w:t>
            </w:r>
            <w:r w:rsidRPr="002D703E">
              <w:lastRenderedPageBreak/>
              <w:t>outcome will serve as “blue-print” and action-plan document for all stakeholders in the energy efficiency sector that will guide the measures identified by the framework and strategy to improve regulatory capacity, to be taken by government, business and consumer. This project will also compliment other initiative on energy efficiency for, such as DANIDA project for energy efficiency for building. Finally, the developing market of energy efficiency will create benefit for many stakeholders, including government, business, and consumers.</w:t>
            </w:r>
          </w:p>
        </w:tc>
      </w:tr>
    </w:tbl>
    <w:p w:rsidR="001C4482" w:rsidRPr="002D703E" w:rsidRDefault="001C4482" w:rsidP="001C4482">
      <w:pPr>
        <w:spacing w:after="0" w:line="240" w:lineRule="auto"/>
      </w:pPr>
    </w:p>
    <w:p w:rsidR="001C4482" w:rsidRPr="002D703E" w:rsidRDefault="001C4482" w:rsidP="001C4482">
      <w:pPr>
        <w:spacing w:after="0" w:line="240" w:lineRule="auto"/>
      </w:pPr>
    </w:p>
    <w:p w:rsidR="0006138E" w:rsidRPr="002D703E" w:rsidRDefault="0006138E" w:rsidP="001C4482">
      <w:pPr>
        <w:spacing w:after="0" w:line="240" w:lineRule="auto"/>
      </w:pPr>
    </w:p>
    <w:p w:rsidR="00C94678" w:rsidRPr="002D703E" w:rsidRDefault="00C94678" w:rsidP="001C4482">
      <w:pPr>
        <w:pStyle w:val="ListParagraph"/>
        <w:numPr>
          <w:ilvl w:val="0"/>
          <w:numId w:val="1"/>
        </w:numPr>
        <w:spacing w:after="0" w:line="240" w:lineRule="auto"/>
      </w:pPr>
      <w:r w:rsidRPr="002D703E">
        <w:rPr>
          <w:b/>
        </w:rPr>
        <w:t>Evaluation summary</w:t>
      </w:r>
      <w:r w:rsidRPr="002D703E">
        <w:t xml:space="preserve"> </w:t>
      </w:r>
    </w:p>
    <w:tbl>
      <w:tblPr>
        <w:tblStyle w:val="TableGrid"/>
        <w:tblW w:w="0" w:type="auto"/>
        <w:tblLook w:val="04A0"/>
      </w:tblPr>
      <w:tblGrid>
        <w:gridCol w:w="9242"/>
      </w:tblGrid>
      <w:tr w:rsidR="00C6015B" w:rsidRPr="002D703E" w:rsidTr="00C6015B">
        <w:tc>
          <w:tcPr>
            <w:tcW w:w="9242" w:type="dxa"/>
          </w:tcPr>
          <w:p w:rsidR="00192024" w:rsidRPr="002D703E" w:rsidRDefault="00C97BE7" w:rsidP="001C4482">
            <w:r w:rsidRPr="002D703E">
              <w:rPr>
                <w:b/>
              </w:rPr>
              <w:t xml:space="preserve">The </w:t>
            </w:r>
            <w:r w:rsidR="00192024" w:rsidRPr="002D703E">
              <w:rPr>
                <w:b/>
              </w:rPr>
              <w:t xml:space="preserve">Project has made good progress </w:t>
            </w:r>
            <w:r w:rsidR="00423976" w:rsidRPr="002D703E">
              <w:rPr>
                <w:b/>
              </w:rPr>
              <w:t>despite</w:t>
            </w:r>
            <w:r w:rsidR="00192024" w:rsidRPr="002D703E">
              <w:rPr>
                <w:b/>
              </w:rPr>
              <w:t xml:space="preserve"> the challenges</w:t>
            </w:r>
          </w:p>
          <w:p w:rsidR="00F00F54" w:rsidRPr="002D703E" w:rsidRDefault="00F00F54" w:rsidP="001C4482">
            <w:r w:rsidRPr="002D703E">
              <w:t xml:space="preserve">The evaluation was expanded mid way to include PPY INA 1007 – the precursor to PPY INA 1020. From the start, the project was fraught with challenges, as key leadership positions within the Ministry of Energy changed twice. </w:t>
            </w:r>
          </w:p>
          <w:p w:rsidR="00F00F54" w:rsidRPr="002D703E" w:rsidRDefault="00F00F54" w:rsidP="001C4482">
            <w:pPr>
              <w:rPr>
                <w:b/>
              </w:rPr>
            </w:pPr>
          </w:p>
          <w:p w:rsidR="008D7108" w:rsidRPr="002D703E" w:rsidRDefault="008D7108" w:rsidP="001C4482">
            <w:r w:rsidRPr="002D703E">
              <w:t>The key benefits that arose from the project include</w:t>
            </w:r>
            <w:r w:rsidR="00FB5C7E" w:rsidRPr="002D703E">
              <w:t>d</w:t>
            </w:r>
            <w:r w:rsidRPr="002D703E">
              <w:t xml:space="preserve"> better </w:t>
            </w:r>
            <w:r w:rsidR="00596747" w:rsidRPr="002D703E">
              <w:t>inter-ministerial</w:t>
            </w:r>
            <w:r w:rsidRPr="002D703E">
              <w:t xml:space="preserve"> coordination and dialogue, </w:t>
            </w:r>
            <w:r w:rsidR="00596747" w:rsidRPr="002D703E">
              <w:t xml:space="preserve">the development of </w:t>
            </w:r>
            <w:r w:rsidRPr="002D703E">
              <w:t>champions within key ministries</w:t>
            </w:r>
            <w:r w:rsidR="00596747" w:rsidRPr="002D703E">
              <w:t>,</w:t>
            </w:r>
            <w:r w:rsidRPr="002D703E">
              <w:t xml:space="preserve"> and</w:t>
            </w:r>
            <w:r w:rsidR="00596747" w:rsidRPr="002D703E">
              <w:t xml:space="preserve"> the good progress towards leveraging</w:t>
            </w:r>
            <w:r w:rsidRPr="002D703E">
              <w:t xml:space="preserve"> </w:t>
            </w:r>
            <w:r w:rsidR="00596747" w:rsidRPr="002D703E">
              <w:t xml:space="preserve">host </w:t>
            </w:r>
            <w:r w:rsidRPr="002D703E">
              <w:t>government and</w:t>
            </w:r>
            <w:r w:rsidR="00596747" w:rsidRPr="002D703E">
              <w:t xml:space="preserve"> other</w:t>
            </w:r>
            <w:r w:rsidRPr="002D703E">
              <w:t xml:space="preserve"> donor funding on Energy Efficiency.</w:t>
            </w:r>
          </w:p>
          <w:p w:rsidR="007A423E" w:rsidRPr="002D703E" w:rsidRDefault="007A423E" w:rsidP="001C4482"/>
          <w:p w:rsidR="007A423E" w:rsidRPr="006B163F" w:rsidRDefault="007A423E" w:rsidP="001C4482">
            <w:pPr>
              <w:rPr>
                <w:color w:val="000000" w:themeColor="text1"/>
              </w:rPr>
            </w:pPr>
            <w:r w:rsidRPr="006B163F">
              <w:rPr>
                <w:color w:val="000000" w:themeColor="text1"/>
              </w:rPr>
              <w:t>One key outcome was the report, funded by DFID as a result of our project</w:t>
            </w:r>
            <w:r w:rsidR="0004249C">
              <w:rPr>
                <w:color w:val="000000" w:themeColor="text1"/>
              </w:rPr>
              <w:t xml:space="preserve"> t</w:t>
            </w:r>
            <w:r w:rsidRPr="006B163F">
              <w:rPr>
                <w:color w:val="000000" w:themeColor="text1"/>
              </w:rPr>
              <w:t xml:space="preserve">hat highlighted the need for high quality energy audits as a way to show what could be saved and how </w:t>
            </w:r>
            <w:r w:rsidR="00423976" w:rsidRPr="006B163F">
              <w:rPr>
                <w:color w:val="000000" w:themeColor="text1"/>
              </w:rPr>
              <w:t>investors</w:t>
            </w:r>
            <w:r w:rsidRPr="006B163F">
              <w:rPr>
                <w:color w:val="000000" w:themeColor="text1"/>
              </w:rPr>
              <w:t xml:space="preserve"> could make money.  As a result, </w:t>
            </w:r>
            <w:r w:rsidR="00423976" w:rsidRPr="006B163F">
              <w:rPr>
                <w:color w:val="000000" w:themeColor="text1"/>
              </w:rPr>
              <w:t>The</w:t>
            </w:r>
            <w:r w:rsidR="006B163F" w:rsidRPr="006B163F">
              <w:rPr>
                <w:color w:val="000000" w:themeColor="text1"/>
              </w:rPr>
              <w:t xml:space="preserve"> French Development Agency, </w:t>
            </w:r>
            <w:r w:rsidR="00E2124F">
              <w:rPr>
                <w:color w:val="000000" w:themeColor="text1"/>
              </w:rPr>
              <w:t>(</w:t>
            </w:r>
            <w:r w:rsidRPr="006B163F">
              <w:rPr>
                <w:color w:val="000000" w:themeColor="text1"/>
              </w:rPr>
              <w:t>AFD</w:t>
            </w:r>
            <w:r w:rsidR="00E2124F">
              <w:rPr>
                <w:color w:val="000000" w:themeColor="text1"/>
              </w:rPr>
              <w:t>)</w:t>
            </w:r>
            <w:r w:rsidR="006B163F" w:rsidRPr="006B163F">
              <w:rPr>
                <w:color w:val="000000" w:themeColor="text1"/>
              </w:rPr>
              <w:t>,</w:t>
            </w:r>
            <w:r w:rsidRPr="006B163F">
              <w:rPr>
                <w:color w:val="000000" w:themeColor="text1"/>
              </w:rPr>
              <w:t xml:space="preserve"> </w:t>
            </w:r>
            <w:r w:rsidR="00423976" w:rsidRPr="006B163F">
              <w:rPr>
                <w:color w:val="000000" w:themeColor="text1"/>
              </w:rPr>
              <w:t>is</w:t>
            </w:r>
            <w:r w:rsidRPr="006B163F">
              <w:rPr>
                <w:color w:val="000000" w:themeColor="text1"/>
              </w:rPr>
              <w:t xml:space="preserve"> now trying to scale up commercial use.</w:t>
            </w:r>
          </w:p>
          <w:p w:rsidR="008D7108" w:rsidRPr="006B163F" w:rsidRDefault="008D7108" w:rsidP="001C4482">
            <w:pPr>
              <w:rPr>
                <w:color w:val="000000" w:themeColor="text1"/>
              </w:rPr>
            </w:pPr>
          </w:p>
          <w:p w:rsidR="008D7108" w:rsidRPr="002D703E" w:rsidRDefault="00A530BC" w:rsidP="001C4482">
            <w:r w:rsidRPr="002D703E">
              <w:t xml:space="preserve">The project also </w:t>
            </w:r>
            <w:r w:rsidR="001816D3" w:rsidRPr="002D703E">
              <w:t>contributed to the strong</w:t>
            </w:r>
            <w:r w:rsidRPr="002D703E">
              <w:t xml:space="preserve"> working relationship between post and Ministries. </w:t>
            </w:r>
            <w:r w:rsidR="00C97BE7" w:rsidRPr="002D703E">
              <w:t xml:space="preserve"> </w:t>
            </w:r>
            <w:r w:rsidR="00596747" w:rsidRPr="002D703E">
              <w:t xml:space="preserve">The UK is </w:t>
            </w:r>
            <w:r w:rsidR="00FB5C7E" w:rsidRPr="002D703E">
              <w:t xml:space="preserve">being </w:t>
            </w:r>
            <w:r w:rsidR="00596747" w:rsidRPr="002D703E">
              <w:t>seen as the partner of choice</w:t>
            </w:r>
            <w:r w:rsidR="001816D3" w:rsidRPr="002D703E">
              <w:t xml:space="preserve"> on energy,</w:t>
            </w:r>
            <w:r w:rsidR="00596747" w:rsidRPr="002D703E">
              <w:t xml:space="preserve"> </w:t>
            </w:r>
            <w:r w:rsidR="00FB5C7E" w:rsidRPr="002D703E">
              <w:t xml:space="preserve">which </w:t>
            </w:r>
            <w:r w:rsidR="001816D3" w:rsidRPr="002D703E">
              <w:t>has opened the door to senior level bilateral engagement.</w:t>
            </w:r>
            <w:bookmarkStart w:id="0" w:name="_GoBack"/>
            <w:bookmarkEnd w:id="0"/>
          </w:p>
          <w:p w:rsidR="00A530BC" w:rsidRPr="002D703E" w:rsidRDefault="00A530BC" w:rsidP="001C4482"/>
          <w:p w:rsidR="00103F3F" w:rsidRPr="002D703E" w:rsidRDefault="00C505AD" w:rsidP="001C4482">
            <w:pPr>
              <w:rPr>
                <w:b/>
              </w:rPr>
            </w:pPr>
            <w:r w:rsidRPr="002D703E">
              <w:rPr>
                <w:b/>
              </w:rPr>
              <w:t xml:space="preserve">But </w:t>
            </w:r>
            <w:r w:rsidR="00192024" w:rsidRPr="002D703E">
              <w:rPr>
                <w:b/>
              </w:rPr>
              <w:t xml:space="preserve">is </w:t>
            </w:r>
            <w:r w:rsidR="00C97BE7" w:rsidRPr="002D703E">
              <w:rPr>
                <w:b/>
              </w:rPr>
              <w:t xml:space="preserve">it </w:t>
            </w:r>
            <w:r w:rsidRPr="002D703E">
              <w:rPr>
                <w:b/>
              </w:rPr>
              <w:t>s</w:t>
            </w:r>
            <w:r w:rsidR="008D7108" w:rsidRPr="002D703E">
              <w:rPr>
                <w:b/>
              </w:rPr>
              <w:t>till chasing after the prize</w:t>
            </w:r>
            <w:r w:rsidR="00FB5C7E" w:rsidRPr="002D703E">
              <w:rPr>
                <w:b/>
              </w:rPr>
              <w:t>?</w:t>
            </w:r>
          </w:p>
          <w:p w:rsidR="00720D5E" w:rsidRPr="002D703E" w:rsidRDefault="00A530BC" w:rsidP="00FB5C7E">
            <w:r w:rsidRPr="002D703E">
              <w:t>1</w:t>
            </w:r>
            <w:r w:rsidR="00FB5C7E" w:rsidRPr="002D703E">
              <w:t xml:space="preserve">8 months </w:t>
            </w:r>
            <w:r w:rsidR="00EC7820" w:rsidRPr="002D703E">
              <w:t xml:space="preserve">on, key </w:t>
            </w:r>
            <w:r w:rsidR="001816D3" w:rsidRPr="002D703E">
              <w:t>initiative</w:t>
            </w:r>
            <w:r w:rsidR="00EC7820" w:rsidRPr="002D703E">
              <w:t>s are still being pursued and channelled through government.</w:t>
            </w:r>
            <w:r w:rsidR="00192024" w:rsidRPr="002D703E">
              <w:t xml:space="preserve"> </w:t>
            </w:r>
            <w:r w:rsidR="00FB5C7E" w:rsidRPr="002D703E">
              <w:t xml:space="preserve"> </w:t>
            </w:r>
            <w:r w:rsidR="001816D3" w:rsidRPr="002D703E">
              <w:t xml:space="preserve">Changes in government </w:t>
            </w:r>
            <w:r w:rsidR="00FB5C7E" w:rsidRPr="002D703E">
              <w:t>are</w:t>
            </w:r>
            <w:r w:rsidR="001816D3" w:rsidRPr="002D703E">
              <w:t xml:space="preserve"> adding to this delay</w:t>
            </w:r>
            <w:r w:rsidR="00FB5C7E" w:rsidRPr="002D703E">
              <w:t>.  B</w:t>
            </w:r>
            <w:r w:rsidR="001816D3" w:rsidRPr="002D703E">
              <w:t xml:space="preserve">ut </w:t>
            </w:r>
            <w:r w:rsidR="000D6558" w:rsidRPr="002D703E">
              <w:t>expectations are</w:t>
            </w:r>
            <w:r w:rsidR="001816D3" w:rsidRPr="002D703E">
              <w:t xml:space="preserve"> that the new administration will ta</w:t>
            </w:r>
            <w:r w:rsidR="000D6558" w:rsidRPr="002D703E">
              <w:t>ke positive action once it comes into power</w:t>
            </w:r>
            <w:r w:rsidR="001816D3" w:rsidRPr="002D703E">
              <w:t>.</w:t>
            </w:r>
          </w:p>
        </w:tc>
      </w:tr>
    </w:tbl>
    <w:p w:rsidR="00B8106D" w:rsidRPr="002D703E" w:rsidRDefault="00B8106D" w:rsidP="00B8106D">
      <w:pPr>
        <w:pStyle w:val="ListParagraph"/>
        <w:spacing w:after="0" w:line="240" w:lineRule="auto"/>
        <w:rPr>
          <w:b/>
        </w:rPr>
      </w:pPr>
    </w:p>
    <w:p w:rsidR="00B8106D" w:rsidRPr="002D703E" w:rsidRDefault="00B8106D" w:rsidP="00B8106D">
      <w:pPr>
        <w:pStyle w:val="ListParagraph"/>
        <w:spacing w:after="0" w:line="240" w:lineRule="auto"/>
        <w:rPr>
          <w:b/>
        </w:rPr>
      </w:pPr>
    </w:p>
    <w:p w:rsidR="00B8106D" w:rsidRPr="002D703E" w:rsidRDefault="00B8106D" w:rsidP="00B8106D">
      <w:pPr>
        <w:pStyle w:val="ListParagraph"/>
        <w:numPr>
          <w:ilvl w:val="0"/>
          <w:numId w:val="1"/>
        </w:numPr>
        <w:spacing w:after="0" w:line="240" w:lineRule="auto"/>
        <w:rPr>
          <w:b/>
        </w:rPr>
      </w:pPr>
      <w:r w:rsidRPr="002D703E">
        <w:rPr>
          <w:b/>
        </w:rPr>
        <w:t>Questions</w:t>
      </w:r>
    </w:p>
    <w:tbl>
      <w:tblPr>
        <w:tblStyle w:val="TableGrid"/>
        <w:tblW w:w="0" w:type="auto"/>
        <w:tblLook w:val="04A0"/>
      </w:tblPr>
      <w:tblGrid>
        <w:gridCol w:w="4644"/>
        <w:gridCol w:w="4598"/>
      </w:tblGrid>
      <w:tr w:rsidR="00B8106D" w:rsidRPr="002D703E" w:rsidTr="00B8106D">
        <w:tc>
          <w:tcPr>
            <w:tcW w:w="4644" w:type="dxa"/>
          </w:tcPr>
          <w:p w:rsidR="00B8106D" w:rsidRPr="002D703E" w:rsidRDefault="00B8106D" w:rsidP="00B8106D">
            <w:r w:rsidRPr="002D703E">
              <w:t xml:space="preserve">Did the project achieve the project purpose? </w:t>
            </w:r>
          </w:p>
        </w:tc>
        <w:tc>
          <w:tcPr>
            <w:tcW w:w="4598" w:type="dxa"/>
          </w:tcPr>
          <w:p w:rsidR="00B8106D" w:rsidRPr="002D703E" w:rsidRDefault="00720D5E" w:rsidP="00B8106D">
            <w:r w:rsidRPr="002D703E">
              <w:t>Yes</w:t>
            </w:r>
          </w:p>
        </w:tc>
      </w:tr>
      <w:tr w:rsidR="00B8106D" w:rsidRPr="002D703E" w:rsidTr="00B8106D">
        <w:tc>
          <w:tcPr>
            <w:tcW w:w="4644" w:type="dxa"/>
          </w:tcPr>
          <w:p w:rsidR="00B8106D" w:rsidRPr="002D703E" w:rsidRDefault="00B8106D" w:rsidP="00B8106D">
            <w:r w:rsidRPr="002D703E">
              <w:t>Did the project come in on budget? (Y/N)</w:t>
            </w:r>
          </w:p>
          <w:p w:rsidR="00B8106D" w:rsidRPr="002D703E" w:rsidRDefault="00B8106D" w:rsidP="00B8106D">
            <w:r w:rsidRPr="002D703E">
              <w:t xml:space="preserve">If no, why and what was the difference in cost? </w:t>
            </w:r>
          </w:p>
          <w:p w:rsidR="00B8106D" w:rsidRPr="002D703E" w:rsidRDefault="00B8106D" w:rsidP="00B8106D"/>
        </w:tc>
        <w:tc>
          <w:tcPr>
            <w:tcW w:w="4598" w:type="dxa"/>
          </w:tcPr>
          <w:p w:rsidR="00B8106D" w:rsidRPr="002D703E" w:rsidRDefault="00720D5E" w:rsidP="00B8106D">
            <w:r w:rsidRPr="002D703E">
              <w:t>No. Changes to political appointment</w:t>
            </w:r>
            <w:r w:rsidR="00596747" w:rsidRPr="002D703E">
              <w:t>s</w:t>
            </w:r>
            <w:r w:rsidRPr="002D703E">
              <w:t xml:space="preserve"> meant that certain activities were cancelled</w:t>
            </w:r>
          </w:p>
          <w:p w:rsidR="00B8106D" w:rsidRPr="002D703E" w:rsidRDefault="00B8106D" w:rsidP="00B8106D"/>
        </w:tc>
      </w:tr>
      <w:tr w:rsidR="00B8106D" w:rsidRPr="002D703E" w:rsidTr="00B8106D">
        <w:tc>
          <w:tcPr>
            <w:tcW w:w="4644" w:type="dxa"/>
          </w:tcPr>
          <w:p w:rsidR="00B8106D" w:rsidRPr="002D703E" w:rsidRDefault="00B8106D" w:rsidP="00B8106D">
            <w:r w:rsidRPr="002D703E">
              <w:t>Was the project completed on time? (Y/N)</w:t>
            </w:r>
          </w:p>
          <w:p w:rsidR="00B8106D" w:rsidRPr="002D703E" w:rsidRDefault="00B8106D" w:rsidP="00B8106D">
            <w:r w:rsidRPr="002D703E">
              <w:t>If not, why not?</w:t>
            </w:r>
          </w:p>
        </w:tc>
        <w:tc>
          <w:tcPr>
            <w:tcW w:w="4598" w:type="dxa"/>
          </w:tcPr>
          <w:p w:rsidR="00B8106D" w:rsidRPr="002D703E" w:rsidRDefault="00720D5E" w:rsidP="00B8106D">
            <w:r w:rsidRPr="002D703E">
              <w:t>Yes</w:t>
            </w:r>
          </w:p>
        </w:tc>
      </w:tr>
      <w:tr w:rsidR="00B8106D" w:rsidRPr="002D703E" w:rsidTr="00B8106D">
        <w:tc>
          <w:tcPr>
            <w:tcW w:w="4644" w:type="dxa"/>
          </w:tcPr>
          <w:p w:rsidR="00B8106D" w:rsidRPr="002D703E" w:rsidRDefault="00B8106D" w:rsidP="00B8106D">
            <w:r w:rsidRPr="002D703E">
              <w:t xml:space="preserve">Were the Project benefits sustained after project completion? </w:t>
            </w:r>
          </w:p>
        </w:tc>
        <w:tc>
          <w:tcPr>
            <w:tcW w:w="4598" w:type="dxa"/>
          </w:tcPr>
          <w:p w:rsidR="00B8106D" w:rsidRPr="002D703E" w:rsidRDefault="00720D5E" w:rsidP="00B8106D">
            <w:r w:rsidRPr="002D703E">
              <w:t>Yes</w:t>
            </w:r>
          </w:p>
        </w:tc>
      </w:tr>
    </w:tbl>
    <w:p w:rsidR="00C6015B" w:rsidRPr="002D703E" w:rsidRDefault="00C6015B" w:rsidP="001C4482">
      <w:pPr>
        <w:spacing w:after="0" w:line="240" w:lineRule="auto"/>
      </w:pPr>
    </w:p>
    <w:p w:rsidR="0025010F" w:rsidRPr="002D703E" w:rsidRDefault="00C94678" w:rsidP="0025010F">
      <w:pPr>
        <w:pStyle w:val="ListParagraph"/>
        <w:numPr>
          <w:ilvl w:val="0"/>
          <w:numId w:val="1"/>
        </w:numPr>
        <w:spacing w:after="0" w:line="240" w:lineRule="auto"/>
      </w:pPr>
      <w:r w:rsidRPr="002D703E">
        <w:rPr>
          <w:b/>
        </w:rPr>
        <w:t>Overall Red / Amber / Green rating</w:t>
      </w:r>
      <w:r w:rsidR="0025010F" w:rsidRPr="002D703E">
        <w:t xml:space="preserve"> for project </w:t>
      </w:r>
    </w:p>
    <w:p w:rsidR="00597D40" w:rsidRPr="002D703E"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61"/>
        <w:gridCol w:w="389"/>
        <w:gridCol w:w="37"/>
      </w:tblGrid>
      <w:tr w:rsidR="00597D40" w:rsidRPr="002D703E" w:rsidTr="00597D40">
        <w:trPr>
          <w:gridAfter w:val="1"/>
          <w:wAfter w:w="37" w:type="dxa"/>
          <w:trHeight w:val="113"/>
        </w:trPr>
        <w:tc>
          <w:tcPr>
            <w:tcW w:w="2798" w:type="dxa"/>
            <w:gridSpan w:val="4"/>
            <w:shd w:val="clear" w:color="auto" w:fill="FFFFFF" w:themeFill="background1"/>
          </w:tcPr>
          <w:p w:rsidR="00597D40" w:rsidRPr="002D703E" w:rsidRDefault="00597D40" w:rsidP="00597D40">
            <w:pPr>
              <w:rPr>
                <w:sz w:val="20"/>
                <w:szCs w:val="20"/>
              </w:rPr>
            </w:pPr>
            <w:r w:rsidRPr="002D703E">
              <w:rPr>
                <w:sz w:val="20"/>
                <w:szCs w:val="20"/>
              </w:rPr>
              <w:t xml:space="preserve">Overall Rating for project (put </w:t>
            </w:r>
            <w:r w:rsidRPr="002D703E">
              <w:rPr>
                <w:b/>
                <w:sz w:val="20"/>
                <w:szCs w:val="20"/>
              </w:rPr>
              <w:t xml:space="preserve">X </w:t>
            </w:r>
            <w:r w:rsidRPr="002D703E">
              <w:rPr>
                <w:sz w:val="20"/>
                <w:szCs w:val="20"/>
              </w:rPr>
              <w:t>in relevant box)</w:t>
            </w:r>
          </w:p>
        </w:tc>
      </w:tr>
      <w:tr w:rsidR="00597D40" w:rsidRPr="002D703E" w:rsidTr="00597D40">
        <w:trPr>
          <w:gridAfter w:val="1"/>
          <w:wAfter w:w="37" w:type="dxa"/>
          <w:trHeight w:val="113"/>
        </w:trPr>
        <w:tc>
          <w:tcPr>
            <w:tcW w:w="2348" w:type="dxa"/>
            <w:gridSpan w:val="2"/>
            <w:shd w:val="clear" w:color="auto" w:fill="FF0000"/>
          </w:tcPr>
          <w:p w:rsidR="00597D40" w:rsidRPr="002D703E" w:rsidRDefault="00597D40" w:rsidP="00B8106D">
            <w:pPr>
              <w:ind w:left="747" w:hanging="747"/>
              <w:rPr>
                <w:sz w:val="20"/>
                <w:szCs w:val="20"/>
              </w:rPr>
            </w:pPr>
            <w:r w:rsidRPr="002D703E">
              <w:rPr>
                <w:sz w:val="20"/>
                <w:szCs w:val="20"/>
              </w:rPr>
              <w:t>Red</w:t>
            </w:r>
          </w:p>
        </w:tc>
        <w:tc>
          <w:tcPr>
            <w:tcW w:w="450" w:type="dxa"/>
            <w:gridSpan w:val="2"/>
          </w:tcPr>
          <w:p w:rsidR="00597D40" w:rsidRPr="002D703E" w:rsidRDefault="00597D40" w:rsidP="00B8106D">
            <w:pPr>
              <w:rPr>
                <w:b/>
              </w:rPr>
            </w:pPr>
          </w:p>
        </w:tc>
      </w:tr>
      <w:tr w:rsidR="00597D40" w:rsidRPr="002D703E" w:rsidTr="00597D40">
        <w:trPr>
          <w:gridAfter w:val="1"/>
          <w:wAfter w:w="37" w:type="dxa"/>
          <w:trHeight w:val="113"/>
        </w:trPr>
        <w:tc>
          <w:tcPr>
            <w:tcW w:w="1358" w:type="dxa"/>
            <w:shd w:val="clear" w:color="auto" w:fill="FF0000"/>
          </w:tcPr>
          <w:p w:rsidR="00597D40" w:rsidRPr="002D703E" w:rsidRDefault="00597D40" w:rsidP="00B8106D">
            <w:pPr>
              <w:rPr>
                <w:sz w:val="20"/>
                <w:szCs w:val="20"/>
              </w:rPr>
            </w:pPr>
            <w:r w:rsidRPr="002D703E">
              <w:rPr>
                <w:sz w:val="20"/>
                <w:szCs w:val="20"/>
              </w:rPr>
              <w:lastRenderedPageBreak/>
              <w:t>Red</w:t>
            </w:r>
          </w:p>
        </w:tc>
        <w:tc>
          <w:tcPr>
            <w:tcW w:w="990" w:type="dxa"/>
            <w:tcBorders>
              <w:bottom w:val="nil"/>
            </w:tcBorders>
            <w:shd w:val="clear" w:color="auto" w:fill="FFFF00"/>
          </w:tcPr>
          <w:p w:rsidR="00597D40" w:rsidRPr="002D703E" w:rsidRDefault="00597D40" w:rsidP="00B8106D">
            <w:pPr>
              <w:rPr>
                <w:sz w:val="20"/>
                <w:szCs w:val="20"/>
              </w:rPr>
            </w:pPr>
            <w:r w:rsidRPr="002D703E">
              <w:rPr>
                <w:sz w:val="20"/>
                <w:szCs w:val="20"/>
              </w:rPr>
              <w:t>Amber</w:t>
            </w:r>
          </w:p>
        </w:tc>
        <w:tc>
          <w:tcPr>
            <w:tcW w:w="450" w:type="dxa"/>
            <w:gridSpan w:val="2"/>
          </w:tcPr>
          <w:p w:rsidR="00597D40" w:rsidRPr="002D703E" w:rsidRDefault="00597D40" w:rsidP="00B8106D">
            <w:pPr>
              <w:rPr>
                <w:b/>
              </w:rPr>
            </w:pPr>
          </w:p>
        </w:tc>
      </w:tr>
      <w:tr w:rsidR="0064501F" w:rsidRPr="002D703E" w:rsidTr="0064501F">
        <w:trPr>
          <w:trHeight w:val="113"/>
        </w:trPr>
        <w:tc>
          <w:tcPr>
            <w:tcW w:w="2409" w:type="dxa"/>
            <w:gridSpan w:val="3"/>
            <w:shd w:val="clear" w:color="auto" w:fill="FFFF00"/>
          </w:tcPr>
          <w:p w:rsidR="0064501F" w:rsidRPr="002D703E" w:rsidRDefault="0064501F" w:rsidP="006F3808">
            <w:pPr>
              <w:ind w:left="747" w:hanging="747"/>
              <w:rPr>
                <w:sz w:val="20"/>
                <w:szCs w:val="20"/>
              </w:rPr>
            </w:pPr>
            <w:r>
              <w:rPr>
                <w:sz w:val="20"/>
                <w:szCs w:val="20"/>
              </w:rPr>
              <w:t>Amber</w:t>
            </w:r>
          </w:p>
        </w:tc>
        <w:tc>
          <w:tcPr>
            <w:tcW w:w="426" w:type="dxa"/>
            <w:gridSpan w:val="2"/>
          </w:tcPr>
          <w:p w:rsidR="0064501F" w:rsidRPr="002D703E" w:rsidRDefault="0064501F" w:rsidP="006F3808">
            <w:pPr>
              <w:rPr>
                <w:b/>
              </w:rPr>
            </w:pPr>
            <w:r>
              <w:rPr>
                <w:b/>
              </w:rPr>
              <w:t>X</w:t>
            </w:r>
          </w:p>
        </w:tc>
      </w:tr>
      <w:tr w:rsidR="0064501F" w:rsidRPr="002D703E" w:rsidTr="00597D40">
        <w:trPr>
          <w:gridAfter w:val="1"/>
          <w:wAfter w:w="37" w:type="dxa"/>
          <w:trHeight w:val="113"/>
        </w:trPr>
        <w:tc>
          <w:tcPr>
            <w:tcW w:w="1358" w:type="dxa"/>
            <w:shd w:val="clear" w:color="auto" w:fill="FFFF00"/>
          </w:tcPr>
          <w:p w:rsidR="0064501F" w:rsidRPr="002D703E" w:rsidRDefault="0064501F" w:rsidP="00B8106D">
            <w:pPr>
              <w:rPr>
                <w:sz w:val="20"/>
                <w:szCs w:val="20"/>
              </w:rPr>
            </w:pPr>
            <w:r w:rsidRPr="002D703E">
              <w:rPr>
                <w:sz w:val="20"/>
                <w:szCs w:val="20"/>
              </w:rPr>
              <w:t>Amber</w:t>
            </w:r>
          </w:p>
        </w:tc>
        <w:tc>
          <w:tcPr>
            <w:tcW w:w="990" w:type="dxa"/>
            <w:shd w:val="clear" w:color="auto" w:fill="00FF00"/>
          </w:tcPr>
          <w:p w:rsidR="0064501F" w:rsidRPr="002D703E" w:rsidRDefault="0064501F" w:rsidP="00B8106D">
            <w:pPr>
              <w:rPr>
                <w:sz w:val="20"/>
                <w:szCs w:val="20"/>
              </w:rPr>
            </w:pPr>
            <w:r w:rsidRPr="002D703E">
              <w:rPr>
                <w:sz w:val="20"/>
                <w:szCs w:val="20"/>
              </w:rPr>
              <w:t>Green</w:t>
            </w:r>
          </w:p>
        </w:tc>
        <w:tc>
          <w:tcPr>
            <w:tcW w:w="450" w:type="dxa"/>
            <w:gridSpan w:val="2"/>
          </w:tcPr>
          <w:p w:rsidR="0064501F" w:rsidRPr="002D703E" w:rsidRDefault="0064501F" w:rsidP="00B8106D">
            <w:pPr>
              <w:rPr>
                <w:b/>
              </w:rPr>
            </w:pPr>
          </w:p>
        </w:tc>
      </w:tr>
      <w:tr w:rsidR="0064501F" w:rsidRPr="002D703E" w:rsidTr="00597D40">
        <w:trPr>
          <w:gridAfter w:val="1"/>
          <w:wAfter w:w="37" w:type="dxa"/>
          <w:trHeight w:val="113"/>
        </w:trPr>
        <w:tc>
          <w:tcPr>
            <w:tcW w:w="2348" w:type="dxa"/>
            <w:gridSpan w:val="2"/>
            <w:shd w:val="clear" w:color="auto" w:fill="00FF00"/>
          </w:tcPr>
          <w:p w:rsidR="0064501F" w:rsidRPr="002D703E" w:rsidRDefault="0064501F" w:rsidP="00B8106D">
            <w:pPr>
              <w:rPr>
                <w:sz w:val="20"/>
                <w:szCs w:val="20"/>
              </w:rPr>
            </w:pPr>
            <w:r w:rsidRPr="002D703E">
              <w:rPr>
                <w:sz w:val="20"/>
                <w:szCs w:val="20"/>
              </w:rPr>
              <w:t>Green</w:t>
            </w:r>
          </w:p>
        </w:tc>
        <w:tc>
          <w:tcPr>
            <w:tcW w:w="450" w:type="dxa"/>
            <w:gridSpan w:val="2"/>
          </w:tcPr>
          <w:p w:rsidR="0064501F" w:rsidRPr="002D703E" w:rsidRDefault="0064501F" w:rsidP="00B8106D">
            <w:pPr>
              <w:rPr>
                <w:b/>
              </w:rPr>
            </w:pPr>
          </w:p>
        </w:tc>
      </w:tr>
    </w:tbl>
    <w:p w:rsidR="00597D40" w:rsidRPr="002D703E" w:rsidRDefault="00597D40" w:rsidP="001C4482">
      <w:pPr>
        <w:spacing w:after="0" w:line="240" w:lineRule="auto"/>
      </w:pPr>
    </w:p>
    <w:p w:rsidR="00597D40" w:rsidRPr="002D703E" w:rsidRDefault="00597D40" w:rsidP="00597D40">
      <w:pPr>
        <w:pStyle w:val="ListParagraph"/>
        <w:spacing w:after="0" w:line="240" w:lineRule="auto"/>
        <w:rPr>
          <w:u w:val="single"/>
        </w:rPr>
      </w:pPr>
      <w:r w:rsidRPr="002D703E">
        <w:rPr>
          <w:u w:val="single"/>
        </w:rPr>
        <w:t>Guide to overall rating:</w:t>
      </w:r>
    </w:p>
    <w:p w:rsidR="00597D40" w:rsidRPr="002D703E" w:rsidRDefault="00597D40" w:rsidP="00597D40">
      <w:pPr>
        <w:pStyle w:val="ListParagraph"/>
        <w:spacing w:after="0" w:line="240" w:lineRule="auto"/>
      </w:pPr>
      <w:r w:rsidRPr="002D703E">
        <w:t xml:space="preserve">Green-  project </w:t>
      </w:r>
      <w:r w:rsidR="00B8106D" w:rsidRPr="002D703E">
        <w:t xml:space="preserve">performed well </w:t>
      </w:r>
      <w:r w:rsidR="001E4ADB" w:rsidRPr="002D703E">
        <w:t xml:space="preserve">under each of the </w:t>
      </w:r>
      <w:r w:rsidR="00B8106D" w:rsidRPr="002D703E">
        <w:t>evaluation criteria: relevance, efficiency, effectiveness, sustainability, impact and management</w:t>
      </w:r>
    </w:p>
    <w:p w:rsidR="00597D40" w:rsidRPr="002D703E" w:rsidRDefault="00B8106D" w:rsidP="00597D40">
      <w:pPr>
        <w:pStyle w:val="ListParagraph"/>
        <w:spacing w:after="0" w:line="240" w:lineRule="auto"/>
      </w:pPr>
      <w:r w:rsidRPr="002D703E">
        <w:t xml:space="preserve">Green/Amber – project performed well </w:t>
      </w:r>
      <w:r w:rsidR="001E4ADB" w:rsidRPr="002D703E">
        <w:t>under</w:t>
      </w:r>
      <w:r w:rsidRPr="002D703E">
        <w:t xml:space="preserve"> most criteria</w:t>
      </w:r>
      <w:r w:rsidR="001E4ADB" w:rsidRPr="002D703E">
        <w:t xml:space="preserve"> and adequately in others</w:t>
      </w:r>
    </w:p>
    <w:p w:rsidR="00597D40" w:rsidRPr="002D703E" w:rsidRDefault="00597D40" w:rsidP="00597D40">
      <w:pPr>
        <w:pStyle w:val="ListParagraph"/>
        <w:spacing w:after="0" w:line="240" w:lineRule="auto"/>
      </w:pPr>
      <w:r w:rsidRPr="002D703E">
        <w:t xml:space="preserve">Amber/Red – project </w:t>
      </w:r>
      <w:r w:rsidR="00B8106D" w:rsidRPr="002D703E">
        <w:t xml:space="preserve">performed </w:t>
      </w:r>
      <w:r w:rsidR="001E4ADB" w:rsidRPr="002D703E">
        <w:t>adequately</w:t>
      </w:r>
      <w:r w:rsidR="00B8106D" w:rsidRPr="002D703E">
        <w:t xml:space="preserve"> </w:t>
      </w:r>
      <w:r w:rsidR="001E4ADB" w:rsidRPr="002D703E">
        <w:t>under</w:t>
      </w:r>
      <w:r w:rsidR="00B8106D" w:rsidRPr="002D703E">
        <w:t xml:space="preserve"> some criteria</w:t>
      </w:r>
      <w:r w:rsidRPr="002D703E">
        <w:t xml:space="preserve"> </w:t>
      </w:r>
      <w:r w:rsidR="001E4ADB" w:rsidRPr="002D703E">
        <w:t>but poorly in others</w:t>
      </w:r>
    </w:p>
    <w:p w:rsidR="00597D40" w:rsidRPr="002D703E" w:rsidRDefault="00597D40" w:rsidP="00597D40">
      <w:pPr>
        <w:pStyle w:val="ListParagraph"/>
        <w:spacing w:after="0" w:line="240" w:lineRule="auto"/>
      </w:pPr>
      <w:r w:rsidRPr="002D703E">
        <w:t xml:space="preserve">Red – </w:t>
      </w:r>
      <w:r w:rsidR="00B8106D" w:rsidRPr="002D703E">
        <w:t xml:space="preserve">project </w:t>
      </w:r>
      <w:r w:rsidR="001E4ADB" w:rsidRPr="002D703E">
        <w:t>performed poorly under most</w:t>
      </w:r>
      <w:r w:rsidR="00B8106D" w:rsidRPr="002D703E">
        <w:t xml:space="preserve"> criteria</w:t>
      </w:r>
    </w:p>
    <w:p w:rsidR="00597D40" w:rsidRPr="002D703E" w:rsidRDefault="00597D40" w:rsidP="001C4482">
      <w:pPr>
        <w:spacing w:after="0" w:line="240" w:lineRule="auto"/>
      </w:pPr>
    </w:p>
    <w:p w:rsidR="00F23B01" w:rsidRPr="002D703E" w:rsidRDefault="00F23B01" w:rsidP="001C4482">
      <w:pPr>
        <w:spacing w:after="0" w:line="240" w:lineRule="auto"/>
      </w:pPr>
    </w:p>
    <w:p w:rsidR="0043665C" w:rsidRPr="002D703E" w:rsidRDefault="00E50276" w:rsidP="001C4482">
      <w:pPr>
        <w:pStyle w:val="ListParagraph"/>
        <w:numPr>
          <w:ilvl w:val="0"/>
          <w:numId w:val="1"/>
        </w:numPr>
        <w:spacing w:after="0" w:line="240" w:lineRule="auto"/>
        <w:rPr>
          <w:b/>
        </w:rPr>
      </w:pPr>
      <w:r w:rsidRPr="002D703E">
        <w:rPr>
          <w:b/>
        </w:rPr>
        <w:t xml:space="preserve">Top 5 </w:t>
      </w:r>
      <w:r w:rsidR="001C4482" w:rsidRPr="002D703E">
        <w:rPr>
          <w:b/>
        </w:rPr>
        <w:t xml:space="preserve">Lessons learned </w:t>
      </w:r>
    </w:p>
    <w:tbl>
      <w:tblPr>
        <w:tblStyle w:val="TableGrid"/>
        <w:tblW w:w="0" w:type="auto"/>
        <w:tblLook w:val="04A0"/>
      </w:tblPr>
      <w:tblGrid>
        <w:gridCol w:w="9242"/>
      </w:tblGrid>
      <w:tr w:rsidR="0043665C" w:rsidRPr="002D703E" w:rsidTr="0043665C">
        <w:tc>
          <w:tcPr>
            <w:tcW w:w="9242" w:type="dxa"/>
          </w:tcPr>
          <w:p w:rsidR="0043665C" w:rsidRPr="002D703E" w:rsidRDefault="00720D5E" w:rsidP="00FB5C7E">
            <w:pPr>
              <w:pStyle w:val="ListParagraph"/>
              <w:numPr>
                <w:ilvl w:val="0"/>
                <w:numId w:val="5"/>
              </w:numPr>
            </w:pPr>
            <w:r w:rsidRPr="002D703E">
              <w:t xml:space="preserve">Working with Government </w:t>
            </w:r>
            <w:r w:rsidR="00FB5C7E" w:rsidRPr="002D703E">
              <w:t xml:space="preserve">is </w:t>
            </w:r>
            <w:r w:rsidRPr="002D703E">
              <w:t>the best way to enact policy change</w:t>
            </w:r>
          </w:p>
          <w:p w:rsidR="00720D5E" w:rsidRPr="002D703E" w:rsidRDefault="00720D5E" w:rsidP="001C4482"/>
          <w:p w:rsidR="00122C12" w:rsidRPr="002D703E" w:rsidRDefault="00BF4C77" w:rsidP="00FB5C7E">
            <w:pPr>
              <w:pStyle w:val="ListParagraph"/>
              <w:numPr>
                <w:ilvl w:val="0"/>
                <w:numId w:val="5"/>
              </w:numPr>
            </w:pPr>
            <w:r w:rsidRPr="002D703E">
              <w:t xml:space="preserve">Issues involved are highly complex and inter-related. </w:t>
            </w:r>
            <w:r w:rsidR="00C97BE7" w:rsidRPr="002D703E">
              <w:t xml:space="preserve"> </w:t>
            </w:r>
            <w:r w:rsidRPr="002D703E">
              <w:t>A long game</w:t>
            </w:r>
            <w:r w:rsidR="00596747" w:rsidRPr="002D703E">
              <w:t xml:space="preserve"> strategy is required.</w:t>
            </w:r>
            <w:r w:rsidRPr="002D703E">
              <w:t xml:space="preserve"> </w:t>
            </w:r>
          </w:p>
          <w:p w:rsidR="00BF4C77" w:rsidRPr="002D703E" w:rsidRDefault="00BF4C77" w:rsidP="001C4482"/>
          <w:p w:rsidR="00BF4C77" w:rsidRPr="002D703E" w:rsidRDefault="00596747" w:rsidP="00FB5C7E">
            <w:pPr>
              <w:pStyle w:val="ListParagraph"/>
              <w:numPr>
                <w:ilvl w:val="0"/>
                <w:numId w:val="5"/>
              </w:numPr>
            </w:pPr>
            <w:r w:rsidRPr="002D703E">
              <w:t>Nurturing</w:t>
            </w:r>
            <w:r w:rsidR="00BF4C77" w:rsidRPr="002D703E">
              <w:t xml:space="preserve"> strong rel</w:t>
            </w:r>
            <w:r w:rsidRPr="002D703E">
              <w:t xml:space="preserve">ationships </w:t>
            </w:r>
            <w:r w:rsidR="00FB5C7E" w:rsidRPr="002D703E">
              <w:t xml:space="preserve">are </w:t>
            </w:r>
            <w:r w:rsidRPr="002D703E">
              <w:t>the key to realis</w:t>
            </w:r>
            <w:r w:rsidR="007E574C">
              <w:t>ing</w:t>
            </w:r>
            <w:r w:rsidRPr="002D703E">
              <w:t xml:space="preserve"> unintended </w:t>
            </w:r>
            <w:r w:rsidR="00BF4C77" w:rsidRPr="002D703E">
              <w:t>long term benefits</w:t>
            </w:r>
          </w:p>
          <w:p w:rsidR="007D4E54" w:rsidRPr="002D703E" w:rsidRDefault="007D4E54" w:rsidP="001C4482"/>
          <w:p w:rsidR="007D4E54" w:rsidRPr="002D703E" w:rsidRDefault="007F2670" w:rsidP="00FB5C7E">
            <w:pPr>
              <w:pStyle w:val="ListParagraph"/>
              <w:numPr>
                <w:ilvl w:val="0"/>
                <w:numId w:val="5"/>
              </w:numPr>
            </w:pPr>
            <w:r w:rsidRPr="002D703E">
              <w:t>P</w:t>
            </w:r>
            <w:r w:rsidR="00FB5C7E" w:rsidRPr="002D703E">
              <w:t xml:space="preserve">rosperity Fund </w:t>
            </w:r>
            <w:r w:rsidRPr="002D703E">
              <w:t>projects can play a niche role in facilitating access to larger amounts of finance</w:t>
            </w:r>
          </w:p>
          <w:p w:rsidR="00BF4C77" w:rsidRPr="002D703E" w:rsidRDefault="00BF4C77" w:rsidP="001C4482"/>
          <w:p w:rsidR="007D4E54" w:rsidRPr="002D703E" w:rsidRDefault="00BF4C77" w:rsidP="00FB5C7E">
            <w:pPr>
              <w:pStyle w:val="ListParagraph"/>
              <w:numPr>
                <w:ilvl w:val="0"/>
                <w:numId w:val="5"/>
              </w:numPr>
            </w:pPr>
            <w:r w:rsidRPr="002D703E">
              <w:t>Agile and light touch administration is a key strength of the P</w:t>
            </w:r>
            <w:r w:rsidR="00FB5C7E" w:rsidRPr="002D703E">
              <w:t xml:space="preserve">rosperity </w:t>
            </w:r>
            <w:r w:rsidRPr="002D703E">
              <w:t>F</w:t>
            </w:r>
            <w:r w:rsidR="00FB5C7E" w:rsidRPr="002D703E">
              <w:t>und</w:t>
            </w:r>
          </w:p>
          <w:p w:rsidR="0043665C" w:rsidRPr="002D703E" w:rsidRDefault="0043665C" w:rsidP="001C4482"/>
        </w:tc>
      </w:tr>
    </w:tbl>
    <w:p w:rsidR="0043665C" w:rsidRPr="002D703E" w:rsidRDefault="0043665C" w:rsidP="001C4482">
      <w:pPr>
        <w:spacing w:after="0" w:line="240" w:lineRule="auto"/>
      </w:pPr>
    </w:p>
    <w:p w:rsidR="00122C12" w:rsidRPr="002D703E" w:rsidRDefault="00A366DB" w:rsidP="001C4482">
      <w:pPr>
        <w:pStyle w:val="ListParagraph"/>
        <w:numPr>
          <w:ilvl w:val="0"/>
          <w:numId w:val="1"/>
        </w:numPr>
        <w:spacing w:after="0" w:line="240" w:lineRule="auto"/>
        <w:rPr>
          <w:b/>
        </w:rPr>
      </w:pPr>
      <w:r w:rsidRPr="002D703E">
        <w:rPr>
          <w:b/>
        </w:rPr>
        <w:t xml:space="preserve">Recommendations for future projects </w:t>
      </w:r>
    </w:p>
    <w:tbl>
      <w:tblPr>
        <w:tblStyle w:val="TableGrid"/>
        <w:tblW w:w="0" w:type="auto"/>
        <w:tblLook w:val="04A0"/>
      </w:tblPr>
      <w:tblGrid>
        <w:gridCol w:w="9242"/>
      </w:tblGrid>
      <w:tr w:rsidR="00A366DB" w:rsidRPr="000F6C0F" w:rsidTr="00A366DB">
        <w:tc>
          <w:tcPr>
            <w:tcW w:w="9242" w:type="dxa"/>
          </w:tcPr>
          <w:p w:rsidR="00A366DB" w:rsidRPr="002D703E" w:rsidRDefault="00720D5E" w:rsidP="00FB5C7E">
            <w:pPr>
              <w:pStyle w:val="ListParagraph"/>
              <w:numPr>
                <w:ilvl w:val="0"/>
                <w:numId w:val="6"/>
              </w:numPr>
            </w:pPr>
            <w:r w:rsidRPr="002D703E">
              <w:t>Strong interest from the Ministry of Energy for pilot projects on Energy Efficiency</w:t>
            </w:r>
          </w:p>
          <w:p w:rsidR="00596747" w:rsidRPr="002D703E" w:rsidRDefault="00596747" w:rsidP="001C4482"/>
          <w:p w:rsidR="00596747" w:rsidRPr="002D703E" w:rsidRDefault="00596747" w:rsidP="00FB5C7E">
            <w:pPr>
              <w:pStyle w:val="ListParagraph"/>
              <w:numPr>
                <w:ilvl w:val="0"/>
                <w:numId w:val="6"/>
              </w:numPr>
            </w:pPr>
            <w:r w:rsidRPr="002D703E">
              <w:t xml:space="preserve">Ministry of Energy mentioned that they </w:t>
            </w:r>
            <w:r w:rsidR="00423976" w:rsidRPr="002D703E">
              <w:t>would</w:t>
            </w:r>
            <w:r w:rsidRPr="002D703E">
              <w:t xml:space="preserve"> welcome continued support from UK C</w:t>
            </w:r>
            <w:r w:rsidR="00C97BE7" w:rsidRPr="002D703E">
              <w:t xml:space="preserve">limate </w:t>
            </w:r>
            <w:r w:rsidRPr="002D703E">
              <w:t>C</w:t>
            </w:r>
            <w:r w:rsidR="00C97BE7" w:rsidRPr="002D703E">
              <w:t xml:space="preserve">hange </w:t>
            </w:r>
            <w:r w:rsidRPr="002D703E">
              <w:t>U</w:t>
            </w:r>
            <w:r w:rsidR="00C97BE7" w:rsidRPr="002D703E">
              <w:t>nit</w:t>
            </w:r>
            <w:r w:rsidRPr="002D703E">
              <w:t xml:space="preserve"> on I</w:t>
            </w:r>
            <w:r w:rsidR="00C97BE7" w:rsidRPr="002D703E">
              <w:t xml:space="preserve">nvestment </w:t>
            </w:r>
            <w:r w:rsidRPr="002D703E">
              <w:t>G</w:t>
            </w:r>
            <w:r w:rsidR="00C97BE7" w:rsidRPr="002D703E">
              <w:t xml:space="preserve">rade Audits </w:t>
            </w:r>
            <w:r w:rsidRPr="002D703E">
              <w:t xml:space="preserve">and with re-starting the discussion with </w:t>
            </w:r>
            <w:r w:rsidR="00D12608" w:rsidRPr="000F6C0F">
              <w:t xml:space="preserve">The Fiscal Policy Agency of the Ministry of Finance (Biro </w:t>
            </w:r>
            <w:proofErr w:type="spellStart"/>
            <w:r w:rsidR="00D12608" w:rsidRPr="000F6C0F">
              <w:t>Kebijakan</w:t>
            </w:r>
            <w:proofErr w:type="spellEnd"/>
            <w:r w:rsidR="00D12608" w:rsidRPr="000F6C0F">
              <w:t xml:space="preserve"> </w:t>
            </w:r>
            <w:proofErr w:type="spellStart"/>
            <w:r w:rsidR="00D12608" w:rsidRPr="000F6C0F">
              <w:t>Fiskal</w:t>
            </w:r>
            <w:proofErr w:type="spellEnd"/>
            <w:r w:rsidR="00D12608" w:rsidRPr="000F6C0F">
              <w:t>, BKF</w:t>
            </w:r>
            <w:r w:rsidR="000076CB" w:rsidRPr="000F6C0F">
              <w:t>) on</w:t>
            </w:r>
            <w:r w:rsidRPr="000F6C0F">
              <w:t xml:space="preserve"> the E</w:t>
            </w:r>
            <w:r w:rsidR="00C97BE7" w:rsidRPr="000F6C0F">
              <w:t>nergy</w:t>
            </w:r>
            <w:r w:rsidR="00C97BE7" w:rsidRPr="002D703E">
              <w:t xml:space="preserve"> </w:t>
            </w:r>
            <w:r w:rsidR="00423976" w:rsidRPr="002D703E">
              <w:t>Efficiency</w:t>
            </w:r>
            <w:r w:rsidR="00C97BE7" w:rsidRPr="002D703E">
              <w:t xml:space="preserve"> </w:t>
            </w:r>
            <w:r w:rsidRPr="002D703E">
              <w:t>R</w:t>
            </w:r>
            <w:r w:rsidR="00C97BE7" w:rsidRPr="002D703E">
              <w:t xml:space="preserve">evolving </w:t>
            </w:r>
            <w:r w:rsidRPr="002D703E">
              <w:t>F</w:t>
            </w:r>
            <w:r w:rsidR="00C97BE7" w:rsidRPr="002D703E">
              <w:t>und (EERF)</w:t>
            </w:r>
            <w:r w:rsidRPr="002D703E">
              <w:t>.</w:t>
            </w:r>
          </w:p>
          <w:p w:rsidR="007A423E" w:rsidRPr="006B163F" w:rsidRDefault="007A423E" w:rsidP="007A423E">
            <w:pPr>
              <w:pStyle w:val="ListParagraph"/>
              <w:rPr>
                <w:color w:val="000000" w:themeColor="text1"/>
              </w:rPr>
            </w:pPr>
          </w:p>
          <w:p w:rsidR="00A366DB" w:rsidRPr="000F6C0F" w:rsidRDefault="007A423E" w:rsidP="000F6C0F">
            <w:pPr>
              <w:pStyle w:val="ListParagraph"/>
              <w:numPr>
                <w:ilvl w:val="0"/>
                <w:numId w:val="6"/>
              </w:numPr>
              <w:rPr>
                <w:color w:val="000000" w:themeColor="text1"/>
              </w:rPr>
            </w:pPr>
            <w:r w:rsidRPr="000F6C0F">
              <w:rPr>
                <w:color w:val="000000" w:themeColor="text1"/>
              </w:rPr>
              <w:t>Post may wish to see in the light of significant funding from DECC to the Revolving Fund what other niche areas Post can continue to make a contribution.</w:t>
            </w:r>
            <w:r w:rsidR="000F6C0F" w:rsidRPr="000F6C0F">
              <w:rPr>
                <w:color w:val="000000" w:themeColor="text1"/>
              </w:rPr>
              <w:t xml:space="preserve"> </w:t>
            </w:r>
          </w:p>
        </w:tc>
      </w:tr>
    </w:tbl>
    <w:p w:rsidR="00122C12" w:rsidRPr="000F6C0F" w:rsidRDefault="00122C12" w:rsidP="001C4482">
      <w:pPr>
        <w:spacing w:after="0" w:line="240" w:lineRule="auto"/>
        <w:rPr>
          <w:color w:val="000000" w:themeColor="text1"/>
        </w:rPr>
      </w:pPr>
    </w:p>
    <w:p w:rsidR="007C3AB5" w:rsidRPr="000F6C0F" w:rsidRDefault="007C3AB5" w:rsidP="007C3AB5">
      <w:pPr>
        <w:spacing w:after="0" w:line="240" w:lineRule="auto"/>
        <w:rPr>
          <w:color w:val="000000" w:themeColor="text1"/>
        </w:rPr>
      </w:pPr>
    </w:p>
    <w:p w:rsidR="007C3AB5" w:rsidRPr="000F6C0F" w:rsidRDefault="007C3AB5" w:rsidP="00255133">
      <w:pPr>
        <w:rPr>
          <w:color w:val="000000" w:themeColor="text1"/>
        </w:rPr>
      </w:pPr>
    </w:p>
    <w:sectPr w:rsidR="007C3AB5" w:rsidRPr="000F6C0F" w:rsidSect="00A129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EA" w:rsidRDefault="009E5CEA" w:rsidP="003B3259">
      <w:pPr>
        <w:spacing w:after="0" w:line="240" w:lineRule="auto"/>
      </w:pPr>
      <w:r>
        <w:separator/>
      </w:r>
    </w:p>
  </w:endnote>
  <w:endnote w:type="continuationSeparator" w:id="0">
    <w:p w:rsidR="009E5CEA" w:rsidRDefault="009E5CEA"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A" w:rsidRDefault="009E5CEA">
    <w:pPr>
      <w:pStyle w:val="Footer"/>
    </w:pPr>
  </w:p>
  <w:p w:rsidR="009E5CEA" w:rsidRPr="003B3259" w:rsidRDefault="00EC0794" w:rsidP="003B3259">
    <w:pPr>
      <w:pStyle w:val="Footer"/>
      <w:spacing w:before="120"/>
      <w:jc w:val="right"/>
      <w:rPr>
        <w:rFonts w:ascii="Arial" w:hAnsi="Arial" w:cs="Arial"/>
        <w:sz w:val="12"/>
      </w:rPr>
    </w:pPr>
    <w:fldSimple w:instr=" FILENAME \p \* MERGEFORMAT ">
      <w:r w:rsidR="00B51A72" w:rsidRPr="00B51A72">
        <w:rPr>
          <w:rFonts w:ascii="Arial" w:hAnsi="Arial" w:cs="Arial"/>
          <w:noProof/>
          <w:sz w:val="12"/>
        </w:rPr>
        <w:t>C</w:t>
      </w:r>
      <w:r w:rsidR="00B51A72">
        <w:rPr>
          <w:noProof/>
        </w:rPr>
        <w:t>:\Users\acowan\AppData\Local\Microsoft\Windows\Temporary Internet Files\Outlook Temp\Evaluation Report PPY INA 1020_final.docx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A" w:rsidRDefault="009E5CEA">
    <w:pPr>
      <w:pStyle w:val="Footer"/>
    </w:pPr>
  </w:p>
  <w:p w:rsidR="009E5CEA" w:rsidRPr="003B3259" w:rsidRDefault="009E5CEA"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A" w:rsidRDefault="009E5CEA">
    <w:pPr>
      <w:pStyle w:val="Footer"/>
    </w:pPr>
  </w:p>
  <w:p w:rsidR="009E5CEA" w:rsidRPr="003B3259" w:rsidRDefault="00EC0794" w:rsidP="003B3259">
    <w:pPr>
      <w:pStyle w:val="Footer"/>
      <w:spacing w:before="120"/>
      <w:jc w:val="right"/>
      <w:rPr>
        <w:rFonts w:ascii="Arial" w:hAnsi="Arial" w:cs="Arial"/>
        <w:sz w:val="12"/>
      </w:rPr>
    </w:pPr>
    <w:fldSimple w:instr=" FILENAME \p \* MERGEFORMAT ">
      <w:r w:rsidR="00B51A72" w:rsidRPr="00B51A72">
        <w:rPr>
          <w:rFonts w:ascii="Arial" w:hAnsi="Arial" w:cs="Arial"/>
          <w:noProof/>
          <w:sz w:val="12"/>
        </w:rPr>
        <w:t>C</w:t>
      </w:r>
      <w:r w:rsidR="00B51A72">
        <w:rPr>
          <w:noProof/>
        </w:rPr>
        <w:t>:\Users\acowan\AppData\Local\Microsoft\Windows\Temporary Internet Files\Outlook Temp\Evaluation Report PPY INA 1020_final.docx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EA" w:rsidRDefault="009E5CEA" w:rsidP="003B3259">
      <w:pPr>
        <w:spacing w:after="0" w:line="240" w:lineRule="auto"/>
      </w:pPr>
      <w:r>
        <w:separator/>
      </w:r>
    </w:p>
  </w:footnote>
  <w:footnote w:type="continuationSeparator" w:id="0">
    <w:p w:rsidR="009E5CEA" w:rsidRDefault="009E5CEA"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A" w:rsidRDefault="009E5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A" w:rsidRDefault="009E5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A" w:rsidRDefault="009E5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3B"/>
    <w:multiLevelType w:val="hybridMultilevel"/>
    <w:tmpl w:val="2168D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67513"/>
    <w:multiLevelType w:val="hybridMultilevel"/>
    <w:tmpl w:val="7A188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9C1090"/>
    <w:multiLevelType w:val="hybridMultilevel"/>
    <w:tmpl w:val="438EF7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F56BE3"/>
    <w:multiLevelType w:val="hybridMultilevel"/>
    <w:tmpl w:val="5EC8A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7A6765"/>
    <w:multiLevelType w:val="hybridMultilevel"/>
    <w:tmpl w:val="2A5086B4"/>
    <w:lvl w:ilvl="0" w:tplc="0809000F">
      <w:start w:val="1"/>
      <w:numFmt w:val="decimal"/>
      <w:lvlText w:val="%1."/>
      <w:lvlJc w:val="left"/>
      <w:pPr>
        <w:ind w:left="48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1644F8"/>
    <w:multiLevelType w:val="hybridMultilevel"/>
    <w:tmpl w:val="59EE9C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FE6F57"/>
    <w:multiLevelType w:val="hybridMultilevel"/>
    <w:tmpl w:val="61B82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0E2EC2"/>
    <w:multiLevelType w:val="hybridMultilevel"/>
    <w:tmpl w:val="E9E23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
  </w:num>
  <w:num w:numId="6">
    <w:abstractNumId w:val="11"/>
  </w:num>
  <w:num w:numId="7">
    <w:abstractNumId w:val="7"/>
  </w:num>
  <w:num w:numId="8">
    <w:abstractNumId w:val="10"/>
  </w:num>
  <w:num w:numId="9">
    <w:abstractNumId w:val="9"/>
  </w:num>
  <w:num w:numId="10">
    <w:abstractNumId w:val="6"/>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040FE"/>
    <w:rsid w:val="000076CB"/>
    <w:rsid w:val="0002184B"/>
    <w:rsid w:val="00027F14"/>
    <w:rsid w:val="0004249C"/>
    <w:rsid w:val="00045BE9"/>
    <w:rsid w:val="00045CE3"/>
    <w:rsid w:val="00050ACA"/>
    <w:rsid w:val="0006138E"/>
    <w:rsid w:val="00061BFC"/>
    <w:rsid w:val="00073B49"/>
    <w:rsid w:val="000766F1"/>
    <w:rsid w:val="00084AAE"/>
    <w:rsid w:val="00096597"/>
    <w:rsid w:val="000A00C7"/>
    <w:rsid w:val="000C2D6B"/>
    <w:rsid w:val="000D6558"/>
    <w:rsid w:val="000F6C0F"/>
    <w:rsid w:val="00103F3F"/>
    <w:rsid w:val="00113F70"/>
    <w:rsid w:val="00122C12"/>
    <w:rsid w:val="001263CE"/>
    <w:rsid w:val="00131B30"/>
    <w:rsid w:val="00141B32"/>
    <w:rsid w:val="00143F78"/>
    <w:rsid w:val="00153A92"/>
    <w:rsid w:val="00155BEB"/>
    <w:rsid w:val="0016121A"/>
    <w:rsid w:val="001816D3"/>
    <w:rsid w:val="00192024"/>
    <w:rsid w:val="001C4482"/>
    <w:rsid w:val="001D6699"/>
    <w:rsid w:val="001D6BEF"/>
    <w:rsid w:val="001E4ADB"/>
    <w:rsid w:val="001F1F14"/>
    <w:rsid w:val="00201E3C"/>
    <w:rsid w:val="0020308B"/>
    <w:rsid w:val="00206890"/>
    <w:rsid w:val="00211532"/>
    <w:rsid w:val="00243DFC"/>
    <w:rsid w:val="002452D0"/>
    <w:rsid w:val="0025010F"/>
    <w:rsid w:val="00255133"/>
    <w:rsid w:val="0026288B"/>
    <w:rsid w:val="00262B9E"/>
    <w:rsid w:val="00277D4E"/>
    <w:rsid w:val="00283417"/>
    <w:rsid w:val="0028590B"/>
    <w:rsid w:val="00294984"/>
    <w:rsid w:val="00295C37"/>
    <w:rsid w:val="002A5A27"/>
    <w:rsid w:val="002C5B04"/>
    <w:rsid w:val="002C6E65"/>
    <w:rsid w:val="002D703E"/>
    <w:rsid w:val="002E00C3"/>
    <w:rsid w:val="00310067"/>
    <w:rsid w:val="00317511"/>
    <w:rsid w:val="00317B13"/>
    <w:rsid w:val="003341D8"/>
    <w:rsid w:val="003445CE"/>
    <w:rsid w:val="003666D7"/>
    <w:rsid w:val="0036741A"/>
    <w:rsid w:val="0037482B"/>
    <w:rsid w:val="00382EB1"/>
    <w:rsid w:val="00386D09"/>
    <w:rsid w:val="00391520"/>
    <w:rsid w:val="00396FE1"/>
    <w:rsid w:val="003A065B"/>
    <w:rsid w:val="003B0779"/>
    <w:rsid w:val="003B3259"/>
    <w:rsid w:val="003E15BA"/>
    <w:rsid w:val="003E48FF"/>
    <w:rsid w:val="003E4ACB"/>
    <w:rsid w:val="00402A74"/>
    <w:rsid w:val="00416181"/>
    <w:rsid w:val="00423976"/>
    <w:rsid w:val="00423B48"/>
    <w:rsid w:val="00430715"/>
    <w:rsid w:val="0043665C"/>
    <w:rsid w:val="00440949"/>
    <w:rsid w:val="0044279C"/>
    <w:rsid w:val="00447756"/>
    <w:rsid w:val="00492926"/>
    <w:rsid w:val="004A53DC"/>
    <w:rsid w:val="004B342A"/>
    <w:rsid w:val="004D259A"/>
    <w:rsid w:val="004D3A94"/>
    <w:rsid w:val="004F44C2"/>
    <w:rsid w:val="00505CE3"/>
    <w:rsid w:val="00512223"/>
    <w:rsid w:val="00531631"/>
    <w:rsid w:val="0053208B"/>
    <w:rsid w:val="00537561"/>
    <w:rsid w:val="00561636"/>
    <w:rsid w:val="00565869"/>
    <w:rsid w:val="00596747"/>
    <w:rsid w:val="00597D40"/>
    <w:rsid w:val="005A3046"/>
    <w:rsid w:val="00606463"/>
    <w:rsid w:val="0060775B"/>
    <w:rsid w:val="0061754E"/>
    <w:rsid w:val="006176CA"/>
    <w:rsid w:val="00622BD4"/>
    <w:rsid w:val="00637407"/>
    <w:rsid w:val="0064501F"/>
    <w:rsid w:val="00646692"/>
    <w:rsid w:val="00683B76"/>
    <w:rsid w:val="00696913"/>
    <w:rsid w:val="006B163F"/>
    <w:rsid w:val="006D7871"/>
    <w:rsid w:val="006F5E50"/>
    <w:rsid w:val="00701CF9"/>
    <w:rsid w:val="00713FB4"/>
    <w:rsid w:val="00720D5E"/>
    <w:rsid w:val="00727C33"/>
    <w:rsid w:val="00763587"/>
    <w:rsid w:val="00793CD0"/>
    <w:rsid w:val="007A008C"/>
    <w:rsid w:val="007A326F"/>
    <w:rsid w:val="007A423E"/>
    <w:rsid w:val="007A5AED"/>
    <w:rsid w:val="007B5DF1"/>
    <w:rsid w:val="007C118F"/>
    <w:rsid w:val="007C3AB5"/>
    <w:rsid w:val="007C561B"/>
    <w:rsid w:val="007D4E54"/>
    <w:rsid w:val="007E574C"/>
    <w:rsid w:val="007F2670"/>
    <w:rsid w:val="007F2D01"/>
    <w:rsid w:val="008176D2"/>
    <w:rsid w:val="00820E23"/>
    <w:rsid w:val="00824B59"/>
    <w:rsid w:val="0082533A"/>
    <w:rsid w:val="00834DD4"/>
    <w:rsid w:val="00836C4C"/>
    <w:rsid w:val="00845B62"/>
    <w:rsid w:val="008716BB"/>
    <w:rsid w:val="008778D0"/>
    <w:rsid w:val="0089429E"/>
    <w:rsid w:val="00894BC8"/>
    <w:rsid w:val="008D7108"/>
    <w:rsid w:val="008F71F6"/>
    <w:rsid w:val="0090671B"/>
    <w:rsid w:val="00921D12"/>
    <w:rsid w:val="0092420B"/>
    <w:rsid w:val="00940C84"/>
    <w:rsid w:val="00946785"/>
    <w:rsid w:val="00972AF4"/>
    <w:rsid w:val="009803CD"/>
    <w:rsid w:val="00982CF6"/>
    <w:rsid w:val="00996819"/>
    <w:rsid w:val="0099783B"/>
    <w:rsid w:val="009A2B69"/>
    <w:rsid w:val="009C26D9"/>
    <w:rsid w:val="009D20D9"/>
    <w:rsid w:val="009E5CEA"/>
    <w:rsid w:val="00A002ED"/>
    <w:rsid w:val="00A12997"/>
    <w:rsid w:val="00A1408A"/>
    <w:rsid w:val="00A366DB"/>
    <w:rsid w:val="00A530BC"/>
    <w:rsid w:val="00A770A4"/>
    <w:rsid w:val="00A930DB"/>
    <w:rsid w:val="00AB6C44"/>
    <w:rsid w:val="00AC426A"/>
    <w:rsid w:val="00AD5DA9"/>
    <w:rsid w:val="00B04889"/>
    <w:rsid w:val="00B272A9"/>
    <w:rsid w:val="00B512A1"/>
    <w:rsid w:val="00B51A72"/>
    <w:rsid w:val="00B5266D"/>
    <w:rsid w:val="00B63EA3"/>
    <w:rsid w:val="00B66439"/>
    <w:rsid w:val="00B8106D"/>
    <w:rsid w:val="00B96617"/>
    <w:rsid w:val="00BA25C8"/>
    <w:rsid w:val="00BA6B3F"/>
    <w:rsid w:val="00BB2D1B"/>
    <w:rsid w:val="00BE4167"/>
    <w:rsid w:val="00BE7481"/>
    <w:rsid w:val="00BF4A17"/>
    <w:rsid w:val="00BF4C77"/>
    <w:rsid w:val="00BF79BF"/>
    <w:rsid w:val="00C16CB3"/>
    <w:rsid w:val="00C2680A"/>
    <w:rsid w:val="00C26F45"/>
    <w:rsid w:val="00C361F8"/>
    <w:rsid w:val="00C437F1"/>
    <w:rsid w:val="00C46653"/>
    <w:rsid w:val="00C505AD"/>
    <w:rsid w:val="00C6015B"/>
    <w:rsid w:val="00C82335"/>
    <w:rsid w:val="00C94678"/>
    <w:rsid w:val="00C97BE7"/>
    <w:rsid w:val="00CD2154"/>
    <w:rsid w:val="00CE6676"/>
    <w:rsid w:val="00CF7391"/>
    <w:rsid w:val="00D114F8"/>
    <w:rsid w:val="00D12608"/>
    <w:rsid w:val="00D21EA7"/>
    <w:rsid w:val="00D32E49"/>
    <w:rsid w:val="00D33681"/>
    <w:rsid w:val="00D37320"/>
    <w:rsid w:val="00D42BDA"/>
    <w:rsid w:val="00D50EA2"/>
    <w:rsid w:val="00D52718"/>
    <w:rsid w:val="00D57C76"/>
    <w:rsid w:val="00D91C0E"/>
    <w:rsid w:val="00DA3ABD"/>
    <w:rsid w:val="00DC5FDA"/>
    <w:rsid w:val="00E01C94"/>
    <w:rsid w:val="00E029FC"/>
    <w:rsid w:val="00E2124F"/>
    <w:rsid w:val="00E3521C"/>
    <w:rsid w:val="00E352F5"/>
    <w:rsid w:val="00E501E0"/>
    <w:rsid w:val="00E50276"/>
    <w:rsid w:val="00E55CD1"/>
    <w:rsid w:val="00E6484B"/>
    <w:rsid w:val="00E71C5B"/>
    <w:rsid w:val="00E9490F"/>
    <w:rsid w:val="00EB07CB"/>
    <w:rsid w:val="00EC0794"/>
    <w:rsid w:val="00EC0C83"/>
    <w:rsid w:val="00EC7820"/>
    <w:rsid w:val="00ED5D82"/>
    <w:rsid w:val="00EF335F"/>
    <w:rsid w:val="00F00F54"/>
    <w:rsid w:val="00F01604"/>
    <w:rsid w:val="00F23759"/>
    <w:rsid w:val="00F23B01"/>
    <w:rsid w:val="00FB5C7E"/>
    <w:rsid w:val="00FC6F60"/>
    <w:rsid w:val="00FF33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97"/>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styleId="BodyText2">
    <w:name w:val="Body Text 2"/>
    <w:basedOn w:val="Normal"/>
    <w:link w:val="BodyText2Char"/>
    <w:semiHidden/>
    <w:rsid w:val="007A423E"/>
    <w:pPr>
      <w:spacing w:after="0" w:line="24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semiHidden/>
    <w:rsid w:val="007A423E"/>
    <w:rPr>
      <w:rFonts w:ascii="Arial" w:eastAsia="Times New Roman" w:hAnsi="Arial" w:cs="Times New Roman"/>
      <w:sz w:val="20"/>
      <w:szCs w:val="20"/>
      <w:lang w:eastAsia="en-GB"/>
    </w:rPr>
  </w:style>
  <w:style w:type="paragraph" w:styleId="NoSpacing">
    <w:name w:val="No Spacing"/>
    <w:uiPriority w:val="1"/>
    <w:qFormat/>
    <w:rsid w:val="007A42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027635296">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379939969">
      <w:bodyDiv w:val="1"/>
      <w:marLeft w:val="0"/>
      <w:marRight w:val="0"/>
      <w:marTop w:val="0"/>
      <w:marBottom w:val="0"/>
      <w:divBdr>
        <w:top w:val="none" w:sz="0" w:space="0" w:color="auto"/>
        <w:left w:val="none" w:sz="0" w:space="0" w:color="auto"/>
        <w:bottom w:val="none" w:sz="0" w:space="0" w:color="auto"/>
        <w:right w:val="none" w:sz="0" w:space="0" w:color="auto"/>
      </w:divBdr>
    </w:div>
    <w:div w:id="1620605509">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75621165">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355FE-0544-456A-91B5-887018A5E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B0D7EE-520F-4FD2-B774-E48F7C1993DD}">
  <ds:schemaRefs>
    <ds:schemaRef ds:uri="http://schemas.microsoft.com/office/2006/metadata/properties"/>
  </ds:schemaRefs>
</ds:datastoreItem>
</file>

<file path=customXml/itemProps3.xml><?xml version="1.0" encoding="utf-8"?>
<ds:datastoreItem xmlns:ds="http://schemas.openxmlformats.org/officeDocument/2006/customXml" ds:itemID="{8E2E8854-0507-4672-9CAE-6EEE93767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2014-09-17T02:43:00Z</cp:lastPrinted>
  <dcterms:created xsi:type="dcterms:W3CDTF">2014-10-30T14:58:00Z</dcterms:created>
  <dcterms:modified xsi:type="dcterms:W3CDTF">2014-10-30T15:00:00Z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y fmtid="{D5CDD505-2E9C-101B-9397-08002B2CF9AE}" pid="14" name="ContentTypeId">
    <vt:lpwstr>0x0101005B29BB6E00D113498B92984593ACF0B5</vt:lpwstr>
  </property>
</Properties>
</file>