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A79" w:rsidRPr="00883A79" w:rsidRDefault="00883A79" w:rsidP="00883A79">
      <w:pPr>
        <w:keepNext/>
        <w:spacing w:after="0" w:line="20" w:lineRule="exact"/>
        <w:ind w:left="0"/>
        <w:outlineLvl w:val="0"/>
        <w:rPr>
          <w:bCs/>
          <w:color w:val="FFFFFF"/>
          <w:kern w:val="32"/>
          <w:sz w:val="28"/>
          <w:szCs w:val="28"/>
        </w:rPr>
      </w:pPr>
      <w:bookmarkStart w:id="0" w:name="_Toc277773892"/>
    </w:p>
    <w:tbl>
      <w:tblPr>
        <w:tblpPr w:leftFromText="180" w:rightFromText="180" w:horzAnchor="page" w:tblpX="6486" w:tblpY="824"/>
        <w:tblW w:w="4536" w:type="dxa"/>
        <w:tblBorders>
          <w:insideH w:val="single" w:sz="8" w:space="0" w:color="FFFFFF"/>
          <w:insideV w:val="single" w:sz="12" w:space="0" w:color="FFFFFF"/>
        </w:tblBorders>
        <w:shd w:val="clear" w:color="auto" w:fill="000000"/>
        <w:tblCellMar>
          <w:left w:w="170" w:type="dxa"/>
          <w:right w:w="0" w:type="dxa"/>
        </w:tblCellMar>
        <w:tblLook w:val="01E0" w:firstRow="1" w:lastRow="1" w:firstColumn="1" w:lastColumn="1" w:noHBand="0" w:noVBand="0"/>
      </w:tblPr>
      <w:tblGrid>
        <w:gridCol w:w="4536"/>
      </w:tblGrid>
      <w:tr w:rsidR="00883A79" w:rsidRPr="00883A79" w:rsidTr="00CB3765">
        <w:trPr>
          <w:trHeight w:hRule="exact" w:val="1278"/>
        </w:trPr>
        <w:tc>
          <w:tcPr>
            <w:tcW w:w="4536" w:type="dxa"/>
            <w:tcBorders>
              <w:top w:val="nil"/>
              <w:bottom w:val="single" w:sz="8" w:space="0" w:color="FFFFFF"/>
            </w:tcBorders>
            <w:shd w:val="clear" w:color="auto" w:fill="21488A"/>
            <w:vAlign w:val="center"/>
          </w:tcPr>
          <w:p w:rsidR="00883A79" w:rsidRDefault="00883A79" w:rsidP="00883A79">
            <w:pPr>
              <w:spacing w:line="240" w:lineRule="atLeast"/>
              <w:rPr>
                <w:b/>
                <w:noProof/>
                <w:color w:val="FFFFFF"/>
                <w:lang w:val="en-US"/>
              </w:rPr>
            </w:pPr>
            <w:r w:rsidRPr="00883A79">
              <w:rPr>
                <w:noProof/>
                <w:lang w:val="en-US"/>
              </w:rPr>
              <w:br/>
            </w:r>
            <w:r>
              <w:rPr>
                <w:b/>
                <w:noProof/>
                <w:color w:val="FFFFFF"/>
                <w:lang w:val="en-US"/>
              </w:rPr>
              <w:t>FURNITURE AND FURNISHINGS (FIRE) (SAFETY) REGULATIONS 1988</w:t>
            </w:r>
          </w:p>
          <w:p w:rsidR="00883A79" w:rsidRDefault="00883A79" w:rsidP="00883A79">
            <w:pPr>
              <w:spacing w:line="240" w:lineRule="atLeast"/>
              <w:rPr>
                <w:b/>
                <w:noProof/>
                <w:color w:val="FFFFFF"/>
                <w:lang w:val="en-US"/>
              </w:rPr>
            </w:pPr>
          </w:p>
          <w:p w:rsidR="00883A79" w:rsidRPr="00883A79" w:rsidRDefault="00883A79" w:rsidP="00883A79">
            <w:pPr>
              <w:spacing w:line="240" w:lineRule="atLeast"/>
              <w:rPr>
                <w:b/>
                <w:color w:val="FFFFFF"/>
              </w:rPr>
            </w:pPr>
          </w:p>
        </w:tc>
      </w:tr>
      <w:tr w:rsidR="00883A79" w:rsidRPr="00883A79" w:rsidTr="00CB3765">
        <w:trPr>
          <w:trHeight w:val="1404"/>
        </w:trPr>
        <w:tc>
          <w:tcPr>
            <w:tcW w:w="4536" w:type="dxa"/>
            <w:shd w:val="clear" w:color="auto" w:fill="000000"/>
            <w:tcMar>
              <w:left w:w="284" w:type="dxa"/>
              <w:right w:w="170" w:type="dxa"/>
            </w:tcMar>
            <w:vAlign w:val="center"/>
          </w:tcPr>
          <w:p w:rsidR="00883A79" w:rsidRPr="00883A79" w:rsidRDefault="00324960" w:rsidP="00690F30">
            <w:pPr>
              <w:spacing w:after="0" w:line="240" w:lineRule="atLeast"/>
              <w:ind w:left="0"/>
              <w:rPr>
                <w:rFonts w:cs="Arial"/>
                <w:caps/>
                <w:sz w:val="20"/>
              </w:rPr>
            </w:pPr>
            <w:r w:rsidRPr="00883A79">
              <w:rPr>
                <w:b/>
                <w:noProof/>
                <w:color w:val="FFFFFF"/>
                <w:lang w:val="en-US"/>
              </w:rPr>
              <w:t xml:space="preserve">Consultation </w:t>
            </w:r>
            <w:r>
              <w:rPr>
                <w:b/>
                <w:noProof/>
                <w:color w:val="FFFFFF"/>
                <w:lang w:val="en-US"/>
              </w:rPr>
              <w:t xml:space="preserve">on proposed amendments to </w:t>
            </w:r>
            <w:r w:rsidR="00CB3765">
              <w:rPr>
                <w:b/>
                <w:noProof/>
                <w:color w:val="FFFFFF"/>
                <w:lang w:val="en-US"/>
              </w:rPr>
              <w:t>S</w:t>
            </w:r>
            <w:r>
              <w:rPr>
                <w:b/>
                <w:noProof/>
                <w:color w:val="FFFFFF"/>
                <w:lang w:val="en-US"/>
              </w:rPr>
              <w:t>chedule 5</w:t>
            </w:r>
            <w:r w:rsidR="00FB79EE">
              <w:rPr>
                <w:b/>
                <w:noProof/>
                <w:color w:val="FFFFFF"/>
                <w:lang w:val="en-US"/>
              </w:rPr>
              <w:t xml:space="preserve"> </w:t>
            </w:r>
            <w:r w:rsidR="00A00C03">
              <w:rPr>
                <w:b/>
                <w:noProof/>
                <w:color w:val="FFFFFF"/>
                <w:lang w:val="en-US"/>
              </w:rPr>
              <w:t>-</w:t>
            </w:r>
            <w:r>
              <w:rPr>
                <w:b/>
                <w:noProof/>
                <w:color w:val="FFFFFF"/>
                <w:lang w:val="en-US"/>
              </w:rPr>
              <w:t xml:space="preserve"> the </w:t>
            </w:r>
            <w:r w:rsidR="00CB3765">
              <w:rPr>
                <w:b/>
                <w:noProof/>
                <w:color w:val="FFFFFF"/>
                <w:lang w:val="en-US"/>
              </w:rPr>
              <w:t>M</w:t>
            </w:r>
            <w:r>
              <w:rPr>
                <w:b/>
                <w:noProof/>
                <w:color w:val="FFFFFF"/>
                <w:lang w:val="en-US"/>
              </w:rPr>
              <w:t xml:space="preserve">atch </w:t>
            </w:r>
            <w:r w:rsidR="00CB3765">
              <w:rPr>
                <w:b/>
                <w:noProof/>
                <w:color w:val="FFFFFF"/>
                <w:lang w:val="en-US"/>
              </w:rPr>
              <w:t>T</w:t>
            </w:r>
            <w:r>
              <w:rPr>
                <w:b/>
                <w:noProof/>
                <w:color w:val="FFFFFF"/>
                <w:lang w:val="en-US"/>
              </w:rPr>
              <w:t>est</w:t>
            </w:r>
            <w:r w:rsidR="00FB79EE">
              <w:rPr>
                <w:b/>
                <w:noProof/>
                <w:color w:val="FFFFFF"/>
                <w:lang w:val="en-US"/>
              </w:rPr>
              <w:t xml:space="preserve"> -</w:t>
            </w:r>
            <w:r>
              <w:rPr>
                <w:b/>
                <w:noProof/>
                <w:color w:val="FFFFFF"/>
                <w:lang w:val="en-US"/>
              </w:rPr>
              <w:t xml:space="preserve"> </w:t>
            </w:r>
            <w:r w:rsidR="00CB3765">
              <w:rPr>
                <w:b/>
                <w:noProof/>
                <w:color w:val="FFFFFF"/>
                <w:lang w:val="en-US"/>
              </w:rPr>
              <w:t>P</w:t>
            </w:r>
            <w:r>
              <w:rPr>
                <w:b/>
                <w:noProof/>
                <w:color w:val="FFFFFF"/>
                <w:lang w:val="en-US"/>
              </w:rPr>
              <w:t xml:space="preserve">art 1 and </w:t>
            </w:r>
            <w:r w:rsidR="00CB3765">
              <w:rPr>
                <w:b/>
                <w:noProof/>
                <w:color w:val="FFFFFF"/>
                <w:lang w:val="en-US"/>
              </w:rPr>
              <w:t>S</w:t>
            </w:r>
            <w:r>
              <w:rPr>
                <w:b/>
                <w:noProof/>
                <w:color w:val="FFFFFF"/>
                <w:lang w:val="en-US"/>
              </w:rPr>
              <w:t>chedule 4</w:t>
            </w:r>
            <w:r w:rsidR="00FB79EE">
              <w:rPr>
                <w:b/>
                <w:noProof/>
                <w:color w:val="FFFFFF"/>
                <w:lang w:val="en-US"/>
              </w:rPr>
              <w:t xml:space="preserve"> </w:t>
            </w:r>
            <w:r w:rsidR="00A00C03">
              <w:rPr>
                <w:b/>
                <w:noProof/>
                <w:color w:val="FFFFFF"/>
                <w:lang w:val="en-US"/>
              </w:rPr>
              <w:t>-</w:t>
            </w:r>
            <w:r>
              <w:rPr>
                <w:b/>
                <w:noProof/>
                <w:color w:val="FFFFFF"/>
                <w:lang w:val="en-US"/>
              </w:rPr>
              <w:t xml:space="preserve"> the </w:t>
            </w:r>
            <w:r w:rsidR="00CB3765">
              <w:rPr>
                <w:b/>
                <w:noProof/>
                <w:color w:val="FFFFFF"/>
                <w:lang w:val="en-US"/>
              </w:rPr>
              <w:t>Cigarette T</w:t>
            </w:r>
            <w:r>
              <w:rPr>
                <w:b/>
                <w:noProof/>
                <w:color w:val="FFFFFF"/>
                <w:lang w:val="en-US"/>
              </w:rPr>
              <w:t>est</w:t>
            </w:r>
          </w:p>
        </w:tc>
      </w:tr>
      <w:tr w:rsidR="00324960" w:rsidRPr="00883A79" w:rsidTr="00883A79">
        <w:trPr>
          <w:trHeight w:val="567"/>
        </w:trPr>
        <w:tc>
          <w:tcPr>
            <w:tcW w:w="4536" w:type="dxa"/>
            <w:shd w:val="clear" w:color="auto" w:fill="000000"/>
            <w:tcMar>
              <w:left w:w="284" w:type="dxa"/>
              <w:right w:w="170" w:type="dxa"/>
            </w:tcMar>
            <w:vAlign w:val="center"/>
          </w:tcPr>
          <w:p w:rsidR="00324960" w:rsidRDefault="00CB3765" w:rsidP="00883A79">
            <w:pPr>
              <w:spacing w:after="0" w:line="240" w:lineRule="atLeast"/>
              <w:ind w:left="0"/>
              <w:rPr>
                <w:rFonts w:cs="Arial"/>
                <w:caps/>
                <w:sz w:val="20"/>
              </w:rPr>
            </w:pPr>
            <w:r>
              <w:rPr>
                <w:rFonts w:cs="Arial"/>
                <w:caps/>
                <w:sz w:val="20"/>
              </w:rPr>
              <w:t>AUGUST 2014</w:t>
            </w:r>
          </w:p>
        </w:tc>
      </w:tr>
    </w:tbl>
    <w:p w:rsidR="00883A79" w:rsidRPr="00883A79" w:rsidRDefault="00883A79" w:rsidP="00883A79">
      <w:pPr>
        <w:keepNext/>
        <w:spacing w:after="0" w:line="20" w:lineRule="exact"/>
        <w:ind w:left="0"/>
        <w:outlineLvl w:val="0"/>
        <w:rPr>
          <w:bCs/>
          <w:color w:val="FFFFFF"/>
          <w:kern w:val="32"/>
          <w:sz w:val="28"/>
          <w:szCs w:val="28"/>
        </w:rPr>
      </w:pPr>
    </w:p>
    <w:p w:rsidR="00883A79" w:rsidRPr="00883A79" w:rsidRDefault="00883A79" w:rsidP="00883A79">
      <w:pPr>
        <w:keepNext/>
        <w:spacing w:after="0" w:line="20" w:lineRule="exact"/>
        <w:outlineLvl w:val="0"/>
        <w:rPr>
          <w:bCs/>
          <w:color w:val="FFFFFF"/>
          <w:kern w:val="32"/>
          <w:sz w:val="28"/>
          <w:szCs w:val="28"/>
        </w:rPr>
      </w:pPr>
    </w:p>
    <w:p w:rsidR="00883A79" w:rsidRPr="00883A79" w:rsidRDefault="00883A79" w:rsidP="00883A79">
      <w:pPr>
        <w:keepNext/>
        <w:spacing w:after="0" w:line="20" w:lineRule="exact"/>
        <w:outlineLvl w:val="0"/>
        <w:rPr>
          <w:bCs/>
          <w:color w:val="FFFFFF"/>
          <w:kern w:val="32"/>
          <w:sz w:val="28"/>
          <w:szCs w:val="28"/>
        </w:rPr>
      </w:pPr>
    </w:p>
    <w:p w:rsidR="00883A79" w:rsidRPr="00883A79" w:rsidRDefault="00883A79" w:rsidP="00883A79">
      <w:pPr>
        <w:sectPr w:rsidR="00883A79" w:rsidRPr="00883A79" w:rsidSect="00883A79">
          <w:headerReference w:type="default" r:id="rId9"/>
          <w:footerReference w:type="even" r:id="rId10"/>
          <w:footerReference w:type="default" r:id="rId11"/>
          <w:headerReference w:type="first" r:id="rId12"/>
          <w:type w:val="continuous"/>
          <w:pgSz w:w="11906" w:h="16838" w:code="9"/>
          <w:pgMar w:top="2948" w:right="1134" w:bottom="1134" w:left="1134" w:header="720" w:footer="0" w:gutter="0"/>
          <w:cols w:space="720"/>
          <w:titlePg/>
        </w:sectPr>
      </w:pPr>
    </w:p>
    <w:p w:rsidR="00883A79" w:rsidRPr="00883A79" w:rsidRDefault="00883A79" w:rsidP="00883A79">
      <w:r w:rsidRPr="00883A79">
        <w:lastRenderedPageBreak/>
        <w:t xml:space="preserve"> </w:t>
      </w:r>
    </w:p>
    <w:p w:rsidR="00883A79" w:rsidRPr="00883A79" w:rsidRDefault="00883A79" w:rsidP="00883A79"/>
    <w:p w:rsidR="00883A79" w:rsidRPr="00883A79" w:rsidRDefault="00883A79" w:rsidP="00883A79"/>
    <w:p w:rsidR="00883A79" w:rsidRPr="00883A79" w:rsidRDefault="00883A79" w:rsidP="00883A79"/>
    <w:p w:rsidR="00883A79" w:rsidRPr="00883A79" w:rsidRDefault="00883A79" w:rsidP="00883A79"/>
    <w:p w:rsidR="00883A79" w:rsidRPr="00883A79" w:rsidRDefault="00883A79" w:rsidP="00883A79"/>
    <w:p w:rsidR="00883A79" w:rsidRPr="00883A79" w:rsidRDefault="00883A79" w:rsidP="00883A79"/>
    <w:p w:rsidR="00883A79" w:rsidRPr="00883A79" w:rsidRDefault="00883A79" w:rsidP="00883A79"/>
    <w:p w:rsidR="00510E65" w:rsidRPr="00865526" w:rsidRDefault="00510E65" w:rsidP="00086934">
      <w:pPr>
        <w:rPr>
          <w:color w:val="FF0000"/>
        </w:rPr>
        <w:sectPr w:rsidR="00510E65" w:rsidRPr="00865526" w:rsidSect="00C016BD">
          <w:headerReference w:type="even" r:id="rId13"/>
          <w:headerReference w:type="default" r:id="rId14"/>
          <w:type w:val="continuous"/>
          <w:pgSz w:w="11906" w:h="16838" w:code="9"/>
          <w:pgMar w:top="1701" w:right="680" w:bottom="680" w:left="964" w:header="437" w:footer="265" w:gutter="0"/>
          <w:cols w:space="720"/>
        </w:sectPr>
      </w:pPr>
    </w:p>
    <w:p w:rsidR="005729C4" w:rsidRDefault="005729C4" w:rsidP="005729C4">
      <w:pPr>
        <w:pStyle w:val="Heading1"/>
      </w:pPr>
      <w:bookmarkStart w:id="1" w:name="_Toc287009273"/>
      <w:bookmarkStart w:id="2" w:name="_Toc394509358"/>
      <w:r>
        <w:lastRenderedPageBreak/>
        <w:t>Contents</w:t>
      </w:r>
      <w:bookmarkEnd w:id="1"/>
      <w:bookmarkEnd w:id="2"/>
    </w:p>
    <w:bookmarkStart w:id="3" w:name="_Toc278457368"/>
    <w:bookmarkStart w:id="4" w:name="_Toc287009274"/>
    <w:p w:rsidR="00174521" w:rsidRDefault="00174521" w:rsidP="00174521">
      <w:pPr>
        <w:pStyle w:val="TOC1"/>
        <w:tabs>
          <w:tab w:val="right" w:leader="dot" w:pos="9318"/>
        </w:tabs>
        <w:rPr>
          <w:rFonts w:asciiTheme="minorHAnsi" w:eastAsiaTheme="minorEastAsia" w:hAnsiTheme="minorHAnsi" w:cstheme="minorBidi"/>
          <w:noProof/>
          <w:szCs w:val="22"/>
          <w:lang w:eastAsia="en-GB"/>
        </w:rPr>
      </w:pPr>
      <w:r>
        <w:rPr>
          <w:rFonts w:ascii="Arial Bold" w:hAnsi="Arial Bold"/>
          <w:sz w:val="32"/>
        </w:rPr>
        <w:fldChar w:fldCharType="begin"/>
      </w:r>
      <w:r>
        <w:rPr>
          <w:rFonts w:ascii="Arial Bold" w:hAnsi="Arial Bold"/>
          <w:sz w:val="32"/>
        </w:rPr>
        <w:instrText xml:space="preserve"> TOC \o "1-2" \u </w:instrText>
      </w:r>
      <w:r>
        <w:rPr>
          <w:rFonts w:ascii="Arial Bold" w:hAnsi="Arial Bold"/>
          <w:sz w:val="32"/>
        </w:rPr>
        <w:fldChar w:fldCharType="separate"/>
      </w:r>
      <w:r>
        <w:rPr>
          <w:noProof/>
        </w:rPr>
        <w:t>1. Foreword from Jo Swinson, MP</w:t>
      </w:r>
      <w:r>
        <w:rPr>
          <w:noProof/>
        </w:rPr>
        <w:tab/>
      </w:r>
      <w:r>
        <w:rPr>
          <w:noProof/>
        </w:rPr>
        <w:fldChar w:fldCharType="begin"/>
      </w:r>
      <w:r>
        <w:rPr>
          <w:noProof/>
        </w:rPr>
        <w:instrText xml:space="preserve"> PAGEREF _Toc394509360 \h </w:instrText>
      </w:r>
      <w:r>
        <w:rPr>
          <w:noProof/>
        </w:rPr>
      </w:r>
      <w:r>
        <w:rPr>
          <w:noProof/>
        </w:rPr>
        <w:fldChar w:fldCharType="separate"/>
      </w:r>
      <w:r w:rsidR="00F874C7">
        <w:rPr>
          <w:noProof/>
        </w:rPr>
        <w:t>5</w:t>
      </w:r>
      <w:r>
        <w:rPr>
          <w:noProof/>
        </w:rPr>
        <w:fldChar w:fldCharType="end"/>
      </w:r>
    </w:p>
    <w:p w:rsidR="00174521" w:rsidRDefault="00174521">
      <w:pPr>
        <w:pStyle w:val="TOC2"/>
        <w:tabs>
          <w:tab w:val="right" w:leader="dot" w:pos="9318"/>
        </w:tabs>
        <w:rPr>
          <w:rFonts w:asciiTheme="minorHAnsi" w:eastAsiaTheme="minorEastAsia" w:hAnsiTheme="minorHAnsi" w:cstheme="minorBidi"/>
          <w:noProof/>
          <w:szCs w:val="22"/>
          <w:lang w:eastAsia="en-GB"/>
        </w:rPr>
      </w:pPr>
      <w:r>
        <w:rPr>
          <w:noProof/>
        </w:rPr>
        <w:t>2. How to respond</w:t>
      </w:r>
      <w:r>
        <w:rPr>
          <w:noProof/>
        </w:rPr>
        <w:tab/>
      </w:r>
      <w:r>
        <w:rPr>
          <w:noProof/>
        </w:rPr>
        <w:fldChar w:fldCharType="begin"/>
      </w:r>
      <w:r>
        <w:rPr>
          <w:noProof/>
        </w:rPr>
        <w:instrText xml:space="preserve"> PAGEREF _Toc394509361 \h </w:instrText>
      </w:r>
      <w:r>
        <w:rPr>
          <w:noProof/>
        </w:rPr>
      </w:r>
      <w:r>
        <w:rPr>
          <w:noProof/>
        </w:rPr>
        <w:fldChar w:fldCharType="separate"/>
      </w:r>
      <w:r w:rsidR="00F874C7">
        <w:rPr>
          <w:noProof/>
        </w:rPr>
        <w:t>7</w:t>
      </w:r>
      <w:r>
        <w:rPr>
          <w:noProof/>
        </w:rPr>
        <w:fldChar w:fldCharType="end"/>
      </w:r>
    </w:p>
    <w:p w:rsidR="00174521" w:rsidRDefault="00174521">
      <w:pPr>
        <w:pStyle w:val="TOC2"/>
        <w:tabs>
          <w:tab w:val="right" w:leader="dot" w:pos="9318"/>
        </w:tabs>
        <w:rPr>
          <w:rFonts w:asciiTheme="minorHAnsi" w:eastAsiaTheme="minorEastAsia" w:hAnsiTheme="minorHAnsi" w:cstheme="minorBidi"/>
          <w:noProof/>
          <w:szCs w:val="22"/>
          <w:lang w:eastAsia="en-GB"/>
        </w:rPr>
      </w:pPr>
      <w:r>
        <w:rPr>
          <w:noProof/>
        </w:rPr>
        <w:t>3. Additional copies</w:t>
      </w:r>
      <w:r>
        <w:rPr>
          <w:noProof/>
        </w:rPr>
        <w:tab/>
      </w:r>
      <w:r>
        <w:rPr>
          <w:noProof/>
        </w:rPr>
        <w:fldChar w:fldCharType="begin"/>
      </w:r>
      <w:r>
        <w:rPr>
          <w:noProof/>
        </w:rPr>
        <w:instrText xml:space="preserve"> PAGEREF _Toc394509362 \h </w:instrText>
      </w:r>
      <w:r>
        <w:rPr>
          <w:noProof/>
        </w:rPr>
      </w:r>
      <w:r>
        <w:rPr>
          <w:noProof/>
        </w:rPr>
        <w:fldChar w:fldCharType="separate"/>
      </w:r>
      <w:r w:rsidR="00F874C7">
        <w:rPr>
          <w:noProof/>
        </w:rPr>
        <w:t>7</w:t>
      </w:r>
      <w:r>
        <w:rPr>
          <w:noProof/>
        </w:rPr>
        <w:fldChar w:fldCharType="end"/>
      </w:r>
    </w:p>
    <w:p w:rsidR="00174521" w:rsidRDefault="00174521">
      <w:pPr>
        <w:pStyle w:val="TOC2"/>
        <w:tabs>
          <w:tab w:val="right" w:leader="dot" w:pos="9318"/>
        </w:tabs>
        <w:rPr>
          <w:rFonts w:asciiTheme="minorHAnsi" w:eastAsiaTheme="minorEastAsia" w:hAnsiTheme="minorHAnsi" w:cstheme="minorBidi"/>
          <w:noProof/>
          <w:szCs w:val="22"/>
          <w:lang w:eastAsia="en-GB"/>
        </w:rPr>
      </w:pPr>
      <w:r>
        <w:rPr>
          <w:noProof/>
        </w:rPr>
        <w:t>4. Confidentiality &amp; Data Protection</w:t>
      </w:r>
      <w:r>
        <w:rPr>
          <w:noProof/>
        </w:rPr>
        <w:tab/>
      </w:r>
      <w:r>
        <w:rPr>
          <w:noProof/>
        </w:rPr>
        <w:fldChar w:fldCharType="begin"/>
      </w:r>
      <w:r>
        <w:rPr>
          <w:noProof/>
        </w:rPr>
        <w:instrText xml:space="preserve"> PAGEREF _Toc394509363 \h </w:instrText>
      </w:r>
      <w:r>
        <w:rPr>
          <w:noProof/>
        </w:rPr>
      </w:r>
      <w:r>
        <w:rPr>
          <w:noProof/>
        </w:rPr>
        <w:fldChar w:fldCharType="separate"/>
      </w:r>
      <w:r w:rsidR="00F874C7">
        <w:rPr>
          <w:noProof/>
        </w:rPr>
        <w:t>8</w:t>
      </w:r>
      <w:r>
        <w:rPr>
          <w:noProof/>
        </w:rPr>
        <w:fldChar w:fldCharType="end"/>
      </w:r>
    </w:p>
    <w:p w:rsidR="00174521" w:rsidRDefault="00174521">
      <w:pPr>
        <w:pStyle w:val="TOC2"/>
        <w:tabs>
          <w:tab w:val="right" w:leader="dot" w:pos="9318"/>
        </w:tabs>
        <w:rPr>
          <w:rFonts w:asciiTheme="minorHAnsi" w:eastAsiaTheme="minorEastAsia" w:hAnsiTheme="minorHAnsi" w:cstheme="minorBidi"/>
          <w:noProof/>
          <w:szCs w:val="22"/>
          <w:lang w:eastAsia="en-GB"/>
        </w:rPr>
      </w:pPr>
      <w:r>
        <w:rPr>
          <w:noProof/>
        </w:rPr>
        <w:t>5. Help with queries</w:t>
      </w:r>
      <w:r>
        <w:rPr>
          <w:noProof/>
        </w:rPr>
        <w:tab/>
      </w:r>
      <w:r>
        <w:rPr>
          <w:noProof/>
        </w:rPr>
        <w:fldChar w:fldCharType="begin"/>
      </w:r>
      <w:r>
        <w:rPr>
          <w:noProof/>
        </w:rPr>
        <w:instrText xml:space="preserve"> PAGEREF _Toc394509364 \h </w:instrText>
      </w:r>
      <w:r>
        <w:rPr>
          <w:noProof/>
        </w:rPr>
      </w:r>
      <w:r>
        <w:rPr>
          <w:noProof/>
        </w:rPr>
        <w:fldChar w:fldCharType="separate"/>
      </w:r>
      <w:r w:rsidR="00F874C7">
        <w:rPr>
          <w:noProof/>
        </w:rPr>
        <w:t>9</w:t>
      </w:r>
      <w:r>
        <w:rPr>
          <w:noProof/>
        </w:rPr>
        <w:fldChar w:fldCharType="end"/>
      </w:r>
    </w:p>
    <w:p w:rsidR="00174521" w:rsidRDefault="00174521">
      <w:pPr>
        <w:pStyle w:val="TOC2"/>
        <w:tabs>
          <w:tab w:val="left" w:pos="660"/>
          <w:tab w:val="right" w:leader="dot" w:pos="9318"/>
        </w:tabs>
        <w:rPr>
          <w:rFonts w:asciiTheme="minorHAnsi" w:eastAsiaTheme="minorEastAsia" w:hAnsiTheme="minorHAnsi" w:cstheme="minorBidi"/>
          <w:noProof/>
          <w:szCs w:val="22"/>
          <w:lang w:eastAsia="en-GB"/>
        </w:rPr>
      </w:pPr>
      <w:r>
        <w:rPr>
          <w:noProof/>
        </w:rPr>
        <w:t>6.</w:t>
      </w:r>
      <w:r>
        <w:rPr>
          <w:rFonts w:asciiTheme="minorHAnsi" w:eastAsiaTheme="minorEastAsia" w:hAnsiTheme="minorHAnsi" w:cstheme="minorBidi"/>
          <w:noProof/>
          <w:szCs w:val="22"/>
          <w:lang w:eastAsia="en-GB"/>
        </w:rPr>
        <w:tab/>
      </w:r>
      <w:r>
        <w:rPr>
          <w:noProof/>
        </w:rPr>
        <w:t>The proposals</w:t>
      </w:r>
      <w:r>
        <w:rPr>
          <w:noProof/>
        </w:rPr>
        <w:tab/>
      </w:r>
      <w:r>
        <w:rPr>
          <w:noProof/>
        </w:rPr>
        <w:fldChar w:fldCharType="begin"/>
      </w:r>
      <w:r>
        <w:rPr>
          <w:noProof/>
        </w:rPr>
        <w:instrText xml:space="preserve"> PAGEREF _Toc394509365 \h </w:instrText>
      </w:r>
      <w:r>
        <w:rPr>
          <w:noProof/>
        </w:rPr>
      </w:r>
      <w:r>
        <w:rPr>
          <w:noProof/>
        </w:rPr>
        <w:fldChar w:fldCharType="separate"/>
      </w:r>
      <w:r w:rsidR="00F874C7">
        <w:rPr>
          <w:noProof/>
        </w:rPr>
        <w:t>10</w:t>
      </w:r>
      <w:r>
        <w:rPr>
          <w:noProof/>
        </w:rPr>
        <w:fldChar w:fldCharType="end"/>
      </w:r>
    </w:p>
    <w:p w:rsidR="00174521" w:rsidRDefault="00174521">
      <w:pPr>
        <w:pStyle w:val="TOC1"/>
        <w:tabs>
          <w:tab w:val="right" w:leader="dot" w:pos="9318"/>
        </w:tabs>
        <w:rPr>
          <w:rFonts w:asciiTheme="minorHAnsi" w:eastAsiaTheme="minorEastAsia" w:hAnsiTheme="minorHAnsi" w:cstheme="minorBidi"/>
          <w:b w:val="0"/>
          <w:noProof/>
          <w:szCs w:val="22"/>
          <w:lang w:eastAsia="en-GB"/>
        </w:rPr>
      </w:pPr>
      <w:r w:rsidRPr="00E37D60">
        <w:rPr>
          <w:noProof/>
        </w:rPr>
        <w:t>The FFRs’ Flammability Tests</w:t>
      </w:r>
      <w:r>
        <w:rPr>
          <w:noProof/>
        </w:rPr>
        <w:tab/>
      </w:r>
      <w:r>
        <w:rPr>
          <w:noProof/>
        </w:rPr>
        <w:fldChar w:fldCharType="begin"/>
      </w:r>
      <w:r>
        <w:rPr>
          <w:noProof/>
        </w:rPr>
        <w:instrText xml:space="preserve"> PAGEREF _Toc394509366 \h </w:instrText>
      </w:r>
      <w:r>
        <w:rPr>
          <w:noProof/>
        </w:rPr>
      </w:r>
      <w:r>
        <w:rPr>
          <w:noProof/>
        </w:rPr>
        <w:fldChar w:fldCharType="separate"/>
      </w:r>
      <w:r w:rsidR="00F874C7">
        <w:rPr>
          <w:noProof/>
        </w:rPr>
        <w:t>11</w:t>
      </w:r>
      <w:r>
        <w:rPr>
          <w:noProof/>
        </w:rPr>
        <w:fldChar w:fldCharType="end"/>
      </w:r>
    </w:p>
    <w:p w:rsidR="00174521" w:rsidRDefault="00174521">
      <w:pPr>
        <w:pStyle w:val="TOC2"/>
        <w:tabs>
          <w:tab w:val="right" w:leader="dot" w:pos="9318"/>
        </w:tabs>
        <w:rPr>
          <w:rFonts w:asciiTheme="minorHAnsi" w:eastAsiaTheme="minorEastAsia" w:hAnsiTheme="minorHAnsi" w:cstheme="minorBidi"/>
          <w:noProof/>
          <w:szCs w:val="22"/>
          <w:lang w:eastAsia="en-GB"/>
        </w:rPr>
      </w:pPr>
      <w:r>
        <w:rPr>
          <w:noProof/>
        </w:rPr>
        <w:t>7. Consultation questions</w:t>
      </w:r>
      <w:r>
        <w:rPr>
          <w:noProof/>
        </w:rPr>
        <w:tab/>
      </w:r>
      <w:r>
        <w:rPr>
          <w:noProof/>
        </w:rPr>
        <w:fldChar w:fldCharType="begin"/>
      </w:r>
      <w:r>
        <w:rPr>
          <w:noProof/>
        </w:rPr>
        <w:instrText xml:space="preserve"> PAGEREF _Toc394509367 \h </w:instrText>
      </w:r>
      <w:r>
        <w:rPr>
          <w:noProof/>
        </w:rPr>
      </w:r>
      <w:r>
        <w:rPr>
          <w:noProof/>
        </w:rPr>
        <w:fldChar w:fldCharType="separate"/>
      </w:r>
      <w:r w:rsidR="00F874C7">
        <w:rPr>
          <w:noProof/>
        </w:rPr>
        <w:t>18</w:t>
      </w:r>
      <w:r>
        <w:rPr>
          <w:noProof/>
        </w:rPr>
        <w:fldChar w:fldCharType="end"/>
      </w:r>
    </w:p>
    <w:p w:rsidR="00174521" w:rsidRDefault="00174521">
      <w:pPr>
        <w:pStyle w:val="TOC2"/>
        <w:tabs>
          <w:tab w:val="right" w:leader="dot" w:pos="9318"/>
        </w:tabs>
        <w:rPr>
          <w:rFonts w:asciiTheme="minorHAnsi" w:eastAsiaTheme="minorEastAsia" w:hAnsiTheme="minorHAnsi" w:cstheme="minorBidi"/>
          <w:noProof/>
          <w:szCs w:val="22"/>
          <w:lang w:eastAsia="en-GB"/>
        </w:rPr>
      </w:pPr>
      <w:r>
        <w:rPr>
          <w:noProof/>
        </w:rPr>
        <w:t>8. What happens next?</w:t>
      </w:r>
      <w:r>
        <w:rPr>
          <w:noProof/>
        </w:rPr>
        <w:tab/>
      </w:r>
      <w:r>
        <w:rPr>
          <w:noProof/>
        </w:rPr>
        <w:fldChar w:fldCharType="begin"/>
      </w:r>
      <w:r>
        <w:rPr>
          <w:noProof/>
        </w:rPr>
        <w:instrText xml:space="preserve"> PAGEREF _Toc394509368 \h </w:instrText>
      </w:r>
      <w:r>
        <w:rPr>
          <w:noProof/>
        </w:rPr>
      </w:r>
      <w:r>
        <w:rPr>
          <w:noProof/>
        </w:rPr>
        <w:fldChar w:fldCharType="separate"/>
      </w:r>
      <w:r w:rsidR="00F874C7">
        <w:rPr>
          <w:noProof/>
        </w:rPr>
        <w:t>19</w:t>
      </w:r>
      <w:r>
        <w:rPr>
          <w:noProof/>
        </w:rPr>
        <w:fldChar w:fldCharType="end"/>
      </w:r>
    </w:p>
    <w:p w:rsidR="00174521" w:rsidRDefault="00174521">
      <w:pPr>
        <w:pStyle w:val="TOC2"/>
        <w:tabs>
          <w:tab w:val="right" w:leader="dot" w:pos="9318"/>
        </w:tabs>
        <w:rPr>
          <w:rFonts w:asciiTheme="minorHAnsi" w:eastAsiaTheme="minorEastAsia" w:hAnsiTheme="minorHAnsi" w:cstheme="minorBidi"/>
          <w:noProof/>
          <w:szCs w:val="22"/>
          <w:lang w:eastAsia="en-GB"/>
        </w:rPr>
      </w:pPr>
      <w:r>
        <w:rPr>
          <w:noProof/>
        </w:rPr>
        <w:t>Annex 1: Brief list of reference material regarding the effects of FRs on health/environment</w:t>
      </w:r>
      <w:r>
        <w:rPr>
          <w:noProof/>
        </w:rPr>
        <w:tab/>
      </w:r>
      <w:r>
        <w:rPr>
          <w:noProof/>
        </w:rPr>
        <w:fldChar w:fldCharType="begin"/>
      </w:r>
      <w:r>
        <w:rPr>
          <w:noProof/>
        </w:rPr>
        <w:instrText xml:space="preserve"> PAGEREF _Toc394509369 \h </w:instrText>
      </w:r>
      <w:r>
        <w:rPr>
          <w:noProof/>
        </w:rPr>
      </w:r>
      <w:r>
        <w:rPr>
          <w:noProof/>
        </w:rPr>
        <w:fldChar w:fldCharType="separate"/>
      </w:r>
      <w:r w:rsidR="00F874C7">
        <w:rPr>
          <w:noProof/>
        </w:rPr>
        <w:t>20</w:t>
      </w:r>
      <w:r>
        <w:rPr>
          <w:noProof/>
        </w:rPr>
        <w:fldChar w:fldCharType="end"/>
      </w:r>
    </w:p>
    <w:p w:rsidR="00174521" w:rsidRDefault="00174521">
      <w:pPr>
        <w:pStyle w:val="TOC2"/>
        <w:tabs>
          <w:tab w:val="right" w:leader="dot" w:pos="9318"/>
        </w:tabs>
        <w:rPr>
          <w:rFonts w:asciiTheme="minorHAnsi" w:eastAsiaTheme="minorEastAsia" w:hAnsiTheme="minorHAnsi" w:cstheme="minorBidi"/>
          <w:noProof/>
          <w:szCs w:val="22"/>
          <w:lang w:eastAsia="en-GB"/>
        </w:rPr>
      </w:pPr>
      <w:r>
        <w:rPr>
          <w:noProof/>
        </w:rPr>
        <w:t>Annex 2: Brief summary of results of comparing Schedule 5 Part 1 of the FFRs and the new proposed match test &amp; indicative exemptions list for unregulated materials within 40mm of the cover</w:t>
      </w:r>
      <w:r>
        <w:rPr>
          <w:noProof/>
        </w:rPr>
        <w:tab/>
      </w:r>
      <w:r>
        <w:rPr>
          <w:noProof/>
        </w:rPr>
        <w:fldChar w:fldCharType="begin"/>
      </w:r>
      <w:r>
        <w:rPr>
          <w:noProof/>
        </w:rPr>
        <w:instrText xml:space="preserve"> PAGEREF _Toc394509379 \h </w:instrText>
      </w:r>
      <w:r>
        <w:rPr>
          <w:noProof/>
        </w:rPr>
      </w:r>
      <w:r>
        <w:rPr>
          <w:noProof/>
        </w:rPr>
        <w:fldChar w:fldCharType="separate"/>
      </w:r>
      <w:r w:rsidR="00F874C7">
        <w:rPr>
          <w:noProof/>
        </w:rPr>
        <w:t>22</w:t>
      </w:r>
      <w:r>
        <w:rPr>
          <w:noProof/>
        </w:rPr>
        <w:fldChar w:fldCharType="end"/>
      </w:r>
    </w:p>
    <w:p w:rsidR="00174521" w:rsidRDefault="00174521">
      <w:pPr>
        <w:pStyle w:val="TOC2"/>
        <w:tabs>
          <w:tab w:val="right" w:leader="dot" w:pos="9318"/>
        </w:tabs>
        <w:rPr>
          <w:rFonts w:asciiTheme="minorHAnsi" w:eastAsiaTheme="minorEastAsia" w:hAnsiTheme="minorHAnsi" w:cstheme="minorBidi"/>
          <w:noProof/>
          <w:szCs w:val="22"/>
          <w:lang w:eastAsia="en-GB"/>
        </w:rPr>
      </w:pPr>
      <w:r>
        <w:rPr>
          <w:noProof/>
        </w:rPr>
        <w:t>Annex 3: Results of FIRA’s research into the proposed test changes</w:t>
      </w:r>
      <w:r>
        <w:rPr>
          <w:noProof/>
        </w:rPr>
        <w:tab/>
      </w:r>
      <w:r>
        <w:rPr>
          <w:noProof/>
        </w:rPr>
        <w:fldChar w:fldCharType="begin"/>
      </w:r>
      <w:r>
        <w:rPr>
          <w:noProof/>
        </w:rPr>
        <w:instrText xml:space="preserve"> PAGEREF _Toc394509380 \h </w:instrText>
      </w:r>
      <w:r>
        <w:rPr>
          <w:noProof/>
        </w:rPr>
      </w:r>
      <w:r>
        <w:rPr>
          <w:noProof/>
        </w:rPr>
        <w:fldChar w:fldCharType="separate"/>
      </w:r>
      <w:r w:rsidR="00F874C7">
        <w:rPr>
          <w:noProof/>
        </w:rPr>
        <w:t>25</w:t>
      </w:r>
      <w:r>
        <w:rPr>
          <w:noProof/>
        </w:rPr>
        <w:fldChar w:fldCharType="end"/>
      </w:r>
    </w:p>
    <w:p w:rsidR="00174521" w:rsidRDefault="00174521">
      <w:pPr>
        <w:pStyle w:val="TOC2"/>
        <w:tabs>
          <w:tab w:val="right" w:leader="dot" w:pos="9318"/>
        </w:tabs>
        <w:rPr>
          <w:rFonts w:asciiTheme="minorHAnsi" w:eastAsiaTheme="minorEastAsia" w:hAnsiTheme="minorHAnsi" w:cstheme="minorBidi"/>
          <w:noProof/>
          <w:szCs w:val="22"/>
          <w:lang w:eastAsia="en-GB"/>
        </w:rPr>
      </w:pPr>
      <w:r>
        <w:rPr>
          <w:noProof/>
        </w:rPr>
        <w:t>Annex 4: Additional background detail</w:t>
      </w:r>
      <w:r>
        <w:rPr>
          <w:noProof/>
        </w:rPr>
        <w:tab/>
      </w:r>
      <w:r>
        <w:rPr>
          <w:noProof/>
        </w:rPr>
        <w:fldChar w:fldCharType="begin"/>
      </w:r>
      <w:r>
        <w:rPr>
          <w:noProof/>
        </w:rPr>
        <w:instrText xml:space="preserve"> PAGEREF _Toc394509381 \h </w:instrText>
      </w:r>
      <w:r>
        <w:rPr>
          <w:noProof/>
        </w:rPr>
      </w:r>
      <w:r>
        <w:rPr>
          <w:noProof/>
        </w:rPr>
        <w:fldChar w:fldCharType="separate"/>
      </w:r>
      <w:r w:rsidR="00F874C7">
        <w:rPr>
          <w:noProof/>
        </w:rPr>
        <w:t>26</w:t>
      </w:r>
      <w:r>
        <w:rPr>
          <w:noProof/>
        </w:rPr>
        <w:fldChar w:fldCharType="end"/>
      </w:r>
    </w:p>
    <w:p w:rsidR="00174521" w:rsidRDefault="00174521">
      <w:pPr>
        <w:pStyle w:val="TOC2"/>
        <w:tabs>
          <w:tab w:val="right" w:leader="dot" w:pos="9318"/>
        </w:tabs>
        <w:rPr>
          <w:rFonts w:asciiTheme="minorHAnsi" w:eastAsiaTheme="minorEastAsia" w:hAnsiTheme="minorHAnsi" w:cstheme="minorBidi"/>
          <w:noProof/>
          <w:szCs w:val="22"/>
          <w:lang w:eastAsia="en-GB"/>
        </w:rPr>
      </w:pPr>
      <w:r w:rsidRPr="008A1D9F">
        <w:rPr>
          <w:rFonts w:ascii="Arial Bold" w:hAnsi="Arial Bold"/>
          <w:noProof/>
        </w:rPr>
        <w:t>Annex 5: Consultation principles</w:t>
      </w:r>
      <w:r>
        <w:rPr>
          <w:noProof/>
        </w:rPr>
        <w:tab/>
      </w:r>
      <w:r>
        <w:rPr>
          <w:noProof/>
        </w:rPr>
        <w:fldChar w:fldCharType="begin"/>
      </w:r>
      <w:r>
        <w:rPr>
          <w:noProof/>
        </w:rPr>
        <w:instrText xml:space="preserve"> PAGEREF _Toc394509382 \h </w:instrText>
      </w:r>
      <w:r>
        <w:rPr>
          <w:noProof/>
        </w:rPr>
      </w:r>
      <w:r>
        <w:rPr>
          <w:noProof/>
        </w:rPr>
        <w:fldChar w:fldCharType="separate"/>
      </w:r>
      <w:r w:rsidR="00F874C7">
        <w:rPr>
          <w:noProof/>
        </w:rPr>
        <w:t>28</w:t>
      </w:r>
      <w:r>
        <w:rPr>
          <w:noProof/>
        </w:rPr>
        <w:fldChar w:fldCharType="end"/>
      </w:r>
    </w:p>
    <w:p w:rsidR="00174521" w:rsidRDefault="00174521">
      <w:pPr>
        <w:pStyle w:val="TOC2"/>
        <w:tabs>
          <w:tab w:val="right" w:leader="dot" w:pos="9318"/>
        </w:tabs>
        <w:rPr>
          <w:rFonts w:asciiTheme="minorHAnsi" w:eastAsiaTheme="minorEastAsia" w:hAnsiTheme="minorHAnsi" w:cstheme="minorBidi"/>
          <w:noProof/>
          <w:szCs w:val="22"/>
          <w:lang w:eastAsia="en-GB"/>
        </w:rPr>
      </w:pPr>
      <w:r>
        <w:rPr>
          <w:noProof/>
        </w:rPr>
        <w:t>Annex 6: List of individuals/organisations consulted</w:t>
      </w:r>
      <w:r>
        <w:rPr>
          <w:noProof/>
        </w:rPr>
        <w:tab/>
      </w:r>
      <w:r>
        <w:rPr>
          <w:noProof/>
        </w:rPr>
        <w:fldChar w:fldCharType="begin"/>
      </w:r>
      <w:r>
        <w:rPr>
          <w:noProof/>
        </w:rPr>
        <w:instrText xml:space="preserve"> PAGEREF _Toc394509383 \h </w:instrText>
      </w:r>
      <w:r>
        <w:rPr>
          <w:noProof/>
        </w:rPr>
      </w:r>
      <w:r>
        <w:rPr>
          <w:noProof/>
        </w:rPr>
        <w:fldChar w:fldCharType="separate"/>
      </w:r>
      <w:r w:rsidR="00F874C7">
        <w:rPr>
          <w:noProof/>
        </w:rPr>
        <w:t>29</w:t>
      </w:r>
      <w:r>
        <w:rPr>
          <w:noProof/>
        </w:rPr>
        <w:fldChar w:fldCharType="end"/>
      </w:r>
    </w:p>
    <w:p w:rsidR="00174521" w:rsidRDefault="00174521">
      <w:pPr>
        <w:pStyle w:val="TOC2"/>
        <w:tabs>
          <w:tab w:val="right" w:leader="dot" w:pos="9318"/>
        </w:tabs>
        <w:rPr>
          <w:rFonts w:asciiTheme="minorHAnsi" w:eastAsiaTheme="minorEastAsia" w:hAnsiTheme="minorHAnsi" w:cstheme="minorBidi"/>
          <w:noProof/>
          <w:szCs w:val="22"/>
          <w:lang w:eastAsia="en-GB"/>
        </w:rPr>
      </w:pPr>
      <w:r>
        <w:rPr>
          <w:noProof/>
        </w:rPr>
        <w:t xml:space="preserve">Annex 7: Impact Assessment of </w:t>
      </w:r>
      <w:r w:rsidRPr="008A1D9F">
        <w:rPr>
          <w:rFonts w:cs="Arial"/>
          <w:noProof/>
        </w:rPr>
        <w:t>proposed amendments to schedule 5 - the match test - part 1 and schedule 4 - the cigarette test - of the furniture and furnishings (fire) (safety) regulations 1988</w:t>
      </w:r>
      <w:r>
        <w:rPr>
          <w:noProof/>
        </w:rPr>
        <w:tab/>
      </w:r>
      <w:r>
        <w:rPr>
          <w:noProof/>
        </w:rPr>
        <w:fldChar w:fldCharType="begin"/>
      </w:r>
      <w:r>
        <w:rPr>
          <w:noProof/>
        </w:rPr>
        <w:instrText xml:space="preserve"> PAGEREF _Toc394509384 \h </w:instrText>
      </w:r>
      <w:r>
        <w:rPr>
          <w:noProof/>
        </w:rPr>
      </w:r>
      <w:r>
        <w:rPr>
          <w:noProof/>
        </w:rPr>
        <w:fldChar w:fldCharType="separate"/>
      </w:r>
      <w:r w:rsidR="00F874C7">
        <w:rPr>
          <w:noProof/>
        </w:rPr>
        <w:t>31</w:t>
      </w:r>
      <w:r>
        <w:rPr>
          <w:noProof/>
        </w:rPr>
        <w:fldChar w:fldCharType="end"/>
      </w:r>
    </w:p>
    <w:p w:rsidR="00174521" w:rsidRDefault="00174521">
      <w:pPr>
        <w:pStyle w:val="TOC1"/>
        <w:tabs>
          <w:tab w:val="right" w:leader="dot" w:pos="9318"/>
        </w:tabs>
        <w:rPr>
          <w:rFonts w:asciiTheme="minorHAnsi" w:eastAsiaTheme="minorEastAsia" w:hAnsiTheme="minorHAnsi" w:cstheme="minorBidi"/>
          <w:b w:val="0"/>
          <w:noProof/>
          <w:szCs w:val="22"/>
          <w:lang w:eastAsia="en-GB"/>
        </w:rPr>
      </w:pPr>
      <w:r>
        <w:rPr>
          <w:noProof/>
        </w:rPr>
        <w:t>Impact Assessment (IA)</w:t>
      </w:r>
      <w:r>
        <w:rPr>
          <w:noProof/>
        </w:rPr>
        <w:tab/>
      </w:r>
      <w:r>
        <w:rPr>
          <w:noProof/>
        </w:rPr>
        <w:fldChar w:fldCharType="begin"/>
      </w:r>
      <w:r>
        <w:rPr>
          <w:noProof/>
        </w:rPr>
        <w:instrText xml:space="preserve"> PAGEREF _Toc394509385 \h </w:instrText>
      </w:r>
      <w:r>
        <w:rPr>
          <w:noProof/>
        </w:rPr>
      </w:r>
      <w:r>
        <w:rPr>
          <w:noProof/>
        </w:rPr>
        <w:fldChar w:fldCharType="separate"/>
      </w:r>
      <w:r w:rsidR="00F874C7">
        <w:rPr>
          <w:noProof/>
        </w:rPr>
        <w:t>31</w:t>
      </w:r>
      <w:r>
        <w:rPr>
          <w:noProof/>
        </w:rPr>
        <w:fldChar w:fldCharType="end"/>
      </w:r>
    </w:p>
    <w:p w:rsidR="00174521" w:rsidRDefault="00174521">
      <w:pPr>
        <w:pStyle w:val="TOC1"/>
        <w:tabs>
          <w:tab w:val="right" w:leader="dot" w:pos="9318"/>
        </w:tabs>
        <w:rPr>
          <w:rFonts w:asciiTheme="minorHAnsi" w:eastAsiaTheme="minorEastAsia" w:hAnsiTheme="minorHAnsi" w:cstheme="minorBidi"/>
          <w:b w:val="0"/>
          <w:noProof/>
          <w:szCs w:val="22"/>
          <w:lang w:eastAsia="en-GB"/>
        </w:rPr>
      </w:pPr>
      <w:r w:rsidRPr="008A1D9F">
        <w:rPr>
          <w:rFonts w:eastAsia="SimSun"/>
          <w:noProof/>
        </w:rPr>
        <w:t>Summary: Intervention and Options</w:t>
      </w:r>
      <w:r>
        <w:rPr>
          <w:noProof/>
        </w:rPr>
        <w:tab/>
      </w:r>
      <w:r>
        <w:rPr>
          <w:noProof/>
        </w:rPr>
        <w:fldChar w:fldCharType="begin"/>
      </w:r>
      <w:r>
        <w:rPr>
          <w:noProof/>
        </w:rPr>
        <w:instrText xml:space="preserve"> PAGEREF _Toc394509386 \h </w:instrText>
      </w:r>
      <w:r>
        <w:rPr>
          <w:noProof/>
        </w:rPr>
      </w:r>
      <w:r>
        <w:rPr>
          <w:noProof/>
        </w:rPr>
        <w:fldChar w:fldCharType="separate"/>
      </w:r>
      <w:r w:rsidR="00F874C7">
        <w:rPr>
          <w:noProof/>
        </w:rPr>
        <w:t>31</w:t>
      </w:r>
      <w:r>
        <w:rPr>
          <w:noProof/>
        </w:rPr>
        <w:fldChar w:fldCharType="end"/>
      </w:r>
    </w:p>
    <w:p w:rsidR="00174521" w:rsidRDefault="00174521">
      <w:pPr>
        <w:pStyle w:val="TOC1"/>
        <w:tabs>
          <w:tab w:val="right" w:leader="dot" w:pos="9318"/>
        </w:tabs>
        <w:rPr>
          <w:rFonts w:asciiTheme="minorHAnsi" w:eastAsiaTheme="minorEastAsia" w:hAnsiTheme="minorHAnsi" w:cstheme="minorBidi"/>
          <w:b w:val="0"/>
          <w:noProof/>
          <w:szCs w:val="22"/>
          <w:lang w:eastAsia="en-GB"/>
        </w:rPr>
      </w:pPr>
      <w:r w:rsidRPr="008A1D9F">
        <w:rPr>
          <w:rFonts w:eastAsia="SimSun"/>
          <w:noProof/>
        </w:rPr>
        <w:t>RPC Opinion:</w:t>
      </w:r>
      <w:r>
        <w:rPr>
          <w:noProof/>
        </w:rPr>
        <w:tab/>
      </w:r>
      <w:r>
        <w:rPr>
          <w:noProof/>
        </w:rPr>
        <w:fldChar w:fldCharType="begin"/>
      </w:r>
      <w:r>
        <w:rPr>
          <w:noProof/>
        </w:rPr>
        <w:instrText xml:space="preserve"> PAGEREF _Toc394509387 \h </w:instrText>
      </w:r>
      <w:r>
        <w:rPr>
          <w:noProof/>
        </w:rPr>
      </w:r>
      <w:r>
        <w:rPr>
          <w:noProof/>
        </w:rPr>
        <w:fldChar w:fldCharType="separate"/>
      </w:r>
      <w:r w:rsidR="00F874C7">
        <w:rPr>
          <w:noProof/>
        </w:rPr>
        <w:t>31</w:t>
      </w:r>
      <w:r>
        <w:rPr>
          <w:noProof/>
        </w:rPr>
        <w:fldChar w:fldCharType="end"/>
      </w:r>
    </w:p>
    <w:p w:rsidR="00174521" w:rsidRDefault="00174521">
      <w:pPr>
        <w:pStyle w:val="TOC1"/>
        <w:tabs>
          <w:tab w:val="right" w:leader="dot" w:pos="9318"/>
        </w:tabs>
        <w:rPr>
          <w:rFonts w:asciiTheme="minorHAnsi" w:eastAsiaTheme="minorEastAsia" w:hAnsiTheme="minorHAnsi" w:cstheme="minorBidi"/>
          <w:b w:val="0"/>
          <w:noProof/>
          <w:szCs w:val="22"/>
          <w:lang w:eastAsia="en-GB"/>
        </w:rPr>
      </w:pPr>
      <w:r w:rsidRPr="008A1D9F">
        <w:rPr>
          <w:rFonts w:ascii="Arial Bold" w:hAnsi="Arial Bold"/>
          <w:noProof/>
          <w:color w:val="000000"/>
        </w:rPr>
        <w:t>Evidence Base</w:t>
      </w:r>
      <w:r>
        <w:rPr>
          <w:noProof/>
        </w:rPr>
        <w:tab/>
      </w:r>
      <w:r>
        <w:rPr>
          <w:noProof/>
        </w:rPr>
        <w:fldChar w:fldCharType="begin"/>
      </w:r>
      <w:r>
        <w:rPr>
          <w:noProof/>
        </w:rPr>
        <w:instrText xml:space="preserve"> PAGEREF _Toc394509390 \h </w:instrText>
      </w:r>
      <w:r>
        <w:rPr>
          <w:noProof/>
        </w:rPr>
      </w:r>
      <w:r>
        <w:rPr>
          <w:noProof/>
        </w:rPr>
        <w:fldChar w:fldCharType="separate"/>
      </w:r>
      <w:r w:rsidR="00F874C7">
        <w:rPr>
          <w:noProof/>
        </w:rPr>
        <w:t>37</w:t>
      </w:r>
      <w:r>
        <w:rPr>
          <w:noProof/>
        </w:rPr>
        <w:fldChar w:fldCharType="end"/>
      </w:r>
    </w:p>
    <w:p w:rsidR="00174521" w:rsidRDefault="00174521">
      <w:pPr>
        <w:pStyle w:val="TOC2"/>
        <w:tabs>
          <w:tab w:val="right" w:leader="dot" w:pos="9318"/>
        </w:tabs>
        <w:rPr>
          <w:rFonts w:asciiTheme="minorHAnsi" w:eastAsiaTheme="minorEastAsia" w:hAnsiTheme="minorHAnsi" w:cstheme="minorBidi"/>
          <w:noProof/>
          <w:szCs w:val="22"/>
          <w:lang w:eastAsia="en-GB"/>
        </w:rPr>
      </w:pPr>
      <w:r>
        <w:rPr>
          <w:noProof/>
        </w:rPr>
        <w:t>Annex 8: Response form</w:t>
      </w:r>
      <w:r>
        <w:rPr>
          <w:noProof/>
        </w:rPr>
        <w:tab/>
      </w:r>
      <w:r>
        <w:rPr>
          <w:noProof/>
        </w:rPr>
        <w:fldChar w:fldCharType="begin"/>
      </w:r>
      <w:r>
        <w:rPr>
          <w:noProof/>
        </w:rPr>
        <w:instrText xml:space="preserve"> PAGEREF _Toc394509391 \h </w:instrText>
      </w:r>
      <w:r>
        <w:rPr>
          <w:noProof/>
        </w:rPr>
      </w:r>
      <w:r>
        <w:rPr>
          <w:noProof/>
        </w:rPr>
        <w:fldChar w:fldCharType="separate"/>
      </w:r>
      <w:r w:rsidR="00F874C7">
        <w:rPr>
          <w:noProof/>
        </w:rPr>
        <w:t>57</w:t>
      </w:r>
      <w:r>
        <w:rPr>
          <w:noProof/>
        </w:rPr>
        <w:fldChar w:fldCharType="end"/>
      </w:r>
    </w:p>
    <w:p w:rsidR="009C7346" w:rsidRPr="00AC561B" w:rsidRDefault="00174521" w:rsidP="0056597A">
      <w:pPr>
        <w:pStyle w:val="Heading1"/>
        <w:rPr>
          <w:rFonts w:ascii="Arial Bold" w:hAnsi="Arial Bold"/>
          <w:sz w:val="32"/>
        </w:rPr>
      </w:pPr>
      <w:r>
        <w:rPr>
          <w:rFonts w:ascii="Arial Bold" w:hAnsi="Arial Bold"/>
          <w:sz w:val="32"/>
        </w:rPr>
        <w:fldChar w:fldCharType="end"/>
      </w:r>
      <w:r w:rsidR="00161441">
        <w:rPr>
          <w:rFonts w:ascii="Arial Bold" w:hAnsi="Arial Bold"/>
          <w:sz w:val="32"/>
        </w:rPr>
        <w:br w:type="column"/>
      </w:r>
      <w:bookmarkStart w:id="5" w:name="_Toc394509359"/>
      <w:r w:rsidR="008C69AB" w:rsidRPr="00AC561B">
        <w:rPr>
          <w:rFonts w:ascii="Arial Bold" w:hAnsi="Arial Bold"/>
          <w:sz w:val="32"/>
        </w:rPr>
        <w:lastRenderedPageBreak/>
        <w:t>C</w:t>
      </w:r>
      <w:r w:rsidR="008C69AB" w:rsidRPr="00AC561B">
        <w:rPr>
          <w:rFonts w:ascii="Arial Bold" w:hAnsi="Arial Bold" w:cs="Arial"/>
          <w:sz w:val="32"/>
        </w:rPr>
        <w:t>onsultation on Proposed Amendment</w:t>
      </w:r>
      <w:r w:rsidR="00A47AB9">
        <w:rPr>
          <w:rFonts w:ascii="Arial Bold" w:hAnsi="Arial Bold" w:cs="Arial"/>
          <w:sz w:val="32"/>
        </w:rPr>
        <w:t>s</w:t>
      </w:r>
      <w:r w:rsidR="008C69AB" w:rsidRPr="00AC561B">
        <w:rPr>
          <w:rFonts w:ascii="Arial Bold" w:hAnsi="Arial Bold" w:cs="Arial"/>
          <w:sz w:val="32"/>
        </w:rPr>
        <w:t xml:space="preserve"> to Schedule 5 - The Match Test - </w:t>
      </w:r>
      <w:r w:rsidR="00F702B6" w:rsidRPr="00AC561B">
        <w:rPr>
          <w:rFonts w:ascii="Arial Bold" w:hAnsi="Arial Bold" w:cs="Arial"/>
          <w:sz w:val="32"/>
        </w:rPr>
        <w:t xml:space="preserve">Part 1 - </w:t>
      </w:r>
      <w:r w:rsidR="00A47AB9">
        <w:rPr>
          <w:rFonts w:ascii="Arial Bold" w:hAnsi="Arial Bold" w:cs="Arial"/>
          <w:sz w:val="32"/>
        </w:rPr>
        <w:t xml:space="preserve">and Schedule 4 - The Cigarette Test - </w:t>
      </w:r>
      <w:r w:rsidR="00F702B6" w:rsidRPr="00AC561B">
        <w:rPr>
          <w:rFonts w:ascii="Arial Bold" w:hAnsi="Arial Bold" w:cs="Arial"/>
          <w:sz w:val="32"/>
        </w:rPr>
        <w:t>of T</w:t>
      </w:r>
      <w:r w:rsidR="008C69AB" w:rsidRPr="00AC561B">
        <w:rPr>
          <w:rFonts w:ascii="Arial Bold" w:hAnsi="Arial Bold" w:cs="Arial"/>
          <w:sz w:val="32"/>
        </w:rPr>
        <w:t>he Furniture and Furnishings (Fire) (Safety) Regulations 1988</w:t>
      </w:r>
      <w:bookmarkEnd w:id="0"/>
      <w:bookmarkEnd w:id="3"/>
      <w:bookmarkEnd w:id="4"/>
      <w:bookmarkEnd w:id="5"/>
    </w:p>
    <w:p w:rsidR="002C23EC" w:rsidRDefault="00785C26" w:rsidP="002C23EC">
      <w:pPr>
        <w:ind w:right="180"/>
      </w:pPr>
      <w:bookmarkStart w:id="6" w:name="OLE_LINK12"/>
      <w:bookmarkStart w:id="7" w:name="OLE_LINK13"/>
      <w:bookmarkStart w:id="8" w:name="OLE_LINK5"/>
      <w:r w:rsidRPr="00F7484D">
        <w:rPr>
          <w:rStyle w:val="Heading4Char1"/>
        </w:rPr>
        <w:t>Brief e</w:t>
      </w:r>
      <w:r w:rsidR="00F702B6" w:rsidRPr="00F7484D">
        <w:rPr>
          <w:rStyle w:val="Heading4Char1"/>
        </w:rPr>
        <w:t>xplanation of what this consultation seeks to achieve</w:t>
      </w:r>
      <w:r w:rsidR="00F702B6">
        <w:t>:</w:t>
      </w:r>
      <w:bookmarkStart w:id="9" w:name="OLE_LINK7"/>
      <w:bookmarkStart w:id="10" w:name="OLE_LINK8"/>
    </w:p>
    <w:p w:rsidR="00E72713" w:rsidRDefault="00F702B6" w:rsidP="00F702B6">
      <w:pPr>
        <w:ind w:right="180"/>
      </w:pPr>
      <w:r w:rsidRPr="009176D9">
        <w:t>The Furniture and Furnishings (Fire) (Safety) Regulations 1988 (FFRs) set levels of fire resistance for domestic upholstered furniture, furnishings and other products containing upholstery</w:t>
      </w:r>
      <w:bookmarkEnd w:id="9"/>
      <w:bookmarkEnd w:id="10"/>
      <w:r w:rsidRPr="009176D9">
        <w:t>.</w:t>
      </w:r>
      <w:r>
        <w:t xml:space="preserve"> </w:t>
      </w:r>
      <w:r w:rsidRPr="009176D9">
        <w:t xml:space="preserve">This consultation sets out the Government's intention to </w:t>
      </w:r>
      <w:r>
        <w:t>change the specification for the match test</w:t>
      </w:r>
      <w:r w:rsidR="004C5B2B">
        <w:t xml:space="preserve"> and the requirements for the cigarette test</w:t>
      </w:r>
      <w:r w:rsidR="002C23EC">
        <w:t xml:space="preserve"> (</w:t>
      </w:r>
      <w:r w:rsidR="004C5B2B">
        <w:t xml:space="preserve">both </w:t>
      </w:r>
      <w:r w:rsidR="002C23EC">
        <w:t>for covering fabrics)</w:t>
      </w:r>
      <w:r>
        <w:t xml:space="preserve"> in the FFRs and </w:t>
      </w:r>
      <w:r w:rsidRPr="009176D9">
        <w:t xml:space="preserve">seeks stakeholders' views. </w:t>
      </w:r>
    </w:p>
    <w:p w:rsidR="00F702B6" w:rsidRPr="009176D9" w:rsidRDefault="00F702B6" w:rsidP="00F702B6">
      <w:pPr>
        <w:ind w:right="180"/>
        <w:rPr>
          <w:rFonts w:cs="Arial"/>
        </w:rPr>
      </w:pPr>
      <w:r>
        <w:t>In essence, t</w:t>
      </w:r>
      <w:r w:rsidRPr="009176D9">
        <w:t>he new specification will</w:t>
      </w:r>
      <w:r>
        <w:t xml:space="preserve"> change the require</w:t>
      </w:r>
      <w:r w:rsidR="002C23EC">
        <w:t xml:space="preserve">d test filling material </w:t>
      </w:r>
      <w:r w:rsidR="000207C3">
        <w:t xml:space="preserve">in the match test </w:t>
      </w:r>
      <w:r w:rsidR="002C23EC">
        <w:t xml:space="preserve">from a non-fire retardant polyurethane foam to a combustion-modified foam. BIS believes this can result in a reduction of up to 50% of </w:t>
      </w:r>
      <w:r w:rsidR="00E72713">
        <w:t>flame retardant chemicals</w:t>
      </w:r>
      <w:r w:rsidR="002C23EC">
        <w:t xml:space="preserve"> </w:t>
      </w:r>
      <w:r w:rsidR="00E72713">
        <w:t xml:space="preserve">often </w:t>
      </w:r>
      <w:r w:rsidR="002C23EC">
        <w:t>currently used to meet this test</w:t>
      </w:r>
      <w:r w:rsidR="002731DB">
        <w:t xml:space="preserve">. (Also, </w:t>
      </w:r>
      <w:r w:rsidR="00785C26">
        <w:t xml:space="preserve">with the utilisation of new and existing technologies </w:t>
      </w:r>
      <w:r w:rsidR="002731DB">
        <w:t xml:space="preserve">which the changes will make </w:t>
      </w:r>
      <w:r w:rsidR="00785C26">
        <w:t>viable</w:t>
      </w:r>
      <w:r w:rsidR="002731DB">
        <w:t>, there</w:t>
      </w:r>
      <w:r w:rsidR="00785C26">
        <w:t xml:space="preserve"> could </w:t>
      </w:r>
      <w:r w:rsidR="002731DB">
        <w:t>be</w:t>
      </w:r>
      <w:r w:rsidR="00785C26">
        <w:t xml:space="preserve"> a </w:t>
      </w:r>
      <w:r w:rsidR="002731DB">
        <w:t>100%</w:t>
      </w:r>
      <w:r w:rsidR="00785C26">
        <w:t xml:space="preserve"> reduction.</w:t>
      </w:r>
      <w:r w:rsidR="002731DB">
        <w:t>)</w:t>
      </w:r>
      <w:r w:rsidR="00785C26">
        <w:t xml:space="preserve"> This will bring benefits to health and the environment</w:t>
      </w:r>
      <w:r w:rsidR="002C23EC">
        <w:t>,</w:t>
      </w:r>
      <w:r w:rsidR="00785C26">
        <w:t xml:space="preserve"> as well as</w:t>
      </w:r>
      <w:r w:rsidR="002C23EC">
        <w:t xml:space="preserve"> substantial savings to </w:t>
      </w:r>
      <w:r w:rsidR="00E72713">
        <w:t>manufacturers, suppliers and retailers</w:t>
      </w:r>
      <w:r w:rsidR="002C23EC">
        <w:t>.</w:t>
      </w:r>
      <w:r w:rsidR="00A47AB9">
        <w:t xml:space="preserve"> In addition, BIS intends to exclude most cover fabrics from </w:t>
      </w:r>
      <w:r w:rsidR="00EE3A6B">
        <w:t xml:space="preserve">the cigarette test requirement (on the grounds that </w:t>
      </w:r>
      <w:r w:rsidR="00016CA4">
        <w:t>any fabric which passes the match test will also pass the cigarette test</w:t>
      </w:r>
      <w:r w:rsidR="00EE3A6B">
        <w:t xml:space="preserve">). </w:t>
      </w:r>
    </w:p>
    <w:bookmarkEnd w:id="6"/>
    <w:bookmarkEnd w:id="7"/>
    <w:bookmarkEnd w:id="8"/>
    <w:p w:rsidR="00F702B6" w:rsidRPr="009176D9" w:rsidRDefault="00F702B6" w:rsidP="00F702B6">
      <w:pPr>
        <w:ind w:right="180"/>
        <w:rPr>
          <w:rFonts w:cs="Arial"/>
        </w:rPr>
      </w:pPr>
      <w:r w:rsidRPr="009176D9">
        <w:rPr>
          <w:rFonts w:cs="Arial"/>
        </w:rPr>
        <w:t xml:space="preserve">The FFRs were made using the power to make safety regulations under section 11 of the Consumer Protection Act 1987. </w:t>
      </w:r>
      <w:r w:rsidR="00081757">
        <w:rPr>
          <w:rFonts w:cs="Arial"/>
        </w:rPr>
        <w:t>Section11(5) of the same Act</w:t>
      </w:r>
      <w:r w:rsidRPr="009176D9">
        <w:rPr>
          <w:rFonts w:cs="Arial"/>
        </w:rPr>
        <w:t xml:space="preserve"> requires the Secretary of State to consult with various interests, and this consultation document, which will be made available to stakeholders and </w:t>
      </w:r>
      <w:r>
        <w:rPr>
          <w:rFonts w:cs="Arial"/>
        </w:rPr>
        <w:t>to</w:t>
      </w:r>
      <w:r w:rsidRPr="009176D9">
        <w:rPr>
          <w:rFonts w:cs="Arial"/>
        </w:rPr>
        <w:t xml:space="preserve"> other formal and informal contacts, satisfies that requirement.</w:t>
      </w:r>
    </w:p>
    <w:p w:rsidR="00F702B6" w:rsidRPr="009176D9" w:rsidRDefault="00F702B6" w:rsidP="00F702B6">
      <w:pPr>
        <w:pBdr>
          <w:top w:val="single" w:sz="4" w:space="1" w:color="auto"/>
          <w:left w:val="single" w:sz="4" w:space="11" w:color="auto"/>
          <w:bottom w:val="single" w:sz="4" w:space="17" w:color="auto"/>
          <w:right w:val="single" w:sz="4" w:space="4" w:color="auto"/>
        </w:pBdr>
        <w:ind w:right="180"/>
        <w:rPr>
          <w:rFonts w:cs="Arial"/>
          <w:bCs/>
        </w:rPr>
      </w:pPr>
      <w:r w:rsidRPr="009176D9">
        <w:rPr>
          <w:rFonts w:cs="Arial"/>
          <w:bCs/>
        </w:rPr>
        <w:t>Issued:</w:t>
      </w:r>
      <w:r w:rsidRPr="009176D9">
        <w:rPr>
          <w:rFonts w:cs="Arial"/>
          <w:bCs/>
        </w:rPr>
        <w:tab/>
        <w:t xml:space="preserve">       </w:t>
      </w:r>
      <w:r>
        <w:rPr>
          <w:rFonts w:cs="Arial"/>
          <w:bCs/>
        </w:rPr>
        <w:t xml:space="preserve">   </w:t>
      </w:r>
      <w:r w:rsidR="00D43390">
        <w:rPr>
          <w:rFonts w:cs="Arial"/>
          <w:bCs/>
        </w:rPr>
        <w:t>7</w:t>
      </w:r>
      <w:r w:rsidR="00F325DD" w:rsidRPr="00F325DD">
        <w:rPr>
          <w:rFonts w:cs="Arial"/>
          <w:bCs/>
          <w:vertAlign w:val="superscript"/>
        </w:rPr>
        <w:t>th</w:t>
      </w:r>
      <w:r w:rsidR="00F325DD">
        <w:rPr>
          <w:rFonts w:cs="Arial"/>
          <w:bCs/>
        </w:rPr>
        <w:t xml:space="preserve"> </w:t>
      </w:r>
      <w:r w:rsidR="00D43390">
        <w:rPr>
          <w:rFonts w:cs="Arial"/>
          <w:bCs/>
        </w:rPr>
        <w:t>August</w:t>
      </w:r>
      <w:r>
        <w:rPr>
          <w:rFonts w:cs="Arial"/>
          <w:bCs/>
        </w:rPr>
        <w:t xml:space="preserve"> 2014</w:t>
      </w:r>
      <w:r w:rsidRPr="009176D9">
        <w:rPr>
          <w:rFonts w:cs="Arial"/>
          <w:bCs/>
        </w:rPr>
        <w:tab/>
      </w:r>
    </w:p>
    <w:p w:rsidR="00F702B6" w:rsidRPr="009176D9" w:rsidRDefault="00F702B6" w:rsidP="00F702B6">
      <w:pPr>
        <w:pStyle w:val="DfESOutNumbered"/>
        <w:numPr>
          <w:ilvl w:val="0"/>
          <w:numId w:val="0"/>
        </w:numPr>
        <w:pBdr>
          <w:top w:val="single" w:sz="4" w:space="1" w:color="auto"/>
          <w:left w:val="single" w:sz="4" w:space="4" w:color="auto"/>
          <w:bottom w:val="single" w:sz="4" w:space="17" w:color="auto"/>
          <w:right w:val="single" w:sz="4" w:space="4" w:color="auto"/>
        </w:pBdr>
        <w:spacing w:after="0"/>
        <w:ind w:right="180"/>
        <w:rPr>
          <w:rFonts w:cs="Arial"/>
          <w:bCs/>
          <w:sz w:val="24"/>
          <w:szCs w:val="24"/>
        </w:rPr>
      </w:pPr>
    </w:p>
    <w:p w:rsidR="00F702B6" w:rsidRPr="009176D9" w:rsidRDefault="00F702B6" w:rsidP="00F702B6">
      <w:pPr>
        <w:pStyle w:val="DfESOutNumbered"/>
        <w:numPr>
          <w:ilvl w:val="0"/>
          <w:numId w:val="0"/>
        </w:numPr>
        <w:pBdr>
          <w:top w:val="single" w:sz="4" w:space="1" w:color="auto"/>
          <w:left w:val="single" w:sz="4" w:space="4" w:color="auto"/>
          <w:bottom w:val="single" w:sz="4" w:space="17" w:color="auto"/>
          <w:right w:val="single" w:sz="4" w:space="4" w:color="auto"/>
        </w:pBdr>
        <w:spacing w:after="0"/>
        <w:ind w:right="180"/>
        <w:rPr>
          <w:rFonts w:cs="Arial"/>
          <w:bCs/>
          <w:sz w:val="24"/>
          <w:szCs w:val="24"/>
        </w:rPr>
      </w:pPr>
      <w:r w:rsidRPr="009176D9">
        <w:rPr>
          <w:rFonts w:cs="Arial"/>
          <w:bCs/>
          <w:sz w:val="24"/>
          <w:szCs w:val="24"/>
        </w:rPr>
        <w:t xml:space="preserve">Respond by:       </w:t>
      </w:r>
      <w:r>
        <w:rPr>
          <w:rFonts w:cs="Arial"/>
          <w:bCs/>
          <w:sz w:val="24"/>
          <w:szCs w:val="24"/>
        </w:rPr>
        <w:t xml:space="preserve">     </w:t>
      </w:r>
      <w:r w:rsidR="00D43390">
        <w:rPr>
          <w:rFonts w:cs="Arial"/>
          <w:bCs/>
          <w:sz w:val="24"/>
          <w:szCs w:val="24"/>
        </w:rPr>
        <w:t>7</w:t>
      </w:r>
      <w:r w:rsidR="00D43390" w:rsidRPr="00D43390">
        <w:rPr>
          <w:rFonts w:cs="Arial"/>
          <w:bCs/>
          <w:sz w:val="24"/>
          <w:szCs w:val="24"/>
          <w:vertAlign w:val="superscript"/>
        </w:rPr>
        <w:t>th</w:t>
      </w:r>
      <w:r w:rsidR="00D43390">
        <w:rPr>
          <w:rFonts w:cs="Arial"/>
          <w:bCs/>
          <w:sz w:val="24"/>
          <w:szCs w:val="24"/>
        </w:rPr>
        <w:t xml:space="preserve"> October</w:t>
      </w:r>
      <w:r>
        <w:rPr>
          <w:rFonts w:cs="Arial"/>
          <w:bCs/>
          <w:sz w:val="24"/>
          <w:szCs w:val="24"/>
        </w:rPr>
        <w:t xml:space="preserve"> </w:t>
      </w:r>
      <w:r w:rsidRPr="009176D9">
        <w:rPr>
          <w:rFonts w:cs="Arial"/>
          <w:bCs/>
          <w:sz w:val="24"/>
          <w:szCs w:val="24"/>
        </w:rPr>
        <w:t>2</w:t>
      </w:r>
      <w:r>
        <w:rPr>
          <w:rFonts w:cs="Arial"/>
          <w:bCs/>
          <w:sz w:val="24"/>
          <w:szCs w:val="24"/>
        </w:rPr>
        <w:t>014</w:t>
      </w:r>
    </w:p>
    <w:p w:rsidR="00F702B6" w:rsidRPr="009176D9" w:rsidRDefault="00F702B6" w:rsidP="00F702B6">
      <w:pPr>
        <w:pStyle w:val="DfESOutNumbered"/>
        <w:numPr>
          <w:ilvl w:val="0"/>
          <w:numId w:val="0"/>
        </w:numPr>
        <w:pBdr>
          <w:top w:val="single" w:sz="4" w:space="1" w:color="auto"/>
          <w:left w:val="single" w:sz="4" w:space="4" w:color="auto"/>
          <w:bottom w:val="single" w:sz="4" w:space="17" w:color="auto"/>
          <w:right w:val="single" w:sz="4" w:space="4" w:color="auto"/>
        </w:pBdr>
        <w:spacing w:after="0"/>
        <w:ind w:right="180"/>
        <w:rPr>
          <w:rFonts w:cs="Arial"/>
          <w:bCs/>
          <w:sz w:val="24"/>
          <w:szCs w:val="24"/>
        </w:rPr>
      </w:pPr>
    </w:p>
    <w:p w:rsidR="00F702B6" w:rsidRPr="009176D9" w:rsidRDefault="00F702B6" w:rsidP="00F702B6">
      <w:pPr>
        <w:pStyle w:val="DfESOutNumbered"/>
        <w:numPr>
          <w:ilvl w:val="0"/>
          <w:numId w:val="0"/>
        </w:numPr>
        <w:pBdr>
          <w:top w:val="single" w:sz="4" w:space="1" w:color="auto"/>
          <w:left w:val="single" w:sz="4" w:space="4" w:color="auto"/>
          <w:bottom w:val="single" w:sz="4" w:space="17" w:color="auto"/>
          <w:right w:val="single" w:sz="4" w:space="4" w:color="auto"/>
        </w:pBdr>
        <w:spacing w:after="0"/>
        <w:ind w:right="180"/>
        <w:rPr>
          <w:rFonts w:cs="Arial"/>
          <w:bCs/>
          <w:sz w:val="24"/>
          <w:szCs w:val="24"/>
        </w:rPr>
      </w:pPr>
      <w:r w:rsidRPr="009176D9">
        <w:rPr>
          <w:rFonts w:cs="Arial"/>
          <w:bCs/>
          <w:sz w:val="24"/>
          <w:szCs w:val="24"/>
        </w:rPr>
        <w:t xml:space="preserve">Enquiries to: </w:t>
      </w:r>
      <w:r w:rsidRPr="009176D9">
        <w:rPr>
          <w:rFonts w:cs="Arial"/>
          <w:bCs/>
          <w:sz w:val="24"/>
          <w:szCs w:val="24"/>
        </w:rPr>
        <w:tab/>
      </w:r>
      <w:r>
        <w:rPr>
          <w:rFonts w:cs="Arial"/>
          <w:bCs/>
          <w:sz w:val="24"/>
          <w:szCs w:val="24"/>
        </w:rPr>
        <w:tab/>
      </w:r>
      <w:r w:rsidRPr="009176D9">
        <w:rPr>
          <w:rFonts w:cs="Arial"/>
          <w:bCs/>
          <w:sz w:val="24"/>
          <w:szCs w:val="24"/>
        </w:rPr>
        <w:t>Terry Edge</w:t>
      </w:r>
    </w:p>
    <w:p w:rsidR="00F702B6" w:rsidRPr="009176D9" w:rsidRDefault="00F702B6" w:rsidP="00F702B6">
      <w:pPr>
        <w:pStyle w:val="DfESOutNumbered"/>
        <w:numPr>
          <w:ilvl w:val="0"/>
          <w:numId w:val="0"/>
        </w:numPr>
        <w:pBdr>
          <w:top w:val="single" w:sz="4" w:space="1" w:color="auto"/>
          <w:left w:val="single" w:sz="4" w:space="4" w:color="auto"/>
          <w:bottom w:val="single" w:sz="4" w:space="17" w:color="auto"/>
          <w:right w:val="single" w:sz="4" w:space="4" w:color="auto"/>
        </w:pBdr>
        <w:spacing w:after="0"/>
        <w:ind w:right="180"/>
        <w:rPr>
          <w:rFonts w:cs="Arial"/>
          <w:bCs/>
          <w:sz w:val="24"/>
          <w:szCs w:val="24"/>
        </w:rPr>
      </w:pPr>
      <w:r w:rsidRPr="009176D9">
        <w:rPr>
          <w:rFonts w:cs="Arial"/>
          <w:bCs/>
          <w:sz w:val="24"/>
          <w:szCs w:val="24"/>
        </w:rPr>
        <w:tab/>
      </w:r>
      <w:r w:rsidRPr="009176D9">
        <w:rPr>
          <w:rFonts w:cs="Arial"/>
          <w:bCs/>
          <w:sz w:val="24"/>
          <w:szCs w:val="24"/>
        </w:rPr>
        <w:tab/>
      </w:r>
      <w:r w:rsidRPr="009176D9">
        <w:rPr>
          <w:rFonts w:cs="Arial"/>
          <w:bCs/>
          <w:sz w:val="24"/>
          <w:szCs w:val="24"/>
        </w:rPr>
        <w:tab/>
      </w:r>
      <w:r>
        <w:rPr>
          <w:rFonts w:cs="Arial"/>
          <w:bCs/>
          <w:sz w:val="24"/>
          <w:szCs w:val="24"/>
        </w:rPr>
        <w:t>D</w:t>
      </w:r>
      <w:r w:rsidRPr="009176D9">
        <w:rPr>
          <w:rFonts w:cs="Arial"/>
          <w:bCs/>
          <w:sz w:val="24"/>
          <w:szCs w:val="24"/>
        </w:rPr>
        <w:t xml:space="preserve">epartment for Business, </w:t>
      </w:r>
      <w:bookmarkStart w:id="11" w:name="OLE_LINK1"/>
      <w:bookmarkStart w:id="12" w:name="OLE_LINK2"/>
      <w:r w:rsidRPr="009176D9">
        <w:rPr>
          <w:rFonts w:cs="Arial"/>
          <w:bCs/>
          <w:sz w:val="24"/>
          <w:szCs w:val="24"/>
        </w:rPr>
        <w:t>Innovation and Skills</w:t>
      </w:r>
      <w:bookmarkEnd w:id="11"/>
      <w:bookmarkEnd w:id="12"/>
    </w:p>
    <w:p w:rsidR="00F702B6" w:rsidRPr="009176D9" w:rsidRDefault="00F702B6" w:rsidP="00F702B6">
      <w:pPr>
        <w:pStyle w:val="DfESOutNumbered"/>
        <w:numPr>
          <w:ilvl w:val="0"/>
          <w:numId w:val="0"/>
        </w:numPr>
        <w:pBdr>
          <w:top w:val="single" w:sz="4" w:space="1" w:color="auto"/>
          <w:left w:val="single" w:sz="4" w:space="4" w:color="auto"/>
          <w:bottom w:val="single" w:sz="4" w:space="17" w:color="auto"/>
          <w:right w:val="single" w:sz="4" w:space="4" w:color="auto"/>
        </w:pBdr>
        <w:spacing w:after="0"/>
        <w:ind w:right="180"/>
        <w:rPr>
          <w:rFonts w:cs="Arial"/>
          <w:bCs/>
          <w:sz w:val="24"/>
          <w:szCs w:val="24"/>
        </w:rPr>
      </w:pPr>
      <w:r w:rsidRPr="009176D9">
        <w:rPr>
          <w:rFonts w:cs="Arial"/>
          <w:bCs/>
          <w:sz w:val="24"/>
          <w:szCs w:val="24"/>
        </w:rPr>
        <w:tab/>
      </w:r>
      <w:r w:rsidRPr="009176D9">
        <w:rPr>
          <w:rFonts w:cs="Arial"/>
          <w:bCs/>
          <w:sz w:val="24"/>
          <w:szCs w:val="24"/>
        </w:rPr>
        <w:tab/>
      </w:r>
      <w:r w:rsidRPr="009176D9">
        <w:rPr>
          <w:rFonts w:cs="Arial"/>
          <w:bCs/>
          <w:sz w:val="24"/>
          <w:szCs w:val="24"/>
        </w:rPr>
        <w:tab/>
      </w:r>
      <w:r>
        <w:rPr>
          <w:rFonts w:cs="Arial"/>
          <w:bCs/>
          <w:sz w:val="24"/>
          <w:szCs w:val="24"/>
        </w:rPr>
        <w:t>Orchard 1, 4</w:t>
      </w:r>
      <w:r w:rsidRPr="00F702B6">
        <w:rPr>
          <w:rFonts w:cs="Arial"/>
          <w:bCs/>
          <w:sz w:val="24"/>
          <w:szCs w:val="24"/>
          <w:vertAlign w:val="superscript"/>
        </w:rPr>
        <w:t>th</w:t>
      </w:r>
      <w:r>
        <w:rPr>
          <w:rFonts w:cs="Arial"/>
          <w:bCs/>
          <w:sz w:val="24"/>
          <w:szCs w:val="24"/>
        </w:rPr>
        <w:t xml:space="preserve"> Floor</w:t>
      </w:r>
    </w:p>
    <w:p w:rsidR="00F702B6" w:rsidRPr="009176D9" w:rsidRDefault="00F702B6" w:rsidP="00F702B6">
      <w:pPr>
        <w:pStyle w:val="DfESOutNumbered"/>
        <w:numPr>
          <w:ilvl w:val="0"/>
          <w:numId w:val="0"/>
        </w:numPr>
        <w:pBdr>
          <w:top w:val="single" w:sz="4" w:space="1" w:color="auto"/>
          <w:left w:val="single" w:sz="4" w:space="4" w:color="auto"/>
          <w:bottom w:val="single" w:sz="4" w:space="17" w:color="auto"/>
          <w:right w:val="single" w:sz="4" w:space="4" w:color="auto"/>
        </w:pBdr>
        <w:spacing w:after="0"/>
        <w:ind w:right="180"/>
        <w:rPr>
          <w:rFonts w:cs="Arial"/>
          <w:bCs/>
          <w:sz w:val="24"/>
          <w:szCs w:val="24"/>
        </w:rPr>
      </w:pPr>
      <w:r w:rsidRPr="009176D9">
        <w:rPr>
          <w:rFonts w:cs="Arial"/>
          <w:bCs/>
          <w:sz w:val="24"/>
          <w:szCs w:val="24"/>
        </w:rPr>
        <w:tab/>
      </w:r>
      <w:r w:rsidRPr="009176D9">
        <w:rPr>
          <w:rFonts w:cs="Arial"/>
          <w:bCs/>
          <w:sz w:val="24"/>
          <w:szCs w:val="24"/>
        </w:rPr>
        <w:tab/>
      </w:r>
      <w:r w:rsidRPr="009176D9">
        <w:rPr>
          <w:rFonts w:cs="Arial"/>
          <w:bCs/>
          <w:sz w:val="24"/>
          <w:szCs w:val="24"/>
        </w:rPr>
        <w:tab/>
        <w:t>1 Victoria Street</w:t>
      </w:r>
    </w:p>
    <w:p w:rsidR="00F702B6" w:rsidRPr="009176D9" w:rsidRDefault="00F702B6" w:rsidP="00F702B6">
      <w:pPr>
        <w:pStyle w:val="DfESOutNumbered"/>
        <w:numPr>
          <w:ilvl w:val="0"/>
          <w:numId w:val="0"/>
        </w:numPr>
        <w:pBdr>
          <w:top w:val="single" w:sz="4" w:space="1" w:color="auto"/>
          <w:left w:val="single" w:sz="4" w:space="4" w:color="auto"/>
          <w:bottom w:val="single" w:sz="4" w:space="17" w:color="auto"/>
          <w:right w:val="single" w:sz="4" w:space="4" w:color="auto"/>
        </w:pBdr>
        <w:spacing w:after="0"/>
        <w:ind w:right="180"/>
        <w:rPr>
          <w:rFonts w:cs="Arial"/>
          <w:bCs/>
          <w:sz w:val="24"/>
          <w:szCs w:val="24"/>
        </w:rPr>
      </w:pPr>
      <w:r w:rsidRPr="009176D9">
        <w:rPr>
          <w:rFonts w:cs="Arial"/>
          <w:bCs/>
          <w:sz w:val="24"/>
          <w:szCs w:val="24"/>
        </w:rPr>
        <w:tab/>
      </w:r>
      <w:r w:rsidRPr="009176D9">
        <w:rPr>
          <w:rFonts w:cs="Arial"/>
          <w:bCs/>
          <w:sz w:val="24"/>
          <w:szCs w:val="24"/>
        </w:rPr>
        <w:tab/>
      </w:r>
      <w:r w:rsidRPr="009176D9">
        <w:rPr>
          <w:rFonts w:cs="Arial"/>
          <w:bCs/>
          <w:sz w:val="24"/>
          <w:szCs w:val="24"/>
        </w:rPr>
        <w:tab/>
        <w:t>London SW1H 0ET</w:t>
      </w:r>
    </w:p>
    <w:p w:rsidR="00F702B6" w:rsidRPr="009176D9" w:rsidRDefault="00F702B6" w:rsidP="00F702B6">
      <w:pPr>
        <w:pStyle w:val="DfESOutNumbered"/>
        <w:numPr>
          <w:ilvl w:val="0"/>
          <w:numId w:val="0"/>
        </w:numPr>
        <w:pBdr>
          <w:top w:val="single" w:sz="4" w:space="1" w:color="auto"/>
          <w:left w:val="single" w:sz="4" w:space="4" w:color="auto"/>
          <w:bottom w:val="single" w:sz="4" w:space="17" w:color="auto"/>
          <w:right w:val="single" w:sz="4" w:space="4" w:color="auto"/>
        </w:pBdr>
        <w:spacing w:after="0"/>
        <w:ind w:right="180"/>
        <w:rPr>
          <w:rFonts w:cs="Arial"/>
          <w:bCs/>
          <w:sz w:val="24"/>
          <w:szCs w:val="24"/>
        </w:rPr>
      </w:pPr>
    </w:p>
    <w:p w:rsidR="00F702B6" w:rsidRPr="00F702B6" w:rsidRDefault="00F702B6" w:rsidP="00F702B6">
      <w:pPr>
        <w:pStyle w:val="DfESOutNumbered"/>
        <w:numPr>
          <w:ilvl w:val="0"/>
          <w:numId w:val="0"/>
        </w:numPr>
        <w:pBdr>
          <w:top w:val="single" w:sz="4" w:space="1" w:color="auto"/>
          <w:left w:val="single" w:sz="4" w:space="4" w:color="auto"/>
          <w:bottom w:val="single" w:sz="4" w:space="17" w:color="auto"/>
          <w:right w:val="single" w:sz="4" w:space="4" w:color="auto"/>
        </w:pBdr>
        <w:spacing w:after="0"/>
        <w:ind w:right="180"/>
        <w:rPr>
          <w:rFonts w:cs="Arial"/>
          <w:bCs/>
          <w:sz w:val="24"/>
          <w:szCs w:val="24"/>
          <w:lang w:val="fr-FR"/>
        </w:rPr>
      </w:pPr>
      <w:r w:rsidRPr="009176D9">
        <w:rPr>
          <w:rFonts w:cs="Arial"/>
          <w:bCs/>
          <w:sz w:val="24"/>
          <w:szCs w:val="24"/>
        </w:rPr>
        <w:tab/>
      </w:r>
      <w:r w:rsidRPr="009176D9">
        <w:rPr>
          <w:rFonts w:cs="Arial"/>
          <w:bCs/>
          <w:sz w:val="24"/>
          <w:szCs w:val="24"/>
        </w:rPr>
        <w:tab/>
      </w:r>
      <w:r w:rsidRPr="009176D9">
        <w:rPr>
          <w:rFonts w:cs="Arial"/>
          <w:bCs/>
          <w:sz w:val="24"/>
          <w:szCs w:val="24"/>
        </w:rPr>
        <w:tab/>
        <w:t>Tel: 020 7215 5576</w:t>
      </w:r>
    </w:p>
    <w:p w:rsidR="00F702B6" w:rsidRPr="00F702B6" w:rsidRDefault="00F702B6" w:rsidP="00F702B6">
      <w:pPr>
        <w:pStyle w:val="DfESOutNumbered"/>
        <w:numPr>
          <w:ilvl w:val="0"/>
          <w:numId w:val="0"/>
        </w:numPr>
        <w:pBdr>
          <w:top w:val="single" w:sz="4" w:space="1" w:color="auto"/>
          <w:left w:val="single" w:sz="4" w:space="4" w:color="auto"/>
          <w:bottom w:val="single" w:sz="4" w:space="17" w:color="auto"/>
          <w:right w:val="single" w:sz="4" w:space="4" w:color="auto"/>
        </w:pBdr>
        <w:spacing w:after="0"/>
        <w:ind w:right="180"/>
        <w:rPr>
          <w:rFonts w:cs="Arial"/>
          <w:lang w:val="fr-FR"/>
        </w:rPr>
      </w:pPr>
      <w:r w:rsidRPr="00F702B6">
        <w:rPr>
          <w:rFonts w:cs="Arial"/>
          <w:sz w:val="24"/>
          <w:szCs w:val="24"/>
          <w:lang w:val="fr-FR"/>
        </w:rPr>
        <w:tab/>
      </w:r>
      <w:r w:rsidRPr="00F702B6">
        <w:rPr>
          <w:rFonts w:cs="Arial"/>
          <w:sz w:val="24"/>
          <w:szCs w:val="24"/>
          <w:lang w:val="fr-FR"/>
        </w:rPr>
        <w:tab/>
      </w:r>
      <w:r w:rsidRPr="00F702B6">
        <w:rPr>
          <w:rFonts w:cs="Arial"/>
          <w:sz w:val="24"/>
          <w:szCs w:val="24"/>
          <w:lang w:val="fr-FR"/>
        </w:rPr>
        <w:tab/>
        <w:t xml:space="preserve">Email: </w:t>
      </w:r>
      <w:hyperlink r:id="rId15" w:history="1">
        <w:r w:rsidRPr="00F702B6">
          <w:rPr>
            <w:rStyle w:val="Hyperlink"/>
            <w:rFonts w:cs="Arial"/>
            <w:bCs/>
            <w:lang w:val="fr-FR"/>
          </w:rPr>
          <w:t>terry.edge@bis.gsi.gov.uk</w:t>
        </w:r>
      </w:hyperlink>
      <w:r w:rsidRPr="00F702B6">
        <w:rPr>
          <w:rFonts w:cs="Arial"/>
          <w:sz w:val="24"/>
          <w:szCs w:val="24"/>
          <w:lang w:val="fr-FR"/>
        </w:rPr>
        <w:t xml:space="preserve"> </w:t>
      </w:r>
    </w:p>
    <w:p w:rsidR="0009098A" w:rsidRDefault="0009098A" w:rsidP="00F702B6">
      <w:pPr>
        <w:rPr>
          <w:rFonts w:cs="Arial"/>
          <w:bCs/>
        </w:rPr>
      </w:pPr>
    </w:p>
    <w:p w:rsidR="00F702B6" w:rsidRDefault="0009098A" w:rsidP="00F702B6">
      <w:pPr>
        <w:rPr>
          <w:rFonts w:cs="Arial"/>
          <w:bCs/>
        </w:rPr>
      </w:pPr>
      <w:r w:rsidRPr="009176D9">
        <w:rPr>
          <w:rFonts w:cs="Arial"/>
          <w:bCs/>
        </w:rPr>
        <w:lastRenderedPageBreak/>
        <w:t xml:space="preserve">This consultation is relevant to: the furniture industry, regulatory bodies covering the industry, test houses, other </w:t>
      </w:r>
      <w:r>
        <w:rPr>
          <w:rFonts w:cs="Arial"/>
          <w:bCs/>
        </w:rPr>
        <w:t>G</w:t>
      </w:r>
      <w:r w:rsidRPr="009176D9">
        <w:rPr>
          <w:rFonts w:cs="Arial"/>
          <w:bCs/>
        </w:rPr>
        <w:t xml:space="preserve">overnment </w:t>
      </w:r>
      <w:r>
        <w:rPr>
          <w:rFonts w:cs="Arial"/>
          <w:bCs/>
        </w:rPr>
        <w:t>D</w:t>
      </w:r>
      <w:r w:rsidRPr="009176D9">
        <w:rPr>
          <w:rFonts w:cs="Arial"/>
          <w:bCs/>
        </w:rPr>
        <w:t xml:space="preserve">epartments, </w:t>
      </w:r>
      <w:r>
        <w:rPr>
          <w:rFonts w:cs="Arial"/>
          <w:bCs/>
        </w:rPr>
        <w:t xml:space="preserve">Trading Standards, </w:t>
      </w:r>
      <w:r w:rsidRPr="009176D9">
        <w:rPr>
          <w:rFonts w:cs="Arial"/>
          <w:bCs/>
        </w:rPr>
        <w:t>local authorities, fire safety services</w:t>
      </w:r>
      <w:r w:rsidR="00D03AF0">
        <w:rPr>
          <w:rFonts w:cs="Arial"/>
          <w:bCs/>
        </w:rPr>
        <w:t>, and consumers</w:t>
      </w:r>
      <w:r w:rsidRPr="009176D9">
        <w:rPr>
          <w:rFonts w:cs="Arial"/>
          <w:bCs/>
        </w:rPr>
        <w:t>.</w:t>
      </w:r>
    </w:p>
    <w:p w:rsidR="009D4371" w:rsidRDefault="009D4371" w:rsidP="009D4371">
      <w:r>
        <w:t>The Devolved Administrations of Scotland, Wales and Northern Ireland have been consulted in the preparation of these proposals.</w:t>
      </w:r>
    </w:p>
    <w:p w:rsidR="009D4371" w:rsidRDefault="009D4371" w:rsidP="009D4371">
      <w:r>
        <w:t xml:space="preserve">The Government of the Republic </w:t>
      </w:r>
      <w:r w:rsidR="000207C3">
        <w:t xml:space="preserve">of </w:t>
      </w:r>
      <w:r>
        <w:t>Ireland was also consulted. The Republic of Ireland has furniture flammability regulations near-identical to the UK’s. Their Government has indicated it approves of the UK’s proposed changes and intends to make the same changes to its own regulations.</w:t>
      </w:r>
    </w:p>
    <w:p w:rsidR="00C016BD" w:rsidRPr="00091DE9" w:rsidRDefault="0009098A" w:rsidP="00CB3765">
      <w:pPr>
        <w:pStyle w:val="Heading2"/>
        <w:sectPr w:rsidR="00C016BD" w:rsidRPr="00091DE9" w:rsidSect="002F6834">
          <w:headerReference w:type="even" r:id="rId16"/>
          <w:pgSz w:w="11906" w:h="16838" w:code="9"/>
          <w:pgMar w:top="1699" w:right="1440" w:bottom="1138" w:left="1138" w:header="432" w:footer="259" w:gutter="0"/>
          <w:cols w:space="720"/>
        </w:sectPr>
      </w:pPr>
      <w:r>
        <w:rPr>
          <w:rFonts w:cs="Arial"/>
        </w:rPr>
        <w:br w:type="column"/>
      </w:r>
      <w:bookmarkStart w:id="13" w:name="_Toc277773894"/>
      <w:bookmarkStart w:id="14" w:name="_Toc278457369"/>
      <w:bookmarkStart w:id="15" w:name="_Toc287009275"/>
      <w:bookmarkStart w:id="16" w:name="_Toc394509360"/>
      <w:bookmarkStart w:id="17" w:name="OLE_LINK10"/>
      <w:bookmarkStart w:id="18" w:name="OLE_LINK11"/>
      <w:r w:rsidR="00C016BD">
        <w:lastRenderedPageBreak/>
        <w:t xml:space="preserve">1. Foreword from </w:t>
      </w:r>
      <w:bookmarkEnd w:id="13"/>
      <w:bookmarkEnd w:id="14"/>
      <w:bookmarkEnd w:id="15"/>
      <w:r w:rsidR="00321C47">
        <w:t>Jo Swinson, MP</w:t>
      </w:r>
      <w:bookmarkEnd w:id="16"/>
    </w:p>
    <w:bookmarkEnd w:id="17"/>
    <w:bookmarkEnd w:id="18"/>
    <w:p w:rsidR="00E37D60" w:rsidRDefault="00913E4F" w:rsidP="008E21C6">
      <w:pPr>
        <w:ind w:left="0"/>
      </w:pPr>
      <w:r>
        <w:rPr>
          <w:noProof/>
          <w:lang w:eastAsia="en-GB"/>
        </w:rPr>
        <w:lastRenderedPageBreak/>
        <w:drawing>
          <wp:inline distT="0" distB="0" distL="0" distR="0">
            <wp:extent cx="1679575" cy="1734185"/>
            <wp:effectExtent l="0" t="0" r="0" b="0"/>
            <wp:docPr id="12" name="Picture 2" descr="Jo Swin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 Swins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79575" cy="1734185"/>
                    </a:xfrm>
                    <a:prstGeom prst="rect">
                      <a:avLst/>
                    </a:prstGeom>
                    <a:noFill/>
                    <a:ln>
                      <a:noFill/>
                    </a:ln>
                  </pic:spPr>
                </pic:pic>
              </a:graphicData>
            </a:graphic>
          </wp:inline>
        </w:drawing>
      </w:r>
    </w:p>
    <w:p w:rsidR="00F7484D" w:rsidRDefault="00F7484D" w:rsidP="00F7484D">
      <w:pPr>
        <w:ind w:left="0"/>
      </w:pPr>
      <w:r>
        <w:t>The document you are about to read represents the results of around two years of truly collaborative work between BIS, industry, enforcement authorities, the fire rescue services, other Government Departments and international experts in product testing and chemicals research.</w:t>
      </w:r>
    </w:p>
    <w:p w:rsidR="00F7484D" w:rsidRDefault="00F7484D" w:rsidP="00F7484D">
      <w:pPr>
        <w:ind w:left="0"/>
      </w:pPr>
      <w:r>
        <w:t xml:space="preserve">The UK is rightly proud of the record of the Furniture and Furnishings (Fire) (Safety) Regulations 1988 (FFRs) in saving lives and preventing fires. Back in the 1980s, we responded to the tremendous challenge of making domestic upholstered furniture safer from fires. Foam fillings had replaced natural, fire-resistant, materials such as horse hair, providing cheap furniture that everyone could afford. However, the price was greater flammability. The FFRs strengthened the existing requirements for making cover fabrics resistant to ignition and introduced a new flammability requirement for foam fillings. The result has been that fires and lives lost have rapidly declined. </w:t>
      </w:r>
    </w:p>
    <w:p w:rsidR="00F7484D" w:rsidRDefault="00F7484D" w:rsidP="00F7484D">
      <w:pPr>
        <w:ind w:left="0"/>
      </w:pPr>
      <w:r>
        <w:t>For the past few years, in collaboration with all stakeholders, BIS has been reviewing the FFRs. Initially, this was on the basis that they are fit for purpose but need updating. This work is still on track. However, over the past two years, we have become aware of a growing concern about the actual, potential and perceived negative effects of some brominated flame retardants on health and the environment. Evidence suggests that when brominated flame retardants break down into their constituent parts, they may get into the food chain, children’s blood and mother’s breast milk. In California, for example, this has led to a change to their furniture flammability standard that should lead to a complete absence of flame retardants in domestic furniture.</w:t>
      </w:r>
    </w:p>
    <w:p w:rsidR="00F7484D" w:rsidRDefault="00F7484D" w:rsidP="00F7484D">
      <w:pPr>
        <w:ind w:left="0"/>
      </w:pPr>
      <w:r>
        <w:t>Although the FFRs do not stipulate the use of flame retardants, in practice they are the most cost-effective means for manufacturers to meet the requirements. On the whole, the chemicals used in foam fillings are considered benign, so we looked at ways to bring about a reduction in those that appear in cover fabrics. This was a huge challenge, because we were committed to maintaining our high standards of fire safety.</w:t>
      </w:r>
    </w:p>
    <w:p w:rsidR="00F7484D" w:rsidRDefault="00F7484D" w:rsidP="00F7484D">
      <w:pPr>
        <w:ind w:left="0"/>
      </w:pPr>
      <w:r>
        <w:t>In short, this consultation is on our resulting proposal that in future the FFRs’ match test will require cover fabrics to be tested not over the current highly-flammable prescribed test foam but instead over the fire-resistant variety found in the finished product. The result, we believe, should bring about a reduction in flame retardant usage by up to 50%, and provide the basis for new technologies currently not applicable to reduce that to nothing in time. It could also bring considerable savings to industry of up to £50m per year. In addition, we are proposing that the cigarette test be dropped for any fabrics that pass the match test, because none such have ever failed. This will also bring savings to industry.</w:t>
      </w:r>
    </w:p>
    <w:p w:rsidR="00F7484D" w:rsidRDefault="00F7484D" w:rsidP="00F7484D">
      <w:pPr>
        <w:ind w:left="0"/>
      </w:pPr>
      <w:r>
        <w:lastRenderedPageBreak/>
        <w:t>The fear has been expressed that if we reduce flame retardants, surely products will be less safe? In fact, future products will be safer from fires. This is partly because the new test will require additional materials that now appear in products, some highly flammable, to be tested. Also, the new test will remove a current, unforeseen, testing anomaly that means some fabrics which pass under test conditions may be ignitable in the finished product.</w:t>
      </w:r>
    </w:p>
    <w:p w:rsidR="00301A26" w:rsidRDefault="00F7484D" w:rsidP="00F7484D">
      <w:pPr>
        <w:ind w:left="0"/>
      </w:pPr>
      <w:r>
        <w:t>I look forward to hearing your views.</w:t>
      </w:r>
    </w:p>
    <w:p w:rsidR="00D84906" w:rsidRDefault="00D84906" w:rsidP="008E21C6">
      <w:pPr>
        <w:ind w:left="0"/>
      </w:pPr>
    </w:p>
    <w:p w:rsidR="00480C25" w:rsidRDefault="00913E4F" w:rsidP="008E21C6">
      <w:pPr>
        <w:ind w:left="0"/>
      </w:pPr>
      <w:r w:rsidRPr="00913E4F">
        <w:t>Jo Swinson, MP</w:t>
      </w:r>
    </w:p>
    <w:p w:rsidR="008E21C6" w:rsidRDefault="008E21C6" w:rsidP="008E21C6">
      <w:pPr>
        <w:ind w:left="0"/>
      </w:pPr>
    </w:p>
    <w:p w:rsidR="008E21C6" w:rsidRDefault="008E21C6" w:rsidP="008E21C6">
      <w:pPr>
        <w:ind w:left="0"/>
      </w:pPr>
    </w:p>
    <w:p w:rsidR="008E21C6" w:rsidRDefault="008E21C6" w:rsidP="008E21C6">
      <w:pPr>
        <w:ind w:left="0"/>
      </w:pPr>
    </w:p>
    <w:p w:rsidR="008E21C6" w:rsidRDefault="008E21C6" w:rsidP="008E21C6">
      <w:pPr>
        <w:ind w:left="0"/>
      </w:pPr>
    </w:p>
    <w:p w:rsidR="008E21C6" w:rsidRDefault="008E21C6" w:rsidP="008E21C6">
      <w:pPr>
        <w:ind w:left="0"/>
      </w:pPr>
    </w:p>
    <w:p w:rsidR="008E21C6" w:rsidRPr="005F064A" w:rsidRDefault="008E21C6" w:rsidP="008E21C6">
      <w:pPr>
        <w:ind w:left="0"/>
      </w:pPr>
    </w:p>
    <w:p w:rsidR="004752F3" w:rsidRPr="00091DE9" w:rsidRDefault="00C016BD" w:rsidP="00E826E2">
      <w:pPr>
        <w:pStyle w:val="Heading2"/>
        <w:sectPr w:rsidR="004752F3" w:rsidRPr="00091DE9" w:rsidSect="005072BB">
          <w:headerReference w:type="even" r:id="rId18"/>
          <w:headerReference w:type="default" r:id="rId19"/>
          <w:type w:val="continuous"/>
          <w:pgSz w:w="11906" w:h="16838" w:code="9"/>
          <w:pgMar w:top="1701" w:right="680" w:bottom="680" w:left="964" w:header="437" w:footer="265" w:gutter="0"/>
          <w:cols w:space="720"/>
        </w:sectPr>
      </w:pPr>
      <w:r w:rsidRPr="00FC508A">
        <w:br w:type="page"/>
      </w:r>
      <w:bookmarkStart w:id="19" w:name="_Toc394509361"/>
      <w:r w:rsidR="00E826E2">
        <w:lastRenderedPageBreak/>
        <w:t>2</w:t>
      </w:r>
      <w:r w:rsidR="004752F3">
        <w:t>. How to respond</w:t>
      </w:r>
      <w:bookmarkEnd w:id="19"/>
    </w:p>
    <w:p w:rsidR="00B46BED" w:rsidRPr="004752F3" w:rsidRDefault="00321C47" w:rsidP="009E4AE2">
      <w:pPr>
        <w:pStyle w:val="BISnumberingBold"/>
      </w:pPr>
      <w:r>
        <w:lastRenderedPageBreak/>
        <w:t>1.</w:t>
      </w:r>
      <w:r>
        <w:tab/>
      </w:r>
      <w:r w:rsidR="00B46BED" w:rsidRPr="004752F3">
        <w:t>When responding</w:t>
      </w:r>
      <w:r w:rsidR="00B741E7">
        <w:t>,</w:t>
      </w:r>
      <w:r w:rsidR="00B46BED" w:rsidRPr="004752F3">
        <w:t xml:space="preserve"> please state whether you are </w:t>
      </w:r>
      <w:r w:rsidR="00E826E2">
        <w:t>doing so</w:t>
      </w:r>
      <w:r w:rsidR="00B46BED" w:rsidRPr="004752F3">
        <w:t xml:space="preserve"> as an individual or representing the views of an organisation. If you are responding on behalf of an organisation, please make it clear who the organisation represents by selecting the appropriate interest group on the consultation form and, where applicable, how the views of members were assembled.</w:t>
      </w:r>
    </w:p>
    <w:p w:rsidR="00B46BED" w:rsidRPr="004752F3" w:rsidRDefault="00321C47" w:rsidP="009E4AE2">
      <w:pPr>
        <w:pStyle w:val="BISnumberingBold"/>
      </w:pPr>
      <w:r>
        <w:t>2.</w:t>
      </w:r>
      <w:r>
        <w:tab/>
      </w:r>
      <w:r w:rsidR="007164C2" w:rsidRPr="004752F3">
        <w:t xml:space="preserve">The </w:t>
      </w:r>
      <w:r w:rsidR="00B46BED" w:rsidRPr="004752F3">
        <w:t xml:space="preserve">Consultation Response form is available electronically at </w:t>
      </w:r>
      <w:hyperlink r:id="rId20" w:history="1">
        <w:r w:rsidR="00E03BCE" w:rsidRPr="006A569A">
          <w:rPr>
            <w:rStyle w:val="Hyperlink"/>
            <w:b/>
          </w:rPr>
          <w:t>www.gov.uk/government/consultations/furniture-fire-safety-regulations-proposed-amendments</w:t>
        </w:r>
      </w:hyperlink>
      <w:r w:rsidR="00AD6940" w:rsidRPr="004752F3">
        <w:t xml:space="preserve"> (until the consultation closes)</w:t>
      </w:r>
      <w:r w:rsidR="00B46BED" w:rsidRPr="004752F3">
        <w:t>.</w:t>
      </w:r>
      <w:r w:rsidR="007164C2" w:rsidRPr="004752F3">
        <w:t xml:space="preserve"> </w:t>
      </w:r>
      <w:r w:rsidR="00865526" w:rsidRPr="004752F3">
        <w:t>T</w:t>
      </w:r>
      <w:r w:rsidR="00B46BED" w:rsidRPr="004752F3">
        <w:t xml:space="preserve">he form can be submitted </w:t>
      </w:r>
      <w:r w:rsidR="00865526" w:rsidRPr="004752F3">
        <w:t xml:space="preserve">online/by email or </w:t>
      </w:r>
      <w:r w:rsidR="00B46BED" w:rsidRPr="004752F3">
        <w:t>by letter</w:t>
      </w:r>
      <w:r w:rsidR="00865526" w:rsidRPr="004752F3">
        <w:t xml:space="preserve"> </w:t>
      </w:r>
      <w:r w:rsidR="00B46BED" w:rsidRPr="004752F3">
        <w:t>to:</w:t>
      </w:r>
    </w:p>
    <w:p w:rsidR="00B46BED" w:rsidRPr="000950CF" w:rsidRDefault="00AC561B" w:rsidP="009E4AE2">
      <w:pPr>
        <w:spacing w:after="0"/>
        <w:ind w:left="2160"/>
      </w:pPr>
      <w:r>
        <w:t>Terry Edge</w:t>
      </w:r>
    </w:p>
    <w:p w:rsidR="00B46BED" w:rsidRPr="000950CF" w:rsidRDefault="00AC561B" w:rsidP="009E4AE2">
      <w:pPr>
        <w:spacing w:after="0"/>
        <w:ind w:left="2160"/>
      </w:pPr>
      <w:r>
        <w:t>Europe Reform Directorate</w:t>
      </w:r>
    </w:p>
    <w:p w:rsidR="00B46BED" w:rsidRPr="000950CF" w:rsidRDefault="00B46BED" w:rsidP="009E4AE2">
      <w:pPr>
        <w:spacing w:after="0"/>
        <w:ind w:left="2160"/>
      </w:pPr>
      <w:r w:rsidRPr="000950CF">
        <w:t xml:space="preserve">Department of Business, </w:t>
      </w:r>
      <w:r>
        <w:t xml:space="preserve">Innovation and Skills </w:t>
      </w:r>
    </w:p>
    <w:p w:rsidR="00AC561B" w:rsidRDefault="00AC561B" w:rsidP="009E4AE2">
      <w:pPr>
        <w:spacing w:after="0"/>
        <w:ind w:left="2160"/>
      </w:pPr>
      <w:r>
        <w:t>4</w:t>
      </w:r>
      <w:r w:rsidRPr="00AC561B">
        <w:rPr>
          <w:vertAlign w:val="superscript"/>
        </w:rPr>
        <w:t>th</w:t>
      </w:r>
      <w:r>
        <w:t xml:space="preserve"> Floor, O</w:t>
      </w:r>
      <w:r w:rsidR="002158E8">
        <w:t>r</w:t>
      </w:r>
      <w:r>
        <w:t>chard 1</w:t>
      </w:r>
    </w:p>
    <w:p w:rsidR="00AC561B" w:rsidRDefault="00AC561B" w:rsidP="009E4AE2">
      <w:pPr>
        <w:spacing w:after="0"/>
        <w:ind w:left="2160"/>
      </w:pPr>
      <w:r>
        <w:t>1 Victoria Street</w:t>
      </w:r>
    </w:p>
    <w:p w:rsidR="00AC561B" w:rsidRDefault="00AC561B" w:rsidP="009E4AE2">
      <w:pPr>
        <w:spacing w:after="0"/>
        <w:ind w:left="2160"/>
      </w:pPr>
      <w:r>
        <w:t>London SW1H 0ET</w:t>
      </w:r>
    </w:p>
    <w:p w:rsidR="00B46BED" w:rsidRPr="000950CF" w:rsidRDefault="00B46BED" w:rsidP="009E4AE2">
      <w:pPr>
        <w:spacing w:after="0"/>
        <w:ind w:left="2160"/>
      </w:pPr>
      <w:r w:rsidRPr="000950CF">
        <w:t>Tel:</w:t>
      </w:r>
      <w:r w:rsidR="004752F3">
        <w:t xml:space="preserve"> 020 7215 5576</w:t>
      </w:r>
    </w:p>
    <w:p w:rsidR="00E03BCE" w:rsidRPr="000950CF" w:rsidRDefault="00B46BED" w:rsidP="009E4AE2">
      <w:pPr>
        <w:spacing w:after="0"/>
        <w:ind w:left="2160"/>
      </w:pPr>
      <w:r w:rsidRPr="000950CF">
        <w:t>Email</w:t>
      </w:r>
      <w:r w:rsidR="004752F3">
        <w:t xml:space="preserve">: </w:t>
      </w:r>
      <w:hyperlink r:id="rId21" w:history="1">
        <w:r w:rsidR="00E03BCE" w:rsidRPr="006A569A">
          <w:rPr>
            <w:rStyle w:val="Hyperlink"/>
          </w:rPr>
          <w:t>terry.edge@bis.gsi.gov.uk</w:t>
        </w:r>
      </w:hyperlink>
    </w:p>
    <w:p w:rsidR="00B46BED" w:rsidRDefault="00B46BED" w:rsidP="004C5B2B">
      <w:pPr>
        <w:spacing w:after="0"/>
        <w:ind w:left="0"/>
      </w:pPr>
    </w:p>
    <w:p w:rsidR="00B46BED" w:rsidRPr="004752F3" w:rsidRDefault="00E03BCE" w:rsidP="009E4AE2">
      <w:pPr>
        <w:pStyle w:val="BISnumberingBold"/>
      </w:pPr>
      <w:r>
        <w:t>3</w:t>
      </w:r>
      <w:r w:rsidR="00321C47">
        <w:t xml:space="preserve">. </w:t>
      </w:r>
      <w:r w:rsidR="00321C47">
        <w:tab/>
      </w:r>
      <w:r w:rsidR="00B46BED" w:rsidRPr="004752F3">
        <w:t xml:space="preserve">A list of those organisations and individuals consulted is </w:t>
      </w:r>
      <w:r w:rsidR="00B741E7">
        <w:t>at</w:t>
      </w:r>
      <w:r w:rsidR="00B46BED" w:rsidRPr="004752F3">
        <w:t xml:space="preserve"> Annex </w:t>
      </w:r>
      <w:r w:rsidR="00321C47">
        <w:t>6</w:t>
      </w:r>
      <w:r w:rsidR="00B46BED" w:rsidRPr="004752F3">
        <w:t xml:space="preserve">.  We welcome suggestions of </w:t>
      </w:r>
      <w:r w:rsidR="00E826E2">
        <w:t xml:space="preserve">any </w:t>
      </w:r>
      <w:r w:rsidR="00B46BED" w:rsidRPr="004752F3">
        <w:t>others who may wish to be involved in this consultation process.</w:t>
      </w:r>
    </w:p>
    <w:p w:rsidR="00C208AC" w:rsidRPr="00091DE9" w:rsidRDefault="005E6E5D" w:rsidP="004C5B2B">
      <w:pPr>
        <w:pStyle w:val="Heading2"/>
        <w:ind w:left="0"/>
        <w:sectPr w:rsidR="00C208AC" w:rsidRPr="00091DE9" w:rsidSect="005072BB">
          <w:headerReference w:type="even" r:id="rId22"/>
          <w:headerReference w:type="default" r:id="rId23"/>
          <w:type w:val="continuous"/>
          <w:pgSz w:w="11906" w:h="16838" w:code="9"/>
          <w:pgMar w:top="1701" w:right="680" w:bottom="680" w:left="964" w:header="437" w:footer="265" w:gutter="0"/>
          <w:cols w:space="720"/>
        </w:sectPr>
      </w:pPr>
      <w:bookmarkStart w:id="20" w:name="_Toc287009278"/>
      <w:bookmarkStart w:id="21" w:name="_Toc394509362"/>
      <w:r>
        <w:t>3</w:t>
      </w:r>
      <w:r w:rsidR="00C208AC">
        <w:t>. Additional copies</w:t>
      </w:r>
      <w:bookmarkEnd w:id="20"/>
      <w:bookmarkEnd w:id="21"/>
    </w:p>
    <w:p w:rsidR="009E4AE2" w:rsidRDefault="00E03BCE" w:rsidP="009E4AE2">
      <w:pPr>
        <w:pStyle w:val="BISnumberingBold"/>
      </w:pPr>
      <w:r>
        <w:lastRenderedPageBreak/>
        <w:t>4</w:t>
      </w:r>
      <w:r w:rsidR="00321C47">
        <w:t xml:space="preserve">. </w:t>
      </w:r>
      <w:r w:rsidR="00321C47">
        <w:tab/>
      </w:r>
      <w:r w:rsidR="00C208AC" w:rsidRPr="00BD2801">
        <w:t xml:space="preserve">You may </w:t>
      </w:r>
      <w:r w:rsidR="00C208AC" w:rsidRPr="007164C2">
        <w:t xml:space="preserve">make </w:t>
      </w:r>
      <w:r w:rsidR="00167D4B" w:rsidRPr="007164C2">
        <w:t xml:space="preserve">printed </w:t>
      </w:r>
      <w:r w:rsidR="00C208AC" w:rsidRPr="007164C2">
        <w:t xml:space="preserve">copies of this document without seeking permission. </w:t>
      </w:r>
      <w:r w:rsidR="00167D4B" w:rsidRPr="007164C2">
        <w:t>BIS consultations are digital by default</w:t>
      </w:r>
      <w:r w:rsidR="009E4AE2">
        <w:t xml:space="preserve">. </w:t>
      </w:r>
    </w:p>
    <w:p w:rsidR="0039527C" w:rsidRDefault="009E4AE2" w:rsidP="009E4AE2">
      <w:pPr>
        <w:pStyle w:val="BISnumberingBold"/>
      </w:pPr>
      <w:r>
        <w:t>5.</w:t>
      </w:r>
      <w:r>
        <w:tab/>
      </w:r>
      <w:r w:rsidR="00167D4B" w:rsidRPr="00146AEF">
        <w:t>The standard</w:t>
      </w:r>
      <w:r w:rsidR="00C208AC" w:rsidRPr="00146AEF">
        <w:t xml:space="preserve"> electronic version </w:t>
      </w:r>
      <w:r w:rsidR="00167D4B" w:rsidRPr="00146AEF">
        <w:t xml:space="preserve">is </w:t>
      </w:r>
      <w:r w:rsidR="00C208AC" w:rsidRPr="00146AEF">
        <w:t>at</w:t>
      </w:r>
      <w:r w:rsidR="00146AEF">
        <w:t>:</w:t>
      </w:r>
      <w:r w:rsidR="00E03BCE">
        <w:t xml:space="preserve"> </w:t>
      </w:r>
      <w:hyperlink r:id="rId24" w:history="1">
        <w:r w:rsidR="00E03BCE" w:rsidRPr="006A569A">
          <w:rPr>
            <w:rStyle w:val="Hyperlink"/>
            <w:b/>
          </w:rPr>
          <w:t>www.gov.uk/government/consultations/furniture-fire-safety-regulations-proposed-amendments</w:t>
        </w:r>
      </w:hyperlink>
    </w:p>
    <w:p w:rsidR="00C208AC" w:rsidRPr="00BD2801" w:rsidRDefault="009E4AE2" w:rsidP="009E4AE2">
      <w:pPr>
        <w:pStyle w:val="BISnumberingBold"/>
      </w:pPr>
      <w:r>
        <w:t>6</w:t>
      </w:r>
      <w:r w:rsidR="00321C47">
        <w:t xml:space="preserve">. </w:t>
      </w:r>
      <w:r w:rsidR="00321C47">
        <w:tab/>
      </w:r>
      <w:r w:rsidR="00C208AC" w:rsidRPr="00BD2801">
        <w:t xml:space="preserve">Other versions of the document in Braille, other languages or audio-cassette are available on request. </w:t>
      </w:r>
    </w:p>
    <w:p w:rsidR="00C208AC" w:rsidRDefault="004A0D30" w:rsidP="00C208AC">
      <w:pPr>
        <w:pStyle w:val="Heading2"/>
      </w:pPr>
      <w:bookmarkStart w:id="22" w:name="_Toc222902174"/>
      <w:bookmarkStart w:id="23" w:name="_Toc287009279"/>
      <w:r>
        <w:br w:type="column"/>
      </w:r>
      <w:bookmarkStart w:id="24" w:name="_Toc394509363"/>
      <w:r w:rsidR="005E6E5D">
        <w:lastRenderedPageBreak/>
        <w:t>4</w:t>
      </w:r>
      <w:r w:rsidR="00C208AC">
        <w:t xml:space="preserve">. </w:t>
      </w:r>
      <w:r w:rsidR="00C208AC" w:rsidRPr="00BD2801">
        <w:t>Confidentiality &amp; Data Protection</w:t>
      </w:r>
      <w:bookmarkStart w:id="25" w:name="OLE_LINK3"/>
      <w:bookmarkStart w:id="26" w:name="OLE_LINK4"/>
      <w:bookmarkEnd w:id="22"/>
      <w:bookmarkEnd w:id="23"/>
      <w:bookmarkEnd w:id="24"/>
    </w:p>
    <w:p w:rsidR="00321C47" w:rsidRPr="00BD2801" w:rsidRDefault="00321C47" w:rsidP="009E4AE2">
      <w:pPr>
        <w:pStyle w:val="BISnumberingBold"/>
      </w:pPr>
      <w:r>
        <w:t xml:space="preserve">7. </w:t>
      </w:r>
      <w:r>
        <w:tab/>
      </w:r>
      <w:r w:rsidRPr="00BD2801">
        <w:t>Information provided in response to this consultation, including personal information, may be subject to publication or release to other parties or to disclosure in accordance with the access to information regimes (these are primarily the Freedom of Information Act 2000 (FOIA), the Data Protection Act 1998 (DPA) and the Environmental Information Regulations 2004). If you w</w:t>
      </w:r>
      <w:r>
        <w:t>ish for</w:t>
      </w:r>
      <w:r w:rsidRPr="00BD2801">
        <w:t xml:space="preserve"> information, including personal data that you provide to be treated as confidential, please be aware that, under the FOIA, there is a statutory Code of Practice with which public authorities must comply and which deals, amongst other things, with obligations of confidence. </w:t>
      </w:r>
    </w:p>
    <w:p w:rsidR="00321C47" w:rsidRDefault="00321C47" w:rsidP="009E4AE2">
      <w:pPr>
        <w:pStyle w:val="BISnumberingBold"/>
      </w:pPr>
      <w:r>
        <w:t>8.</w:t>
      </w:r>
      <w:r>
        <w:tab/>
      </w:r>
      <w:r w:rsidRPr="00BD2801">
        <w:t>In view of this it would be helpful if you could explain to us why you regard the information you have provided as confidential. If we receive a request for disclosure of the information we will take full account of your explanation, but we cannot give an assurance that confidentiality can be maintained in all circumstances. An automatic confidentiality disclaimer generated by your IT system will not, of itself, be regarded as binding on the Department.</w:t>
      </w:r>
    </w:p>
    <w:p w:rsidR="00321C47" w:rsidRPr="00321C47" w:rsidRDefault="00321C47" w:rsidP="00321C47">
      <w:pPr>
        <w:sectPr w:rsidR="00321C47" w:rsidRPr="00321C47" w:rsidSect="00C208AC">
          <w:headerReference w:type="even" r:id="rId25"/>
          <w:headerReference w:type="default" r:id="rId26"/>
          <w:type w:val="continuous"/>
          <w:pgSz w:w="11906" w:h="16838" w:code="9"/>
          <w:pgMar w:top="1701" w:right="680" w:bottom="680" w:left="964" w:header="437" w:footer="265" w:gutter="0"/>
          <w:cols w:space="720"/>
        </w:sectPr>
      </w:pPr>
    </w:p>
    <w:p w:rsidR="00321C47" w:rsidRDefault="005E6E5D" w:rsidP="00321C47">
      <w:pPr>
        <w:pStyle w:val="Heading2"/>
      </w:pPr>
      <w:bookmarkStart w:id="27" w:name="_Toc222902175"/>
      <w:bookmarkStart w:id="28" w:name="_Toc287009280"/>
      <w:bookmarkStart w:id="29" w:name="_Toc394509364"/>
      <w:bookmarkEnd w:id="25"/>
      <w:bookmarkEnd w:id="26"/>
      <w:r>
        <w:lastRenderedPageBreak/>
        <w:t>5</w:t>
      </w:r>
      <w:r w:rsidR="00C208AC">
        <w:t xml:space="preserve">. </w:t>
      </w:r>
      <w:r w:rsidR="00C208AC" w:rsidRPr="00BD2801">
        <w:t>Help with queries</w:t>
      </w:r>
      <w:bookmarkEnd w:id="27"/>
      <w:bookmarkEnd w:id="28"/>
      <w:bookmarkEnd w:id="29"/>
    </w:p>
    <w:p w:rsidR="00321C47" w:rsidRPr="00BD2801" w:rsidRDefault="00321C47" w:rsidP="009E4AE2">
      <w:pPr>
        <w:pStyle w:val="BISnumberingBold"/>
      </w:pPr>
      <w:r>
        <w:t xml:space="preserve">9. </w:t>
      </w:r>
      <w:r>
        <w:tab/>
      </w:r>
      <w:r w:rsidRPr="00BD2801">
        <w:t xml:space="preserve">Questions about the policy issues raised in the document </w:t>
      </w:r>
      <w:r>
        <w:t>should</w:t>
      </w:r>
      <w:r w:rsidRPr="00BD2801">
        <w:t xml:space="preserve"> be addressed to:</w:t>
      </w:r>
    </w:p>
    <w:p w:rsidR="00321C47" w:rsidRPr="000950CF" w:rsidRDefault="00321C47" w:rsidP="00321C47">
      <w:pPr>
        <w:spacing w:after="0"/>
        <w:ind w:firstLine="709"/>
      </w:pPr>
      <w:r>
        <w:t>Terry Edge</w:t>
      </w:r>
    </w:p>
    <w:p w:rsidR="00321C47" w:rsidRPr="000950CF" w:rsidRDefault="00321C47" w:rsidP="00321C47">
      <w:pPr>
        <w:spacing w:after="0"/>
        <w:ind w:firstLine="709"/>
      </w:pPr>
      <w:r>
        <w:t>Europe Reform Directorate</w:t>
      </w:r>
    </w:p>
    <w:p w:rsidR="00321C47" w:rsidRPr="000950CF" w:rsidRDefault="00321C47" w:rsidP="00321C47">
      <w:pPr>
        <w:spacing w:after="0"/>
        <w:ind w:firstLine="709"/>
      </w:pPr>
      <w:r w:rsidRPr="000950CF">
        <w:t xml:space="preserve">Department of Business, </w:t>
      </w:r>
      <w:r>
        <w:t xml:space="preserve">Innovation and Skills </w:t>
      </w:r>
    </w:p>
    <w:p w:rsidR="00321C47" w:rsidRDefault="00321C47" w:rsidP="00321C47">
      <w:pPr>
        <w:spacing w:after="0"/>
        <w:ind w:firstLine="709"/>
      </w:pPr>
      <w:r>
        <w:t>4</w:t>
      </w:r>
      <w:r w:rsidRPr="00AC561B">
        <w:rPr>
          <w:vertAlign w:val="superscript"/>
        </w:rPr>
        <w:t>th</w:t>
      </w:r>
      <w:r>
        <w:t xml:space="preserve"> Floor, Orchard 1</w:t>
      </w:r>
    </w:p>
    <w:p w:rsidR="00321C47" w:rsidRDefault="00321C47" w:rsidP="00321C47">
      <w:pPr>
        <w:spacing w:after="0"/>
        <w:ind w:firstLine="709"/>
      </w:pPr>
      <w:r>
        <w:t>1 Victoria Street</w:t>
      </w:r>
    </w:p>
    <w:p w:rsidR="00321C47" w:rsidRDefault="00321C47" w:rsidP="00321C47">
      <w:pPr>
        <w:spacing w:after="0"/>
        <w:ind w:firstLine="709"/>
      </w:pPr>
      <w:r>
        <w:t>London SW1H 0ET</w:t>
      </w:r>
    </w:p>
    <w:p w:rsidR="00321C47" w:rsidRPr="000950CF" w:rsidRDefault="00321C47" w:rsidP="00321C47">
      <w:pPr>
        <w:spacing w:after="0"/>
        <w:ind w:firstLine="709"/>
      </w:pPr>
      <w:r w:rsidRPr="000950CF">
        <w:t>Tel:</w:t>
      </w:r>
      <w:r>
        <w:t xml:space="preserve"> 020 7215 5576</w:t>
      </w:r>
    </w:p>
    <w:p w:rsidR="00F874C7" w:rsidRPr="000950CF" w:rsidRDefault="00321C47" w:rsidP="00321C47">
      <w:pPr>
        <w:spacing w:after="0"/>
        <w:ind w:firstLine="709"/>
      </w:pPr>
      <w:r w:rsidRPr="000950CF">
        <w:t>Email</w:t>
      </w:r>
      <w:r>
        <w:t xml:space="preserve">: </w:t>
      </w:r>
      <w:hyperlink r:id="rId27" w:history="1">
        <w:r w:rsidR="00F874C7" w:rsidRPr="006A569A">
          <w:rPr>
            <w:rStyle w:val="Hyperlink"/>
          </w:rPr>
          <w:t>terry.edge@bis.gsi.gov.uk</w:t>
        </w:r>
      </w:hyperlink>
    </w:p>
    <w:p w:rsidR="00321C47" w:rsidRDefault="00321C47" w:rsidP="00321C47">
      <w:pPr>
        <w:spacing w:after="0"/>
        <w:ind w:left="0"/>
      </w:pPr>
    </w:p>
    <w:p w:rsidR="00321C47" w:rsidRPr="00BD2801" w:rsidRDefault="00321C47" w:rsidP="00321C47">
      <w:pPr>
        <w:spacing w:after="0"/>
      </w:pPr>
      <w:r w:rsidRPr="007164C2">
        <w:t>The consultation principles are</w:t>
      </w:r>
      <w:r>
        <w:rPr>
          <w:color w:val="FF0000"/>
        </w:rPr>
        <w:t xml:space="preserve"> </w:t>
      </w:r>
      <w:r w:rsidR="00C44397">
        <w:t>at</w:t>
      </w:r>
      <w:r>
        <w:t xml:space="preserve"> Annex 5.</w:t>
      </w:r>
    </w:p>
    <w:p w:rsidR="00321C47" w:rsidRPr="00BD2801" w:rsidRDefault="00321C47" w:rsidP="00321C47">
      <w:pPr>
        <w:ind w:left="0"/>
      </w:pPr>
    </w:p>
    <w:p w:rsidR="00321C47" w:rsidRDefault="00321C47" w:rsidP="00321C47">
      <w:r>
        <w:br w:type="column"/>
      </w:r>
    </w:p>
    <w:p w:rsidR="00321C47" w:rsidRDefault="00321C47" w:rsidP="009E4AE2">
      <w:pPr>
        <w:pStyle w:val="BISnumberingBold"/>
      </w:pPr>
    </w:p>
    <w:p w:rsidR="00321C47" w:rsidRDefault="00C208AC" w:rsidP="0039415E">
      <w:pPr>
        <w:pStyle w:val="Heading2"/>
        <w:numPr>
          <w:ilvl w:val="0"/>
          <w:numId w:val="26"/>
        </w:numPr>
      </w:pPr>
      <w:bookmarkStart w:id="30" w:name="_Toc222902176"/>
      <w:bookmarkStart w:id="31" w:name="_Toc287009281"/>
      <w:bookmarkStart w:id="32" w:name="_Toc394509365"/>
      <w:r w:rsidRPr="00BD2801">
        <w:t>The proposals</w:t>
      </w:r>
      <w:bookmarkEnd w:id="30"/>
      <w:bookmarkEnd w:id="31"/>
      <w:bookmarkEnd w:id="32"/>
    </w:p>
    <w:p w:rsidR="00321C47" w:rsidRPr="00321C47" w:rsidRDefault="00321C47" w:rsidP="00321C47">
      <w:pPr>
        <w:ind w:left="720" w:right="180" w:hanging="720"/>
        <w:rPr>
          <w:b/>
          <w:szCs w:val="22"/>
        </w:rPr>
      </w:pPr>
      <w:r>
        <w:rPr>
          <w:b/>
          <w:szCs w:val="22"/>
        </w:rPr>
        <w:t>The existing regulations</w:t>
      </w:r>
    </w:p>
    <w:p w:rsidR="00CC5D68" w:rsidRDefault="00321C47" w:rsidP="00321C47">
      <w:pPr>
        <w:ind w:left="720" w:right="180" w:hanging="720"/>
        <w:rPr>
          <w:szCs w:val="22"/>
        </w:rPr>
      </w:pPr>
      <w:r>
        <w:rPr>
          <w:szCs w:val="22"/>
        </w:rPr>
        <w:t>10.</w:t>
      </w:r>
      <w:r>
        <w:rPr>
          <w:szCs w:val="22"/>
        </w:rPr>
        <w:tab/>
      </w:r>
      <w:r w:rsidR="00CC5D68">
        <w:rPr>
          <w:szCs w:val="22"/>
        </w:rPr>
        <w:t xml:space="preserve">The </w:t>
      </w:r>
      <w:r w:rsidR="005667C0">
        <w:rPr>
          <w:szCs w:val="22"/>
        </w:rPr>
        <w:t xml:space="preserve">Furniture and Furnishings (Fire) (Safety) Regulations 1988 (as amended in 1989, 1993 and 2010) (FFRs) </w:t>
      </w:r>
      <w:r w:rsidR="00CC5D68">
        <w:rPr>
          <w:szCs w:val="22"/>
        </w:rPr>
        <w:t>are made in accordance with Section 11 of the Consumer Protection Act 1987.</w:t>
      </w:r>
      <w:r w:rsidR="005667C0">
        <w:rPr>
          <w:szCs w:val="22"/>
        </w:rPr>
        <w:t xml:space="preserve"> </w:t>
      </w:r>
    </w:p>
    <w:p w:rsidR="00147215" w:rsidRDefault="00321C47" w:rsidP="00321C47">
      <w:pPr>
        <w:ind w:left="720" w:right="180" w:hanging="720"/>
        <w:rPr>
          <w:szCs w:val="22"/>
        </w:rPr>
      </w:pPr>
      <w:r>
        <w:rPr>
          <w:szCs w:val="22"/>
        </w:rPr>
        <w:t>11.</w:t>
      </w:r>
      <w:r>
        <w:rPr>
          <w:szCs w:val="22"/>
        </w:rPr>
        <w:tab/>
      </w:r>
      <w:r w:rsidR="00147215">
        <w:rPr>
          <w:szCs w:val="22"/>
        </w:rPr>
        <w:t xml:space="preserve">The </w:t>
      </w:r>
      <w:r w:rsidR="005667C0">
        <w:rPr>
          <w:szCs w:val="22"/>
        </w:rPr>
        <w:t xml:space="preserve">FFRs </w:t>
      </w:r>
      <w:r w:rsidR="00787A2C">
        <w:rPr>
          <w:szCs w:val="22"/>
        </w:rPr>
        <w:t xml:space="preserve">set levels of fire resistance for </w:t>
      </w:r>
      <w:r w:rsidR="00C36976">
        <w:rPr>
          <w:szCs w:val="22"/>
        </w:rPr>
        <w:t xml:space="preserve">new and second-hand </w:t>
      </w:r>
      <w:r w:rsidR="00787A2C">
        <w:rPr>
          <w:szCs w:val="22"/>
        </w:rPr>
        <w:t xml:space="preserve">domestic upholstered furniture, furnishings and other products containing upholstery supplied in the UK. The FFRs apply to all persons </w:t>
      </w:r>
      <w:r w:rsidR="00C36976">
        <w:rPr>
          <w:szCs w:val="22"/>
        </w:rPr>
        <w:t>supplying materials for use in furniture and furnishings through to supply of the finished article. They also apply to persons who hire out furniture in the course of a business, including accommodation such as holiday homes and residential furnished lettings. They also apply to charities supplying furniture in the course of business.</w:t>
      </w:r>
      <w:r w:rsidR="00E723D9">
        <w:rPr>
          <w:szCs w:val="22"/>
        </w:rPr>
        <w:t xml:space="preserve"> </w:t>
      </w:r>
    </w:p>
    <w:p w:rsidR="00E75318" w:rsidRDefault="00321C47" w:rsidP="00321C47">
      <w:pPr>
        <w:ind w:left="720" w:right="180" w:hanging="720"/>
        <w:rPr>
          <w:szCs w:val="22"/>
        </w:rPr>
      </w:pPr>
      <w:r>
        <w:rPr>
          <w:szCs w:val="22"/>
        </w:rPr>
        <w:t>12.</w:t>
      </w:r>
      <w:r>
        <w:rPr>
          <w:szCs w:val="22"/>
        </w:rPr>
        <w:tab/>
      </w:r>
      <w:r w:rsidR="00E75318">
        <w:rPr>
          <w:szCs w:val="22"/>
        </w:rPr>
        <w:t>The FFRs provide the highest levels of fire safety for domestic upholstered furniture in the world (only</w:t>
      </w:r>
      <w:r w:rsidR="001E3A8F">
        <w:rPr>
          <w:szCs w:val="22"/>
        </w:rPr>
        <w:t xml:space="preserve"> the Republic of</w:t>
      </w:r>
      <w:r w:rsidR="00E75318">
        <w:rPr>
          <w:szCs w:val="22"/>
        </w:rPr>
        <w:t xml:space="preserve"> Ireland has similar</w:t>
      </w:r>
      <w:r w:rsidR="00C44397">
        <w:rPr>
          <w:szCs w:val="22"/>
        </w:rPr>
        <w:t xml:space="preserve"> requirements</w:t>
      </w:r>
      <w:r w:rsidR="00E75318">
        <w:rPr>
          <w:szCs w:val="22"/>
        </w:rPr>
        <w:t>). They save around 54 lives per year and prevent around 800 injuries and 1000 fires</w:t>
      </w:r>
      <w:r w:rsidR="00E75318">
        <w:rPr>
          <w:rStyle w:val="FootnoteReference"/>
          <w:szCs w:val="22"/>
        </w:rPr>
        <w:footnoteReference w:id="1"/>
      </w:r>
      <w:r w:rsidR="001E3A8F">
        <w:rPr>
          <w:szCs w:val="22"/>
        </w:rPr>
        <w:t>. They</w:t>
      </w:r>
      <w:r w:rsidR="00E75318">
        <w:rPr>
          <w:szCs w:val="22"/>
        </w:rPr>
        <w:t xml:space="preserve"> receive strong support from consumers, industry, the fire services</w:t>
      </w:r>
      <w:r w:rsidR="00AE47BD">
        <w:rPr>
          <w:szCs w:val="22"/>
        </w:rPr>
        <w:t xml:space="preserve"> and</w:t>
      </w:r>
      <w:r w:rsidR="00E75318">
        <w:rPr>
          <w:szCs w:val="22"/>
        </w:rPr>
        <w:t xml:space="preserve"> enforcement authorities. </w:t>
      </w:r>
    </w:p>
    <w:p w:rsidR="00C20565" w:rsidRDefault="00321C47" w:rsidP="00321C47">
      <w:pPr>
        <w:ind w:left="720" w:right="180" w:hanging="720"/>
        <w:rPr>
          <w:szCs w:val="22"/>
        </w:rPr>
      </w:pPr>
      <w:r>
        <w:rPr>
          <w:szCs w:val="22"/>
        </w:rPr>
        <w:t>13.</w:t>
      </w:r>
      <w:r>
        <w:rPr>
          <w:szCs w:val="22"/>
        </w:rPr>
        <w:tab/>
      </w:r>
      <w:r w:rsidR="00C20565">
        <w:rPr>
          <w:szCs w:val="22"/>
        </w:rPr>
        <w:t>Product ranges covered by the FFRs inc</w:t>
      </w:r>
      <w:r w:rsidR="00FA5DB3">
        <w:rPr>
          <w:szCs w:val="22"/>
        </w:rPr>
        <w:t>l</w:t>
      </w:r>
      <w:r w:rsidR="00C20565">
        <w:rPr>
          <w:szCs w:val="22"/>
        </w:rPr>
        <w:t>ude any of the following which contain upholstery:</w:t>
      </w:r>
    </w:p>
    <w:p w:rsidR="00C20565" w:rsidRDefault="00C20565" w:rsidP="0039415E">
      <w:pPr>
        <w:numPr>
          <w:ilvl w:val="0"/>
          <w:numId w:val="21"/>
        </w:numPr>
        <w:ind w:left="1080" w:right="180"/>
        <w:rPr>
          <w:szCs w:val="22"/>
        </w:rPr>
      </w:pPr>
      <w:r>
        <w:rPr>
          <w:szCs w:val="22"/>
        </w:rPr>
        <w:t>Furniture intended for private use in a dwelling, including children’s furniture</w:t>
      </w:r>
    </w:p>
    <w:p w:rsidR="00C20565" w:rsidRDefault="00C20565" w:rsidP="0039415E">
      <w:pPr>
        <w:numPr>
          <w:ilvl w:val="0"/>
          <w:numId w:val="21"/>
        </w:numPr>
        <w:ind w:left="1080" w:right="180"/>
        <w:rPr>
          <w:szCs w:val="22"/>
        </w:rPr>
      </w:pPr>
      <w:r>
        <w:rPr>
          <w:szCs w:val="22"/>
        </w:rPr>
        <w:t>Beds, head boards of beds, mattress fillings (of any size)</w:t>
      </w:r>
    </w:p>
    <w:p w:rsidR="00C20565" w:rsidRDefault="00C20565" w:rsidP="0039415E">
      <w:pPr>
        <w:numPr>
          <w:ilvl w:val="0"/>
          <w:numId w:val="21"/>
        </w:numPr>
        <w:ind w:left="1080" w:right="180"/>
        <w:rPr>
          <w:szCs w:val="22"/>
        </w:rPr>
      </w:pPr>
      <w:r>
        <w:rPr>
          <w:szCs w:val="22"/>
        </w:rPr>
        <w:t>Nursery furniture</w:t>
      </w:r>
    </w:p>
    <w:p w:rsidR="00C20565" w:rsidRDefault="00C20565" w:rsidP="0039415E">
      <w:pPr>
        <w:numPr>
          <w:ilvl w:val="0"/>
          <w:numId w:val="21"/>
        </w:numPr>
        <w:ind w:left="1080" w:right="180"/>
        <w:rPr>
          <w:szCs w:val="22"/>
        </w:rPr>
      </w:pPr>
      <w:r>
        <w:rPr>
          <w:szCs w:val="22"/>
        </w:rPr>
        <w:t>Garden furniture which is suitable for use in a dwelling</w:t>
      </w:r>
    </w:p>
    <w:p w:rsidR="00C20565" w:rsidRDefault="00C20565" w:rsidP="0039415E">
      <w:pPr>
        <w:numPr>
          <w:ilvl w:val="0"/>
          <w:numId w:val="21"/>
        </w:numPr>
        <w:ind w:left="1080" w:right="180"/>
        <w:rPr>
          <w:szCs w:val="22"/>
        </w:rPr>
      </w:pPr>
      <w:r>
        <w:rPr>
          <w:szCs w:val="22"/>
        </w:rPr>
        <w:t>Furniture in caravans</w:t>
      </w:r>
    </w:p>
    <w:p w:rsidR="00C20565" w:rsidRDefault="00C20565" w:rsidP="0039415E">
      <w:pPr>
        <w:numPr>
          <w:ilvl w:val="0"/>
          <w:numId w:val="21"/>
        </w:numPr>
        <w:ind w:left="1080" w:right="180"/>
        <w:rPr>
          <w:szCs w:val="22"/>
        </w:rPr>
      </w:pPr>
      <w:r>
        <w:rPr>
          <w:szCs w:val="22"/>
        </w:rPr>
        <w:t>Scatter cushions, seat pads, pillows</w:t>
      </w:r>
    </w:p>
    <w:p w:rsidR="00C20565" w:rsidRDefault="00C20565" w:rsidP="0039415E">
      <w:pPr>
        <w:numPr>
          <w:ilvl w:val="0"/>
          <w:numId w:val="21"/>
        </w:numPr>
        <w:ind w:left="1080" w:right="180"/>
        <w:rPr>
          <w:szCs w:val="22"/>
        </w:rPr>
      </w:pPr>
      <w:r>
        <w:rPr>
          <w:szCs w:val="22"/>
        </w:rPr>
        <w:t>Loose and stretch covers</w:t>
      </w:r>
    </w:p>
    <w:p w:rsidR="00C20565" w:rsidRDefault="00321C47" w:rsidP="00321C47">
      <w:pPr>
        <w:ind w:left="0" w:right="180"/>
        <w:rPr>
          <w:szCs w:val="22"/>
        </w:rPr>
      </w:pPr>
      <w:r>
        <w:rPr>
          <w:szCs w:val="22"/>
        </w:rPr>
        <w:t>14.</w:t>
      </w:r>
      <w:r>
        <w:rPr>
          <w:szCs w:val="22"/>
        </w:rPr>
        <w:tab/>
      </w:r>
      <w:r w:rsidR="00C20565">
        <w:rPr>
          <w:szCs w:val="22"/>
        </w:rPr>
        <w:t>The FFRs do not apply to:</w:t>
      </w:r>
    </w:p>
    <w:p w:rsidR="00C20565" w:rsidRDefault="00C20565" w:rsidP="0039415E">
      <w:pPr>
        <w:numPr>
          <w:ilvl w:val="0"/>
          <w:numId w:val="22"/>
        </w:numPr>
        <w:ind w:left="1080" w:right="180"/>
        <w:rPr>
          <w:szCs w:val="22"/>
        </w:rPr>
      </w:pPr>
      <w:r>
        <w:rPr>
          <w:szCs w:val="22"/>
        </w:rPr>
        <w:t>Sleeping bags, bed clothes, loose covers for mattresses, pillowcases, curtains, carpets</w:t>
      </w:r>
    </w:p>
    <w:p w:rsidR="00C20565" w:rsidRDefault="00C20565" w:rsidP="0039415E">
      <w:pPr>
        <w:numPr>
          <w:ilvl w:val="0"/>
          <w:numId w:val="22"/>
        </w:numPr>
        <w:ind w:left="1080" w:right="180"/>
        <w:rPr>
          <w:szCs w:val="22"/>
        </w:rPr>
      </w:pPr>
      <w:r>
        <w:rPr>
          <w:szCs w:val="22"/>
        </w:rPr>
        <w:t>Furniture made before 1950</w:t>
      </w:r>
    </w:p>
    <w:p w:rsidR="00C20565" w:rsidRDefault="00C20565" w:rsidP="0039415E">
      <w:pPr>
        <w:numPr>
          <w:ilvl w:val="0"/>
          <w:numId w:val="22"/>
        </w:numPr>
        <w:ind w:left="1080" w:right="180"/>
        <w:rPr>
          <w:szCs w:val="22"/>
        </w:rPr>
      </w:pPr>
      <w:r>
        <w:rPr>
          <w:szCs w:val="22"/>
        </w:rPr>
        <w:lastRenderedPageBreak/>
        <w:t>Exports of furniture</w:t>
      </w:r>
    </w:p>
    <w:p w:rsidR="00C20565" w:rsidRDefault="00321C47" w:rsidP="00321C47">
      <w:pPr>
        <w:ind w:left="0" w:right="180"/>
        <w:rPr>
          <w:szCs w:val="22"/>
        </w:rPr>
      </w:pPr>
      <w:r>
        <w:rPr>
          <w:szCs w:val="22"/>
        </w:rPr>
        <w:t>15.</w:t>
      </w:r>
      <w:r>
        <w:rPr>
          <w:szCs w:val="22"/>
        </w:rPr>
        <w:tab/>
      </w:r>
      <w:r w:rsidR="00C20565">
        <w:rPr>
          <w:szCs w:val="22"/>
        </w:rPr>
        <w:t>The main flammability requirements of the FFRs are provided by:</w:t>
      </w:r>
    </w:p>
    <w:p w:rsidR="00C20565" w:rsidRDefault="00C20565" w:rsidP="00321C47">
      <w:pPr>
        <w:ind w:left="720" w:right="180"/>
        <w:rPr>
          <w:szCs w:val="22"/>
        </w:rPr>
      </w:pPr>
      <w:r>
        <w:rPr>
          <w:szCs w:val="22"/>
        </w:rPr>
        <w:t>BS 5852: Part 1: 1979: “Methods of test for the ignitability by smokers’ materials of upholstered composites for seating”</w:t>
      </w:r>
      <w:r w:rsidR="00111C53">
        <w:rPr>
          <w:szCs w:val="22"/>
        </w:rPr>
        <w:t>,</w:t>
      </w:r>
      <w:r>
        <w:rPr>
          <w:szCs w:val="22"/>
        </w:rPr>
        <w:t xml:space="preserve"> and</w:t>
      </w:r>
    </w:p>
    <w:p w:rsidR="00C20565" w:rsidRDefault="00C20565" w:rsidP="00321C47">
      <w:pPr>
        <w:ind w:left="720" w:right="180"/>
        <w:rPr>
          <w:szCs w:val="22"/>
        </w:rPr>
      </w:pPr>
      <w:r>
        <w:rPr>
          <w:szCs w:val="22"/>
        </w:rPr>
        <w:t xml:space="preserve">BS 5852: Part 2: 1982: “Methods of test for the </w:t>
      </w:r>
      <w:r w:rsidR="007B73A7">
        <w:rPr>
          <w:szCs w:val="22"/>
        </w:rPr>
        <w:t>ignitability</w:t>
      </w:r>
      <w:r>
        <w:rPr>
          <w:szCs w:val="22"/>
        </w:rPr>
        <w:t xml:space="preserve"> of upholstered composites for seating by flaming sources”</w:t>
      </w:r>
    </w:p>
    <w:p w:rsidR="00C20565" w:rsidRDefault="00C44397" w:rsidP="00C44397">
      <w:pPr>
        <w:ind w:left="720" w:right="180"/>
        <w:rPr>
          <w:szCs w:val="22"/>
        </w:rPr>
      </w:pPr>
      <w:r>
        <w:rPr>
          <w:szCs w:val="22"/>
        </w:rPr>
        <w:t xml:space="preserve">- </w:t>
      </w:r>
      <w:r w:rsidR="00C20565">
        <w:rPr>
          <w:szCs w:val="22"/>
        </w:rPr>
        <w:t xml:space="preserve">as modified by the Schedules to the FFRs. </w:t>
      </w:r>
    </w:p>
    <w:p w:rsidR="00023284" w:rsidRPr="00147215" w:rsidRDefault="00321C47" w:rsidP="00321C47">
      <w:pPr>
        <w:ind w:left="720" w:right="180" w:hanging="720"/>
        <w:rPr>
          <w:szCs w:val="22"/>
        </w:rPr>
      </w:pPr>
      <w:r>
        <w:rPr>
          <w:szCs w:val="22"/>
        </w:rPr>
        <w:t>16.</w:t>
      </w:r>
      <w:r>
        <w:rPr>
          <w:szCs w:val="22"/>
        </w:rPr>
        <w:tab/>
      </w:r>
      <w:r w:rsidR="00023284">
        <w:rPr>
          <w:szCs w:val="22"/>
        </w:rPr>
        <w:t>Enforcement of the FFRs is the responsibility of Trading Standards (in accordance with powers provided by The Consumer Protection Act 1987). The FFRs require suppliers to provide Trading Standards, upon re</w:t>
      </w:r>
      <w:r w:rsidR="00E44A10">
        <w:rPr>
          <w:szCs w:val="22"/>
        </w:rPr>
        <w:t>quest, with details of, e.g. the name and address of the principle place of business of the manufacturer or importer who first supplied the product in the UK; all the filling materials and cover materials included in the product.</w:t>
      </w:r>
    </w:p>
    <w:p w:rsidR="00C20565" w:rsidRPr="00E37D60" w:rsidRDefault="00C20565" w:rsidP="00321C47">
      <w:pPr>
        <w:ind w:left="0"/>
        <w:outlineLvl w:val="0"/>
        <w:rPr>
          <w:b/>
          <w:szCs w:val="28"/>
        </w:rPr>
      </w:pPr>
      <w:bookmarkStart w:id="33" w:name="_Toc394509366"/>
      <w:r w:rsidRPr="00E37D60">
        <w:rPr>
          <w:b/>
          <w:szCs w:val="28"/>
        </w:rPr>
        <w:t>The FFRs’ Flammability Tests</w:t>
      </w:r>
      <w:bookmarkEnd w:id="33"/>
    </w:p>
    <w:p w:rsidR="00C20565" w:rsidRDefault="00321C47" w:rsidP="00321C47">
      <w:pPr>
        <w:spacing w:after="0"/>
        <w:ind w:left="720" w:hanging="720"/>
        <w:rPr>
          <w:szCs w:val="28"/>
        </w:rPr>
      </w:pPr>
      <w:r>
        <w:t>17.</w:t>
      </w:r>
      <w:r>
        <w:tab/>
      </w:r>
      <w:r w:rsidR="00C20565" w:rsidRPr="001A00E7">
        <w:t xml:space="preserve">There are </w:t>
      </w:r>
      <w:r w:rsidR="00C20565">
        <w:t>four</w:t>
      </w:r>
      <w:r w:rsidR="00C20565" w:rsidRPr="001A00E7">
        <w:t xml:space="preserve"> </w:t>
      </w:r>
      <w:r w:rsidR="00C20565">
        <w:t xml:space="preserve">main </w:t>
      </w:r>
      <w:r w:rsidR="00C20565" w:rsidRPr="001A00E7">
        <w:t xml:space="preserve">flammability tests in the FFRs: two for cover fabrics - </w:t>
      </w:r>
      <w:r w:rsidR="00C20565">
        <w:t>'</w:t>
      </w:r>
      <w:r w:rsidR="00C20565" w:rsidRPr="001A00E7">
        <w:t>match</w:t>
      </w:r>
      <w:r w:rsidR="00C20565">
        <w:t>'</w:t>
      </w:r>
      <w:r w:rsidR="00C20565" w:rsidRPr="001A00E7">
        <w:t xml:space="preserve"> and </w:t>
      </w:r>
      <w:r w:rsidR="00C20565">
        <w:t>'</w:t>
      </w:r>
      <w:r w:rsidR="00C20565" w:rsidRPr="001A00E7">
        <w:t>cigarette</w:t>
      </w:r>
      <w:r w:rsidR="00C20565">
        <w:t>'</w:t>
      </w:r>
      <w:r w:rsidR="00C20565" w:rsidRPr="001A00E7">
        <w:t xml:space="preserve"> - and </w:t>
      </w:r>
      <w:r w:rsidR="00C20565">
        <w:t>two</w:t>
      </w:r>
      <w:r w:rsidR="00C20565" w:rsidRPr="001A00E7">
        <w:t xml:space="preserve"> for filling</w:t>
      </w:r>
      <w:r w:rsidR="00C20565">
        <w:t>s - for foam and non-foam materials</w:t>
      </w:r>
      <w:r w:rsidR="00C20565" w:rsidRPr="001A00E7">
        <w:t xml:space="preserve">. The FFRs do not stipulate the </w:t>
      </w:r>
      <w:r w:rsidR="00C20565">
        <w:t>route to</w:t>
      </w:r>
      <w:r w:rsidR="00C20565" w:rsidRPr="001A00E7">
        <w:t xml:space="preserve"> compliance but in practice most manufacturers use </w:t>
      </w:r>
      <w:r w:rsidR="00FA5DB3">
        <w:t>flame retardant chemicals (</w:t>
      </w:r>
      <w:r w:rsidR="00C20565">
        <w:t>FRs</w:t>
      </w:r>
      <w:r w:rsidR="00FA5DB3">
        <w:t>)</w:t>
      </w:r>
      <w:r w:rsidR="00C20565" w:rsidRPr="001A00E7">
        <w:t xml:space="preserve"> for the match test </w:t>
      </w:r>
      <w:r w:rsidR="00C20565">
        <w:t>for most fabrics</w:t>
      </w:r>
      <w:r w:rsidR="00C20565" w:rsidRPr="001A00E7">
        <w:t>. The potentially</w:t>
      </w:r>
      <w:r w:rsidR="001E3A8F">
        <w:t xml:space="preserve"> more</w:t>
      </w:r>
      <w:r w:rsidR="00C20565" w:rsidRPr="001A00E7">
        <w:t xml:space="preserve"> harmful chemicals - e.g. brominated flame retardants</w:t>
      </w:r>
      <w:r w:rsidR="00C20565">
        <w:t xml:space="preserve"> (BFRs)</w:t>
      </w:r>
      <w:r w:rsidR="00C20565" w:rsidRPr="001A00E7">
        <w:t xml:space="preserve"> - are used in/under cover fabrics. </w:t>
      </w:r>
      <w:r w:rsidR="00C20565">
        <w:rPr>
          <w:szCs w:val="28"/>
        </w:rPr>
        <w:t xml:space="preserve">The current match test is set out in Schedule 5 of the FFRs, in three parts - the first for covering fabrics, the second for stretch covers, and the third for invisible lining materials. </w:t>
      </w:r>
    </w:p>
    <w:p w:rsidR="00230A5B" w:rsidRDefault="00230A5B" w:rsidP="00C20565">
      <w:pPr>
        <w:spacing w:after="0"/>
        <w:ind w:left="90"/>
        <w:rPr>
          <w:szCs w:val="28"/>
        </w:rPr>
      </w:pPr>
    </w:p>
    <w:p w:rsidR="00230A5B" w:rsidRDefault="00321C47" w:rsidP="00321C47">
      <w:pPr>
        <w:spacing w:after="0"/>
        <w:ind w:left="720" w:hanging="720"/>
        <w:rPr>
          <w:szCs w:val="28"/>
        </w:rPr>
      </w:pPr>
      <w:r>
        <w:rPr>
          <w:szCs w:val="28"/>
        </w:rPr>
        <w:t>18.</w:t>
      </w:r>
      <w:r>
        <w:rPr>
          <w:szCs w:val="28"/>
        </w:rPr>
        <w:tab/>
      </w:r>
      <w:r w:rsidR="00230A5B">
        <w:rPr>
          <w:szCs w:val="28"/>
        </w:rPr>
        <w:t xml:space="preserve">A key </w:t>
      </w:r>
      <w:r w:rsidR="00C4488E">
        <w:rPr>
          <w:szCs w:val="28"/>
        </w:rPr>
        <w:t>factor</w:t>
      </w:r>
      <w:r w:rsidR="00230A5B">
        <w:rPr>
          <w:szCs w:val="28"/>
        </w:rPr>
        <w:t xml:space="preserve"> is that the current match test requires cover fabrics to be tested over non-combustion</w:t>
      </w:r>
      <w:r w:rsidR="00C4488E">
        <w:rPr>
          <w:szCs w:val="28"/>
        </w:rPr>
        <w:t>-modified</w:t>
      </w:r>
      <w:r w:rsidR="00230A5B">
        <w:rPr>
          <w:szCs w:val="28"/>
        </w:rPr>
        <w:t xml:space="preserve"> poly</w:t>
      </w:r>
      <w:r w:rsidR="00C4488E">
        <w:rPr>
          <w:szCs w:val="28"/>
        </w:rPr>
        <w:t>u</w:t>
      </w:r>
      <w:r w:rsidR="00230A5B">
        <w:rPr>
          <w:szCs w:val="28"/>
        </w:rPr>
        <w:t>rethane foam</w:t>
      </w:r>
      <w:r w:rsidR="00C4488E">
        <w:rPr>
          <w:szCs w:val="28"/>
        </w:rPr>
        <w:t>, unlike the equivalent EU standard, EN 1021 Part 2</w:t>
      </w:r>
      <w:r w:rsidR="005946D1">
        <w:rPr>
          <w:szCs w:val="28"/>
        </w:rPr>
        <w:t>,</w:t>
      </w:r>
      <w:r w:rsidR="00C4488E">
        <w:rPr>
          <w:szCs w:val="28"/>
        </w:rPr>
        <w:t xml:space="preserve"> which requires </w:t>
      </w:r>
      <w:r w:rsidR="00DC3710">
        <w:rPr>
          <w:szCs w:val="28"/>
        </w:rPr>
        <w:t>the actual final composite to be assessed</w:t>
      </w:r>
      <w:r w:rsidR="00C4488E">
        <w:rPr>
          <w:szCs w:val="28"/>
        </w:rPr>
        <w:t xml:space="preserve"> (</w:t>
      </w:r>
      <w:r w:rsidR="00AA7173">
        <w:rPr>
          <w:szCs w:val="28"/>
        </w:rPr>
        <w:t>e.g.</w:t>
      </w:r>
      <w:r w:rsidR="00DC3710">
        <w:rPr>
          <w:szCs w:val="28"/>
        </w:rPr>
        <w:t xml:space="preserve"> </w:t>
      </w:r>
      <w:r w:rsidR="00C4488E">
        <w:rPr>
          <w:szCs w:val="28"/>
        </w:rPr>
        <w:t>as is found in final UK products).</w:t>
      </w:r>
    </w:p>
    <w:p w:rsidR="00C20565" w:rsidRDefault="00C20565" w:rsidP="00C20565">
      <w:pPr>
        <w:spacing w:after="0"/>
        <w:ind w:left="90"/>
        <w:rPr>
          <w:szCs w:val="28"/>
        </w:rPr>
      </w:pPr>
    </w:p>
    <w:p w:rsidR="00C20565" w:rsidRDefault="00C20565" w:rsidP="00321C47">
      <w:pPr>
        <w:ind w:left="0" w:right="180"/>
        <w:rPr>
          <w:szCs w:val="22"/>
        </w:rPr>
      </w:pPr>
      <w:r>
        <w:rPr>
          <w:b/>
          <w:szCs w:val="22"/>
        </w:rPr>
        <w:t>The need for change</w:t>
      </w:r>
    </w:p>
    <w:p w:rsidR="00E44A10" w:rsidRDefault="00321C47" w:rsidP="00321C47">
      <w:pPr>
        <w:ind w:left="720" w:right="180" w:hanging="720"/>
        <w:rPr>
          <w:szCs w:val="22"/>
        </w:rPr>
      </w:pPr>
      <w:r>
        <w:rPr>
          <w:szCs w:val="22"/>
        </w:rPr>
        <w:t>19.</w:t>
      </w:r>
      <w:r>
        <w:rPr>
          <w:szCs w:val="22"/>
        </w:rPr>
        <w:tab/>
      </w:r>
      <w:r w:rsidR="00C20565">
        <w:rPr>
          <w:szCs w:val="22"/>
        </w:rPr>
        <w:t>There is growing evidence that FRs, particularly BFRs, can be harmful to health and the e</w:t>
      </w:r>
      <w:r w:rsidR="00E75318">
        <w:rPr>
          <w:szCs w:val="22"/>
        </w:rPr>
        <w:t>n</w:t>
      </w:r>
      <w:r w:rsidR="00C20565">
        <w:rPr>
          <w:szCs w:val="22"/>
        </w:rPr>
        <w:t xml:space="preserve">vironment, especially when they break down into individual </w:t>
      </w:r>
      <w:r w:rsidR="007B73A7">
        <w:rPr>
          <w:szCs w:val="22"/>
        </w:rPr>
        <w:t>constituents</w:t>
      </w:r>
      <w:r w:rsidR="00C20565">
        <w:rPr>
          <w:szCs w:val="22"/>
        </w:rPr>
        <w:t>, e.g. by wear or through burning</w:t>
      </w:r>
      <w:r w:rsidR="00A368BC">
        <w:rPr>
          <w:szCs w:val="22"/>
        </w:rPr>
        <w:t xml:space="preserve"> (see Annex1 </w:t>
      </w:r>
      <w:r w:rsidR="00E44A10">
        <w:rPr>
          <w:szCs w:val="22"/>
        </w:rPr>
        <w:t>for a list of papers and research in this subject)</w:t>
      </w:r>
      <w:r w:rsidR="00C20565">
        <w:rPr>
          <w:szCs w:val="22"/>
        </w:rPr>
        <w:t xml:space="preserve">. The most common BFR </w:t>
      </w:r>
      <w:r w:rsidR="00FA5DB3">
        <w:rPr>
          <w:szCs w:val="22"/>
        </w:rPr>
        <w:t>found</w:t>
      </w:r>
      <w:r w:rsidR="00C20565">
        <w:rPr>
          <w:szCs w:val="22"/>
        </w:rPr>
        <w:t xml:space="preserve"> in UK furniture, DecaBDE, has been made a Substance of Very High Concern under the EU</w:t>
      </w:r>
      <w:r w:rsidR="00107988">
        <w:rPr>
          <w:szCs w:val="22"/>
        </w:rPr>
        <w:t xml:space="preserve">’s chemical legislation, REACH. The chemical industry has replaced DecaBDE with a new BFR; however, it is possible that this too in time will be found to be </w:t>
      </w:r>
      <w:r w:rsidR="00C44397">
        <w:rPr>
          <w:szCs w:val="22"/>
        </w:rPr>
        <w:t xml:space="preserve">a </w:t>
      </w:r>
      <w:r w:rsidR="00107988">
        <w:rPr>
          <w:szCs w:val="22"/>
        </w:rPr>
        <w:t xml:space="preserve">substance of concern. Aside from health and the environment, prices for chemicals used to </w:t>
      </w:r>
      <w:r w:rsidR="007B73A7">
        <w:rPr>
          <w:szCs w:val="22"/>
        </w:rPr>
        <w:t>meet</w:t>
      </w:r>
      <w:r w:rsidR="00B4069E">
        <w:rPr>
          <w:szCs w:val="22"/>
        </w:rPr>
        <w:t xml:space="preserve"> the requirements of the match test have been rapidly rising in recent years; partly, this is due to the restrictions placed by REACH on BFRs, i.e. the chemical industry regularly produces a new BFR, for which it demands a higher price than the previous BFR.</w:t>
      </w:r>
    </w:p>
    <w:p w:rsidR="00C20565" w:rsidRDefault="00321C47" w:rsidP="00321C47">
      <w:pPr>
        <w:ind w:left="720" w:right="180" w:hanging="720"/>
        <w:rPr>
          <w:szCs w:val="22"/>
        </w:rPr>
      </w:pPr>
      <w:r>
        <w:rPr>
          <w:szCs w:val="22"/>
        </w:rPr>
        <w:t>20.</w:t>
      </w:r>
      <w:r>
        <w:rPr>
          <w:szCs w:val="22"/>
        </w:rPr>
        <w:tab/>
      </w:r>
      <w:r w:rsidR="00C20565">
        <w:rPr>
          <w:szCs w:val="22"/>
        </w:rPr>
        <w:t>Strong consumer concern, along with lobbying by the Green Science Policy Institute in the USA</w:t>
      </w:r>
      <w:r w:rsidR="00C44397">
        <w:rPr>
          <w:szCs w:val="22"/>
        </w:rPr>
        <w:t>,</w:t>
      </w:r>
      <w:r w:rsidR="00C20565">
        <w:rPr>
          <w:szCs w:val="22"/>
        </w:rPr>
        <w:t xml:space="preserve"> recently resulted in California’s (and de facto the USA’s) furniture flammability standard being changed so that in future it will exclude the use of FRs. Similar concern is growing in UK consumers.</w:t>
      </w:r>
      <w:r w:rsidR="00230A5B">
        <w:rPr>
          <w:szCs w:val="22"/>
        </w:rPr>
        <w:t xml:space="preserve"> While BIS believes that the new California standard offers less fire safety than the FFRs, it is wise to anticipate growing consumer opposition to BF</w:t>
      </w:r>
      <w:r w:rsidR="00B4069E">
        <w:rPr>
          <w:szCs w:val="22"/>
        </w:rPr>
        <w:t>R</w:t>
      </w:r>
      <w:r w:rsidR="00230A5B">
        <w:rPr>
          <w:szCs w:val="22"/>
        </w:rPr>
        <w:t>s in products.</w:t>
      </w:r>
    </w:p>
    <w:p w:rsidR="00B053D7" w:rsidRDefault="00321C47" w:rsidP="00321C47">
      <w:pPr>
        <w:ind w:left="720" w:right="180" w:hanging="720"/>
        <w:rPr>
          <w:szCs w:val="22"/>
        </w:rPr>
      </w:pPr>
      <w:r>
        <w:rPr>
          <w:szCs w:val="22"/>
        </w:rPr>
        <w:lastRenderedPageBreak/>
        <w:t>21.</w:t>
      </w:r>
      <w:r>
        <w:rPr>
          <w:szCs w:val="22"/>
        </w:rPr>
        <w:tab/>
      </w:r>
      <w:r w:rsidR="00B053D7">
        <w:rPr>
          <w:szCs w:val="22"/>
        </w:rPr>
        <w:t xml:space="preserve">In addition, it is </w:t>
      </w:r>
      <w:r w:rsidR="005946D1">
        <w:rPr>
          <w:szCs w:val="22"/>
        </w:rPr>
        <w:t>likely</w:t>
      </w:r>
      <w:r w:rsidR="00B053D7">
        <w:rPr>
          <w:szCs w:val="22"/>
        </w:rPr>
        <w:t xml:space="preserve"> that in the near future EU legislation will require that furniture containing potentially harmful substances (including BFRs) be disposed of safely. This could be an expensive process</w:t>
      </w:r>
      <w:r w:rsidR="00E44A10">
        <w:rPr>
          <w:szCs w:val="22"/>
        </w:rPr>
        <w:t>, especially in light of there currently being only two incinerato</w:t>
      </w:r>
      <w:r w:rsidR="00230A5B">
        <w:rPr>
          <w:szCs w:val="22"/>
        </w:rPr>
        <w:t>rs in the UK that can deal with the safe disposal of such products</w:t>
      </w:r>
      <w:r w:rsidR="00C44397">
        <w:rPr>
          <w:szCs w:val="22"/>
        </w:rPr>
        <w:t xml:space="preserve"> (e.g. in sofas)</w:t>
      </w:r>
      <w:r w:rsidR="00B053D7">
        <w:rPr>
          <w:szCs w:val="22"/>
        </w:rPr>
        <w:t>.</w:t>
      </w:r>
    </w:p>
    <w:p w:rsidR="00C20565" w:rsidRPr="005667C0" w:rsidRDefault="00321C47" w:rsidP="00321C47">
      <w:pPr>
        <w:ind w:left="720" w:right="180" w:hanging="720"/>
        <w:rPr>
          <w:szCs w:val="22"/>
        </w:rPr>
      </w:pPr>
      <w:r>
        <w:rPr>
          <w:szCs w:val="22"/>
        </w:rPr>
        <w:t>22.</w:t>
      </w:r>
      <w:r>
        <w:rPr>
          <w:szCs w:val="22"/>
        </w:rPr>
        <w:tab/>
      </w:r>
      <w:r w:rsidR="00C20565">
        <w:rPr>
          <w:szCs w:val="22"/>
        </w:rPr>
        <w:t xml:space="preserve">Finally, the FFRs are acknowledged as a barrier to trade in the EU but are allowed on safety grounds. For many years, the European Commission, recognising that house fires are not confined to the UK, tried to raise the EU standard to UK levels. However, a chief obstacle to this was some Member States’ objection to FRs in furniture. </w:t>
      </w:r>
      <w:r w:rsidR="00B053D7">
        <w:rPr>
          <w:szCs w:val="22"/>
        </w:rPr>
        <w:t>The Commission has recently indicated strongly that it will not make any more efforts to raise EU standards while the issue of FRs in furniture remains</w:t>
      </w:r>
      <w:r w:rsidR="00221D9D">
        <w:rPr>
          <w:szCs w:val="22"/>
        </w:rPr>
        <w:t xml:space="preserve"> contentious</w:t>
      </w:r>
      <w:r w:rsidR="00B053D7">
        <w:rPr>
          <w:szCs w:val="22"/>
        </w:rPr>
        <w:t xml:space="preserve">. </w:t>
      </w:r>
    </w:p>
    <w:p w:rsidR="00C20565" w:rsidRDefault="00C20565" w:rsidP="00321C47">
      <w:pPr>
        <w:ind w:left="0" w:right="180"/>
        <w:rPr>
          <w:b/>
          <w:szCs w:val="22"/>
        </w:rPr>
      </w:pPr>
      <w:r w:rsidRPr="00860A07">
        <w:rPr>
          <w:b/>
          <w:szCs w:val="22"/>
        </w:rPr>
        <w:t xml:space="preserve">Main points of </w:t>
      </w:r>
      <w:r>
        <w:rPr>
          <w:b/>
          <w:szCs w:val="22"/>
        </w:rPr>
        <w:t xml:space="preserve">the </w:t>
      </w:r>
      <w:r w:rsidRPr="00860A07">
        <w:rPr>
          <w:b/>
          <w:szCs w:val="22"/>
        </w:rPr>
        <w:t>proposed changes</w:t>
      </w:r>
    </w:p>
    <w:p w:rsidR="00321C47" w:rsidRPr="00321C47" w:rsidRDefault="00321C47" w:rsidP="00321C47">
      <w:pPr>
        <w:ind w:left="0" w:right="180"/>
        <w:rPr>
          <w:szCs w:val="22"/>
        </w:rPr>
      </w:pPr>
      <w:r>
        <w:rPr>
          <w:szCs w:val="22"/>
        </w:rPr>
        <w:t>23.</w:t>
      </w:r>
      <w:r w:rsidR="001D6F57">
        <w:rPr>
          <w:szCs w:val="22"/>
        </w:rPr>
        <w:tab/>
        <w:t>Main points are:</w:t>
      </w:r>
    </w:p>
    <w:p w:rsidR="00CF588D" w:rsidRDefault="00CF588D" w:rsidP="0039415E">
      <w:pPr>
        <w:numPr>
          <w:ilvl w:val="0"/>
          <w:numId w:val="24"/>
        </w:numPr>
        <w:ind w:left="1080"/>
        <w:rPr>
          <w:rFonts w:cs="Arial"/>
          <w:szCs w:val="22"/>
          <w:lang w:eastAsia="en-GB"/>
        </w:rPr>
      </w:pPr>
      <w:r>
        <w:rPr>
          <w:rFonts w:cs="Arial"/>
          <w:szCs w:val="22"/>
          <w:lang w:eastAsia="en-GB"/>
        </w:rPr>
        <w:t>Match test requirement for test filling materials to change from non-combustion modified foam to combustion modified foam, in one of two forms</w:t>
      </w:r>
      <w:r w:rsidR="00221D9D">
        <w:rPr>
          <w:rFonts w:cs="Arial"/>
          <w:szCs w:val="22"/>
          <w:lang w:eastAsia="en-GB"/>
        </w:rPr>
        <w:t xml:space="preserve"> (see 24 below)</w:t>
      </w:r>
      <w:r w:rsidR="009C32D9">
        <w:rPr>
          <w:rFonts w:cs="Arial"/>
          <w:szCs w:val="22"/>
          <w:lang w:eastAsia="en-GB"/>
        </w:rPr>
        <w:t>.</w:t>
      </w:r>
    </w:p>
    <w:p w:rsidR="009C32D9" w:rsidRDefault="00CF588D" w:rsidP="0039415E">
      <w:pPr>
        <w:numPr>
          <w:ilvl w:val="0"/>
          <w:numId w:val="24"/>
        </w:numPr>
        <w:ind w:left="1080"/>
        <w:rPr>
          <w:rFonts w:cs="Arial"/>
          <w:szCs w:val="22"/>
          <w:lang w:eastAsia="en-GB"/>
        </w:rPr>
      </w:pPr>
      <w:r>
        <w:rPr>
          <w:rFonts w:cs="Arial"/>
          <w:szCs w:val="22"/>
          <w:lang w:eastAsia="en-GB"/>
        </w:rPr>
        <w:t>Exemption from the cigarette test for any fabric which passes the match test</w:t>
      </w:r>
      <w:r w:rsidR="009C32D9">
        <w:rPr>
          <w:rFonts w:cs="Arial"/>
          <w:szCs w:val="22"/>
          <w:lang w:eastAsia="en-GB"/>
        </w:rPr>
        <w:t xml:space="preserve">. </w:t>
      </w:r>
    </w:p>
    <w:p w:rsidR="00CF588D" w:rsidRDefault="009C32D9" w:rsidP="0039415E">
      <w:pPr>
        <w:numPr>
          <w:ilvl w:val="0"/>
          <w:numId w:val="24"/>
        </w:numPr>
        <w:ind w:left="1080"/>
        <w:rPr>
          <w:rFonts w:cs="Arial"/>
          <w:szCs w:val="22"/>
          <w:lang w:eastAsia="en-GB"/>
        </w:rPr>
      </w:pPr>
      <w:r>
        <w:rPr>
          <w:rFonts w:cs="Arial"/>
          <w:szCs w:val="22"/>
          <w:lang w:eastAsia="en-GB"/>
        </w:rPr>
        <w:t>Removal of the cigarette test for invisible linings.</w:t>
      </w:r>
    </w:p>
    <w:p w:rsidR="009C32D9" w:rsidRDefault="009C32D9" w:rsidP="0039415E">
      <w:pPr>
        <w:numPr>
          <w:ilvl w:val="0"/>
          <w:numId w:val="24"/>
        </w:numPr>
        <w:ind w:left="1080"/>
        <w:rPr>
          <w:rFonts w:cs="Arial"/>
          <w:szCs w:val="22"/>
          <w:lang w:eastAsia="en-GB"/>
        </w:rPr>
      </w:pPr>
      <w:r w:rsidRPr="000B0739">
        <w:rPr>
          <w:rFonts w:cs="Arial"/>
          <w:szCs w:val="22"/>
          <w:lang w:eastAsia="en-GB"/>
        </w:rPr>
        <w:t>Regulation of lining fabrics which are directly behind the visible cover by incorporation into the new visible covers test (with the exemption of non-woven polypropylenes with weights of less than 90g/m² e.g. Corovin)</w:t>
      </w:r>
      <w:r>
        <w:rPr>
          <w:rFonts w:cs="Arial"/>
          <w:szCs w:val="22"/>
          <w:lang w:eastAsia="en-GB"/>
        </w:rPr>
        <w:t>.</w:t>
      </w:r>
    </w:p>
    <w:p w:rsidR="00CF588D" w:rsidRDefault="00CF588D" w:rsidP="0039415E">
      <w:pPr>
        <w:numPr>
          <w:ilvl w:val="0"/>
          <w:numId w:val="24"/>
        </w:numPr>
        <w:ind w:left="1080"/>
        <w:rPr>
          <w:rFonts w:cs="Arial"/>
          <w:szCs w:val="22"/>
          <w:lang w:eastAsia="en-GB"/>
        </w:rPr>
      </w:pPr>
      <w:r>
        <w:rPr>
          <w:rFonts w:cs="Arial"/>
          <w:szCs w:val="22"/>
          <w:lang w:eastAsia="en-GB"/>
        </w:rPr>
        <w:t>Requirement to test currently unregulated materials within 40mm of the surface of the product</w:t>
      </w:r>
      <w:r w:rsidR="009C32D9">
        <w:rPr>
          <w:rFonts w:cs="Arial"/>
          <w:szCs w:val="22"/>
          <w:lang w:eastAsia="en-GB"/>
        </w:rPr>
        <w:t xml:space="preserve"> via a modified version of the match test</w:t>
      </w:r>
      <w:r w:rsidR="00221D9D">
        <w:rPr>
          <w:rFonts w:cs="Arial"/>
          <w:szCs w:val="22"/>
          <w:lang w:eastAsia="en-GB"/>
        </w:rPr>
        <w:t xml:space="preserve"> (see </w:t>
      </w:r>
      <w:r w:rsidR="00024D1B">
        <w:rPr>
          <w:rFonts w:cs="Arial"/>
          <w:szCs w:val="22"/>
          <w:lang w:eastAsia="en-GB"/>
        </w:rPr>
        <w:t xml:space="preserve">27-29 and </w:t>
      </w:r>
      <w:r w:rsidR="00221D9D">
        <w:rPr>
          <w:rFonts w:cs="Arial"/>
          <w:szCs w:val="22"/>
          <w:lang w:eastAsia="en-GB"/>
        </w:rPr>
        <w:t>34 below)</w:t>
      </w:r>
      <w:r w:rsidR="009C32D9">
        <w:rPr>
          <w:rFonts w:cs="Arial"/>
          <w:szCs w:val="22"/>
          <w:lang w:eastAsia="en-GB"/>
        </w:rPr>
        <w:t>.</w:t>
      </w:r>
    </w:p>
    <w:p w:rsidR="00C20565" w:rsidRDefault="00CF588D" w:rsidP="00321C47">
      <w:pPr>
        <w:ind w:left="0"/>
        <w:rPr>
          <w:rFonts w:cs="Arial"/>
          <w:szCs w:val="22"/>
          <w:lang w:eastAsia="en-GB"/>
        </w:rPr>
      </w:pPr>
      <w:r>
        <w:rPr>
          <w:rFonts w:cs="Arial"/>
          <w:b/>
          <w:szCs w:val="22"/>
          <w:lang w:eastAsia="en-GB"/>
        </w:rPr>
        <w:t>Details of the proposed changes</w:t>
      </w:r>
    </w:p>
    <w:p w:rsidR="00C20565" w:rsidRPr="000B0739" w:rsidRDefault="00321C47" w:rsidP="00321C47">
      <w:pPr>
        <w:ind w:left="0"/>
        <w:rPr>
          <w:rFonts w:cs="Arial"/>
          <w:lang w:eastAsia="en-GB"/>
        </w:rPr>
      </w:pPr>
      <w:r>
        <w:rPr>
          <w:rFonts w:cs="Arial"/>
          <w:szCs w:val="22"/>
          <w:lang w:eastAsia="en-GB"/>
        </w:rPr>
        <w:t>24.</w:t>
      </w:r>
      <w:r>
        <w:rPr>
          <w:rFonts w:cs="Arial"/>
          <w:szCs w:val="22"/>
          <w:lang w:eastAsia="en-GB"/>
        </w:rPr>
        <w:tab/>
      </w:r>
      <w:r w:rsidR="00C20565">
        <w:rPr>
          <w:rFonts w:cs="Arial"/>
          <w:szCs w:val="22"/>
          <w:lang w:eastAsia="en-GB"/>
        </w:rPr>
        <w:t>M</w:t>
      </w:r>
      <w:r w:rsidR="00C20565" w:rsidRPr="000B0739">
        <w:rPr>
          <w:rFonts w:cs="Arial"/>
          <w:szCs w:val="22"/>
          <w:lang w:eastAsia="en-GB"/>
        </w:rPr>
        <w:t>atch resistance</w:t>
      </w:r>
      <w:r w:rsidR="009C32D9">
        <w:rPr>
          <w:rFonts w:cs="Arial"/>
          <w:szCs w:val="22"/>
          <w:lang w:eastAsia="en-GB"/>
        </w:rPr>
        <w:t xml:space="preserve"> of visible covers</w:t>
      </w:r>
      <w:r w:rsidR="00C20565" w:rsidRPr="000B0739">
        <w:rPr>
          <w:rFonts w:cs="Arial"/>
          <w:szCs w:val="22"/>
          <w:lang w:eastAsia="en-GB"/>
        </w:rPr>
        <w:t xml:space="preserve"> will be established by testing over two types of filling: </w:t>
      </w:r>
    </w:p>
    <w:p w:rsidR="00C20565" w:rsidRPr="00F576E9" w:rsidRDefault="00C20565" w:rsidP="0039415E">
      <w:pPr>
        <w:numPr>
          <w:ilvl w:val="0"/>
          <w:numId w:val="20"/>
        </w:numPr>
        <w:tabs>
          <w:tab w:val="clear" w:pos="960"/>
          <w:tab w:val="num" w:pos="1080"/>
        </w:tabs>
        <w:spacing w:before="100" w:beforeAutospacing="1" w:after="100" w:afterAutospacing="1"/>
        <w:ind w:left="1080"/>
        <w:rPr>
          <w:rFonts w:cs="Arial"/>
          <w:lang w:eastAsia="en-GB"/>
        </w:rPr>
      </w:pPr>
      <w:r w:rsidRPr="009C32D9">
        <w:rPr>
          <w:rFonts w:cs="Arial"/>
          <w:szCs w:val="22"/>
          <w:u w:val="single"/>
          <w:lang w:eastAsia="en-GB"/>
        </w:rPr>
        <w:t>Filling 1</w:t>
      </w:r>
      <w:r w:rsidRPr="000B0739">
        <w:rPr>
          <w:rFonts w:cs="Arial"/>
          <w:szCs w:val="22"/>
          <w:lang w:eastAsia="en-GB"/>
        </w:rPr>
        <w:t>: Combustion modified polyurethane foam, as in the current test foam required for Schedule 5 Part 3</w:t>
      </w:r>
      <w:r>
        <w:rPr>
          <w:rFonts w:cs="Arial"/>
          <w:szCs w:val="22"/>
          <w:lang w:eastAsia="en-GB"/>
        </w:rPr>
        <w:t xml:space="preserve"> of the FFRs</w:t>
      </w:r>
      <w:r w:rsidR="00993ABD">
        <w:rPr>
          <w:rFonts w:cs="Arial"/>
          <w:szCs w:val="22"/>
          <w:lang w:eastAsia="en-GB"/>
        </w:rPr>
        <w:t>*</w:t>
      </w:r>
      <w:r>
        <w:rPr>
          <w:rFonts w:cs="Arial"/>
          <w:szCs w:val="22"/>
          <w:lang w:eastAsia="en-GB"/>
        </w:rPr>
        <w:t xml:space="preserve"> </w:t>
      </w:r>
      <w:r w:rsidR="002B386C">
        <w:rPr>
          <w:rFonts w:cs="Arial"/>
          <w:szCs w:val="22"/>
          <w:lang w:eastAsia="en-GB"/>
        </w:rPr>
        <w:t>(</w:t>
      </w:r>
      <w:r>
        <w:rPr>
          <w:rFonts w:cs="Arial"/>
          <w:szCs w:val="22"/>
          <w:lang w:eastAsia="en-GB"/>
        </w:rPr>
        <w:t>as amended 1989)</w:t>
      </w:r>
      <w:r w:rsidRPr="000B0739">
        <w:rPr>
          <w:rFonts w:cs="Arial"/>
          <w:szCs w:val="22"/>
          <w:lang w:eastAsia="en-GB"/>
        </w:rPr>
        <w:t>.</w:t>
      </w:r>
      <w:r w:rsidRPr="000B0739">
        <w:rPr>
          <w:rFonts w:cs="Arial"/>
          <w:lang w:eastAsia="en-GB"/>
        </w:rPr>
        <w:t xml:space="preserve"> </w:t>
      </w:r>
      <w:r w:rsidRPr="000B0739">
        <w:rPr>
          <w:rFonts w:cs="Arial"/>
          <w:szCs w:val="22"/>
          <w:lang w:eastAsia="en-GB"/>
        </w:rPr>
        <w:t> </w:t>
      </w:r>
    </w:p>
    <w:p w:rsidR="00BD63EE" w:rsidRPr="00BD63EE" w:rsidRDefault="00C20565" w:rsidP="0039415E">
      <w:pPr>
        <w:numPr>
          <w:ilvl w:val="0"/>
          <w:numId w:val="20"/>
        </w:numPr>
        <w:tabs>
          <w:tab w:val="clear" w:pos="960"/>
          <w:tab w:val="num" w:pos="1080"/>
        </w:tabs>
        <w:spacing w:before="100" w:beforeAutospacing="1" w:after="100" w:afterAutospacing="1"/>
        <w:ind w:left="1080"/>
        <w:rPr>
          <w:rFonts w:cs="Arial"/>
          <w:lang w:eastAsia="en-GB"/>
        </w:rPr>
      </w:pPr>
      <w:r w:rsidRPr="009C32D9">
        <w:rPr>
          <w:rFonts w:cs="Arial"/>
          <w:szCs w:val="22"/>
          <w:u w:val="single"/>
          <w:lang w:eastAsia="en-GB"/>
        </w:rPr>
        <w:t>Filling 2</w:t>
      </w:r>
      <w:r w:rsidRPr="000B0739">
        <w:rPr>
          <w:rFonts w:cs="Arial"/>
          <w:szCs w:val="22"/>
          <w:lang w:eastAsia="en-GB"/>
        </w:rPr>
        <w:t>: Combustion modified foam, as in the current test foam required for Schedule 5 Part 3</w:t>
      </w:r>
      <w:r w:rsidR="00993ABD">
        <w:rPr>
          <w:rFonts w:cs="Arial"/>
          <w:szCs w:val="22"/>
          <w:lang w:eastAsia="en-GB"/>
        </w:rPr>
        <w:t>*</w:t>
      </w:r>
      <w:r w:rsidRPr="000B0739">
        <w:rPr>
          <w:rFonts w:cs="Arial"/>
          <w:szCs w:val="22"/>
          <w:lang w:eastAsia="en-GB"/>
        </w:rPr>
        <w:t>, plus 200 g/m</w:t>
      </w:r>
      <w:r w:rsidRPr="000B0739">
        <w:rPr>
          <w:rFonts w:cs="Arial"/>
          <w:sz w:val="15"/>
          <w:szCs w:val="15"/>
          <w:vertAlign w:val="superscript"/>
          <w:lang w:eastAsia="en-GB"/>
        </w:rPr>
        <w:t>2</w:t>
      </w:r>
      <w:r w:rsidRPr="000B0739">
        <w:rPr>
          <w:rFonts w:cs="Arial"/>
          <w:szCs w:val="22"/>
          <w:lang w:eastAsia="en-GB"/>
        </w:rPr>
        <w:t xml:space="preserve"> thermally bonded sheet polyester fibre compliant </w:t>
      </w:r>
      <w:r w:rsidRPr="0016056B">
        <w:rPr>
          <w:rFonts w:cs="Arial"/>
          <w:szCs w:val="22"/>
          <w:lang w:eastAsia="en-GB"/>
        </w:rPr>
        <w:t>with Schedule 2 Part 1 but not treated with a flame retardant.</w:t>
      </w:r>
    </w:p>
    <w:p w:rsidR="00C20565" w:rsidRDefault="00993ABD" w:rsidP="00993ABD">
      <w:pPr>
        <w:spacing w:before="100" w:beforeAutospacing="1" w:after="100" w:afterAutospacing="1"/>
        <w:ind w:left="960"/>
        <w:rPr>
          <w:rFonts w:cs="Arial"/>
          <w:lang w:eastAsia="en-GB"/>
        </w:rPr>
      </w:pPr>
      <w:r>
        <w:rPr>
          <w:rFonts w:cs="Arial"/>
          <w:szCs w:val="22"/>
          <w:lang w:eastAsia="en-GB"/>
        </w:rPr>
        <w:t>(*</w:t>
      </w:r>
      <w:r>
        <w:rPr>
          <w:rFonts w:cs="Arial"/>
          <w:i/>
          <w:szCs w:val="22"/>
          <w:lang w:eastAsia="en-GB"/>
        </w:rPr>
        <w:t xml:space="preserve">Further </w:t>
      </w:r>
      <w:r w:rsidRPr="00993ABD">
        <w:rPr>
          <w:rFonts w:cs="Arial"/>
          <w:i/>
          <w:szCs w:val="22"/>
          <w:lang w:eastAsia="en-GB"/>
        </w:rPr>
        <w:t>description</w:t>
      </w:r>
      <w:r>
        <w:rPr>
          <w:rFonts w:cs="Arial"/>
          <w:szCs w:val="22"/>
          <w:lang w:eastAsia="en-GB"/>
        </w:rPr>
        <w:t>: m</w:t>
      </w:r>
      <w:r w:rsidR="00BD63EE" w:rsidRPr="00993ABD">
        <w:rPr>
          <w:rFonts w:cs="Arial"/>
          <w:lang w:eastAsia="en-GB"/>
        </w:rPr>
        <w:t>elamine</w:t>
      </w:r>
      <w:r w:rsidR="00BD63EE" w:rsidRPr="00BD63EE">
        <w:rPr>
          <w:rFonts w:cs="Arial"/>
          <w:lang w:eastAsia="en-GB"/>
        </w:rPr>
        <w:t xml:space="preserve"> modified conventional polyether polyurethane foam</w:t>
      </w:r>
      <w:r w:rsidR="00BD63EE">
        <w:rPr>
          <w:rFonts w:cs="Arial"/>
          <w:lang w:eastAsia="en-GB"/>
        </w:rPr>
        <w:t xml:space="preserve">; </w:t>
      </w:r>
      <w:r>
        <w:rPr>
          <w:rFonts w:cs="Arial"/>
          <w:lang w:eastAsia="en-GB"/>
        </w:rPr>
        <w:t>c</w:t>
      </w:r>
      <w:r w:rsidR="00BD63EE">
        <w:rPr>
          <w:rFonts w:cs="Arial"/>
          <w:lang w:eastAsia="en-GB"/>
        </w:rPr>
        <w:t xml:space="preserve">ompliant with Schedule 1 Part 1; </w:t>
      </w:r>
      <w:r w:rsidR="006F1A4E">
        <w:rPr>
          <w:rFonts w:cs="Arial"/>
          <w:lang w:eastAsia="en-GB"/>
        </w:rPr>
        <w:t>s</w:t>
      </w:r>
      <w:r w:rsidR="00BD63EE" w:rsidRPr="00BD63EE">
        <w:rPr>
          <w:rFonts w:cs="Arial"/>
          <w:lang w:eastAsia="en-GB"/>
        </w:rPr>
        <w:t>pecification as in accordance with BS 3379:2005</w:t>
      </w:r>
      <w:r w:rsidR="00BD63EE">
        <w:rPr>
          <w:rFonts w:cs="Arial"/>
          <w:lang w:eastAsia="en-GB"/>
        </w:rPr>
        <w:t xml:space="preserve">; </w:t>
      </w:r>
      <w:r w:rsidR="00AA7173">
        <w:rPr>
          <w:rFonts w:cs="Arial"/>
          <w:lang w:eastAsia="en-GB"/>
        </w:rPr>
        <w:t>d</w:t>
      </w:r>
      <w:r w:rsidR="00AA7173" w:rsidRPr="00BD63EE">
        <w:rPr>
          <w:rFonts w:cs="Arial"/>
          <w:lang w:eastAsia="en-GB"/>
        </w:rPr>
        <w:t>ensity</w:t>
      </w:r>
      <w:r w:rsidR="00BD63EE" w:rsidRPr="00BD63EE">
        <w:rPr>
          <w:rFonts w:cs="Arial"/>
          <w:lang w:eastAsia="en-GB"/>
        </w:rPr>
        <w:t xml:space="preserve"> 24-26Kg/m3</w:t>
      </w:r>
      <w:r w:rsidR="00BD63EE">
        <w:rPr>
          <w:rFonts w:cs="Arial"/>
          <w:lang w:eastAsia="en-GB"/>
        </w:rPr>
        <w:t xml:space="preserve">; </w:t>
      </w:r>
      <w:r w:rsidR="006F1A4E">
        <w:rPr>
          <w:rFonts w:cs="Arial"/>
          <w:lang w:eastAsia="en-GB"/>
        </w:rPr>
        <w:t>h</w:t>
      </w:r>
      <w:r w:rsidR="00BD63EE" w:rsidRPr="00BD63EE">
        <w:rPr>
          <w:rFonts w:cs="Arial"/>
          <w:lang w:eastAsia="en-GB"/>
        </w:rPr>
        <w:t>ardness 115-150N</w:t>
      </w:r>
      <w:r w:rsidR="00BD63EE">
        <w:rPr>
          <w:rFonts w:cs="Arial"/>
          <w:lang w:eastAsia="en-GB"/>
        </w:rPr>
        <w:t xml:space="preserve">; </w:t>
      </w:r>
      <w:r>
        <w:rPr>
          <w:rFonts w:cs="Arial"/>
          <w:lang w:eastAsia="en-GB"/>
        </w:rPr>
        <w:t>f</w:t>
      </w:r>
      <w:r w:rsidR="00BD63EE" w:rsidRPr="00BD63EE">
        <w:rPr>
          <w:rFonts w:cs="Arial"/>
          <w:lang w:eastAsia="en-GB"/>
        </w:rPr>
        <w:t>atigue Class A</w:t>
      </w:r>
      <w:r>
        <w:rPr>
          <w:rFonts w:cs="Arial"/>
          <w:lang w:eastAsia="en-GB"/>
        </w:rPr>
        <w:t>.)</w:t>
      </w:r>
      <w:r w:rsidR="00C20565" w:rsidRPr="0016056B">
        <w:rPr>
          <w:rFonts w:cs="Arial"/>
          <w:lang w:eastAsia="en-GB"/>
        </w:rPr>
        <w:t xml:space="preserve"> </w:t>
      </w:r>
      <w:r w:rsidR="00C20565" w:rsidRPr="0016056B">
        <w:rPr>
          <w:rFonts w:cs="Arial"/>
          <w:color w:val="FF0000"/>
          <w:szCs w:val="22"/>
          <w:lang w:eastAsia="en-GB"/>
        </w:rPr>
        <w:t> </w:t>
      </w:r>
      <w:r w:rsidR="00C20565" w:rsidRPr="0016056B">
        <w:rPr>
          <w:rFonts w:cs="Arial"/>
          <w:lang w:eastAsia="en-GB"/>
        </w:rPr>
        <w:t xml:space="preserve"> </w:t>
      </w:r>
    </w:p>
    <w:p w:rsidR="00C20565" w:rsidRPr="0016056B" w:rsidRDefault="00321C47" w:rsidP="00321C47">
      <w:pPr>
        <w:spacing w:before="100" w:beforeAutospacing="1" w:after="100" w:afterAutospacing="1"/>
        <w:ind w:left="720" w:hanging="720"/>
        <w:rPr>
          <w:rFonts w:cs="Arial"/>
          <w:lang w:eastAsia="en-GB"/>
        </w:rPr>
      </w:pPr>
      <w:r>
        <w:rPr>
          <w:rFonts w:cs="Arial"/>
          <w:lang w:eastAsia="en-GB"/>
        </w:rPr>
        <w:t>25.</w:t>
      </w:r>
      <w:r>
        <w:rPr>
          <w:rFonts w:cs="Arial"/>
          <w:lang w:eastAsia="en-GB"/>
        </w:rPr>
        <w:tab/>
      </w:r>
      <w:r w:rsidR="00C20565">
        <w:rPr>
          <w:rFonts w:cs="Arial"/>
          <w:lang w:eastAsia="en-GB"/>
        </w:rPr>
        <w:t>To operate as follows:</w:t>
      </w:r>
    </w:p>
    <w:p w:rsidR="00C20565" w:rsidRDefault="00C20565" w:rsidP="0039415E">
      <w:pPr>
        <w:numPr>
          <w:ilvl w:val="1"/>
          <w:numId w:val="20"/>
        </w:numPr>
        <w:tabs>
          <w:tab w:val="clear" w:pos="1680"/>
          <w:tab w:val="left" w:pos="1080"/>
        </w:tabs>
        <w:spacing w:after="0"/>
        <w:ind w:left="1080"/>
        <w:rPr>
          <w:rFonts w:cs="Arial"/>
          <w:lang w:eastAsia="en-GB"/>
        </w:rPr>
      </w:pPr>
      <w:r w:rsidRPr="0016056B">
        <w:rPr>
          <w:rFonts w:cs="Arial"/>
          <w:lang w:eastAsia="en-GB"/>
        </w:rPr>
        <w:t xml:space="preserve">Covers </w:t>
      </w:r>
      <w:r>
        <w:rPr>
          <w:rFonts w:cs="Arial"/>
          <w:lang w:eastAsia="en-GB"/>
        </w:rPr>
        <w:t>that</w:t>
      </w:r>
      <w:r w:rsidRPr="0016056B">
        <w:rPr>
          <w:rFonts w:cs="Arial"/>
          <w:lang w:eastAsia="en-GB"/>
        </w:rPr>
        <w:t xml:space="preserve"> meet the requirements using Filling 2 can be taken as </w:t>
      </w:r>
      <w:r>
        <w:rPr>
          <w:rFonts w:cs="Arial"/>
          <w:lang w:eastAsia="en-GB"/>
        </w:rPr>
        <w:t xml:space="preserve">also </w:t>
      </w:r>
      <w:r w:rsidRPr="0016056B">
        <w:rPr>
          <w:rFonts w:cs="Arial"/>
          <w:lang w:eastAsia="en-GB"/>
        </w:rPr>
        <w:t>meeting the requirements using Filling 1</w:t>
      </w:r>
      <w:r>
        <w:rPr>
          <w:rFonts w:cs="Arial"/>
          <w:lang w:eastAsia="en-GB"/>
        </w:rPr>
        <w:t>.</w:t>
      </w:r>
    </w:p>
    <w:p w:rsidR="009C32D9" w:rsidRPr="0016056B" w:rsidRDefault="009C32D9" w:rsidP="00321C47">
      <w:pPr>
        <w:tabs>
          <w:tab w:val="left" w:pos="1080"/>
        </w:tabs>
        <w:spacing w:after="0"/>
        <w:ind w:left="1080" w:hanging="360"/>
        <w:rPr>
          <w:rFonts w:cs="Arial"/>
          <w:lang w:eastAsia="en-GB"/>
        </w:rPr>
      </w:pPr>
    </w:p>
    <w:p w:rsidR="00C20565" w:rsidRPr="009C32D9" w:rsidRDefault="00C20565" w:rsidP="0039415E">
      <w:pPr>
        <w:numPr>
          <w:ilvl w:val="1"/>
          <w:numId w:val="20"/>
        </w:numPr>
        <w:tabs>
          <w:tab w:val="clear" w:pos="1680"/>
          <w:tab w:val="left" w:pos="1080"/>
        </w:tabs>
        <w:spacing w:after="0"/>
        <w:ind w:left="1080"/>
        <w:rPr>
          <w:rFonts w:cs="Arial"/>
          <w:lang w:eastAsia="en-GB"/>
        </w:rPr>
      </w:pPr>
      <w:r w:rsidRPr="0016056B">
        <w:rPr>
          <w:rFonts w:cs="Arial"/>
          <w:lang w:eastAsia="en-GB"/>
        </w:rPr>
        <w:t xml:space="preserve">Covers </w:t>
      </w:r>
      <w:r>
        <w:rPr>
          <w:rFonts w:cs="Arial"/>
          <w:lang w:eastAsia="en-GB"/>
        </w:rPr>
        <w:t xml:space="preserve">that fail when </w:t>
      </w:r>
      <w:r w:rsidRPr="0016056B">
        <w:rPr>
          <w:rFonts w:cs="Arial"/>
          <w:lang w:eastAsia="en-GB"/>
        </w:rPr>
        <w:t xml:space="preserve">tested over Filling </w:t>
      </w:r>
      <w:r>
        <w:rPr>
          <w:rFonts w:cs="Arial"/>
          <w:lang w:eastAsia="en-GB"/>
        </w:rPr>
        <w:t>2 may be</w:t>
      </w:r>
      <w:r w:rsidRPr="0016056B">
        <w:rPr>
          <w:rFonts w:cs="Arial"/>
          <w:lang w:eastAsia="en-GB"/>
        </w:rPr>
        <w:t xml:space="preserve"> tested over Filling </w:t>
      </w:r>
      <w:r>
        <w:rPr>
          <w:rFonts w:cs="Arial"/>
          <w:lang w:eastAsia="en-GB"/>
        </w:rPr>
        <w:t>1</w:t>
      </w:r>
      <w:r w:rsidRPr="0016056B">
        <w:rPr>
          <w:rFonts w:cs="Arial"/>
          <w:lang w:eastAsia="en-GB"/>
        </w:rPr>
        <w:t xml:space="preserve"> provided that in </w:t>
      </w:r>
      <w:r>
        <w:rPr>
          <w:rFonts w:cs="Arial"/>
          <w:lang w:eastAsia="en-GB"/>
        </w:rPr>
        <w:t>the final product</w:t>
      </w:r>
      <w:r w:rsidRPr="0016056B">
        <w:rPr>
          <w:rFonts w:cs="Arial"/>
          <w:lang w:eastAsia="en-GB"/>
        </w:rPr>
        <w:t xml:space="preserve"> the</w:t>
      </w:r>
      <w:r>
        <w:rPr>
          <w:rFonts w:cs="Arial"/>
          <w:lang w:eastAsia="en-GB"/>
        </w:rPr>
        <w:t xml:space="preserve"> cover</w:t>
      </w:r>
      <w:r w:rsidRPr="0016056B">
        <w:rPr>
          <w:rFonts w:cs="Arial"/>
          <w:lang w:eastAsia="en-GB"/>
        </w:rPr>
        <w:t xml:space="preserve"> material </w:t>
      </w:r>
      <w:r>
        <w:rPr>
          <w:rFonts w:cs="Arial"/>
          <w:lang w:eastAsia="en-GB"/>
        </w:rPr>
        <w:t>will be</w:t>
      </w:r>
      <w:r w:rsidRPr="0016056B">
        <w:rPr>
          <w:rFonts w:cs="Arial"/>
          <w:lang w:eastAsia="en-GB"/>
        </w:rPr>
        <w:t xml:space="preserve"> directly over foam (</w:t>
      </w:r>
      <w:r>
        <w:rPr>
          <w:rFonts w:cs="Arial"/>
          <w:lang w:eastAsia="en-GB"/>
        </w:rPr>
        <w:t>however, this</w:t>
      </w:r>
      <w:r w:rsidRPr="0016056B">
        <w:rPr>
          <w:rFonts w:cs="Arial"/>
          <w:lang w:eastAsia="en-GB"/>
        </w:rPr>
        <w:t xml:space="preserve"> does not </w:t>
      </w:r>
      <w:r>
        <w:rPr>
          <w:rFonts w:cs="Arial"/>
          <w:lang w:eastAsia="en-GB"/>
        </w:rPr>
        <w:t>include</w:t>
      </w:r>
      <w:r w:rsidRPr="0016056B">
        <w:rPr>
          <w:rFonts w:cs="Arial"/>
          <w:lang w:eastAsia="en-GB"/>
        </w:rPr>
        <w:t xml:space="preserve"> laminated or quilted</w:t>
      </w:r>
      <w:r>
        <w:rPr>
          <w:rFonts w:cs="Arial"/>
          <w:lang w:eastAsia="en-GB"/>
        </w:rPr>
        <w:t xml:space="preserve"> fabrics</w:t>
      </w:r>
      <w:r w:rsidRPr="0016056B">
        <w:rPr>
          <w:rFonts w:cs="Arial"/>
          <w:lang w:eastAsia="en-GB"/>
        </w:rPr>
        <w:t xml:space="preserve"> </w:t>
      </w:r>
      <w:r>
        <w:rPr>
          <w:rFonts w:cs="Arial"/>
          <w:lang w:eastAsia="en-GB"/>
        </w:rPr>
        <w:t>over</w:t>
      </w:r>
      <w:r w:rsidRPr="0016056B">
        <w:rPr>
          <w:rFonts w:cs="Arial"/>
          <w:lang w:eastAsia="en-GB"/>
        </w:rPr>
        <w:t xml:space="preserve"> a very thin layer of foam)</w:t>
      </w:r>
      <w:r>
        <w:rPr>
          <w:rFonts w:cs="Arial"/>
          <w:lang w:eastAsia="en-GB"/>
        </w:rPr>
        <w:t>.</w:t>
      </w:r>
      <w:r w:rsidRPr="0016056B">
        <w:rPr>
          <w:rFonts w:ascii="Calibri" w:hAnsi="Calibri"/>
          <w:szCs w:val="22"/>
          <w:lang w:eastAsia="en-GB"/>
        </w:rPr>
        <w:t xml:space="preserve"> </w:t>
      </w:r>
    </w:p>
    <w:p w:rsidR="009C32D9" w:rsidRDefault="009C32D9" w:rsidP="00321C47">
      <w:pPr>
        <w:pStyle w:val="ListParagraph"/>
        <w:tabs>
          <w:tab w:val="left" w:pos="1080"/>
        </w:tabs>
        <w:ind w:left="1080" w:hanging="360"/>
        <w:rPr>
          <w:rFonts w:cs="Arial"/>
          <w:lang w:eastAsia="en-GB"/>
        </w:rPr>
      </w:pPr>
    </w:p>
    <w:p w:rsidR="00C20565" w:rsidRPr="009C32D9" w:rsidRDefault="00C20565" w:rsidP="0039415E">
      <w:pPr>
        <w:numPr>
          <w:ilvl w:val="1"/>
          <w:numId w:val="20"/>
        </w:numPr>
        <w:tabs>
          <w:tab w:val="clear" w:pos="1680"/>
          <w:tab w:val="left" w:pos="1080"/>
        </w:tabs>
        <w:spacing w:after="0"/>
        <w:ind w:left="1080"/>
        <w:rPr>
          <w:rFonts w:cs="Arial"/>
          <w:lang w:eastAsia="en-GB"/>
        </w:rPr>
      </w:pPr>
      <w:r w:rsidRPr="0016056B">
        <w:rPr>
          <w:rFonts w:cs="Arial"/>
          <w:lang w:eastAsia="en-GB"/>
        </w:rPr>
        <w:t xml:space="preserve">Covers </w:t>
      </w:r>
      <w:r w:rsidR="002B386C">
        <w:rPr>
          <w:rFonts w:cs="Arial"/>
          <w:lang w:eastAsia="en-GB"/>
        </w:rPr>
        <w:t>that</w:t>
      </w:r>
      <w:r w:rsidRPr="0016056B">
        <w:rPr>
          <w:rFonts w:cs="Arial"/>
          <w:lang w:eastAsia="en-GB"/>
        </w:rPr>
        <w:t xml:space="preserve"> will be used over any other filling than foam</w:t>
      </w:r>
      <w:r>
        <w:rPr>
          <w:rFonts w:cs="Arial"/>
          <w:lang w:eastAsia="en-GB"/>
        </w:rPr>
        <w:t>,</w:t>
      </w:r>
      <w:r w:rsidRPr="0016056B">
        <w:rPr>
          <w:rFonts w:cs="Arial"/>
          <w:lang w:eastAsia="en-GB"/>
        </w:rPr>
        <w:t xml:space="preserve"> or </w:t>
      </w:r>
      <w:r w:rsidR="00383CB1">
        <w:rPr>
          <w:rFonts w:cs="Arial"/>
          <w:lang w:eastAsia="en-GB"/>
        </w:rPr>
        <w:t xml:space="preserve">used </w:t>
      </w:r>
      <w:r w:rsidRPr="0016056B">
        <w:rPr>
          <w:rFonts w:cs="Arial"/>
          <w:lang w:eastAsia="en-GB"/>
        </w:rPr>
        <w:t>where no filling is present (assuming the product contain</w:t>
      </w:r>
      <w:r>
        <w:rPr>
          <w:rFonts w:cs="Arial"/>
          <w:lang w:eastAsia="en-GB"/>
        </w:rPr>
        <w:t>s some form of</w:t>
      </w:r>
      <w:r w:rsidRPr="0016056B">
        <w:rPr>
          <w:rFonts w:cs="Arial"/>
          <w:lang w:eastAsia="en-GB"/>
        </w:rPr>
        <w:t xml:space="preserve"> upholstery)</w:t>
      </w:r>
      <w:r>
        <w:rPr>
          <w:rFonts w:cs="Arial"/>
          <w:lang w:eastAsia="en-GB"/>
        </w:rPr>
        <w:t>, will</w:t>
      </w:r>
      <w:r w:rsidRPr="0016056B">
        <w:rPr>
          <w:rFonts w:cs="Arial"/>
          <w:lang w:eastAsia="en-GB"/>
        </w:rPr>
        <w:t xml:space="preserve"> require testing over Filling 2.</w:t>
      </w:r>
      <w:r w:rsidRPr="0016056B">
        <w:rPr>
          <w:rFonts w:ascii="Calibri" w:hAnsi="Calibri"/>
          <w:szCs w:val="22"/>
          <w:lang w:eastAsia="en-GB"/>
        </w:rPr>
        <w:t xml:space="preserve"> </w:t>
      </w:r>
    </w:p>
    <w:p w:rsidR="009C32D9" w:rsidRDefault="009C32D9" w:rsidP="00321C47">
      <w:pPr>
        <w:pStyle w:val="ListParagraph"/>
        <w:tabs>
          <w:tab w:val="left" w:pos="1080"/>
        </w:tabs>
        <w:ind w:left="1080" w:hanging="360"/>
        <w:rPr>
          <w:rFonts w:cs="Arial"/>
          <w:lang w:eastAsia="en-GB"/>
        </w:rPr>
      </w:pPr>
    </w:p>
    <w:p w:rsidR="00C20565" w:rsidRPr="00050088" w:rsidRDefault="00383CB1" w:rsidP="0039415E">
      <w:pPr>
        <w:numPr>
          <w:ilvl w:val="1"/>
          <w:numId w:val="20"/>
        </w:numPr>
        <w:tabs>
          <w:tab w:val="clear" w:pos="1680"/>
          <w:tab w:val="left" w:pos="1080"/>
        </w:tabs>
        <w:spacing w:after="0"/>
        <w:ind w:left="1080"/>
        <w:rPr>
          <w:rFonts w:ascii="Calibri" w:hAnsi="Calibri"/>
          <w:szCs w:val="22"/>
          <w:lang w:eastAsia="en-GB"/>
        </w:rPr>
      </w:pPr>
      <w:r w:rsidRPr="00050088">
        <w:rPr>
          <w:rFonts w:cs="Arial"/>
          <w:lang w:eastAsia="en-GB"/>
        </w:rPr>
        <w:t>For c</w:t>
      </w:r>
      <w:r w:rsidR="00C20565" w:rsidRPr="00050088">
        <w:rPr>
          <w:rFonts w:cs="Arial"/>
          <w:lang w:eastAsia="en-GB"/>
        </w:rPr>
        <w:t>ove</w:t>
      </w:r>
      <w:r w:rsidRPr="00050088">
        <w:rPr>
          <w:rFonts w:cs="Arial"/>
          <w:lang w:eastAsia="en-GB"/>
        </w:rPr>
        <w:t>rs</w:t>
      </w:r>
      <w:r w:rsidR="00C20565" w:rsidRPr="00050088">
        <w:rPr>
          <w:rFonts w:cs="Arial"/>
          <w:lang w:eastAsia="en-GB"/>
        </w:rPr>
        <w:t xml:space="preserve"> which do not meet the composition requirements of being &gt;75% by weight of cotton, flax, viscose, modal, silk or wool, used separately or together and not coated with polyurethane or a polyurethane preparation </w:t>
      </w:r>
      <w:r w:rsidRPr="00050088">
        <w:rPr>
          <w:rFonts w:cs="Arial"/>
          <w:lang w:eastAsia="en-GB"/>
        </w:rPr>
        <w:t xml:space="preserve">and which </w:t>
      </w:r>
      <w:r w:rsidR="00C20565" w:rsidRPr="00050088">
        <w:rPr>
          <w:rFonts w:cs="Arial"/>
          <w:lang w:eastAsia="en-GB"/>
        </w:rPr>
        <w:t>ha</w:t>
      </w:r>
      <w:r w:rsidRPr="00050088">
        <w:rPr>
          <w:rFonts w:cs="Arial"/>
          <w:lang w:eastAsia="en-GB"/>
        </w:rPr>
        <w:t>ve</w:t>
      </w:r>
      <w:r w:rsidR="00C20565" w:rsidRPr="00050088">
        <w:rPr>
          <w:rFonts w:cs="Arial"/>
          <w:lang w:eastAsia="en-GB"/>
        </w:rPr>
        <w:t xml:space="preserve"> a lining fabric directly behind </w:t>
      </w:r>
      <w:r w:rsidRPr="00050088">
        <w:rPr>
          <w:rFonts w:cs="Arial"/>
          <w:lang w:eastAsia="en-GB"/>
        </w:rPr>
        <w:t>them</w:t>
      </w:r>
      <w:r w:rsidR="00C20565" w:rsidRPr="00050088">
        <w:rPr>
          <w:rFonts w:cs="Arial"/>
          <w:lang w:eastAsia="en-GB"/>
        </w:rPr>
        <w:t>, the visible cover in conjunction with the lining fabric shall be tested together over the appropriate filling.</w:t>
      </w:r>
      <w:r w:rsidR="00C20565" w:rsidRPr="00050088">
        <w:rPr>
          <w:rFonts w:ascii="Calibri" w:hAnsi="Calibri"/>
          <w:szCs w:val="22"/>
          <w:lang w:eastAsia="en-GB"/>
        </w:rPr>
        <w:t xml:space="preserve"> </w:t>
      </w:r>
    </w:p>
    <w:p w:rsidR="00C20565" w:rsidRDefault="00C20565" w:rsidP="00C20565">
      <w:pPr>
        <w:spacing w:after="0"/>
        <w:rPr>
          <w:rFonts w:cs="Arial"/>
          <w:szCs w:val="22"/>
          <w:u w:val="single"/>
          <w:lang w:eastAsia="en-GB"/>
        </w:rPr>
      </w:pPr>
    </w:p>
    <w:p w:rsidR="00C20565" w:rsidRPr="000B0739" w:rsidRDefault="00C20565" w:rsidP="00321C47">
      <w:pPr>
        <w:ind w:left="0"/>
        <w:rPr>
          <w:rFonts w:cs="Arial"/>
          <w:lang w:eastAsia="en-GB"/>
        </w:rPr>
      </w:pPr>
      <w:r w:rsidRPr="000B0739">
        <w:rPr>
          <w:rFonts w:cs="Arial"/>
          <w:szCs w:val="22"/>
          <w:u w:val="single"/>
          <w:lang w:eastAsia="en-GB"/>
        </w:rPr>
        <w:t>Changes to the regulation of lining fabrics</w:t>
      </w:r>
      <w:r w:rsidRPr="000B0739">
        <w:rPr>
          <w:rFonts w:cs="Arial"/>
          <w:szCs w:val="22"/>
          <w:lang w:eastAsia="en-GB"/>
        </w:rPr>
        <w:t> </w:t>
      </w:r>
    </w:p>
    <w:p w:rsidR="00C20565" w:rsidRPr="000B0739" w:rsidRDefault="00321C47" w:rsidP="00321C47">
      <w:pPr>
        <w:ind w:left="720" w:hanging="720"/>
        <w:rPr>
          <w:rFonts w:cs="Arial"/>
          <w:lang w:eastAsia="en-GB"/>
        </w:rPr>
      </w:pPr>
      <w:r>
        <w:rPr>
          <w:rFonts w:cs="Arial"/>
          <w:szCs w:val="22"/>
          <w:lang w:eastAsia="en-GB"/>
        </w:rPr>
        <w:t>26.</w:t>
      </w:r>
      <w:r>
        <w:rPr>
          <w:rFonts w:cs="Arial"/>
          <w:szCs w:val="22"/>
          <w:lang w:eastAsia="en-GB"/>
        </w:rPr>
        <w:tab/>
      </w:r>
      <w:r w:rsidR="00C20565" w:rsidRPr="000B0739">
        <w:rPr>
          <w:rFonts w:cs="Arial"/>
          <w:szCs w:val="22"/>
          <w:lang w:eastAsia="en-GB"/>
        </w:rPr>
        <w:t>Th</w:t>
      </w:r>
      <w:r w:rsidR="00C20565">
        <w:rPr>
          <w:rFonts w:cs="Arial"/>
          <w:szCs w:val="22"/>
          <w:lang w:eastAsia="en-GB"/>
        </w:rPr>
        <w:t>e proposal</w:t>
      </w:r>
      <w:r w:rsidR="00C20565" w:rsidRPr="000B0739">
        <w:rPr>
          <w:rFonts w:cs="Arial"/>
          <w:szCs w:val="22"/>
          <w:lang w:eastAsia="en-GB"/>
        </w:rPr>
        <w:t xml:space="preserve"> could present some issues where lining fabrics are required, i.e. because the lead time for supply could be increased by approximately one week. This is particularly the case for materials such as downproof covers. However, current market knowledge suggests that the outer covers for these types of compositions will not in fact present problems. The overall changes proposed may lead to removal of some lining materials.</w:t>
      </w:r>
      <w:r w:rsidR="00C20565">
        <w:rPr>
          <w:rFonts w:cs="Arial"/>
          <w:szCs w:val="22"/>
          <w:lang w:eastAsia="en-GB"/>
        </w:rPr>
        <w:t xml:space="preserve"> They also provide an exemption for </w:t>
      </w:r>
      <w:r w:rsidR="00C20565" w:rsidRPr="000B0739">
        <w:rPr>
          <w:rFonts w:cs="Arial"/>
          <w:szCs w:val="22"/>
          <w:lang w:eastAsia="en-GB"/>
        </w:rPr>
        <w:t>non-woven polypropylenes with weights of less than 90g/m²</w:t>
      </w:r>
      <w:r w:rsidR="00C20565">
        <w:rPr>
          <w:rFonts w:cs="Arial"/>
          <w:szCs w:val="22"/>
          <w:lang w:eastAsia="en-GB"/>
        </w:rPr>
        <w:t>.</w:t>
      </w:r>
      <w:r w:rsidR="00C20565" w:rsidRPr="000B0739">
        <w:rPr>
          <w:rFonts w:cs="Arial"/>
          <w:szCs w:val="22"/>
          <w:lang w:eastAsia="en-GB"/>
        </w:rPr>
        <w:t> </w:t>
      </w:r>
      <w:r w:rsidR="008F1CD3">
        <w:rPr>
          <w:rFonts w:cs="Arial"/>
          <w:szCs w:val="22"/>
          <w:lang w:eastAsia="en-GB"/>
        </w:rPr>
        <w:t>(</w:t>
      </w:r>
      <w:r w:rsidR="00071B50">
        <w:rPr>
          <w:rFonts w:cs="Arial"/>
          <w:szCs w:val="22"/>
          <w:lang w:eastAsia="en-GB"/>
        </w:rPr>
        <w:t>S</w:t>
      </w:r>
      <w:r w:rsidR="008F1CD3">
        <w:rPr>
          <w:rFonts w:cs="Arial"/>
          <w:szCs w:val="22"/>
          <w:lang w:eastAsia="en-GB"/>
        </w:rPr>
        <w:t xml:space="preserve">ee Annex </w:t>
      </w:r>
      <w:r w:rsidR="00D35420">
        <w:rPr>
          <w:rFonts w:cs="Arial"/>
          <w:szCs w:val="22"/>
          <w:lang w:eastAsia="en-GB"/>
        </w:rPr>
        <w:t>2</w:t>
      </w:r>
      <w:r w:rsidR="008F1CD3">
        <w:rPr>
          <w:rFonts w:cs="Arial"/>
          <w:szCs w:val="22"/>
          <w:lang w:eastAsia="en-GB"/>
        </w:rPr>
        <w:t xml:space="preserve"> for further details of the proposed test, including an indicative list of materials that can be exempted from it.)</w:t>
      </w:r>
    </w:p>
    <w:p w:rsidR="00C20565" w:rsidRPr="000B0739" w:rsidRDefault="00C20565" w:rsidP="00321C47">
      <w:pPr>
        <w:ind w:left="0"/>
        <w:rPr>
          <w:rFonts w:cs="Arial"/>
          <w:lang w:eastAsia="en-GB"/>
        </w:rPr>
      </w:pPr>
      <w:r>
        <w:rPr>
          <w:rFonts w:cs="Arial"/>
          <w:szCs w:val="22"/>
          <w:u w:val="single"/>
          <w:lang w:eastAsia="en-GB"/>
        </w:rPr>
        <w:t>Inclusion of currently unregulated</w:t>
      </w:r>
      <w:r w:rsidRPr="000B0739">
        <w:rPr>
          <w:rFonts w:cs="Arial"/>
          <w:szCs w:val="22"/>
          <w:u w:val="single"/>
          <w:lang w:eastAsia="en-GB"/>
        </w:rPr>
        <w:t xml:space="preserve"> materials within 40mm of the outer cover</w:t>
      </w:r>
      <w:r>
        <w:rPr>
          <w:rFonts w:cs="Arial"/>
          <w:szCs w:val="22"/>
          <w:u w:val="single"/>
          <w:lang w:eastAsia="en-GB"/>
        </w:rPr>
        <w:t xml:space="preserve"> within the upholstery composite</w:t>
      </w:r>
      <w:r w:rsidRPr="000B0739">
        <w:rPr>
          <w:rFonts w:cs="Arial"/>
          <w:szCs w:val="22"/>
          <w:lang w:eastAsia="en-GB"/>
        </w:rPr>
        <w:t> </w:t>
      </w:r>
    </w:p>
    <w:p w:rsidR="00EA3B5E" w:rsidRDefault="00321C47" w:rsidP="00321C47">
      <w:pPr>
        <w:ind w:left="720" w:hanging="720"/>
        <w:rPr>
          <w:rFonts w:cs="Arial"/>
          <w:szCs w:val="22"/>
          <w:lang w:eastAsia="en-GB"/>
        </w:rPr>
      </w:pPr>
      <w:r>
        <w:rPr>
          <w:rFonts w:cs="Arial"/>
          <w:szCs w:val="22"/>
          <w:lang w:eastAsia="en-GB"/>
        </w:rPr>
        <w:t>27.</w:t>
      </w:r>
      <w:r>
        <w:rPr>
          <w:rFonts w:cs="Arial"/>
          <w:szCs w:val="22"/>
          <w:lang w:eastAsia="en-GB"/>
        </w:rPr>
        <w:tab/>
      </w:r>
      <w:r w:rsidR="00C20565" w:rsidRPr="000B0739">
        <w:rPr>
          <w:rFonts w:cs="Arial"/>
          <w:szCs w:val="22"/>
          <w:lang w:eastAsia="en-GB"/>
        </w:rPr>
        <w:t xml:space="preserve">This </w:t>
      </w:r>
      <w:r w:rsidR="00C20565">
        <w:rPr>
          <w:rFonts w:cs="Arial"/>
          <w:szCs w:val="22"/>
          <w:lang w:eastAsia="en-GB"/>
        </w:rPr>
        <w:t>change</w:t>
      </w:r>
      <w:r w:rsidR="00C20565" w:rsidRPr="000B0739">
        <w:rPr>
          <w:rFonts w:cs="Arial"/>
          <w:szCs w:val="22"/>
          <w:lang w:eastAsia="en-GB"/>
        </w:rPr>
        <w:t xml:space="preserve"> may marginally increase testing costs, the exact degree of which will depend upon the number of materials present in any particular piece of furniture. But it should be remembered that these materials can be pre-certified on a material type basis</w:t>
      </w:r>
      <w:r w:rsidR="00C20565">
        <w:rPr>
          <w:rFonts w:cs="Arial"/>
          <w:szCs w:val="22"/>
          <w:lang w:eastAsia="en-GB"/>
        </w:rPr>
        <w:t>,</w:t>
      </w:r>
      <w:r w:rsidR="00C20565" w:rsidRPr="000B0739">
        <w:rPr>
          <w:rFonts w:cs="Arial"/>
          <w:szCs w:val="22"/>
          <w:lang w:eastAsia="en-GB"/>
        </w:rPr>
        <w:t xml:space="preserve"> e.g. if 20 different weights of fibre board are produced with the same surface characteristics and ancillary finish, and the thinnest, lightest fibreboard passes the test, it is reasonable to assume that all 20 types of board will also pass.</w:t>
      </w:r>
      <w:r w:rsidR="00C20565">
        <w:rPr>
          <w:rFonts w:cs="Arial"/>
          <w:szCs w:val="22"/>
          <w:lang w:eastAsia="en-GB"/>
        </w:rPr>
        <w:t xml:space="preserve"> Similarly, BIS also intends to exempt from further testing</w:t>
      </w:r>
      <w:r w:rsidR="00EA3B5E">
        <w:rPr>
          <w:rFonts w:cs="Arial"/>
          <w:szCs w:val="22"/>
          <w:lang w:eastAsia="en-GB"/>
        </w:rPr>
        <w:t>:</w:t>
      </w:r>
    </w:p>
    <w:p w:rsidR="00EA3B5E" w:rsidRDefault="00C20565" w:rsidP="00EA3B5E">
      <w:pPr>
        <w:numPr>
          <w:ilvl w:val="0"/>
          <w:numId w:val="30"/>
        </w:numPr>
        <w:rPr>
          <w:rFonts w:cs="Arial"/>
          <w:szCs w:val="22"/>
          <w:lang w:eastAsia="en-GB"/>
        </w:rPr>
      </w:pPr>
      <w:r>
        <w:rPr>
          <w:rFonts w:cs="Arial"/>
          <w:szCs w:val="22"/>
          <w:lang w:eastAsia="en-GB"/>
        </w:rPr>
        <w:t xml:space="preserve">any standard materials </w:t>
      </w:r>
      <w:r w:rsidR="00EA3B5E">
        <w:rPr>
          <w:rFonts w:cs="Arial"/>
          <w:szCs w:val="22"/>
          <w:lang w:eastAsia="en-GB"/>
        </w:rPr>
        <w:t>which pass the test, and</w:t>
      </w:r>
    </w:p>
    <w:p w:rsidR="00EA3B5E" w:rsidRDefault="00EA3B5E" w:rsidP="00EA3B5E">
      <w:pPr>
        <w:numPr>
          <w:ilvl w:val="0"/>
          <w:numId w:val="30"/>
        </w:numPr>
        <w:rPr>
          <w:rFonts w:cs="Arial"/>
          <w:szCs w:val="22"/>
          <w:lang w:eastAsia="en-GB"/>
        </w:rPr>
      </w:pPr>
      <w:r>
        <w:rPr>
          <w:rFonts w:cs="Arial"/>
          <w:szCs w:val="22"/>
          <w:lang w:eastAsia="en-GB"/>
        </w:rPr>
        <w:t>any materials which are placed under a standard material</w:t>
      </w:r>
      <w:r w:rsidR="00F35C76">
        <w:rPr>
          <w:rFonts w:cs="Arial"/>
          <w:szCs w:val="22"/>
          <w:lang w:eastAsia="en-GB"/>
        </w:rPr>
        <w:t xml:space="preserve"> (cover fabric, lining fabric or other components)</w:t>
      </w:r>
      <w:r>
        <w:rPr>
          <w:rFonts w:cs="Arial"/>
          <w:szCs w:val="22"/>
          <w:lang w:eastAsia="en-GB"/>
        </w:rPr>
        <w:t xml:space="preserve"> which passes the </w:t>
      </w:r>
      <w:r w:rsidR="00F35C76">
        <w:rPr>
          <w:rFonts w:cs="Arial"/>
          <w:szCs w:val="22"/>
          <w:lang w:eastAsia="en-GB"/>
        </w:rPr>
        <w:t xml:space="preserve">relevant </w:t>
      </w:r>
      <w:r>
        <w:rPr>
          <w:rFonts w:cs="Arial"/>
          <w:szCs w:val="22"/>
          <w:lang w:eastAsia="en-GB"/>
        </w:rPr>
        <w:t>test and which does not form a hole.</w:t>
      </w:r>
    </w:p>
    <w:p w:rsidR="00C20565" w:rsidRDefault="00EA3B5E" w:rsidP="00EA3B5E">
      <w:pPr>
        <w:ind w:left="720"/>
        <w:rPr>
          <w:rFonts w:cs="Arial"/>
          <w:szCs w:val="22"/>
          <w:lang w:eastAsia="en-GB"/>
        </w:rPr>
      </w:pPr>
      <w:r>
        <w:rPr>
          <w:rFonts w:cs="Arial"/>
          <w:szCs w:val="22"/>
          <w:lang w:eastAsia="en-GB"/>
        </w:rPr>
        <w:t xml:space="preserve">(See Annex 2 </w:t>
      </w:r>
      <w:r w:rsidR="00C20565">
        <w:rPr>
          <w:rFonts w:cs="Arial"/>
          <w:szCs w:val="22"/>
          <w:lang w:eastAsia="en-GB"/>
        </w:rPr>
        <w:t xml:space="preserve">for </w:t>
      </w:r>
      <w:r>
        <w:rPr>
          <w:rFonts w:cs="Arial"/>
          <w:szCs w:val="22"/>
          <w:lang w:eastAsia="en-GB"/>
        </w:rPr>
        <w:t xml:space="preserve">further details, </w:t>
      </w:r>
      <w:r w:rsidR="00C20565">
        <w:rPr>
          <w:rFonts w:cs="Arial"/>
          <w:szCs w:val="22"/>
          <w:lang w:eastAsia="en-GB"/>
        </w:rPr>
        <w:t>results of initial testing of these materials by Steve Owen of Intertek</w:t>
      </w:r>
      <w:r>
        <w:rPr>
          <w:rFonts w:cs="Arial"/>
          <w:szCs w:val="22"/>
          <w:lang w:eastAsia="en-GB"/>
        </w:rPr>
        <w:t xml:space="preserve"> and an indicative materials exemption list.</w:t>
      </w:r>
      <w:r w:rsidR="00C20565">
        <w:rPr>
          <w:rFonts w:cs="Arial"/>
          <w:szCs w:val="22"/>
          <w:lang w:eastAsia="en-GB"/>
        </w:rPr>
        <w:t>)</w:t>
      </w:r>
    </w:p>
    <w:p w:rsidR="00023284" w:rsidRDefault="00321C47" w:rsidP="00321C47">
      <w:pPr>
        <w:ind w:left="720" w:hanging="720"/>
        <w:rPr>
          <w:szCs w:val="28"/>
        </w:rPr>
      </w:pPr>
      <w:r>
        <w:rPr>
          <w:szCs w:val="22"/>
        </w:rPr>
        <w:t>28.</w:t>
      </w:r>
      <w:r>
        <w:rPr>
          <w:szCs w:val="22"/>
        </w:rPr>
        <w:tab/>
      </w:r>
      <w:r w:rsidR="00C20565">
        <w:rPr>
          <w:szCs w:val="22"/>
        </w:rPr>
        <w:t xml:space="preserve">The fact is that some highly flammable unregulated materials are currently placed in products which when coming into contact with a flame quickly negate the flame-resistance of the compliant cover fabric and foam filling. BIS is keen to ensure that in future products will not be </w:t>
      </w:r>
      <w:r w:rsidR="00F848E7">
        <w:rPr>
          <w:szCs w:val="22"/>
        </w:rPr>
        <w:t>more flammable than consumers expect them to be.</w:t>
      </w:r>
    </w:p>
    <w:p w:rsidR="00023284" w:rsidRDefault="00321C47" w:rsidP="00321C47">
      <w:pPr>
        <w:ind w:left="720" w:hanging="720"/>
        <w:rPr>
          <w:szCs w:val="28"/>
        </w:rPr>
      </w:pPr>
      <w:r>
        <w:rPr>
          <w:szCs w:val="28"/>
        </w:rPr>
        <w:t>29.</w:t>
      </w:r>
      <w:r>
        <w:rPr>
          <w:szCs w:val="28"/>
        </w:rPr>
        <w:tab/>
      </w:r>
      <w:r w:rsidR="00023284">
        <w:rPr>
          <w:szCs w:val="28"/>
        </w:rPr>
        <w:t>As a further guidance measure, BIS/Intertek widely</w:t>
      </w:r>
      <w:r w:rsidR="00F848E7">
        <w:rPr>
          <w:szCs w:val="28"/>
        </w:rPr>
        <w:t xml:space="preserve"> </w:t>
      </w:r>
      <w:r w:rsidR="00023284">
        <w:rPr>
          <w:szCs w:val="28"/>
        </w:rPr>
        <w:t>circulated an explanatory document in February 2014, setting out the details of the proposed test and the benefits it can bring (along the lines describe</w:t>
      </w:r>
      <w:r w:rsidR="00024D1B">
        <w:rPr>
          <w:szCs w:val="28"/>
        </w:rPr>
        <w:t>d</w:t>
      </w:r>
      <w:r w:rsidR="00023284">
        <w:rPr>
          <w:szCs w:val="28"/>
        </w:rPr>
        <w:t xml:space="preserve"> above).</w:t>
      </w:r>
    </w:p>
    <w:p w:rsidR="0025060A" w:rsidRPr="0025060A" w:rsidRDefault="0025060A" w:rsidP="00321C47">
      <w:pPr>
        <w:ind w:left="0"/>
        <w:rPr>
          <w:b/>
          <w:szCs w:val="28"/>
        </w:rPr>
      </w:pPr>
      <w:r>
        <w:rPr>
          <w:b/>
          <w:szCs w:val="28"/>
        </w:rPr>
        <w:t>Evidence of the viability of the new match test</w:t>
      </w:r>
    </w:p>
    <w:p w:rsidR="0025060A" w:rsidRDefault="00321C47" w:rsidP="00321C47">
      <w:pPr>
        <w:ind w:left="720" w:hanging="720"/>
        <w:rPr>
          <w:b/>
          <w:szCs w:val="22"/>
        </w:rPr>
      </w:pPr>
      <w:r>
        <w:rPr>
          <w:szCs w:val="22"/>
        </w:rPr>
        <w:lastRenderedPageBreak/>
        <w:t>30.</w:t>
      </w:r>
      <w:r>
        <w:rPr>
          <w:szCs w:val="22"/>
        </w:rPr>
        <w:tab/>
      </w:r>
      <w:r w:rsidR="0025060A">
        <w:rPr>
          <w:szCs w:val="22"/>
        </w:rPr>
        <w:t>Along with the testing undertaken by Steve Owen (see above), the Furniture Industry Research Association (FIRA) als</w:t>
      </w:r>
      <w:r w:rsidR="0049749C">
        <w:rPr>
          <w:szCs w:val="22"/>
        </w:rPr>
        <w:t>o conducted testing research on the proposed match test. Their result</w:t>
      </w:r>
      <w:r w:rsidR="00024D1B">
        <w:rPr>
          <w:szCs w:val="22"/>
        </w:rPr>
        <w:t>s</w:t>
      </w:r>
      <w:r w:rsidR="0049749C">
        <w:rPr>
          <w:szCs w:val="22"/>
        </w:rPr>
        <w:t xml:space="preserve"> corroborate the viability of the new test</w:t>
      </w:r>
      <w:r w:rsidR="000232EA">
        <w:rPr>
          <w:szCs w:val="22"/>
        </w:rPr>
        <w:t xml:space="preserve"> and</w:t>
      </w:r>
      <w:r w:rsidR="0049749C">
        <w:rPr>
          <w:szCs w:val="22"/>
        </w:rPr>
        <w:t xml:space="preserve"> the approximate range of FR-reduction </w:t>
      </w:r>
      <w:r w:rsidR="007B73A7">
        <w:rPr>
          <w:szCs w:val="22"/>
        </w:rPr>
        <w:t>envisioned</w:t>
      </w:r>
      <w:r w:rsidR="0049749C">
        <w:rPr>
          <w:szCs w:val="22"/>
        </w:rPr>
        <w:t xml:space="preserve"> by BIS (see </w:t>
      </w:r>
      <w:r w:rsidR="000232EA">
        <w:rPr>
          <w:szCs w:val="22"/>
        </w:rPr>
        <w:t>Annex 3</w:t>
      </w:r>
      <w:r w:rsidR="0049749C">
        <w:rPr>
          <w:szCs w:val="22"/>
        </w:rPr>
        <w:t>).</w:t>
      </w:r>
    </w:p>
    <w:p w:rsidR="00840A49" w:rsidRDefault="00DF04C9" w:rsidP="00321C47">
      <w:pPr>
        <w:ind w:left="0" w:right="180"/>
        <w:rPr>
          <w:rFonts w:cs="Arial"/>
          <w:bCs/>
        </w:rPr>
      </w:pPr>
      <w:r w:rsidRPr="00860A07">
        <w:rPr>
          <w:b/>
          <w:szCs w:val="22"/>
        </w:rPr>
        <w:t>M</w:t>
      </w:r>
      <w:r w:rsidR="00383CB1">
        <w:rPr>
          <w:b/>
          <w:szCs w:val="22"/>
        </w:rPr>
        <w:t xml:space="preserve">ore details on the </w:t>
      </w:r>
      <w:r w:rsidRPr="00860A07">
        <w:rPr>
          <w:b/>
          <w:szCs w:val="22"/>
        </w:rPr>
        <w:t>benefits</w:t>
      </w:r>
      <w:r w:rsidR="007650FE">
        <w:rPr>
          <w:b/>
          <w:szCs w:val="22"/>
        </w:rPr>
        <w:t xml:space="preserve"> of the proposal</w:t>
      </w:r>
      <w:r w:rsidR="00716FC2">
        <w:rPr>
          <w:b/>
          <w:szCs w:val="22"/>
        </w:rPr>
        <w:t xml:space="preserve"> changes</w:t>
      </w:r>
    </w:p>
    <w:p w:rsidR="00840A49" w:rsidRDefault="005A7ADC" w:rsidP="00321C47">
      <w:pPr>
        <w:ind w:left="0" w:right="180"/>
        <w:rPr>
          <w:rFonts w:cs="Arial"/>
          <w:bCs/>
        </w:rPr>
      </w:pPr>
      <w:r>
        <w:rPr>
          <w:rFonts w:cs="Arial"/>
          <w:bCs/>
          <w:u w:val="single"/>
        </w:rPr>
        <w:t>Greener UK</w:t>
      </w:r>
      <w:r w:rsidR="00840A49" w:rsidRPr="00840A49">
        <w:rPr>
          <w:rFonts w:cs="Arial"/>
          <w:bCs/>
          <w:u w:val="single"/>
        </w:rPr>
        <w:t xml:space="preserve"> furniture will be available sooner</w:t>
      </w:r>
    </w:p>
    <w:p w:rsidR="00840A49" w:rsidRDefault="00321C47" w:rsidP="00321C47">
      <w:pPr>
        <w:spacing w:after="0"/>
        <w:ind w:left="720" w:hanging="720"/>
        <w:rPr>
          <w:rFonts w:cs="Arial"/>
          <w:bCs/>
        </w:rPr>
      </w:pPr>
      <w:r>
        <w:rPr>
          <w:rFonts w:cs="Arial"/>
          <w:bCs/>
        </w:rPr>
        <w:t>31.</w:t>
      </w:r>
      <w:r>
        <w:rPr>
          <w:rFonts w:cs="Arial"/>
          <w:bCs/>
        </w:rPr>
        <w:tab/>
      </w:r>
      <w:r w:rsidR="00840A49">
        <w:rPr>
          <w:rFonts w:cs="Arial"/>
          <w:bCs/>
        </w:rPr>
        <w:t>UK retailers and manufacturers have been reporting growing UK consumer concern about the actual and potential negative effects of FRs on human health and the environment. In November 2013, California introduced a new furniture flammability standard (TB117-2013) that means</w:t>
      </w:r>
      <w:r w:rsidR="00157519">
        <w:rPr>
          <w:rFonts w:cs="Arial"/>
          <w:bCs/>
        </w:rPr>
        <w:t xml:space="preserve"> </w:t>
      </w:r>
      <w:r w:rsidR="000232EA">
        <w:rPr>
          <w:rFonts w:cs="Arial"/>
          <w:bCs/>
        </w:rPr>
        <w:t xml:space="preserve">its </w:t>
      </w:r>
      <w:r w:rsidR="00840A49">
        <w:rPr>
          <w:rFonts w:cs="Arial"/>
          <w:bCs/>
        </w:rPr>
        <w:t xml:space="preserve">furniture will not contain FRs in future. While </w:t>
      </w:r>
      <w:r w:rsidR="00157519">
        <w:rPr>
          <w:rFonts w:cs="Arial"/>
          <w:bCs/>
        </w:rPr>
        <w:t>BIS</w:t>
      </w:r>
      <w:r w:rsidR="00840A49">
        <w:rPr>
          <w:rFonts w:cs="Arial"/>
          <w:bCs/>
        </w:rPr>
        <w:t xml:space="preserve"> believe</w:t>
      </w:r>
      <w:r w:rsidR="00157519">
        <w:rPr>
          <w:rFonts w:cs="Arial"/>
          <w:bCs/>
        </w:rPr>
        <w:t>s</w:t>
      </w:r>
      <w:r w:rsidR="00840A49">
        <w:rPr>
          <w:rFonts w:cs="Arial"/>
          <w:bCs/>
        </w:rPr>
        <w:t xml:space="preserve"> th</w:t>
      </w:r>
      <w:r w:rsidR="00157519">
        <w:rPr>
          <w:rFonts w:cs="Arial"/>
          <w:bCs/>
        </w:rPr>
        <w:t>is</w:t>
      </w:r>
      <w:r w:rsidR="00840A49">
        <w:rPr>
          <w:rFonts w:cs="Arial"/>
          <w:bCs/>
        </w:rPr>
        <w:t xml:space="preserve"> standard offers poor fire safety compared with the FFRs, it</w:t>
      </w:r>
      <w:r w:rsidR="00157519">
        <w:rPr>
          <w:rFonts w:cs="Arial"/>
          <w:bCs/>
        </w:rPr>
        <w:t xml:space="preserve"> is</w:t>
      </w:r>
      <w:r w:rsidR="00840A49">
        <w:rPr>
          <w:rFonts w:cs="Arial"/>
          <w:bCs/>
        </w:rPr>
        <w:t xml:space="preserve"> important nevertheless to note that public opinion in the USA contributed strongly to the change.</w:t>
      </w:r>
    </w:p>
    <w:p w:rsidR="00157519" w:rsidRDefault="00157519" w:rsidP="00321C47">
      <w:pPr>
        <w:spacing w:after="0"/>
        <w:ind w:left="0"/>
        <w:rPr>
          <w:rFonts w:cs="Arial"/>
          <w:bCs/>
        </w:rPr>
      </w:pPr>
    </w:p>
    <w:p w:rsidR="00157519" w:rsidRPr="00157519" w:rsidRDefault="00157519" w:rsidP="00321C47">
      <w:pPr>
        <w:spacing w:after="0"/>
        <w:ind w:left="0"/>
        <w:rPr>
          <w:rFonts w:cs="Arial"/>
          <w:bCs/>
          <w:u w:val="single"/>
        </w:rPr>
      </w:pPr>
      <w:r>
        <w:rPr>
          <w:rFonts w:cs="Arial"/>
          <w:bCs/>
          <w:u w:val="single"/>
        </w:rPr>
        <w:t>Cost savings</w:t>
      </w:r>
    </w:p>
    <w:p w:rsidR="00840A49" w:rsidRDefault="00840A49" w:rsidP="00321C47">
      <w:pPr>
        <w:spacing w:after="0"/>
        <w:ind w:left="0"/>
        <w:rPr>
          <w:rFonts w:cs="Arial"/>
          <w:bCs/>
        </w:rPr>
      </w:pPr>
    </w:p>
    <w:p w:rsidR="00840A49" w:rsidRDefault="00321C47" w:rsidP="00321C47">
      <w:pPr>
        <w:spacing w:after="0"/>
        <w:ind w:left="720" w:hanging="720"/>
        <w:rPr>
          <w:rFonts w:cs="Arial"/>
          <w:bCs/>
        </w:rPr>
      </w:pPr>
      <w:r>
        <w:rPr>
          <w:rFonts w:cs="Arial"/>
          <w:bCs/>
        </w:rPr>
        <w:t>32.</w:t>
      </w:r>
      <w:r>
        <w:rPr>
          <w:rFonts w:cs="Arial"/>
          <w:bCs/>
        </w:rPr>
        <w:tab/>
      </w:r>
      <w:r w:rsidR="00157519">
        <w:rPr>
          <w:rFonts w:cs="Arial"/>
          <w:bCs/>
        </w:rPr>
        <w:t>T</w:t>
      </w:r>
      <w:r w:rsidR="00840A49">
        <w:rPr>
          <w:rFonts w:cs="Arial"/>
          <w:bCs/>
        </w:rPr>
        <w:t xml:space="preserve">he new match test, along with the removal of the cigarette test for fabrics that pass the match test, </w:t>
      </w:r>
      <w:r w:rsidR="00716FC2">
        <w:rPr>
          <w:rFonts w:cs="Arial"/>
          <w:bCs/>
        </w:rPr>
        <w:t>could</w:t>
      </w:r>
      <w:r w:rsidR="00840A49">
        <w:rPr>
          <w:rFonts w:cs="Arial"/>
          <w:bCs/>
        </w:rPr>
        <w:t xml:space="preserve"> bring savings to industry of </w:t>
      </w:r>
      <w:r w:rsidR="0056597A">
        <w:rPr>
          <w:rFonts w:cs="Arial"/>
          <w:bCs/>
        </w:rPr>
        <w:t>roughly up to</w:t>
      </w:r>
      <w:r w:rsidR="00840A49">
        <w:rPr>
          <w:rFonts w:cs="Arial"/>
          <w:bCs/>
        </w:rPr>
        <w:t xml:space="preserve"> £</w:t>
      </w:r>
      <w:r w:rsidR="0056597A">
        <w:rPr>
          <w:rFonts w:cs="Arial"/>
          <w:bCs/>
        </w:rPr>
        <w:t>50</w:t>
      </w:r>
      <w:r w:rsidR="00840A49">
        <w:rPr>
          <w:rFonts w:cs="Arial"/>
          <w:bCs/>
        </w:rPr>
        <w:t>m per year</w:t>
      </w:r>
      <w:r w:rsidR="00716FC2">
        <w:rPr>
          <w:rFonts w:cs="Arial"/>
          <w:bCs/>
        </w:rPr>
        <w:t xml:space="preserve"> (see Impact Assessment for details)</w:t>
      </w:r>
      <w:r w:rsidR="00840A49">
        <w:rPr>
          <w:rFonts w:cs="Arial"/>
          <w:bCs/>
        </w:rPr>
        <w:t>. Bringing forward this change means industry will therefore benefit from these savings earlier.</w:t>
      </w:r>
      <w:r w:rsidR="00024D1B">
        <w:rPr>
          <w:rFonts w:cs="Arial"/>
          <w:bCs/>
        </w:rPr>
        <w:t xml:space="preserve"> BIS would like to stress, however, that this is very much an estimate and that we are looking to consultation returns to provide more accurate figures.</w:t>
      </w:r>
    </w:p>
    <w:p w:rsidR="00066C69" w:rsidRDefault="00066C69" w:rsidP="00321C47">
      <w:pPr>
        <w:spacing w:after="0"/>
        <w:ind w:left="0"/>
        <w:rPr>
          <w:rFonts w:cs="Arial"/>
          <w:bCs/>
        </w:rPr>
      </w:pPr>
    </w:p>
    <w:p w:rsidR="00066C69" w:rsidRPr="00066C69" w:rsidRDefault="00066C69" w:rsidP="00321C47">
      <w:pPr>
        <w:spacing w:after="0"/>
        <w:ind w:left="0"/>
        <w:rPr>
          <w:rFonts w:cs="Arial"/>
          <w:color w:val="000000"/>
          <w:u w:val="single"/>
        </w:rPr>
      </w:pPr>
      <w:r>
        <w:rPr>
          <w:rFonts w:cs="Arial"/>
          <w:color w:val="000000"/>
          <w:u w:val="single"/>
        </w:rPr>
        <w:t>European flammability provisions</w:t>
      </w:r>
    </w:p>
    <w:p w:rsidR="00840A49" w:rsidRDefault="00840A49" w:rsidP="00321C47">
      <w:pPr>
        <w:spacing w:after="0"/>
        <w:ind w:left="0"/>
        <w:rPr>
          <w:rFonts w:cs="Arial"/>
          <w:bCs/>
        </w:rPr>
      </w:pPr>
    </w:p>
    <w:p w:rsidR="00840A49" w:rsidRDefault="00321C47" w:rsidP="00321C47">
      <w:pPr>
        <w:spacing w:after="0"/>
        <w:ind w:left="720" w:hanging="720"/>
        <w:rPr>
          <w:rFonts w:cs="Arial"/>
          <w:bCs/>
        </w:rPr>
      </w:pPr>
      <w:r>
        <w:rPr>
          <w:rFonts w:cs="Arial"/>
          <w:bCs/>
        </w:rPr>
        <w:t>33.</w:t>
      </w:r>
      <w:r>
        <w:rPr>
          <w:rFonts w:cs="Arial"/>
          <w:bCs/>
        </w:rPr>
        <w:tab/>
      </w:r>
      <w:r w:rsidR="00840A49">
        <w:rPr>
          <w:rFonts w:cs="Arial"/>
          <w:bCs/>
        </w:rPr>
        <w:t xml:space="preserve">While the European Commission has for many years </w:t>
      </w:r>
      <w:r w:rsidR="007650FE">
        <w:rPr>
          <w:rFonts w:cs="Arial"/>
          <w:bCs/>
        </w:rPr>
        <w:t>expressed the desire</w:t>
      </w:r>
      <w:r w:rsidR="00840A49">
        <w:rPr>
          <w:rFonts w:cs="Arial"/>
          <w:bCs/>
        </w:rPr>
        <w:t xml:space="preserve"> to raise EU standards to the levels of the FFRs, it has always acknowledged that the main barrier to</w:t>
      </w:r>
      <w:r w:rsidR="007650FE">
        <w:rPr>
          <w:rFonts w:cs="Arial"/>
          <w:bCs/>
        </w:rPr>
        <w:t xml:space="preserve"> doing so</w:t>
      </w:r>
      <w:r w:rsidR="00840A49">
        <w:rPr>
          <w:rFonts w:cs="Arial"/>
          <w:bCs/>
        </w:rPr>
        <w:t xml:space="preserve"> is some Member States' opposition to FRs in furniture. </w:t>
      </w:r>
      <w:r w:rsidR="007650FE">
        <w:rPr>
          <w:rFonts w:cs="Arial"/>
          <w:bCs/>
        </w:rPr>
        <w:t>As said above, t</w:t>
      </w:r>
      <w:r w:rsidR="00066C69">
        <w:rPr>
          <w:rFonts w:cs="Arial"/>
          <w:bCs/>
        </w:rPr>
        <w:t xml:space="preserve">he UK is obliged to notify the European Commission (which in turn notifies </w:t>
      </w:r>
      <w:r w:rsidR="007650FE">
        <w:rPr>
          <w:rFonts w:cs="Arial"/>
          <w:bCs/>
        </w:rPr>
        <w:t xml:space="preserve">all </w:t>
      </w:r>
      <w:r w:rsidR="00066C69">
        <w:rPr>
          <w:rFonts w:cs="Arial"/>
          <w:bCs/>
        </w:rPr>
        <w:t>Member States) of any intended changes to national regulations like the FFRs. Therefore, n</w:t>
      </w:r>
      <w:r w:rsidR="00840A49">
        <w:rPr>
          <w:rFonts w:cs="Arial"/>
          <w:bCs/>
        </w:rPr>
        <w:t>otifying Europe with a change that greatly reduces dependence on FRs will help the Commission's cause. Conversely, there is the distinct possibility that if we go back to Europe with an unchanged match test, we will receive strong criticism for perpetuating a trade barrier based on a test that requires the use of test foam that is in effect illegal in the UK and</w:t>
      </w:r>
      <w:r w:rsidR="000232EA">
        <w:rPr>
          <w:rFonts w:cs="Arial"/>
          <w:bCs/>
        </w:rPr>
        <w:t xml:space="preserve"> of a type that</w:t>
      </w:r>
      <w:r w:rsidR="00840A49">
        <w:rPr>
          <w:rFonts w:cs="Arial"/>
          <w:bCs/>
        </w:rPr>
        <w:t xml:space="preserve"> </w:t>
      </w:r>
      <w:r w:rsidR="000232EA">
        <w:rPr>
          <w:rFonts w:cs="Arial"/>
          <w:bCs/>
        </w:rPr>
        <w:t xml:space="preserve">is </w:t>
      </w:r>
      <w:r w:rsidR="00840A49">
        <w:rPr>
          <w:rFonts w:cs="Arial"/>
          <w:bCs/>
        </w:rPr>
        <w:t>not found in the final product.</w:t>
      </w:r>
    </w:p>
    <w:p w:rsidR="00066C69" w:rsidRDefault="00066C69" w:rsidP="00321C47">
      <w:pPr>
        <w:spacing w:after="0"/>
        <w:ind w:left="0"/>
        <w:rPr>
          <w:rFonts w:cs="Arial"/>
          <w:bCs/>
        </w:rPr>
      </w:pPr>
    </w:p>
    <w:p w:rsidR="00066C69" w:rsidRPr="00066C69" w:rsidRDefault="00066C69" w:rsidP="00321C47">
      <w:pPr>
        <w:spacing w:after="0"/>
        <w:ind w:left="0"/>
        <w:rPr>
          <w:rFonts w:cs="Arial"/>
          <w:bCs/>
          <w:u w:val="single"/>
        </w:rPr>
      </w:pPr>
      <w:r>
        <w:rPr>
          <w:rFonts w:cs="Arial"/>
          <w:bCs/>
          <w:u w:val="single"/>
        </w:rPr>
        <w:t>Inclusion of currently unregulated materials</w:t>
      </w:r>
    </w:p>
    <w:p w:rsidR="00066C69" w:rsidRDefault="00066C69" w:rsidP="00321C47">
      <w:pPr>
        <w:spacing w:after="0"/>
        <w:ind w:left="0"/>
        <w:rPr>
          <w:rFonts w:cs="Arial"/>
          <w:bCs/>
        </w:rPr>
      </w:pPr>
    </w:p>
    <w:p w:rsidR="00FE3B3A" w:rsidRDefault="00321C47" w:rsidP="00321C47">
      <w:pPr>
        <w:spacing w:after="0"/>
        <w:ind w:left="630" w:hanging="630"/>
        <w:rPr>
          <w:rFonts w:cs="Arial"/>
          <w:bCs/>
        </w:rPr>
      </w:pPr>
      <w:r>
        <w:rPr>
          <w:rFonts w:cs="Arial"/>
          <w:bCs/>
        </w:rPr>
        <w:t>34.</w:t>
      </w:r>
      <w:r>
        <w:rPr>
          <w:rFonts w:cs="Arial"/>
          <w:bCs/>
        </w:rPr>
        <w:tab/>
      </w:r>
      <w:r w:rsidR="00840A49">
        <w:rPr>
          <w:rFonts w:cs="Arial"/>
          <w:bCs/>
        </w:rPr>
        <w:t>The new test will include currently unregulated materials</w:t>
      </w:r>
      <w:r w:rsidR="000232EA">
        <w:rPr>
          <w:rFonts w:cs="Arial"/>
          <w:bCs/>
        </w:rPr>
        <w:t>,</w:t>
      </w:r>
      <w:r w:rsidR="00C120C1">
        <w:rPr>
          <w:rFonts w:cs="Arial"/>
          <w:bCs/>
        </w:rPr>
        <w:t xml:space="preserve"> such as webbing and card,</w:t>
      </w:r>
      <w:r w:rsidR="00840A49">
        <w:rPr>
          <w:rFonts w:cs="Arial"/>
          <w:bCs/>
        </w:rPr>
        <w:t xml:space="preserve"> that appear in furniture products</w:t>
      </w:r>
      <w:r w:rsidR="00901D59">
        <w:rPr>
          <w:rFonts w:cs="Arial"/>
          <w:bCs/>
        </w:rPr>
        <w:t xml:space="preserve"> within 40mm of the cover,</w:t>
      </w:r>
      <w:r w:rsidR="00840A49">
        <w:rPr>
          <w:rFonts w:cs="Arial"/>
          <w:bCs/>
        </w:rPr>
        <w:t xml:space="preserve"> and which can be highly flammable. The</w:t>
      </w:r>
      <w:r w:rsidR="00C120C1">
        <w:rPr>
          <w:rFonts w:cs="Arial"/>
          <w:bCs/>
        </w:rPr>
        <w:t xml:space="preserve"> BBC</w:t>
      </w:r>
      <w:r w:rsidR="00840A49">
        <w:rPr>
          <w:rFonts w:cs="Arial"/>
          <w:bCs/>
        </w:rPr>
        <w:t xml:space="preserve"> 'Fake Britain' programme</w:t>
      </w:r>
      <w:r w:rsidR="00C120C1">
        <w:rPr>
          <w:rFonts w:cs="Arial"/>
          <w:bCs/>
        </w:rPr>
        <w:t xml:space="preserve"> (broadcast January 2014)</w:t>
      </w:r>
      <w:r w:rsidR="00840A49">
        <w:rPr>
          <w:rFonts w:cs="Arial"/>
          <w:bCs/>
        </w:rPr>
        <w:t xml:space="preserve"> has made retailers highly </w:t>
      </w:r>
      <w:r w:rsidR="000232EA">
        <w:rPr>
          <w:rFonts w:cs="Arial"/>
          <w:bCs/>
        </w:rPr>
        <w:t>concerned about</w:t>
      </w:r>
      <w:r w:rsidR="00840A49">
        <w:rPr>
          <w:rFonts w:cs="Arial"/>
          <w:bCs/>
        </w:rPr>
        <w:t xml:space="preserve"> providing furniture which could be unsafe; therefore, the new test will ensure only fully fire-safe products find their way into consumers' homes.</w:t>
      </w:r>
      <w:r w:rsidR="00C120C1">
        <w:rPr>
          <w:rFonts w:cs="Arial"/>
          <w:bCs/>
        </w:rPr>
        <w:t xml:space="preserve"> </w:t>
      </w:r>
      <w:r w:rsidR="00716FC2">
        <w:rPr>
          <w:rFonts w:cs="Arial"/>
          <w:bCs/>
        </w:rPr>
        <w:t>(</w:t>
      </w:r>
      <w:r w:rsidR="00FE3B3A">
        <w:rPr>
          <w:rFonts w:cs="Arial"/>
          <w:bCs/>
        </w:rPr>
        <w:t xml:space="preserve">See Annex </w:t>
      </w:r>
      <w:r w:rsidR="00A368BC">
        <w:rPr>
          <w:rFonts w:cs="Arial"/>
          <w:bCs/>
        </w:rPr>
        <w:t>2</w:t>
      </w:r>
      <w:r w:rsidR="00FE3B3A">
        <w:rPr>
          <w:rFonts w:cs="Arial"/>
          <w:bCs/>
        </w:rPr>
        <w:t xml:space="preserve"> for further </w:t>
      </w:r>
      <w:r w:rsidR="0056154B">
        <w:rPr>
          <w:rFonts w:cs="Arial"/>
          <w:bCs/>
        </w:rPr>
        <w:t xml:space="preserve">background </w:t>
      </w:r>
      <w:r w:rsidR="00FE3B3A">
        <w:rPr>
          <w:rFonts w:cs="Arial"/>
          <w:bCs/>
        </w:rPr>
        <w:t>details, including a chart of initial testing undertaken by Steve Owen of Intertek on materials likely to be found in products.</w:t>
      </w:r>
      <w:r w:rsidR="00716FC2">
        <w:rPr>
          <w:rFonts w:cs="Arial"/>
          <w:bCs/>
        </w:rPr>
        <w:t>)</w:t>
      </w:r>
    </w:p>
    <w:p w:rsidR="00321C47" w:rsidRDefault="00321C47" w:rsidP="00321C47">
      <w:pPr>
        <w:spacing w:after="0"/>
        <w:ind w:left="630" w:hanging="630"/>
        <w:rPr>
          <w:rFonts w:cs="Arial"/>
          <w:bCs/>
        </w:rPr>
      </w:pPr>
    </w:p>
    <w:p w:rsidR="00840A49" w:rsidRPr="00C120C1" w:rsidRDefault="0092185A" w:rsidP="00321C47">
      <w:pPr>
        <w:ind w:left="0"/>
        <w:rPr>
          <w:rFonts w:cs="Arial"/>
          <w:bCs/>
          <w:u w:val="single"/>
        </w:rPr>
      </w:pPr>
      <w:r>
        <w:rPr>
          <w:rFonts w:cs="Arial"/>
          <w:bCs/>
          <w:u w:val="single"/>
        </w:rPr>
        <w:t>Correct</w:t>
      </w:r>
      <w:r w:rsidR="00E65ED5">
        <w:rPr>
          <w:rFonts w:cs="Arial"/>
          <w:bCs/>
          <w:u w:val="single"/>
        </w:rPr>
        <w:t>ing</w:t>
      </w:r>
      <w:r>
        <w:rPr>
          <w:rFonts w:cs="Arial"/>
          <w:bCs/>
          <w:u w:val="single"/>
        </w:rPr>
        <w:t xml:space="preserve"> </w:t>
      </w:r>
      <w:r w:rsidR="005A7ADC">
        <w:rPr>
          <w:rFonts w:cs="Arial"/>
          <w:bCs/>
          <w:u w:val="single"/>
        </w:rPr>
        <w:t>unforeseen</w:t>
      </w:r>
      <w:r>
        <w:rPr>
          <w:rFonts w:cs="Arial"/>
          <w:bCs/>
          <w:u w:val="single"/>
        </w:rPr>
        <w:t xml:space="preserve"> failures under the current match test</w:t>
      </w:r>
    </w:p>
    <w:p w:rsidR="00840A49" w:rsidRDefault="00321C47" w:rsidP="00321C47">
      <w:pPr>
        <w:spacing w:after="0"/>
        <w:ind w:left="720" w:hanging="720"/>
        <w:rPr>
          <w:rFonts w:cs="Arial"/>
          <w:bCs/>
        </w:rPr>
      </w:pPr>
      <w:r>
        <w:rPr>
          <w:rFonts w:cs="Arial"/>
          <w:bCs/>
        </w:rPr>
        <w:t>35.</w:t>
      </w:r>
      <w:r>
        <w:rPr>
          <w:rFonts w:cs="Arial"/>
          <w:bCs/>
        </w:rPr>
        <w:tab/>
      </w:r>
      <w:r w:rsidR="0092185A">
        <w:rPr>
          <w:rFonts w:cs="Arial"/>
          <w:bCs/>
        </w:rPr>
        <w:t>T</w:t>
      </w:r>
      <w:r w:rsidR="00840A49">
        <w:rPr>
          <w:rFonts w:cs="Arial"/>
          <w:bCs/>
        </w:rPr>
        <w:t xml:space="preserve">he new test will also solve the </w:t>
      </w:r>
      <w:r w:rsidR="005A7ADC">
        <w:rPr>
          <w:rFonts w:cs="Arial"/>
          <w:bCs/>
        </w:rPr>
        <w:t>unforeseen</w:t>
      </w:r>
      <w:r w:rsidR="00840A49">
        <w:rPr>
          <w:rFonts w:cs="Arial"/>
          <w:bCs/>
        </w:rPr>
        <w:t xml:space="preserve"> </w:t>
      </w:r>
      <w:r w:rsidR="00716FC2">
        <w:rPr>
          <w:rFonts w:cs="Arial"/>
          <w:bCs/>
        </w:rPr>
        <w:t>situation in which</w:t>
      </w:r>
      <w:r w:rsidR="00840A49">
        <w:rPr>
          <w:rFonts w:cs="Arial"/>
          <w:bCs/>
        </w:rPr>
        <w:t xml:space="preserve"> </w:t>
      </w:r>
      <w:r w:rsidR="00082FA5">
        <w:rPr>
          <w:rFonts w:cs="Arial"/>
          <w:bCs/>
        </w:rPr>
        <w:t>some</w:t>
      </w:r>
      <w:r w:rsidR="00840A49">
        <w:rPr>
          <w:rFonts w:cs="Arial"/>
          <w:bCs/>
        </w:rPr>
        <w:t xml:space="preserve"> modern fabrics pass the current test in test conditions but can fail to perform in the finished product.</w:t>
      </w:r>
      <w:r w:rsidR="007650FE">
        <w:rPr>
          <w:rFonts w:cs="Arial"/>
          <w:bCs/>
        </w:rPr>
        <w:t xml:space="preserve"> </w:t>
      </w:r>
      <w:r w:rsidR="00B74649">
        <w:rPr>
          <w:rFonts w:cs="Arial"/>
          <w:bCs/>
        </w:rPr>
        <w:t xml:space="preserve">Essentially, the current test requires cover fabrics to be placed </w:t>
      </w:r>
      <w:r w:rsidR="00716FC2">
        <w:rPr>
          <w:rFonts w:cs="Arial"/>
          <w:bCs/>
        </w:rPr>
        <w:t>directly</w:t>
      </w:r>
      <w:r w:rsidR="00B74649">
        <w:rPr>
          <w:rFonts w:cs="Arial"/>
          <w:bCs/>
        </w:rPr>
        <w:t xml:space="preserve"> against the test foam on the test rig. This means that on application of the small flame for 20 seconds, a </w:t>
      </w:r>
      <w:r w:rsidR="00B74649">
        <w:rPr>
          <w:rFonts w:cs="Arial"/>
          <w:bCs/>
        </w:rPr>
        <w:lastRenderedPageBreak/>
        <w:t xml:space="preserve">dome of FR gas forms over the burn </w:t>
      </w:r>
      <w:r w:rsidR="006A64A7">
        <w:rPr>
          <w:rFonts w:cs="Arial"/>
          <w:bCs/>
        </w:rPr>
        <w:t>area</w:t>
      </w:r>
      <w:r w:rsidR="00B74649">
        <w:rPr>
          <w:rFonts w:cs="Arial"/>
          <w:bCs/>
        </w:rPr>
        <w:t xml:space="preserve">, sealing </w:t>
      </w:r>
      <w:r w:rsidR="006A64A7">
        <w:rPr>
          <w:rFonts w:cs="Arial"/>
          <w:bCs/>
        </w:rPr>
        <w:t>it</w:t>
      </w:r>
      <w:r w:rsidR="00B74649">
        <w:rPr>
          <w:rFonts w:cs="Arial"/>
          <w:bCs/>
        </w:rPr>
        <w:t xml:space="preserve"> from outside oxygen. However, in the finished product, there are often elements present, e.g. a layer of fibre wrap between the cover and the foam, which allow the burn hole to spread wider, which in turn allows oxygen in and the fabric to continue burning beyond the two-minute limit of the test requirement. This effect was not so </w:t>
      </w:r>
      <w:r w:rsidR="005A7ADC">
        <w:rPr>
          <w:rFonts w:cs="Arial"/>
          <w:bCs/>
        </w:rPr>
        <w:t>problematic</w:t>
      </w:r>
      <w:r w:rsidR="00B74649">
        <w:rPr>
          <w:rFonts w:cs="Arial"/>
          <w:bCs/>
        </w:rPr>
        <w:t xml:space="preserve"> when the FFRs were introduced, since most covers </w:t>
      </w:r>
      <w:r w:rsidR="00716FC2">
        <w:rPr>
          <w:rFonts w:cs="Arial"/>
          <w:bCs/>
        </w:rPr>
        <w:t xml:space="preserve">then </w:t>
      </w:r>
      <w:r w:rsidR="00B74649">
        <w:rPr>
          <w:rFonts w:cs="Arial"/>
          <w:bCs/>
        </w:rPr>
        <w:t xml:space="preserve">were made from natural fabrics such as cotton which form a char layer when burned. The </w:t>
      </w:r>
      <w:r w:rsidR="005A7ADC">
        <w:rPr>
          <w:rFonts w:cs="Arial"/>
          <w:bCs/>
        </w:rPr>
        <w:t>majority</w:t>
      </w:r>
      <w:r w:rsidR="00B74649">
        <w:rPr>
          <w:rFonts w:cs="Arial"/>
          <w:bCs/>
        </w:rPr>
        <w:t xml:space="preserve"> of UK furniture cover fabrics are now man-made, however, </w:t>
      </w:r>
      <w:r w:rsidR="006A64A7">
        <w:rPr>
          <w:rFonts w:cs="Arial"/>
          <w:bCs/>
        </w:rPr>
        <w:t>and</w:t>
      </w:r>
      <w:r w:rsidR="00B74649">
        <w:rPr>
          <w:rFonts w:cs="Arial"/>
          <w:bCs/>
        </w:rPr>
        <w:t xml:space="preserve"> do not contain this moderating char effect. The new test removes this discrepancy between test conditions and finished product by a combination of combustion-modified foam and </w:t>
      </w:r>
      <w:r w:rsidR="00716FC2">
        <w:rPr>
          <w:rFonts w:cs="Arial"/>
          <w:bCs/>
        </w:rPr>
        <w:t xml:space="preserve">the </w:t>
      </w:r>
      <w:r w:rsidR="00B74649">
        <w:rPr>
          <w:rFonts w:cs="Arial"/>
          <w:bCs/>
        </w:rPr>
        <w:t xml:space="preserve">requirement to include a fibre wrap layer between the </w:t>
      </w:r>
      <w:r w:rsidR="00716FC2">
        <w:rPr>
          <w:rFonts w:cs="Arial"/>
          <w:bCs/>
        </w:rPr>
        <w:t xml:space="preserve">test </w:t>
      </w:r>
      <w:r w:rsidR="00B74649">
        <w:rPr>
          <w:rFonts w:cs="Arial"/>
          <w:bCs/>
        </w:rPr>
        <w:t>foam and the cover fabric (unless the finished product comprises fabric placed directly against foam</w:t>
      </w:r>
      <w:r w:rsidR="006A64A7">
        <w:rPr>
          <w:rFonts w:cs="Arial"/>
          <w:bCs/>
        </w:rPr>
        <w:t>)</w:t>
      </w:r>
      <w:r w:rsidR="00317874">
        <w:rPr>
          <w:rFonts w:cs="Arial"/>
          <w:bCs/>
        </w:rPr>
        <w:t xml:space="preserve"> – see description of Filling 1 and Filling 2 above</w:t>
      </w:r>
      <w:r w:rsidR="00B74649">
        <w:rPr>
          <w:rFonts w:cs="Arial"/>
          <w:bCs/>
        </w:rPr>
        <w:t>.</w:t>
      </w:r>
      <w:r w:rsidR="00082FA5">
        <w:rPr>
          <w:rFonts w:cs="Arial"/>
          <w:bCs/>
        </w:rPr>
        <w:t xml:space="preserve"> BIS wishes to stress that this effect </w:t>
      </w:r>
      <w:r w:rsidR="006A64A7">
        <w:rPr>
          <w:rFonts w:cs="Arial"/>
          <w:bCs/>
        </w:rPr>
        <w:t>could</w:t>
      </w:r>
      <w:r w:rsidR="00082FA5">
        <w:rPr>
          <w:rFonts w:cs="Arial"/>
          <w:bCs/>
        </w:rPr>
        <w:t xml:space="preserve"> not</w:t>
      </w:r>
      <w:r w:rsidR="006A64A7">
        <w:rPr>
          <w:rFonts w:cs="Arial"/>
          <w:bCs/>
        </w:rPr>
        <w:t xml:space="preserve"> have been</w:t>
      </w:r>
      <w:r w:rsidR="00082FA5">
        <w:rPr>
          <w:rFonts w:cs="Arial"/>
          <w:bCs/>
        </w:rPr>
        <w:t xml:space="preserve"> predict</w:t>
      </w:r>
      <w:r w:rsidR="006A64A7">
        <w:rPr>
          <w:rFonts w:cs="Arial"/>
          <w:bCs/>
        </w:rPr>
        <w:t>ed</w:t>
      </w:r>
      <w:r w:rsidR="00082FA5">
        <w:rPr>
          <w:rFonts w:cs="Arial"/>
          <w:bCs/>
        </w:rPr>
        <w:t xml:space="preserve"> and </w:t>
      </w:r>
      <w:r w:rsidR="006A64A7">
        <w:rPr>
          <w:rFonts w:cs="Arial"/>
          <w:bCs/>
        </w:rPr>
        <w:t xml:space="preserve">it was </w:t>
      </w:r>
      <w:r w:rsidR="00082FA5">
        <w:rPr>
          <w:rFonts w:cs="Arial"/>
          <w:bCs/>
        </w:rPr>
        <w:t>also understandably obscured by the fact that fabrics pass the required test and are therefore legally supplied.</w:t>
      </w:r>
    </w:p>
    <w:p w:rsidR="004F56F9" w:rsidRDefault="004F56F9" w:rsidP="00321C47">
      <w:pPr>
        <w:spacing w:after="0"/>
        <w:ind w:left="0"/>
        <w:rPr>
          <w:rFonts w:cs="Arial"/>
          <w:bCs/>
        </w:rPr>
      </w:pPr>
    </w:p>
    <w:p w:rsidR="004F56F9" w:rsidRPr="004F56F9" w:rsidRDefault="004F56F9" w:rsidP="00321C47">
      <w:pPr>
        <w:spacing w:after="0"/>
        <w:ind w:left="0"/>
        <w:rPr>
          <w:rFonts w:cs="Arial"/>
          <w:bCs/>
          <w:u w:val="single"/>
        </w:rPr>
      </w:pPr>
      <w:r>
        <w:rPr>
          <w:rFonts w:cs="Arial"/>
          <w:bCs/>
          <w:u w:val="single"/>
        </w:rPr>
        <w:t>Prevent</w:t>
      </w:r>
      <w:r w:rsidR="00383CB1">
        <w:rPr>
          <w:rFonts w:cs="Arial"/>
          <w:bCs/>
          <w:u w:val="single"/>
        </w:rPr>
        <w:t>ing</w:t>
      </w:r>
      <w:r>
        <w:rPr>
          <w:rFonts w:cs="Arial"/>
          <w:bCs/>
          <w:u w:val="single"/>
        </w:rPr>
        <w:t xml:space="preserve"> insufficiently chemically treated products getting into UK homes</w:t>
      </w:r>
    </w:p>
    <w:p w:rsidR="0092185A" w:rsidRDefault="0092185A" w:rsidP="00321C47">
      <w:pPr>
        <w:spacing w:after="0"/>
        <w:ind w:left="0"/>
        <w:rPr>
          <w:rFonts w:cs="Arial"/>
          <w:bCs/>
        </w:rPr>
      </w:pPr>
    </w:p>
    <w:p w:rsidR="004F56F9" w:rsidRDefault="00321C47" w:rsidP="00321C47">
      <w:pPr>
        <w:spacing w:after="0"/>
        <w:ind w:left="720" w:hanging="720"/>
        <w:rPr>
          <w:rFonts w:cs="Arial"/>
          <w:bCs/>
        </w:rPr>
      </w:pPr>
      <w:r>
        <w:rPr>
          <w:rFonts w:cs="Arial"/>
          <w:bCs/>
        </w:rPr>
        <w:t>36.</w:t>
      </w:r>
      <w:r>
        <w:rPr>
          <w:rFonts w:cs="Arial"/>
          <w:bCs/>
        </w:rPr>
        <w:tab/>
      </w:r>
      <w:r w:rsidR="004F56F9">
        <w:rPr>
          <w:rFonts w:cs="Arial"/>
          <w:bCs/>
        </w:rPr>
        <w:t xml:space="preserve">Trading Standards has discovered that significant </w:t>
      </w:r>
      <w:r w:rsidR="006A64A7">
        <w:rPr>
          <w:rFonts w:cs="Arial"/>
          <w:bCs/>
        </w:rPr>
        <w:t>amounts</w:t>
      </w:r>
      <w:r w:rsidR="004F56F9">
        <w:rPr>
          <w:rFonts w:cs="Arial"/>
          <w:bCs/>
        </w:rPr>
        <w:t xml:space="preserve"> of cover fabrics for UK furniture </w:t>
      </w:r>
      <w:r w:rsidR="00716FC2">
        <w:rPr>
          <w:rFonts w:cs="Arial"/>
          <w:bCs/>
        </w:rPr>
        <w:t>are</w:t>
      </w:r>
      <w:r w:rsidR="004F56F9">
        <w:rPr>
          <w:rFonts w:cs="Arial"/>
          <w:bCs/>
        </w:rPr>
        <w:t xml:space="preserve"> insufficiently treated with FRs by </w:t>
      </w:r>
      <w:r w:rsidR="00CE2B0C">
        <w:rPr>
          <w:rFonts w:cs="Arial"/>
          <w:bCs/>
        </w:rPr>
        <w:t xml:space="preserve">some </w:t>
      </w:r>
      <w:r w:rsidR="004F56F9">
        <w:rPr>
          <w:rFonts w:cs="Arial"/>
          <w:bCs/>
        </w:rPr>
        <w:t>chemical treatment processors. Because th</w:t>
      </w:r>
      <w:r w:rsidR="0059399B">
        <w:rPr>
          <w:rFonts w:cs="Arial"/>
          <w:bCs/>
        </w:rPr>
        <w:t xml:space="preserve">e current test </w:t>
      </w:r>
      <w:r w:rsidR="00CE2B0C">
        <w:rPr>
          <w:rFonts w:cs="Arial"/>
          <w:bCs/>
        </w:rPr>
        <w:t xml:space="preserve">composite </w:t>
      </w:r>
      <w:r w:rsidR="0059399B">
        <w:rPr>
          <w:rFonts w:cs="Arial"/>
          <w:bCs/>
        </w:rPr>
        <w:t xml:space="preserve">can be sensitive to </w:t>
      </w:r>
      <w:r w:rsidR="00CE2B0C">
        <w:rPr>
          <w:rFonts w:cs="Arial"/>
          <w:bCs/>
        </w:rPr>
        <w:t xml:space="preserve">certain </w:t>
      </w:r>
      <w:r w:rsidR="0059399B">
        <w:rPr>
          <w:rFonts w:cs="Arial"/>
          <w:bCs/>
        </w:rPr>
        <w:t>fabrics, there</w:t>
      </w:r>
      <w:r w:rsidR="00C83424">
        <w:rPr>
          <w:rFonts w:cs="Arial"/>
          <w:bCs/>
        </w:rPr>
        <w:t xml:space="preserve"> exi</w:t>
      </w:r>
      <w:r w:rsidR="00690F30">
        <w:rPr>
          <w:rFonts w:cs="Arial"/>
          <w:bCs/>
        </w:rPr>
        <w:t>s</w:t>
      </w:r>
      <w:r w:rsidR="00C83424">
        <w:rPr>
          <w:rFonts w:cs="Arial"/>
          <w:bCs/>
        </w:rPr>
        <w:t>ts</w:t>
      </w:r>
      <w:r w:rsidR="00CE2B0C">
        <w:rPr>
          <w:rFonts w:cs="Arial"/>
          <w:bCs/>
        </w:rPr>
        <w:t xml:space="preserve"> a perception in the industry that results are not reproducible for those types of fabrics</w:t>
      </w:r>
      <w:r w:rsidR="00C83424">
        <w:rPr>
          <w:rFonts w:cs="Arial"/>
          <w:bCs/>
        </w:rPr>
        <w:t xml:space="preserve">. Also, </w:t>
      </w:r>
      <w:r w:rsidR="00CE2B0C">
        <w:rPr>
          <w:rFonts w:cs="Arial"/>
          <w:bCs/>
        </w:rPr>
        <w:t xml:space="preserve">that fabrics </w:t>
      </w:r>
      <w:r w:rsidR="00C83424">
        <w:rPr>
          <w:rFonts w:cs="Arial"/>
          <w:bCs/>
        </w:rPr>
        <w:t>which</w:t>
      </w:r>
      <w:r w:rsidR="00CE2B0C">
        <w:rPr>
          <w:rFonts w:cs="Arial"/>
          <w:bCs/>
        </w:rPr>
        <w:t xml:space="preserve"> are borderline in test are acceptable</w:t>
      </w:r>
      <w:r w:rsidR="00C83424">
        <w:rPr>
          <w:rFonts w:cs="Arial"/>
          <w:bCs/>
        </w:rPr>
        <w:t xml:space="preserve"> because</w:t>
      </w:r>
      <w:r w:rsidR="00CE2B0C">
        <w:rPr>
          <w:rFonts w:cs="Arial"/>
          <w:bCs/>
        </w:rPr>
        <w:t xml:space="preserve"> the actual final composites w</w:t>
      </w:r>
      <w:r w:rsidR="00C83424">
        <w:rPr>
          <w:rFonts w:cs="Arial"/>
          <w:bCs/>
        </w:rPr>
        <w:t>ill</w:t>
      </w:r>
      <w:r w:rsidR="00CE2B0C">
        <w:rPr>
          <w:rFonts w:cs="Arial"/>
          <w:bCs/>
        </w:rPr>
        <w:t xml:space="preserve"> contain combustion modified fillings rather than the current non</w:t>
      </w:r>
      <w:r w:rsidR="00C83424">
        <w:rPr>
          <w:rFonts w:cs="Arial"/>
          <w:bCs/>
        </w:rPr>
        <w:t>-</w:t>
      </w:r>
      <w:r w:rsidR="00CE2B0C">
        <w:rPr>
          <w:rFonts w:cs="Arial"/>
          <w:bCs/>
        </w:rPr>
        <w:t xml:space="preserve"> combustion modified test foam. The non</w:t>
      </w:r>
      <w:r w:rsidR="00C83424">
        <w:rPr>
          <w:rFonts w:cs="Arial"/>
          <w:bCs/>
        </w:rPr>
        <w:t>-</w:t>
      </w:r>
      <w:r w:rsidR="00CE2B0C">
        <w:rPr>
          <w:rFonts w:cs="Arial"/>
          <w:bCs/>
        </w:rPr>
        <w:t xml:space="preserve">combustion modified test filling has historically </w:t>
      </w:r>
      <w:r w:rsidR="00F35C76">
        <w:rPr>
          <w:rFonts w:cs="Arial"/>
          <w:bCs/>
        </w:rPr>
        <w:t>been considered as the marg</w:t>
      </w:r>
      <w:r w:rsidR="00CE2B0C">
        <w:rPr>
          <w:rFonts w:cs="Arial"/>
          <w:bCs/>
        </w:rPr>
        <w:t>in of safety</w:t>
      </w:r>
      <w:r w:rsidR="00F35C76">
        <w:rPr>
          <w:rFonts w:cs="Arial"/>
          <w:bCs/>
        </w:rPr>
        <w:t>. Some processors then use this</w:t>
      </w:r>
      <w:r w:rsidR="00D501BE">
        <w:rPr>
          <w:rFonts w:cs="Arial"/>
          <w:bCs/>
        </w:rPr>
        <w:t xml:space="preserve"> ‘margin’</w:t>
      </w:r>
      <w:r w:rsidR="00F35C76">
        <w:rPr>
          <w:rFonts w:cs="Arial"/>
          <w:bCs/>
        </w:rPr>
        <w:t xml:space="preserve"> to </w:t>
      </w:r>
      <w:r w:rsidR="00D501BE">
        <w:rPr>
          <w:rFonts w:cs="Arial"/>
          <w:bCs/>
        </w:rPr>
        <w:t>assume</w:t>
      </w:r>
      <w:r w:rsidR="00F35C76">
        <w:rPr>
          <w:rFonts w:cs="Arial"/>
          <w:bCs/>
        </w:rPr>
        <w:t xml:space="preserve"> reasonable doubt </w:t>
      </w:r>
      <w:r w:rsidR="00D501BE">
        <w:rPr>
          <w:rFonts w:cs="Arial"/>
          <w:bCs/>
        </w:rPr>
        <w:t>upon</w:t>
      </w:r>
      <w:r w:rsidR="00F35C76">
        <w:rPr>
          <w:rFonts w:cs="Arial"/>
          <w:bCs/>
        </w:rPr>
        <w:t xml:space="preserve"> failures in the current test</w:t>
      </w:r>
      <w:r w:rsidR="00D501BE">
        <w:rPr>
          <w:rFonts w:cs="Arial"/>
          <w:bCs/>
        </w:rPr>
        <w:t>,</w:t>
      </w:r>
      <w:r w:rsidR="00F35C76">
        <w:rPr>
          <w:rFonts w:cs="Arial"/>
          <w:bCs/>
        </w:rPr>
        <w:t xml:space="preserve"> producing test </w:t>
      </w:r>
      <w:r w:rsidR="00D501BE">
        <w:rPr>
          <w:rFonts w:cs="Arial"/>
          <w:bCs/>
        </w:rPr>
        <w:t>passes</w:t>
      </w:r>
      <w:r w:rsidR="00F35C76">
        <w:rPr>
          <w:rFonts w:cs="Arial"/>
          <w:bCs/>
        </w:rPr>
        <w:t xml:space="preserve"> for the fabrics</w:t>
      </w:r>
      <w:r w:rsidR="0059399B">
        <w:rPr>
          <w:rFonts w:cs="Arial"/>
          <w:bCs/>
        </w:rPr>
        <w:t>. When Trading Standards use other test houses</w:t>
      </w:r>
      <w:r w:rsidR="00FA15FC">
        <w:rPr>
          <w:rFonts w:cs="Arial"/>
          <w:bCs/>
        </w:rPr>
        <w:t>, however,</w:t>
      </w:r>
      <w:r w:rsidR="0059399B">
        <w:rPr>
          <w:rFonts w:cs="Arial"/>
          <w:bCs/>
        </w:rPr>
        <w:t xml:space="preserve"> the same fabric fails the test. In short, this means furniture has been reaching UK homes that is more ignitable than the consumer </w:t>
      </w:r>
      <w:r w:rsidR="00716FC2">
        <w:rPr>
          <w:rFonts w:cs="Arial"/>
          <w:bCs/>
        </w:rPr>
        <w:t xml:space="preserve">would </w:t>
      </w:r>
      <w:r w:rsidR="00FA15FC">
        <w:rPr>
          <w:rFonts w:cs="Arial"/>
          <w:bCs/>
        </w:rPr>
        <w:t>exp</w:t>
      </w:r>
      <w:r w:rsidR="0059399B">
        <w:rPr>
          <w:rFonts w:cs="Arial"/>
          <w:bCs/>
        </w:rPr>
        <w:t>ect. The new match test removes this margin of sensitivity, i.e. produc</w:t>
      </w:r>
      <w:r w:rsidR="006A64A7">
        <w:rPr>
          <w:rFonts w:cs="Arial"/>
          <w:bCs/>
        </w:rPr>
        <w:t>es</w:t>
      </w:r>
      <w:r w:rsidR="0059399B">
        <w:rPr>
          <w:rFonts w:cs="Arial"/>
          <w:bCs/>
        </w:rPr>
        <w:t xml:space="preserve"> clear passes or fails.</w:t>
      </w:r>
      <w:r w:rsidR="00F35C76">
        <w:rPr>
          <w:rFonts w:cs="Arial"/>
          <w:bCs/>
        </w:rPr>
        <w:t xml:space="preserve"> Borderline materials w</w:t>
      </w:r>
      <w:r w:rsidR="00D501BE">
        <w:rPr>
          <w:rFonts w:cs="Arial"/>
          <w:bCs/>
        </w:rPr>
        <w:t>ill</w:t>
      </w:r>
      <w:r w:rsidR="00F35C76">
        <w:rPr>
          <w:rFonts w:cs="Arial"/>
          <w:bCs/>
        </w:rPr>
        <w:t xml:space="preserve"> still </w:t>
      </w:r>
      <w:r w:rsidR="00D501BE">
        <w:rPr>
          <w:rFonts w:cs="Arial"/>
          <w:bCs/>
        </w:rPr>
        <w:t>exist</w:t>
      </w:r>
      <w:r w:rsidR="00F35C76">
        <w:rPr>
          <w:rFonts w:cs="Arial"/>
          <w:bCs/>
        </w:rPr>
        <w:t xml:space="preserve"> and w</w:t>
      </w:r>
      <w:r w:rsidR="00D501BE">
        <w:rPr>
          <w:rFonts w:cs="Arial"/>
          <w:bCs/>
        </w:rPr>
        <w:t>ill</w:t>
      </w:r>
      <w:r w:rsidR="00F35C76">
        <w:rPr>
          <w:rFonts w:cs="Arial"/>
          <w:bCs/>
        </w:rPr>
        <w:t xml:space="preserve"> give similar borderline results but the perception of an acceptable risk of failure w</w:t>
      </w:r>
      <w:r w:rsidR="00D501BE">
        <w:rPr>
          <w:rFonts w:cs="Arial"/>
          <w:bCs/>
        </w:rPr>
        <w:t>ill</w:t>
      </w:r>
      <w:r w:rsidR="00F35C76">
        <w:rPr>
          <w:rFonts w:cs="Arial"/>
          <w:bCs/>
        </w:rPr>
        <w:t xml:space="preserve"> be removed.</w:t>
      </w:r>
    </w:p>
    <w:p w:rsidR="004F56F9" w:rsidRDefault="004F56F9" w:rsidP="00321C47">
      <w:pPr>
        <w:spacing w:after="0"/>
        <w:ind w:left="0"/>
        <w:rPr>
          <w:rFonts w:cs="Arial"/>
          <w:bCs/>
        </w:rPr>
      </w:pPr>
    </w:p>
    <w:p w:rsidR="0092185A" w:rsidRPr="0092185A" w:rsidRDefault="0092185A" w:rsidP="00321C47">
      <w:pPr>
        <w:spacing w:after="0"/>
        <w:ind w:left="0"/>
        <w:rPr>
          <w:rFonts w:cs="Arial"/>
          <w:bCs/>
          <w:u w:val="single"/>
        </w:rPr>
      </w:pPr>
      <w:r>
        <w:rPr>
          <w:rFonts w:cs="Arial"/>
          <w:bCs/>
          <w:u w:val="single"/>
        </w:rPr>
        <w:t>Disposal of products containing hazardous waste</w:t>
      </w:r>
    </w:p>
    <w:p w:rsidR="0092185A" w:rsidRDefault="0092185A" w:rsidP="00321C47">
      <w:pPr>
        <w:spacing w:after="0"/>
        <w:ind w:left="0"/>
        <w:rPr>
          <w:rFonts w:cs="Arial"/>
          <w:bCs/>
        </w:rPr>
      </w:pPr>
    </w:p>
    <w:p w:rsidR="0092185A" w:rsidRDefault="00321C47" w:rsidP="00321C47">
      <w:pPr>
        <w:spacing w:after="0"/>
        <w:ind w:left="720" w:hanging="720"/>
        <w:rPr>
          <w:rFonts w:cs="Arial"/>
          <w:bCs/>
        </w:rPr>
      </w:pPr>
      <w:r>
        <w:rPr>
          <w:rFonts w:cs="Arial"/>
          <w:bCs/>
        </w:rPr>
        <w:t>37.</w:t>
      </w:r>
      <w:r>
        <w:rPr>
          <w:rFonts w:cs="Arial"/>
          <w:bCs/>
        </w:rPr>
        <w:tab/>
      </w:r>
      <w:r w:rsidR="0092185A">
        <w:rPr>
          <w:rFonts w:cs="Arial"/>
          <w:bCs/>
        </w:rPr>
        <w:t>Retailers and manufactures are</w:t>
      </w:r>
      <w:r w:rsidR="00840A49">
        <w:rPr>
          <w:rFonts w:cs="Arial"/>
          <w:bCs/>
        </w:rPr>
        <w:t xml:space="preserve"> concerned about impending EU legislation </w:t>
      </w:r>
      <w:r w:rsidR="0092185A">
        <w:rPr>
          <w:rFonts w:cs="Arial"/>
          <w:bCs/>
        </w:rPr>
        <w:t xml:space="preserve">that may </w:t>
      </w:r>
      <w:r w:rsidR="00840A49" w:rsidRPr="00CE58CE">
        <w:rPr>
          <w:rFonts w:cs="Arial"/>
          <w:bCs/>
        </w:rPr>
        <w:t>requir</w:t>
      </w:r>
      <w:r w:rsidR="0092185A">
        <w:rPr>
          <w:rFonts w:cs="Arial"/>
          <w:bCs/>
        </w:rPr>
        <w:t>e</w:t>
      </w:r>
      <w:r w:rsidR="00840A49" w:rsidRPr="00CE58CE">
        <w:rPr>
          <w:rFonts w:cs="Arial"/>
          <w:bCs/>
        </w:rPr>
        <w:t xml:space="preserve"> </w:t>
      </w:r>
      <w:r w:rsidR="0092185A">
        <w:rPr>
          <w:rFonts w:cs="Arial"/>
          <w:bCs/>
        </w:rPr>
        <w:t>products, e.g. sofas,</w:t>
      </w:r>
      <w:r w:rsidR="00840A49" w:rsidRPr="00CE58CE">
        <w:rPr>
          <w:rFonts w:cs="Arial"/>
          <w:bCs/>
        </w:rPr>
        <w:t xml:space="preserve"> containing </w:t>
      </w:r>
      <w:r w:rsidR="00840A49" w:rsidRPr="00CE58CE">
        <w:rPr>
          <w:rFonts w:cs="Arial"/>
          <w:bCs/>
          <w:color w:val="000000"/>
        </w:rPr>
        <w:t xml:space="preserve">potentially harmful substances, including specified </w:t>
      </w:r>
      <w:r w:rsidR="00840A49" w:rsidRPr="00CE58CE">
        <w:rPr>
          <w:rFonts w:cs="Arial"/>
          <w:bCs/>
        </w:rPr>
        <w:t>brominated FRs</w:t>
      </w:r>
      <w:r w:rsidR="00840A49">
        <w:rPr>
          <w:rFonts w:cs="Arial"/>
          <w:bCs/>
        </w:rPr>
        <w:t>,</w:t>
      </w:r>
      <w:r w:rsidR="00840A49" w:rsidRPr="00CE58CE">
        <w:rPr>
          <w:rFonts w:cs="Arial"/>
          <w:bCs/>
          <w:color w:val="FF0000"/>
        </w:rPr>
        <w:t xml:space="preserve"> </w:t>
      </w:r>
      <w:r w:rsidR="0092185A">
        <w:rPr>
          <w:rFonts w:cs="Arial"/>
          <w:bCs/>
        </w:rPr>
        <w:t>to b</w:t>
      </w:r>
      <w:r w:rsidR="00840A49" w:rsidRPr="00CE58CE">
        <w:rPr>
          <w:rFonts w:cs="Arial"/>
          <w:bCs/>
        </w:rPr>
        <w:t>e disposed of safely. This is likely to be an expensive process; therefore, BIS is keen to provide manufacturers with a new match test</w:t>
      </w:r>
      <w:r w:rsidR="00840A49">
        <w:rPr>
          <w:rFonts w:cs="Arial"/>
          <w:bCs/>
        </w:rPr>
        <w:t xml:space="preserve"> as soon as possible,</w:t>
      </w:r>
      <w:r w:rsidR="00840A49" w:rsidRPr="00CE58CE">
        <w:rPr>
          <w:rFonts w:cs="Arial"/>
          <w:bCs/>
        </w:rPr>
        <w:t xml:space="preserve"> that should help reduce FR levels in furniture covers by </w:t>
      </w:r>
      <w:r w:rsidR="00840A49">
        <w:rPr>
          <w:rFonts w:cs="Arial"/>
          <w:bCs/>
        </w:rPr>
        <w:t xml:space="preserve">around </w:t>
      </w:r>
      <w:r w:rsidR="00840A49" w:rsidRPr="00CE58CE">
        <w:rPr>
          <w:rFonts w:cs="Arial"/>
          <w:bCs/>
        </w:rPr>
        <w:t>50%</w:t>
      </w:r>
      <w:r w:rsidR="00840A49">
        <w:rPr>
          <w:rFonts w:cs="Arial"/>
          <w:bCs/>
        </w:rPr>
        <w:t xml:space="preserve"> (more with some fabrics)</w:t>
      </w:r>
      <w:r w:rsidR="001703EB">
        <w:rPr>
          <w:rFonts w:cs="Arial"/>
          <w:bCs/>
        </w:rPr>
        <w:t>.</w:t>
      </w:r>
    </w:p>
    <w:p w:rsidR="0092185A" w:rsidRDefault="0092185A" w:rsidP="00321C47">
      <w:pPr>
        <w:spacing w:after="0"/>
        <w:ind w:left="0"/>
        <w:rPr>
          <w:rFonts w:cs="Arial"/>
          <w:bCs/>
        </w:rPr>
      </w:pPr>
    </w:p>
    <w:p w:rsidR="0092185A" w:rsidRPr="0092185A" w:rsidRDefault="0092185A" w:rsidP="00321C47">
      <w:pPr>
        <w:spacing w:after="0"/>
        <w:ind w:left="0"/>
        <w:rPr>
          <w:rFonts w:cs="Arial"/>
          <w:bCs/>
          <w:u w:val="single"/>
        </w:rPr>
      </w:pPr>
      <w:r>
        <w:rPr>
          <w:rFonts w:cs="Arial"/>
          <w:bCs/>
          <w:u w:val="single"/>
        </w:rPr>
        <w:t>Encouragement of new flame retardant technologies</w:t>
      </w:r>
    </w:p>
    <w:p w:rsidR="0092185A" w:rsidRDefault="0092185A" w:rsidP="00321C47">
      <w:pPr>
        <w:spacing w:after="0"/>
        <w:ind w:left="0"/>
        <w:rPr>
          <w:rFonts w:cs="Arial"/>
          <w:bCs/>
        </w:rPr>
      </w:pPr>
    </w:p>
    <w:p w:rsidR="00317874" w:rsidRDefault="00321C47" w:rsidP="00082FA5">
      <w:pPr>
        <w:spacing w:after="0"/>
        <w:ind w:left="720" w:hanging="720"/>
        <w:rPr>
          <w:rFonts w:cs="Arial"/>
          <w:bCs/>
        </w:rPr>
      </w:pPr>
      <w:r>
        <w:rPr>
          <w:rFonts w:cs="Arial"/>
          <w:bCs/>
        </w:rPr>
        <w:t>38.</w:t>
      </w:r>
      <w:r>
        <w:rPr>
          <w:rFonts w:cs="Arial"/>
          <w:bCs/>
        </w:rPr>
        <w:tab/>
      </w:r>
      <w:r w:rsidR="0092185A">
        <w:rPr>
          <w:rFonts w:cs="Arial"/>
          <w:bCs/>
        </w:rPr>
        <w:t xml:space="preserve">Because the new test is a 'real life' one, i.e. does not </w:t>
      </w:r>
      <w:r w:rsidR="00C70F4B">
        <w:rPr>
          <w:rFonts w:cs="Arial"/>
          <w:bCs/>
        </w:rPr>
        <w:t>require ignitability of cover fabric to cater for highly flammable foam beneath it, materials not currently suitable for use in UK furniture covers will become so. This includes, for example, inherently flame-resistant fibres. Also, existing and emerging barrier technologies should in time help to cut out FR use altogether.</w:t>
      </w:r>
    </w:p>
    <w:p w:rsidR="00082FA5" w:rsidRDefault="00082FA5" w:rsidP="00082FA5">
      <w:pPr>
        <w:spacing w:after="0"/>
        <w:ind w:left="720" w:hanging="720"/>
        <w:rPr>
          <w:rFonts w:cs="Arial"/>
          <w:b/>
          <w:bCs/>
        </w:rPr>
      </w:pPr>
    </w:p>
    <w:p w:rsidR="00840A49" w:rsidRPr="00C70F4B" w:rsidRDefault="00840A49" w:rsidP="00321C47">
      <w:pPr>
        <w:ind w:left="0"/>
        <w:rPr>
          <w:rFonts w:cs="Arial"/>
          <w:b/>
          <w:bCs/>
        </w:rPr>
      </w:pPr>
      <w:r w:rsidRPr="00C70F4B">
        <w:rPr>
          <w:rFonts w:cs="Arial"/>
          <w:b/>
          <w:bCs/>
        </w:rPr>
        <w:t>Additional costs</w:t>
      </w:r>
    </w:p>
    <w:p w:rsidR="00901D59" w:rsidRDefault="00321C47" w:rsidP="00321C47">
      <w:pPr>
        <w:spacing w:after="0"/>
        <w:ind w:left="720" w:hanging="720"/>
        <w:rPr>
          <w:rFonts w:cs="Arial"/>
          <w:bCs/>
        </w:rPr>
      </w:pPr>
      <w:r>
        <w:rPr>
          <w:rFonts w:cs="Arial"/>
          <w:color w:val="000000"/>
        </w:rPr>
        <w:t>40.</w:t>
      </w:r>
      <w:r>
        <w:rPr>
          <w:rFonts w:cs="Arial"/>
          <w:color w:val="000000"/>
        </w:rPr>
        <w:tab/>
      </w:r>
      <w:r w:rsidR="00901D59">
        <w:rPr>
          <w:rFonts w:cs="Arial"/>
          <w:color w:val="000000"/>
        </w:rPr>
        <w:t>BIS anticipates there will be some additional testing required for currently unregulated materials that appear within 40mm of the cover fabric; however</w:t>
      </w:r>
      <w:r w:rsidR="00901D59">
        <w:rPr>
          <w:rFonts w:cs="Arial"/>
          <w:bCs/>
        </w:rPr>
        <w:t>:</w:t>
      </w:r>
    </w:p>
    <w:p w:rsidR="00901D59" w:rsidRDefault="00901D59" w:rsidP="00321C47">
      <w:pPr>
        <w:spacing w:after="0"/>
        <w:ind w:left="1080" w:hanging="360"/>
        <w:rPr>
          <w:rFonts w:cs="Arial"/>
          <w:bCs/>
        </w:rPr>
      </w:pPr>
    </w:p>
    <w:p w:rsidR="00901D59" w:rsidRDefault="00901D59" w:rsidP="0039415E">
      <w:pPr>
        <w:numPr>
          <w:ilvl w:val="0"/>
          <w:numId w:val="9"/>
        </w:numPr>
        <w:tabs>
          <w:tab w:val="clear" w:pos="900"/>
          <w:tab w:val="num" w:pos="1080"/>
        </w:tabs>
        <w:spacing w:after="0"/>
        <w:ind w:left="1080"/>
        <w:rPr>
          <w:rFonts w:cs="Arial"/>
          <w:bCs/>
        </w:rPr>
      </w:pPr>
      <w:r>
        <w:rPr>
          <w:rFonts w:cs="Arial"/>
          <w:bCs/>
        </w:rPr>
        <w:lastRenderedPageBreak/>
        <w:t>the test for unregulated materials is simple and cheap;</w:t>
      </w:r>
    </w:p>
    <w:p w:rsidR="00901D59" w:rsidRDefault="00901D59" w:rsidP="0039415E">
      <w:pPr>
        <w:numPr>
          <w:ilvl w:val="0"/>
          <w:numId w:val="9"/>
        </w:numPr>
        <w:tabs>
          <w:tab w:val="clear" w:pos="900"/>
          <w:tab w:val="num" w:pos="1080"/>
        </w:tabs>
        <w:spacing w:after="0"/>
        <w:ind w:left="1080"/>
        <w:rPr>
          <w:rFonts w:cs="Arial"/>
          <w:bCs/>
        </w:rPr>
      </w:pPr>
      <w:r>
        <w:rPr>
          <w:rFonts w:cs="Arial"/>
          <w:bCs/>
        </w:rPr>
        <w:t>given that many standard materials will always pass the test, BIS intends to publish regularly updated lists of materials which are therefore exempt from testing;</w:t>
      </w:r>
    </w:p>
    <w:p w:rsidR="001703EB" w:rsidRDefault="001703EB" w:rsidP="0039415E">
      <w:pPr>
        <w:numPr>
          <w:ilvl w:val="0"/>
          <w:numId w:val="9"/>
        </w:numPr>
        <w:tabs>
          <w:tab w:val="clear" w:pos="900"/>
          <w:tab w:val="num" w:pos="1080"/>
        </w:tabs>
        <w:spacing w:after="0"/>
        <w:ind w:left="1080"/>
        <w:rPr>
          <w:rFonts w:cs="Arial"/>
          <w:bCs/>
        </w:rPr>
      </w:pPr>
      <w:r>
        <w:rPr>
          <w:rFonts w:cs="Arial"/>
          <w:bCs/>
        </w:rPr>
        <w:t>materials placed under materials which are exempted and which are ‘protective’ placed will also be exempted;</w:t>
      </w:r>
    </w:p>
    <w:p w:rsidR="00FE3B3A" w:rsidRPr="001703EB" w:rsidRDefault="00901D59" w:rsidP="0039415E">
      <w:pPr>
        <w:numPr>
          <w:ilvl w:val="0"/>
          <w:numId w:val="9"/>
        </w:numPr>
        <w:tabs>
          <w:tab w:val="clear" w:pos="900"/>
          <w:tab w:val="num" w:pos="1080"/>
        </w:tabs>
        <w:autoSpaceDE w:val="0"/>
        <w:autoSpaceDN w:val="0"/>
        <w:adjustRightInd w:val="0"/>
        <w:ind w:left="1080"/>
        <w:rPr>
          <w:rFonts w:cs="Arial"/>
          <w:color w:val="000000"/>
        </w:rPr>
      </w:pPr>
      <w:r>
        <w:rPr>
          <w:rFonts w:cs="Arial"/>
          <w:bCs/>
        </w:rPr>
        <w:t>any additional costs will be greatly outweighed by savings made from reduced FR use and the exemption from the need for the cigarette test for most cover fabrics.</w:t>
      </w:r>
    </w:p>
    <w:p w:rsidR="001703EB" w:rsidRPr="004820AA" w:rsidRDefault="001703EB" w:rsidP="001703EB">
      <w:pPr>
        <w:autoSpaceDE w:val="0"/>
        <w:autoSpaceDN w:val="0"/>
        <w:adjustRightInd w:val="0"/>
        <w:ind w:left="720"/>
        <w:jc w:val="both"/>
        <w:rPr>
          <w:rFonts w:cs="Arial"/>
          <w:color w:val="000000"/>
        </w:rPr>
      </w:pPr>
      <w:r>
        <w:rPr>
          <w:rFonts w:cs="Arial"/>
          <w:bCs/>
        </w:rPr>
        <w:t>(See Annex 2 for further details.)</w:t>
      </w:r>
    </w:p>
    <w:p w:rsidR="004820AA" w:rsidRPr="004820AA" w:rsidRDefault="004820AA" w:rsidP="00321C47">
      <w:pPr>
        <w:autoSpaceDE w:val="0"/>
        <w:autoSpaceDN w:val="0"/>
        <w:adjustRightInd w:val="0"/>
        <w:ind w:left="0"/>
        <w:rPr>
          <w:rFonts w:cs="Arial"/>
          <w:b/>
          <w:color w:val="000000"/>
        </w:rPr>
      </w:pPr>
      <w:r>
        <w:rPr>
          <w:rFonts w:cs="Arial"/>
          <w:b/>
          <w:bCs/>
        </w:rPr>
        <w:t>Bringing forward these changes</w:t>
      </w:r>
    </w:p>
    <w:p w:rsidR="0075613E" w:rsidRDefault="001D6F57" w:rsidP="00321C47">
      <w:pPr>
        <w:ind w:left="720" w:hanging="720"/>
      </w:pPr>
      <w:r>
        <w:t>41.</w:t>
      </w:r>
      <w:r>
        <w:tab/>
        <w:t xml:space="preserve">For the past few years, BIS has been reviewing the FFRs overall, working closely with all stakeholders. </w:t>
      </w:r>
      <w:r w:rsidR="0075613E">
        <w:t>BIS acknowledges</w:t>
      </w:r>
      <w:r>
        <w:t>, therefore,</w:t>
      </w:r>
      <w:r w:rsidR="0075613E">
        <w:t xml:space="preserve"> that some stakeholders would prefer to be consulted once, not twice, on the amendments to the FFRs. However, there is no overlap between the new match</w:t>
      </w:r>
      <w:r w:rsidR="001703EB">
        <w:t xml:space="preserve"> and </w:t>
      </w:r>
      <w:r w:rsidR="0075613E">
        <w:t xml:space="preserve">cigarette test changes and the rest of the amendments, i.e. industry will not face additional burdens because there is a split in the timing of the amendments. The new test represents the biggest change in the amendments, as well as the point of greatest potential costs savings to industry; therefore, it will benefit from being considered in isolation to the other proposed amendments. </w:t>
      </w:r>
    </w:p>
    <w:p w:rsidR="004820AA" w:rsidRDefault="00321C47" w:rsidP="00321C47">
      <w:pPr>
        <w:ind w:left="720" w:hanging="720"/>
      </w:pPr>
      <w:r>
        <w:t>42.</w:t>
      </w:r>
      <w:r>
        <w:tab/>
      </w:r>
      <w:r w:rsidR="004820AA">
        <w:t xml:space="preserve">Also, as noted above, California/USA has recently changed its furniture flammability standard to exclude the use of FR chemicals. FRs are a growing concern in the UK and represent a stumbling block to the EU standard being raised. For these reasons, BIS believes that an early statement of the UK's intention to reduce the amount of FRs in our furniture will be received positively by UK consumers and the Commission/Member States, to pave the way for the rest of the amendments to be received more positively at a later date. </w:t>
      </w:r>
    </w:p>
    <w:p w:rsidR="00DF04C9" w:rsidRPr="00860A07" w:rsidRDefault="00DF04C9" w:rsidP="00321C47">
      <w:pPr>
        <w:ind w:left="0"/>
        <w:rPr>
          <w:szCs w:val="22"/>
        </w:rPr>
      </w:pPr>
      <w:r w:rsidRPr="00860A07">
        <w:rPr>
          <w:b/>
          <w:szCs w:val="22"/>
        </w:rPr>
        <w:t>Timing</w:t>
      </w:r>
    </w:p>
    <w:p w:rsidR="00DF04C9" w:rsidRPr="00860A07" w:rsidRDefault="00321C47" w:rsidP="00321C47">
      <w:pPr>
        <w:ind w:left="720" w:hanging="720"/>
        <w:rPr>
          <w:szCs w:val="22"/>
        </w:rPr>
      </w:pPr>
      <w:r>
        <w:rPr>
          <w:szCs w:val="22"/>
        </w:rPr>
        <w:t>43.</w:t>
      </w:r>
      <w:r>
        <w:rPr>
          <w:szCs w:val="22"/>
        </w:rPr>
        <w:tab/>
      </w:r>
      <w:r w:rsidR="00DF04C9" w:rsidRPr="00860A07">
        <w:rPr>
          <w:szCs w:val="22"/>
        </w:rPr>
        <w:t xml:space="preserve">Subject to </w:t>
      </w:r>
      <w:r w:rsidR="001D6F57">
        <w:rPr>
          <w:szCs w:val="22"/>
        </w:rPr>
        <w:t xml:space="preserve">the results of this </w:t>
      </w:r>
      <w:r w:rsidR="00DF04C9" w:rsidRPr="00860A07">
        <w:rPr>
          <w:szCs w:val="22"/>
        </w:rPr>
        <w:t xml:space="preserve">public consultation, BIS proposes to implement these changes in </w:t>
      </w:r>
      <w:r w:rsidR="00DF04C9" w:rsidRPr="00860A07">
        <w:rPr>
          <w:b/>
          <w:szCs w:val="22"/>
        </w:rPr>
        <w:t>April 2015</w:t>
      </w:r>
      <w:r w:rsidR="00DF04C9" w:rsidRPr="00860A07">
        <w:rPr>
          <w:szCs w:val="22"/>
        </w:rPr>
        <w:t xml:space="preserve">. </w:t>
      </w:r>
    </w:p>
    <w:p w:rsidR="00DF04C9" w:rsidRPr="00860A07" w:rsidRDefault="00DF04C9" w:rsidP="00321C47">
      <w:pPr>
        <w:ind w:left="0"/>
        <w:rPr>
          <w:b/>
          <w:szCs w:val="22"/>
        </w:rPr>
      </w:pPr>
      <w:r w:rsidRPr="00860A07">
        <w:rPr>
          <w:b/>
          <w:szCs w:val="22"/>
        </w:rPr>
        <w:t>Lead-in times</w:t>
      </w:r>
    </w:p>
    <w:p w:rsidR="00DF04C9" w:rsidRPr="00860A07" w:rsidRDefault="00321C47" w:rsidP="00321C47">
      <w:pPr>
        <w:ind w:left="720" w:hanging="720"/>
        <w:rPr>
          <w:szCs w:val="22"/>
        </w:rPr>
      </w:pPr>
      <w:r>
        <w:rPr>
          <w:szCs w:val="22"/>
        </w:rPr>
        <w:t>44.</w:t>
      </w:r>
      <w:r>
        <w:rPr>
          <w:szCs w:val="22"/>
        </w:rPr>
        <w:tab/>
      </w:r>
      <w:r w:rsidR="00DF04C9" w:rsidRPr="00860A07">
        <w:rPr>
          <w:szCs w:val="22"/>
        </w:rPr>
        <w:t>The new match test/cigarette test will include suitable lead-in times to a) allow industry to develop new compliant products, and b) to sell off existing stock (compliant with the current tests). The final lead-in period will be determined by the feed-back BIS receives during the consultation period but this may be around 12-18 months from the implementation date.</w:t>
      </w:r>
    </w:p>
    <w:p w:rsidR="00901D59" w:rsidRPr="00901D59" w:rsidRDefault="00901D59" w:rsidP="00321C47">
      <w:pPr>
        <w:ind w:left="0"/>
        <w:rPr>
          <w:b/>
          <w:szCs w:val="28"/>
        </w:rPr>
      </w:pPr>
      <w:r>
        <w:rPr>
          <w:b/>
          <w:szCs w:val="28"/>
        </w:rPr>
        <w:t>Help with estimates</w:t>
      </w:r>
    </w:p>
    <w:p w:rsidR="004820AA" w:rsidRDefault="00321C47" w:rsidP="00321C47">
      <w:pPr>
        <w:ind w:left="720" w:hanging="720"/>
        <w:rPr>
          <w:szCs w:val="28"/>
        </w:rPr>
      </w:pPr>
      <w:r>
        <w:rPr>
          <w:szCs w:val="28"/>
        </w:rPr>
        <w:t>45.</w:t>
      </w:r>
      <w:r>
        <w:rPr>
          <w:szCs w:val="28"/>
        </w:rPr>
        <w:tab/>
      </w:r>
      <w:r w:rsidR="00901D59">
        <w:rPr>
          <w:szCs w:val="28"/>
        </w:rPr>
        <w:t>BIS is aware that figures quoted in this document are very much rough estimates and we would be grateful therefore for more specific figures that industry might be able to supply.</w:t>
      </w:r>
      <w:r w:rsidR="00FE3B3A">
        <w:rPr>
          <w:szCs w:val="28"/>
        </w:rPr>
        <w:t xml:space="preserve"> All such information will be kept anonymous and used to estimate over-all costs/savings to i</w:t>
      </w:r>
      <w:r w:rsidR="00B7799D">
        <w:rPr>
          <w:szCs w:val="28"/>
        </w:rPr>
        <w:t>ndustry of the proposed changes (see "8. Consultation questions" below).</w:t>
      </w:r>
    </w:p>
    <w:p w:rsidR="004B38AB" w:rsidRDefault="004B38AB" w:rsidP="00321C47">
      <w:pPr>
        <w:ind w:left="0" w:firstLine="720"/>
        <w:rPr>
          <w:szCs w:val="28"/>
        </w:rPr>
      </w:pPr>
    </w:p>
    <w:p w:rsidR="004B38AB" w:rsidRDefault="004B38AB" w:rsidP="00321C47">
      <w:pPr>
        <w:ind w:left="0" w:firstLine="720"/>
        <w:rPr>
          <w:szCs w:val="28"/>
        </w:rPr>
      </w:pPr>
    </w:p>
    <w:p w:rsidR="004B38AB" w:rsidRDefault="004B38AB" w:rsidP="00321C47">
      <w:pPr>
        <w:ind w:left="0" w:firstLine="720"/>
        <w:rPr>
          <w:szCs w:val="28"/>
        </w:rPr>
      </w:pPr>
    </w:p>
    <w:p w:rsidR="007847D4" w:rsidRDefault="007847D4" w:rsidP="00321C47">
      <w:pPr>
        <w:ind w:left="0" w:firstLine="720"/>
        <w:rPr>
          <w:szCs w:val="28"/>
        </w:rPr>
      </w:pPr>
      <w:r>
        <w:rPr>
          <w:szCs w:val="28"/>
        </w:rPr>
        <w:lastRenderedPageBreak/>
        <w:t>To discuss these proposed changes or comment on them please contact:</w:t>
      </w:r>
    </w:p>
    <w:p w:rsidR="007847D4" w:rsidRDefault="007847D4" w:rsidP="007847D4">
      <w:pP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7847D4" w:rsidRPr="00751196" w:rsidTr="00751196">
        <w:tc>
          <w:tcPr>
            <w:tcW w:w="4621" w:type="dxa"/>
            <w:shd w:val="clear" w:color="auto" w:fill="auto"/>
          </w:tcPr>
          <w:p w:rsidR="007847D4" w:rsidRPr="00751196" w:rsidRDefault="007847D4" w:rsidP="00E06F19">
            <w:pPr>
              <w:rPr>
                <w:szCs w:val="28"/>
              </w:rPr>
            </w:pPr>
            <w:r w:rsidRPr="00751196">
              <w:rPr>
                <w:szCs w:val="28"/>
              </w:rPr>
              <w:t xml:space="preserve">Terry Edge - </w:t>
            </w:r>
            <w:r w:rsidRPr="00751196">
              <w:rPr>
                <w:i/>
                <w:szCs w:val="28"/>
              </w:rPr>
              <w:t>for general points</w:t>
            </w:r>
          </w:p>
          <w:p w:rsidR="007847D4" w:rsidRPr="00751196" w:rsidRDefault="007847D4" w:rsidP="00E06F19">
            <w:pPr>
              <w:rPr>
                <w:szCs w:val="28"/>
              </w:rPr>
            </w:pPr>
            <w:r w:rsidRPr="00751196">
              <w:rPr>
                <w:szCs w:val="28"/>
              </w:rPr>
              <w:t>BIS, 4</w:t>
            </w:r>
            <w:r w:rsidRPr="00751196">
              <w:rPr>
                <w:szCs w:val="28"/>
                <w:vertAlign w:val="superscript"/>
              </w:rPr>
              <w:t>th</w:t>
            </w:r>
            <w:r w:rsidRPr="00751196">
              <w:rPr>
                <w:szCs w:val="28"/>
              </w:rPr>
              <w:t xml:space="preserve"> Floor, Orchard One</w:t>
            </w:r>
          </w:p>
          <w:p w:rsidR="007847D4" w:rsidRPr="00751196" w:rsidRDefault="007847D4" w:rsidP="00E06F19">
            <w:pPr>
              <w:rPr>
                <w:szCs w:val="28"/>
              </w:rPr>
            </w:pPr>
            <w:r w:rsidRPr="00751196">
              <w:rPr>
                <w:szCs w:val="28"/>
              </w:rPr>
              <w:t>1 Victoria Street, London SW1H 0ET</w:t>
            </w:r>
          </w:p>
          <w:p w:rsidR="007847D4" w:rsidRPr="00751196" w:rsidRDefault="007847D4" w:rsidP="00E06F19">
            <w:pPr>
              <w:rPr>
                <w:szCs w:val="28"/>
              </w:rPr>
            </w:pPr>
            <w:r w:rsidRPr="00751196">
              <w:rPr>
                <w:szCs w:val="28"/>
              </w:rPr>
              <w:t>Tel:  0207 215 5576</w:t>
            </w:r>
          </w:p>
          <w:p w:rsidR="007847D4" w:rsidRPr="00751196" w:rsidRDefault="007847D4" w:rsidP="00E06F19">
            <w:pPr>
              <w:rPr>
                <w:szCs w:val="28"/>
              </w:rPr>
            </w:pPr>
            <w:r w:rsidRPr="00751196">
              <w:rPr>
                <w:szCs w:val="28"/>
              </w:rPr>
              <w:t>Email: terry.edge@bis.gsi.gov.uk</w:t>
            </w:r>
          </w:p>
        </w:tc>
        <w:tc>
          <w:tcPr>
            <w:tcW w:w="4621" w:type="dxa"/>
            <w:shd w:val="clear" w:color="auto" w:fill="auto"/>
          </w:tcPr>
          <w:p w:rsidR="007847D4" w:rsidRPr="00751196" w:rsidRDefault="007847D4" w:rsidP="00E06F19">
            <w:pPr>
              <w:rPr>
                <w:szCs w:val="28"/>
              </w:rPr>
            </w:pPr>
            <w:r w:rsidRPr="00751196">
              <w:rPr>
                <w:szCs w:val="28"/>
              </w:rPr>
              <w:t xml:space="preserve">Steve Owen - </w:t>
            </w:r>
            <w:r w:rsidRPr="00751196">
              <w:rPr>
                <w:i/>
                <w:szCs w:val="28"/>
              </w:rPr>
              <w:t>for technical questions</w:t>
            </w:r>
          </w:p>
          <w:p w:rsidR="007847D4" w:rsidRPr="00751196" w:rsidRDefault="007847D4" w:rsidP="00E06F19">
            <w:pPr>
              <w:rPr>
                <w:szCs w:val="28"/>
              </w:rPr>
            </w:pPr>
            <w:r w:rsidRPr="00751196">
              <w:rPr>
                <w:szCs w:val="28"/>
              </w:rPr>
              <w:t>Intertek,</w:t>
            </w:r>
          </w:p>
          <w:p w:rsidR="007847D4" w:rsidRPr="00751196" w:rsidRDefault="007847D4" w:rsidP="00E06F19">
            <w:pPr>
              <w:rPr>
                <w:rFonts w:cs="Arial"/>
                <w:color w:val="000000"/>
              </w:rPr>
            </w:pPr>
            <w:r w:rsidRPr="00751196">
              <w:rPr>
                <w:rFonts w:cs="Arial"/>
                <w:color w:val="000000"/>
              </w:rPr>
              <w:t xml:space="preserve">The Warehouse </w:t>
            </w:r>
          </w:p>
          <w:p w:rsidR="007847D4" w:rsidRPr="00751196" w:rsidRDefault="007847D4" w:rsidP="00E06F19">
            <w:pPr>
              <w:rPr>
                <w:rFonts w:cs="Arial"/>
                <w:color w:val="000000"/>
              </w:rPr>
            </w:pPr>
            <w:r w:rsidRPr="00751196">
              <w:rPr>
                <w:rFonts w:cs="Arial"/>
                <w:color w:val="000000"/>
              </w:rPr>
              <w:t>Brewery Lane, Leigh WN7 2RJ</w:t>
            </w:r>
            <w:r w:rsidRPr="00751196">
              <w:rPr>
                <w:rFonts w:cs="Arial"/>
                <w:color w:val="000000"/>
              </w:rPr>
              <w:br/>
              <w:t>Tel: 01942 265700</w:t>
            </w:r>
          </w:p>
          <w:p w:rsidR="007847D4" w:rsidRPr="00751196" w:rsidRDefault="007847D4" w:rsidP="00E06F19">
            <w:pPr>
              <w:rPr>
                <w:szCs w:val="28"/>
              </w:rPr>
            </w:pPr>
            <w:r w:rsidRPr="00751196">
              <w:rPr>
                <w:rFonts w:cs="Arial"/>
                <w:color w:val="000000"/>
              </w:rPr>
              <w:t>Email: steven.owen@intertek.com</w:t>
            </w:r>
          </w:p>
        </w:tc>
      </w:tr>
    </w:tbl>
    <w:p w:rsidR="00E37D60" w:rsidRDefault="00E37D60" w:rsidP="00DF04C9">
      <w:pPr>
        <w:jc w:val="center"/>
        <w:rPr>
          <w:szCs w:val="28"/>
        </w:rPr>
      </w:pPr>
    </w:p>
    <w:p w:rsidR="00E37D60" w:rsidRDefault="00E37D60">
      <w:pPr>
        <w:spacing w:after="0"/>
        <w:ind w:left="0"/>
        <w:rPr>
          <w:szCs w:val="28"/>
        </w:rPr>
      </w:pPr>
      <w:r>
        <w:rPr>
          <w:szCs w:val="28"/>
        </w:rPr>
        <w:br w:type="page"/>
      </w:r>
    </w:p>
    <w:p w:rsidR="007847D4" w:rsidRDefault="007847D4" w:rsidP="00DF04C9">
      <w:pPr>
        <w:jc w:val="center"/>
        <w:rPr>
          <w:szCs w:val="28"/>
        </w:rPr>
      </w:pPr>
    </w:p>
    <w:p w:rsidR="007847D4" w:rsidRDefault="00321C47" w:rsidP="007847D4">
      <w:pPr>
        <w:pStyle w:val="Heading2"/>
      </w:pPr>
      <w:bookmarkStart w:id="34" w:name="_Toc222902177"/>
      <w:bookmarkStart w:id="35" w:name="_Toc287009282"/>
      <w:bookmarkStart w:id="36" w:name="_Toc394509367"/>
      <w:r>
        <w:t>7</w:t>
      </w:r>
      <w:r w:rsidR="007847D4">
        <w:t xml:space="preserve">. </w:t>
      </w:r>
      <w:r w:rsidR="007847D4" w:rsidRPr="00BD2801">
        <w:t>Consultation questions</w:t>
      </w:r>
      <w:bookmarkEnd w:id="34"/>
      <w:bookmarkEnd w:id="35"/>
      <w:bookmarkEnd w:id="36"/>
    </w:p>
    <w:p w:rsidR="007847D4" w:rsidRDefault="004E3F65" w:rsidP="009E4AE2">
      <w:pPr>
        <w:pStyle w:val="BISnumberingBold"/>
      </w:pPr>
      <w:r>
        <w:t>46.</w:t>
      </w:r>
      <w:r>
        <w:tab/>
      </w:r>
      <w:r w:rsidR="00321C47">
        <w:t xml:space="preserve">Below are the questions we would greatly appreciate your responses to. However, please enter your responses after each question where they are repeated in Annex </w:t>
      </w:r>
      <w:r w:rsidR="002811B6">
        <w:t>8</w:t>
      </w:r>
      <w:r w:rsidR="00321C47">
        <w:t xml:space="preserve">. In addition, you will see there are </w:t>
      </w:r>
      <w:r w:rsidR="004727AD">
        <w:t xml:space="preserve">some </w:t>
      </w:r>
      <w:r w:rsidR="00321C47">
        <w:t>further more costs-focussed questions in the Impact Assessment at Annex 7: these t</w:t>
      </w:r>
      <w:r w:rsidR="004727AD">
        <w:t>o</w:t>
      </w:r>
      <w:r w:rsidR="00321C47">
        <w:t xml:space="preserve">o are repeated for responses in Annex </w:t>
      </w:r>
      <w:r w:rsidR="002811B6">
        <w:t>8</w:t>
      </w:r>
      <w:r w:rsidR="00321C47">
        <w:t>.</w:t>
      </w:r>
    </w:p>
    <w:p w:rsidR="00321C47" w:rsidRDefault="00321C47" w:rsidP="00321C47">
      <w:pPr>
        <w:pStyle w:val="Heading3"/>
        <w:ind w:left="0"/>
        <w:jc w:val="both"/>
      </w:pPr>
      <w:r>
        <w:t>Question 1: Do you think this proposal will achieve its aims of: help</w:t>
      </w:r>
      <w:r w:rsidR="002811B6">
        <w:t>ing to</w:t>
      </w:r>
      <w:r>
        <w:t xml:space="preserve"> make UK furniture greener, save money to industry and mak</w:t>
      </w:r>
      <w:r w:rsidR="002811B6">
        <w:t>ing</w:t>
      </w:r>
      <w:r>
        <w:t xml:space="preserve"> UK furniture more fire safe?</w:t>
      </w:r>
    </w:p>
    <w:p w:rsidR="00321C47" w:rsidRDefault="00321C47" w:rsidP="00321C47">
      <w:pPr>
        <w:pStyle w:val="Heading3"/>
        <w:ind w:left="0"/>
      </w:pPr>
    </w:p>
    <w:p w:rsidR="00321C47" w:rsidRDefault="00321C47" w:rsidP="00321C47">
      <w:pPr>
        <w:pStyle w:val="Heading3"/>
        <w:ind w:left="0"/>
      </w:pPr>
      <w:r>
        <w:t>Questions 2: Do you think that paragraphs 19-2 accurately set out the need for a change to the current match test?</w:t>
      </w:r>
    </w:p>
    <w:p w:rsidR="00321C47" w:rsidRDefault="00321C47" w:rsidP="00321C47">
      <w:pPr>
        <w:pStyle w:val="Heading3"/>
        <w:ind w:left="0"/>
      </w:pPr>
    </w:p>
    <w:p w:rsidR="00321C47" w:rsidRPr="00321C47" w:rsidRDefault="00321C47" w:rsidP="00321C47">
      <w:pPr>
        <w:pStyle w:val="Heading3"/>
        <w:ind w:left="0"/>
      </w:pPr>
      <w:r>
        <w:t>Question 3: Do you think the proposed changes are viable (paragraphs 23-29)?</w:t>
      </w:r>
    </w:p>
    <w:p w:rsidR="00321C47" w:rsidRDefault="00321C47" w:rsidP="00321C47">
      <w:pPr>
        <w:pStyle w:val="Heading3"/>
        <w:ind w:left="0"/>
      </w:pPr>
    </w:p>
    <w:p w:rsidR="00321C47" w:rsidRDefault="00321C47" w:rsidP="00321C47">
      <w:pPr>
        <w:pStyle w:val="Heading3"/>
        <w:ind w:left="0"/>
      </w:pPr>
      <w:r>
        <w:t>Question 4: What are your views on the inclusion of currently unregulated materials (</w:t>
      </w:r>
      <w:r w:rsidR="007B73A7">
        <w:t>paragraphs</w:t>
      </w:r>
      <w:r>
        <w:t xml:space="preserve"> 27-29)?</w:t>
      </w:r>
    </w:p>
    <w:p w:rsidR="00321C47" w:rsidRDefault="00321C47" w:rsidP="00321C47">
      <w:pPr>
        <w:pStyle w:val="Heading3"/>
        <w:ind w:left="0"/>
      </w:pPr>
    </w:p>
    <w:p w:rsidR="00321C47" w:rsidRDefault="00321C47" w:rsidP="00321C47">
      <w:pPr>
        <w:pStyle w:val="Heading3"/>
        <w:ind w:left="0"/>
      </w:pPr>
      <w:r>
        <w:t>Question 5: Do you agree with the benefits BIS believes the changes will bring?</w:t>
      </w:r>
    </w:p>
    <w:p w:rsidR="00321C47" w:rsidRDefault="00321C47" w:rsidP="00321C47">
      <w:pPr>
        <w:pStyle w:val="Heading3"/>
        <w:ind w:left="0"/>
      </w:pPr>
    </w:p>
    <w:p w:rsidR="00321C47" w:rsidRDefault="00321C47" w:rsidP="00321C47">
      <w:pPr>
        <w:pStyle w:val="Heading3"/>
        <w:ind w:left="0"/>
      </w:pPr>
      <w:r>
        <w:t>Question 6: What is your view on BIS’s reasons for bringing forward the changes (paragraphs 41-42)?</w:t>
      </w:r>
    </w:p>
    <w:p w:rsidR="00321C47" w:rsidRPr="00321C47" w:rsidRDefault="00321C47" w:rsidP="00321C47"/>
    <w:p w:rsidR="00321C47" w:rsidRDefault="00321C47" w:rsidP="00321C47">
      <w:pPr>
        <w:pStyle w:val="Heading3"/>
        <w:ind w:left="0"/>
      </w:pPr>
      <w:r>
        <w:t>Question 7: General rating of the proposals.</w:t>
      </w:r>
    </w:p>
    <w:p w:rsidR="00321C47" w:rsidRDefault="00321C47" w:rsidP="00321C47">
      <w:pPr>
        <w:pStyle w:val="Heading3"/>
        <w:ind w:left="0"/>
      </w:pPr>
    </w:p>
    <w:p w:rsidR="00321C47" w:rsidRDefault="00321C47" w:rsidP="00321C47">
      <w:pPr>
        <w:pStyle w:val="Heading3"/>
        <w:ind w:left="0"/>
      </w:pPr>
      <w:r>
        <w:t>Question 8: Do you have any other comments that might aid the consultation process as a whole?</w:t>
      </w:r>
    </w:p>
    <w:p w:rsidR="007847D4" w:rsidRDefault="007847D4" w:rsidP="009E4AE2">
      <w:pPr>
        <w:pStyle w:val="BISnumberingBold"/>
      </w:pPr>
    </w:p>
    <w:p w:rsidR="007847D4" w:rsidRDefault="007847D4" w:rsidP="009E4AE2">
      <w:pPr>
        <w:pStyle w:val="BISnumberingBold"/>
      </w:pPr>
    </w:p>
    <w:p w:rsidR="007847D4" w:rsidRDefault="007847D4" w:rsidP="009E4AE2">
      <w:pPr>
        <w:pStyle w:val="BISnumberingBold"/>
      </w:pPr>
    </w:p>
    <w:p w:rsidR="007847D4" w:rsidRDefault="007847D4" w:rsidP="009E4AE2">
      <w:pPr>
        <w:pStyle w:val="BISnumberingBold"/>
      </w:pPr>
    </w:p>
    <w:p w:rsidR="007847D4" w:rsidRDefault="00321C47" w:rsidP="009E4AE2">
      <w:pPr>
        <w:pStyle w:val="BISnumberingBold"/>
      </w:pPr>
      <w:r>
        <w:br w:type="column"/>
      </w:r>
    </w:p>
    <w:p w:rsidR="007847D4" w:rsidRDefault="00321C47" w:rsidP="007847D4">
      <w:pPr>
        <w:pStyle w:val="Heading2"/>
      </w:pPr>
      <w:bookmarkStart w:id="37" w:name="_Toc222902178"/>
      <w:bookmarkStart w:id="38" w:name="_Toc287009283"/>
      <w:bookmarkStart w:id="39" w:name="_Toc394509368"/>
      <w:r>
        <w:t>8</w:t>
      </w:r>
      <w:r w:rsidR="007847D4">
        <w:t xml:space="preserve">. </w:t>
      </w:r>
      <w:r w:rsidR="007847D4" w:rsidRPr="00BD2801">
        <w:t>What happens next?</w:t>
      </w:r>
      <w:bookmarkEnd w:id="37"/>
      <w:bookmarkEnd w:id="38"/>
      <w:bookmarkEnd w:id="39"/>
      <w:r w:rsidR="007847D4" w:rsidRPr="006B4DAA">
        <w:t xml:space="preserve"> </w:t>
      </w:r>
    </w:p>
    <w:p w:rsidR="006309C9" w:rsidRDefault="006309C9" w:rsidP="00321C47">
      <w:pPr>
        <w:ind w:left="0"/>
      </w:pPr>
      <w:r>
        <w:t>Following the conclusion of the consultation, BIS will publish a government response around mid-</w:t>
      </w:r>
      <w:r w:rsidR="00580E33">
        <w:t>January</w:t>
      </w:r>
      <w:r>
        <w:t xml:space="preserve"> 201</w:t>
      </w:r>
      <w:r w:rsidR="00580E33">
        <w:t>5</w:t>
      </w:r>
      <w:r>
        <w:t xml:space="preserve">. This will provide detailed responses to all issues raised by consultees. The response will appear on the BIS website, including a link from the central BIS consultation webpages, with paper copies </w:t>
      </w:r>
      <w:r w:rsidR="00772F1C">
        <w:t>m</w:t>
      </w:r>
      <w:r>
        <w:t xml:space="preserve">ade available on request. </w:t>
      </w:r>
    </w:p>
    <w:p w:rsidR="007847D4" w:rsidRDefault="006309C9" w:rsidP="00772F1C">
      <w:pPr>
        <w:ind w:left="0"/>
      </w:pPr>
      <w:r>
        <w:t xml:space="preserve">Assuming the proposed changes are </w:t>
      </w:r>
      <w:r w:rsidR="00772F1C">
        <w:t xml:space="preserve">agreed, the amended Regulations will be laid in Parliament around February 2015, with a commencement date of April 2015. </w:t>
      </w:r>
    </w:p>
    <w:p w:rsidR="00E127B3" w:rsidRDefault="007A696C" w:rsidP="00772F1C">
      <w:pPr>
        <w:ind w:left="0"/>
      </w:pPr>
      <w:r>
        <w:t xml:space="preserve">In addition, </w:t>
      </w:r>
      <w:r w:rsidR="00E127B3">
        <w:t xml:space="preserve">BIS will host an open day on </w:t>
      </w:r>
      <w:r w:rsidR="006F1A4E">
        <w:t>19</w:t>
      </w:r>
      <w:r w:rsidR="006F1A4E" w:rsidRPr="006F1A4E">
        <w:rPr>
          <w:vertAlign w:val="superscript"/>
        </w:rPr>
        <w:t>th</w:t>
      </w:r>
      <w:r w:rsidR="006F1A4E">
        <w:t xml:space="preserve"> August 2014</w:t>
      </w:r>
      <w:r w:rsidR="00E127B3">
        <w:t xml:space="preserve"> at 1 Victoria Street, London SW1H 0ET.</w:t>
      </w:r>
      <w:r>
        <w:t xml:space="preserve"> The purpose is to provide fuller details should they be required and to answer any questions you may have.</w:t>
      </w:r>
      <w:r w:rsidR="00E127B3">
        <w:t xml:space="preserve"> If you would like to attend, please register your interest with:</w:t>
      </w:r>
    </w:p>
    <w:p w:rsidR="00E127B3" w:rsidRDefault="00E127B3" w:rsidP="00772F1C">
      <w:pPr>
        <w:ind w:left="0"/>
      </w:pPr>
      <w:r>
        <w:t xml:space="preserve">John O’Shea, Tel: 020 7215 1285, email: </w:t>
      </w:r>
      <w:r w:rsidRPr="00E127B3">
        <w:t>John.O'Shea@bis.gsi.gov.uk</w:t>
      </w:r>
      <w:r>
        <w:t>.</w:t>
      </w:r>
    </w:p>
    <w:p w:rsidR="00E127B3" w:rsidRDefault="00E127B3" w:rsidP="00772F1C">
      <w:pPr>
        <w:ind w:left="0"/>
      </w:pPr>
    </w:p>
    <w:p w:rsidR="00A368BC" w:rsidRDefault="004820AA" w:rsidP="008941ED">
      <w:pPr>
        <w:pStyle w:val="Heading2"/>
      </w:pPr>
      <w:r>
        <w:br w:type="column"/>
      </w:r>
      <w:bookmarkStart w:id="40" w:name="_Toc394509369"/>
      <w:r w:rsidR="008941ED">
        <w:lastRenderedPageBreak/>
        <w:t>Annex 1: Brief list of reference material regarding the effects of FRs on health/environment</w:t>
      </w:r>
      <w:bookmarkEnd w:id="40"/>
    </w:p>
    <w:p w:rsidR="008941ED" w:rsidRPr="008941ED" w:rsidRDefault="008941ED" w:rsidP="008941ED"/>
    <w:p w:rsidR="00A368BC" w:rsidRPr="00620174" w:rsidRDefault="00A368BC" w:rsidP="00A368BC">
      <w:pPr>
        <w:spacing w:line="276" w:lineRule="auto"/>
        <w:jc w:val="center"/>
        <w:rPr>
          <w:rFonts w:ascii="Arial Bold" w:hAnsi="Arial Bold" w:cs="Arial"/>
          <w:b/>
          <w:szCs w:val="22"/>
          <w:u w:val="single"/>
        </w:rPr>
      </w:pPr>
      <w:r w:rsidRPr="00620174">
        <w:rPr>
          <w:rFonts w:ascii="Arial Bold" w:hAnsi="Arial Bold" w:cs="Arial"/>
          <w:b/>
          <w:szCs w:val="22"/>
          <w:u w:val="single"/>
        </w:rPr>
        <w:t>Flame retardants in food</w:t>
      </w:r>
    </w:p>
    <w:p w:rsidR="00A368BC" w:rsidRPr="00420C01" w:rsidRDefault="00A368BC" w:rsidP="00A368BC">
      <w:pPr>
        <w:pStyle w:val="Heading1"/>
        <w:rPr>
          <w:sz w:val="24"/>
        </w:rPr>
      </w:pPr>
      <w:bookmarkStart w:id="41" w:name="_Toc394509370"/>
      <w:r w:rsidRPr="00420C01">
        <w:rPr>
          <w:sz w:val="24"/>
        </w:rPr>
        <w:t>Scientific Opinion on Polybrominated Biphenyls (PBBs) in Food</w:t>
      </w:r>
      <w:bookmarkEnd w:id="41"/>
      <w:r w:rsidRPr="00420C01">
        <w:rPr>
          <w:sz w:val="24"/>
        </w:rPr>
        <w:t xml:space="preserve"> </w:t>
      </w:r>
    </w:p>
    <w:p w:rsidR="00A368BC" w:rsidRDefault="00E27371" w:rsidP="00A368BC">
      <w:hyperlink r:id="rId28" w:tooltip="blocked::http://www.efsa.europa.eu/de/efsajournal/pub/1789.htm" w:history="1">
        <w:r w:rsidR="00A368BC">
          <w:rPr>
            <w:rStyle w:val="Hyperlink"/>
          </w:rPr>
          <w:t>http://www.efsa.europa.eu/de/efsajournal/pub/1789.htm</w:t>
        </w:r>
      </w:hyperlink>
    </w:p>
    <w:p w:rsidR="00A368BC" w:rsidRPr="00411980" w:rsidRDefault="00A368BC" w:rsidP="00A368BC">
      <w:pPr>
        <w:pStyle w:val="Heading1"/>
        <w:rPr>
          <w:sz w:val="24"/>
        </w:rPr>
      </w:pPr>
      <w:bookmarkStart w:id="42" w:name="_Toc394509371"/>
      <w:r w:rsidRPr="00411980">
        <w:rPr>
          <w:sz w:val="24"/>
        </w:rPr>
        <w:t>Scientific Opinion on Polybrominated Diphenyl Ethers (PBDEs) in Food</w:t>
      </w:r>
      <w:bookmarkEnd w:id="42"/>
      <w:r w:rsidRPr="00411980">
        <w:rPr>
          <w:sz w:val="24"/>
        </w:rPr>
        <w:t xml:space="preserve"> </w:t>
      </w:r>
    </w:p>
    <w:p w:rsidR="00A368BC" w:rsidRDefault="00E27371" w:rsidP="00A368BC">
      <w:hyperlink r:id="rId29" w:tooltip="blocked::http://www.efsa.europa.eu/en/efsajournal/pub/2156.htm" w:history="1">
        <w:r w:rsidR="00A368BC" w:rsidRPr="00411980">
          <w:rPr>
            <w:rStyle w:val="Hyperlink"/>
          </w:rPr>
          <w:t>http://www.efsa.europa.eu/en/efsajournal/pub/2156.htm</w:t>
        </w:r>
      </w:hyperlink>
    </w:p>
    <w:p w:rsidR="00A368BC" w:rsidRPr="00411980" w:rsidRDefault="00A368BC" w:rsidP="00A368BC">
      <w:pPr>
        <w:pStyle w:val="Heading1"/>
        <w:rPr>
          <w:sz w:val="24"/>
        </w:rPr>
      </w:pPr>
      <w:bookmarkStart w:id="43" w:name="_Toc394509372"/>
      <w:r w:rsidRPr="00411980">
        <w:rPr>
          <w:sz w:val="24"/>
        </w:rPr>
        <w:t>Scientific Opinion on Hexabromocyclododecanes (HBCDDs) in Food</w:t>
      </w:r>
      <w:bookmarkEnd w:id="43"/>
      <w:r w:rsidRPr="00411980">
        <w:rPr>
          <w:sz w:val="24"/>
        </w:rPr>
        <w:t xml:space="preserve"> </w:t>
      </w:r>
    </w:p>
    <w:p w:rsidR="00A368BC" w:rsidRDefault="00E27371" w:rsidP="00A368BC">
      <w:hyperlink r:id="rId30" w:tooltip="blocked::http://www.efsa.europa.eu/fr/efsajournal/pub/2296.htm" w:history="1">
        <w:r w:rsidR="00A368BC">
          <w:rPr>
            <w:rStyle w:val="Hyperlink"/>
          </w:rPr>
          <w:t>http://www.efsa.europa.eu/fr/efsajournal/pub/2296.htm</w:t>
        </w:r>
      </w:hyperlink>
    </w:p>
    <w:p w:rsidR="00A368BC" w:rsidRPr="00CD0F7A" w:rsidRDefault="00A368BC" w:rsidP="00A368BC">
      <w:pPr>
        <w:pStyle w:val="Heading1"/>
        <w:rPr>
          <w:sz w:val="24"/>
        </w:rPr>
      </w:pPr>
      <w:bookmarkStart w:id="44" w:name="_Toc394509373"/>
      <w:r w:rsidRPr="00CD0F7A">
        <w:rPr>
          <w:sz w:val="24"/>
        </w:rPr>
        <w:t>Scientific Opinion on Tetrabromobisphenol A (TBBPA) and its derivatives in food</w:t>
      </w:r>
      <w:bookmarkEnd w:id="44"/>
      <w:r w:rsidRPr="00CD0F7A">
        <w:rPr>
          <w:sz w:val="24"/>
        </w:rPr>
        <w:t xml:space="preserve"> </w:t>
      </w:r>
    </w:p>
    <w:p w:rsidR="00A368BC" w:rsidRDefault="00E27371" w:rsidP="00A368BC">
      <w:hyperlink r:id="rId31" w:tooltip="blocked::http://www.efsa.europa.eu/en/efsajournal/pub/2477.htm" w:history="1">
        <w:r w:rsidR="00A368BC">
          <w:rPr>
            <w:rStyle w:val="Hyperlink"/>
          </w:rPr>
          <w:t>http://www.efsa.europa.eu/en/efsajournal/pub/2477.htm</w:t>
        </w:r>
      </w:hyperlink>
    </w:p>
    <w:p w:rsidR="00A368BC" w:rsidRPr="00CD0F7A" w:rsidRDefault="00A368BC" w:rsidP="00A368BC">
      <w:pPr>
        <w:pStyle w:val="Heading1"/>
        <w:rPr>
          <w:sz w:val="24"/>
        </w:rPr>
      </w:pPr>
      <w:bookmarkStart w:id="45" w:name="_Toc394509374"/>
      <w:r w:rsidRPr="00CD0F7A">
        <w:rPr>
          <w:sz w:val="24"/>
        </w:rPr>
        <w:t>Scientific Opinion on Brominated Flame Retardants (BFRs) in Food: Brominated Phenols and their Derivatives</w:t>
      </w:r>
      <w:bookmarkEnd w:id="45"/>
      <w:r w:rsidRPr="00CD0F7A">
        <w:rPr>
          <w:sz w:val="24"/>
        </w:rPr>
        <w:t xml:space="preserve"> </w:t>
      </w:r>
    </w:p>
    <w:p w:rsidR="00A368BC" w:rsidRDefault="00E27371" w:rsidP="00A368BC">
      <w:hyperlink r:id="rId32" w:tooltip="blocked::http://www.efsa.europa.eu/en/efsajournal/pub/2634.htm" w:history="1">
        <w:r w:rsidR="00A368BC">
          <w:rPr>
            <w:rStyle w:val="Hyperlink"/>
          </w:rPr>
          <w:t>http://www.efsa.europa.eu/en/efsajournal/pub/2634.htm</w:t>
        </w:r>
      </w:hyperlink>
    </w:p>
    <w:p w:rsidR="00A368BC" w:rsidRPr="00CD0F7A" w:rsidRDefault="00A368BC" w:rsidP="00A368BC">
      <w:pPr>
        <w:pStyle w:val="Heading1"/>
        <w:rPr>
          <w:sz w:val="24"/>
        </w:rPr>
      </w:pPr>
      <w:bookmarkStart w:id="46" w:name="OLE_LINK23"/>
      <w:bookmarkStart w:id="47" w:name="OLE_LINK24"/>
      <w:bookmarkStart w:id="48" w:name="_Toc394509375"/>
      <w:r w:rsidRPr="00CD0F7A">
        <w:rPr>
          <w:sz w:val="24"/>
        </w:rPr>
        <w:t>Scie</w:t>
      </w:r>
      <w:bookmarkEnd w:id="46"/>
      <w:bookmarkEnd w:id="47"/>
      <w:r w:rsidRPr="00CD0F7A">
        <w:rPr>
          <w:sz w:val="24"/>
        </w:rPr>
        <w:t>ntific Opinion on Emerging and Novel Brominated Flame Retardants (BFRs) in Food</w:t>
      </w:r>
      <w:bookmarkEnd w:id="48"/>
      <w:r w:rsidRPr="00CD0F7A">
        <w:rPr>
          <w:sz w:val="24"/>
        </w:rPr>
        <w:t xml:space="preserve"> </w:t>
      </w:r>
    </w:p>
    <w:p w:rsidR="00A368BC" w:rsidRDefault="00E27371" w:rsidP="00A368BC">
      <w:hyperlink r:id="rId33" w:tooltip="blocked::http://www.efsa.europa.eu/en/efsajournal/pub/2908.htm" w:history="1">
        <w:r w:rsidR="00A368BC">
          <w:rPr>
            <w:rStyle w:val="Hyperlink"/>
          </w:rPr>
          <w:t>http://www.efsa.europa.eu/en/efsajournal/pub/2908.htm</w:t>
        </w:r>
      </w:hyperlink>
    </w:p>
    <w:p w:rsidR="00A368BC" w:rsidRDefault="00A368BC" w:rsidP="00A368BC">
      <w:pPr>
        <w:spacing w:line="276" w:lineRule="auto"/>
        <w:rPr>
          <w:rFonts w:cs="Arial"/>
          <w:sz w:val="22"/>
          <w:szCs w:val="22"/>
        </w:rPr>
      </w:pPr>
    </w:p>
    <w:p w:rsidR="00A368BC" w:rsidRPr="006F1A4E" w:rsidRDefault="00A368BC" w:rsidP="00A368BC">
      <w:pPr>
        <w:spacing w:line="276" w:lineRule="auto"/>
        <w:jc w:val="center"/>
        <w:rPr>
          <w:rFonts w:cs="Arial"/>
          <w:b/>
          <w:color w:val="000000"/>
          <w:szCs w:val="22"/>
          <w:u w:val="single"/>
        </w:rPr>
      </w:pPr>
      <w:r w:rsidRPr="006F1A4E">
        <w:rPr>
          <w:rFonts w:cs="Arial"/>
          <w:b/>
          <w:color w:val="000000"/>
          <w:szCs w:val="22"/>
          <w:u w:val="single"/>
        </w:rPr>
        <w:t>Flame retardants in humans, house dust, etc</w:t>
      </w:r>
    </w:p>
    <w:p w:rsidR="00A368BC" w:rsidRDefault="00A368BC" w:rsidP="00A368BC">
      <w:pPr>
        <w:spacing w:line="276" w:lineRule="auto"/>
        <w:rPr>
          <w:rFonts w:cs="Arial"/>
          <w:sz w:val="22"/>
          <w:szCs w:val="22"/>
        </w:rPr>
      </w:pPr>
    </w:p>
    <w:p w:rsidR="00A368BC" w:rsidRPr="001A723A" w:rsidRDefault="00A368BC" w:rsidP="00A368BC">
      <w:pPr>
        <w:spacing w:line="276" w:lineRule="auto"/>
        <w:rPr>
          <w:rFonts w:cs="Arial"/>
          <w:b/>
          <w:sz w:val="22"/>
          <w:szCs w:val="22"/>
        </w:rPr>
      </w:pPr>
      <w:r w:rsidRPr="001A723A">
        <w:rPr>
          <w:b/>
        </w:rPr>
        <w:t>S</w:t>
      </w:r>
      <w:r>
        <w:rPr>
          <w:b/>
        </w:rPr>
        <w:t>tudy on Toxic Exposure and Health Risks to US Firefighters</w:t>
      </w:r>
    </w:p>
    <w:p w:rsidR="00A368BC" w:rsidRDefault="00A368BC" w:rsidP="00A368BC">
      <w:pPr>
        <w:spacing w:line="276" w:lineRule="auto"/>
        <w:rPr>
          <w:rFonts w:cs="Arial"/>
          <w:sz w:val="22"/>
          <w:szCs w:val="22"/>
          <w:u w:val="single"/>
        </w:rPr>
      </w:pPr>
      <w:r w:rsidRPr="001A723A">
        <w:rPr>
          <w:rFonts w:cs="Arial"/>
          <w:sz w:val="22"/>
          <w:szCs w:val="22"/>
          <w:u w:val="single"/>
        </w:rPr>
        <w:t>http://www.meriresearch.org/RESEARCH/Publications/FirefighterStudyHighlights/tabid/361/Default.aspx</w:t>
      </w:r>
    </w:p>
    <w:p w:rsidR="00A368BC" w:rsidRPr="007C63E3" w:rsidRDefault="00A368BC" w:rsidP="00A368BC">
      <w:pPr>
        <w:autoSpaceDE w:val="0"/>
        <w:autoSpaceDN w:val="0"/>
        <w:adjustRightInd w:val="0"/>
        <w:rPr>
          <w:rFonts w:ascii="Arial Bold" w:hAnsi="Arial Bold" w:cs="Arial"/>
          <w:szCs w:val="22"/>
          <w:u w:val="single"/>
        </w:rPr>
      </w:pPr>
      <w:r w:rsidRPr="007C63E3">
        <w:rPr>
          <w:rFonts w:ascii="Arial Bold" w:hAnsi="Arial Bold" w:cs="ZurichBT-BoldExtraCondensed-ACS"/>
          <w:b/>
          <w:bCs/>
          <w:szCs w:val="44"/>
          <w:lang w:eastAsia="en-GB"/>
        </w:rPr>
        <w:t>Indoor Contamination with Hexabromocyclododecanes,</w:t>
      </w:r>
      <w:r>
        <w:rPr>
          <w:rFonts w:ascii="Arial Bold" w:hAnsi="Arial Bold" w:cs="ZurichBT-BoldExtraCondensed-ACS"/>
          <w:b/>
          <w:bCs/>
          <w:szCs w:val="44"/>
          <w:lang w:eastAsia="en-GB"/>
        </w:rPr>
        <w:t xml:space="preserve"> </w:t>
      </w:r>
      <w:r w:rsidRPr="007C63E3">
        <w:rPr>
          <w:rFonts w:ascii="Arial Bold" w:hAnsi="Arial Bold" w:cs="ZurichBT-BoldExtraCondensed-ACS"/>
          <w:b/>
          <w:bCs/>
          <w:szCs w:val="44"/>
          <w:lang w:eastAsia="en-GB"/>
        </w:rPr>
        <w:t>Polybrominated Diphenyl Ethers, and Perfluoroalkyl</w:t>
      </w:r>
      <w:r>
        <w:rPr>
          <w:rFonts w:ascii="Arial Bold" w:hAnsi="Arial Bold" w:cs="ZurichBT-BoldExtraCondensed-ACS"/>
          <w:b/>
          <w:bCs/>
          <w:szCs w:val="44"/>
          <w:lang w:eastAsia="en-GB"/>
        </w:rPr>
        <w:t xml:space="preserve"> </w:t>
      </w:r>
      <w:r w:rsidRPr="007C63E3">
        <w:rPr>
          <w:rFonts w:ascii="Arial Bold" w:hAnsi="Arial Bold" w:cs="ZurichBT-BoldExtraCondensed-ACS"/>
          <w:b/>
          <w:bCs/>
          <w:szCs w:val="44"/>
          <w:lang w:eastAsia="en-GB"/>
        </w:rPr>
        <w:t>Compounds: An Important Exposure Pathway for People?</w:t>
      </w:r>
    </w:p>
    <w:p w:rsidR="00A368BC" w:rsidRDefault="00A368BC" w:rsidP="00A368BC">
      <w:pPr>
        <w:spacing w:line="276" w:lineRule="auto"/>
        <w:rPr>
          <w:rFonts w:cs="Arial"/>
          <w:sz w:val="22"/>
          <w:szCs w:val="22"/>
          <w:u w:val="single"/>
        </w:rPr>
      </w:pPr>
      <w:permStart w:id="913005468" w:edGrp="everyone"/>
    </w:p>
    <w:p w:rsidR="00A368BC" w:rsidRDefault="00F8281D" w:rsidP="00A368BC">
      <w:pPr>
        <w:spacing w:line="276" w:lineRule="auto"/>
        <w:rPr>
          <w:rFonts w:cs="Arial"/>
          <w:sz w:val="22"/>
          <w:szCs w:val="22"/>
          <w:u w:val="single"/>
        </w:rPr>
      </w:pPr>
      <w:r>
        <w:object w:dxaOrig="1104" w:dyaOrig="8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8pt;height:43.05pt" o:ole="">
            <v:imagedata r:id="rId34" o:title=""/>
          </v:shape>
          <o:OLEObject Type="Embed" ProgID="Acrobat.Document.11" ShapeID="_x0000_i1025" DrawAspect="Icon" ObjectID="_1469266768" r:id="rId35"/>
        </w:object>
      </w:r>
      <w:permEnd w:id="913005468"/>
    </w:p>
    <w:p w:rsidR="00A368BC" w:rsidRPr="0059654F" w:rsidRDefault="00A368BC" w:rsidP="00A368BC">
      <w:pPr>
        <w:pStyle w:val="Heading1"/>
        <w:rPr>
          <w:color w:val="000000"/>
          <w:sz w:val="24"/>
        </w:rPr>
      </w:pPr>
      <w:bookmarkStart w:id="49" w:name="_Toc394509376"/>
      <w:r w:rsidRPr="0059654F">
        <w:rPr>
          <w:rStyle w:val="Emphasis"/>
          <w:color w:val="000000"/>
          <w:sz w:val="24"/>
          <w:lang w:val="en"/>
        </w:rPr>
        <w:lastRenderedPageBreak/>
        <w:t>In Utero</w:t>
      </w:r>
      <w:r w:rsidRPr="0059654F">
        <w:rPr>
          <w:color w:val="000000"/>
          <w:sz w:val="24"/>
          <w:lang w:val="en"/>
        </w:rPr>
        <w:t xml:space="preserve"> and Childhood Polybrominated Diphenyl Ether (PBDE) Exposures and Neurodevelopment in the CHAMACOS Study</w:t>
      </w:r>
      <w:bookmarkEnd w:id="49"/>
    </w:p>
    <w:p w:rsidR="00A368BC" w:rsidRDefault="00E27371" w:rsidP="00A368BC">
      <w:pPr>
        <w:spacing w:line="276" w:lineRule="auto"/>
        <w:rPr>
          <w:color w:val="000000"/>
          <w:u w:val="single"/>
        </w:rPr>
      </w:pPr>
      <w:hyperlink r:id="rId36" w:history="1">
        <w:r w:rsidRPr="004A2759">
          <w:rPr>
            <w:rStyle w:val="Hyperlink"/>
          </w:rPr>
          <w:t>http://www.ncbi.nlm.nih.gov/pmc/articles/PMC3569691/</w:t>
        </w:r>
      </w:hyperlink>
    </w:p>
    <w:p w:rsidR="00A368BC" w:rsidRPr="0059654F" w:rsidRDefault="00A368BC" w:rsidP="00A368BC">
      <w:pPr>
        <w:pStyle w:val="Heading1"/>
        <w:rPr>
          <w:color w:val="000000"/>
          <w:sz w:val="24"/>
          <w:lang w:val="en"/>
        </w:rPr>
      </w:pPr>
      <w:bookmarkStart w:id="50" w:name="_Toc394509377"/>
      <w:r w:rsidRPr="0059654F">
        <w:rPr>
          <w:color w:val="000000"/>
          <w:sz w:val="24"/>
          <w:lang w:val="en"/>
        </w:rPr>
        <w:t>Prenatal Exposure to PBDEs and Neurodevelopment</w:t>
      </w:r>
      <w:bookmarkEnd w:id="50"/>
    </w:p>
    <w:p w:rsidR="00A368BC" w:rsidRDefault="00E27371" w:rsidP="00A368BC">
      <w:pPr>
        <w:spacing w:line="276" w:lineRule="auto"/>
        <w:rPr>
          <w:color w:val="000000"/>
          <w:u w:val="single"/>
        </w:rPr>
      </w:pPr>
      <w:hyperlink r:id="rId37" w:history="1">
        <w:r w:rsidRPr="004A2759">
          <w:rPr>
            <w:rStyle w:val="Hyperlink"/>
          </w:rPr>
          <w:t>http://www.ncbi.nlm.nih.gov/pmc/articles/PMC2866690/</w:t>
        </w:r>
      </w:hyperlink>
    </w:p>
    <w:p w:rsidR="00A368BC" w:rsidRPr="0059654F" w:rsidRDefault="00A368BC" w:rsidP="00A368BC">
      <w:pPr>
        <w:pStyle w:val="Heading1"/>
        <w:rPr>
          <w:color w:val="000000"/>
          <w:sz w:val="24"/>
        </w:rPr>
      </w:pPr>
      <w:bookmarkStart w:id="51" w:name="_Toc394509378"/>
      <w:r w:rsidRPr="0059654F">
        <w:rPr>
          <w:color w:val="000000"/>
          <w:sz w:val="24"/>
          <w:lang w:val="en"/>
        </w:rPr>
        <w:t>Prenatal Exposure to Organohalogens, Including Brominated Flame Retardants, Influences Motor, Cognitive, and Behavioral Performance at School Age</w:t>
      </w:r>
      <w:bookmarkEnd w:id="51"/>
    </w:p>
    <w:p w:rsidR="00A368BC" w:rsidRDefault="00E27371" w:rsidP="00A368BC">
      <w:pPr>
        <w:spacing w:line="276" w:lineRule="auto"/>
        <w:rPr>
          <w:color w:val="000000"/>
          <w:u w:val="single"/>
        </w:rPr>
      </w:pPr>
      <w:hyperlink r:id="rId38" w:history="1">
        <w:r w:rsidRPr="004A2759">
          <w:rPr>
            <w:rStyle w:val="Hyperlink"/>
          </w:rPr>
          <w:t>http://www.ncbi.nlm.nih.gov/pmc/articles/PMC2799472/</w:t>
        </w:r>
      </w:hyperlink>
    </w:p>
    <w:p w:rsidR="00A368BC" w:rsidRPr="0059654F" w:rsidRDefault="00A368BC" w:rsidP="00A368BC">
      <w:pPr>
        <w:autoSpaceDE w:val="0"/>
        <w:autoSpaceDN w:val="0"/>
        <w:adjustRightInd w:val="0"/>
        <w:rPr>
          <w:rFonts w:cs="Arial"/>
          <w:color w:val="000000"/>
          <w:sz w:val="22"/>
          <w:szCs w:val="22"/>
        </w:rPr>
      </w:pPr>
      <w:r w:rsidRPr="0059654F">
        <w:rPr>
          <w:rFonts w:cs="Arial"/>
          <w:b/>
          <w:color w:val="000000"/>
          <w:szCs w:val="22"/>
        </w:rPr>
        <w:t>Advisory Committee on Hazardous Substances:</w:t>
      </w:r>
      <w:r w:rsidRPr="0059654F">
        <w:rPr>
          <w:rFonts w:cs="Cambria"/>
          <w:b/>
          <w:color w:val="000000"/>
          <w:szCs w:val="40"/>
          <w:lang w:eastAsia="en-GB"/>
        </w:rPr>
        <w:t xml:space="preserve"> opinion on decabrominated diphenyl ether (decaBDE)</w:t>
      </w:r>
      <w:r w:rsidRPr="0059654F">
        <w:rPr>
          <w:rFonts w:cs="Arial"/>
          <w:b/>
          <w:color w:val="000000"/>
          <w:szCs w:val="22"/>
        </w:rPr>
        <w:t>:</w:t>
      </w:r>
    </w:p>
    <w:p w:rsidR="00A368BC" w:rsidRDefault="00E27371" w:rsidP="00A368BC">
      <w:pPr>
        <w:spacing w:line="276" w:lineRule="auto"/>
        <w:rPr>
          <w:rFonts w:cs="Arial"/>
          <w:color w:val="000000"/>
          <w:sz w:val="22"/>
          <w:szCs w:val="22"/>
          <w:u w:val="single"/>
        </w:rPr>
      </w:pPr>
      <w:hyperlink r:id="rId39" w:history="1">
        <w:r w:rsidRPr="004A2759">
          <w:rPr>
            <w:rStyle w:val="Hyperlink"/>
            <w:rFonts w:cs="Arial"/>
            <w:sz w:val="22"/>
            <w:szCs w:val="22"/>
          </w:rPr>
          <w:t>http://archive.defra.gov.uk/environment/quality/chemicals/achs/documents/achs-decaBDE-opinion-100923.pdf</w:t>
        </w:r>
      </w:hyperlink>
    </w:p>
    <w:p w:rsidR="008D3C2A" w:rsidRPr="0059654F" w:rsidRDefault="008D3C2A" w:rsidP="008D3C2A">
      <w:pPr>
        <w:autoSpaceDE w:val="0"/>
        <w:autoSpaceDN w:val="0"/>
        <w:adjustRightInd w:val="0"/>
        <w:rPr>
          <w:color w:val="000000"/>
        </w:rPr>
      </w:pPr>
      <w:bookmarkStart w:id="52" w:name="_GoBack"/>
      <w:bookmarkEnd w:id="52"/>
      <w:r w:rsidRPr="0059654F">
        <w:rPr>
          <w:rFonts w:cs="Arial"/>
          <w:b/>
          <w:color w:val="000000"/>
          <w:szCs w:val="22"/>
        </w:rPr>
        <w:t>Stockholm Convention: submissions from nations on</w:t>
      </w:r>
      <w:r w:rsidRPr="0059654F">
        <w:rPr>
          <w:rFonts w:cs="Cambria"/>
          <w:b/>
          <w:color w:val="000000"/>
          <w:szCs w:val="40"/>
          <w:lang w:eastAsia="en-GB"/>
        </w:rPr>
        <w:t xml:space="preserve"> (decaBDE)</w:t>
      </w:r>
      <w:r w:rsidRPr="0059654F">
        <w:rPr>
          <w:rFonts w:cs="Arial"/>
          <w:b/>
          <w:color w:val="000000"/>
          <w:szCs w:val="22"/>
        </w:rPr>
        <w:t>:</w:t>
      </w:r>
    </w:p>
    <w:p w:rsidR="00E27371" w:rsidRDefault="00E27371" w:rsidP="00E27371">
      <w:hyperlink r:id="rId40" w:history="1">
        <w:r w:rsidRPr="004A2759">
          <w:rPr>
            <w:rStyle w:val="Hyperlink"/>
          </w:rPr>
          <w:t>http://chm.pops.int/TheConvention/POPsReviewCommittee/Meetings/POPRC9/POPRC9Followup/decaBDESubmission/tabid/3570/Default.aspx</w:t>
        </w:r>
      </w:hyperlink>
    </w:p>
    <w:p w:rsidR="00E27371" w:rsidRDefault="00E27371" w:rsidP="00E27371">
      <w:pPr>
        <w:rPr>
          <w:rStyle w:val="Hyperlink"/>
          <w:color w:val="000000"/>
        </w:rPr>
      </w:pPr>
    </w:p>
    <w:p w:rsidR="00E27371" w:rsidRPr="0059654F" w:rsidRDefault="00E27371" w:rsidP="008D3C2A">
      <w:pPr>
        <w:rPr>
          <w:color w:val="000000"/>
        </w:rPr>
      </w:pPr>
    </w:p>
    <w:p w:rsidR="00A368BC" w:rsidRDefault="008D3C2A" w:rsidP="008D3C2A">
      <w:pPr>
        <w:pStyle w:val="Heading2"/>
        <w:rPr>
          <w:b w:val="0"/>
          <w:u w:val="single"/>
        </w:rPr>
      </w:pPr>
      <w:r>
        <w:rPr>
          <w:rFonts w:cs="Arial"/>
          <w:sz w:val="22"/>
          <w:szCs w:val="22"/>
        </w:rPr>
        <w:t xml:space="preserve"> </w:t>
      </w:r>
      <w:r w:rsidR="00A368BC">
        <w:rPr>
          <w:rFonts w:cs="Arial"/>
          <w:sz w:val="22"/>
          <w:szCs w:val="22"/>
        </w:rPr>
        <w:br w:type="column"/>
      </w:r>
      <w:bookmarkStart w:id="53" w:name="_Toc394509379"/>
      <w:r w:rsidR="008941ED">
        <w:lastRenderedPageBreak/>
        <w:t xml:space="preserve">Annex 2: Brief summary of results of comparing Schedule 5 Part 1 of the FFRs and the new </w:t>
      </w:r>
      <w:r w:rsidR="00862E2B">
        <w:t xml:space="preserve">proposed </w:t>
      </w:r>
      <w:r w:rsidR="008941ED">
        <w:t>match test</w:t>
      </w:r>
      <w:r w:rsidR="00475FD4">
        <w:t xml:space="preserve"> &amp;</w:t>
      </w:r>
      <w:r w:rsidR="00C20B87">
        <w:t xml:space="preserve"> indicative exemptions list for unregulated </w:t>
      </w:r>
      <w:r w:rsidR="00475FD4">
        <w:t>materials</w:t>
      </w:r>
      <w:r w:rsidR="00C20B87">
        <w:t xml:space="preserve"> withi</w:t>
      </w:r>
      <w:r w:rsidR="00475FD4">
        <w:t>n 40mm of the cover</w:t>
      </w:r>
      <w:bookmarkEnd w:id="53"/>
    </w:p>
    <w:p w:rsidR="00A368BC" w:rsidRPr="00CA3FAF" w:rsidRDefault="00A368BC" w:rsidP="00A368BC">
      <w:pPr>
        <w:rPr>
          <w:szCs w:val="22"/>
        </w:rPr>
      </w:pPr>
      <w:r>
        <w:rPr>
          <w:b/>
          <w:szCs w:val="22"/>
        </w:rPr>
        <w:t>B</w:t>
      </w:r>
      <w:r w:rsidRPr="00CA3FAF">
        <w:rPr>
          <w:b/>
          <w:szCs w:val="22"/>
        </w:rPr>
        <w:t>rief summary of results of comparing Schedule 5 Part 1 and the new match test</w:t>
      </w:r>
      <w:r w:rsidR="00862E2B">
        <w:rPr>
          <w:b/>
          <w:szCs w:val="22"/>
        </w:rPr>
        <w:t>:</w:t>
      </w:r>
      <w:r w:rsidRPr="00CA3FAF">
        <w:rPr>
          <w:b/>
          <w:szCs w:val="22"/>
        </w:rPr>
        <w:t xml:space="preserve"> </w:t>
      </w:r>
    </w:p>
    <w:p w:rsidR="00A368BC" w:rsidRPr="00CA3FAF" w:rsidRDefault="00A368BC" w:rsidP="00A368BC">
      <w:pPr>
        <w:rPr>
          <w:szCs w:val="22"/>
        </w:rPr>
      </w:pPr>
      <w:r w:rsidRPr="00CA3FAF">
        <w:rPr>
          <w:szCs w:val="22"/>
        </w:rPr>
        <w:t xml:space="preserve">Initial testing </w:t>
      </w:r>
      <w:r>
        <w:rPr>
          <w:szCs w:val="22"/>
        </w:rPr>
        <w:t>was</w:t>
      </w:r>
      <w:r w:rsidRPr="00CA3FAF">
        <w:rPr>
          <w:szCs w:val="22"/>
        </w:rPr>
        <w:t xml:space="preserve"> undertaken by Steve Owen (Intertek) towards confirming the arguments proposed </w:t>
      </w:r>
      <w:r w:rsidR="00862E2B">
        <w:rPr>
          <w:szCs w:val="22"/>
        </w:rPr>
        <w:t>in this document</w:t>
      </w:r>
      <w:r w:rsidRPr="00CA3FAF">
        <w:rPr>
          <w:szCs w:val="22"/>
        </w:rPr>
        <w:t>, resulting in the following key points:</w:t>
      </w:r>
    </w:p>
    <w:p w:rsidR="00A368BC" w:rsidRDefault="00A368BC" w:rsidP="0039415E">
      <w:pPr>
        <w:numPr>
          <w:ilvl w:val="0"/>
          <w:numId w:val="8"/>
        </w:numPr>
        <w:spacing w:after="0"/>
        <w:rPr>
          <w:szCs w:val="22"/>
        </w:rPr>
      </w:pPr>
      <w:r w:rsidRPr="00CA3FAF">
        <w:rPr>
          <w:szCs w:val="22"/>
        </w:rPr>
        <w:t>Fabrics which pass the current Schedule 5 Part 1 match test always pass the new test.</w:t>
      </w:r>
    </w:p>
    <w:p w:rsidR="00A368BC" w:rsidRPr="00CA3FAF" w:rsidRDefault="00A368BC" w:rsidP="00A368BC">
      <w:pPr>
        <w:tabs>
          <w:tab w:val="num" w:pos="720"/>
        </w:tabs>
        <w:spacing w:after="0"/>
        <w:ind w:left="720" w:hanging="360"/>
        <w:rPr>
          <w:szCs w:val="22"/>
        </w:rPr>
      </w:pPr>
    </w:p>
    <w:p w:rsidR="00A368BC" w:rsidRDefault="00A368BC" w:rsidP="0039415E">
      <w:pPr>
        <w:numPr>
          <w:ilvl w:val="0"/>
          <w:numId w:val="8"/>
        </w:numPr>
        <w:spacing w:after="0"/>
        <w:rPr>
          <w:szCs w:val="22"/>
        </w:rPr>
      </w:pPr>
      <w:r w:rsidRPr="00CA3FAF">
        <w:rPr>
          <w:szCs w:val="22"/>
        </w:rPr>
        <w:t xml:space="preserve">With Schedule 5 Part 1 compliant covers, failures were found in final composites when used over easily ignitable items. When these items are removed, passes are achieved. Clearly, each type of easily ignitable item only needs to be tested once. Removing such items improves the overall fire performance of the product. </w:t>
      </w:r>
    </w:p>
    <w:p w:rsidR="00A368BC" w:rsidRPr="00CA3FAF" w:rsidRDefault="00A368BC" w:rsidP="00A368BC">
      <w:pPr>
        <w:tabs>
          <w:tab w:val="num" w:pos="720"/>
        </w:tabs>
        <w:spacing w:after="0"/>
        <w:ind w:left="720" w:hanging="360"/>
        <w:rPr>
          <w:szCs w:val="22"/>
        </w:rPr>
      </w:pPr>
    </w:p>
    <w:p w:rsidR="00A368BC" w:rsidRPr="00CA3FAF" w:rsidRDefault="00A368BC" w:rsidP="0039415E">
      <w:pPr>
        <w:numPr>
          <w:ilvl w:val="0"/>
          <w:numId w:val="8"/>
        </w:numPr>
        <w:spacing w:after="0"/>
        <w:rPr>
          <w:szCs w:val="22"/>
        </w:rPr>
      </w:pPr>
      <w:r w:rsidRPr="00CA3FAF">
        <w:rPr>
          <w:szCs w:val="22"/>
        </w:rPr>
        <w:t>Lining fabrics could change results of the new test and hence their inclusion is required.</w:t>
      </w:r>
    </w:p>
    <w:p w:rsidR="00A368BC" w:rsidRPr="00CA3FAF" w:rsidRDefault="00A368BC" w:rsidP="00A368BC">
      <w:pPr>
        <w:rPr>
          <w:szCs w:val="22"/>
        </w:rPr>
      </w:pPr>
    </w:p>
    <w:p w:rsidR="00A368BC" w:rsidRPr="003F5C26" w:rsidRDefault="00A368BC" w:rsidP="000C6845">
      <w:pPr>
        <w:ind w:left="0"/>
        <w:rPr>
          <w:u w:val="single"/>
        </w:rPr>
      </w:pPr>
      <w:r>
        <w:rPr>
          <w:u w:val="single"/>
        </w:rPr>
        <w:t>Results of Initial testing:</w:t>
      </w:r>
    </w:p>
    <w:p w:rsidR="00A368BC" w:rsidRPr="000C6845" w:rsidRDefault="00A368BC" w:rsidP="00A368BC">
      <w:pPr>
        <w:spacing w:after="0"/>
        <w:ind w:left="0"/>
        <w:rPr>
          <w:rFonts w:cs="Arial"/>
          <w:b/>
          <w:szCs w:val="22"/>
        </w:rPr>
      </w:pPr>
      <w:r w:rsidRPr="000C6845">
        <w:rPr>
          <w:rFonts w:cs="Arial"/>
          <w:b/>
          <w:bCs/>
          <w:szCs w:val="22"/>
        </w:rPr>
        <w:t>Lining Fabrics</w:t>
      </w:r>
    </w:p>
    <w:p w:rsidR="00A368BC" w:rsidRPr="00FE3B3A" w:rsidRDefault="00A368BC" w:rsidP="00A368BC">
      <w:pPr>
        <w:spacing w:after="0"/>
        <w:ind w:left="0"/>
        <w:rPr>
          <w:rFonts w:ascii="Calibri" w:hAnsi="Calibri" w:cs="Arial"/>
          <w:sz w:val="22"/>
          <w:szCs w:val="22"/>
        </w:rPr>
      </w:pPr>
      <w:r w:rsidRPr="00FE3B3A">
        <w:rPr>
          <w:rFonts w:ascii="Calibri" w:hAnsi="Calibri" w:cs="Arial"/>
          <w:sz w:val="22"/>
          <w:szCs w:val="22"/>
        </w:rPr>
        <w:t> </w:t>
      </w:r>
    </w:p>
    <w:tbl>
      <w:tblPr>
        <w:tblW w:w="9012" w:type="dxa"/>
        <w:tblInd w:w="96" w:type="dxa"/>
        <w:tblCellMar>
          <w:left w:w="0" w:type="dxa"/>
          <w:right w:w="0" w:type="dxa"/>
        </w:tblCellMar>
        <w:tblLook w:val="0000" w:firstRow="0" w:lastRow="0" w:firstColumn="0" w:lastColumn="0" w:noHBand="0" w:noVBand="0"/>
      </w:tblPr>
      <w:tblGrid>
        <w:gridCol w:w="1729"/>
        <w:gridCol w:w="906"/>
        <w:gridCol w:w="1729"/>
        <w:gridCol w:w="906"/>
        <w:gridCol w:w="1222"/>
        <w:gridCol w:w="1260"/>
        <w:gridCol w:w="1260"/>
      </w:tblGrid>
      <w:tr w:rsidR="00A368BC" w:rsidRPr="00FE3B3A" w:rsidTr="009E4AE2">
        <w:trPr>
          <w:trHeight w:val="255"/>
          <w:tblHeader/>
        </w:trPr>
        <w:tc>
          <w:tcPr>
            <w:tcW w:w="1729" w:type="dxa"/>
            <w:tcBorders>
              <w:top w:val="single" w:sz="8" w:space="0" w:color="auto"/>
              <w:left w:val="single" w:sz="8" w:space="0" w:color="auto"/>
              <w:bottom w:val="single" w:sz="8" w:space="0" w:color="auto"/>
              <w:right w:val="single" w:sz="8" w:space="0" w:color="auto"/>
            </w:tcBorders>
            <w:shd w:val="clear" w:color="auto" w:fill="E5E5E5"/>
            <w:noWrap/>
            <w:tcMar>
              <w:top w:w="0" w:type="dxa"/>
              <w:left w:w="108" w:type="dxa"/>
              <w:bottom w:w="0" w:type="dxa"/>
              <w:right w:w="108" w:type="dxa"/>
            </w:tcMar>
            <w:vAlign w:val="bottom"/>
          </w:tcPr>
          <w:p w:rsidR="00A368BC" w:rsidRPr="00FE3B3A" w:rsidRDefault="00A368BC" w:rsidP="00A368BC">
            <w:pPr>
              <w:spacing w:after="0"/>
              <w:ind w:left="0"/>
              <w:rPr>
                <w:rFonts w:ascii="Calibri" w:hAnsi="Calibri" w:cs="Arial"/>
                <w:sz w:val="22"/>
                <w:szCs w:val="22"/>
              </w:rPr>
            </w:pPr>
            <w:r w:rsidRPr="00FE3B3A">
              <w:rPr>
                <w:rFonts w:cs="Arial"/>
                <w:sz w:val="20"/>
                <w:szCs w:val="20"/>
              </w:rPr>
              <w:t>Outer cover</w:t>
            </w:r>
          </w:p>
        </w:tc>
        <w:tc>
          <w:tcPr>
            <w:tcW w:w="906" w:type="dxa"/>
            <w:tcBorders>
              <w:top w:val="single" w:sz="8" w:space="0" w:color="auto"/>
              <w:left w:val="nil"/>
              <w:bottom w:val="single" w:sz="8" w:space="0" w:color="auto"/>
              <w:right w:val="single" w:sz="8" w:space="0" w:color="auto"/>
            </w:tcBorders>
            <w:shd w:val="clear" w:color="auto" w:fill="E5E5E5"/>
            <w:noWrap/>
            <w:tcMar>
              <w:top w:w="0" w:type="dxa"/>
              <w:left w:w="108" w:type="dxa"/>
              <w:bottom w:w="0" w:type="dxa"/>
              <w:right w:w="108" w:type="dxa"/>
            </w:tcMar>
            <w:vAlign w:val="bottom"/>
          </w:tcPr>
          <w:p w:rsidR="00A368BC" w:rsidRPr="00FE3B3A" w:rsidRDefault="00A368BC" w:rsidP="00A368BC">
            <w:pPr>
              <w:spacing w:after="0"/>
              <w:ind w:left="0"/>
              <w:rPr>
                <w:rFonts w:ascii="Calibri" w:hAnsi="Calibri" w:cs="Arial"/>
                <w:sz w:val="22"/>
                <w:szCs w:val="22"/>
              </w:rPr>
            </w:pPr>
            <w:r w:rsidRPr="00FE3B3A">
              <w:rPr>
                <w:rFonts w:cs="Arial"/>
                <w:sz w:val="20"/>
                <w:szCs w:val="20"/>
              </w:rPr>
              <w:t>FR Treated</w:t>
            </w:r>
          </w:p>
        </w:tc>
        <w:tc>
          <w:tcPr>
            <w:tcW w:w="1729" w:type="dxa"/>
            <w:tcBorders>
              <w:top w:val="single" w:sz="8" w:space="0" w:color="auto"/>
              <w:left w:val="nil"/>
              <w:bottom w:val="single" w:sz="8" w:space="0" w:color="auto"/>
              <w:right w:val="single" w:sz="8" w:space="0" w:color="auto"/>
            </w:tcBorders>
            <w:shd w:val="clear" w:color="auto" w:fill="E5E5E5"/>
            <w:noWrap/>
            <w:tcMar>
              <w:top w:w="0" w:type="dxa"/>
              <w:left w:w="108" w:type="dxa"/>
              <w:bottom w:w="0" w:type="dxa"/>
              <w:right w:w="108" w:type="dxa"/>
            </w:tcMar>
            <w:vAlign w:val="bottom"/>
          </w:tcPr>
          <w:p w:rsidR="00A368BC" w:rsidRPr="00FE3B3A" w:rsidRDefault="00A368BC" w:rsidP="00A368BC">
            <w:pPr>
              <w:spacing w:after="0"/>
              <w:ind w:left="0"/>
              <w:rPr>
                <w:rFonts w:ascii="Calibri" w:hAnsi="Calibri" w:cs="Arial"/>
                <w:sz w:val="22"/>
                <w:szCs w:val="22"/>
              </w:rPr>
            </w:pPr>
            <w:r w:rsidRPr="00FE3B3A">
              <w:rPr>
                <w:rFonts w:cs="Arial"/>
                <w:sz w:val="20"/>
                <w:szCs w:val="20"/>
              </w:rPr>
              <w:t>Lining Fabric</w:t>
            </w:r>
          </w:p>
        </w:tc>
        <w:tc>
          <w:tcPr>
            <w:tcW w:w="906" w:type="dxa"/>
            <w:tcBorders>
              <w:top w:val="single" w:sz="8" w:space="0" w:color="auto"/>
              <w:left w:val="nil"/>
              <w:bottom w:val="single" w:sz="8" w:space="0" w:color="auto"/>
              <w:right w:val="single" w:sz="8" w:space="0" w:color="auto"/>
            </w:tcBorders>
            <w:shd w:val="clear" w:color="auto" w:fill="E5E5E5"/>
            <w:noWrap/>
            <w:tcMar>
              <w:top w:w="0" w:type="dxa"/>
              <w:left w:w="108" w:type="dxa"/>
              <w:bottom w:w="0" w:type="dxa"/>
              <w:right w:w="108" w:type="dxa"/>
            </w:tcMar>
            <w:vAlign w:val="bottom"/>
          </w:tcPr>
          <w:p w:rsidR="00A368BC" w:rsidRPr="00FE3B3A" w:rsidRDefault="00A368BC" w:rsidP="00A368BC">
            <w:pPr>
              <w:spacing w:after="0"/>
              <w:ind w:left="0"/>
              <w:rPr>
                <w:rFonts w:ascii="Calibri" w:hAnsi="Calibri" w:cs="Arial"/>
                <w:sz w:val="22"/>
                <w:szCs w:val="22"/>
              </w:rPr>
            </w:pPr>
            <w:r w:rsidRPr="00FE3B3A">
              <w:rPr>
                <w:rFonts w:cs="Arial"/>
                <w:sz w:val="20"/>
                <w:szCs w:val="20"/>
              </w:rPr>
              <w:t>FR Treated</w:t>
            </w:r>
          </w:p>
        </w:tc>
        <w:tc>
          <w:tcPr>
            <w:tcW w:w="1222" w:type="dxa"/>
            <w:tcBorders>
              <w:top w:val="single" w:sz="8" w:space="0" w:color="auto"/>
              <w:left w:val="nil"/>
              <w:bottom w:val="single" w:sz="8" w:space="0" w:color="auto"/>
              <w:right w:val="single" w:sz="8" w:space="0" w:color="auto"/>
            </w:tcBorders>
            <w:shd w:val="clear" w:color="auto" w:fill="E5E5E5"/>
            <w:noWrap/>
            <w:tcMar>
              <w:top w:w="0" w:type="dxa"/>
              <w:left w:w="108" w:type="dxa"/>
              <w:bottom w:w="0" w:type="dxa"/>
              <w:right w:w="108" w:type="dxa"/>
            </w:tcMar>
            <w:vAlign w:val="bottom"/>
          </w:tcPr>
          <w:p w:rsidR="00A368BC" w:rsidRPr="00FE3B3A" w:rsidRDefault="00A368BC" w:rsidP="00A368BC">
            <w:pPr>
              <w:spacing w:after="0"/>
              <w:ind w:left="0"/>
              <w:rPr>
                <w:rFonts w:ascii="Calibri" w:hAnsi="Calibri" w:cs="Arial"/>
                <w:sz w:val="22"/>
                <w:szCs w:val="22"/>
              </w:rPr>
            </w:pPr>
            <w:r w:rsidRPr="00FE3B3A">
              <w:rPr>
                <w:rFonts w:cs="Arial"/>
                <w:sz w:val="20"/>
                <w:szCs w:val="20"/>
              </w:rPr>
              <w:t>Filling Type</w:t>
            </w:r>
          </w:p>
        </w:tc>
        <w:tc>
          <w:tcPr>
            <w:tcW w:w="1260" w:type="dxa"/>
            <w:tcBorders>
              <w:top w:val="single" w:sz="8" w:space="0" w:color="auto"/>
              <w:left w:val="nil"/>
              <w:bottom w:val="single" w:sz="8" w:space="0" w:color="auto"/>
              <w:right w:val="single" w:sz="8" w:space="0" w:color="auto"/>
            </w:tcBorders>
            <w:shd w:val="clear" w:color="auto" w:fill="E5E5E5"/>
            <w:noWrap/>
            <w:tcMar>
              <w:top w:w="0" w:type="dxa"/>
              <w:left w:w="108" w:type="dxa"/>
              <w:bottom w:w="0" w:type="dxa"/>
              <w:right w:w="108" w:type="dxa"/>
            </w:tcMar>
            <w:vAlign w:val="bottom"/>
          </w:tcPr>
          <w:p w:rsidR="00A368BC" w:rsidRPr="00FE3B3A" w:rsidRDefault="00A368BC" w:rsidP="00A368BC">
            <w:pPr>
              <w:spacing w:after="0"/>
              <w:ind w:left="0"/>
              <w:rPr>
                <w:rFonts w:ascii="Calibri" w:hAnsi="Calibri" w:cs="Arial"/>
                <w:sz w:val="22"/>
                <w:szCs w:val="22"/>
              </w:rPr>
            </w:pPr>
            <w:r w:rsidRPr="00FE3B3A">
              <w:rPr>
                <w:rFonts w:cs="Arial"/>
                <w:sz w:val="20"/>
                <w:szCs w:val="20"/>
              </w:rPr>
              <w:t>Cover only result</w:t>
            </w:r>
          </w:p>
        </w:tc>
        <w:tc>
          <w:tcPr>
            <w:tcW w:w="1260" w:type="dxa"/>
            <w:tcBorders>
              <w:top w:val="single" w:sz="8" w:space="0" w:color="auto"/>
              <w:left w:val="nil"/>
              <w:bottom w:val="single" w:sz="8" w:space="0" w:color="auto"/>
              <w:right w:val="single" w:sz="8" w:space="0" w:color="auto"/>
            </w:tcBorders>
            <w:shd w:val="clear" w:color="auto" w:fill="E5E5E5"/>
            <w:noWrap/>
            <w:tcMar>
              <w:top w:w="0" w:type="dxa"/>
              <w:left w:w="108" w:type="dxa"/>
              <w:bottom w:w="0" w:type="dxa"/>
              <w:right w:w="108" w:type="dxa"/>
            </w:tcMar>
            <w:vAlign w:val="bottom"/>
          </w:tcPr>
          <w:p w:rsidR="00A368BC" w:rsidRPr="00FE3B3A" w:rsidRDefault="00A368BC" w:rsidP="00A368BC">
            <w:pPr>
              <w:spacing w:after="0"/>
              <w:ind w:left="0"/>
              <w:rPr>
                <w:rFonts w:ascii="Calibri" w:hAnsi="Calibri" w:cs="Arial"/>
                <w:sz w:val="22"/>
                <w:szCs w:val="22"/>
              </w:rPr>
            </w:pPr>
            <w:r w:rsidRPr="00FE3B3A">
              <w:rPr>
                <w:rFonts w:cs="Arial"/>
                <w:sz w:val="20"/>
                <w:szCs w:val="20"/>
              </w:rPr>
              <w:t>Cover + Lining fabric result</w:t>
            </w:r>
          </w:p>
        </w:tc>
      </w:tr>
      <w:tr w:rsidR="00A368BC" w:rsidRPr="00FE3B3A" w:rsidTr="00A368BC">
        <w:trPr>
          <w:trHeight w:val="255"/>
        </w:trPr>
        <w:tc>
          <w:tcPr>
            <w:tcW w:w="172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A368BC" w:rsidRPr="00FE3B3A" w:rsidRDefault="00A368BC" w:rsidP="00A368BC">
            <w:pPr>
              <w:spacing w:after="0"/>
              <w:ind w:left="0"/>
              <w:rPr>
                <w:rFonts w:ascii="Calibri" w:hAnsi="Calibri" w:cs="Arial"/>
                <w:sz w:val="22"/>
                <w:szCs w:val="22"/>
              </w:rPr>
            </w:pPr>
            <w:r w:rsidRPr="00FE3B3A">
              <w:rPr>
                <w:rFonts w:cs="Arial"/>
                <w:sz w:val="20"/>
                <w:szCs w:val="20"/>
              </w:rPr>
              <w:t>100% Cotton</w:t>
            </w:r>
          </w:p>
        </w:tc>
        <w:tc>
          <w:tcPr>
            <w:tcW w:w="90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A368BC" w:rsidRPr="00FE3B3A" w:rsidRDefault="00A368BC" w:rsidP="00A368BC">
            <w:pPr>
              <w:spacing w:after="0"/>
              <w:ind w:left="0"/>
              <w:rPr>
                <w:rFonts w:ascii="Calibri" w:hAnsi="Calibri" w:cs="Arial"/>
                <w:sz w:val="22"/>
                <w:szCs w:val="22"/>
              </w:rPr>
            </w:pPr>
            <w:r w:rsidRPr="00FE3B3A">
              <w:rPr>
                <w:rFonts w:cs="Arial"/>
                <w:sz w:val="20"/>
                <w:szCs w:val="20"/>
              </w:rPr>
              <w:t>Yes</w:t>
            </w:r>
          </w:p>
        </w:tc>
        <w:tc>
          <w:tcPr>
            <w:tcW w:w="172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A368BC" w:rsidRPr="00FE3B3A" w:rsidRDefault="00A368BC" w:rsidP="00A368BC">
            <w:pPr>
              <w:spacing w:after="0"/>
              <w:ind w:left="0"/>
              <w:rPr>
                <w:rFonts w:ascii="Calibri" w:hAnsi="Calibri" w:cs="Arial"/>
                <w:sz w:val="22"/>
                <w:szCs w:val="22"/>
              </w:rPr>
            </w:pPr>
            <w:r w:rsidRPr="00FE3B3A">
              <w:rPr>
                <w:rFonts w:cs="Arial"/>
                <w:sz w:val="20"/>
                <w:szCs w:val="20"/>
              </w:rPr>
              <w:t>100% Cotton</w:t>
            </w:r>
          </w:p>
        </w:tc>
        <w:tc>
          <w:tcPr>
            <w:tcW w:w="90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A368BC" w:rsidRPr="00FE3B3A" w:rsidRDefault="00A368BC" w:rsidP="00A368BC">
            <w:pPr>
              <w:spacing w:after="0"/>
              <w:ind w:left="0"/>
              <w:rPr>
                <w:rFonts w:ascii="Calibri" w:hAnsi="Calibri" w:cs="Arial"/>
                <w:sz w:val="22"/>
                <w:szCs w:val="22"/>
              </w:rPr>
            </w:pPr>
            <w:r w:rsidRPr="00FE3B3A">
              <w:rPr>
                <w:rFonts w:cs="Arial"/>
                <w:sz w:val="20"/>
                <w:szCs w:val="20"/>
              </w:rPr>
              <w:t>No</w:t>
            </w:r>
          </w:p>
        </w:tc>
        <w:tc>
          <w:tcPr>
            <w:tcW w:w="122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A368BC" w:rsidRPr="00FE3B3A" w:rsidRDefault="00A368BC" w:rsidP="00A368BC">
            <w:pPr>
              <w:spacing w:after="0"/>
              <w:ind w:left="0"/>
              <w:rPr>
                <w:rFonts w:ascii="Calibri" w:hAnsi="Calibri" w:cs="Arial"/>
                <w:sz w:val="22"/>
                <w:szCs w:val="22"/>
              </w:rPr>
            </w:pPr>
            <w:r w:rsidRPr="00FE3B3A">
              <w:rPr>
                <w:rFonts w:cs="Arial"/>
                <w:sz w:val="20"/>
                <w:szCs w:val="20"/>
              </w:rPr>
              <w:t>Sheet Fibre + PU</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A368BC" w:rsidRPr="00FE3B3A" w:rsidRDefault="00A368BC" w:rsidP="00A368BC">
            <w:pPr>
              <w:spacing w:after="0"/>
              <w:ind w:left="0"/>
              <w:rPr>
                <w:rFonts w:ascii="Calibri" w:hAnsi="Calibri" w:cs="Arial"/>
                <w:sz w:val="22"/>
                <w:szCs w:val="22"/>
              </w:rPr>
            </w:pPr>
            <w:r w:rsidRPr="00FE3B3A">
              <w:rPr>
                <w:rFonts w:cs="Arial"/>
                <w:sz w:val="20"/>
                <w:szCs w:val="20"/>
              </w:rPr>
              <w:t>Pass</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A368BC" w:rsidRPr="00FE3B3A" w:rsidRDefault="00A368BC" w:rsidP="00A368BC">
            <w:pPr>
              <w:spacing w:after="0"/>
              <w:ind w:left="0"/>
              <w:rPr>
                <w:rFonts w:ascii="Calibri" w:hAnsi="Calibri" w:cs="Arial"/>
                <w:sz w:val="22"/>
                <w:szCs w:val="22"/>
              </w:rPr>
            </w:pPr>
            <w:r w:rsidRPr="00FE3B3A">
              <w:rPr>
                <w:rFonts w:cs="Arial"/>
                <w:sz w:val="20"/>
                <w:szCs w:val="20"/>
              </w:rPr>
              <w:t>Pass</w:t>
            </w:r>
          </w:p>
        </w:tc>
      </w:tr>
      <w:tr w:rsidR="00A368BC" w:rsidRPr="00FE3B3A" w:rsidTr="00A368BC">
        <w:trPr>
          <w:trHeight w:val="255"/>
        </w:trPr>
        <w:tc>
          <w:tcPr>
            <w:tcW w:w="172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A368BC" w:rsidRPr="00FE3B3A" w:rsidRDefault="00A368BC" w:rsidP="00A368BC">
            <w:pPr>
              <w:spacing w:after="0"/>
              <w:ind w:left="0"/>
              <w:rPr>
                <w:rFonts w:ascii="Calibri" w:hAnsi="Calibri" w:cs="Arial"/>
                <w:sz w:val="22"/>
                <w:szCs w:val="22"/>
              </w:rPr>
            </w:pPr>
            <w:r w:rsidRPr="00FE3B3A">
              <w:rPr>
                <w:rFonts w:cs="Arial"/>
                <w:sz w:val="20"/>
                <w:szCs w:val="20"/>
              </w:rPr>
              <w:t>100% Polyester</w:t>
            </w:r>
          </w:p>
        </w:tc>
        <w:tc>
          <w:tcPr>
            <w:tcW w:w="90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A368BC" w:rsidRPr="00FE3B3A" w:rsidRDefault="00A368BC" w:rsidP="00A368BC">
            <w:pPr>
              <w:spacing w:after="0"/>
              <w:ind w:left="0"/>
              <w:rPr>
                <w:rFonts w:ascii="Calibri" w:hAnsi="Calibri" w:cs="Arial"/>
                <w:sz w:val="22"/>
                <w:szCs w:val="22"/>
              </w:rPr>
            </w:pPr>
            <w:r w:rsidRPr="00FE3B3A">
              <w:rPr>
                <w:rFonts w:cs="Arial"/>
                <w:sz w:val="20"/>
                <w:szCs w:val="20"/>
              </w:rPr>
              <w:t>No</w:t>
            </w:r>
          </w:p>
        </w:tc>
        <w:tc>
          <w:tcPr>
            <w:tcW w:w="172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A368BC" w:rsidRPr="00FE3B3A" w:rsidRDefault="00A368BC" w:rsidP="00A368BC">
            <w:pPr>
              <w:spacing w:after="0"/>
              <w:ind w:left="0"/>
              <w:rPr>
                <w:rFonts w:ascii="Calibri" w:hAnsi="Calibri" w:cs="Arial"/>
                <w:sz w:val="22"/>
                <w:szCs w:val="22"/>
              </w:rPr>
            </w:pPr>
            <w:r w:rsidRPr="00FE3B3A">
              <w:rPr>
                <w:rFonts w:cs="Arial"/>
                <w:sz w:val="20"/>
                <w:szCs w:val="20"/>
              </w:rPr>
              <w:t>100% Cotton</w:t>
            </w:r>
          </w:p>
        </w:tc>
        <w:tc>
          <w:tcPr>
            <w:tcW w:w="90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A368BC" w:rsidRPr="00FE3B3A" w:rsidRDefault="00A368BC" w:rsidP="00A368BC">
            <w:pPr>
              <w:spacing w:after="0"/>
              <w:ind w:left="0"/>
              <w:rPr>
                <w:rFonts w:ascii="Calibri" w:hAnsi="Calibri" w:cs="Arial"/>
                <w:sz w:val="22"/>
                <w:szCs w:val="22"/>
              </w:rPr>
            </w:pPr>
            <w:r w:rsidRPr="00FE3B3A">
              <w:rPr>
                <w:rFonts w:cs="Arial"/>
                <w:sz w:val="20"/>
                <w:szCs w:val="20"/>
              </w:rPr>
              <w:t>No</w:t>
            </w:r>
          </w:p>
        </w:tc>
        <w:tc>
          <w:tcPr>
            <w:tcW w:w="122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A368BC" w:rsidRPr="00FE3B3A" w:rsidRDefault="00A368BC" w:rsidP="00A368BC">
            <w:pPr>
              <w:spacing w:after="0"/>
              <w:ind w:left="0"/>
              <w:rPr>
                <w:rFonts w:ascii="Calibri" w:hAnsi="Calibri" w:cs="Arial"/>
                <w:sz w:val="22"/>
                <w:szCs w:val="22"/>
              </w:rPr>
            </w:pPr>
            <w:r w:rsidRPr="00FE3B3A">
              <w:rPr>
                <w:rFonts w:cs="Arial"/>
                <w:sz w:val="20"/>
                <w:szCs w:val="20"/>
              </w:rPr>
              <w:t>Sheet Fibre + PU</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A368BC" w:rsidRPr="00FE3B3A" w:rsidRDefault="00A368BC" w:rsidP="00A368BC">
            <w:pPr>
              <w:spacing w:after="0"/>
              <w:ind w:left="0"/>
              <w:rPr>
                <w:rFonts w:ascii="Calibri" w:hAnsi="Calibri" w:cs="Arial"/>
                <w:sz w:val="22"/>
                <w:szCs w:val="22"/>
              </w:rPr>
            </w:pPr>
            <w:r w:rsidRPr="00FE3B3A">
              <w:rPr>
                <w:rFonts w:cs="Arial"/>
                <w:sz w:val="20"/>
                <w:szCs w:val="20"/>
              </w:rPr>
              <w:t>Pass</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A368BC" w:rsidRPr="00FE3B3A" w:rsidRDefault="00A368BC" w:rsidP="00A368BC">
            <w:pPr>
              <w:spacing w:after="0"/>
              <w:ind w:left="0"/>
              <w:rPr>
                <w:rFonts w:ascii="Calibri" w:hAnsi="Calibri" w:cs="Arial"/>
                <w:sz w:val="22"/>
                <w:szCs w:val="22"/>
              </w:rPr>
            </w:pPr>
            <w:r w:rsidRPr="00FE3B3A">
              <w:rPr>
                <w:rFonts w:cs="Arial"/>
                <w:sz w:val="20"/>
                <w:szCs w:val="20"/>
              </w:rPr>
              <w:t>Fail</w:t>
            </w:r>
          </w:p>
        </w:tc>
      </w:tr>
      <w:tr w:rsidR="00A368BC" w:rsidRPr="00FE3B3A" w:rsidTr="00A368BC">
        <w:trPr>
          <w:trHeight w:val="255"/>
        </w:trPr>
        <w:tc>
          <w:tcPr>
            <w:tcW w:w="172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A368BC" w:rsidRPr="00FE3B3A" w:rsidRDefault="00A368BC" w:rsidP="00A368BC">
            <w:pPr>
              <w:spacing w:after="0"/>
              <w:ind w:left="0"/>
              <w:rPr>
                <w:rFonts w:ascii="Calibri" w:hAnsi="Calibri" w:cs="Arial"/>
                <w:sz w:val="22"/>
                <w:szCs w:val="22"/>
              </w:rPr>
            </w:pPr>
            <w:r w:rsidRPr="00FE3B3A">
              <w:rPr>
                <w:rFonts w:cs="Arial"/>
                <w:sz w:val="20"/>
                <w:szCs w:val="20"/>
              </w:rPr>
              <w:t>100% Cotton</w:t>
            </w:r>
          </w:p>
        </w:tc>
        <w:tc>
          <w:tcPr>
            <w:tcW w:w="90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A368BC" w:rsidRPr="00FE3B3A" w:rsidRDefault="00A368BC" w:rsidP="00A368BC">
            <w:pPr>
              <w:spacing w:after="0"/>
              <w:ind w:left="0"/>
              <w:rPr>
                <w:rFonts w:ascii="Calibri" w:hAnsi="Calibri" w:cs="Arial"/>
                <w:sz w:val="22"/>
                <w:szCs w:val="22"/>
              </w:rPr>
            </w:pPr>
            <w:r w:rsidRPr="00FE3B3A">
              <w:rPr>
                <w:rFonts w:cs="Arial"/>
                <w:sz w:val="20"/>
                <w:szCs w:val="20"/>
              </w:rPr>
              <w:t>Yes</w:t>
            </w:r>
          </w:p>
        </w:tc>
        <w:tc>
          <w:tcPr>
            <w:tcW w:w="172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A368BC" w:rsidRPr="00FE3B3A" w:rsidRDefault="00A368BC" w:rsidP="00A368BC">
            <w:pPr>
              <w:spacing w:after="0"/>
              <w:ind w:left="0"/>
              <w:rPr>
                <w:rFonts w:ascii="Calibri" w:hAnsi="Calibri" w:cs="Arial"/>
                <w:sz w:val="22"/>
                <w:szCs w:val="22"/>
              </w:rPr>
            </w:pPr>
            <w:r w:rsidRPr="00FE3B3A">
              <w:rPr>
                <w:rFonts w:cs="Arial"/>
                <w:sz w:val="20"/>
                <w:szCs w:val="20"/>
              </w:rPr>
              <w:t>100% Polyester</w:t>
            </w:r>
          </w:p>
        </w:tc>
        <w:tc>
          <w:tcPr>
            <w:tcW w:w="90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A368BC" w:rsidRPr="00FE3B3A" w:rsidRDefault="00A368BC" w:rsidP="00A368BC">
            <w:pPr>
              <w:spacing w:after="0"/>
              <w:ind w:left="0"/>
              <w:rPr>
                <w:rFonts w:ascii="Calibri" w:hAnsi="Calibri" w:cs="Arial"/>
                <w:sz w:val="22"/>
                <w:szCs w:val="22"/>
              </w:rPr>
            </w:pPr>
            <w:r w:rsidRPr="00FE3B3A">
              <w:rPr>
                <w:rFonts w:cs="Arial"/>
                <w:sz w:val="20"/>
                <w:szCs w:val="20"/>
              </w:rPr>
              <w:t>No</w:t>
            </w:r>
          </w:p>
        </w:tc>
        <w:tc>
          <w:tcPr>
            <w:tcW w:w="122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A368BC" w:rsidRPr="00FE3B3A" w:rsidRDefault="00A368BC" w:rsidP="00A368BC">
            <w:pPr>
              <w:spacing w:after="0"/>
              <w:ind w:left="0"/>
              <w:rPr>
                <w:rFonts w:ascii="Calibri" w:hAnsi="Calibri" w:cs="Arial"/>
                <w:sz w:val="22"/>
                <w:szCs w:val="22"/>
              </w:rPr>
            </w:pPr>
            <w:r w:rsidRPr="00FE3B3A">
              <w:rPr>
                <w:rFonts w:cs="Arial"/>
                <w:sz w:val="20"/>
                <w:szCs w:val="20"/>
              </w:rPr>
              <w:t>Sheet Fibre + PU</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A368BC" w:rsidRPr="00FE3B3A" w:rsidRDefault="00A368BC" w:rsidP="00A368BC">
            <w:pPr>
              <w:spacing w:after="0"/>
              <w:ind w:left="0"/>
              <w:rPr>
                <w:rFonts w:ascii="Calibri" w:hAnsi="Calibri" w:cs="Arial"/>
                <w:sz w:val="22"/>
                <w:szCs w:val="22"/>
              </w:rPr>
            </w:pPr>
            <w:r w:rsidRPr="00FE3B3A">
              <w:rPr>
                <w:rFonts w:cs="Arial"/>
                <w:sz w:val="20"/>
                <w:szCs w:val="20"/>
              </w:rPr>
              <w:t>Pass</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A368BC" w:rsidRPr="00FE3B3A" w:rsidRDefault="00A368BC" w:rsidP="00A368BC">
            <w:pPr>
              <w:spacing w:after="0"/>
              <w:ind w:left="0"/>
              <w:rPr>
                <w:rFonts w:ascii="Calibri" w:hAnsi="Calibri" w:cs="Arial"/>
                <w:sz w:val="22"/>
                <w:szCs w:val="22"/>
              </w:rPr>
            </w:pPr>
            <w:r w:rsidRPr="00FE3B3A">
              <w:rPr>
                <w:rFonts w:cs="Arial"/>
                <w:sz w:val="20"/>
                <w:szCs w:val="20"/>
              </w:rPr>
              <w:t>Pass</w:t>
            </w:r>
          </w:p>
        </w:tc>
      </w:tr>
      <w:tr w:rsidR="00A368BC" w:rsidRPr="00FE3B3A" w:rsidTr="00A368BC">
        <w:trPr>
          <w:trHeight w:val="255"/>
        </w:trPr>
        <w:tc>
          <w:tcPr>
            <w:tcW w:w="172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A368BC" w:rsidRPr="00FE3B3A" w:rsidRDefault="00A368BC" w:rsidP="00A368BC">
            <w:pPr>
              <w:spacing w:after="0"/>
              <w:ind w:left="0"/>
              <w:rPr>
                <w:rFonts w:ascii="Calibri" w:hAnsi="Calibri" w:cs="Arial"/>
                <w:sz w:val="22"/>
                <w:szCs w:val="22"/>
              </w:rPr>
            </w:pPr>
            <w:r w:rsidRPr="00FE3B3A">
              <w:rPr>
                <w:rFonts w:cs="Arial"/>
                <w:sz w:val="20"/>
                <w:szCs w:val="20"/>
              </w:rPr>
              <w:t>100% Cotton</w:t>
            </w:r>
          </w:p>
        </w:tc>
        <w:tc>
          <w:tcPr>
            <w:tcW w:w="90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A368BC" w:rsidRPr="00FE3B3A" w:rsidRDefault="00A368BC" w:rsidP="00A368BC">
            <w:pPr>
              <w:spacing w:after="0"/>
              <w:ind w:left="0"/>
              <w:rPr>
                <w:rFonts w:ascii="Calibri" w:hAnsi="Calibri" w:cs="Arial"/>
                <w:sz w:val="22"/>
                <w:szCs w:val="22"/>
              </w:rPr>
            </w:pPr>
            <w:r w:rsidRPr="00FE3B3A">
              <w:rPr>
                <w:rFonts w:cs="Arial"/>
                <w:sz w:val="20"/>
                <w:szCs w:val="20"/>
              </w:rPr>
              <w:t>Yes</w:t>
            </w:r>
          </w:p>
        </w:tc>
        <w:tc>
          <w:tcPr>
            <w:tcW w:w="172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A368BC" w:rsidRPr="00FE3B3A" w:rsidRDefault="00A368BC" w:rsidP="00A368BC">
            <w:pPr>
              <w:spacing w:after="0"/>
              <w:ind w:left="0"/>
              <w:rPr>
                <w:rFonts w:ascii="Calibri" w:hAnsi="Calibri" w:cs="Arial"/>
                <w:sz w:val="22"/>
                <w:szCs w:val="22"/>
              </w:rPr>
            </w:pPr>
            <w:r w:rsidRPr="00FE3B3A">
              <w:rPr>
                <w:rFonts w:cs="Arial"/>
                <w:sz w:val="20"/>
                <w:szCs w:val="20"/>
              </w:rPr>
              <w:t>100% Cotton</w:t>
            </w:r>
          </w:p>
        </w:tc>
        <w:tc>
          <w:tcPr>
            <w:tcW w:w="90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A368BC" w:rsidRPr="00FE3B3A" w:rsidRDefault="00A368BC" w:rsidP="00A368BC">
            <w:pPr>
              <w:spacing w:after="0"/>
              <w:ind w:left="0"/>
              <w:rPr>
                <w:rFonts w:ascii="Calibri" w:hAnsi="Calibri" w:cs="Arial"/>
                <w:sz w:val="22"/>
                <w:szCs w:val="22"/>
              </w:rPr>
            </w:pPr>
            <w:r w:rsidRPr="00FE3B3A">
              <w:rPr>
                <w:rFonts w:cs="Arial"/>
                <w:sz w:val="20"/>
                <w:szCs w:val="20"/>
              </w:rPr>
              <w:t>No</w:t>
            </w:r>
          </w:p>
        </w:tc>
        <w:tc>
          <w:tcPr>
            <w:tcW w:w="122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A368BC" w:rsidRPr="00FE3B3A" w:rsidRDefault="00A368BC" w:rsidP="00A368BC">
            <w:pPr>
              <w:spacing w:after="0"/>
              <w:ind w:left="0"/>
              <w:rPr>
                <w:rFonts w:ascii="Calibri" w:hAnsi="Calibri" w:cs="Arial"/>
                <w:sz w:val="22"/>
                <w:szCs w:val="22"/>
              </w:rPr>
            </w:pPr>
            <w:r w:rsidRPr="00FE3B3A">
              <w:rPr>
                <w:rFonts w:cs="Arial"/>
                <w:sz w:val="20"/>
                <w:szCs w:val="20"/>
              </w:rPr>
              <w:t>PU</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A368BC" w:rsidRPr="00FE3B3A" w:rsidRDefault="00A368BC" w:rsidP="00A368BC">
            <w:pPr>
              <w:spacing w:after="0"/>
              <w:ind w:left="0"/>
              <w:rPr>
                <w:rFonts w:ascii="Calibri" w:hAnsi="Calibri" w:cs="Arial"/>
                <w:sz w:val="22"/>
                <w:szCs w:val="22"/>
              </w:rPr>
            </w:pPr>
            <w:r w:rsidRPr="00FE3B3A">
              <w:rPr>
                <w:rFonts w:cs="Arial"/>
                <w:sz w:val="20"/>
                <w:szCs w:val="20"/>
              </w:rPr>
              <w:t>Pass</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A368BC" w:rsidRPr="00FE3B3A" w:rsidRDefault="00A368BC" w:rsidP="00A368BC">
            <w:pPr>
              <w:spacing w:after="0"/>
              <w:ind w:left="0"/>
              <w:rPr>
                <w:rFonts w:ascii="Calibri" w:hAnsi="Calibri" w:cs="Arial"/>
                <w:sz w:val="22"/>
                <w:szCs w:val="22"/>
              </w:rPr>
            </w:pPr>
            <w:r w:rsidRPr="00FE3B3A">
              <w:rPr>
                <w:rFonts w:cs="Arial"/>
                <w:sz w:val="20"/>
                <w:szCs w:val="20"/>
              </w:rPr>
              <w:t>Pass</w:t>
            </w:r>
          </w:p>
        </w:tc>
      </w:tr>
      <w:tr w:rsidR="00A368BC" w:rsidRPr="00FE3B3A" w:rsidTr="00A368BC">
        <w:trPr>
          <w:trHeight w:val="255"/>
        </w:trPr>
        <w:tc>
          <w:tcPr>
            <w:tcW w:w="172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A368BC" w:rsidRPr="00FE3B3A" w:rsidRDefault="00A368BC" w:rsidP="00A368BC">
            <w:pPr>
              <w:spacing w:after="0"/>
              <w:ind w:left="0"/>
              <w:rPr>
                <w:rFonts w:ascii="Calibri" w:hAnsi="Calibri" w:cs="Arial"/>
                <w:sz w:val="22"/>
                <w:szCs w:val="22"/>
              </w:rPr>
            </w:pPr>
            <w:r w:rsidRPr="00FE3B3A">
              <w:rPr>
                <w:rFonts w:cs="Arial"/>
                <w:sz w:val="20"/>
                <w:szCs w:val="20"/>
              </w:rPr>
              <w:t>100% Polyester</w:t>
            </w:r>
          </w:p>
        </w:tc>
        <w:tc>
          <w:tcPr>
            <w:tcW w:w="90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A368BC" w:rsidRPr="00FE3B3A" w:rsidRDefault="00A368BC" w:rsidP="00A368BC">
            <w:pPr>
              <w:spacing w:after="0"/>
              <w:ind w:left="0"/>
              <w:rPr>
                <w:rFonts w:ascii="Calibri" w:hAnsi="Calibri" w:cs="Arial"/>
                <w:sz w:val="22"/>
                <w:szCs w:val="22"/>
              </w:rPr>
            </w:pPr>
            <w:r w:rsidRPr="00FE3B3A">
              <w:rPr>
                <w:rFonts w:cs="Arial"/>
                <w:sz w:val="20"/>
                <w:szCs w:val="20"/>
              </w:rPr>
              <w:t>No</w:t>
            </w:r>
          </w:p>
        </w:tc>
        <w:tc>
          <w:tcPr>
            <w:tcW w:w="172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A368BC" w:rsidRPr="00FE3B3A" w:rsidRDefault="00A368BC" w:rsidP="00A368BC">
            <w:pPr>
              <w:spacing w:after="0"/>
              <w:ind w:left="0"/>
              <w:rPr>
                <w:rFonts w:ascii="Calibri" w:hAnsi="Calibri" w:cs="Arial"/>
                <w:sz w:val="22"/>
                <w:szCs w:val="22"/>
              </w:rPr>
            </w:pPr>
            <w:r w:rsidRPr="00FE3B3A">
              <w:rPr>
                <w:rFonts w:cs="Arial"/>
                <w:sz w:val="20"/>
                <w:szCs w:val="20"/>
              </w:rPr>
              <w:t>100% Cotton</w:t>
            </w:r>
          </w:p>
        </w:tc>
        <w:tc>
          <w:tcPr>
            <w:tcW w:w="90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A368BC" w:rsidRPr="00FE3B3A" w:rsidRDefault="00A368BC" w:rsidP="00A368BC">
            <w:pPr>
              <w:spacing w:after="0"/>
              <w:ind w:left="0"/>
              <w:rPr>
                <w:rFonts w:ascii="Calibri" w:hAnsi="Calibri" w:cs="Arial"/>
                <w:sz w:val="22"/>
                <w:szCs w:val="22"/>
              </w:rPr>
            </w:pPr>
            <w:r w:rsidRPr="00FE3B3A">
              <w:rPr>
                <w:rFonts w:cs="Arial"/>
                <w:sz w:val="20"/>
                <w:szCs w:val="20"/>
              </w:rPr>
              <w:t>No</w:t>
            </w:r>
          </w:p>
        </w:tc>
        <w:tc>
          <w:tcPr>
            <w:tcW w:w="122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A368BC" w:rsidRPr="00FE3B3A" w:rsidRDefault="00A368BC" w:rsidP="00A368BC">
            <w:pPr>
              <w:spacing w:after="0"/>
              <w:ind w:left="0"/>
              <w:rPr>
                <w:rFonts w:ascii="Calibri" w:hAnsi="Calibri" w:cs="Arial"/>
                <w:sz w:val="22"/>
                <w:szCs w:val="22"/>
              </w:rPr>
            </w:pPr>
            <w:r w:rsidRPr="00FE3B3A">
              <w:rPr>
                <w:rFonts w:cs="Arial"/>
                <w:sz w:val="20"/>
                <w:szCs w:val="20"/>
              </w:rPr>
              <w:t>PU</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A368BC" w:rsidRPr="00FE3B3A" w:rsidRDefault="00A368BC" w:rsidP="00A368BC">
            <w:pPr>
              <w:spacing w:after="0"/>
              <w:ind w:left="0"/>
              <w:rPr>
                <w:rFonts w:ascii="Calibri" w:hAnsi="Calibri" w:cs="Arial"/>
                <w:sz w:val="22"/>
                <w:szCs w:val="22"/>
              </w:rPr>
            </w:pPr>
            <w:r w:rsidRPr="00FE3B3A">
              <w:rPr>
                <w:rFonts w:cs="Arial"/>
                <w:sz w:val="20"/>
                <w:szCs w:val="20"/>
              </w:rPr>
              <w:t>Pass</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A368BC" w:rsidRPr="00FE3B3A" w:rsidRDefault="00A368BC" w:rsidP="00A368BC">
            <w:pPr>
              <w:spacing w:after="0"/>
              <w:ind w:left="0"/>
              <w:rPr>
                <w:rFonts w:ascii="Calibri" w:hAnsi="Calibri" w:cs="Arial"/>
                <w:sz w:val="22"/>
                <w:szCs w:val="22"/>
              </w:rPr>
            </w:pPr>
            <w:r w:rsidRPr="00FE3B3A">
              <w:rPr>
                <w:rFonts w:cs="Arial"/>
                <w:sz w:val="20"/>
                <w:szCs w:val="20"/>
              </w:rPr>
              <w:t>Fail</w:t>
            </w:r>
          </w:p>
        </w:tc>
      </w:tr>
      <w:tr w:rsidR="00A368BC" w:rsidRPr="00FE3B3A" w:rsidTr="00A368BC">
        <w:trPr>
          <w:trHeight w:val="255"/>
        </w:trPr>
        <w:tc>
          <w:tcPr>
            <w:tcW w:w="172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A368BC" w:rsidRPr="00FE3B3A" w:rsidRDefault="00A368BC" w:rsidP="00A368BC">
            <w:pPr>
              <w:spacing w:after="0"/>
              <w:ind w:left="0"/>
              <w:rPr>
                <w:rFonts w:ascii="Calibri" w:hAnsi="Calibri" w:cs="Arial"/>
                <w:sz w:val="22"/>
                <w:szCs w:val="22"/>
              </w:rPr>
            </w:pPr>
            <w:r w:rsidRPr="00FE3B3A">
              <w:rPr>
                <w:rFonts w:cs="Arial"/>
                <w:sz w:val="20"/>
                <w:szCs w:val="20"/>
              </w:rPr>
              <w:t>100% Cotton</w:t>
            </w:r>
          </w:p>
        </w:tc>
        <w:tc>
          <w:tcPr>
            <w:tcW w:w="90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A368BC" w:rsidRPr="00FE3B3A" w:rsidRDefault="00A368BC" w:rsidP="00A368BC">
            <w:pPr>
              <w:spacing w:after="0"/>
              <w:ind w:left="0"/>
              <w:rPr>
                <w:rFonts w:ascii="Calibri" w:hAnsi="Calibri" w:cs="Arial"/>
                <w:sz w:val="22"/>
                <w:szCs w:val="22"/>
              </w:rPr>
            </w:pPr>
            <w:r w:rsidRPr="00FE3B3A">
              <w:rPr>
                <w:rFonts w:cs="Arial"/>
                <w:sz w:val="20"/>
                <w:szCs w:val="20"/>
              </w:rPr>
              <w:t>Yes</w:t>
            </w:r>
          </w:p>
        </w:tc>
        <w:tc>
          <w:tcPr>
            <w:tcW w:w="172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A368BC" w:rsidRPr="00FE3B3A" w:rsidRDefault="00A368BC" w:rsidP="00A368BC">
            <w:pPr>
              <w:spacing w:after="0"/>
              <w:ind w:left="0"/>
              <w:rPr>
                <w:rFonts w:ascii="Calibri" w:hAnsi="Calibri" w:cs="Arial"/>
                <w:sz w:val="22"/>
                <w:szCs w:val="22"/>
              </w:rPr>
            </w:pPr>
            <w:r w:rsidRPr="00FE3B3A">
              <w:rPr>
                <w:rFonts w:cs="Arial"/>
                <w:sz w:val="20"/>
                <w:szCs w:val="20"/>
              </w:rPr>
              <w:t>100% Polyester</w:t>
            </w:r>
          </w:p>
        </w:tc>
        <w:tc>
          <w:tcPr>
            <w:tcW w:w="90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A368BC" w:rsidRPr="00FE3B3A" w:rsidRDefault="00A368BC" w:rsidP="00A368BC">
            <w:pPr>
              <w:spacing w:after="0"/>
              <w:ind w:left="0"/>
              <w:rPr>
                <w:rFonts w:ascii="Calibri" w:hAnsi="Calibri" w:cs="Arial"/>
                <w:sz w:val="22"/>
                <w:szCs w:val="22"/>
              </w:rPr>
            </w:pPr>
            <w:r w:rsidRPr="00FE3B3A">
              <w:rPr>
                <w:rFonts w:cs="Arial"/>
                <w:sz w:val="20"/>
                <w:szCs w:val="20"/>
              </w:rPr>
              <w:t>No</w:t>
            </w:r>
          </w:p>
        </w:tc>
        <w:tc>
          <w:tcPr>
            <w:tcW w:w="122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A368BC" w:rsidRPr="00FE3B3A" w:rsidRDefault="00A368BC" w:rsidP="00A368BC">
            <w:pPr>
              <w:spacing w:after="0"/>
              <w:ind w:left="0"/>
              <w:rPr>
                <w:rFonts w:ascii="Calibri" w:hAnsi="Calibri" w:cs="Arial"/>
                <w:sz w:val="22"/>
                <w:szCs w:val="22"/>
              </w:rPr>
            </w:pPr>
            <w:r w:rsidRPr="00FE3B3A">
              <w:rPr>
                <w:rFonts w:cs="Arial"/>
                <w:sz w:val="20"/>
                <w:szCs w:val="20"/>
              </w:rPr>
              <w:t>PU</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A368BC" w:rsidRPr="00FE3B3A" w:rsidRDefault="00A368BC" w:rsidP="00A368BC">
            <w:pPr>
              <w:spacing w:after="0"/>
              <w:ind w:left="0"/>
              <w:rPr>
                <w:rFonts w:ascii="Calibri" w:hAnsi="Calibri" w:cs="Arial"/>
                <w:sz w:val="22"/>
                <w:szCs w:val="22"/>
              </w:rPr>
            </w:pPr>
            <w:r w:rsidRPr="00FE3B3A">
              <w:rPr>
                <w:rFonts w:cs="Arial"/>
                <w:sz w:val="20"/>
                <w:szCs w:val="20"/>
              </w:rPr>
              <w:t>Pass</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A368BC" w:rsidRPr="00FE3B3A" w:rsidRDefault="00A368BC" w:rsidP="00A368BC">
            <w:pPr>
              <w:spacing w:after="0"/>
              <w:ind w:left="0"/>
              <w:rPr>
                <w:rFonts w:ascii="Calibri" w:hAnsi="Calibri" w:cs="Arial"/>
                <w:sz w:val="22"/>
                <w:szCs w:val="22"/>
              </w:rPr>
            </w:pPr>
            <w:r w:rsidRPr="00FE3B3A">
              <w:rPr>
                <w:rFonts w:cs="Arial"/>
                <w:sz w:val="20"/>
                <w:szCs w:val="20"/>
              </w:rPr>
              <w:t>Pass</w:t>
            </w:r>
          </w:p>
        </w:tc>
      </w:tr>
    </w:tbl>
    <w:p w:rsidR="00A368BC" w:rsidRPr="00FE3B3A" w:rsidRDefault="00A368BC" w:rsidP="00A368BC">
      <w:pPr>
        <w:spacing w:after="0"/>
        <w:ind w:left="0"/>
        <w:rPr>
          <w:rFonts w:ascii="Calibri" w:hAnsi="Calibri" w:cs="Arial"/>
          <w:sz w:val="22"/>
          <w:szCs w:val="22"/>
        </w:rPr>
      </w:pPr>
      <w:r w:rsidRPr="00FE3B3A">
        <w:rPr>
          <w:rFonts w:ascii="Calibri" w:hAnsi="Calibri" w:cs="Arial"/>
          <w:sz w:val="22"/>
          <w:szCs w:val="22"/>
        </w:rPr>
        <w:t> </w:t>
      </w:r>
    </w:p>
    <w:p w:rsidR="00A368BC" w:rsidRPr="000C6845" w:rsidRDefault="00A368BC" w:rsidP="00A368BC">
      <w:pPr>
        <w:spacing w:after="0"/>
        <w:ind w:left="0"/>
        <w:rPr>
          <w:rFonts w:cs="Arial"/>
          <w:szCs w:val="22"/>
        </w:rPr>
      </w:pPr>
      <w:r w:rsidRPr="000C6845">
        <w:rPr>
          <w:rFonts w:cs="Arial"/>
          <w:szCs w:val="22"/>
        </w:rPr>
        <w:t>Extremes of compositions were selected here so as to emphasise the distinct possibility that if lining fabrics are excluded from the new test method, a reduction in safety is possible.</w:t>
      </w:r>
    </w:p>
    <w:p w:rsidR="00A368BC" w:rsidRPr="000C6845" w:rsidRDefault="00A368BC" w:rsidP="00A368BC">
      <w:pPr>
        <w:spacing w:after="0"/>
        <w:ind w:left="0"/>
        <w:rPr>
          <w:rFonts w:cs="Arial"/>
          <w:szCs w:val="22"/>
        </w:rPr>
      </w:pPr>
      <w:r w:rsidRPr="000C6845">
        <w:rPr>
          <w:rFonts w:cs="Arial"/>
          <w:szCs w:val="22"/>
        </w:rPr>
        <w:t> </w:t>
      </w:r>
    </w:p>
    <w:p w:rsidR="00A368BC" w:rsidRPr="000C6845" w:rsidRDefault="00A368BC" w:rsidP="00A368BC">
      <w:pPr>
        <w:spacing w:after="0"/>
        <w:ind w:left="0"/>
        <w:rPr>
          <w:rFonts w:cs="Arial"/>
          <w:szCs w:val="22"/>
        </w:rPr>
      </w:pPr>
      <w:r w:rsidRPr="000C6845">
        <w:rPr>
          <w:rFonts w:cs="Arial"/>
          <w:b/>
          <w:bCs/>
          <w:szCs w:val="22"/>
        </w:rPr>
        <w:t>Materials near the outer cover</w:t>
      </w:r>
    </w:p>
    <w:p w:rsidR="00A368BC" w:rsidRPr="000C6845" w:rsidRDefault="00A368BC" w:rsidP="00A368BC">
      <w:pPr>
        <w:spacing w:after="0"/>
        <w:ind w:left="0"/>
        <w:rPr>
          <w:rFonts w:cs="Arial"/>
          <w:szCs w:val="22"/>
        </w:rPr>
      </w:pPr>
      <w:r w:rsidRPr="000C6845">
        <w:rPr>
          <w:rFonts w:cs="Arial"/>
          <w:szCs w:val="22"/>
        </w:rPr>
        <w:t> </w:t>
      </w:r>
    </w:p>
    <w:p w:rsidR="00A368BC" w:rsidRPr="000C6845" w:rsidRDefault="00A368BC" w:rsidP="00A368BC">
      <w:pPr>
        <w:spacing w:after="0"/>
        <w:ind w:left="0"/>
        <w:rPr>
          <w:rFonts w:cs="Arial"/>
          <w:szCs w:val="22"/>
        </w:rPr>
      </w:pPr>
      <w:r w:rsidRPr="000C6845">
        <w:rPr>
          <w:rFonts w:cs="Arial"/>
          <w:szCs w:val="22"/>
        </w:rPr>
        <w:t>Several materials which may be in common use internally and within 40mm of the outer cover of furniture were tested. Some of the results are given below.</w:t>
      </w:r>
    </w:p>
    <w:p w:rsidR="00A368BC" w:rsidRPr="00FE3B3A" w:rsidRDefault="00A368BC" w:rsidP="00A368BC">
      <w:pPr>
        <w:spacing w:after="0"/>
        <w:ind w:left="0"/>
        <w:rPr>
          <w:rFonts w:ascii="Calibri" w:hAnsi="Calibri" w:cs="Arial"/>
          <w:sz w:val="22"/>
          <w:szCs w:val="22"/>
        </w:rPr>
      </w:pPr>
      <w:r w:rsidRPr="00FE3B3A">
        <w:rPr>
          <w:rFonts w:ascii="Calibri" w:hAnsi="Calibri" w:cs="Arial"/>
          <w:sz w:val="22"/>
          <w:szCs w:val="22"/>
        </w:rPr>
        <w:t> </w:t>
      </w:r>
    </w:p>
    <w:tbl>
      <w:tblPr>
        <w:tblW w:w="0" w:type="auto"/>
        <w:tblCellMar>
          <w:left w:w="0" w:type="dxa"/>
          <w:right w:w="0" w:type="dxa"/>
        </w:tblCellMar>
        <w:tblLook w:val="0000" w:firstRow="0" w:lastRow="0" w:firstColumn="0" w:lastColumn="0" w:noHBand="0" w:noVBand="0"/>
      </w:tblPr>
      <w:tblGrid>
        <w:gridCol w:w="4264"/>
        <w:gridCol w:w="4264"/>
      </w:tblGrid>
      <w:tr w:rsidR="00A368BC" w:rsidRPr="00FE3B3A" w:rsidTr="009E4AE2">
        <w:trPr>
          <w:tblHeader/>
        </w:trPr>
        <w:tc>
          <w:tcPr>
            <w:tcW w:w="4264"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A368BC" w:rsidRPr="00FE3B3A" w:rsidRDefault="00A368BC" w:rsidP="00A368BC">
            <w:pPr>
              <w:spacing w:after="0"/>
              <w:ind w:left="0"/>
              <w:rPr>
                <w:rFonts w:ascii="Calibri" w:hAnsi="Calibri" w:cs="Arial"/>
                <w:sz w:val="22"/>
                <w:szCs w:val="22"/>
              </w:rPr>
            </w:pPr>
            <w:r w:rsidRPr="00FE3B3A">
              <w:rPr>
                <w:rFonts w:ascii="Calibri" w:hAnsi="Calibri" w:cs="Arial"/>
                <w:sz w:val="22"/>
                <w:szCs w:val="22"/>
              </w:rPr>
              <w:t>Material Type</w:t>
            </w:r>
          </w:p>
        </w:tc>
        <w:tc>
          <w:tcPr>
            <w:tcW w:w="426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tcPr>
          <w:p w:rsidR="00A368BC" w:rsidRPr="00FE3B3A" w:rsidRDefault="00A368BC" w:rsidP="00A368BC">
            <w:pPr>
              <w:spacing w:after="0"/>
              <w:ind w:left="0"/>
              <w:rPr>
                <w:rFonts w:ascii="Calibri" w:hAnsi="Calibri" w:cs="Arial"/>
                <w:sz w:val="22"/>
                <w:szCs w:val="22"/>
              </w:rPr>
            </w:pPr>
            <w:r w:rsidRPr="00FE3B3A">
              <w:rPr>
                <w:rFonts w:ascii="Calibri" w:hAnsi="Calibri" w:cs="Arial"/>
                <w:sz w:val="22"/>
                <w:szCs w:val="22"/>
              </w:rPr>
              <w:t>Ignition / Non-ignition</w:t>
            </w:r>
          </w:p>
        </w:tc>
      </w:tr>
      <w:tr w:rsidR="00A368BC" w:rsidRPr="00FE3B3A" w:rsidTr="00A368BC">
        <w:tc>
          <w:tcPr>
            <w:tcW w:w="42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368BC" w:rsidRPr="00FE3B3A" w:rsidRDefault="00A368BC" w:rsidP="00A368BC">
            <w:pPr>
              <w:spacing w:after="0"/>
              <w:ind w:left="0"/>
              <w:rPr>
                <w:rFonts w:ascii="Calibri" w:hAnsi="Calibri" w:cs="Arial"/>
                <w:sz w:val="22"/>
                <w:szCs w:val="22"/>
              </w:rPr>
            </w:pPr>
            <w:r w:rsidRPr="00FE3B3A">
              <w:rPr>
                <w:rFonts w:ascii="Calibri" w:hAnsi="Calibri" w:cs="Arial"/>
                <w:sz w:val="22"/>
                <w:szCs w:val="22"/>
              </w:rPr>
              <w:t>Cardboard – compressed, approx 3mm</w:t>
            </w:r>
          </w:p>
        </w:tc>
        <w:tc>
          <w:tcPr>
            <w:tcW w:w="4264" w:type="dxa"/>
            <w:tcBorders>
              <w:top w:val="nil"/>
              <w:left w:val="nil"/>
              <w:bottom w:val="single" w:sz="8" w:space="0" w:color="auto"/>
              <w:right w:val="single" w:sz="8" w:space="0" w:color="auto"/>
            </w:tcBorders>
            <w:tcMar>
              <w:top w:w="0" w:type="dxa"/>
              <w:left w:w="108" w:type="dxa"/>
              <w:bottom w:w="0" w:type="dxa"/>
              <w:right w:w="108" w:type="dxa"/>
            </w:tcMar>
          </w:tcPr>
          <w:p w:rsidR="00A368BC" w:rsidRPr="00FE3B3A" w:rsidRDefault="00A368BC" w:rsidP="00A368BC">
            <w:pPr>
              <w:spacing w:after="0"/>
              <w:ind w:left="0"/>
              <w:rPr>
                <w:rFonts w:ascii="Calibri" w:hAnsi="Calibri" w:cs="Arial"/>
                <w:sz w:val="22"/>
                <w:szCs w:val="22"/>
              </w:rPr>
            </w:pPr>
            <w:r w:rsidRPr="00FE3B3A">
              <w:rPr>
                <w:rFonts w:ascii="Calibri" w:hAnsi="Calibri" w:cs="Arial"/>
                <w:sz w:val="22"/>
                <w:szCs w:val="22"/>
              </w:rPr>
              <w:t>Non-ignition</w:t>
            </w:r>
          </w:p>
        </w:tc>
      </w:tr>
      <w:tr w:rsidR="00A368BC" w:rsidRPr="00FE3B3A" w:rsidTr="00A368BC">
        <w:tc>
          <w:tcPr>
            <w:tcW w:w="42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368BC" w:rsidRPr="00FE3B3A" w:rsidRDefault="00A368BC" w:rsidP="00A368BC">
            <w:pPr>
              <w:spacing w:after="0"/>
              <w:ind w:left="0"/>
              <w:rPr>
                <w:rFonts w:ascii="Calibri" w:hAnsi="Calibri" w:cs="Arial"/>
                <w:sz w:val="22"/>
                <w:szCs w:val="22"/>
              </w:rPr>
            </w:pPr>
            <w:r w:rsidRPr="00FE3B3A">
              <w:rPr>
                <w:rFonts w:ascii="Calibri" w:hAnsi="Calibri" w:cs="Arial"/>
                <w:sz w:val="22"/>
                <w:szCs w:val="22"/>
              </w:rPr>
              <w:t>Cardboard – compressed, approx 2mm</w:t>
            </w:r>
          </w:p>
        </w:tc>
        <w:tc>
          <w:tcPr>
            <w:tcW w:w="4264" w:type="dxa"/>
            <w:tcBorders>
              <w:top w:val="nil"/>
              <w:left w:val="nil"/>
              <w:bottom w:val="single" w:sz="8" w:space="0" w:color="auto"/>
              <w:right w:val="single" w:sz="8" w:space="0" w:color="auto"/>
            </w:tcBorders>
            <w:tcMar>
              <w:top w:w="0" w:type="dxa"/>
              <w:left w:w="108" w:type="dxa"/>
              <w:bottom w:w="0" w:type="dxa"/>
              <w:right w:w="108" w:type="dxa"/>
            </w:tcMar>
          </w:tcPr>
          <w:p w:rsidR="00A368BC" w:rsidRPr="00FE3B3A" w:rsidRDefault="00A368BC" w:rsidP="00A368BC">
            <w:pPr>
              <w:spacing w:after="0"/>
              <w:ind w:left="0"/>
              <w:rPr>
                <w:rFonts w:ascii="Calibri" w:hAnsi="Calibri" w:cs="Arial"/>
                <w:sz w:val="22"/>
                <w:szCs w:val="22"/>
              </w:rPr>
            </w:pPr>
            <w:r w:rsidRPr="00FE3B3A">
              <w:rPr>
                <w:rFonts w:ascii="Calibri" w:hAnsi="Calibri" w:cs="Arial"/>
                <w:sz w:val="22"/>
                <w:szCs w:val="22"/>
              </w:rPr>
              <w:t>Non-ignition</w:t>
            </w:r>
          </w:p>
        </w:tc>
      </w:tr>
      <w:tr w:rsidR="00A368BC" w:rsidRPr="00FE3B3A" w:rsidTr="00A368BC">
        <w:tc>
          <w:tcPr>
            <w:tcW w:w="42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368BC" w:rsidRPr="00FE3B3A" w:rsidRDefault="00A368BC" w:rsidP="00A368BC">
            <w:pPr>
              <w:spacing w:after="0"/>
              <w:ind w:left="0"/>
              <w:rPr>
                <w:rFonts w:ascii="Calibri" w:hAnsi="Calibri" w:cs="Arial"/>
                <w:sz w:val="22"/>
                <w:szCs w:val="22"/>
              </w:rPr>
            </w:pPr>
            <w:r w:rsidRPr="00FE3B3A">
              <w:rPr>
                <w:rFonts w:ascii="Calibri" w:hAnsi="Calibri" w:cs="Arial"/>
                <w:sz w:val="22"/>
                <w:szCs w:val="22"/>
              </w:rPr>
              <w:t>Cardboard – corrugated, approx 2mm</w:t>
            </w:r>
          </w:p>
        </w:tc>
        <w:tc>
          <w:tcPr>
            <w:tcW w:w="4264" w:type="dxa"/>
            <w:tcBorders>
              <w:top w:val="nil"/>
              <w:left w:val="nil"/>
              <w:bottom w:val="single" w:sz="8" w:space="0" w:color="auto"/>
              <w:right w:val="single" w:sz="8" w:space="0" w:color="auto"/>
            </w:tcBorders>
            <w:tcMar>
              <w:top w:w="0" w:type="dxa"/>
              <w:left w:w="108" w:type="dxa"/>
              <w:bottom w:w="0" w:type="dxa"/>
              <w:right w:w="108" w:type="dxa"/>
            </w:tcMar>
          </w:tcPr>
          <w:p w:rsidR="00A368BC" w:rsidRPr="00FE3B3A" w:rsidRDefault="00A368BC" w:rsidP="00A368BC">
            <w:pPr>
              <w:spacing w:after="0"/>
              <w:ind w:left="0"/>
              <w:rPr>
                <w:rFonts w:ascii="Calibri" w:hAnsi="Calibri" w:cs="Arial"/>
                <w:sz w:val="22"/>
                <w:szCs w:val="22"/>
              </w:rPr>
            </w:pPr>
            <w:r w:rsidRPr="00FE3B3A">
              <w:rPr>
                <w:rFonts w:ascii="Calibri" w:hAnsi="Calibri" w:cs="Arial"/>
                <w:sz w:val="22"/>
                <w:szCs w:val="22"/>
              </w:rPr>
              <w:t>Ignition</w:t>
            </w:r>
          </w:p>
        </w:tc>
      </w:tr>
      <w:tr w:rsidR="00A368BC" w:rsidRPr="00FE3B3A" w:rsidTr="00A368BC">
        <w:tc>
          <w:tcPr>
            <w:tcW w:w="42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368BC" w:rsidRPr="00FE3B3A" w:rsidRDefault="00A368BC" w:rsidP="00A368BC">
            <w:pPr>
              <w:spacing w:after="0"/>
              <w:ind w:left="0"/>
              <w:rPr>
                <w:rFonts w:ascii="Calibri" w:hAnsi="Calibri" w:cs="Arial"/>
                <w:sz w:val="22"/>
                <w:szCs w:val="22"/>
              </w:rPr>
            </w:pPr>
            <w:r w:rsidRPr="00FE3B3A">
              <w:rPr>
                <w:rFonts w:ascii="Calibri" w:hAnsi="Calibri" w:cs="Arial"/>
                <w:sz w:val="22"/>
                <w:szCs w:val="22"/>
              </w:rPr>
              <w:t>Paper – approximately 120gsm</w:t>
            </w:r>
          </w:p>
        </w:tc>
        <w:tc>
          <w:tcPr>
            <w:tcW w:w="4264" w:type="dxa"/>
            <w:tcBorders>
              <w:top w:val="nil"/>
              <w:left w:val="nil"/>
              <w:bottom w:val="single" w:sz="8" w:space="0" w:color="auto"/>
              <w:right w:val="single" w:sz="8" w:space="0" w:color="auto"/>
            </w:tcBorders>
            <w:tcMar>
              <w:top w:w="0" w:type="dxa"/>
              <w:left w:w="108" w:type="dxa"/>
              <w:bottom w:w="0" w:type="dxa"/>
              <w:right w:w="108" w:type="dxa"/>
            </w:tcMar>
          </w:tcPr>
          <w:p w:rsidR="00A368BC" w:rsidRPr="00FE3B3A" w:rsidRDefault="00A368BC" w:rsidP="00A368BC">
            <w:pPr>
              <w:spacing w:after="0"/>
              <w:ind w:left="0"/>
              <w:rPr>
                <w:rFonts w:ascii="Calibri" w:hAnsi="Calibri" w:cs="Arial"/>
                <w:sz w:val="22"/>
                <w:szCs w:val="22"/>
              </w:rPr>
            </w:pPr>
            <w:r w:rsidRPr="00FE3B3A">
              <w:rPr>
                <w:rFonts w:ascii="Calibri" w:hAnsi="Calibri" w:cs="Arial"/>
                <w:sz w:val="22"/>
                <w:szCs w:val="22"/>
              </w:rPr>
              <w:t>Ignition</w:t>
            </w:r>
          </w:p>
        </w:tc>
      </w:tr>
      <w:tr w:rsidR="00A368BC" w:rsidRPr="00FE3B3A" w:rsidTr="00A368BC">
        <w:tc>
          <w:tcPr>
            <w:tcW w:w="42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368BC" w:rsidRPr="00FE3B3A" w:rsidRDefault="00A368BC" w:rsidP="00A368BC">
            <w:pPr>
              <w:spacing w:after="0"/>
              <w:ind w:left="0"/>
              <w:rPr>
                <w:rFonts w:ascii="Calibri" w:hAnsi="Calibri" w:cs="Arial"/>
                <w:sz w:val="22"/>
                <w:szCs w:val="22"/>
              </w:rPr>
            </w:pPr>
            <w:r w:rsidRPr="00FE3B3A">
              <w:rPr>
                <w:rFonts w:ascii="Calibri" w:hAnsi="Calibri" w:cs="Arial"/>
                <w:sz w:val="22"/>
                <w:szCs w:val="22"/>
              </w:rPr>
              <w:t>Card – approximately 200gsm</w:t>
            </w:r>
          </w:p>
        </w:tc>
        <w:tc>
          <w:tcPr>
            <w:tcW w:w="4264" w:type="dxa"/>
            <w:tcBorders>
              <w:top w:val="nil"/>
              <w:left w:val="nil"/>
              <w:bottom w:val="single" w:sz="8" w:space="0" w:color="auto"/>
              <w:right w:val="single" w:sz="8" w:space="0" w:color="auto"/>
            </w:tcBorders>
            <w:tcMar>
              <w:top w:w="0" w:type="dxa"/>
              <w:left w:w="108" w:type="dxa"/>
              <w:bottom w:w="0" w:type="dxa"/>
              <w:right w:w="108" w:type="dxa"/>
            </w:tcMar>
          </w:tcPr>
          <w:p w:rsidR="00A368BC" w:rsidRPr="00FE3B3A" w:rsidRDefault="00A368BC" w:rsidP="00A368BC">
            <w:pPr>
              <w:spacing w:after="0"/>
              <w:ind w:left="0"/>
              <w:rPr>
                <w:rFonts w:ascii="Calibri" w:hAnsi="Calibri" w:cs="Arial"/>
                <w:sz w:val="22"/>
                <w:szCs w:val="22"/>
              </w:rPr>
            </w:pPr>
            <w:r w:rsidRPr="00FE3B3A">
              <w:rPr>
                <w:rFonts w:ascii="Calibri" w:hAnsi="Calibri" w:cs="Arial"/>
                <w:sz w:val="22"/>
                <w:szCs w:val="22"/>
              </w:rPr>
              <w:t>Ignition</w:t>
            </w:r>
          </w:p>
        </w:tc>
      </w:tr>
      <w:tr w:rsidR="00A368BC" w:rsidRPr="00FE3B3A" w:rsidTr="00A368BC">
        <w:tc>
          <w:tcPr>
            <w:tcW w:w="42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368BC" w:rsidRPr="00FE3B3A" w:rsidRDefault="00A368BC" w:rsidP="00A368BC">
            <w:pPr>
              <w:spacing w:after="0"/>
              <w:ind w:left="0"/>
              <w:rPr>
                <w:rFonts w:ascii="Calibri" w:hAnsi="Calibri" w:cs="Arial"/>
                <w:sz w:val="22"/>
                <w:szCs w:val="22"/>
              </w:rPr>
            </w:pPr>
            <w:r w:rsidRPr="00FE3B3A">
              <w:rPr>
                <w:rFonts w:ascii="Calibri" w:hAnsi="Calibri" w:cs="Arial"/>
                <w:sz w:val="22"/>
                <w:szCs w:val="22"/>
              </w:rPr>
              <w:t>ABS Plastic – approx 2mm thick</w:t>
            </w:r>
          </w:p>
        </w:tc>
        <w:tc>
          <w:tcPr>
            <w:tcW w:w="4264" w:type="dxa"/>
            <w:tcBorders>
              <w:top w:val="nil"/>
              <w:left w:val="nil"/>
              <w:bottom w:val="single" w:sz="8" w:space="0" w:color="auto"/>
              <w:right w:val="single" w:sz="8" w:space="0" w:color="auto"/>
            </w:tcBorders>
            <w:tcMar>
              <w:top w:w="0" w:type="dxa"/>
              <w:left w:w="108" w:type="dxa"/>
              <w:bottom w:w="0" w:type="dxa"/>
              <w:right w:w="108" w:type="dxa"/>
            </w:tcMar>
          </w:tcPr>
          <w:p w:rsidR="00A368BC" w:rsidRPr="00FE3B3A" w:rsidRDefault="00A368BC" w:rsidP="00A368BC">
            <w:pPr>
              <w:spacing w:after="0"/>
              <w:ind w:left="0"/>
              <w:rPr>
                <w:rFonts w:ascii="Calibri" w:hAnsi="Calibri" w:cs="Arial"/>
                <w:sz w:val="22"/>
                <w:szCs w:val="22"/>
              </w:rPr>
            </w:pPr>
            <w:r w:rsidRPr="00FE3B3A">
              <w:rPr>
                <w:rFonts w:ascii="Calibri" w:hAnsi="Calibri" w:cs="Arial"/>
                <w:sz w:val="22"/>
                <w:szCs w:val="22"/>
              </w:rPr>
              <w:t>Non-ignition</w:t>
            </w:r>
          </w:p>
        </w:tc>
      </w:tr>
      <w:tr w:rsidR="00A368BC" w:rsidRPr="00FE3B3A" w:rsidTr="00A368BC">
        <w:tc>
          <w:tcPr>
            <w:tcW w:w="42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368BC" w:rsidRPr="00FE3B3A" w:rsidRDefault="00A368BC" w:rsidP="00A368BC">
            <w:pPr>
              <w:spacing w:after="0"/>
              <w:ind w:left="0"/>
              <w:rPr>
                <w:rFonts w:ascii="Calibri" w:hAnsi="Calibri" w:cs="Arial"/>
                <w:sz w:val="22"/>
                <w:szCs w:val="22"/>
              </w:rPr>
            </w:pPr>
            <w:r w:rsidRPr="00FE3B3A">
              <w:rPr>
                <w:rFonts w:ascii="Calibri" w:hAnsi="Calibri" w:cs="Arial"/>
                <w:sz w:val="22"/>
                <w:szCs w:val="22"/>
              </w:rPr>
              <w:t>Plywood – 3 ply, approx 3mm thick</w:t>
            </w:r>
          </w:p>
        </w:tc>
        <w:tc>
          <w:tcPr>
            <w:tcW w:w="4264" w:type="dxa"/>
            <w:tcBorders>
              <w:top w:val="nil"/>
              <w:left w:val="nil"/>
              <w:bottom w:val="single" w:sz="8" w:space="0" w:color="auto"/>
              <w:right w:val="single" w:sz="8" w:space="0" w:color="auto"/>
            </w:tcBorders>
            <w:tcMar>
              <w:top w:w="0" w:type="dxa"/>
              <w:left w:w="108" w:type="dxa"/>
              <w:bottom w:w="0" w:type="dxa"/>
              <w:right w:w="108" w:type="dxa"/>
            </w:tcMar>
          </w:tcPr>
          <w:p w:rsidR="00A368BC" w:rsidRPr="00FE3B3A" w:rsidRDefault="00A368BC" w:rsidP="00A368BC">
            <w:pPr>
              <w:spacing w:after="0"/>
              <w:ind w:left="0"/>
              <w:rPr>
                <w:rFonts w:ascii="Calibri" w:hAnsi="Calibri" w:cs="Arial"/>
                <w:sz w:val="22"/>
                <w:szCs w:val="22"/>
              </w:rPr>
            </w:pPr>
            <w:r w:rsidRPr="00FE3B3A">
              <w:rPr>
                <w:rFonts w:ascii="Calibri" w:hAnsi="Calibri" w:cs="Arial"/>
                <w:sz w:val="22"/>
                <w:szCs w:val="22"/>
              </w:rPr>
              <w:t>Non-ignition</w:t>
            </w:r>
          </w:p>
        </w:tc>
      </w:tr>
      <w:tr w:rsidR="00A368BC" w:rsidRPr="00FE3B3A" w:rsidTr="00A368BC">
        <w:tc>
          <w:tcPr>
            <w:tcW w:w="42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368BC" w:rsidRPr="00FE3B3A" w:rsidRDefault="00A368BC" w:rsidP="00A368BC">
            <w:pPr>
              <w:spacing w:after="0"/>
              <w:ind w:left="0"/>
              <w:rPr>
                <w:rFonts w:ascii="Calibri" w:hAnsi="Calibri" w:cs="Arial"/>
                <w:sz w:val="22"/>
                <w:szCs w:val="22"/>
              </w:rPr>
            </w:pPr>
            <w:r w:rsidRPr="00FE3B3A">
              <w:rPr>
                <w:rFonts w:ascii="Calibri" w:hAnsi="Calibri" w:cs="Arial"/>
                <w:sz w:val="22"/>
                <w:szCs w:val="22"/>
              </w:rPr>
              <w:t>Pine wood – approximately 10mm thick</w:t>
            </w:r>
          </w:p>
        </w:tc>
        <w:tc>
          <w:tcPr>
            <w:tcW w:w="4264" w:type="dxa"/>
            <w:tcBorders>
              <w:top w:val="nil"/>
              <w:left w:val="nil"/>
              <w:bottom w:val="single" w:sz="8" w:space="0" w:color="auto"/>
              <w:right w:val="single" w:sz="8" w:space="0" w:color="auto"/>
            </w:tcBorders>
            <w:tcMar>
              <w:top w:w="0" w:type="dxa"/>
              <w:left w:w="108" w:type="dxa"/>
              <w:bottom w:w="0" w:type="dxa"/>
              <w:right w:w="108" w:type="dxa"/>
            </w:tcMar>
          </w:tcPr>
          <w:p w:rsidR="00A368BC" w:rsidRPr="00FE3B3A" w:rsidRDefault="00A368BC" w:rsidP="00A368BC">
            <w:pPr>
              <w:spacing w:after="0"/>
              <w:ind w:left="0"/>
              <w:rPr>
                <w:rFonts w:ascii="Calibri" w:hAnsi="Calibri" w:cs="Arial"/>
                <w:sz w:val="22"/>
                <w:szCs w:val="22"/>
              </w:rPr>
            </w:pPr>
            <w:r w:rsidRPr="00FE3B3A">
              <w:rPr>
                <w:rFonts w:ascii="Calibri" w:hAnsi="Calibri" w:cs="Arial"/>
                <w:sz w:val="22"/>
                <w:szCs w:val="22"/>
              </w:rPr>
              <w:t>Non-ignition</w:t>
            </w:r>
          </w:p>
        </w:tc>
      </w:tr>
      <w:tr w:rsidR="00A368BC" w:rsidRPr="00FE3B3A" w:rsidTr="00A368BC">
        <w:tc>
          <w:tcPr>
            <w:tcW w:w="42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368BC" w:rsidRPr="00FE3B3A" w:rsidRDefault="00A368BC" w:rsidP="00A368BC">
            <w:pPr>
              <w:spacing w:after="0"/>
              <w:ind w:left="0"/>
              <w:rPr>
                <w:rFonts w:ascii="Calibri" w:hAnsi="Calibri" w:cs="Arial"/>
                <w:sz w:val="22"/>
                <w:szCs w:val="22"/>
              </w:rPr>
            </w:pPr>
            <w:r w:rsidRPr="00FE3B3A">
              <w:rPr>
                <w:rFonts w:ascii="Calibri" w:hAnsi="Calibri" w:cs="Arial"/>
                <w:sz w:val="22"/>
                <w:szCs w:val="22"/>
              </w:rPr>
              <w:lastRenderedPageBreak/>
              <w:t>Chipboard – approximately 10mm thick</w:t>
            </w:r>
          </w:p>
        </w:tc>
        <w:tc>
          <w:tcPr>
            <w:tcW w:w="4264" w:type="dxa"/>
            <w:tcBorders>
              <w:top w:val="nil"/>
              <w:left w:val="nil"/>
              <w:bottom w:val="single" w:sz="8" w:space="0" w:color="auto"/>
              <w:right w:val="single" w:sz="8" w:space="0" w:color="auto"/>
            </w:tcBorders>
            <w:tcMar>
              <w:top w:w="0" w:type="dxa"/>
              <w:left w:w="108" w:type="dxa"/>
              <w:bottom w:w="0" w:type="dxa"/>
              <w:right w:w="108" w:type="dxa"/>
            </w:tcMar>
          </w:tcPr>
          <w:p w:rsidR="00A368BC" w:rsidRPr="00FE3B3A" w:rsidRDefault="00A368BC" w:rsidP="00A368BC">
            <w:pPr>
              <w:spacing w:after="0"/>
              <w:ind w:left="0"/>
              <w:rPr>
                <w:rFonts w:ascii="Calibri" w:hAnsi="Calibri" w:cs="Arial"/>
                <w:sz w:val="22"/>
                <w:szCs w:val="22"/>
              </w:rPr>
            </w:pPr>
            <w:r w:rsidRPr="00FE3B3A">
              <w:rPr>
                <w:rFonts w:ascii="Calibri" w:hAnsi="Calibri" w:cs="Arial"/>
                <w:sz w:val="22"/>
                <w:szCs w:val="22"/>
              </w:rPr>
              <w:t>Non-ignition</w:t>
            </w:r>
          </w:p>
        </w:tc>
      </w:tr>
      <w:tr w:rsidR="00A368BC" w:rsidRPr="00FE3B3A" w:rsidTr="00A368BC">
        <w:tc>
          <w:tcPr>
            <w:tcW w:w="42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368BC" w:rsidRPr="00FE3B3A" w:rsidRDefault="00A368BC" w:rsidP="00A368BC">
            <w:pPr>
              <w:spacing w:after="0"/>
              <w:ind w:left="0"/>
              <w:rPr>
                <w:rFonts w:ascii="Calibri" w:hAnsi="Calibri" w:cs="Arial"/>
                <w:sz w:val="22"/>
                <w:szCs w:val="22"/>
              </w:rPr>
            </w:pPr>
            <w:r w:rsidRPr="00FE3B3A">
              <w:rPr>
                <w:rFonts w:ascii="Calibri" w:hAnsi="Calibri" w:cs="Arial"/>
                <w:sz w:val="22"/>
                <w:szCs w:val="22"/>
              </w:rPr>
              <w:t>Fibreboard – approximately 5mm thick</w:t>
            </w:r>
          </w:p>
        </w:tc>
        <w:tc>
          <w:tcPr>
            <w:tcW w:w="4264" w:type="dxa"/>
            <w:tcBorders>
              <w:top w:val="nil"/>
              <w:left w:val="nil"/>
              <w:bottom w:val="single" w:sz="8" w:space="0" w:color="auto"/>
              <w:right w:val="single" w:sz="8" w:space="0" w:color="auto"/>
            </w:tcBorders>
            <w:tcMar>
              <w:top w:w="0" w:type="dxa"/>
              <w:left w:w="108" w:type="dxa"/>
              <w:bottom w:w="0" w:type="dxa"/>
              <w:right w:w="108" w:type="dxa"/>
            </w:tcMar>
          </w:tcPr>
          <w:p w:rsidR="00A368BC" w:rsidRPr="00FE3B3A" w:rsidRDefault="00A368BC" w:rsidP="00A368BC">
            <w:pPr>
              <w:spacing w:after="0"/>
              <w:ind w:left="0"/>
              <w:rPr>
                <w:rFonts w:ascii="Calibri" w:hAnsi="Calibri" w:cs="Arial"/>
                <w:sz w:val="22"/>
                <w:szCs w:val="22"/>
              </w:rPr>
            </w:pPr>
            <w:r w:rsidRPr="00FE3B3A">
              <w:rPr>
                <w:rFonts w:ascii="Calibri" w:hAnsi="Calibri" w:cs="Arial"/>
                <w:sz w:val="22"/>
                <w:szCs w:val="22"/>
              </w:rPr>
              <w:t>Non-Ignition</w:t>
            </w:r>
          </w:p>
        </w:tc>
      </w:tr>
      <w:tr w:rsidR="00A368BC" w:rsidRPr="00FE3B3A" w:rsidTr="00A368BC">
        <w:tc>
          <w:tcPr>
            <w:tcW w:w="42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368BC" w:rsidRPr="00FE3B3A" w:rsidRDefault="00A368BC" w:rsidP="00A368BC">
            <w:pPr>
              <w:spacing w:after="0"/>
              <w:ind w:left="0"/>
              <w:rPr>
                <w:rFonts w:ascii="Calibri" w:hAnsi="Calibri" w:cs="Arial"/>
                <w:sz w:val="22"/>
                <w:szCs w:val="22"/>
              </w:rPr>
            </w:pPr>
            <w:r w:rsidRPr="00FE3B3A">
              <w:rPr>
                <w:rFonts w:ascii="Calibri" w:hAnsi="Calibri" w:cs="Arial"/>
                <w:sz w:val="22"/>
                <w:szCs w:val="22"/>
              </w:rPr>
              <w:t>5mm Fibreboard with polymeric coating</w:t>
            </w:r>
          </w:p>
        </w:tc>
        <w:tc>
          <w:tcPr>
            <w:tcW w:w="4264" w:type="dxa"/>
            <w:tcBorders>
              <w:top w:val="nil"/>
              <w:left w:val="nil"/>
              <w:bottom w:val="single" w:sz="8" w:space="0" w:color="auto"/>
              <w:right w:val="single" w:sz="8" w:space="0" w:color="auto"/>
            </w:tcBorders>
            <w:tcMar>
              <w:top w:w="0" w:type="dxa"/>
              <w:left w:w="108" w:type="dxa"/>
              <w:bottom w:w="0" w:type="dxa"/>
              <w:right w:w="108" w:type="dxa"/>
            </w:tcMar>
          </w:tcPr>
          <w:p w:rsidR="00A368BC" w:rsidRPr="00FE3B3A" w:rsidRDefault="00A368BC" w:rsidP="00A368BC">
            <w:pPr>
              <w:spacing w:after="0"/>
              <w:ind w:left="0"/>
              <w:rPr>
                <w:rFonts w:ascii="Calibri" w:hAnsi="Calibri" w:cs="Arial"/>
                <w:sz w:val="22"/>
                <w:szCs w:val="22"/>
              </w:rPr>
            </w:pPr>
            <w:r w:rsidRPr="00FE3B3A">
              <w:rPr>
                <w:rFonts w:ascii="Calibri" w:hAnsi="Calibri" w:cs="Arial"/>
                <w:sz w:val="22"/>
                <w:szCs w:val="22"/>
              </w:rPr>
              <w:t>Ignition</w:t>
            </w:r>
          </w:p>
        </w:tc>
      </w:tr>
      <w:tr w:rsidR="00A368BC" w:rsidRPr="00FE3B3A" w:rsidTr="00A368BC">
        <w:tc>
          <w:tcPr>
            <w:tcW w:w="42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368BC" w:rsidRPr="00FE3B3A" w:rsidRDefault="00A368BC" w:rsidP="00A368BC">
            <w:pPr>
              <w:spacing w:after="0"/>
              <w:ind w:left="0"/>
              <w:rPr>
                <w:rFonts w:ascii="Calibri" w:hAnsi="Calibri" w:cs="Arial"/>
                <w:sz w:val="22"/>
                <w:szCs w:val="22"/>
              </w:rPr>
            </w:pPr>
            <w:r w:rsidRPr="00FE3B3A">
              <w:rPr>
                <w:rFonts w:ascii="Calibri" w:hAnsi="Calibri" w:cs="Arial"/>
                <w:sz w:val="22"/>
                <w:szCs w:val="22"/>
              </w:rPr>
              <w:t>Lining fabric, 100% Cotton, 160gsm</w:t>
            </w:r>
          </w:p>
        </w:tc>
        <w:tc>
          <w:tcPr>
            <w:tcW w:w="4264" w:type="dxa"/>
            <w:tcBorders>
              <w:top w:val="nil"/>
              <w:left w:val="nil"/>
              <w:bottom w:val="single" w:sz="8" w:space="0" w:color="auto"/>
              <w:right w:val="single" w:sz="8" w:space="0" w:color="auto"/>
            </w:tcBorders>
            <w:tcMar>
              <w:top w:w="0" w:type="dxa"/>
              <w:left w:w="108" w:type="dxa"/>
              <w:bottom w:w="0" w:type="dxa"/>
              <w:right w:w="108" w:type="dxa"/>
            </w:tcMar>
          </w:tcPr>
          <w:p w:rsidR="00A368BC" w:rsidRPr="00FE3B3A" w:rsidRDefault="00A368BC" w:rsidP="00A368BC">
            <w:pPr>
              <w:spacing w:after="0"/>
              <w:ind w:left="0"/>
              <w:rPr>
                <w:rFonts w:ascii="Calibri" w:hAnsi="Calibri" w:cs="Arial"/>
                <w:sz w:val="22"/>
                <w:szCs w:val="22"/>
              </w:rPr>
            </w:pPr>
            <w:r w:rsidRPr="00FE3B3A">
              <w:rPr>
                <w:rFonts w:ascii="Calibri" w:hAnsi="Calibri" w:cs="Arial"/>
                <w:sz w:val="22"/>
                <w:szCs w:val="22"/>
              </w:rPr>
              <w:t>Ignition</w:t>
            </w:r>
          </w:p>
        </w:tc>
      </w:tr>
    </w:tbl>
    <w:p w:rsidR="00A368BC" w:rsidRPr="00FE3B3A" w:rsidRDefault="00A368BC" w:rsidP="00A368BC">
      <w:pPr>
        <w:spacing w:after="0"/>
        <w:ind w:left="0"/>
        <w:rPr>
          <w:rFonts w:ascii="Calibri" w:hAnsi="Calibri" w:cs="Arial"/>
          <w:sz w:val="22"/>
          <w:szCs w:val="22"/>
        </w:rPr>
      </w:pPr>
      <w:r w:rsidRPr="00FE3B3A">
        <w:rPr>
          <w:rFonts w:ascii="Calibri" w:hAnsi="Calibri" w:cs="Arial"/>
          <w:b/>
          <w:bCs/>
        </w:rPr>
        <w:t> </w:t>
      </w:r>
    </w:p>
    <w:p w:rsidR="00A368BC" w:rsidRPr="000C6845" w:rsidRDefault="00A368BC" w:rsidP="00A368BC">
      <w:pPr>
        <w:spacing w:after="0"/>
        <w:ind w:left="0"/>
        <w:rPr>
          <w:rFonts w:cs="Arial"/>
          <w:szCs w:val="22"/>
        </w:rPr>
      </w:pPr>
      <w:r w:rsidRPr="000C6845">
        <w:rPr>
          <w:rFonts w:cs="Arial"/>
          <w:b/>
          <w:bCs/>
          <w:szCs w:val="22"/>
        </w:rPr>
        <w:t xml:space="preserve">Comparison of results between Schedule 5 Part 1 &amp; the </w:t>
      </w:r>
      <w:r w:rsidR="00A3621B">
        <w:rPr>
          <w:rFonts w:cs="Arial"/>
          <w:b/>
          <w:bCs/>
          <w:szCs w:val="22"/>
        </w:rPr>
        <w:t>p</w:t>
      </w:r>
      <w:r w:rsidR="004713E2">
        <w:rPr>
          <w:rFonts w:cs="Arial"/>
          <w:b/>
          <w:bCs/>
          <w:szCs w:val="22"/>
        </w:rPr>
        <w:t xml:space="preserve">roposed </w:t>
      </w:r>
      <w:r w:rsidR="00A3621B">
        <w:rPr>
          <w:rFonts w:cs="Arial"/>
          <w:b/>
          <w:bCs/>
          <w:szCs w:val="22"/>
        </w:rPr>
        <w:t>n</w:t>
      </w:r>
      <w:r w:rsidRPr="000C6845">
        <w:rPr>
          <w:rFonts w:cs="Arial"/>
          <w:b/>
          <w:bCs/>
          <w:szCs w:val="22"/>
        </w:rPr>
        <w:t>ew</w:t>
      </w:r>
      <w:r w:rsidR="004713E2">
        <w:rPr>
          <w:rFonts w:cs="Arial"/>
          <w:b/>
          <w:bCs/>
          <w:szCs w:val="22"/>
        </w:rPr>
        <w:t xml:space="preserve"> </w:t>
      </w:r>
      <w:r w:rsidR="00A3621B">
        <w:rPr>
          <w:rFonts w:cs="Arial"/>
          <w:b/>
          <w:bCs/>
          <w:szCs w:val="22"/>
        </w:rPr>
        <w:t>m</w:t>
      </w:r>
      <w:r w:rsidR="004713E2">
        <w:rPr>
          <w:rFonts w:cs="Arial"/>
          <w:b/>
          <w:bCs/>
          <w:szCs w:val="22"/>
        </w:rPr>
        <w:t>atch</w:t>
      </w:r>
      <w:r w:rsidRPr="000C6845">
        <w:rPr>
          <w:rFonts w:cs="Arial"/>
          <w:b/>
          <w:bCs/>
          <w:szCs w:val="22"/>
        </w:rPr>
        <w:t xml:space="preserve"> Test</w:t>
      </w:r>
    </w:p>
    <w:p w:rsidR="00A368BC" w:rsidRPr="000C6845" w:rsidRDefault="00A368BC" w:rsidP="00A368BC">
      <w:pPr>
        <w:spacing w:after="0"/>
        <w:ind w:left="0"/>
        <w:rPr>
          <w:rFonts w:cs="Arial"/>
          <w:szCs w:val="22"/>
        </w:rPr>
      </w:pPr>
      <w:r w:rsidRPr="000C6845">
        <w:rPr>
          <w:rFonts w:cs="Arial"/>
          <w:szCs w:val="16"/>
        </w:rPr>
        <w:t> </w:t>
      </w:r>
    </w:p>
    <w:p w:rsidR="00A368BC" w:rsidRPr="000C6845" w:rsidRDefault="00A368BC" w:rsidP="00A368BC">
      <w:pPr>
        <w:spacing w:after="0"/>
        <w:ind w:left="0"/>
        <w:rPr>
          <w:rFonts w:cs="Arial"/>
          <w:szCs w:val="22"/>
        </w:rPr>
      </w:pPr>
      <w:r w:rsidRPr="000C6845">
        <w:rPr>
          <w:rFonts w:cs="Arial"/>
          <w:szCs w:val="22"/>
        </w:rPr>
        <w:t>For brevity</w:t>
      </w:r>
      <w:r w:rsidR="00862E2B">
        <w:rPr>
          <w:rFonts w:cs="Arial"/>
          <w:szCs w:val="22"/>
        </w:rPr>
        <w:t>,</w:t>
      </w:r>
      <w:r w:rsidRPr="000C6845">
        <w:rPr>
          <w:rFonts w:cs="Arial"/>
          <w:szCs w:val="22"/>
        </w:rPr>
        <w:t xml:space="preserve"> the following results are summarised in </w:t>
      </w:r>
      <w:r w:rsidR="00A71857">
        <w:rPr>
          <w:rFonts w:cs="Arial"/>
          <w:szCs w:val="22"/>
        </w:rPr>
        <w:t>two</w:t>
      </w:r>
      <w:r w:rsidRPr="000C6845">
        <w:rPr>
          <w:rFonts w:cs="Arial"/>
          <w:szCs w:val="22"/>
        </w:rPr>
        <w:t xml:space="preserve"> </w:t>
      </w:r>
      <w:r w:rsidR="006A4551">
        <w:rPr>
          <w:rFonts w:cs="Arial"/>
          <w:szCs w:val="22"/>
        </w:rPr>
        <w:t>sections</w:t>
      </w:r>
      <w:r w:rsidR="00A3621B">
        <w:rPr>
          <w:rFonts w:cs="Arial"/>
          <w:szCs w:val="22"/>
        </w:rPr>
        <w:t xml:space="preserve"> below</w:t>
      </w:r>
      <w:r w:rsidR="00A71857">
        <w:rPr>
          <w:rFonts w:cs="Arial"/>
          <w:szCs w:val="22"/>
        </w:rPr>
        <w:t>.</w:t>
      </w:r>
    </w:p>
    <w:p w:rsidR="00A368BC" w:rsidRPr="000C6845" w:rsidRDefault="00A368BC" w:rsidP="00A368BC">
      <w:pPr>
        <w:spacing w:after="0"/>
        <w:ind w:left="0"/>
        <w:rPr>
          <w:rFonts w:cs="Arial"/>
          <w:szCs w:val="22"/>
        </w:rPr>
      </w:pPr>
      <w:r w:rsidRPr="000C6845">
        <w:rPr>
          <w:rFonts w:cs="Arial"/>
          <w:szCs w:val="16"/>
        </w:rPr>
        <w:t> </w:t>
      </w:r>
    </w:p>
    <w:p w:rsidR="00A368BC" w:rsidRPr="000C6845" w:rsidRDefault="00A368BC" w:rsidP="00A368BC">
      <w:pPr>
        <w:spacing w:after="0"/>
        <w:ind w:left="0"/>
        <w:rPr>
          <w:rFonts w:cs="Arial"/>
          <w:szCs w:val="22"/>
        </w:rPr>
      </w:pPr>
      <w:r w:rsidRPr="000C6845">
        <w:rPr>
          <w:rFonts w:cs="Arial"/>
          <w:szCs w:val="22"/>
          <w:u w:val="single"/>
        </w:rPr>
        <w:t>S</w:t>
      </w:r>
      <w:r w:rsidR="006A4551">
        <w:rPr>
          <w:rFonts w:cs="Arial"/>
          <w:szCs w:val="22"/>
          <w:u w:val="single"/>
        </w:rPr>
        <w:t>ection</w:t>
      </w:r>
      <w:r w:rsidRPr="000C6845">
        <w:rPr>
          <w:rFonts w:cs="Arial"/>
          <w:szCs w:val="22"/>
          <w:u w:val="single"/>
        </w:rPr>
        <w:t xml:space="preserve"> 1</w:t>
      </w:r>
    </w:p>
    <w:p w:rsidR="000C6845" w:rsidRDefault="000C6845" w:rsidP="00A368BC">
      <w:pPr>
        <w:spacing w:after="0"/>
        <w:ind w:left="0"/>
        <w:rPr>
          <w:rFonts w:cs="Arial"/>
          <w:i/>
          <w:iCs/>
          <w:szCs w:val="22"/>
        </w:rPr>
      </w:pPr>
    </w:p>
    <w:p w:rsidR="00A368BC" w:rsidRPr="000C6845" w:rsidRDefault="00A368BC" w:rsidP="00A368BC">
      <w:pPr>
        <w:spacing w:after="0"/>
        <w:ind w:left="0"/>
        <w:rPr>
          <w:rFonts w:cs="Arial"/>
          <w:szCs w:val="22"/>
        </w:rPr>
      </w:pPr>
      <w:r w:rsidRPr="000C6845">
        <w:rPr>
          <w:rFonts w:cs="Arial"/>
          <w:i/>
          <w:iCs/>
          <w:szCs w:val="22"/>
        </w:rPr>
        <w:t xml:space="preserve">Schedule 5 Part 1 Pass ≥ </w:t>
      </w:r>
      <w:r w:rsidR="004713E2">
        <w:rPr>
          <w:rFonts w:cs="Arial"/>
          <w:i/>
          <w:iCs/>
          <w:szCs w:val="22"/>
        </w:rPr>
        <w:t>Proposed</w:t>
      </w:r>
      <w:r w:rsidRPr="000C6845">
        <w:rPr>
          <w:rFonts w:cs="Arial"/>
          <w:i/>
          <w:iCs/>
          <w:szCs w:val="22"/>
        </w:rPr>
        <w:t xml:space="preserve"> Match Test Pass</w:t>
      </w:r>
    </w:p>
    <w:p w:rsidR="000C6845" w:rsidRDefault="000C6845" w:rsidP="00A368BC">
      <w:pPr>
        <w:spacing w:after="0"/>
        <w:ind w:left="0"/>
        <w:rPr>
          <w:rFonts w:cs="Arial"/>
          <w:szCs w:val="22"/>
        </w:rPr>
      </w:pPr>
    </w:p>
    <w:p w:rsidR="00A368BC" w:rsidRPr="000C6845" w:rsidRDefault="00A368BC" w:rsidP="00A368BC">
      <w:pPr>
        <w:spacing w:after="0"/>
        <w:ind w:left="0"/>
        <w:rPr>
          <w:rFonts w:cs="Arial"/>
          <w:szCs w:val="22"/>
        </w:rPr>
      </w:pPr>
      <w:r w:rsidRPr="000C6845">
        <w:rPr>
          <w:rFonts w:cs="Arial"/>
          <w:szCs w:val="22"/>
        </w:rPr>
        <w:t xml:space="preserve">This means that fabrics which pass the Schedule 5 Part 1 </w:t>
      </w:r>
      <w:r w:rsidR="00E61863">
        <w:rPr>
          <w:rFonts w:cs="Arial"/>
          <w:szCs w:val="22"/>
        </w:rPr>
        <w:t>m</w:t>
      </w:r>
      <w:r w:rsidRPr="000C6845">
        <w:rPr>
          <w:rFonts w:cs="Arial"/>
          <w:szCs w:val="22"/>
        </w:rPr>
        <w:t xml:space="preserve">atch test will </w:t>
      </w:r>
      <w:r w:rsidR="004713E2">
        <w:rPr>
          <w:rFonts w:cs="Arial"/>
          <w:szCs w:val="22"/>
        </w:rPr>
        <w:t>usually</w:t>
      </w:r>
      <w:r w:rsidR="004713E2" w:rsidRPr="000C6845">
        <w:rPr>
          <w:rFonts w:cs="Arial"/>
          <w:szCs w:val="22"/>
        </w:rPr>
        <w:t xml:space="preserve"> </w:t>
      </w:r>
      <w:r w:rsidRPr="000C6845">
        <w:rPr>
          <w:rFonts w:cs="Arial"/>
          <w:szCs w:val="22"/>
        </w:rPr>
        <w:t xml:space="preserve">pass the </w:t>
      </w:r>
      <w:r w:rsidR="00A3621B">
        <w:rPr>
          <w:rFonts w:cs="Arial"/>
          <w:szCs w:val="22"/>
        </w:rPr>
        <w:t>p</w:t>
      </w:r>
      <w:r w:rsidR="004713E2">
        <w:rPr>
          <w:rFonts w:cs="Arial"/>
          <w:szCs w:val="22"/>
        </w:rPr>
        <w:t xml:space="preserve">roposed </w:t>
      </w:r>
      <w:r w:rsidR="00A3621B">
        <w:rPr>
          <w:rFonts w:cs="Arial"/>
          <w:szCs w:val="22"/>
        </w:rPr>
        <w:t>n</w:t>
      </w:r>
      <w:r w:rsidR="004713E2">
        <w:rPr>
          <w:rFonts w:cs="Arial"/>
          <w:szCs w:val="22"/>
        </w:rPr>
        <w:t>ew</w:t>
      </w:r>
      <w:r w:rsidRPr="000C6845">
        <w:rPr>
          <w:rFonts w:cs="Arial"/>
          <w:szCs w:val="22"/>
        </w:rPr>
        <w:t xml:space="preserve"> </w:t>
      </w:r>
      <w:r w:rsidR="00A3621B">
        <w:rPr>
          <w:rFonts w:cs="Arial"/>
          <w:szCs w:val="22"/>
        </w:rPr>
        <w:t>m</w:t>
      </w:r>
      <w:r w:rsidRPr="000C6845">
        <w:rPr>
          <w:rFonts w:cs="Arial"/>
          <w:szCs w:val="22"/>
        </w:rPr>
        <w:t xml:space="preserve">atch test, but fabrics which meet the </w:t>
      </w:r>
      <w:r w:rsidR="00A3621B">
        <w:rPr>
          <w:rFonts w:cs="Arial"/>
          <w:szCs w:val="22"/>
        </w:rPr>
        <w:t>p</w:t>
      </w:r>
      <w:r w:rsidR="004713E2">
        <w:rPr>
          <w:rFonts w:cs="Arial"/>
          <w:szCs w:val="22"/>
        </w:rPr>
        <w:t xml:space="preserve">roposed </w:t>
      </w:r>
      <w:r w:rsidR="00A3621B">
        <w:rPr>
          <w:rFonts w:cs="Arial"/>
          <w:szCs w:val="22"/>
        </w:rPr>
        <w:t>n</w:t>
      </w:r>
      <w:r w:rsidR="004713E2">
        <w:rPr>
          <w:rFonts w:cs="Arial"/>
          <w:szCs w:val="22"/>
        </w:rPr>
        <w:t xml:space="preserve">ew </w:t>
      </w:r>
      <w:r w:rsidR="00A3621B">
        <w:rPr>
          <w:rFonts w:cs="Arial"/>
          <w:szCs w:val="22"/>
        </w:rPr>
        <w:t>m</w:t>
      </w:r>
      <w:r w:rsidR="004713E2">
        <w:rPr>
          <w:rFonts w:cs="Arial"/>
          <w:szCs w:val="22"/>
        </w:rPr>
        <w:t>atch</w:t>
      </w:r>
      <w:r w:rsidRPr="000C6845">
        <w:rPr>
          <w:rFonts w:cs="Arial"/>
          <w:szCs w:val="22"/>
        </w:rPr>
        <w:t xml:space="preserve"> test may not meet the requirements of the Schedule 5 Part 1 test. Testing of some fabrics has proven this statement.</w:t>
      </w:r>
    </w:p>
    <w:p w:rsidR="00A368BC" w:rsidRPr="00FE3B3A" w:rsidRDefault="00A368BC" w:rsidP="00A368BC">
      <w:pPr>
        <w:spacing w:after="0"/>
        <w:ind w:left="0"/>
        <w:rPr>
          <w:rFonts w:ascii="Calibri" w:hAnsi="Calibri" w:cs="Arial"/>
          <w:sz w:val="22"/>
          <w:szCs w:val="22"/>
        </w:rPr>
      </w:pPr>
      <w:r w:rsidRPr="00FE3B3A">
        <w:rPr>
          <w:rFonts w:ascii="Calibri" w:hAnsi="Calibri" w:cs="Arial"/>
          <w:sz w:val="16"/>
          <w:szCs w:val="16"/>
        </w:rPr>
        <w:t> </w:t>
      </w:r>
    </w:p>
    <w:tbl>
      <w:tblPr>
        <w:tblW w:w="0" w:type="auto"/>
        <w:tblCellMar>
          <w:left w:w="0" w:type="dxa"/>
          <w:right w:w="0" w:type="dxa"/>
        </w:tblCellMar>
        <w:tblLook w:val="0000" w:firstRow="0" w:lastRow="0" w:firstColumn="0" w:lastColumn="0" w:noHBand="0" w:noVBand="0"/>
      </w:tblPr>
      <w:tblGrid>
        <w:gridCol w:w="4264"/>
        <w:gridCol w:w="2132"/>
        <w:gridCol w:w="2132"/>
      </w:tblGrid>
      <w:tr w:rsidR="00A368BC" w:rsidRPr="00FE3B3A" w:rsidTr="009E4AE2">
        <w:trPr>
          <w:tblHeader/>
        </w:trPr>
        <w:tc>
          <w:tcPr>
            <w:tcW w:w="4264"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A368BC" w:rsidRPr="00FE3B3A" w:rsidRDefault="00A368BC" w:rsidP="00E61863">
            <w:pPr>
              <w:spacing w:after="0"/>
              <w:ind w:left="0"/>
              <w:rPr>
                <w:rFonts w:ascii="Calibri" w:hAnsi="Calibri" w:cs="Arial"/>
                <w:sz w:val="22"/>
                <w:szCs w:val="22"/>
              </w:rPr>
            </w:pPr>
            <w:r w:rsidRPr="00FE3B3A">
              <w:rPr>
                <w:rFonts w:ascii="Calibri" w:hAnsi="Calibri" w:cs="Arial"/>
                <w:sz w:val="22"/>
                <w:szCs w:val="22"/>
              </w:rPr>
              <w:t xml:space="preserve">Cover </w:t>
            </w:r>
            <w:r w:rsidR="00E61863">
              <w:rPr>
                <w:rFonts w:ascii="Calibri" w:hAnsi="Calibri" w:cs="Arial"/>
                <w:sz w:val="22"/>
                <w:szCs w:val="22"/>
              </w:rPr>
              <w:t>m</w:t>
            </w:r>
            <w:r w:rsidRPr="00FE3B3A">
              <w:rPr>
                <w:rFonts w:ascii="Calibri" w:hAnsi="Calibri" w:cs="Arial"/>
                <w:sz w:val="22"/>
                <w:szCs w:val="22"/>
              </w:rPr>
              <w:t xml:space="preserve">aterial </w:t>
            </w:r>
            <w:r w:rsidR="00E61863">
              <w:rPr>
                <w:rFonts w:ascii="Calibri" w:hAnsi="Calibri" w:cs="Arial"/>
                <w:sz w:val="22"/>
                <w:szCs w:val="22"/>
              </w:rPr>
              <w:t>t</w:t>
            </w:r>
            <w:r w:rsidRPr="00FE3B3A">
              <w:rPr>
                <w:rFonts w:ascii="Calibri" w:hAnsi="Calibri" w:cs="Arial"/>
                <w:sz w:val="22"/>
                <w:szCs w:val="22"/>
              </w:rPr>
              <w:t>ype</w:t>
            </w:r>
          </w:p>
        </w:tc>
        <w:tc>
          <w:tcPr>
            <w:tcW w:w="213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tcPr>
          <w:p w:rsidR="00A368BC" w:rsidRPr="00AA7173" w:rsidRDefault="00A368BC" w:rsidP="00E61863">
            <w:pPr>
              <w:spacing w:after="0"/>
              <w:ind w:left="0"/>
              <w:rPr>
                <w:rFonts w:ascii="Calibri" w:hAnsi="Calibri" w:cs="Arial"/>
                <w:sz w:val="22"/>
                <w:szCs w:val="22"/>
              </w:rPr>
            </w:pPr>
            <w:r w:rsidRPr="00FE3B3A">
              <w:rPr>
                <w:rFonts w:ascii="Calibri" w:hAnsi="Calibri" w:cs="Arial"/>
                <w:sz w:val="22"/>
                <w:szCs w:val="22"/>
              </w:rPr>
              <w:t xml:space="preserve">Schedule 5 Part 1 </w:t>
            </w:r>
            <w:r w:rsidR="00E61863">
              <w:rPr>
                <w:rFonts w:ascii="Calibri" w:hAnsi="Calibri" w:cs="Arial"/>
                <w:sz w:val="22"/>
                <w:szCs w:val="22"/>
              </w:rPr>
              <w:t>t</w:t>
            </w:r>
            <w:r w:rsidRPr="00FE3B3A">
              <w:rPr>
                <w:rFonts w:ascii="Calibri" w:hAnsi="Calibri" w:cs="Arial"/>
                <w:sz w:val="22"/>
                <w:szCs w:val="22"/>
              </w:rPr>
              <w:t>est</w:t>
            </w:r>
          </w:p>
        </w:tc>
        <w:tc>
          <w:tcPr>
            <w:tcW w:w="213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tcPr>
          <w:p w:rsidR="00A368BC" w:rsidRPr="00FE3B3A" w:rsidRDefault="00DC3710" w:rsidP="00E61863">
            <w:pPr>
              <w:spacing w:after="0"/>
              <w:ind w:left="0"/>
              <w:rPr>
                <w:rFonts w:ascii="Calibri" w:hAnsi="Calibri" w:cs="Arial"/>
                <w:sz w:val="22"/>
                <w:szCs w:val="22"/>
              </w:rPr>
            </w:pPr>
            <w:r w:rsidRPr="00AA7173">
              <w:rPr>
                <w:rFonts w:ascii="Calibri" w:hAnsi="Calibri" w:cs="Arial"/>
                <w:sz w:val="22"/>
                <w:szCs w:val="22"/>
              </w:rPr>
              <w:t>Proposed</w:t>
            </w:r>
            <w:r>
              <w:rPr>
                <w:rFonts w:ascii="Calibri" w:hAnsi="Calibri" w:cs="Arial"/>
                <w:sz w:val="22"/>
                <w:szCs w:val="22"/>
                <w:lang w:val="fr-FR"/>
              </w:rPr>
              <w:t xml:space="preserve"> </w:t>
            </w:r>
            <w:r w:rsidR="00E61863">
              <w:rPr>
                <w:rFonts w:ascii="Calibri" w:hAnsi="Calibri" w:cs="Arial"/>
                <w:sz w:val="22"/>
                <w:szCs w:val="22"/>
                <w:lang w:val="fr-FR"/>
              </w:rPr>
              <w:t>n</w:t>
            </w:r>
            <w:r>
              <w:rPr>
                <w:rFonts w:ascii="Calibri" w:hAnsi="Calibri" w:cs="Arial"/>
                <w:sz w:val="22"/>
                <w:szCs w:val="22"/>
                <w:lang w:val="fr-FR"/>
              </w:rPr>
              <w:t>ew</w:t>
            </w:r>
            <w:r w:rsidR="00A368BC" w:rsidRPr="00FE3B3A">
              <w:rPr>
                <w:rFonts w:ascii="Calibri" w:hAnsi="Calibri" w:cs="Arial"/>
                <w:sz w:val="22"/>
                <w:szCs w:val="22"/>
                <w:lang w:val="fr-FR"/>
              </w:rPr>
              <w:t xml:space="preserve"> </w:t>
            </w:r>
            <w:r w:rsidR="00E61863">
              <w:rPr>
                <w:rFonts w:ascii="Calibri" w:hAnsi="Calibri" w:cs="Arial"/>
                <w:sz w:val="22"/>
                <w:szCs w:val="22"/>
                <w:lang w:val="fr-FR"/>
              </w:rPr>
              <w:t>m</w:t>
            </w:r>
            <w:r w:rsidR="00A368BC" w:rsidRPr="00FE3B3A">
              <w:rPr>
                <w:rFonts w:ascii="Calibri" w:hAnsi="Calibri" w:cs="Arial"/>
                <w:sz w:val="22"/>
                <w:szCs w:val="22"/>
                <w:lang w:val="fr-FR"/>
              </w:rPr>
              <w:t xml:space="preserve">atch </w:t>
            </w:r>
            <w:r w:rsidR="00E61863">
              <w:rPr>
                <w:rFonts w:ascii="Calibri" w:hAnsi="Calibri" w:cs="Arial"/>
                <w:sz w:val="22"/>
                <w:szCs w:val="22"/>
                <w:lang w:val="fr-FR"/>
              </w:rPr>
              <w:t>t</w:t>
            </w:r>
            <w:r w:rsidR="00A368BC" w:rsidRPr="00FE3B3A">
              <w:rPr>
                <w:rFonts w:ascii="Calibri" w:hAnsi="Calibri" w:cs="Arial"/>
                <w:sz w:val="22"/>
                <w:szCs w:val="22"/>
                <w:lang w:val="fr-FR"/>
              </w:rPr>
              <w:t>est</w:t>
            </w:r>
          </w:p>
        </w:tc>
      </w:tr>
      <w:tr w:rsidR="00A368BC" w:rsidRPr="00FE3B3A" w:rsidTr="00A368BC">
        <w:tc>
          <w:tcPr>
            <w:tcW w:w="42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368BC" w:rsidRPr="00FE3B3A" w:rsidRDefault="00A368BC" w:rsidP="00A368BC">
            <w:pPr>
              <w:spacing w:after="0"/>
              <w:ind w:left="0"/>
              <w:rPr>
                <w:rFonts w:ascii="Calibri" w:hAnsi="Calibri" w:cs="Arial"/>
                <w:sz w:val="22"/>
                <w:szCs w:val="22"/>
              </w:rPr>
            </w:pPr>
            <w:r w:rsidRPr="00FE3B3A">
              <w:rPr>
                <w:rFonts w:ascii="Calibri" w:hAnsi="Calibri" w:cs="Arial"/>
                <w:sz w:val="22"/>
                <w:szCs w:val="22"/>
              </w:rPr>
              <w:t>100% Polyester (Backcoated)</w:t>
            </w:r>
          </w:p>
        </w:tc>
        <w:tc>
          <w:tcPr>
            <w:tcW w:w="2132" w:type="dxa"/>
            <w:tcBorders>
              <w:top w:val="nil"/>
              <w:left w:val="nil"/>
              <w:bottom w:val="single" w:sz="8" w:space="0" w:color="auto"/>
              <w:right w:val="single" w:sz="8" w:space="0" w:color="auto"/>
            </w:tcBorders>
            <w:tcMar>
              <w:top w:w="0" w:type="dxa"/>
              <w:left w:w="108" w:type="dxa"/>
              <w:bottom w:w="0" w:type="dxa"/>
              <w:right w:w="108" w:type="dxa"/>
            </w:tcMar>
          </w:tcPr>
          <w:p w:rsidR="00A368BC" w:rsidRPr="00FE3B3A" w:rsidRDefault="00A368BC" w:rsidP="00A368BC">
            <w:pPr>
              <w:spacing w:after="0"/>
              <w:ind w:left="0"/>
              <w:rPr>
                <w:rFonts w:ascii="Calibri" w:hAnsi="Calibri" w:cs="Arial"/>
                <w:sz w:val="22"/>
                <w:szCs w:val="22"/>
              </w:rPr>
            </w:pPr>
            <w:r w:rsidRPr="00FE3B3A">
              <w:rPr>
                <w:rFonts w:ascii="Calibri" w:hAnsi="Calibri" w:cs="Arial"/>
                <w:sz w:val="22"/>
                <w:szCs w:val="22"/>
              </w:rPr>
              <w:t>Pass</w:t>
            </w:r>
          </w:p>
        </w:tc>
        <w:tc>
          <w:tcPr>
            <w:tcW w:w="2132" w:type="dxa"/>
            <w:tcBorders>
              <w:top w:val="nil"/>
              <w:left w:val="nil"/>
              <w:bottom w:val="single" w:sz="8" w:space="0" w:color="auto"/>
              <w:right w:val="single" w:sz="8" w:space="0" w:color="auto"/>
            </w:tcBorders>
            <w:tcMar>
              <w:top w:w="0" w:type="dxa"/>
              <w:left w:w="108" w:type="dxa"/>
              <w:bottom w:w="0" w:type="dxa"/>
              <w:right w:w="108" w:type="dxa"/>
            </w:tcMar>
          </w:tcPr>
          <w:p w:rsidR="00A368BC" w:rsidRPr="00FE3B3A" w:rsidRDefault="00A368BC" w:rsidP="00A368BC">
            <w:pPr>
              <w:spacing w:after="0"/>
              <w:ind w:left="0"/>
              <w:rPr>
                <w:rFonts w:ascii="Calibri" w:hAnsi="Calibri" w:cs="Arial"/>
                <w:sz w:val="22"/>
                <w:szCs w:val="22"/>
              </w:rPr>
            </w:pPr>
            <w:r w:rsidRPr="00FE3B3A">
              <w:rPr>
                <w:rFonts w:ascii="Calibri" w:hAnsi="Calibri" w:cs="Arial"/>
                <w:sz w:val="22"/>
                <w:szCs w:val="22"/>
              </w:rPr>
              <w:t>Pass</w:t>
            </w:r>
          </w:p>
        </w:tc>
      </w:tr>
      <w:tr w:rsidR="00A368BC" w:rsidRPr="00FE3B3A" w:rsidTr="00A368BC">
        <w:tc>
          <w:tcPr>
            <w:tcW w:w="42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368BC" w:rsidRPr="00FE3B3A" w:rsidRDefault="00A368BC" w:rsidP="00A368BC">
            <w:pPr>
              <w:spacing w:after="0"/>
              <w:ind w:left="0"/>
              <w:rPr>
                <w:rFonts w:ascii="Calibri" w:hAnsi="Calibri" w:cs="Arial"/>
                <w:sz w:val="22"/>
                <w:szCs w:val="22"/>
              </w:rPr>
            </w:pPr>
            <w:r w:rsidRPr="00FE3B3A">
              <w:rPr>
                <w:rFonts w:ascii="Calibri" w:hAnsi="Calibri" w:cs="Arial"/>
                <w:sz w:val="22"/>
                <w:szCs w:val="22"/>
              </w:rPr>
              <w:t>50% Polyester, 50% Cotton</w:t>
            </w:r>
          </w:p>
        </w:tc>
        <w:tc>
          <w:tcPr>
            <w:tcW w:w="2132" w:type="dxa"/>
            <w:tcBorders>
              <w:top w:val="nil"/>
              <w:left w:val="nil"/>
              <w:bottom w:val="single" w:sz="8" w:space="0" w:color="auto"/>
              <w:right w:val="single" w:sz="8" w:space="0" w:color="auto"/>
            </w:tcBorders>
            <w:tcMar>
              <w:top w:w="0" w:type="dxa"/>
              <w:left w:w="108" w:type="dxa"/>
              <w:bottom w:w="0" w:type="dxa"/>
              <w:right w:w="108" w:type="dxa"/>
            </w:tcMar>
          </w:tcPr>
          <w:p w:rsidR="00A368BC" w:rsidRPr="00FE3B3A" w:rsidRDefault="00A368BC" w:rsidP="00A368BC">
            <w:pPr>
              <w:spacing w:after="0"/>
              <w:ind w:left="0"/>
              <w:rPr>
                <w:rFonts w:ascii="Calibri" w:hAnsi="Calibri" w:cs="Arial"/>
                <w:sz w:val="22"/>
                <w:szCs w:val="22"/>
              </w:rPr>
            </w:pPr>
            <w:r w:rsidRPr="00FE3B3A">
              <w:rPr>
                <w:rFonts w:ascii="Calibri" w:hAnsi="Calibri" w:cs="Arial"/>
                <w:sz w:val="22"/>
                <w:szCs w:val="22"/>
              </w:rPr>
              <w:t>Pass</w:t>
            </w:r>
          </w:p>
        </w:tc>
        <w:tc>
          <w:tcPr>
            <w:tcW w:w="2132" w:type="dxa"/>
            <w:tcBorders>
              <w:top w:val="nil"/>
              <w:left w:val="nil"/>
              <w:bottom w:val="single" w:sz="8" w:space="0" w:color="auto"/>
              <w:right w:val="single" w:sz="8" w:space="0" w:color="auto"/>
            </w:tcBorders>
            <w:tcMar>
              <w:top w:w="0" w:type="dxa"/>
              <w:left w:w="108" w:type="dxa"/>
              <w:bottom w:w="0" w:type="dxa"/>
              <w:right w:w="108" w:type="dxa"/>
            </w:tcMar>
          </w:tcPr>
          <w:p w:rsidR="00A368BC" w:rsidRPr="00FE3B3A" w:rsidRDefault="00A368BC" w:rsidP="00A368BC">
            <w:pPr>
              <w:spacing w:after="0"/>
              <w:ind w:left="0"/>
              <w:rPr>
                <w:rFonts w:ascii="Calibri" w:hAnsi="Calibri" w:cs="Arial"/>
                <w:sz w:val="22"/>
                <w:szCs w:val="22"/>
              </w:rPr>
            </w:pPr>
            <w:r w:rsidRPr="00FE3B3A">
              <w:rPr>
                <w:rFonts w:ascii="Calibri" w:hAnsi="Calibri" w:cs="Arial"/>
                <w:sz w:val="22"/>
                <w:szCs w:val="22"/>
              </w:rPr>
              <w:t>Pass</w:t>
            </w:r>
          </w:p>
        </w:tc>
      </w:tr>
      <w:tr w:rsidR="00A368BC" w:rsidRPr="00FE3B3A" w:rsidTr="00A368BC">
        <w:tc>
          <w:tcPr>
            <w:tcW w:w="42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368BC" w:rsidRPr="00FE3B3A" w:rsidRDefault="00A368BC" w:rsidP="00A368BC">
            <w:pPr>
              <w:spacing w:after="0"/>
              <w:ind w:left="0"/>
              <w:rPr>
                <w:rFonts w:ascii="Calibri" w:hAnsi="Calibri" w:cs="Arial"/>
                <w:sz w:val="22"/>
                <w:szCs w:val="22"/>
              </w:rPr>
            </w:pPr>
            <w:r w:rsidRPr="00FE3B3A">
              <w:rPr>
                <w:rFonts w:ascii="Calibri" w:hAnsi="Calibri" w:cs="Arial"/>
                <w:sz w:val="22"/>
                <w:szCs w:val="22"/>
              </w:rPr>
              <w:t>100% Cotton</w:t>
            </w:r>
          </w:p>
        </w:tc>
        <w:tc>
          <w:tcPr>
            <w:tcW w:w="2132" w:type="dxa"/>
            <w:tcBorders>
              <w:top w:val="nil"/>
              <w:left w:val="nil"/>
              <w:bottom w:val="single" w:sz="8" w:space="0" w:color="auto"/>
              <w:right w:val="single" w:sz="8" w:space="0" w:color="auto"/>
            </w:tcBorders>
            <w:tcMar>
              <w:top w:w="0" w:type="dxa"/>
              <w:left w:w="108" w:type="dxa"/>
              <w:bottom w:w="0" w:type="dxa"/>
              <w:right w:w="108" w:type="dxa"/>
            </w:tcMar>
          </w:tcPr>
          <w:p w:rsidR="00A368BC" w:rsidRPr="00FE3B3A" w:rsidRDefault="00A368BC" w:rsidP="00A368BC">
            <w:pPr>
              <w:spacing w:after="0"/>
              <w:ind w:left="0"/>
              <w:rPr>
                <w:rFonts w:ascii="Calibri" w:hAnsi="Calibri" w:cs="Arial"/>
                <w:sz w:val="22"/>
                <w:szCs w:val="22"/>
              </w:rPr>
            </w:pPr>
            <w:r w:rsidRPr="00FE3B3A">
              <w:rPr>
                <w:rFonts w:ascii="Calibri" w:hAnsi="Calibri" w:cs="Arial"/>
                <w:sz w:val="22"/>
                <w:szCs w:val="22"/>
              </w:rPr>
              <w:t>Pass</w:t>
            </w:r>
          </w:p>
        </w:tc>
        <w:tc>
          <w:tcPr>
            <w:tcW w:w="2132" w:type="dxa"/>
            <w:tcBorders>
              <w:top w:val="nil"/>
              <w:left w:val="nil"/>
              <w:bottom w:val="single" w:sz="8" w:space="0" w:color="auto"/>
              <w:right w:val="single" w:sz="8" w:space="0" w:color="auto"/>
            </w:tcBorders>
            <w:tcMar>
              <w:top w:w="0" w:type="dxa"/>
              <w:left w:w="108" w:type="dxa"/>
              <w:bottom w:w="0" w:type="dxa"/>
              <w:right w:w="108" w:type="dxa"/>
            </w:tcMar>
          </w:tcPr>
          <w:p w:rsidR="00A368BC" w:rsidRPr="00FE3B3A" w:rsidRDefault="00A368BC" w:rsidP="00A368BC">
            <w:pPr>
              <w:spacing w:after="0"/>
              <w:ind w:left="0"/>
              <w:rPr>
                <w:rFonts w:ascii="Calibri" w:hAnsi="Calibri" w:cs="Arial"/>
                <w:sz w:val="22"/>
                <w:szCs w:val="22"/>
              </w:rPr>
            </w:pPr>
            <w:r w:rsidRPr="00FE3B3A">
              <w:rPr>
                <w:rFonts w:ascii="Calibri" w:hAnsi="Calibri" w:cs="Arial"/>
                <w:sz w:val="22"/>
                <w:szCs w:val="22"/>
              </w:rPr>
              <w:t>Pass</w:t>
            </w:r>
          </w:p>
        </w:tc>
      </w:tr>
      <w:tr w:rsidR="00A368BC" w:rsidRPr="00FE3B3A" w:rsidTr="00A368BC">
        <w:tc>
          <w:tcPr>
            <w:tcW w:w="42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368BC" w:rsidRPr="00FE3B3A" w:rsidRDefault="00A368BC" w:rsidP="00A368BC">
            <w:pPr>
              <w:spacing w:after="0"/>
              <w:ind w:left="0"/>
              <w:rPr>
                <w:rFonts w:ascii="Calibri" w:hAnsi="Calibri" w:cs="Arial"/>
                <w:sz w:val="22"/>
                <w:szCs w:val="22"/>
              </w:rPr>
            </w:pPr>
            <w:r w:rsidRPr="00FE3B3A">
              <w:rPr>
                <w:rFonts w:ascii="Calibri" w:hAnsi="Calibri" w:cs="Arial"/>
                <w:sz w:val="22"/>
                <w:szCs w:val="22"/>
              </w:rPr>
              <w:t>100% Acrylic</w:t>
            </w:r>
          </w:p>
        </w:tc>
        <w:tc>
          <w:tcPr>
            <w:tcW w:w="2132" w:type="dxa"/>
            <w:tcBorders>
              <w:top w:val="nil"/>
              <w:left w:val="nil"/>
              <w:bottom w:val="single" w:sz="8" w:space="0" w:color="auto"/>
              <w:right w:val="single" w:sz="8" w:space="0" w:color="auto"/>
            </w:tcBorders>
            <w:tcMar>
              <w:top w:w="0" w:type="dxa"/>
              <w:left w:w="108" w:type="dxa"/>
              <w:bottom w:w="0" w:type="dxa"/>
              <w:right w:w="108" w:type="dxa"/>
            </w:tcMar>
          </w:tcPr>
          <w:p w:rsidR="00A368BC" w:rsidRPr="00FE3B3A" w:rsidRDefault="00A368BC" w:rsidP="00A368BC">
            <w:pPr>
              <w:spacing w:after="0"/>
              <w:ind w:left="0"/>
              <w:rPr>
                <w:rFonts w:ascii="Calibri" w:hAnsi="Calibri" w:cs="Arial"/>
                <w:sz w:val="22"/>
                <w:szCs w:val="22"/>
              </w:rPr>
            </w:pPr>
            <w:r w:rsidRPr="00FE3B3A">
              <w:rPr>
                <w:rFonts w:ascii="Calibri" w:hAnsi="Calibri" w:cs="Arial"/>
                <w:sz w:val="22"/>
                <w:szCs w:val="22"/>
              </w:rPr>
              <w:t>Pass</w:t>
            </w:r>
          </w:p>
        </w:tc>
        <w:tc>
          <w:tcPr>
            <w:tcW w:w="2132" w:type="dxa"/>
            <w:tcBorders>
              <w:top w:val="nil"/>
              <w:left w:val="nil"/>
              <w:bottom w:val="single" w:sz="8" w:space="0" w:color="auto"/>
              <w:right w:val="single" w:sz="8" w:space="0" w:color="auto"/>
            </w:tcBorders>
            <w:tcMar>
              <w:top w:w="0" w:type="dxa"/>
              <w:left w:w="108" w:type="dxa"/>
              <w:bottom w:w="0" w:type="dxa"/>
              <w:right w:w="108" w:type="dxa"/>
            </w:tcMar>
          </w:tcPr>
          <w:p w:rsidR="00A368BC" w:rsidRPr="00FE3B3A" w:rsidRDefault="00A368BC" w:rsidP="00A368BC">
            <w:pPr>
              <w:spacing w:after="0"/>
              <w:ind w:left="0"/>
              <w:rPr>
                <w:rFonts w:ascii="Calibri" w:hAnsi="Calibri" w:cs="Arial"/>
                <w:sz w:val="22"/>
                <w:szCs w:val="22"/>
              </w:rPr>
            </w:pPr>
            <w:r w:rsidRPr="00FE3B3A">
              <w:rPr>
                <w:rFonts w:ascii="Calibri" w:hAnsi="Calibri" w:cs="Arial"/>
                <w:sz w:val="22"/>
                <w:szCs w:val="22"/>
              </w:rPr>
              <w:t>Pass</w:t>
            </w:r>
          </w:p>
        </w:tc>
      </w:tr>
      <w:tr w:rsidR="00A368BC" w:rsidRPr="00FE3B3A" w:rsidTr="00A368BC">
        <w:tc>
          <w:tcPr>
            <w:tcW w:w="42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368BC" w:rsidRPr="00FE3B3A" w:rsidRDefault="00A368BC" w:rsidP="00A368BC">
            <w:pPr>
              <w:spacing w:after="0"/>
              <w:ind w:left="0"/>
              <w:rPr>
                <w:rFonts w:ascii="Calibri" w:hAnsi="Calibri" w:cs="Arial"/>
                <w:sz w:val="22"/>
                <w:szCs w:val="22"/>
              </w:rPr>
            </w:pPr>
            <w:r w:rsidRPr="00FE3B3A">
              <w:rPr>
                <w:rFonts w:ascii="Calibri" w:hAnsi="Calibri" w:cs="Arial"/>
                <w:sz w:val="22"/>
                <w:szCs w:val="22"/>
              </w:rPr>
              <w:t>100% Wool (200gsm)</w:t>
            </w:r>
          </w:p>
        </w:tc>
        <w:tc>
          <w:tcPr>
            <w:tcW w:w="2132" w:type="dxa"/>
            <w:tcBorders>
              <w:top w:val="nil"/>
              <w:left w:val="nil"/>
              <w:bottom w:val="single" w:sz="8" w:space="0" w:color="auto"/>
              <w:right w:val="single" w:sz="8" w:space="0" w:color="auto"/>
            </w:tcBorders>
            <w:tcMar>
              <w:top w:w="0" w:type="dxa"/>
              <w:left w:w="108" w:type="dxa"/>
              <w:bottom w:w="0" w:type="dxa"/>
              <w:right w:w="108" w:type="dxa"/>
            </w:tcMar>
          </w:tcPr>
          <w:p w:rsidR="00A368BC" w:rsidRPr="00FE3B3A" w:rsidRDefault="00A368BC" w:rsidP="00A368BC">
            <w:pPr>
              <w:spacing w:after="0"/>
              <w:ind w:left="0"/>
              <w:rPr>
                <w:rFonts w:ascii="Calibri" w:hAnsi="Calibri" w:cs="Arial"/>
                <w:sz w:val="22"/>
                <w:szCs w:val="22"/>
              </w:rPr>
            </w:pPr>
            <w:r w:rsidRPr="00FE3B3A">
              <w:rPr>
                <w:rFonts w:ascii="Calibri" w:hAnsi="Calibri" w:cs="Arial"/>
                <w:sz w:val="22"/>
                <w:szCs w:val="22"/>
              </w:rPr>
              <w:t>Pass</w:t>
            </w:r>
          </w:p>
        </w:tc>
        <w:tc>
          <w:tcPr>
            <w:tcW w:w="2132" w:type="dxa"/>
            <w:tcBorders>
              <w:top w:val="nil"/>
              <w:left w:val="nil"/>
              <w:bottom w:val="single" w:sz="8" w:space="0" w:color="auto"/>
              <w:right w:val="single" w:sz="8" w:space="0" w:color="auto"/>
            </w:tcBorders>
            <w:tcMar>
              <w:top w:w="0" w:type="dxa"/>
              <w:left w:w="108" w:type="dxa"/>
              <w:bottom w:w="0" w:type="dxa"/>
              <w:right w:w="108" w:type="dxa"/>
            </w:tcMar>
          </w:tcPr>
          <w:p w:rsidR="00A368BC" w:rsidRPr="00FE3B3A" w:rsidRDefault="00A368BC" w:rsidP="00A368BC">
            <w:pPr>
              <w:spacing w:after="0"/>
              <w:ind w:left="0"/>
              <w:rPr>
                <w:rFonts w:ascii="Calibri" w:hAnsi="Calibri" w:cs="Arial"/>
                <w:sz w:val="22"/>
                <w:szCs w:val="22"/>
              </w:rPr>
            </w:pPr>
            <w:r w:rsidRPr="00FE3B3A">
              <w:rPr>
                <w:rFonts w:ascii="Calibri" w:hAnsi="Calibri" w:cs="Arial"/>
                <w:sz w:val="22"/>
                <w:szCs w:val="22"/>
              </w:rPr>
              <w:t>Pass</w:t>
            </w:r>
          </w:p>
        </w:tc>
      </w:tr>
    </w:tbl>
    <w:p w:rsidR="00A368BC" w:rsidRPr="00FE3B3A" w:rsidRDefault="00A368BC" w:rsidP="00A368BC">
      <w:pPr>
        <w:spacing w:after="0"/>
        <w:ind w:left="0"/>
        <w:rPr>
          <w:rFonts w:ascii="Calibri" w:hAnsi="Calibri" w:cs="Arial"/>
          <w:sz w:val="22"/>
          <w:szCs w:val="22"/>
        </w:rPr>
      </w:pPr>
      <w:r w:rsidRPr="00FE3B3A">
        <w:rPr>
          <w:rFonts w:ascii="Calibri" w:hAnsi="Calibri" w:cs="Arial"/>
          <w:sz w:val="16"/>
          <w:szCs w:val="16"/>
        </w:rPr>
        <w:t> </w:t>
      </w:r>
    </w:p>
    <w:p w:rsidR="00A368BC" w:rsidRPr="000C6845" w:rsidRDefault="00A368BC" w:rsidP="00A368BC">
      <w:pPr>
        <w:spacing w:after="0"/>
        <w:ind w:left="0"/>
        <w:rPr>
          <w:rFonts w:cs="Arial"/>
          <w:szCs w:val="22"/>
        </w:rPr>
      </w:pPr>
      <w:r w:rsidRPr="000C6845">
        <w:rPr>
          <w:rFonts w:cs="Arial"/>
          <w:szCs w:val="22"/>
          <w:u w:val="single"/>
        </w:rPr>
        <w:t>S</w:t>
      </w:r>
      <w:r w:rsidR="006A4551">
        <w:rPr>
          <w:rFonts w:cs="Arial"/>
          <w:szCs w:val="22"/>
          <w:u w:val="single"/>
        </w:rPr>
        <w:t>ection</w:t>
      </w:r>
      <w:r w:rsidRPr="000C6845">
        <w:rPr>
          <w:rFonts w:cs="Arial"/>
          <w:szCs w:val="22"/>
          <w:u w:val="single"/>
        </w:rPr>
        <w:t xml:space="preserve"> 2</w:t>
      </w:r>
    </w:p>
    <w:p w:rsidR="000C6845" w:rsidRDefault="000C6845" w:rsidP="00A368BC">
      <w:pPr>
        <w:spacing w:after="0"/>
        <w:ind w:left="0"/>
        <w:rPr>
          <w:rFonts w:cs="Arial"/>
          <w:i/>
          <w:iCs/>
          <w:szCs w:val="22"/>
        </w:rPr>
      </w:pPr>
    </w:p>
    <w:p w:rsidR="00A368BC" w:rsidRPr="000C6845" w:rsidRDefault="00A368BC" w:rsidP="00A368BC">
      <w:pPr>
        <w:spacing w:after="0"/>
        <w:ind w:left="0"/>
        <w:rPr>
          <w:rFonts w:cs="Arial"/>
          <w:szCs w:val="22"/>
        </w:rPr>
      </w:pPr>
      <w:r w:rsidRPr="000C6845">
        <w:rPr>
          <w:rFonts w:cs="Arial"/>
          <w:i/>
          <w:iCs/>
          <w:szCs w:val="22"/>
        </w:rPr>
        <w:t>Full set of measures</w:t>
      </w:r>
      <w:r w:rsidR="004713E2">
        <w:rPr>
          <w:rFonts w:cs="Arial"/>
          <w:i/>
          <w:iCs/>
          <w:szCs w:val="22"/>
        </w:rPr>
        <w:t xml:space="preserve"> in relation to </w:t>
      </w:r>
      <w:r w:rsidR="00DC3710">
        <w:rPr>
          <w:rFonts w:cs="Arial"/>
          <w:i/>
          <w:iCs/>
          <w:szCs w:val="22"/>
        </w:rPr>
        <w:t>materials within 40mm of the visible cover</w:t>
      </w:r>
      <w:r w:rsidRPr="000C6845">
        <w:rPr>
          <w:rFonts w:cs="Arial"/>
          <w:i/>
          <w:iCs/>
          <w:szCs w:val="22"/>
        </w:rPr>
        <w:t xml:space="preserve"> + </w:t>
      </w:r>
      <w:r w:rsidR="00E61863">
        <w:rPr>
          <w:rFonts w:cs="Arial"/>
          <w:i/>
          <w:iCs/>
          <w:szCs w:val="22"/>
        </w:rPr>
        <w:t>n</w:t>
      </w:r>
      <w:r w:rsidR="00DC3710">
        <w:rPr>
          <w:rFonts w:cs="Arial"/>
          <w:i/>
          <w:iCs/>
          <w:szCs w:val="22"/>
        </w:rPr>
        <w:t xml:space="preserve">ew </w:t>
      </w:r>
      <w:r w:rsidR="00E61863">
        <w:rPr>
          <w:rFonts w:cs="Arial"/>
          <w:i/>
          <w:iCs/>
          <w:szCs w:val="22"/>
        </w:rPr>
        <w:t>p</w:t>
      </w:r>
      <w:r w:rsidR="00DC3710">
        <w:rPr>
          <w:rFonts w:cs="Arial"/>
          <w:i/>
          <w:iCs/>
          <w:szCs w:val="22"/>
        </w:rPr>
        <w:t>roposed</w:t>
      </w:r>
      <w:r w:rsidRPr="000C6845">
        <w:rPr>
          <w:rFonts w:cs="Arial"/>
          <w:i/>
          <w:iCs/>
          <w:szCs w:val="22"/>
        </w:rPr>
        <w:t xml:space="preserve"> </w:t>
      </w:r>
      <w:r w:rsidR="00E61863">
        <w:rPr>
          <w:rFonts w:cs="Arial"/>
          <w:i/>
          <w:iCs/>
          <w:szCs w:val="22"/>
        </w:rPr>
        <w:t>m</w:t>
      </w:r>
      <w:r w:rsidRPr="000C6845">
        <w:rPr>
          <w:rFonts w:cs="Arial"/>
          <w:i/>
          <w:iCs/>
          <w:szCs w:val="22"/>
        </w:rPr>
        <w:t xml:space="preserve">atch </w:t>
      </w:r>
      <w:r w:rsidR="00E61863">
        <w:rPr>
          <w:rFonts w:cs="Arial"/>
          <w:i/>
          <w:iCs/>
          <w:szCs w:val="22"/>
        </w:rPr>
        <w:t>t</w:t>
      </w:r>
      <w:r w:rsidRPr="000C6845">
        <w:rPr>
          <w:rFonts w:cs="Arial"/>
          <w:i/>
          <w:iCs/>
          <w:szCs w:val="22"/>
        </w:rPr>
        <w:t xml:space="preserve">est ≥ Schedule 5 Part 1 </w:t>
      </w:r>
      <w:r w:rsidR="00E61863">
        <w:rPr>
          <w:rFonts w:cs="Arial"/>
          <w:i/>
          <w:iCs/>
          <w:szCs w:val="22"/>
        </w:rPr>
        <w:t>p</w:t>
      </w:r>
      <w:r w:rsidRPr="000C6845">
        <w:rPr>
          <w:rFonts w:cs="Arial"/>
          <w:i/>
          <w:iCs/>
          <w:szCs w:val="22"/>
        </w:rPr>
        <w:t>ass</w:t>
      </w:r>
    </w:p>
    <w:p w:rsidR="000C6845" w:rsidRDefault="000C6845" w:rsidP="00A368BC">
      <w:pPr>
        <w:spacing w:after="0"/>
        <w:ind w:left="0"/>
        <w:rPr>
          <w:rFonts w:cs="Arial"/>
          <w:szCs w:val="22"/>
        </w:rPr>
      </w:pPr>
    </w:p>
    <w:p w:rsidR="00A368BC" w:rsidRPr="000C6845" w:rsidRDefault="00A368BC" w:rsidP="00A368BC">
      <w:pPr>
        <w:spacing w:after="0"/>
        <w:ind w:left="0"/>
        <w:rPr>
          <w:rFonts w:cs="Arial"/>
          <w:szCs w:val="22"/>
        </w:rPr>
      </w:pPr>
      <w:r w:rsidRPr="000C6845">
        <w:rPr>
          <w:rFonts w:cs="Arial"/>
          <w:szCs w:val="22"/>
        </w:rPr>
        <w:t>This s</w:t>
      </w:r>
      <w:r w:rsidR="006A4551">
        <w:rPr>
          <w:rFonts w:cs="Arial"/>
          <w:szCs w:val="22"/>
        </w:rPr>
        <w:t>ection</w:t>
      </w:r>
      <w:r w:rsidRPr="000C6845">
        <w:rPr>
          <w:rFonts w:cs="Arial"/>
          <w:szCs w:val="22"/>
        </w:rPr>
        <w:t xml:space="preserve"> follows careful selection of materials to identify the most sensitive composites which may be modelled. Issues arose primarily in relation to synthetic materials.</w:t>
      </w:r>
    </w:p>
    <w:p w:rsidR="00A368BC" w:rsidRPr="00FE3B3A" w:rsidRDefault="00A368BC" w:rsidP="00A368BC">
      <w:pPr>
        <w:spacing w:after="0"/>
        <w:ind w:left="0"/>
        <w:rPr>
          <w:rFonts w:ascii="Calibri" w:hAnsi="Calibri" w:cs="Arial"/>
          <w:sz w:val="22"/>
          <w:szCs w:val="22"/>
        </w:rPr>
      </w:pPr>
      <w:r w:rsidRPr="00FE3B3A">
        <w:rPr>
          <w:rFonts w:ascii="Calibri" w:hAnsi="Calibri" w:cs="Arial"/>
          <w:sz w:val="16"/>
          <w:szCs w:val="16"/>
        </w:rPr>
        <w:t> </w:t>
      </w:r>
    </w:p>
    <w:tbl>
      <w:tblPr>
        <w:tblW w:w="0" w:type="auto"/>
        <w:tblCellMar>
          <w:left w:w="0" w:type="dxa"/>
          <w:right w:w="0" w:type="dxa"/>
        </w:tblCellMar>
        <w:tblLook w:val="0000" w:firstRow="0" w:lastRow="0" w:firstColumn="0" w:lastColumn="0" w:noHBand="0" w:noVBand="0"/>
      </w:tblPr>
      <w:tblGrid>
        <w:gridCol w:w="4264"/>
        <w:gridCol w:w="2132"/>
        <w:gridCol w:w="2132"/>
      </w:tblGrid>
      <w:tr w:rsidR="00A368BC" w:rsidRPr="00FE3B3A" w:rsidTr="009E4AE2">
        <w:trPr>
          <w:tblHeader/>
        </w:trPr>
        <w:tc>
          <w:tcPr>
            <w:tcW w:w="4264"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A368BC" w:rsidRPr="00FE3B3A" w:rsidRDefault="00A368BC" w:rsidP="00E61863">
            <w:pPr>
              <w:spacing w:after="0"/>
              <w:ind w:left="0"/>
              <w:rPr>
                <w:rFonts w:ascii="Calibri" w:hAnsi="Calibri" w:cs="Arial"/>
                <w:sz w:val="22"/>
                <w:szCs w:val="22"/>
              </w:rPr>
            </w:pPr>
            <w:r w:rsidRPr="00FE3B3A">
              <w:rPr>
                <w:rFonts w:ascii="Calibri" w:hAnsi="Calibri" w:cs="Arial"/>
                <w:sz w:val="22"/>
                <w:szCs w:val="22"/>
              </w:rPr>
              <w:t xml:space="preserve">Cover </w:t>
            </w:r>
            <w:r w:rsidR="00E61863">
              <w:rPr>
                <w:rFonts w:ascii="Calibri" w:hAnsi="Calibri" w:cs="Arial"/>
                <w:sz w:val="22"/>
                <w:szCs w:val="22"/>
              </w:rPr>
              <w:t>m</w:t>
            </w:r>
            <w:r w:rsidRPr="00FE3B3A">
              <w:rPr>
                <w:rFonts w:ascii="Calibri" w:hAnsi="Calibri" w:cs="Arial"/>
                <w:sz w:val="22"/>
                <w:szCs w:val="22"/>
              </w:rPr>
              <w:t xml:space="preserve">aterial </w:t>
            </w:r>
            <w:r w:rsidR="00E61863">
              <w:rPr>
                <w:rFonts w:ascii="Calibri" w:hAnsi="Calibri" w:cs="Arial"/>
                <w:sz w:val="22"/>
                <w:szCs w:val="22"/>
              </w:rPr>
              <w:t>t</w:t>
            </w:r>
            <w:r w:rsidRPr="00FE3B3A">
              <w:rPr>
                <w:rFonts w:ascii="Calibri" w:hAnsi="Calibri" w:cs="Arial"/>
                <w:sz w:val="22"/>
                <w:szCs w:val="22"/>
              </w:rPr>
              <w:t>ype</w:t>
            </w:r>
          </w:p>
        </w:tc>
        <w:tc>
          <w:tcPr>
            <w:tcW w:w="213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tcPr>
          <w:p w:rsidR="00A368BC" w:rsidRPr="00FE3B3A" w:rsidRDefault="00A368BC" w:rsidP="00E61863">
            <w:pPr>
              <w:spacing w:after="0"/>
              <w:ind w:left="0"/>
              <w:rPr>
                <w:rFonts w:ascii="Calibri" w:hAnsi="Calibri" w:cs="Arial"/>
                <w:sz w:val="22"/>
                <w:szCs w:val="22"/>
              </w:rPr>
            </w:pPr>
            <w:r w:rsidRPr="00FE3B3A">
              <w:rPr>
                <w:rFonts w:ascii="Calibri" w:hAnsi="Calibri" w:cs="Arial"/>
                <w:sz w:val="22"/>
                <w:szCs w:val="22"/>
              </w:rPr>
              <w:t xml:space="preserve">Schedule 5 Part 1 </w:t>
            </w:r>
            <w:r w:rsidR="00E61863">
              <w:rPr>
                <w:rFonts w:ascii="Calibri" w:hAnsi="Calibri" w:cs="Arial"/>
                <w:sz w:val="22"/>
                <w:szCs w:val="22"/>
              </w:rPr>
              <w:t>t</w:t>
            </w:r>
            <w:r w:rsidRPr="00FE3B3A">
              <w:rPr>
                <w:rFonts w:ascii="Calibri" w:hAnsi="Calibri" w:cs="Arial"/>
                <w:sz w:val="22"/>
                <w:szCs w:val="22"/>
              </w:rPr>
              <w:t>est</w:t>
            </w:r>
          </w:p>
        </w:tc>
        <w:tc>
          <w:tcPr>
            <w:tcW w:w="213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tcPr>
          <w:p w:rsidR="00A368BC" w:rsidRPr="00FE3B3A" w:rsidRDefault="00DC3710" w:rsidP="008D3C2A">
            <w:pPr>
              <w:spacing w:after="0"/>
              <w:ind w:left="0"/>
              <w:rPr>
                <w:rFonts w:ascii="Calibri" w:hAnsi="Calibri" w:cs="Arial"/>
                <w:sz w:val="22"/>
                <w:szCs w:val="22"/>
              </w:rPr>
            </w:pPr>
            <w:r>
              <w:rPr>
                <w:rFonts w:ascii="Calibri" w:hAnsi="Calibri" w:cs="Arial"/>
                <w:sz w:val="22"/>
                <w:szCs w:val="22"/>
                <w:lang w:val="fr-FR"/>
              </w:rPr>
              <w:t xml:space="preserve">Proposed </w:t>
            </w:r>
            <w:r w:rsidR="00E61863">
              <w:rPr>
                <w:rFonts w:ascii="Calibri" w:hAnsi="Calibri" w:cs="Arial"/>
                <w:sz w:val="22"/>
                <w:szCs w:val="22"/>
                <w:lang w:val="fr-FR"/>
              </w:rPr>
              <w:t>n</w:t>
            </w:r>
            <w:r>
              <w:rPr>
                <w:rFonts w:ascii="Calibri" w:hAnsi="Calibri" w:cs="Arial"/>
                <w:sz w:val="22"/>
                <w:szCs w:val="22"/>
                <w:lang w:val="fr-FR"/>
              </w:rPr>
              <w:t>ew</w:t>
            </w:r>
            <w:r w:rsidR="00A368BC" w:rsidRPr="00FE3B3A">
              <w:rPr>
                <w:rFonts w:ascii="Calibri" w:hAnsi="Calibri" w:cs="Arial"/>
                <w:sz w:val="22"/>
                <w:szCs w:val="22"/>
                <w:lang w:val="fr-FR"/>
              </w:rPr>
              <w:t xml:space="preserve"> </w:t>
            </w:r>
            <w:r w:rsidR="00E61863">
              <w:rPr>
                <w:rFonts w:ascii="Calibri" w:hAnsi="Calibri" w:cs="Arial"/>
                <w:sz w:val="22"/>
                <w:szCs w:val="22"/>
                <w:lang w:val="fr-FR"/>
              </w:rPr>
              <w:t>m</w:t>
            </w:r>
            <w:r w:rsidR="00A368BC" w:rsidRPr="00FE3B3A">
              <w:rPr>
                <w:rFonts w:ascii="Calibri" w:hAnsi="Calibri" w:cs="Arial"/>
                <w:sz w:val="22"/>
                <w:szCs w:val="22"/>
                <w:lang w:val="fr-FR"/>
              </w:rPr>
              <w:t xml:space="preserve">atch </w:t>
            </w:r>
            <w:r w:rsidR="008D3C2A">
              <w:rPr>
                <w:rFonts w:ascii="Calibri" w:hAnsi="Calibri" w:cs="Arial"/>
                <w:sz w:val="22"/>
                <w:szCs w:val="22"/>
                <w:lang w:val="fr-FR"/>
              </w:rPr>
              <w:t>te</w:t>
            </w:r>
            <w:r w:rsidR="00A368BC" w:rsidRPr="00FE3B3A">
              <w:rPr>
                <w:rFonts w:ascii="Calibri" w:hAnsi="Calibri" w:cs="Arial"/>
                <w:sz w:val="22"/>
                <w:szCs w:val="22"/>
                <w:lang w:val="fr-FR"/>
              </w:rPr>
              <w:t>st</w:t>
            </w:r>
          </w:p>
        </w:tc>
      </w:tr>
      <w:tr w:rsidR="00A368BC" w:rsidRPr="00FE3B3A" w:rsidTr="00A368BC">
        <w:tc>
          <w:tcPr>
            <w:tcW w:w="42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368BC" w:rsidRPr="00FE3B3A" w:rsidRDefault="00A368BC" w:rsidP="00A368BC">
            <w:pPr>
              <w:spacing w:after="0"/>
              <w:ind w:left="0"/>
              <w:rPr>
                <w:rFonts w:ascii="Calibri" w:hAnsi="Calibri" w:cs="Arial"/>
                <w:sz w:val="22"/>
                <w:szCs w:val="22"/>
              </w:rPr>
            </w:pPr>
            <w:r w:rsidRPr="00FE3B3A">
              <w:rPr>
                <w:rFonts w:ascii="Calibri" w:hAnsi="Calibri" w:cs="Arial"/>
                <w:sz w:val="22"/>
                <w:szCs w:val="22"/>
              </w:rPr>
              <w:t>100% Polyester (Inherently Flame Retardant)</w:t>
            </w:r>
          </w:p>
        </w:tc>
        <w:tc>
          <w:tcPr>
            <w:tcW w:w="2132" w:type="dxa"/>
            <w:tcBorders>
              <w:top w:val="nil"/>
              <w:left w:val="nil"/>
              <w:bottom w:val="single" w:sz="8" w:space="0" w:color="auto"/>
              <w:right w:val="single" w:sz="8" w:space="0" w:color="auto"/>
            </w:tcBorders>
            <w:tcMar>
              <w:top w:w="0" w:type="dxa"/>
              <w:left w:w="108" w:type="dxa"/>
              <w:bottom w:w="0" w:type="dxa"/>
              <w:right w:w="108" w:type="dxa"/>
            </w:tcMar>
          </w:tcPr>
          <w:p w:rsidR="00A368BC" w:rsidRPr="00FE3B3A" w:rsidRDefault="00A368BC" w:rsidP="00A368BC">
            <w:pPr>
              <w:spacing w:after="0"/>
              <w:ind w:left="0"/>
              <w:rPr>
                <w:rFonts w:ascii="Calibri" w:hAnsi="Calibri" w:cs="Arial"/>
                <w:sz w:val="22"/>
                <w:szCs w:val="22"/>
              </w:rPr>
            </w:pPr>
            <w:r w:rsidRPr="00FE3B3A">
              <w:rPr>
                <w:rFonts w:ascii="Calibri" w:hAnsi="Calibri" w:cs="Arial"/>
                <w:sz w:val="22"/>
                <w:szCs w:val="22"/>
              </w:rPr>
              <w:t>Fail</w:t>
            </w:r>
          </w:p>
        </w:tc>
        <w:tc>
          <w:tcPr>
            <w:tcW w:w="2132" w:type="dxa"/>
            <w:tcBorders>
              <w:top w:val="nil"/>
              <w:left w:val="nil"/>
              <w:bottom w:val="single" w:sz="8" w:space="0" w:color="auto"/>
              <w:right w:val="single" w:sz="8" w:space="0" w:color="auto"/>
            </w:tcBorders>
            <w:tcMar>
              <w:top w:w="0" w:type="dxa"/>
              <w:left w:w="108" w:type="dxa"/>
              <w:bottom w:w="0" w:type="dxa"/>
              <w:right w:w="108" w:type="dxa"/>
            </w:tcMar>
          </w:tcPr>
          <w:p w:rsidR="00A368BC" w:rsidRPr="00FE3B3A" w:rsidRDefault="00A368BC" w:rsidP="00A368BC">
            <w:pPr>
              <w:spacing w:after="0"/>
              <w:ind w:left="0"/>
              <w:rPr>
                <w:rFonts w:ascii="Calibri" w:hAnsi="Calibri" w:cs="Arial"/>
                <w:sz w:val="22"/>
                <w:szCs w:val="22"/>
              </w:rPr>
            </w:pPr>
            <w:r w:rsidRPr="00FE3B3A">
              <w:rPr>
                <w:rFonts w:ascii="Calibri" w:hAnsi="Calibri" w:cs="Arial"/>
                <w:sz w:val="22"/>
                <w:szCs w:val="22"/>
              </w:rPr>
              <w:t>Pass</w:t>
            </w:r>
          </w:p>
        </w:tc>
      </w:tr>
      <w:tr w:rsidR="00A368BC" w:rsidRPr="00FE3B3A" w:rsidTr="00A368BC">
        <w:tc>
          <w:tcPr>
            <w:tcW w:w="42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368BC" w:rsidRPr="00FE3B3A" w:rsidRDefault="00A368BC" w:rsidP="00A368BC">
            <w:pPr>
              <w:spacing w:after="0"/>
              <w:ind w:left="0"/>
              <w:rPr>
                <w:rFonts w:ascii="Calibri" w:hAnsi="Calibri" w:cs="Arial"/>
                <w:sz w:val="22"/>
                <w:szCs w:val="22"/>
              </w:rPr>
            </w:pPr>
            <w:r w:rsidRPr="00FE3B3A">
              <w:rPr>
                <w:rFonts w:ascii="Calibri" w:hAnsi="Calibri" w:cs="Arial"/>
                <w:sz w:val="22"/>
                <w:szCs w:val="22"/>
              </w:rPr>
              <w:t>50% Polyester, 50% Cotton</w:t>
            </w:r>
          </w:p>
        </w:tc>
        <w:tc>
          <w:tcPr>
            <w:tcW w:w="2132" w:type="dxa"/>
            <w:tcBorders>
              <w:top w:val="nil"/>
              <w:left w:val="nil"/>
              <w:bottom w:val="single" w:sz="8" w:space="0" w:color="auto"/>
              <w:right w:val="single" w:sz="8" w:space="0" w:color="auto"/>
            </w:tcBorders>
            <w:tcMar>
              <w:top w:w="0" w:type="dxa"/>
              <w:left w:w="108" w:type="dxa"/>
              <w:bottom w:w="0" w:type="dxa"/>
              <w:right w:w="108" w:type="dxa"/>
            </w:tcMar>
          </w:tcPr>
          <w:p w:rsidR="00A368BC" w:rsidRPr="00FE3B3A" w:rsidRDefault="00A368BC" w:rsidP="00A368BC">
            <w:pPr>
              <w:spacing w:after="0"/>
              <w:ind w:left="0"/>
              <w:rPr>
                <w:rFonts w:ascii="Calibri" w:hAnsi="Calibri" w:cs="Arial"/>
                <w:sz w:val="22"/>
                <w:szCs w:val="22"/>
              </w:rPr>
            </w:pPr>
            <w:r w:rsidRPr="00FE3B3A">
              <w:rPr>
                <w:rFonts w:ascii="Calibri" w:hAnsi="Calibri" w:cs="Arial"/>
                <w:sz w:val="22"/>
                <w:szCs w:val="22"/>
              </w:rPr>
              <w:t>Pass</w:t>
            </w:r>
          </w:p>
        </w:tc>
        <w:tc>
          <w:tcPr>
            <w:tcW w:w="2132" w:type="dxa"/>
            <w:tcBorders>
              <w:top w:val="nil"/>
              <w:left w:val="nil"/>
              <w:bottom w:val="single" w:sz="8" w:space="0" w:color="auto"/>
              <w:right w:val="single" w:sz="8" w:space="0" w:color="auto"/>
            </w:tcBorders>
            <w:tcMar>
              <w:top w:w="0" w:type="dxa"/>
              <w:left w:w="108" w:type="dxa"/>
              <w:bottom w:w="0" w:type="dxa"/>
              <w:right w:w="108" w:type="dxa"/>
            </w:tcMar>
          </w:tcPr>
          <w:p w:rsidR="00A368BC" w:rsidRPr="00FE3B3A" w:rsidRDefault="00A368BC" w:rsidP="00A368BC">
            <w:pPr>
              <w:spacing w:after="0"/>
              <w:ind w:left="0"/>
              <w:rPr>
                <w:rFonts w:ascii="Calibri" w:hAnsi="Calibri" w:cs="Arial"/>
                <w:sz w:val="22"/>
                <w:szCs w:val="22"/>
              </w:rPr>
            </w:pPr>
            <w:r w:rsidRPr="00FE3B3A">
              <w:rPr>
                <w:rFonts w:ascii="Calibri" w:hAnsi="Calibri" w:cs="Arial"/>
                <w:sz w:val="22"/>
                <w:szCs w:val="22"/>
              </w:rPr>
              <w:t>Pass</w:t>
            </w:r>
          </w:p>
        </w:tc>
      </w:tr>
      <w:tr w:rsidR="00A368BC" w:rsidRPr="00FE3B3A" w:rsidTr="00A368BC">
        <w:tc>
          <w:tcPr>
            <w:tcW w:w="42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368BC" w:rsidRPr="00FE3B3A" w:rsidRDefault="00A368BC" w:rsidP="00A368BC">
            <w:pPr>
              <w:spacing w:after="0"/>
              <w:ind w:left="0"/>
              <w:rPr>
                <w:rFonts w:ascii="Calibri" w:hAnsi="Calibri" w:cs="Arial"/>
                <w:sz w:val="22"/>
                <w:szCs w:val="22"/>
              </w:rPr>
            </w:pPr>
            <w:r w:rsidRPr="00FE3B3A">
              <w:rPr>
                <w:rFonts w:ascii="Calibri" w:hAnsi="Calibri" w:cs="Arial"/>
                <w:sz w:val="22"/>
                <w:szCs w:val="22"/>
              </w:rPr>
              <w:t>100% Cotton</w:t>
            </w:r>
          </w:p>
        </w:tc>
        <w:tc>
          <w:tcPr>
            <w:tcW w:w="2132" w:type="dxa"/>
            <w:tcBorders>
              <w:top w:val="nil"/>
              <w:left w:val="nil"/>
              <w:bottom w:val="single" w:sz="8" w:space="0" w:color="auto"/>
              <w:right w:val="single" w:sz="8" w:space="0" w:color="auto"/>
            </w:tcBorders>
            <w:tcMar>
              <w:top w:w="0" w:type="dxa"/>
              <w:left w:w="108" w:type="dxa"/>
              <w:bottom w:w="0" w:type="dxa"/>
              <w:right w:w="108" w:type="dxa"/>
            </w:tcMar>
          </w:tcPr>
          <w:p w:rsidR="00A368BC" w:rsidRPr="00FE3B3A" w:rsidRDefault="00A368BC" w:rsidP="00A368BC">
            <w:pPr>
              <w:spacing w:after="0"/>
              <w:ind w:left="0"/>
              <w:rPr>
                <w:rFonts w:ascii="Calibri" w:hAnsi="Calibri" w:cs="Arial"/>
                <w:sz w:val="22"/>
                <w:szCs w:val="22"/>
              </w:rPr>
            </w:pPr>
            <w:r w:rsidRPr="00FE3B3A">
              <w:rPr>
                <w:rFonts w:ascii="Calibri" w:hAnsi="Calibri" w:cs="Arial"/>
                <w:sz w:val="22"/>
                <w:szCs w:val="22"/>
              </w:rPr>
              <w:t>Pass</w:t>
            </w:r>
          </w:p>
        </w:tc>
        <w:tc>
          <w:tcPr>
            <w:tcW w:w="2132" w:type="dxa"/>
            <w:tcBorders>
              <w:top w:val="nil"/>
              <w:left w:val="nil"/>
              <w:bottom w:val="single" w:sz="8" w:space="0" w:color="auto"/>
              <w:right w:val="single" w:sz="8" w:space="0" w:color="auto"/>
            </w:tcBorders>
            <w:tcMar>
              <w:top w:w="0" w:type="dxa"/>
              <w:left w:w="108" w:type="dxa"/>
              <w:bottom w:w="0" w:type="dxa"/>
              <w:right w:w="108" w:type="dxa"/>
            </w:tcMar>
          </w:tcPr>
          <w:p w:rsidR="00A368BC" w:rsidRPr="00FE3B3A" w:rsidRDefault="00A368BC" w:rsidP="00A368BC">
            <w:pPr>
              <w:spacing w:after="0"/>
              <w:ind w:left="0"/>
              <w:rPr>
                <w:rFonts w:ascii="Calibri" w:hAnsi="Calibri" w:cs="Arial"/>
                <w:sz w:val="22"/>
                <w:szCs w:val="22"/>
              </w:rPr>
            </w:pPr>
            <w:r w:rsidRPr="00FE3B3A">
              <w:rPr>
                <w:rFonts w:ascii="Calibri" w:hAnsi="Calibri" w:cs="Arial"/>
                <w:sz w:val="22"/>
                <w:szCs w:val="22"/>
              </w:rPr>
              <w:t>Pass</w:t>
            </w:r>
          </w:p>
        </w:tc>
      </w:tr>
      <w:tr w:rsidR="00A368BC" w:rsidRPr="00FE3B3A" w:rsidTr="00A368BC">
        <w:tc>
          <w:tcPr>
            <w:tcW w:w="42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368BC" w:rsidRPr="00FE3B3A" w:rsidRDefault="00A368BC" w:rsidP="00A368BC">
            <w:pPr>
              <w:spacing w:after="0"/>
              <w:ind w:left="0"/>
              <w:rPr>
                <w:rFonts w:ascii="Calibri" w:hAnsi="Calibri" w:cs="Arial"/>
                <w:sz w:val="22"/>
                <w:szCs w:val="22"/>
              </w:rPr>
            </w:pPr>
            <w:r w:rsidRPr="00FE3B3A">
              <w:rPr>
                <w:rFonts w:ascii="Calibri" w:hAnsi="Calibri" w:cs="Arial"/>
                <w:sz w:val="22"/>
                <w:szCs w:val="22"/>
              </w:rPr>
              <w:t>100% Acrylic</w:t>
            </w:r>
          </w:p>
        </w:tc>
        <w:tc>
          <w:tcPr>
            <w:tcW w:w="2132" w:type="dxa"/>
            <w:tcBorders>
              <w:top w:val="nil"/>
              <w:left w:val="nil"/>
              <w:bottom w:val="single" w:sz="8" w:space="0" w:color="auto"/>
              <w:right w:val="single" w:sz="8" w:space="0" w:color="auto"/>
            </w:tcBorders>
            <w:tcMar>
              <w:top w:w="0" w:type="dxa"/>
              <w:left w:w="108" w:type="dxa"/>
              <w:bottom w:w="0" w:type="dxa"/>
              <w:right w:w="108" w:type="dxa"/>
            </w:tcMar>
          </w:tcPr>
          <w:p w:rsidR="00A368BC" w:rsidRPr="00FE3B3A" w:rsidRDefault="00A368BC" w:rsidP="00A368BC">
            <w:pPr>
              <w:spacing w:after="0"/>
              <w:ind w:left="0"/>
              <w:rPr>
                <w:rFonts w:ascii="Calibri" w:hAnsi="Calibri" w:cs="Arial"/>
                <w:sz w:val="22"/>
                <w:szCs w:val="22"/>
              </w:rPr>
            </w:pPr>
            <w:r w:rsidRPr="00FE3B3A">
              <w:rPr>
                <w:rFonts w:ascii="Calibri" w:hAnsi="Calibri" w:cs="Arial"/>
                <w:sz w:val="22"/>
                <w:szCs w:val="22"/>
              </w:rPr>
              <w:t>Pass</w:t>
            </w:r>
          </w:p>
        </w:tc>
        <w:tc>
          <w:tcPr>
            <w:tcW w:w="2132" w:type="dxa"/>
            <w:tcBorders>
              <w:top w:val="nil"/>
              <w:left w:val="nil"/>
              <w:bottom w:val="single" w:sz="8" w:space="0" w:color="auto"/>
              <w:right w:val="single" w:sz="8" w:space="0" w:color="auto"/>
            </w:tcBorders>
            <w:tcMar>
              <w:top w:w="0" w:type="dxa"/>
              <w:left w:w="108" w:type="dxa"/>
              <w:bottom w:w="0" w:type="dxa"/>
              <w:right w:w="108" w:type="dxa"/>
            </w:tcMar>
          </w:tcPr>
          <w:p w:rsidR="00A368BC" w:rsidRPr="00FE3B3A" w:rsidRDefault="00A368BC" w:rsidP="00A368BC">
            <w:pPr>
              <w:spacing w:after="0"/>
              <w:ind w:left="0"/>
              <w:rPr>
                <w:rFonts w:ascii="Calibri" w:hAnsi="Calibri" w:cs="Arial"/>
                <w:sz w:val="22"/>
                <w:szCs w:val="22"/>
              </w:rPr>
            </w:pPr>
            <w:r w:rsidRPr="00FE3B3A">
              <w:rPr>
                <w:rFonts w:ascii="Calibri" w:hAnsi="Calibri" w:cs="Arial"/>
                <w:sz w:val="22"/>
                <w:szCs w:val="22"/>
              </w:rPr>
              <w:t>Pass</w:t>
            </w:r>
          </w:p>
        </w:tc>
      </w:tr>
      <w:tr w:rsidR="00A368BC" w:rsidRPr="00FE3B3A" w:rsidTr="00A368BC">
        <w:tc>
          <w:tcPr>
            <w:tcW w:w="42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368BC" w:rsidRPr="00FE3B3A" w:rsidRDefault="00A368BC" w:rsidP="00A368BC">
            <w:pPr>
              <w:spacing w:after="0"/>
              <w:ind w:left="0"/>
              <w:rPr>
                <w:rFonts w:ascii="Calibri" w:hAnsi="Calibri" w:cs="Arial"/>
                <w:sz w:val="22"/>
                <w:szCs w:val="22"/>
              </w:rPr>
            </w:pPr>
            <w:r w:rsidRPr="00FE3B3A">
              <w:rPr>
                <w:rFonts w:ascii="Calibri" w:hAnsi="Calibri" w:cs="Arial"/>
                <w:sz w:val="22"/>
                <w:szCs w:val="22"/>
              </w:rPr>
              <w:t>100% Wool (180gsm)</w:t>
            </w:r>
          </w:p>
        </w:tc>
        <w:tc>
          <w:tcPr>
            <w:tcW w:w="2132" w:type="dxa"/>
            <w:tcBorders>
              <w:top w:val="nil"/>
              <w:left w:val="nil"/>
              <w:bottom w:val="single" w:sz="8" w:space="0" w:color="auto"/>
              <w:right w:val="single" w:sz="8" w:space="0" w:color="auto"/>
            </w:tcBorders>
            <w:tcMar>
              <w:top w:w="0" w:type="dxa"/>
              <w:left w:w="108" w:type="dxa"/>
              <w:bottom w:w="0" w:type="dxa"/>
              <w:right w:w="108" w:type="dxa"/>
            </w:tcMar>
          </w:tcPr>
          <w:p w:rsidR="00A368BC" w:rsidRPr="00FE3B3A" w:rsidRDefault="00A368BC" w:rsidP="00A368BC">
            <w:pPr>
              <w:spacing w:after="0"/>
              <w:ind w:left="0"/>
              <w:rPr>
                <w:rFonts w:ascii="Calibri" w:hAnsi="Calibri" w:cs="Arial"/>
                <w:sz w:val="22"/>
                <w:szCs w:val="22"/>
              </w:rPr>
            </w:pPr>
            <w:r w:rsidRPr="00FE3B3A">
              <w:rPr>
                <w:rFonts w:ascii="Calibri" w:hAnsi="Calibri" w:cs="Arial"/>
                <w:sz w:val="22"/>
                <w:szCs w:val="22"/>
              </w:rPr>
              <w:t>Fail</w:t>
            </w:r>
          </w:p>
        </w:tc>
        <w:tc>
          <w:tcPr>
            <w:tcW w:w="2132" w:type="dxa"/>
            <w:tcBorders>
              <w:top w:val="nil"/>
              <w:left w:val="nil"/>
              <w:bottom w:val="single" w:sz="8" w:space="0" w:color="auto"/>
              <w:right w:val="single" w:sz="8" w:space="0" w:color="auto"/>
            </w:tcBorders>
            <w:tcMar>
              <w:top w:w="0" w:type="dxa"/>
              <w:left w:w="108" w:type="dxa"/>
              <w:bottom w:w="0" w:type="dxa"/>
              <w:right w:w="108" w:type="dxa"/>
            </w:tcMar>
          </w:tcPr>
          <w:p w:rsidR="00A368BC" w:rsidRPr="00FE3B3A" w:rsidRDefault="00A368BC" w:rsidP="00A368BC">
            <w:pPr>
              <w:spacing w:after="0"/>
              <w:ind w:left="0"/>
              <w:rPr>
                <w:rFonts w:ascii="Calibri" w:hAnsi="Calibri" w:cs="Arial"/>
                <w:sz w:val="22"/>
                <w:szCs w:val="22"/>
              </w:rPr>
            </w:pPr>
            <w:r w:rsidRPr="00FE3B3A">
              <w:rPr>
                <w:rFonts w:ascii="Calibri" w:hAnsi="Calibri" w:cs="Arial"/>
                <w:sz w:val="22"/>
                <w:szCs w:val="22"/>
              </w:rPr>
              <w:t>Pass</w:t>
            </w:r>
          </w:p>
        </w:tc>
      </w:tr>
    </w:tbl>
    <w:p w:rsidR="00A368BC" w:rsidRPr="00FE3B3A" w:rsidRDefault="00A368BC" w:rsidP="00A368BC">
      <w:pPr>
        <w:spacing w:after="0"/>
        <w:ind w:left="0"/>
        <w:rPr>
          <w:rFonts w:ascii="Calibri" w:hAnsi="Calibri" w:cs="Arial"/>
          <w:sz w:val="22"/>
          <w:szCs w:val="22"/>
        </w:rPr>
      </w:pPr>
      <w:r w:rsidRPr="00FE3B3A">
        <w:rPr>
          <w:rFonts w:ascii="Calibri" w:hAnsi="Calibri" w:cs="Arial"/>
          <w:sz w:val="16"/>
          <w:szCs w:val="16"/>
        </w:rPr>
        <w:t> </w:t>
      </w:r>
    </w:p>
    <w:tbl>
      <w:tblPr>
        <w:tblW w:w="8568" w:type="dxa"/>
        <w:tblCellMar>
          <w:left w:w="0" w:type="dxa"/>
          <w:right w:w="0" w:type="dxa"/>
        </w:tblCellMar>
        <w:tblLook w:val="0000" w:firstRow="0" w:lastRow="0" w:firstColumn="0" w:lastColumn="0" w:noHBand="0" w:noVBand="0"/>
      </w:tblPr>
      <w:tblGrid>
        <w:gridCol w:w="2088"/>
        <w:gridCol w:w="1980"/>
        <w:gridCol w:w="2546"/>
        <w:gridCol w:w="1954"/>
      </w:tblGrid>
      <w:tr w:rsidR="00A368BC" w:rsidRPr="00FE3B3A" w:rsidTr="009E4AE2">
        <w:trPr>
          <w:trHeight w:val="453"/>
          <w:tblHeader/>
        </w:trPr>
        <w:tc>
          <w:tcPr>
            <w:tcW w:w="2088"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A368BC" w:rsidRPr="00FE3B3A" w:rsidRDefault="00A368BC" w:rsidP="00E61863">
            <w:pPr>
              <w:spacing w:after="0"/>
              <w:ind w:left="0"/>
              <w:rPr>
                <w:rFonts w:ascii="Calibri" w:hAnsi="Calibri" w:cs="Arial"/>
                <w:sz w:val="22"/>
                <w:szCs w:val="22"/>
              </w:rPr>
            </w:pPr>
            <w:r w:rsidRPr="00FE3B3A">
              <w:rPr>
                <w:rFonts w:ascii="Calibri" w:hAnsi="Calibri" w:cs="Arial"/>
                <w:sz w:val="22"/>
                <w:szCs w:val="22"/>
              </w:rPr>
              <w:t xml:space="preserve">Cover </w:t>
            </w:r>
            <w:r w:rsidR="00E61863">
              <w:rPr>
                <w:rFonts w:ascii="Calibri" w:hAnsi="Calibri" w:cs="Arial"/>
                <w:sz w:val="22"/>
                <w:szCs w:val="22"/>
              </w:rPr>
              <w:t>m</w:t>
            </w:r>
            <w:r w:rsidRPr="00FE3B3A">
              <w:rPr>
                <w:rFonts w:ascii="Calibri" w:hAnsi="Calibri" w:cs="Arial"/>
                <w:sz w:val="22"/>
                <w:szCs w:val="22"/>
              </w:rPr>
              <w:t xml:space="preserve">aterial </w:t>
            </w:r>
            <w:r w:rsidR="00E61863">
              <w:rPr>
                <w:rFonts w:ascii="Calibri" w:hAnsi="Calibri" w:cs="Arial"/>
                <w:sz w:val="22"/>
                <w:szCs w:val="22"/>
              </w:rPr>
              <w:t>t</w:t>
            </w:r>
            <w:r w:rsidRPr="00FE3B3A">
              <w:rPr>
                <w:rFonts w:ascii="Calibri" w:hAnsi="Calibri" w:cs="Arial"/>
                <w:sz w:val="22"/>
                <w:szCs w:val="22"/>
              </w:rPr>
              <w:t>ype (</w:t>
            </w:r>
            <w:r w:rsidR="00DC3710">
              <w:rPr>
                <w:rFonts w:ascii="Calibri" w:hAnsi="Calibri" w:cs="Arial"/>
                <w:sz w:val="22"/>
                <w:szCs w:val="22"/>
              </w:rPr>
              <w:t>Thermoplastic</w:t>
            </w:r>
            <w:r w:rsidRPr="00FE3B3A">
              <w:rPr>
                <w:rFonts w:ascii="Calibri" w:hAnsi="Calibri" w:cs="Arial"/>
                <w:sz w:val="22"/>
                <w:szCs w:val="22"/>
              </w:rPr>
              <w:t>)</w:t>
            </w:r>
          </w:p>
        </w:tc>
        <w:tc>
          <w:tcPr>
            <w:tcW w:w="198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tcPr>
          <w:p w:rsidR="00A368BC" w:rsidRPr="00FE3B3A" w:rsidRDefault="00A368BC" w:rsidP="00A368BC">
            <w:pPr>
              <w:spacing w:after="0"/>
              <w:ind w:left="0"/>
              <w:rPr>
                <w:rFonts w:ascii="Calibri" w:hAnsi="Calibri" w:cs="Arial"/>
                <w:sz w:val="22"/>
                <w:szCs w:val="22"/>
              </w:rPr>
            </w:pPr>
            <w:r w:rsidRPr="00FE3B3A">
              <w:rPr>
                <w:rFonts w:ascii="Calibri" w:hAnsi="Calibri" w:cs="Arial"/>
                <w:sz w:val="22"/>
                <w:szCs w:val="22"/>
              </w:rPr>
              <w:t>Material close to cover in composite</w:t>
            </w:r>
          </w:p>
        </w:tc>
        <w:tc>
          <w:tcPr>
            <w:tcW w:w="254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tcPr>
          <w:p w:rsidR="00A368BC" w:rsidRPr="00FE3B3A" w:rsidRDefault="00A368BC" w:rsidP="00E61863">
            <w:pPr>
              <w:spacing w:after="0"/>
              <w:ind w:left="0"/>
              <w:rPr>
                <w:rFonts w:ascii="Calibri" w:hAnsi="Calibri" w:cs="Arial"/>
                <w:sz w:val="22"/>
                <w:szCs w:val="22"/>
              </w:rPr>
            </w:pPr>
            <w:r w:rsidRPr="00FE3B3A">
              <w:rPr>
                <w:rFonts w:ascii="Calibri" w:hAnsi="Calibri" w:cs="Arial"/>
                <w:sz w:val="22"/>
                <w:szCs w:val="22"/>
              </w:rPr>
              <w:t xml:space="preserve">Filling </w:t>
            </w:r>
            <w:r w:rsidR="00E61863">
              <w:rPr>
                <w:rFonts w:ascii="Calibri" w:hAnsi="Calibri" w:cs="Arial"/>
                <w:sz w:val="22"/>
                <w:szCs w:val="22"/>
              </w:rPr>
              <w:t>m</w:t>
            </w:r>
            <w:r w:rsidRPr="00FE3B3A">
              <w:rPr>
                <w:rFonts w:ascii="Calibri" w:hAnsi="Calibri" w:cs="Arial"/>
                <w:sz w:val="22"/>
                <w:szCs w:val="22"/>
              </w:rPr>
              <w:t>aterial</w:t>
            </w:r>
          </w:p>
        </w:tc>
        <w:tc>
          <w:tcPr>
            <w:tcW w:w="195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tcPr>
          <w:p w:rsidR="00A368BC" w:rsidRPr="00FE3B3A" w:rsidRDefault="00DC3710" w:rsidP="00E61863">
            <w:pPr>
              <w:spacing w:after="0"/>
              <w:ind w:left="0"/>
              <w:rPr>
                <w:rFonts w:ascii="Calibri" w:hAnsi="Calibri" w:cs="Arial"/>
                <w:sz w:val="22"/>
                <w:szCs w:val="22"/>
              </w:rPr>
            </w:pPr>
            <w:r>
              <w:rPr>
                <w:rFonts w:ascii="Calibri" w:hAnsi="Calibri" w:cs="Arial"/>
                <w:sz w:val="22"/>
                <w:szCs w:val="22"/>
                <w:lang w:val="fr-FR"/>
              </w:rPr>
              <w:t xml:space="preserve">Proposed </w:t>
            </w:r>
            <w:r w:rsidR="00E61863">
              <w:rPr>
                <w:rFonts w:ascii="Calibri" w:hAnsi="Calibri" w:cs="Arial"/>
                <w:sz w:val="22"/>
                <w:szCs w:val="22"/>
                <w:lang w:val="fr-FR"/>
              </w:rPr>
              <w:t>n</w:t>
            </w:r>
            <w:r>
              <w:rPr>
                <w:rFonts w:ascii="Calibri" w:hAnsi="Calibri" w:cs="Arial"/>
                <w:sz w:val="22"/>
                <w:szCs w:val="22"/>
                <w:lang w:val="fr-FR"/>
              </w:rPr>
              <w:t>ew</w:t>
            </w:r>
            <w:r w:rsidR="00A368BC" w:rsidRPr="00FE3B3A">
              <w:rPr>
                <w:rFonts w:ascii="Calibri" w:hAnsi="Calibri" w:cs="Arial"/>
                <w:sz w:val="22"/>
                <w:szCs w:val="22"/>
                <w:lang w:val="fr-FR"/>
              </w:rPr>
              <w:t xml:space="preserve"> </w:t>
            </w:r>
            <w:r w:rsidR="00E61863">
              <w:rPr>
                <w:rFonts w:ascii="Calibri" w:hAnsi="Calibri" w:cs="Arial"/>
                <w:sz w:val="22"/>
                <w:szCs w:val="22"/>
                <w:lang w:val="fr-FR"/>
              </w:rPr>
              <w:t>m</w:t>
            </w:r>
            <w:r w:rsidR="00A368BC" w:rsidRPr="00FE3B3A">
              <w:rPr>
                <w:rFonts w:ascii="Calibri" w:hAnsi="Calibri" w:cs="Arial"/>
                <w:sz w:val="22"/>
                <w:szCs w:val="22"/>
                <w:lang w:val="fr-FR"/>
              </w:rPr>
              <w:t xml:space="preserve">atch </w:t>
            </w:r>
            <w:r w:rsidR="00E61863">
              <w:rPr>
                <w:rFonts w:ascii="Calibri" w:hAnsi="Calibri" w:cs="Arial"/>
                <w:sz w:val="22"/>
                <w:szCs w:val="22"/>
                <w:lang w:val="fr-FR"/>
              </w:rPr>
              <w:t>t</w:t>
            </w:r>
            <w:r w:rsidR="00A368BC" w:rsidRPr="00FE3B3A">
              <w:rPr>
                <w:rFonts w:ascii="Calibri" w:hAnsi="Calibri" w:cs="Arial"/>
                <w:sz w:val="22"/>
                <w:szCs w:val="22"/>
                <w:lang w:val="fr-FR"/>
              </w:rPr>
              <w:t>est</w:t>
            </w:r>
          </w:p>
        </w:tc>
      </w:tr>
      <w:tr w:rsidR="00A368BC" w:rsidRPr="00FE3B3A" w:rsidTr="00A368BC">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368BC" w:rsidRPr="00FE3B3A" w:rsidRDefault="00A368BC" w:rsidP="00A368BC">
            <w:pPr>
              <w:spacing w:after="0"/>
              <w:ind w:left="0"/>
              <w:rPr>
                <w:rFonts w:ascii="Calibri" w:hAnsi="Calibri" w:cs="Arial"/>
                <w:sz w:val="22"/>
                <w:szCs w:val="22"/>
              </w:rPr>
            </w:pPr>
            <w:r w:rsidRPr="00FE3B3A">
              <w:rPr>
                <w:rFonts w:ascii="Calibri" w:hAnsi="Calibri" w:cs="Arial"/>
                <w:sz w:val="22"/>
                <w:szCs w:val="22"/>
              </w:rPr>
              <w:t>100% Polyester (Backcoated)</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A368BC" w:rsidRPr="00FE3B3A" w:rsidRDefault="00A368BC" w:rsidP="00A368BC">
            <w:pPr>
              <w:spacing w:after="0"/>
              <w:ind w:left="0"/>
              <w:rPr>
                <w:rFonts w:ascii="Calibri" w:hAnsi="Calibri" w:cs="Arial"/>
                <w:sz w:val="22"/>
                <w:szCs w:val="22"/>
              </w:rPr>
            </w:pPr>
            <w:r w:rsidRPr="00FE3B3A">
              <w:rPr>
                <w:rFonts w:ascii="Calibri" w:hAnsi="Calibri" w:cs="Arial"/>
                <w:sz w:val="22"/>
                <w:szCs w:val="22"/>
              </w:rPr>
              <w:t>Paper (Ignition in test as above)</w:t>
            </w:r>
          </w:p>
        </w:tc>
        <w:tc>
          <w:tcPr>
            <w:tcW w:w="2546" w:type="dxa"/>
            <w:tcBorders>
              <w:top w:val="nil"/>
              <w:left w:val="nil"/>
              <w:bottom w:val="single" w:sz="8" w:space="0" w:color="auto"/>
              <w:right w:val="single" w:sz="8" w:space="0" w:color="auto"/>
            </w:tcBorders>
            <w:tcMar>
              <w:top w:w="0" w:type="dxa"/>
              <w:left w:w="108" w:type="dxa"/>
              <w:bottom w:w="0" w:type="dxa"/>
              <w:right w:w="108" w:type="dxa"/>
            </w:tcMar>
          </w:tcPr>
          <w:p w:rsidR="00A368BC" w:rsidRPr="00FE3B3A" w:rsidRDefault="00A368BC" w:rsidP="00A368BC">
            <w:pPr>
              <w:spacing w:after="0"/>
              <w:ind w:left="0"/>
              <w:rPr>
                <w:rFonts w:ascii="Calibri" w:hAnsi="Calibri" w:cs="Arial"/>
                <w:sz w:val="22"/>
                <w:szCs w:val="22"/>
              </w:rPr>
            </w:pPr>
            <w:r w:rsidRPr="00FE3B3A">
              <w:rPr>
                <w:rFonts w:ascii="Calibri" w:hAnsi="Calibri" w:cs="Arial"/>
                <w:sz w:val="22"/>
                <w:szCs w:val="22"/>
              </w:rPr>
              <w:t>Loose fill polyester (20Kg/m³)</w:t>
            </w:r>
          </w:p>
        </w:tc>
        <w:tc>
          <w:tcPr>
            <w:tcW w:w="1954" w:type="dxa"/>
            <w:tcBorders>
              <w:top w:val="nil"/>
              <w:left w:val="nil"/>
              <w:bottom w:val="single" w:sz="8" w:space="0" w:color="auto"/>
              <w:right w:val="single" w:sz="8" w:space="0" w:color="auto"/>
            </w:tcBorders>
            <w:tcMar>
              <w:top w:w="0" w:type="dxa"/>
              <w:left w:w="108" w:type="dxa"/>
              <w:bottom w:w="0" w:type="dxa"/>
              <w:right w:w="108" w:type="dxa"/>
            </w:tcMar>
          </w:tcPr>
          <w:p w:rsidR="00A368BC" w:rsidRPr="00FE3B3A" w:rsidRDefault="00A368BC" w:rsidP="00A368BC">
            <w:pPr>
              <w:spacing w:after="0"/>
              <w:ind w:left="0"/>
              <w:rPr>
                <w:rFonts w:ascii="Calibri" w:hAnsi="Calibri" w:cs="Arial"/>
                <w:sz w:val="22"/>
                <w:szCs w:val="22"/>
              </w:rPr>
            </w:pPr>
            <w:r w:rsidRPr="00FE3B3A">
              <w:rPr>
                <w:rFonts w:ascii="Calibri" w:hAnsi="Calibri" w:cs="Arial"/>
                <w:sz w:val="22"/>
                <w:szCs w:val="22"/>
              </w:rPr>
              <w:t>Fail</w:t>
            </w:r>
          </w:p>
        </w:tc>
      </w:tr>
      <w:tr w:rsidR="00A368BC" w:rsidRPr="00FE3B3A" w:rsidTr="00A368BC">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368BC" w:rsidRPr="00FE3B3A" w:rsidRDefault="00A368BC" w:rsidP="00A368BC">
            <w:pPr>
              <w:spacing w:after="0"/>
              <w:ind w:left="0"/>
              <w:rPr>
                <w:rFonts w:ascii="Calibri" w:hAnsi="Calibri" w:cs="Arial"/>
                <w:sz w:val="22"/>
                <w:szCs w:val="22"/>
              </w:rPr>
            </w:pPr>
            <w:r w:rsidRPr="00FE3B3A">
              <w:rPr>
                <w:rFonts w:ascii="Calibri" w:hAnsi="Calibri" w:cs="Arial"/>
                <w:sz w:val="22"/>
                <w:szCs w:val="22"/>
              </w:rPr>
              <w:t>100% Polyester (Backcoated)</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A368BC" w:rsidRPr="00FE3B3A" w:rsidRDefault="00A368BC" w:rsidP="00A368BC">
            <w:pPr>
              <w:spacing w:after="0"/>
              <w:ind w:left="0"/>
              <w:rPr>
                <w:rFonts w:ascii="Calibri" w:hAnsi="Calibri" w:cs="Arial"/>
                <w:sz w:val="22"/>
                <w:szCs w:val="22"/>
              </w:rPr>
            </w:pPr>
            <w:r w:rsidRPr="00FE3B3A">
              <w:rPr>
                <w:rFonts w:ascii="Calibri" w:hAnsi="Calibri" w:cs="Arial"/>
                <w:sz w:val="22"/>
                <w:szCs w:val="22"/>
              </w:rPr>
              <w:t>None</w:t>
            </w:r>
          </w:p>
        </w:tc>
        <w:tc>
          <w:tcPr>
            <w:tcW w:w="2546" w:type="dxa"/>
            <w:tcBorders>
              <w:top w:val="nil"/>
              <w:left w:val="nil"/>
              <w:bottom w:val="single" w:sz="8" w:space="0" w:color="auto"/>
              <w:right w:val="single" w:sz="8" w:space="0" w:color="auto"/>
            </w:tcBorders>
            <w:tcMar>
              <w:top w:w="0" w:type="dxa"/>
              <w:left w:w="108" w:type="dxa"/>
              <w:bottom w:w="0" w:type="dxa"/>
              <w:right w:w="108" w:type="dxa"/>
            </w:tcMar>
          </w:tcPr>
          <w:p w:rsidR="00A368BC" w:rsidRPr="00FE3B3A" w:rsidRDefault="00A368BC" w:rsidP="00A368BC">
            <w:pPr>
              <w:spacing w:after="0"/>
              <w:ind w:left="0"/>
              <w:rPr>
                <w:rFonts w:ascii="Calibri" w:hAnsi="Calibri" w:cs="Arial"/>
                <w:sz w:val="22"/>
                <w:szCs w:val="22"/>
              </w:rPr>
            </w:pPr>
            <w:r w:rsidRPr="00FE3B3A">
              <w:rPr>
                <w:rFonts w:ascii="Calibri" w:hAnsi="Calibri" w:cs="Arial"/>
                <w:sz w:val="22"/>
                <w:szCs w:val="22"/>
              </w:rPr>
              <w:t>Loose fill polyester (20Kg/m³)</w:t>
            </w:r>
          </w:p>
        </w:tc>
        <w:tc>
          <w:tcPr>
            <w:tcW w:w="1954" w:type="dxa"/>
            <w:tcBorders>
              <w:top w:val="nil"/>
              <w:left w:val="nil"/>
              <w:bottom w:val="single" w:sz="8" w:space="0" w:color="auto"/>
              <w:right w:val="single" w:sz="8" w:space="0" w:color="auto"/>
            </w:tcBorders>
            <w:tcMar>
              <w:top w:w="0" w:type="dxa"/>
              <w:left w:w="108" w:type="dxa"/>
              <w:bottom w:w="0" w:type="dxa"/>
              <w:right w:w="108" w:type="dxa"/>
            </w:tcMar>
          </w:tcPr>
          <w:p w:rsidR="00A368BC" w:rsidRPr="00FE3B3A" w:rsidRDefault="00A368BC" w:rsidP="00A368BC">
            <w:pPr>
              <w:spacing w:after="0"/>
              <w:ind w:left="0"/>
              <w:rPr>
                <w:rFonts w:ascii="Calibri" w:hAnsi="Calibri" w:cs="Arial"/>
                <w:sz w:val="22"/>
                <w:szCs w:val="22"/>
              </w:rPr>
            </w:pPr>
            <w:r w:rsidRPr="00FE3B3A">
              <w:rPr>
                <w:rFonts w:ascii="Calibri" w:hAnsi="Calibri" w:cs="Arial"/>
                <w:sz w:val="22"/>
                <w:szCs w:val="22"/>
              </w:rPr>
              <w:t>Pass</w:t>
            </w:r>
          </w:p>
        </w:tc>
      </w:tr>
      <w:tr w:rsidR="00A368BC" w:rsidRPr="00FE3B3A" w:rsidTr="00A368BC">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368BC" w:rsidRPr="00FE3B3A" w:rsidRDefault="00A368BC" w:rsidP="00A368BC">
            <w:pPr>
              <w:spacing w:after="0"/>
              <w:ind w:left="0"/>
              <w:rPr>
                <w:rFonts w:ascii="Calibri" w:hAnsi="Calibri" w:cs="Arial"/>
                <w:sz w:val="22"/>
                <w:szCs w:val="22"/>
              </w:rPr>
            </w:pPr>
            <w:r w:rsidRPr="00FE3B3A">
              <w:rPr>
                <w:rFonts w:ascii="Calibri" w:hAnsi="Calibri" w:cs="Arial"/>
                <w:sz w:val="22"/>
                <w:szCs w:val="22"/>
              </w:rPr>
              <w:t>100% Polyester (Inherently Flame Retardant)</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A368BC" w:rsidRPr="00FE3B3A" w:rsidRDefault="00A368BC" w:rsidP="00A368BC">
            <w:pPr>
              <w:spacing w:after="0"/>
              <w:ind w:left="0"/>
              <w:rPr>
                <w:rFonts w:ascii="Calibri" w:hAnsi="Calibri" w:cs="Arial"/>
                <w:sz w:val="22"/>
                <w:szCs w:val="22"/>
              </w:rPr>
            </w:pPr>
            <w:r w:rsidRPr="00FE3B3A">
              <w:rPr>
                <w:rFonts w:ascii="Calibri" w:hAnsi="Calibri" w:cs="Arial"/>
                <w:sz w:val="22"/>
                <w:szCs w:val="22"/>
              </w:rPr>
              <w:t>Paper</w:t>
            </w:r>
          </w:p>
        </w:tc>
        <w:tc>
          <w:tcPr>
            <w:tcW w:w="2546" w:type="dxa"/>
            <w:tcBorders>
              <w:top w:val="nil"/>
              <w:left w:val="nil"/>
              <w:bottom w:val="single" w:sz="8" w:space="0" w:color="auto"/>
              <w:right w:val="single" w:sz="8" w:space="0" w:color="auto"/>
            </w:tcBorders>
            <w:tcMar>
              <w:top w:w="0" w:type="dxa"/>
              <w:left w:w="108" w:type="dxa"/>
              <w:bottom w:w="0" w:type="dxa"/>
              <w:right w:w="108" w:type="dxa"/>
            </w:tcMar>
          </w:tcPr>
          <w:p w:rsidR="00A368BC" w:rsidRPr="00FE3B3A" w:rsidRDefault="00A368BC" w:rsidP="00A368BC">
            <w:pPr>
              <w:spacing w:after="0"/>
              <w:ind w:left="0"/>
              <w:rPr>
                <w:rFonts w:ascii="Calibri" w:hAnsi="Calibri" w:cs="Arial"/>
                <w:sz w:val="22"/>
                <w:szCs w:val="22"/>
              </w:rPr>
            </w:pPr>
            <w:r w:rsidRPr="00FE3B3A">
              <w:rPr>
                <w:rFonts w:ascii="Calibri" w:hAnsi="Calibri" w:cs="Arial"/>
                <w:sz w:val="22"/>
                <w:szCs w:val="22"/>
              </w:rPr>
              <w:t>Loose fill polyester (20Kg/m³)</w:t>
            </w:r>
          </w:p>
        </w:tc>
        <w:tc>
          <w:tcPr>
            <w:tcW w:w="1954" w:type="dxa"/>
            <w:tcBorders>
              <w:top w:val="nil"/>
              <w:left w:val="nil"/>
              <w:bottom w:val="single" w:sz="8" w:space="0" w:color="auto"/>
              <w:right w:val="single" w:sz="8" w:space="0" w:color="auto"/>
            </w:tcBorders>
            <w:tcMar>
              <w:top w:w="0" w:type="dxa"/>
              <w:left w:w="108" w:type="dxa"/>
              <w:bottom w:w="0" w:type="dxa"/>
              <w:right w:w="108" w:type="dxa"/>
            </w:tcMar>
          </w:tcPr>
          <w:p w:rsidR="00A368BC" w:rsidRPr="00FE3B3A" w:rsidRDefault="00A368BC" w:rsidP="00A368BC">
            <w:pPr>
              <w:spacing w:after="0"/>
              <w:ind w:left="0"/>
              <w:rPr>
                <w:rFonts w:ascii="Calibri" w:hAnsi="Calibri" w:cs="Arial"/>
                <w:sz w:val="22"/>
                <w:szCs w:val="22"/>
              </w:rPr>
            </w:pPr>
            <w:r w:rsidRPr="00FE3B3A">
              <w:rPr>
                <w:rFonts w:ascii="Calibri" w:hAnsi="Calibri" w:cs="Arial"/>
                <w:sz w:val="22"/>
                <w:szCs w:val="22"/>
              </w:rPr>
              <w:t>Fail</w:t>
            </w:r>
          </w:p>
        </w:tc>
      </w:tr>
      <w:tr w:rsidR="00A368BC" w:rsidRPr="00FE3B3A" w:rsidTr="00A368BC">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368BC" w:rsidRPr="00FE3B3A" w:rsidRDefault="00A368BC" w:rsidP="00A368BC">
            <w:pPr>
              <w:spacing w:after="0"/>
              <w:ind w:left="0"/>
              <w:rPr>
                <w:rFonts w:ascii="Calibri" w:hAnsi="Calibri" w:cs="Arial"/>
                <w:sz w:val="22"/>
                <w:szCs w:val="22"/>
              </w:rPr>
            </w:pPr>
            <w:r w:rsidRPr="00FE3B3A">
              <w:rPr>
                <w:rFonts w:ascii="Calibri" w:hAnsi="Calibri" w:cs="Arial"/>
                <w:sz w:val="22"/>
                <w:szCs w:val="22"/>
              </w:rPr>
              <w:t xml:space="preserve">100% Polyester (Inherently Flame </w:t>
            </w:r>
            <w:r w:rsidRPr="00FE3B3A">
              <w:rPr>
                <w:rFonts w:ascii="Calibri" w:hAnsi="Calibri" w:cs="Arial"/>
                <w:sz w:val="22"/>
                <w:szCs w:val="22"/>
              </w:rPr>
              <w:lastRenderedPageBreak/>
              <w:t>Retardant)</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A368BC" w:rsidRPr="00FE3B3A" w:rsidRDefault="00A368BC" w:rsidP="00A368BC">
            <w:pPr>
              <w:spacing w:after="0"/>
              <w:ind w:left="0"/>
              <w:rPr>
                <w:rFonts w:ascii="Calibri" w:hAnsi="Calibri" w:cs="Arial"/>
                <w:sz w:val="22"/>
                <w:szCs w:val="22"/>
              </w:rPr>
            </w:pPr>
            <w:r w:rsidRPr="00FE3B3A">
              <w:rPr>
                <w:rFonts w:ascii="Calibri" w:hAnsi="Calibri" w:cs="Arial"/>
                <w:sz w:val="22"/>
                <w:szCs w:val="22"/>
              </w:rPr>
              <w:lastRenderedPageBreak/>
              <w:t>None</w:t>
            </w:r>
          </w:p>
        </w:tc>
        <w:tc>
          <w:tcPr>
            <w:tcW w:w="2546" w:type="dxa"/>
            <w:tcBorders>
              <w:top w:val="nil"/>
              <w:left w:val="nil"/>
              <w:bottom w:val="single" w:sz="8" w:space="0" w:color="auto"/>
              <w:right w:val="single" w:sz="8" w:space="0" w:color="auto"/>
            </w:tcBorders>
            <w:tcMar>
              <w:top w:w="0" w:type="dxa"/>
              <w:left w:w="108" w:type="dxa"/>
              <w:bottom w:w="0" w:type="dxa"/>
              <w:right w:w="108" w:type="dxa"/>
            </w:tcMar>
          </w:tcPr>
          <w:p w:rsidR="00A368BC" w:rsidRPr="00FE3B3A" w:rsidRDefault="00A368BC" w:rsidP="00A368BC">
            <w:pPr>
              <w:spacing w:after="0"/>
              <w:ind w:left="0"/>
              <w:rPr>
                <w:rFonts w:ascii="Calibri" w:hAnsi="Calibri" w:cs="Arial"/>
                <w:sz w:val="22"/>
                <w:szCs w:val="22"/>
              </w:rPr>
            </w:pPr>
            <w:r w:rsidRPr="00FE3B3A">
              <w:rPr>
                <w:rFonts w:ascii="Calibri" w:hAnsi="Calibri" w:cs="Arial"/>
                <w:sz w:val="22"/>
                <w:szCs w:val="22"/>
              </w:rPr>
              <w:t>Loose fill polyester (20Kg/m³)</w:t>
            </w:r>
          </w:p>
        </w:tc>
        <w:tc>
          <w:tcPr>
            <w:tcW w:w="1954" w:type="dxa"/>
            <w:tcBorders>
              <w:top w:val="nil"/>
              <w:left w:val="nil"/>
              <w:bottom w:val="single" w:sz="8" w:space="0" w:color="auto"/>
              <w:right w:val="single" w:sz="8" w:space="0" w:color="auto"/>
            </w:tcBorders>
            <w:tcMar>
              <w:top w:w="0" w:type="dxa"/>
              <w:left w:w="108" w:type="dxa"/>
              <w:bottom w:w="0" w:type="dxa"/>
              <w:right w:w="108" w:type="dxa"/>
            </w:tcMar>
          </w:tcPr>
          <w:p w:rsidR="00A368BC" w:rsidRPr="00FE3B3A" w:rsidRDefault="00A368BC" w:rsidP="00A368BC">
            <w:pPr>
              <w:spacing w:after="0"/>
              <w:ind w:left="0"/>
              <w:rPr>
                <w:rFonts w:ascii="Calibri" w:hAnsi="Calibri" w:cs="Arial"/>
                <w:sz w:val="22"/>
                <w:szCs w:val="22"/>
              </w:rPr>
            </w:pPr>
            <w:r w:rsidRPr="00FE3B3A">
              <w:rPr>
                <w:rFonts w:ascii="Calibri" w:hAnsi="Calibri" w:cs="Arial"/>
                <w:sz w:val="22"/>
                <w:szCs w:val="22"/>
              </w:rPr>
              <w:t>Pass</w:t>
            </w:r>
          </w:p>
        </w:tc>
      </w:tr>
    </w:tbl>
    <w:p w:rsidR="00A368BC" w:rsidRPr="00FE3B3A" w:rsidRDefault="00A368BC" w:rsidP="00A368BC">
      <w:pPr>
        <w:spacing w:after="0"/>
        <w:ind w:left="0"/>
        <w:rPr>
          <w:rFonts w:ascii="Calibri" w:hAnsi="Calibri" w:cs="Arial"/>
          <w:sz w:val="22"/>
          <w:szCs w:val="22"/>
        </w:rPr>
      </w:pPr>
      <w:r w:rsidRPr="00FE3B3A">
        <w:rPr>
          <w:rFonts w:ascii="Calibri" w:hAnsi="Calibri" w:cs="Arial"/>
          <w:sz w:val="16"/>
          <w:szCs w:val="16"/>
        </w:rPr>
        <w:lastRenderedPageBreak/>
        <w:t> </w:t>
      </w:r>
    </w:p>
    <w:p w:rsidR="00475FD4" w:rsidRPr="006935A5" w:rsidRDefault="00475FD4" w:rsidP="00C20B87">
      <w:pPr>
        <w:spacing w:after="0"/>
        <w:ind w:left="0"/>
        <w:jc w:val="center"/>
        <w:rPr>
          <w:b/>
          <w:color w:val="000000"/>
          <w:sz w:val="28"/>
          <w:szCs w:val="28"/>
        </w:rPr>
      </w:pPr>
    </w:p>
    <w:p w:rsidR="007F231B" w:rsidRPr="006935A5" w:rsidRDefault="004F3240" w:rsidP="00C20B87">
      <w:pPr>
        <w:spacing w:after="0"/>
        <w:ind w:left="0"/>
        <w:jc w:val="center"/>
        <w:rPr>
          <w:b/>
          <w:color w:val="000000"/>
          <w:sz w:val="28"/>
          <w:szCs w:val="28"/>
          <w:lang w:eastAsia="en-GB"/>
        </w:rPr>
      </w:pPr>
      <w:r w:rsidRPr="006935A5">
        <w:rPr>
          <w:b/>
          <w:color w:val="000000"/>
          <w:sz w:val="28"/>
          <w:szCs w:val="28"/>
        </w:rPr>
        <w:t xml:space="preserve">Unregulated </w:t>
      </w:r>
      <w:r w:rsidR="00475FD4" w:rsidRPr="006935A5">
        <w:rPr>
          <w:b/>
          <w:color w:val="000000"/>
          <w:sz w:val="28"/>
          <w:szCs w:val="28"/>
        </w:rPr>
        <w:t>materials</w:t>
      </w:r>
      <w:r w:rsidR="00C20B87" w:rsidRPr="006935A5">
        <w:rPr>
          <w:b/>
          <w:color w:val="000000"/>
          <w:sz w:val="28"/>
          <w:szCs w:val="28"/>
        </w:rPr>
        <w:t xml:space="preserve"> within 40mm of the cover:</w:t>
      </w:r>
      <w:r w:rsidRPr="006935A5">
        <w:rPr>
          <w:b/>
          <w:color w:val="000000"/>
          <w:sz w:val="28"/>
          <w:szCs w:val="28"/>
        </w:rPr>
        <w:t xml:space="preserve"> indicative exemptions list</w:t>
      </w:r>
    </w:p>
    <w:p w:rsidR="007F231B" w:rsidRDefault="007F231B" w:rsidP="007F231B">
      <w:pPr>
        <w:spacing w:after="0"/>
        <w:ind w:left="0"/>
        <w:rPr>
          <w:lang w:eastAsia="en-GB"/>
        </w:rPr>
      </w:pPr>
    </w:p>
    <w:p w:rsidR="00E854AA" w:rsidRDefault="00FF25F4" w:rsidP="007F231B">
      <w:pPr>
        <w:spacing w:after="0"/>
        <w:ind w:left="0"/>
        <w:rPr>
          <w:lang w:eastAsia="en-GB"/>
        </w:rPr>
      </w:pPr>
      <w:r>
        <w:rPr>
          <w:lang w:eastAsia="en-GB"/>
        </w:rPr>
        <w:t>BIS intends to publish a regularly updated list of materials that will be exempted from testing</w:t>
      </w:r>
      <w:r w:rsidR="004F3240">
        <w:rPr>
          <w:lang w:eastAsia="en-GB"/>
        </w:rPr>
        <w:t xml:space="preserve"> because they have been show to always pass the test</w:t>
      </w:r>
      <w:r>
        <w:rPr>
          <w:lang w:eastAsia="en-GB"/>
        </w:rPr>
        <w:t xml:space="preserve">. </w:t>
      </w:r>
      <w:r w:rsidR="004F3240">
        <w:rPr>
          <w:lang w:eastAsia="en-GB"/>
        </w:rPr>
        <w:t xml:space="preserve">There are two types of exemption: </w:t>
      </w:r>
    </w:p>
    <w:p w:rsidR="00E854AA" w:rsidRDefault="00E854AA" w:rsidP="007F231B">
      <w:pPr>
        <w:spacing w:after="0"/>
        <w:ind w:left="0"/>
        <w:rPr>
          <w:lang w:eastAsia="en-GB"/>
        </w:rPr>
      </w:pPr>
    </w:p>
    <w:p w:rsidR="00E854AA" w:rsidRDefault="004F3240" w:rsidP="00E854AA">
      <w:pPr>
        <w:numPr>
          <w:ilvl w:val="0"/>
          <w:numId w:val="31"/>
        </w:numPr>
        <w:spacing w:after="0"/>
        <w:rPr>
          <w:lang w:eastAsia="en-GB"/>
        </w:rPr>
      </w:pPr>
      <w:r>
        <w:rPr>
          <w:lang w:eastAsia="en-GB"/>
        </w:rPr>
        <w:t>materials which in themselves are exempted</w:t>
      </w:r>
      <w:r w:rsidR="00E854AA">
        <w:rPr>
          <w:lang w:eastAsia="en-GB"/>
        </w:rPr>
        <w:t>;</w:t>
      </w:r>
    </w:p>
    <w:p w:rsidR="00E854AA" w:rsidRDefault="00E854AA" w:rsidP="007F231B">
      <w:pPr>
        <w:spacing w:after="0"/>
        <w:ind w:left="0"/>
        <w:rPr>
          <w:lang w:eastAsia="en-GB"/>
        </w:rPr>
      </w:pPr>
    </w:p>
    <w:p w:rsidR="004F3240" w:rsidRDefault="00E854AA" w:rsidP="00E854AA">
      <w:pPr>
        <w:numPr>
          <w:ilvl w:val="0"/>
          <w:numId w:val="31"/>
        </w:numPr>
        <w:spacing w:after="0"/>
        <w:rPr>
          <w:lang w:eastAsia="en-GB"/>
        </w:rPr>
      </w:pPr>
      <w:r>
        <w:rPr>
          <w:lang w:eastAsia="en-GB"/>
        </w:rPr>
        <w:t>m</w:t>
      </w:r>
      <w:r w:rsidR="004F3240">
        <w:rPr>
          <w:lang w:eastAsia="en-GB"/>
        </w:rPr>
        <w:t xml:space="preserve">aterials which are </w:t>
      </w:r>
      <w:r>
        <w:rPr>
          <w:lang w:eastAsia="en-GB"/>
        </w:rPr>
        <w:t xml:space="preserve">under </w:t>
      </w:r>
      <w:r w:rsidR="004F3240">
        <w:rPr>
          <w:lang w:eastAsia="en-GB"/>
        </w:rPr>
        <w:t>exempted</w:t>
      </w:r>
      <w:r>
        <w:rPr>
          <w:lang w:eastAsia="en-GB"/>
        </w:rPr>
        <w:t xml:space="preserve"> materials that</w:t>
      </w:r>
      <w:r w:rsidR="004F3240">
        <w:rPr>
          <w:lang w:eastAsia="en-GB"/>
        </w:rPr>
        <w:t xml:space="preserve"> they do not form a hole when tested, </w:t>
      </w:r>
      <w:r>
        <w:rPr>
          <w:lang w:eastAsia="en-GB"/>
        </w:rPr>
        <w:t xml:space="preserve">termed </w:t>
      </w:r>
      <w:r w:rsidR="004F3240">
        <w:rPr>
          <w:lang w:eastAsia="en-GB"/>
        </w:rPr>
        <w:t xml:space="preserve"> ‘protective’ covering</w:t>
      </w:r>
      <w:r>
        <w:rPr>
          <w:lang w:eastAsia="en-GB"/>
        </w:rPr>
        <w:t>s.</w:t>
      </w:r>
    </w:p>
    <w:p w:rsidR="004F3240" w:rsidRDefault="004F3240" w:rsidP="007F231B">
      <w:pPr>
        <w:spacing w:after="0"/>
        <w:ind w:left="0"/>
        <w:rPr>
          <w:lang w:eastAsia="en-GB"/>
        </w:rPr>
      </w:pPr>
    </w:p>
    <w:p w:rsidR="00E854AA" w:rsidRDefault="00E854AA" w:rsidP="00E854AA">
      <w:pPr>
        <w:spacing w:after="0"/>
        <w:ind w:left="0"/>
        <w:rPr>
          <w:lang w:eastAsia="en-GB"/>
        </w:rPr>
      </w:pPr>
      <w:r>
        <w:rPr>
          <w:lang w:eastAsia="en-GB"/>
        </w:rPr>
        <w:t>It is intended that the amended FFRs will contain descriptions to the effect:</w:t>
      </w:r>
    </w:p>
    <w:p w:rsidR="00E854AA" w:rsidRDefault="00E854AA" w:rsidP="00E854AA">
      <w:pPr>
        <w:spacing w:after="0"/>
        <w:ind w:left="0"/>
        <w:rPr>
          <w:lang w:eastAsia="en-GB"/>
        </w:rPr>
      </w:pPr>
    </w:p>
    <w:p w:rsidR="00E854AA" w:rsidRDefault="00E854AA" w:rsidP="00E854AA">
      <w:pPr>
        <w:spacing w:after="0"/>
        <w:ind w:left="0"/>
        <w:rPr>
          <w:lang w:eastAsia="en-GB"/>
        </w:rPr>
      </w:pPr>
      <w:r>
        <w:rPr>
          <w:lang w:eastAsia="en-GB"/>
        </w:rPr>
        <w:t>“The criteria for failure shall be any flaming which continues for more than 10 seconds after the removal of the ignition source and any smouldering which continues for more than 120 seconds. Hole formation in the test sample should be recorded; materials which do not form a hole are classed as ‘protective’. ‘Hole’ means the absence of the material in an area greater than 2mm</w:t>
      </w:r>
      <w:r w:rsidRPr="00FF25F4">
        <w:rPr>
          <w:vertAlign w:val="superscript"/>
          <w:lang w:eastAsia="en-GB"/>
        </w:rPr>
        <w:t>2</w:t>
      </w:r>
      <w:r>
        <w:rPr>
          <w:vertAlign w:val="superscript"/>
          <w:lang w:eastAsia="en-GB"/>
        </w:rPr>
        <w:t>.</w:t>
      </w:r>
      <w:r>
        <w:rPr>
          <w:lang w:eastAsia="en-GB"/>
        </w:rPr>
        <w:t>”</w:t>
      </w:r>
    </w:p>
    <w:p w:rsidR="00E854AA" w:rsidRDefault="00E854AA" w:rsidP="007F231B">
      <w:pPr>
        <w:spacing w:after="0"/>
        <w:ind w:left="0"/>
        <w:rPr>
          <w:lang w:eastAsia="en-GB"/>
        </w:rPr>
      </w:pPr>
    </w:p>
    <w:p w:rsidR="007F231B" w:rsidRDefault="00FF25F4" w:rsidP="007F231B">
      <w:pPr>
        <w:spacing w:after="0"/>
        <w:ind w:left="0"/>
        <w:rPr>
          <w:lang w:eastAsia="en-GB"/>
        </w:rPr>
      </w:pPr>
      <w:r>
        <w:rPr>
          <w:lang w:eastAsia="en-GB"/>
        </w:rPr>
        <w:t>Below is an indicative list of exemptions, following research testing by Steve Owen.</w:t>
      </w:r>
    </w:p>
    <w:p w:rsidR="00FF25F4" w:rsidRDefault="00FF25F4" w:rsidP="007F231B">
      <w:pPr>
        <w:spacing w:after="0"/>
        <w:ind w:left="0"/>
        <w:rPr>
          <w:lang w:eastAsia="en-GB"/>
        </w:rPr>
      </w:pPr>
    </w:p>
    <w:p w:rsidR="00672AEC" w:rsidRDefault="00C40724" w:rsidP="007F231B">
      <w:pPr>
        <w:spacing w:after="0"/>
        <w:ind w:left="0"/>
        <w:rPr>
          <w:lang w:eastAsia="en-GB"/>
        </w:rPr>
      </w:pPr>
      <w:r>
        <w:rPr>
          <w:lang w:eastAsia="en-GB"/>
        </w:rPr>
        <w:t xml:space="preserve">In the table below, all the materials in the left hand column </w:t>
      </w:r>
      <w:r w:rsidR="00E854AA">
        <w:rPr>
          <w:lang w:eastAsia="en-GB"/>
        </w:rPr>
        <w:t>w</w:t>
      </w:r>
      <w:r>
        <w:rPr>
          <w:lang w:eastAsia="en-GB"/>
        </w:rPr>
        <w:t xml:space="preserve">ould be exempted from testing and any materials underneath </w:t>
      </w:r>
      <w:r w:rsidR="00E854AA">
        <w:rPr>
          <w:lang w:eastAsia="en-GB"/>
        </w:rPr>
        <w:t xml:space="preserve">them </w:t>
      </w:r>
      <w:r>
        <w:rPr>
          <w:lang w:eastAsia="en-GB"/>
        </w:rPr>
        <w:t>which they are protecting would also be exempted from testing.</w:t>
      </w:r>
    </w:p>
    <w:p w:rsidR="00672AEC" w:rsidRDefault="00672AEC" w:rsidP="007F231B">
      <w:pPr>
        <w:spacing w:after="0"/>
        <w:ind w:left="0"/>
        <w:rPr>
          <w:lang w:eastAsia="en-GB"/>
        </w:rPr>
      </w:pPr>
    </w:p>
    <w:p w:rsidR="00672AEC" w:rsidRPr="005359F0" w:rsidRDefault="00672AEC" w:rsidP="007F231B">
      <w:pPr>
        <w:spacing w:after="0"/>
        <w:ind w:left="0"/>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7F231B" w:rsidRPr="005359F0" w:rsidTr="009E4AE2">
        <w:trPr>
          <w:tblHeader/>
        </w:trPr>
        <w:tc>
          <w:tcPr>
            <w:tcW w:w="4261" w:type="dxa"/>
            <w:shd w:val="clear" w:color="auto" w:fill="BFBFBF" w:themeFill="background1" w:themeFillShade="BF"/>
          </w:tcPr>
          <w:p w:rsidR="007F231B" w:rsidRPr="00F76FC2" w:rsidRDefault="007F231B" w:rsidP="007F231B">
            <w:pPr>
              <w:spacing w:after="0"/>
              <w:ind w:left="0"/>
              <w:rPr>
                <w:b/>
                <w:lang w:eastAsia="en-GB"/>
              </w:rPr>
            </w:pPr>
            <w:r w:rsidRPr="00F76FC2">
              <w:rPr>
                <w:b/>
                <w:lang w:eastAsia="en-GB"/>
              </w:rPr>
              <w:t>Material</w:t>
            </w:r>
          </w:p>
        </w:tc>
        <w:tc>
          <w:tcPr>
            <w:tcW w:w="4261" w:type="dxa"/>
            <w:shd w:val="clear" w:color="auto" w:fill="BFBFBF" w:themeFill="background1" w:themeFillShade="BF"/>
          </w:tcPr>
          <w:p w:rsidR="007F231B" w:rsidRPr="00F76FC2" w:rsidRDefault="007F231B" w:rsidP="007F231B">
            <w:pPr>
              <w:spacing w:after="0"/>
              <w:ind w:left="0"/>
              <w:rPr>
                <w:b/>
                <w:lang w:eastAsia="en-GB"/>
              </w:rPr>
            </w:pPr>
            <w:r w:rsidRPr="00F76FC2">
              <w:rPr>
                <w:b/>
                <w:lang w:eastAsia="en-GB"/>
              </w:rPr>
              <w:t>Class</w:t>
            </w:r>
          </w:p>
        </w:tc>
      </w:tr>
      <w:tr w:rsidR="007F231B" w:rsidRPr="005359F0" w:rsidTr="007F231B">
        <w:tc>
          <w:tcPr>
            <w:tcW w:w="4261" w:type="dxa"/>
            <w:shd w:val="clear" w:color="auto" w:fill="auto"/>
          </w:tcPr>
          <w:p w:rsidR="007F231B" w:rsidRPr="005359F0" w:rsidRDefault="007F231B" w:rsidP="007F231B">
            <w:pPr>
              <w:spacing w:after="0"/>
              <w:ind w:left="0"/>
              <w:rPr>
                <w:lang w:eastAsia="en-GB"/>
              </w:rPr>
            </w:pPr>
            <w:r w:rsidRPr="005359F0">
              <w:rPr>
                <w:lang w:eastAsia="en-GB"/>
              </w:rPr>
              <w:t>Ferrous Metals &amp; Alloys  - All varieties and thicknesses &gt; 0.5mm</w:t>
            </w:r>
          </w:p>
        </w:tc>
        <w:tc>
          <w:tcPr>
            <w:tcW w:w="4261" w:type="dxa"/>
            <w:shd w:val="clear" w:color="auto" w:fill="auto"/>
          </w:tcPr>
          <w:p w:rsidR="007F231B" w:rsidRPr="005359F0" w:rsidRDefault="007F231B" w:rsidP="007F231B">
            <w:pPr>
              <w:spacing w:after="0"/>
              <w:ind w:left="0"/>
              <w:rPr>
                <w:lang w:eastAsia="en-GB"/>
              </w:rPr>
            </w:pPr>
            <w:r w:rsidRPr="005359F0">
              <w:rPr>
                <w:lang w:eastAsia="en-GB"/>
              </w:rPr>
              <w:t>Protective</w:t>
            </w:r>
          </w:p>
        </w:tc>
      </w:tr>
      <w:tr w:rsidR="007F231B" w:rsidRPr="005359F0" w:rsidTr="007F231B">
        <w:tc>
          <w:tcPr>
            <w:tcW w:w="4261" w:type="dxa"/>
            <w:shd w:val="clear" w:color="auto" w:fill="auto"/>
          </w:tcPr>
          <w:p w:rsidR="007F231B" w:rsidRPr="005359F0" w:rsidRDefault="007F231B" w:rsidP="007F231B">
            <w:pPr>
              <w:spacing w:after="0"/>
              <w:ind w:left="0"/>
              <w:rPr>
                <w:lang w:eastAsia="en-GB"/>
              </w:rPr>
            </w:pPr>
            <w:r w:rsidRPr="005359F0">
              <w:rPr>
                <w:lang w:eastAsia="en-GB"/>
              </w:rPr>
              <w:t>Non-Ferrous Metal Alloys, Copper &amp; Aluminium – All varieties and thickness &gt; 0.5mm</w:t>
            </w:r>
          </w:p>
        </w:tc>
        <w:tc>
          <w:tcPr>
            <w:tcW w:w="4261" w:type="dxa"/>
            <w:shd w:val="clear" w:color="auto" w:fill="auto"/>
          </w:tcPr>
          <w:p w:rsidR="007F231B" w:rsidRPr="005359F0" w:rsidRDefault="007F231B" w:rsidP="007F231B">
            <w:pPr>
              <w:spacing w:after="0"/>
              <w:ind w:left="0"/>
              <w:rPr>
                <w:lang w:eastAsia="en-GB"/>
              </w:rPr>
            </w:pPr>
            <w:r w:rsidRPr="005359F0">
              <w:rPr>
                <w:lang w:eastAsia="en-GB"/>
              </w:rPr>
              <w:t>Protective</w:t>
            </w:r>
          </w:p>
        </w:tc>
      </w:tr>
      <w:tr w:rsidR="007F231B" w:rsidRPr="005359F0" w:rsidTr="007F231B">
        <w:tc>
          <w:tcPr>
            <w:tcW w:w="4261" w:type="dxa"/>
            <w:shd w:val="clear" w:color="auto" w:fill="auto"/>
          </w:tcPr>
          <w:p w:rsidR="007F231B" w:rsidRPr="005359F0" w:rsidRDefault="007F231B" w:rsidP="007F231B">
            <w:pPr>
              <w:spacing w:after="0"/>
              <w:ind w:left="0"/>
              <w:rPr>
                <w:lang w:eastAsia="en-GB"/>
              </w:rPr>
            </w:pPr>
            <w:r w:rsidRPr="005359F0">
              <w:rPr>
                <w:lang w:eastAsia="en-GB"/>
              </w:rPr>
              <w:t>Sheet Card – All varieties (but not corrugated) and thickness &gt; 1.0mm</w:t>
            </w:r>
          </w:p>
        </w:tc>
        <w:tc>
          <w:tcPr>
            <w:tcW w:w="4261" w:type="dxa"/>
            <w:shd w:val="clear" w:color="auto" w:fill="auto"/>
          </w:tcPr>
          <w:p w:rsidR="007F231B" w:rsidRPr="005359F0" w:rsidRDefault="007F231B" w:rsidP="007F231B">
            <w:pPr>
              <w:spacing w:after="0"/>
              <w:ind w:left="0"/>
              <w:rPr>
                <w:lang w:eastAsia="en-GB"/>
              </w:rPr>
            </w:pPr>
            <w:r w:rsidRPr="005359F0">
              <w:rPr>
                <w:lang w:eastAsia="en-GB"/>
              </w:rPr>
              <w:t>Protective</w:t>
            </w:r>
          </w:p>
        </w:tc>
      </w:tr>
      <w:tr w:rsidR="007F231B" w:rsidRPr="005359F0" w:rsidTr="007F231B">
        <w:tc>
          <w:tcPr>
            <w:tcW w:w="4261" w:type="dxa"/>
            <w:shd w:val="clear" w:color="auto" w:fill="auto"/>
          </w:tcPr>
          <w:p w:rsidR="007F231B" w:rsidRPr="005359F0" w:rsidRDefault="007F231B" w:rsidP="007F231B">
            <w:pPr>
              <w:spacing w:after="0"/>
              <w:ind w:left="0"/>
              <w:rPr>
                <w:lang w:eastAsia="en-GB"/>
              </w:rPr>
            </w:pPr>
            <w:r w:rsidRPr="005359F0">
              <w:rPr>
                <w:lang w:eastAsia="en-GB"/>
              </w:rPr>
              <w:t>Fibre Board – All varieties and thickness &gt; 1.0mm</w:t>
            </w:r>
          </w:p>
        </w:tc>
        <w:tc>
          <w:tcPr>
            <w:tcW w:w="4261" w:type="dxa"/>
            <w:shd w:val="clear" w:color="auto" w:fill="auto"/>
          </w:tcPr>
          <w:p w:rsidR="007F231B" w:rsidRPr="005359F0" w:rsidRDefault="007F231B" w:rsidP="007F231B">
            <w:pPr>
              <w:spacing w:after="0"/>
              <w:ind w:left="0"/>
              <w:rPr>
                <w:lang w:eastAsia="en-GB"/>
              </w:rPr>
            </w:pPr>
            <w:r w:rsidRPr="005359F0">
              <w:rPr>
                <w:lang w:eastAsia="en-GB"/>
              </w:rPr>
              <w:t>Protective</w:t>
            </w:r>
          </w:p>
        </w:tc>
      </w:tr>
      <w:tr w:rsidR="007F231B" w:rsidRPr="005359F0" w:rsidTr="007F231B">
        <w:tc>
          <w:tcPr>
            <w:tcW w:w="4261" w:type="dxa"/>
            <w:shd w:val="clear" w:color="auto" w:fill="auto"/>
          </w:tcPr>
          <w:p w:rsidR="007F231B" w:rsidRPr="005359F0" w:rsidRDefault="007F231B" w:rsidP="007F231B">
            <w:pPr>
              <w:spacing w:after="0"/>
              <w:ind w:left="0"/>
              <w:rPr>
                <w:lang w:eastAsia="en-GB"/>
              </w:rPr>
            </w:pPr>
            <w:r w:rsidRPr="005359F0">
              <w:rPr>
                <w:lang w:eastAsia="en-GB"/>
              </w:rPr>
              <w:t>Chipboard – All varieties and thickness &gt;1.0mm</w:t>
            </w:r>
          </w:p>
        </w:tc>
        <w:tc>
          <w:tcPr>
            <w:tcW w:w="4261" w:type="dxa"/>
            <w:shd w:val="clear" w:color="auto" w:fill="auto"/>
          </w:tcPr>
          <w:p w:rsidR="007F231B" w:rsidRPr="005359F0" w:rsidRDefault="007F231B" w:rsidP="007F231B">
            <w:pPr>
              <w:spacing w:after="0"/>
              <w:ind w:left="0"/>
              <w:rPr>
                <w:lang w:eastAsia="en-GB"/>
              </w:rPr>
            </w:pPr>
            <w:r w:rsidRPr="005359F0">
              <w:rPr>
                <w:lang w:eastAsia="en-GB"/>
              </w:rPr>
              <w:t>Protective</w:t>
            </w:r>
          </w:p>
        </w:tc>
      </w:tr>
      <w:tr w:rsidR="007F231B" w:rsidRPr="005359F0" w:rsidTr="007F231B">
        <w:tc>
          <w:tcPr>
            <w:tcW w:w="4261" w:type="dxa"/>
            <w:shd w:val="clear" w:color="auto" w:fill="auto"/>
          </w:tcPr>
          <w:p w:rsidR="007F231B" w:rsidRPr="005359F0" w:rsidRDefault="007F231B" w:rsidP="007F231B">
            <w:pPr>
              <w:spacing w:after="0"/>
              <w:ind w:left="0"/>
              <w:rPr>
                <w:lang w:eastAsia="en-GB"/>
              </w:rPr>
            </w:pPr>
            <w:r w:rsidRPr="005359F0">
              <w:rPr>
                <w:lang w:eastAsia="en-GB"/>
              </w:rPr>
              <w:t>Hard &amp; Soft Wood – All varieties and thickness &gt; 1.0mm</w:t>
            </w:r>
          </w:p>
        </w:tc>
        <w:tc>
          <w:tcPr>
            <w:tcW w:w="4261" w:type="dxa"/>
            <w:shd w:val="clear" w:color="auto" w:fill="auto"/>
          </w:tcPr>
          <w:p w:rsidR="007F231B" w:rsidRPr="005359F0" w:rsidRDefault="007F231B" w:rsidP="007F231B">
            <w:pPr>
              <w:spacing w:after="0"/>
              <w:ind w:left="0"/>
              <w:rPr>
                <w:lang w:eastAsia="en-GB"/>
              </w:rPr>
            </w:pPr>
            <w:r w:rsidRPr="005359F0">
              <w:rPr>
                <w:lang w:eastAsia="en-GB"/>
              </w:rPr>
              <w:t>Protective</w:t>
            </w:r>
          </w:p>
        </w:tc>
      </w:tr>
      <w:tr w:rsidR="007F231B" w:rsidRPr="005359F0" w:rsidTr="007F231B">
        <w:tc>
          <w:tcPr>
            <w:tcW w:w="4261" w:type="dxa"/>
            <w:shd w:val="clear" w:color="auto" w:fill="auto"/>
          </w:tcPr>
          <w:p w:rsidR="007F231B" w:rsidRPr="005359F0" w:rsidRDefault="007F231B" w:rsidP="007F231B">
            <w:pPr>
              <w:spacing w:after="0"/>
              <w:ind w:left="0"/>
              <w:rPr>
                <w:lang w:eastAsia="en-GB"/>
              </w:rPr>
            </w:pPr>
            <w:r w:rsidRPr="005359F0">
              <w:rPr>
                <w:lang w:eastAsia="en-GB"/>
              </w:rPr>
              <w:t>Plywood – All varieties and thickness &gt; 1.0mm</w:t>
            </w:r>
          </w:p>
        </w:tc>
        <w:tc>
          <w:tcPr>
            <w:tcW w:w="4261" w:type="dxa"/>
            <w:shd w:val="clear" w:color="auto" w:fill="auto"/>
          </w:tcPr>
          <w:p w:rsidR="007F231B" w:rsidRPr="005359F0" w:rsidRDefault="007F231B" w:rsidP="007F231B">
            <w:pPr>
              <w:spacing w:after="0"/>
              <w:ind w:left="0"/>
              <w:rPr>
                <w:lang w:eastAsia="en-GB"/>
              </w:rPr>
            </w:pPr>
            <w:r w:rsidRPr="005359F0">
              <w:rPr>
                <w:lang w:eastAsia="en-GB"/>
              </w:rPr>
              <w:t>Protective</w:t>
            </w:r>
          </w:p>
        </w:tc>
      </w:tr>
      <w:tr w:rsidR="007F231B" w:rsidRPr="005359F0" w:rsidTr="007F231B">
        <w:tc>
          <w:tcPr>
            <w:tcW w:w="4261" w:type="dxa"/>
            <w:shd w:val="clear" w:color="auto" w:fill="auto"/>
          </w:tcPr>
          <w:p w:rsidR="007F231B" w:rsidRPr="005359F0" w:rsidRDefault="007F231B" w:rsidP="007F231B">
            <w:pPr>
              <w:spacing w:after="0"/>
              <w:ind w:left="0"/>
              <w:rPr>
                <w:lang w:eastAsia="en-GB"/>
              </w:rPr>
            </w:pPr>
            <w:r w:rsidRPr="005359F0">
              <w:rPr>
                <w:lang w:eastAsia="en-GB"/>
              </w:rPr>
              <w:t>Stone – All types and thicknesses</w:t>
            </w:r>
          </w:p>
        </w:tc>
        <w:tc>
          <w:tcPr>
            <w:tcW w:w="4261" w:type="dxa"/>
            <w:shd w:val="clear" w:color="auto" w:fill="auto"/>
          </w:tcPr>
          <w:p w:rsidR="007F231B" w:rsidRPr="005359F0" w:rsidRDefault="007F231B" w:rsidP="007F231B">
            <w:pPr>
              <w:spacing w:after="0"/>
              <w:ind w:left="0"/>
              <w:rPr>
                <w:lang w:eastAsia="en-GB"/>
              </w:rPr>
            </w:pPr>
            <w:r w:rsidRPr="005359F0">
              <w:rPr>
                <w:lang w:eastAsia="en-GB"/>
              </w:rPr>
              <w:t>Protective</w:t>
            </w:r>
          </w:p>
        </w:tc>
      </w:tr>
      <w:tr w:rsidR="007F231B" w:rsidRPr="005359F0" w:rsidTr="007F231B">
        <w:tc>
          <w:tcPr>
            <w:tcW w:w="4261" w:type="dxa"/>
            <w:shd w:val="clear" w:color="auto" w:fill="auto"/>
          </w:tcPr>
          <w:p w:rsidR="007F231B" w:rsidRPr="005359F0" w:rsidRDefault="007F231B" w:rsidP="007F231B">
            <w:pPr>
              <w:spacing w:after="0"/>
              <w:ind w:left="0"/>
              <w:rPr>
                <w:lang w:eastAsia="en-GB"/>
              </w:rPr>
            </w:pPr>
            <w:r w:rsidRPr="005359F0">
              <w:rPr>
                <w:lang w:eastAsia="en-GB"/>
              </w:rPr>
              <w:t>Plaster</w:t>
            </w:r>
          </w:p>
        </w:tc>
        <w:tc>
          <w:tcPr>
            <w:tcW w:w="4261" w:type="dxa"/>
            <w:shd w:val="clear" w:color="auto" w:fill="auto"/>
          </w:tcPr>
          <w:p w:rsidR="007F231B" w:rsidRPr="005359F0" w:rsidRDefault="007F231B" w:rsidP="007F231B">
            <w:pPr>
              <w:spacing w:after="0"/>
              <w:ind w:left="0"/>
              <w:rPr>
                <w:lang w:eastAsia="en-GB"/>
              </w:rPr>
            </w:pPr>
            <w:r w:rsidRPr="005359F0">
              <w:rPr>
                <w:lang w:eastAsia="en-GB"/>
              </w:rPr>
              <w:t>Protective</w:t>
            </w:r>
          </w:p>
        </w:tc>
      </w:tr>
    </w:tbl>
    <w:p w:rsidR="00993ABD" w:rsidRDefault="00993ABD" w:rsidP="007F231B">
      <w:pPr>
        <w:spacing w:after="0"/>
        <w:ind w:left="0"/>
        <w:rPr>
          <w:rFonts w:ascii="Calibri" w:hAnsi="Calibri" w:cs="Arial"/>
          <w:color w:val="1F497D"/>
          <w:sz w:val="22"/>
          <w:szCs w:val="22"/>
        </w:rPr>
      </w:pPr>
    </w:p>
    <w:p w:rsidR="00993ABD" w:rsidRDefault="005740CE" w:rsidP="007F231B">
      <w:pPr>
        <w:spacing w:after="0"/>
        <w:ind w:left="0"/>
        <w:rPr>
          <w:rFonts w:ascii="Calibri" w:hAnsi="Calibri" w:cs="Arial"/>
          <w:color w:val="1F497D"/>
          <w:sz w:val="22"/>
          <w:szCs w:val="22"/>
        </w:rPr>
      </w:pPr>
      <w:r>
        <w:rPr>
          <w:rFonts w:ascii="Calibri" w:hAnsi="Calibri" w:cs="Arial"/>
          <w:color w:val="1F497D"/>
          <w:sz w:val="22"/>
          <w:szCs w:val="22"/>
        </w:rPr>
        <w:t>Further results of Intertek’s testing of currently unregulated components:</w:t>
      </w:r>
    </w:p>
    <w:p w:rsidR="005740CE" w:rsidRDefault="005740CE" w:rsidP="007F231B">
      <w:pPr>
        <w:spacing w:after="0"/>
        <w:ind w:left="0"/>
        <w:rPr>
          <w:rFonts w:ascii="Calibri" w:hAnsi="Calibri" w:cs="Arial"/>
          <w:color w:val="1F497D"/>
          <w:sz w:val="22"/>
          <w:szCs w:val="22"/>
        </w:rPr>
      </w:pPr>
    </w:p>
    <w:p w:rsidR="005740CE" w:rsidRDefault="005740CE" w:rsidP="007F231B">
      <w:pPr>
        <w:spacing w:after="0"/>
        <w:ind w:left="0"/>
        <w:rPr>
          <w:rFonts w:ascii="Calibri" w:hAnsi="Calibri" w:cs="Arial"/>
          <w:color w:val="1F497D"/>
          <w:sz w:val="22"/>
          <w:szCs w:val="22"/>
        </w:rPr>
      </w:pPr>
    </w:p>
    <w:permStart w:id="676879119" w:ed="EVOLVE\tssmith"/>
    <w:permStart w:id="775053245" w:edGrp="everyone"/>
    <w:bookmarkStart w:id="54" w:name="_MON_1468227574"/>
    <w:bookmarkEnd w:id="54"/>
    <w:p w:rsidR="007F231B" w:rsidRDefault="00F8281D" w:rsidP="007F231B">
      <w:pPr>
        <w:spacing w:after="0"/>
        <w:ind w:left="0"/>
        <w:rPr>
          <w:rFonts w:ascii="Calibri" w:hAnsi="Calibri" w:cs="Arial"/>
          <w:color w:val="1F497D"/>
          <w:sz w:val="22"/>
          <w:szCs w:val="22"/>
        </w:rPr>
      </w:pPr>
      <w:r>
        <w:object w:dxaOrig="1277" w:dyaOrig="801">
          <v:shape id="_x0000_i1026" type="#_x0000_t75" style="width:63.4pt;height:40.3pt" o:ole="">
            <v:imagedata r:id="rId41" o:title=""/>
          </v:shape>
          <o:OLEObject Type="Embed" ProgID="Excel.Sheet.8" ShapeID="_x0000_i1026" DrawAspect="Icon" ObjectID="_1469266769" r:id="rId42"/>
        </w:object>
      </w:r>
      <w:permEnd w:id="676879119"/>
      <w:r w:rsidR="005740CE">
        <w:rPr>
          <w:rFonts w:ascii="Calibri" w:hAnsi="Calibri" w:cs="Arial"/>
          <w:color w:val="1F497D"/>
          <w:sz w:val="22"/>
          <w:szCs w:val="22"/>
        </w:rPr>
        <w:t xml:space="preserve"> </w:t>
      </w:r>
      <w:permEnd w:id="775053245"/>
      <w:r w:rsidR="007F231B">
        <w:rPr>
          <w:rFonts w:ascii="Calibri" w:hAnsi="Calibri" w:cs="Arial"/>
          <w:color w:val="1F497D"/>
          <w:sz w:val="22"/>
          <w:szCs w:val="22"/>
        </w:rPr>
        <w:br w:type="column"/>
      </w:r>
    </w:p>
    <w:p w:rsidR="000E61F5" w:rsidRDefault="008941ED" w:rsidP="008941ED">
      <w:pPr>
        <w:pStyle w:val="Heading2"/>
        <w:rPr>
          <w:rFonts w:ascii="Calibri" w:hAnsi="Calibri" w:cs="Arial"/>
          <w:color w:val="1F497D"/>
          <w:sz w:val="22"/>
          <w:szCs w:val="22"/>
        </w:rPr>
      </w:pPr>
      <w:bookmarkStart w:id="55" w:name="_Toc394509380"/>
      <w:r>
        <w:t xml:space="preserve">Annex </w:t>
      </w:r>
      <w:r w:rsidR="00C20B87">
        <w:t>3</w:t>
      </w:r>
      <w:r>
        <w:t>: Results of FIRA’s research into the proposed test changes</w:t>
      </w:r>
      <w:bookmarkEnd w:id="55"/>
    </w:p>
    <w:p w:rsidR="000C6845" w:rsidRDefault="000C6845" w:rsidP="000E61F5">
      <w:pPr>
        <w:spacing w:after="0"/>
        <w:ind w:left="0"/>
        <w:rPr>
          <w:rFonts w:cs="Arial"/>
          <w:szCs w:val="22"/>
        </w:rPr>
      </w:pPr>
      <w:r>
        <w:rPr>
          <w:rFonts w:cs="Arial"/>
          <w:szCs w:val="22"/>
        </w:rPr>
        <w:t>BIS is grateful to Phil Reynolds and Tristine Hargreaves of FIRA for the attached test results.</w:t>
      </w:r>
    </w:p>
    <w:p w:rsidR="005C7995" w:rsidRDefault="005C7995" w:rsidP="000E61F5">
      <w:pPr>
        <w:spacing w:after="0"/>
        <w:ind w:left="0"/>
        <w:rPr>
          <w:rFonts w:cs="Arial"/>
          <w:szCs w:val="22"/>
        </w:rPr>
      </w:pPr>
    </w:p>
    <w:p w:rsidR="000C6845" w:rsidRDefault="000C6845" w:rsidP="000E61F5">
      <w:pPr>
        <w:spacing w:after="0"/>
        <w:ind w:left="0"/>
        <w:rPr>
          <w:rFonts w:ascii="Calibri" w:hAnsi="Calibri" w:cs="Arial"/>
          <w:color w:val="1F497D"/>
          <w:sz w:val="22"/>
          <w:szCs w:val="22"/>
        </w:rPr>
      </w:pPr>
    </w:p>
    <w:p w:rsidR="000C6845" w:rsidRDefault="000C6845" w:rsidP="000E61F5">
      <w:pPr>
        <w:spacing w:after="0"/>
        <w:ind w:left="0"/>
        <w:rPr>
          <w:rFonts w:ascii="Calibri" w:hAnsi="Calibri" w:cs="Arial"/>
          <w:color w:val="1F497D"/>
          <w:sz w:val="22"/>
          <w:szCs w:val="22"/>
        </w:rPr>
      </w:pPr>
    </w:p>
    <w:permStart w:id="490689084" w:edGrp="everyone"/>
    <w:bookmarkStart w:id="56" w:name="_MON_1465202563"/>
    <w:bookmarkEnd w:id="56"/>
    <w:p w:rsidR="000E61F5" w:rsidRDefault="000C6845" w:rsidP="000E61F5">
      <w:pPr>
        <w:spacing w:after="0"/>
        <w:ind w:left="0"/>
        <w:rPr>
          <w:rFonts w:ascii="Calibri" w:hAnsi="Calibri" w:cs="Arial"/>
          <w:color w:val="1F497D"/>
          <w:sz w:val="22"/>
          <w:szCs w:val="22"/>
        </w:rPr>
      </w:pPr>
      <w:r>
        <w:object w:dxaOrig="1533" w:dyaOrig="961">
          <v:shape id="_x0000_i1027" type="#_x0000_t75" style="width:76.3pt;height:48.15pt" o:ole="">
            <v:imagedata r:id="rId43" o:title=""/>
          </v:shape>
          <o:OLEObject Type="Embed" ProgID="Excel.Sheet.12" ShapeID="_x0000_i1027" DrawAspect="Icon" ObjectID="_1469266770" r:id="rId44"/>
        </w:object>
      </w:r>
      <w:permEnd w:id="490689084"/>
    </w:p>
    <w:p w:rsidR="000E61F5" w:rsidRDefault="000E61F5" w:rsidP="000E61F5">
      <w:pPr>
        <w:spacing w:after="0"/>
        <w:ind w:left="0"/>
        <w:rPr>
          <w:rFonts w:ascii="Calibri" w:hAnsi="Calibri" w:cs="Arial"/>
          <w:color w:val="1F497D"/>
          <w:sz w:val="22"/>
          <w:szCs w:val="22"/>
        </w:rPr>
      </w:pPr>
    </w:p>
    <w:p w:rsidR="00A368BC" w:rsidRPr="00FE3B3A" w:rsidRDefault="000E61F5" w:rsidP="000E61F5">
      <w:pPr>
        <w:spacing w:after="0"/>
        <w:ind w:left="0"/>
        <w:jc w:val="center"/>
        <w:rPr>
          <w:rFonts w:ascii="Calibri" w:hAnsi="Calibri" w:cs="Arial"/>
          <w:sz w:val="22"/>
          <w:szCs w:val="22"/>
        </w:rPr>
      </w:pPr>
      <w:r>
        <w:rPr>
          <w:rFonts w:ascii="Calibri" w:hAnsi="Calibri" w:cs="Arial"/>
          <w:color w:val="1F497D"/>
          <w:sz w:val="22"/>
          <w:szCs w:val="22"/>
        </w:rPr>
        <w:br w:type="column"/>
      </w:r>
    </w:p>
    <w:p w:rsidR="008941ED" w:rsidRDefault="008941ED" w:rsidP="008941ED">
      <w:pPr>
        <w:pStyle w:val="Heading2"/>
        <w:rPr>
          <w:rFonts w:ascii="Arial Bold" w:hAnsi="Arial Bold"/>
        </w:rPr>
      </w:pPr>
      <w:bookmarkStart w:id="57" w:name="_Toc394509381"/>
      <w:r>
        <w:t xml:space="preserve">Annex </w:t>
      </w:r>
      <w:r w:rsidR="00C20B87">
        <w:t>4</w:t>
      </w:r>
      <w:r>
        <w:t>: Additional background detail</w:t>
      </w:r>
      <w:bookmarkEnd w:id="57"/>
    </w:p>
    <w:p w:rsidR="0075613E" w:rsidRPr="000E61F5" w:rsidRDefault="00321C47" w:rsidP="0075613E">
      <w:pPr>
        <w:ind w:left="90"/>
        <w:rPr>
          <w:szCs w:val="28"/>
          <w:u w:val="single"/>
        </w:rPr>
      </w:pPr>
      <w:r>
        <w:rPr>
          <w:szCs w:val="28"/>
          <w:u w:val="single"/>
        </w:rPr>
        <w:t>T</w:t>
      </w:r>
      <w:r w:rsidR="0075613E" w:rsidRPr="000E61F5">
        <w:rPr>
          <w:szCs w:val="28"/>
          <w:u w:val="single"/>
        </w:rPr>
        <w:t>he proposed new match test</w:t>
      </w:r>
    </w:p>
    <w:p w:rsidR="0075613E" w:rsidRDefault="005C7995" w:rsidP="0075613E">
      <w:pPr>
        <w:ind w:left="90"/>
        <w:rPr>
          <w:szCs w:val="28"/>
        </w:rPr>
      </w:pPr>
      <w:r>
        <w:rPr>
          <w:szCs w:val="28"/>
        </w:rPr>
        <w:t>For the past 18 months,</w:t>
      </w:r>
      <w:r w:rsidR="000E61F5">
        <w:rPr>
          <w:szCs w:val="28"/>
        </w:rPr>
        <w:t xml:space="preserve"> </w:t>
      </w:r>
      <w:r w:rsidR="0075613E">
        <w:rPr>
          <w:szCs w:val="28"/>
        </w:rPr>
        <w:t xml:space="preserve">BIS has explored ways in which FR levels in UK furniture might be reduced, without lowering fire safety levels. Steve Owen of Intertek has worked with BIS on alternative test methods which could achieve this goal. In July 2013, BIS </w:t>
      </w:r>
      <w:r w:rsidR="0075613E" w:rsidRPr="0009780C">
        <w:rPr>
          <w:szCs w:val="28"/>
        </w:rPr>
        <w:t xml:space="preserve">circulated for informal consultation a discussion paper on a new match test, detailing five possible options. </w:t>
      </w:r>
      <w:r w:rsidR="0075613E">
        <w:rPr>
          <w:szCs w:val="28"/>
        </w:rPr>
        <w:t>The paper looked at all the testing requirements for possible avenues for reducing FR use and saving costs, and concluded that the most viable was Schedule 5</w:t>
      </w:r>
      <w:r w:rsidR="004A1B01">
        <w:rPr>
          <w:szCs w:val="28"/>
        </w:rPr>
        <w:t xml:space="preserve">, </w:t>
      </w:r>
      <w:r w:rsidR="0075613E">
        <w:rPr>
          <w:szCs w:val="28"/>
        </w:rPr>
        <w:t xml:space="preserve">Part I. </w:t>
      </w:r>
    </w:p>
    <w:p w:rsidR="0075613E" w:rsidRDefault="0075613E" w:rsidP="0075613E">
      <w:pPr>
        <w:ind w:left="90"/>
        <w:rPr>
          <w:rFonts w:cs="Arial"/>
          <w:szCs w:val="22"/>
          <w:lang w:eastAsia="en-GB"/>
        </w:rPr>
      </w:pPr>
      <w:r>
        <w:rPr>
          <w:szCs w:val="28"/>
        </w:rPr>
        <w:t>BIS</w:t>
      </w:r>
      <w:r w:rsidRPr="0009780C">
        <w:rPr>
          <w:szCs w:val="28"/>
        </w:rPr>
        <w:t xml:space="preserve"> acknowledged that the paper was necessarily a little complex. Nevertheless, BIS received 11 (mostly detailed) responses</w:t>
      </w:r>
      <w:r w:rsidRPr="0009780C">
        <w:rPr>
          <w:rFonts w:cs="Arial"/>
          <w:szCs w:val="22"/>
          <w:lang w:eastAsia="en-GB"/>
        </w:rPr>
        <w:t xml:space="preserve"> from a mixture of retailers/manufacturers, test houses, enforcement officers, trade associations and consultants. All were positive about BIS's intention to reduce </w:t>
      </w:r>
      <w:r>
        <w:rPr>
          <w:rFonts w:cs="Arial"/>
          <w:szCs w:val="22"/>
          <w:lang w:eastAsia="en-GB"/>
        </w:rPr>
        <w:t>FR</w:t>
      </w:r>
      <w:r w:rsidRPr="0009780C">
        <w:rPr>
          <w:rFonts w:cs="Arial"/>
          <w:szCs w:val="22"/>
          <w:lang w:eastAsia="en-GB"/>
        </w:rPr>
        <w:t xml:space="preserve"> levels in UK furniture. Eight were supportive of our alternative match test</w:t>
      </w:r>
      <w:r w:rsidR="00E854AA">
        <w:rPr>
          <w:rFonts w:cs="Arial"/>
          <w:szCs w:val="22"/>
          <w:lang w:eastAsia="en-GB"/>
        </w:rPr>
        <w:t xml:space="preserve"> (despite it being in a basic form at that stage)</w:t>
      </w:r>
      <w:r w:rsidRPr="0009780C">
        <w:rPr>
          <w:rFonts w:cs="Arial"/>
          <w:szCs w:val="22"/>
          <w:lang w:eastAsia="en-GB"/>
        </w:rPr>
        <w:t>. Of the remaining three, two were overall positive with some concerns; one was mostly negative. Of those who expressed a preference, Option 3</w:t>
      </w:r>
      <w:r w:rsidR="007434BA">
        <w:rPr>
          <w:rFonts w:cs="Arial"/>
          <w:szCs w:val="22"/>
          <w:lang w:eastAsia="en-GB"/>
        </w:rPr>
        <w:t xml:space="preserve"> (see below)</w:t>
      </w:r>
      <w:r w:rsidRPr="0009780C">
        <w:rPr>
          <w:rFonts w:cs="Arial"/>
          <w:szCs w:val="22"/>
          <w:lang w:eastAsia="en-GB"/>
        </w:rPr>
        <w:t xml:space="preserve"> was the most popular and the one BIS </w:t>
      </w:r>
      <w:r w:rsidR="007434BA">
        <w:rPr>
          <w:rFonts w:cs="Arial"/>
          <w:szCs w:val="22"/>
          <w:lang w:eastAsia="en-GB"/>
        </w:rPr>
        <w:t>also</w:t>
      </w:r>
      <w:r w:rsidRPr="0009780C">
        <w:rPr>
          <w:rFonts w:cs="Arial"/>
          <w:szCs w:val="22"/>
          <w:lang w:eastAsia="en-GB"/>
        </w:rPr>
        <w:t xml:space="preserve"> prefer</w:t>
      </w:r>
      <w:r w:rsidR="007434BA">
        <w:rPr>
          <w:rFonts w:cs="Arial"/>
          <w:szCs w:val="22"/>
          <w:lang w:eastAsia="en-GB"/>
        </w:rPr>
        <w:t>red</w:t>
      </w:r>
      <w:r w:rsidRPr="0009780C">
        <w:rPr>
          <w:rFonts w:cs="Arial"/>
          <w:szCs w:val="22"/>
          <w:lang w:eastAsia="en-GB"/>
        </w:rPr>
        <w:t xml:space="preserve">. </w:t>
      </w:r>
    </w:p>
    <w:p w:rsidR="0075613E" w:rsidRPr="005359F0" w:rsidRDefault="0075613E" w:rsidP="0075613E">
      <w:pPr>
        <w:ind w:left="90"/>
        <w:rPr>
          <w:rFonts w:cs="Arial"/>
          <w:szCs w:val="22"/>
          <w:lang w:eastAsia="en-GB"/>
        </w:rPr>
      </w:pPr>
      <w:r>
        <w:rPr>
          <w:rFonts w:cs="Arial"/>
          <w:szCs w:val="22"/>
          <w:lang w:eastAsia="en-GB"/>
        </w:rPr>
        <w:t>Option 3 proposed the substitution of combustion modified foam for non-</w:t>
      </w:r>
      <w:r w:rsidR="007434BA">
        <w:rPr>
          <w:rFonts w:cs="Arial"/>
          <w:szCs w:val="22"/>
          <w:lang w:eastAsia="en-GB"/>
        </w:rPr>
        <w:t>combustion modified</w:t>
      </w:r>
      <w:r>
        <w:rPr>
          <w:rFonts w:cs="Arial"/>
          <w:szCs w:val="22"/>
          <w:lang w:eastAsia="en-GB"/>
        </w:rPr>
        <w:t xml:space="preserve"> PU foam in the match test filling requirement, and to include currently unregulated lining fabrics and any 'easily ignitable' materials which may sit between the cover fabric and the foam fillings of a product, e.g. cardboard sheeting. This measure clearly will involve</w:t>
      </w:r>
      <w:r w:rsidR="004A1B01">
        <w:rPr>
          <w:rFonts w:cs="Arial"/>
          <w:szCs w:val="22"/>
          <w:lang w:eastAsia="en-GB"/>
        </w:rPr>
        <w:t xml:space="preserve"> some</w:t>
      </w:r>
      <w:r>
        <w:rPr>
          <w:rFonts w:cs="Arial"/>
          <w:szCs w:val="22"/>
          <w:lang w:eastAsia="en-GB"/>
        </w:rPr>
        <w:t xml:space="preserve"> extra testing; however, BIS believes this additional cost is more than offset both by the reduction of testing required under the cigarette test and cost savings made from a reduction in levels of chemicals used to meet the requirements of the new match test. </w:t>
      </w:r>
      <w:r w:rsidR="004A1B01">
        <w:rPr>
          <w:rFonts w:cs="Arial"/>
          <w:szCs w:val="22"/>
          <w:lang w:eastAsia="en-GB"/>
        </w:rPr>
        <w:t>Also, as stated above, BIS/Intertek have subsequently discovered that most materials which pass this extra test can be permanently exempted from testing.</w:t>
      </w:r>
      <w:r w:rsidR="007434BA">
        <w:rPr>
          <w:rFonts w:cs="Arial"/>
          <w:szCs w:val="22"/>
          <w:lang w:eastAsia="en-GB"/>
        </w:rPr>
        <w:t xml:space="preserve"> </w:t>
      </w:r>
    </w:p>
    <w:p w:rsidR="0075613E" w:rsidRPr="000E61F5" w:rsidRDefault="0075613E" w:rsidP="0075613E">
      <w:pPr>
        <w:ind w:left="540" w:hanging="540"/>
        <w:rPr>
          <w:u w:val="single"/>
        </w:rPr>
      </w:pPr>
      <w:r w:rsidRPr="000E61F5">
        <w:rPr>
          <w:u w:val="single"/>
        </w:rPr>
        <w:t>Potential savings from the amendments</w:t>
      </w:r>
    </w:p>
    <w:p w:rsidR="0075613E" w:rsidRDefault="0075613E" w:rsidP="0075613E">
      <w:pPr>
        <w:ind w:left="90"/>
      </w:pPr>
      <w:r>
        <w:t xml:space="preserve">The Impact Assessment at Annex </w:t>
      </w:r>
      <w:r w:rsidR="00862E2B">
        <w:t>7</w:t>
      </w:r>
      <w:r>
        <w:t xml:space="preserve"> sets out BIS's estimates of </w:t>
      </w:r>
      <w:r w:rsidR="00862E2B">
        <w:t xml:space="preserve">the </w:t>
      </w:r>
      <w:r>
        <w:t>potential savings industry may make from the proposed match test. These are based on an estimate (based on figures supplied by manufacturers and treatment processors) that the cost of treating cover fabric with FRs is around £1.30p per metre (but can be higher for some fabrics), dependent on sales volumes, i.e. SMEs ordering smaller amounts of treatment will tend to pay quite a lot more than larger companies. Of this cost, about half represents the cost of chemicals. BIS believes the range of savings on this basis to be between £1</w:t>
      </w:r>
      <w:r w:rsidR="0056597A">
        <w:t>7</w:t>
      </w:r>
      <w:r>
        <w:t>m and £5</w:t>
      </w:r>
      <w:r w:rsidR="0056597A">
        <w:t>0</w:t>
      </w:r>
      <w:r>
        <w:t xml:space="preserve">m per year, with £50m per year as the best estimate. </w:t>
      </w:r>
    </w:p>
    <w:p w:rsidR="0075613E" w:rsidRDefault="0075613E" w:rsidP="00DF04C9">
      <w:pPr>
        <w:rPr>
          <w:szCs w:val="28"/>
        </w:rPr>
      </w:pPr>
      <w:r>
        <w:t>However, the Impact Assessment points out that these figures are uncertain and BIS therefore welcomes more accurate costs details from industry.</w:t>
      </w:r>
    </w:p>
    <w:p w:rsidR="00DF04C9" w:rsidRDefault="00DF04C9" w:rsidP="00066022">
      <w:pPr>
        <w:jc w:val="center"/>
        <w:rPr>
          <w:rFonts w:cs="Arial"/>
          <w:szCs w:val="22"/>
          <w:u w:val="single"/>
          <w:lang w:eastAsia="en-GB"/>
        </w:rPr>
      </w:pPr>
      <w:r w:rsidRPr="00860A07">
        <w:rPr>
          <w:rFonts w:cs="Arial"/>
          <w:b/>
          <w:szCs w:val="22"/>
          <w:lang w:eastAsia="en-GB"/>
        </w:rPr>
        <w:t>Key impacts and future direction of testing</w:t>
      </w:r>
    </w:p>
    <w:p w:rsidR="00DF04C9" w:rsidRPr="000E61F5" w:rsidRDefault="00DF04C9" w:rsidP="00DF04C9">
      <w:pPr>
        <w:rPr>
          <w:rFonts w:cs="Arial"/>
          <w:u w:val="single"/>
          <w:lang w:eastAsia="en-GB"/>
        </w:rPr>
      </w:pPr>
      <w:r w:rsidRPr="000E61F5">
        <w:rPr>
          <w:rFonts w:cs="Arial"/>
          <w:szCs w:val="22"/>
          <w:u w:val="single"/>
          <w:lang w:eastAsia="en-GB"/>
        </w:rPr>
        <w:t>Impact on use of FRs </w:t>
      </w:r>
    </w:p>
    <w:p w:rsidR="00DF04C9" w:rsidRPr="000B0739" w:rsidRDefault="00DF04C9" w:rsidP="00DF04C9">
      <w:pPr>
        <w:rPr>
          <w:rFonts w:cs="Arial"/>
          <w:lang w:eastAsia="en-GB"/>
        </w:rPr>
      </w:pPr>
      <w:r w:rsidRPr="000B0739">
        <w:rPr>
          <w:rFonts w:cs="Arial"/>
          <w:szCs w:val="22"/>
          <w:lang w:eastAsia="en-GB"/>
        </w:rPr>
        <w:t>Industry may need to reassess the amount of FRs required to achieve compliance</w:t>
      </w:r>
      <w:r w:rsidR="00B4399E">
        <w:rPr>
          <w:rFonts w:cs="Arial"/>
          <w:szCs w:val="22"/>
          <w:lang w:eastAsia="en-GB"/>
        </w:rPr>
        <w:t xml:space="preserve"> (See Annex 3 for FIRA’s initial findings in this area)</w:t>
      </w:r>
      <w:r w:rsidRPr="000B0739">
        <w:rPr>
          <w:rFonts w:cs="Arial"/>
          <w:szCs w:val="22"/>
          <w:lang w:eastAsia="en-GB"/>
        </w:rPr>
        <w:t xml:space="preserve">. In order for any research undertaken in this area to be </w:t>
      </w:r>
      <w:r w:rsidR="00B4399E">
        <w:rPr>
          <w:rFonts w:cs="Arial"/>
          <w:szCs w:val="22"/>
          <w:lang w:eastAsia="en-GB"/>
        </w:rPr>
        <w:t xml:space="preserve">fully </w:t>
      </w:r>
      <w:r w:rsidRPr="000B0739">
        <w:rPr>
          <w:rFonts w:cs="Arial"/>
          <w:szCs w:val="22"/>
          <w:lang w:eastAsia="en-GB"/>
        </w:rPr>
        <w:t xml:space="preserve">effective, however, a full chemical analysis of any back-coating mixtures added to test fabrics will be essential. This is in light of Trading Standards' experience that the </w:t>
      </w:r>
      <w:r w:rsidRPr="000B0739">
        <w:rPr>
          <w:rFonts w:cs="Arial"/>
          <w:szCs w:val="22"/>
          <w:lang w:eastAsia="en-GB"/>
        </w:rPr>
        <w:lastRenderedPageBreak/>
        <w:t>misapplication of FR treatments to fabrics for the purposes of the FFRs is a not an uncommon problem</w:t>
      </w:r>
      <w:r>
        <w:rPr>
          <w:rFonts w:cs="Arial"/>
          <w:szCs w:val="22"/>
          <w:lang w:eastAsia="en-GB"/>
        </w:rPr>
        <w:t xml:space="preserve"> in the UK</w:t>
      </w:r>
      <w:r w:rsidRPr="000B0739">
        <w:rPr>
          <w:rFonts w:cs="Arial"/>
          <w:szCs w:val="22"/>
          <w:lang w:eastAsia="en-GB"/>
        </w:rPr>
        <w:t>.  </w:t>
      </w:r>
    </w:p>
    <w:p w:rsidR="00DF04C9" w:rsidRPr="000B0739" w:rsidRDefault="00DF04C9" w:rsidP="00DF04C9">
      <w:pPr>
        <w:rPr>
          <w:rFonts w:cs="Arial"/>
          <w:lang w:eastAsia="en-GB"/>
        </w:rPr>
      </w:pPr>
      <w:r w:rsidRPr="000B0739">
        <w:rPr>
          <w:rFonts w:cs="Arial"/>
          <w:szCs w:val="22"/>
          <w:lang w:eastAsia="en-GB"/>
        </w:rPr>
        <w:t>Some manufacturers will be able to modify fibre compositions to achieve compliance with little or no FRs (e.g. the nursery furniture industry, where the presence of FRs is seen as increasingly undesirable by consumers). BIS also intends to encourage research into new barrier technologies that could reduce FR use even further.</w:t>
      </w:r>
    </w:p>
    <w:p w:rsidR="00DF04C9" w:rsidRPr="000E61F5" w:rsidRDefault="00DF04C9" w:rsidP="00DF04C9">
      <w:pPr>
        <w:rPr>
          <w:rFonts w:cs="Arial"/>
          <w:u w:val="single"/>
          <w:lang w:eastAsia="en-GB"/>
        </w:rPr>
      </w:pPr>
      <w:r w:rsidRPr="000E61F5">
        <w:rPr>
          <w:rFonts w:cs="Arial"/>
          <w:szCs w:val="22"/>
          <w:u w:val="single"/>
          <w:lang w:eastAsia="en-GB"/>
        </w:rPr>
        <w:t>Impact on fire safety </w:t>
      </w:r>
    </w:p>
    <w:p w:rsidR="00DF04C9" w:rsidRPr="000B0739" w:rsidRDefault="00DF04C9" w:rsidP="00DF04C9">
      <w:pPr>
        <w:rPr>
          <w:rFonts w:cs="Arial"/>
          <w:lang w:eastAsia="en-GB"/>
        </w:rPr>
      </w:pPr>
      <w:r w:rsidRPr="000B0739">
        <w:rPr>
          <w:rFonts w:cs="Arial"/>
          <w:szCs w:val="22"/>
          <w:lang w:eastAsia="en-GB"/>
        </w:rPr>
        <w:t>It could be argued that reducing levels of FRs will make fabrics more ignitable. However, it's important to bear in mind that the match test is intended to achieve a relative rather than an absolute level of safety. Also, the range of products covered by the FFRs is broad. For example, with products from which the occupant is unable to free themselves (e.g. moses baskets, push chairs), non-ignitability is paramount. By contrast, with products that pass the test by virtue of a Schedule 3 interliner, it would seem non-ignitability is not so important.  </w:t>
      </w:r>
    </w:p>
    <w:p w:rsidR="00DF04C9" w:rsidRPr="000B0739" w:rsidRDefault="007847D4" w:rsidP="00DF04C9">
      <w:pPr>
        <w:rPr>
          <w:rFonts w:cs="Arial"/>
          <w:lang w:eastAsia="en-GB"/>
        </w:rPr>
      </w:pPr>
      <w:r>
        <w:rPr>
          <w:rFonts w:cs="Arial"/>
          <w:szCs w:val="22"/>
          <w:lang w:eastAsia="en-GB"/>
        </w:rPr>
        <w:t xml:space="preserve">As stated above, BIS believes the new match test will in fact make products more fire-safe: by removing the risk of covers that pass the test itself but </w:t>
      </w:r>
      <w:r w:rsidR="00D722BA">
        <w:rPr>
          <w:rFonts w:cs="Arial"/>
          <w:szCs w:val="22"/>
          <w:lang w:eastAsia="en-GB"/>
        </w:rPr>
        <w:t>which can be</w:t>
      </w:r>
      <w:r>
        <w:rPr>
          <w:rFonts w:cs="Arial"/>
          <w:szCs w:val="22"/>
          <w:lang w:eastAsia="en-GB"/>
        </w:rPr>
        <w:t xml:space="preserve"> ignitable on the finished product; by removing the 'margin' of sensitivity for some fabrics under the current test which allows for under-treatment with FRs and therefore potentially unsafe covers; </w:t>
      </w:r>
      <w:r w:rsidR="004A1B01">
        <w:rPr>
          <w:rFonts w:cs="Arial"/>
          <w:szCs w:val="22"/>
          <w:lang w:eastAsia="en-GB"/>
        </w:rPr>
        <w:t xml:space="preserve">and </w:t>
      </w:r>
      <w:r>
        <w:rPr>
          <w:rFonts w:cs="Arial"/>
          <w:szCs w:val="22"/>
          <w:lang w:eastAsia="en-GB"/>
        </w:rPr>
        <w:t>by including currently unregulated materials that appear in products and which can be highly flammable.</w:t>
      </w:r>
    </w:p>
    <w:p w:rsidR="00DF04C9" w:rsidRPr="000E61F5" w:rsidRDefault="00DF04C9" w:rsidP="00DF04C9">
      <w:pPr>
        <w:rPr>
          <w:rFonts w:cs="Arial"/>
          <w:u w:val="single"/>
          <w:lang w:eastAsia="en-GB"/>
        </w:rPr>
      </w:pPr>
      <w:r w:rsidRPr="000E61F5">
        <w:rPr>
          <w:rFonts w:cs="Arial"/>
          <w:szCs w:val="22"/>
          <w:u w:val="single"/>
          <w:lang w:eastAsia="en-GB"/>
        </w:rPr>
        <w:t>Future Direction of Testing </w:t>
      </w:r>
    </w:p>
    <w:p w:rsidR="00DF04C9" w:rsidRPr="000B0739" w:rsidRDefault="00DF04C9" w:rsidP="00DF04C9">
      <w:pPr>
        <w:rPr>
          <w:rFonts w:cs="Arial"/>
          <w:lang w:eastAsia="en-GB"/>
        </w:rPr>
      </w:pPr>
      <w:r w:rsidRPr="000B0739">
        <w:rPr>
          <w:rFonts w:cs="Arial"/>
          <w:szCs w:val="22"/>
          <w:lang w:eastAsia="en-GB"/>
        </w:rPr>
        <w:t>In future, it may be possible to deregulate some filling materials, e.g. if the barrier techniques employed were made more robust. This would offer manufacturers an alternative that could further reduce FR use, by utilising both alternative materials and component design. Additionally, current US research suggests that barrier techniques can significantly increase the time taken for furniture to reach peak heat release rate. This, linked to the growing prevalence of smoke detectors and alarms may form a key element in balancing the non-ignitability of furniture against the fiscal cost of non-lethal fires, and the lethality of fires against the use of FRs. In these cases, it may be possible to allow for the option of a full scale test (in US style) so that FR usage could be significantly reduced and concentrated in areas where it is most effective.</w:t>
      </w:r>
    </w:p>
    <w:p w:rsidR="00724FA0" w:rsidRPr="00C75BD4" w:rsidRDefault="003F5C26" w:rsidP="000E61F5">
      <w:pPr>
        <w:jc w:val="center"/>
        <w:rPr>
          <w:bCs/>
        </w:rPr>
      </w:pPr>
      <w:r>
        <w:rPr>
          <w:b/>
          <w:u w:val="single"/>
        </w:rPr>
        <w:br w:type="column"/>
      </w:r>
      <w:bookmarkStart w:id="58" w:name="_Toc287009284"/>
    </w:p>
    <w:p w:rsidR="006B4DAA" w:rsidRDefault="005359F0" w:rsidP="006B4DAA">
      <w:pPr>
        <w:pStyle w:val="Heading2"/>
        <w:rPr>
          <w:rFonts w:ascii="Arial Bold" w:hAnsi="Arial Bold"/>
        </w:rPr>
      </w:pPr>
      <w:bookmarkStart w:id="59" w:name="OLE_LINK14"/>
      <w:bookmarkStart w:id="60" w:name="OLE_LINK15"/>
      <w:bookmarkStart w:id="61" w:name="_Toc394509382"/>
      <w:bookmarkEnd w:id="58"/>
      <w:r>
        <w:rPr>
          <w:rFonts w:ascii="Arial Bold" w:hAnsi="Arial Bold"/>
        </w:rPr>
        <w:t xml:space="preserve">Annex </w:t>
      </w:r>
      <w:r w:rsidR="00C20B87">
        <w:rPr>
          <w:rFonts w:ascii="Arial Bold" w:hAnsi="Arial Bold"/>
        </w:rPr>
        <w:t>5</w:t>
      </w:r>
      <w:r>
        <w:rPr>
          <w:rFonts w:ascii="Arial Bold" w:hAnsi="Arial Bold"/>
        </w:rPr>
        <w:t xml:space="preserve">: </w:t>
      </w:r>
      <w:r w:rsidR="006B58A5">
        <w:rPr>
          <w:rFonts w:ascii="Arial Bold" w:hAnsi="Arial Bold"/>
        </w:rPr>
        <w:t>Consultation principles</w:t>
      </w:r>
      <w:bookmarkEnd w:id="59"/>
      <w:bookmarkEnd w:id="60"/>
      <w:bookmarkEnd w:id="61"/>
    </w:p>
    <w:p w:rsidR="006B4DAA" w:rsidRPr="0059654F" w:rsidRDefault="0039527C" w:rsidP="006B4DAA">
      <w:pPr>
        <w:ind w:left="0"/>
        <w:rPr>
          <w:color w:val="000000"/>
        </w:rPr>
      </w:pPr>
      <w:r w:rsidRPr="0059654F">
        <w:rPr>
          <w:color w:val="000000"/>
        </w:rPr>
        <w:t>The principles that Government departments and other public bodies should adopt for engaging stakeholders when developing policy and legislation are set out in the consultation principles</w:t>
      </w:r>
      <w:r w:rsidR="00D722BA" w:rsidRPr="0059654F">
        <w:rPr>
          <w:color w:val="000000"/>
        </w:rPr>
        <w:t>:</w:t>
      </w:r>
      <w:r w:rsidRPr="0059654F">
        <w:rPr>
          <w:color w:val="000000"/>
        </w:rPr>
        <w:t xml:space="preserve"> </w:t>
      </w:r>
    </w:p>
    <w:p w:rsidR="0039527C" w:rsidRPr="0059654F" w:rsidRDefault="00E27371" w:rsidP="006B4DAA">
      <w:pPr>
        <w:ind w:left="0"/>
        <w:rPr>
          <w:color w:val="000000"/>
        </w:rPr>
      </w:pPr>
      <w:hyperlink r:id="rId45" w:history="1">
        <w:r w:rsidR="0039527C" w:rsidRPr="0059654F">
          <w:rPr>
            <w:rStyle w:val="Hyperlink"/>
            <w:color w:val="000000"/>
          </w:rPr>
          <w:t>http://www.cabinetoffice.gov.uk/sites/default/files/resources/Consultation-Principles.pdf</w:t>
        </w:r>
      </w:hyperlink>
    </w:p>
    <w:p w:rsidR="0039527C" w:rsidRPr="0059654F" w:rsidRDefault="0039527C" w:rsidP="006B4DAA">
      <w:pPr>
        <w:pStyle w:val="Heading3"/>
        <w:rPr>
          <w:color w:val="000000"/>
        </w:rPr>
      </w:pPr>
      <w:bookmarkStart w:id="62" w:name="_Toc222902180"/>
      <w:bookmarkStart w:id="63" w:name="_Toc287009285"/>
    </w:p>
    <w:p w:rsidR="006B4DAA" w:rsidRPr="0059654F" w:rsidRDefault="006B4DAA" w:rsidP="006B4DAA">
      <w:pPr>
        <w:pStyle w:val="Heading3"/>
        <w:rPr>
          <w:color w:val="000000"/>
        </w:rPr>
      </w:pPr>
      <w:r w:rsidRPr="0059654F">
        <w:rPr>
          <w:color w:val="000000"/>
        </w:rPr>
        <w:t>Comments or complaints</w:t>
      </w:r>
      <w:bookmarkEnd w:id="62"/>
      <w:bookmarkEnd w:id="63"/>
      <w:r w:rsidR="003A0C02" w:rsidRPr="0059654F">
        <w:rPr>
          <w:color w:val="000000"/>
        </w:rPr>
        <w:t xml:space="preserve"> on the conduct of this consultation</w:t>
      </w:r>
    </w:p>
    <w:p w:rsidR="006B4DAA" w:rsidRPr="00030588" w:rsidRDefault="006B4DAA" w:rsidP="006B4DAA">
      <w:r w:rsidRPr="00030588">
        <w:t>If you wish to comment on the conduct of this consultation or make a complaint about the way this consultation has been conducted, please write to:</w:t>
      </w:r>
    </w:p>
    <w:p w:rsidR="006B4DAA" w:rsidRPr="00030588" w:rsidRDefault="00D722BA" w:rsidP="006B4DAA">
      <w:pPr>
        <w:spacing w:after="0"/>
      </w:pPr>
      <w:r>
        <w:t>Angela Rabess</w:t>
      </w:r>
      <w:r w:rsidR="006B4DAA" w:rsidRPr="00030588">
        <w:t xml:space="preserve"> </w:t>
      </w:r>
    </w:p>
    <w:p w:rsidR="006B4DAA" w:rsidRPr="00030588" w:rsidRDefault="006B4DAA" w:rsidP="006B4DAA">
      <w:pPr>
        <w:spacing w:after="0"/>
      </w:pPr>
      <w:r w:rsidRPr="00030588">
        <w:t xml:space="preserve">BIS Consultation Co-ordinator, </w:t>
      </w:r>
    </w:p>
    <w:p w:rsidR="006B4DAA" w:rsidRPr="00030588" w:rsidRDefault="006B4DAA" w:rsidP="006B4DAA">
      <w:pPr>
        <w:spacing w:after="0"/>
      </w:pPr>
      <w:r w:rsidRPr="00030588">
        <w:t xml:space="preserve">1 Victoria Street, </w:t>
      </w:r>
    </w:p>
    <w:p w:rsidR="006B4DAA" w:rsidRPr="00030588" w:rsidRDefault="006B4DAA" w:rsidP="006B4DAA">
      <w:pPr>
        <w:spacing w:after="0"/>
      </w:pPr>
      <w:r w:rsidRPr="00030588">
        <w:t xml:space="preserve">London </w:t>
      </w:r>
    </w:p>
    <w:p w:rsidR="006B4DAA" w:rsidRPr="00030588" w:rsidRDefault="006B4DAA" w:rsidP="006B4DAA">
      <w:pPr>
        <w:spacing w:after="0"/>
      </w:pPr>
      <w:r w:rsidRPr="00030588">
        <w:t xml:space="preserve">SW1H 0ET </w:t>
      </w:r>
    </w:p>
    <w:p w:rsidR="006B4DAA" w:rsidRPr="00030588" w:rsidRDefault="006B4DAA" w:rsidP="006B4DAA">
      <w:pPr>
        <w:spacing w:after="0"/>
      </w:pPr>
    </w:p>
    <w:p w:rsidR="006B4DAA" w:rsidRPr="00030588" w:rsidRDefault="006B4DAA" w:rsidP="006B4DAA">
      <w:pPr>
        <w:spacing w:after="0"/>
      </w:pPr>
      <w:r w:rsidRPr="00030588">
        <w:t xml:space="preserve">Telephone </w:t>
      </w:r>
      <w:r w:rsidR="00D722BA">
        <w:t>Angela</w:t>
      </w:r>
      <w:r w:rsidR="001764A2">
        <w:t xml:space="preserve"> on 020 7215 </w:t>
      </w:r>
      <w:r w:rsidR="00D722BA">
        <w:t>1661</w:t>
      </w:r>
    </w:p>
    <w:p w:rsidR="006B4DAA" w:rsidRDefault="006B4DAA" w:rsidP="00D722BA">
      <w:pPr>
        <w:spacing w:after="0"/>
      </w:pPr>
      <w:r w:rsidRPr="00030588">
        <w:t>or e-mail</w:t>
      </w:r>
      <w:r w:rsidR="00D722BA">
        <w:t xml:space="preserve"> her at</w:t>
      </w:r>
      <w:r w:rsidRPr="00030588">
        <w:t xml:space="preserve">: </w:t>
      </w:r>
      <w:hyperlink r:id="rId46" w:history="1">
        <w:r w:rsidR="00D722BA" w:rsidRPr="00BC6969">
          <w:rPr>
            <w:rStyle w:val="Hyperlink"/>
          </w:rPr>
          <w:t>angela.rabess@bis.gsi.gov.uk</w:t>
        </w:r>
      </w:hyperlink>
    </w:p>
    <w:p w:rsidR="00D722BA" w:rsidRPr="00030588" w:rsidRDefault="00D722BA" w:rsidP="00D722BA">
      <w:pPr>
        <w:spacing w:after="0"/>
      </w:pPr>
    </w:p>
    <w:p w:rsidR="00BE7DB0" w:rsidRDefault="006B4DAA" w:rsidP="00BE7DB0">
      <w:pPr>
        <w:pStyle w:val="Heading2"/>
      </w:pPr>
      <w:r w:rsidRPr="00030588">
        <w:br w:type="page"/>
      </w:r>
      <w:bookmarkStart w:id="64" w:name="_Toc222902181"/>
      <w:bookmarkStart w:id="65" w:name="_Toc287009286"/>
      <w:bookmarkStart w:id="66" w:name="_Toc394509383"/>
      <w:r w:rsidRPr="00030588">
        <w:lastRenderedPageBreak/>
        <w:t xml:space="preserve">Annex </w:t>
      </w:r>
      <w:r w:rsidR="00C20B87">
        <w:t>6</w:t>
      </w:r>
      <w:r w:rsidRPr="00030588">
        <w:t xml:space="preserve">: List of </w:t>
      </w:r>
      <w:r w:rsidR="00321C47">
        <w:t>i</w:t>
      </w:r>
      <w:r w:rsidRPr="00030588">
        <w:t>ndividuals/</w:t>
      </w:r>
      <w:r w:rsidR="00321C47">
        <w:t>o</w:t>
      </w:r>
      <w:r w:rsidRPr="00030588">
        <w:t>rganisations consulted</w:t>
      </w:r>
      <w:bookmarkEnd w:id="64"/>
      <w:bookmarkEnd w:id="65"/>
      <w:bookmarkEnd w:id="66"/>
    </w:p>
    <w:p w:rsidR="00CB18D2" w:rsidRDefault="00CB18D2" w:rsidP="00D722BA">
      <w:pPr>
        <w:spacing w:after="0"/>
        <w:ind w:left="0"/>
        <w:jc w:val="center"/>
        <w:rPr>
          <w:sz w:val="22"/>
          <w:szCs w:val="20"/>
          <w:u w:val="single"/>
        </w:rPr>
      </w:pPr>
      <w:r w:rsidRPr="00727242">
        <w:rPr>
          <w:sz w:val="22"/>
          <w:szCs w:val="20"/>
          <w:u w:val="single"/>
        </w:rPr>
        <w:t>Retailers, manufacturers</w:t>
      </w:r>
    </w:p>
    <w:p w:rsidR="00CB18D2" w:rsidRDefault="00CB18D2" w:rsidP="00CB18D2">
      <w:pPr>
        <w:spacing w:after="0"/>
        <w:ind w:left="0"/>
        <w:rPr>
          <w:sz w:val="22"/>
          <w:szCs w:val="20"/>
          <w:u w:val="single"/>
        </w:rPr>
      </w:pPr>
    </w:p>
    <w:p w:rsidR="004265CE" w:rsidRDefault="004265CE" w:rsidP="00CB18D2">
      <w:pPr>
        <w:spacing w:after="0"/>
        <w:ind w:left="0"/>
        <w:rPr>
          <w:sz w:val="22"/>
          <w:szCs w:val="20"/>
        </w:rPr>
        <w:sectPr w:rsidR="004265CE" w:rsidSect="00A43C03">
          <w:headerReference w:type="default" r:id="rId47"/>
          <w:footerReference w:type="default" r:id="rId48"/>
          <w:footnotePr>
            <w:numRestart w:val="eachSect"/>
          </w:footnotePr>
          <w:type w:val="continuous"/>
          <w:pgSz w:w="11907" w:h="16840" w:code="9"/>
          <w:pgMar w:top="680" w:right="851" w:bottom="680" w:left="851" w:header="284" w:footer="284" w:gutter="0"/>
          <w:cols w:space="708"/>
          <w:docGrid w:linePitch="360"/>
        </w:sectPr>
      </w:pPr>
    </w:p>
    <w:p w:rsidR="0042441A" w:rsidRDefault="0042441A" w:rsidP="00CB18D2">
      <w:pPr>
        <w:spacing w:after="0"/>
        <w:ind w:left="0"/>
        <w:rPr>
          <w:sz w:val="22"/>
          <w:szCs w:val="20"/>
        </w:rPr>
      </w:pPr>
      <w:r>
        <w:rPr>
          <w:sz w:val="22"/>
          <w:szCs w:val="20"/>
        </w:rPr>
        <w:lastRenderedPageBreak/>
        <w:t>360</w:t>
      </w:r>
    </w:p>
    <w:p w:rsidR="0042441A" w:rsidRDefault="0042441A" w:rsidP="00CB18D2">
      <w:pPr>
        <w:spacing w:after="0"/>
        <w:ind w:left="0"/>
        <w:rPr>
          <w:sz w:val="22"/>
          <w:szCs w:val="20"/>
        </w:rPr>
      </w:pPr>
      <w:r>
        <w:rPr>
          <w:sz w:val="22"/>
          <w:szCs w:val="20"/>
        </w:rPr>
        <w:t>AHF</w:t>
      </w:r>
    </w:p>
    <w:p w:rsidR="007274D3" w:rsidRDefault="007274D3" w:rsidP="00CB18D2">
      <w:pPr>
        <w:spacing w:after="0"/>
        <w:ind w:left="0"/>
        <w:rPr>
          <w:sz w:val="22"/>
          <w:szCs w:val="20"/>
        </w:rPr>
      </w:pPr>
      <w:r>
        <w:rPr>
          <w:sz w:val="22"/>
          <w:szCs w:val="20"/>
        </w:rPr>
        <w:t>Air Plants Dust Extraction Ltd</w:t>
      </w:r>
    </w:p>
    <w:p w:rsidR="00F62038" w:rsidRDefault="00F62038" w:rsidP="00CB18D2">
      <w:pPr>
        <w:spacing w:after="0"/>
        <w:ind w:left="0"/>
        <w:rPr>
          <w:sz w:val="22"/>
          <w:szCs w:val="20"/>
        </w:rPr>
      </w:pPr>
      <w:r>
        <w:rPr>
          <w:sz w:val="22"/>
          <w:szCs w:val="20"/>
        </w:rPr>
        <w:t>AIS</w:t>
      </w:r>
    </w:p>
    <w:p w:rsidR="0042441A" w:rsidRDefault="0042441A" w:rsidP="00CB18D2">
      <w:pPr>
        <w:spacing w:after="0"/>
        <w:ind w:left="0"/>
        <w:rPr>
          <w:sz w:val="22"/>
          <w:szCs w:val="20"/>
        </w:rPr>
      </w:pPr>
      <w:r>
        <w:rPr>
          <w:sz w:val="22"/>
          <w:szCs w:val="20"/>
        </w:rPr>
        <w:t>Appraise PTC</w:t>
      </w:r>
    </w:p>
    <w:p w:rsidR="007274D3" w:rsidRDefault="007274D3" w:rsidP="00CB18D2">
      <w:pPr>
        <w:spacing w:after="0"/>
        <w:ind w:left="0"/>
        <w:rPr>
          <w:sz w:val="22"/>
          <w:szCs w:val="20"/>
        </w:rPr>
      </w:pPr>
      <w:r>
        <w:rPr>
          <w:sz w:val="22"/>
          <w:szCs w:val="20"/>
        </w:rPr>
        <w:t>Argos</w:t>
      </w:r>
    </w:p>
    <w:p w:rsidR="0042441A" w:rsidRDefault="0042441A" w:rsidP="00CB18D2">
      <w:pPr>
        <w:spacing w:after="0"/>
        <w:ind w:left="0"/>
        <w:rPr>
          <w:sz w:val="22"/>
          <w:szCs w:val="20"/>
        </w:rPr>
      </w:pPr>
      <w:r>
        <w:rPr>
          <w:sz w:val="22"/>
          <w:szCs w:val="20"/>
        </w:rPr>
        <w:t>Asda</w:t>
      </w:r>
    </w:p>
    <w:p w:rsidR="0042441A" w:rsidRDefault="0042441A" w:rsidP="00CB18D2">
      <w:pPr>
        <w:spacing w:after="0"/>
        <w:ind w:left="0"/>
        <w:rPr>
          <w:sz w:val="22"/>
          <w:szCs w:val="20"/>
        </w:rPr>
      </w:pPr>
      <w:r>
        <w:rPr>
          <w:sz w:val="22"/>
          <w:szCs w:val="20"/>
        </w:rPr>
        <w:t>B&amp;Q</w:t>
      </w:r>
    </w:p>
    <w:p w:rsidR="0042441A" w:rsidRDefault="0042441A" w:rsidP="00CB18D2">
      <w:pPr>
        <w:spacing w:after="0"/>
        <w:ind w:left="0"/>
        <w:rPr>
          <w:sz w:val="22"/>
          <w:szCs w:val="20"/>
        </w:rPr>
      </w:pPr>
      <w:r>
        <w:rPr>
          <w:sz w:val="22"/>
          <w:szCs w:val="20"/>
        </w:rPr>
        <w:t>British Velvets</w:t>
      </w:r>
    </w:p>
    <w:p w:rsidR="0042441A" w:rsidRDefault="0042441A" w:rsidP="00CB18D2">
      <w:pPr>
        <w:spacing w:after="0"/>
        <w:ind w:left="0"/>
        <w:rPr>
          <w:sz w:val="22"/>
          <w:szCs w:val="20"/>
        </w:rPr>
      </w:pPr>
      <w:r>
        <w:rPr>
          <w:sz w:val="22"/>
          <w:szCs w:val="20"/>
        </w:rPr>
        <w:t>Buoyant Upholstery</w:t>
      </w:r>
    </w:p>
    <w:p w:rsidR="0042441A" w:rsidRDefault="0042441A" w:rsidP="00CB18D2">
      <w:pPr>
        <w:spacing w:after="0"/>
        <w:ind w:left="0"/>
        <w:rPr>
          <w:sz w:val="22"/>
          <w:szCs w:val="20"/>
        </w:rPr>
      </w:pPr>
      <w:r>
        <w:rPr>
          <w:sz w:val="22"/>
          <w:szCs w:val="20"/>
        </w:rPr>
        <w:t>Debenhams</w:t>
      </w:r>
    </w:p>
    <w:p w:rsidR="0042441A" w:rsidRDefault="0042441A" w:rsidP="00CB18D2">
      <w:pPr>
        <w:spacing w:after="0"/>
        <w:ind w:left="0"/>
        <w:rPr>
          <w:sz w:val="22"/>
          <w:szCs w:val="20"/>
        </w:rPr>
      </w:pPr>
      <w:r>
        <w:rPr>
          <w:sz w:val="22"/>
          <w:szCs w:val="20"/>
        </w:rPr>
        <w:t>DFS</w:t>
      </w:r>
    </w:p>
    <w:p w:rsidR="0042441A" w:rsidRDefault="0042441A" w:rsidP="00CB18D2">
      <w:pPr>
        <w:spacing w:after="0"/>
        <w:ind w:left="0"/>
        <w:rPr>
          <w:sz w:val="22"/>
          <w:szCs w:val="20"/>
        </w:rPr>
      </w:pPr>
      <w:r>
        <w:rPr>
          <w:sz w:val="22"/>
          <w:szCs w:val="20"/>
        </w:rPr>
        <w:t>Dunelm</w:t>
      </w:r>
    </w:p>
    <w:p w:rsidR="0042441A" w:rsidRDefault="0042441A" w:rsidP="00CB18D2">
      <w:pPr>
        <w:spacing w:after="0"/>
        <w:ind w:left="0"/>
        <w:rPr>
          <w:sz w:val="22"/>
          <w:szCs w:val="20"/>
        </w:rPr>
      </w:pPr>
      <w:r>
        <w:rPr>
          <w:sz w:val="22"/>
          <w:szCs w:val="20"/>
        </w:rPr>
        <w:t>Furniture Village</w:t>
      </w:r>
    </w:p>
    <w:p w:rsidR="007527B6" w:rsidRDefault="007527B6" w:rsidP="00CB18D2">
      <w:pPr>
        <w:spacing w:after="0"/>
        <w:ind w:left="0"/>
        <w:rPr>
          <w:sz w:val="22"/>
          <w:szCs w:val="20"/>
        </w:rPr>
      </w:pPr>
      <w:r>
        <w:rPr>
          <w:sz w:val="22"/>
          <w:szCs w:val="20"/>
        </w:rPr>
        <w:t>Glencrest Seatex Ltd</w:t>
      </w:r>
    </w:p>
    <w:p w:rsidR="007274D3" w:rsidRDefault="007274D3" w:rsidP="00CB18D2">
      <w:pPr>
        <w:spacing w:after="0"/>
        <w:ind w:left="0"/>
        <w:rPr>
          <w:sz w:val="22"/>
          <w:szCs w:val="20"/>
        </w:rPr>
      </w:pPr>
      <w:r>
        <w:rPr>
          <w:sz w:val="22"/>
          <w:szCs w:val="20"/>
        </w:rPr>
        <w:t>H &amp; C Whitehead Ltd</w:t>
      </w:r>
    </w:p>
    <w:p w:rsidR="0042441A" w:rsidRDefault="0042441A" w:rsidP="00CB18D2">
      <w:pPr>
        <w:spacing w:after="0"/>
        <w:ind w:left="0"/>
        <w:rPr>
          <w:sz w:val="22"/>
          <w:szCs w:val="20"/>
        </w:rPr>
      </w:pPr>
      <w:r>
        <w:rPr>
          <w:sz w:val="22"/>
          <w:szCs w:val="20"/>
        </w:rPr>
        <w:t>Habitat</w:t>
      </w:r>
    </w:p>
    <w:p w:rsidR="0042441A" w:rsidRDefault="0042441A" w:rsidP="00CB18D2">
      <w:pPr>
        <w:spacing w:after="0"/>
        <w:ind w:left="0"/>
        <w:rPr>
          <w:sz w:val="22"/>
          <w:szCs w:val="20"/>
        </w:rPr>
      </w:pPr>
      <w:r>
        <w:rPr>
          <w:sz w:val="22"/>
          <w:szCs w:val="20"/>
        </w:rPr>
        <w:t>Hobbycraft</w:t>
      </w:r>
    </w:p>
    <w:p w:rsidR="0042441A" w:rsidRDefault="0042441A" w:rsidP="00CB18D2">
      <w:pPr>
        <w:spacing w:after="0"/>
        <w:ind w:left="0"/>
        <w:rPr>
          <w:sz w:val="22"/>
          <w:szCs w:val="20"/>
        </w:rPr>
      </w:pPr>
      <w:r>
        <w:rPr>
          <w:sz w:val="22"/>
          <w:szCs w:val="20"/>
        </w:rPr>
        <w:t>Home Retail Group</w:t>
      </w:r>
    </w:p>
    <w:p w:rsidR="0042441A" w:rsidRDefault="0042441A" w:rsidP="00CB18D2">
      <w:pPr>
        <w:spacing w:after="0"/>
        <w:ind w:left="0"/>
        <w:rPr>
          <w:sz w:val="22"/>
          <w:szCs w:val="20"/>
        </w:rPr>
      </w:pPr>
      <w:r>
        <w:rPr>
          <w:sz w:val="22"/>
          <w:szCs w:val="20"/>
        </w:rPr>
        <w:t>House of Fraser</w:t>
      </w:r>
    </w:p>
    <w:p w:rsidR="0042441A" w:rsidRDefault="0042441A" w:rsidP="00CB18D2">
      <w:pPr>
        <w:spacing w:after="0"/>
        <w:ind w:left="0"/>
        <w:rPr>
          <w:sz w:val="22"/>
          <w:szCs w:val="20"/>
        </w:rPr>
      </w:pPr>
      <w:r>
        <w:rPr>
          <w:sz w:val="22"/>
          <w:szCs w:val="20"/>
        </w:rPr>
        <w:t>IKEA</w:t>
      </w:r>
    </w:p>
    <w:p w:rsidR="0042441A" w:rsidRDefault="0042441A" w:rsidP="00CB18D2">
      <w:pPr>
        <w:spacing w:after="0"/>
        <w:ind w:left="0"/>
        <w:rPr>
          <w:sz w:val="22"/>
          <w:szCs w:val="20"/>
        </w:rPr>
      </w:pPr>
      <w:r>
        <w:rPr>
          <w:sz w:val="22"/>
          <w:szCs w:val="20"/>
        </w:rPr>
        <w:t>J D Williams</w:t>
      </w:r>
    </w:p>
    <w:p w:rsidR="0042441A" w:rsidRDefault="0042441A" w:rsidP="00CB18D2">
      <w:pPr>
        <w:spacing w:after="0"/>
        <w:ind w:left="0"/>
        <w:rPr>
          <w:sz w:val="22"/>
          <w:szCs w:val="20"/>
        </w:rPr>
      </w:pPr>
      <w:r>
        <w:rPr>
          <w:sz w:val="22"/>
          <w:szCs w:val="20"/>
        </w:rPr>
        <w:t>John Cotton</w:t>
      </w:r>
    </w:p>
    <w:p w:rsidR="0042441A" w:rsidRDefault="0042441A" w:rsidP="00CB18D2">
      <w:pPr>
        <w:spacing w:after="0"/>
        <w:ind w:left="0"/>
        <w:rPr>
          <w:sz w:val="22"/>
          <w:szCs w:val="20"/>
        </w:rPr>
      </w:pPr>
      <w:r>
        <w:rPr>
          <w:sz w:val="22"/>
          <w:szCs w:val="20"/>
        </w:rPr>
        <w:t>John Lewis</w:t>
      </w:r>
    </w:p>
    <w:p w:rsidR="0042441A" w:rsidRDefault="0042441A" w:rsidP="00CB18D2">
      <w:pPr>
        <w:spacing w:after="0"/>
        <w:ind w:left="0"/>
        <w:rPr>
          <w:sz w:val="22"/>
          <w:szCs w:val="20"/>
        </w:rPr>
      </w:pPr>
      <w:r>
        <w:rPr>
          <w:sz w:val="22"/>
          <w:szCs w:val="20"/>
        </w:rPr>
        <w:t>Laura Ashley</w:t>
      </w:r>
    </w:p>
    <w:p w:rsidR="0042441A" w:rsidRDefault="0042441A" w:rsidP="00CB18D2">
      <w:pPr>
        <w:spacing w:after="0"/>
        <w:ind w:left="0"/>
        <w:rPr>
          <w:sz w:val="22"/>
          <w:szCs w:val="20"/>
        </w:rPr>
      </w:pPr>
      <w:r>
        <w:rPr>
          <w:sz w:val="22"/>
          <w:szCs w:val="20"/>
        </w:rPr>
        <w:t>Leisure Plan</w:t>
      </w:r>
    </w:p>
    <w:p w:rsidR="0042441A" w:rsidRDefault="0042441A" w:rsidP="00CB18D2">
      <w:pPr>
        <w:spacing w:after="0"/>
        <w:ind w:left="0"/>
        <w:rPr>
          <w:sz w:val="22"/>
          <w:szCs w:val="20"/>
        </w:rPr>
      </w:pPr>
      <w:r>
        <w:rPr>
          <w:sz w:val="22"/>
          <w:szCs w:val="20"/>
        </w:rPr>
        <w:lastRenderedPageBreak/>
        <w:t>Maclaren</w:t>
      </w:r>
    </w:p>
    <w:p w:rsidR="0042441A" w:rsidRDefault="0042441A" w:rsidP="00CB18D2">
      <w:pPr>
        <w:spacing w:after="0"/>
        <w:ind w:left="0"/>
        <w:rPr>
          <w:sz w:val="22"/>
          <w:szCs w:val="20"/>
        </w:rPr>
      </w:pPr>
      <w:r>
        <w:rPr>
          <w:sz w:val="22"/>
          <w:szCs w:val="20"/>
        </w:rPr>
        <w:t>Made.com</w:t>
      </w:r>
    </w:p>
    <w:p w:rsidR="0042441A" w:rsidRDefault="0042441A" w:rsidP="00CB18D2">
      <w:pPr>
        <w:spacing w:after="0"/>
        <w:ind w:left="0"/>
        <w:rPr>
          <w:sz w:val="22"/>
          <w:szCs w:val="20"/>
        </w:rPr>
      </w:pPr>
      <w:r>
        <w:rPr>
          <w:sz w:val="22"/>
          <w:szCs w:val="20"/>
        </w:rPr>
        <w:t>Mamas &amp; Papas</w:t>
      </w:r>
    </w:p>
    <w:p w:rsidR="0042441A" w:rsidRDefault="0042441A" w:rsidP="00CB18D2">
      <w:pPr>
        <w:spacing w:after="0"/>
        <w:ind w:left="0"/>
        <w:rPr>
          <w:sz w:val="22"/>
          <w:szCs w:val="20"/>
        </w:rPr>
      </w:pPr>
      <w:r>
        <w:rPr>
          <w:sz w:val="22"/>
          <w:szCs w:val="20"/>
        </w:rPr>
        <w:t>Marks &amp; Spencer</w:t>
      </w:r>
    </w:p>
    <w:p w:rsidR="0042441A" w:rsidRDefault="0042441A" w:rsidP="00CB18D2">
      <w:pPr>
        <w:spacing w:after="0"/>
        <w:ind w:left="0"/>
        <w:rPr>
          <w:sz w:val="22"/>
          <w:szCs w:val="20"/>
        </w:rPr>
      </w:pPr>
      <w:r>
        <w:rPr>
          <w:sz w:val="22"/>
          <w:szCs w:val="20"/>
        </w:rPr>
        <w:t>Matalan</w:t>
      </w:r>
    </w:p>
    <w:p w:rsidR="0042441A" w:rsidRDefault="0042441A" w:rsidP="00CB18D2">
      <w:pPr>
        <w:spacing w:after="0"/>
        <w:ind w:left="0"/>
        <w:rPr>
          <w:sz w:val="22"/>
          <w:szCs w:val="20"/>
        </w:rPr>
      </w:pPr>
      <w:r>
        <w:rPr>
          <w:sz w:val="22"/>
          <w:szCs w:val="20"/>
        </w:rPr>
        <w:t>Meadowmead</w:t>
      </w:r>
    </w:p>
    <w:p w:rsidR="00136D86" w:rsidRDefault="00136D86" w:rsidP="00CB18D2">
      <w:pPr>
        <w:spacing w:after="0"/>
        <w:ind w:left="0"/>
        <w:rPr>
          <w:sz w:val="22"/>
          <w:szCs w:val="20"/>
        </w:rPr>
      </w:pPr>
      <w:r>
        <w:rPr>
          <w:sz w:val="22"/>
          <w:szCs w:val="20"/>
        </w:rPr>
        <w:t>Mothercare</w:t>
      </w:r>
    </w:p>
    <w:p w:rsidR="0042441A" w:rsidRDefault="0042441A" w:rsidP="00CB18D2">
      <w:pPr>
        <w:spacing w:after="0"/>
        <w:ind w:left="0"/>
        <w:rPr>
          <w:sz w:val="22"/>
          <w:szCs w:val="20"/>
        </w:rPr>
      </w:pPr>
      <w:r>
        <w:rPr>
          <w:sz w:val="22"/>
          <w:szCs w:val="20"/>
        </w:rPr>
        <w:t>Next</w:t>
      </w:r>
    </w:p>
    <w:p w:rsidR="0042441A" w:rsidRDefault="0042441A" w:rsidP="00CB18D2">
      <w:pPr>
        <w:spacing w:after="0"/>
        <w:ind w:left="0"/>
        <w:rPr>
          <w:sz w:val="22"/>
          <w:szCs w:val="20"/>
        </w:rPr>
      </w:pPr>
      <w:r>
        <w:rPr>
          <w:sz w:val="22"/>
          <w:szCs w:val="20"/>
        </w:rPr>
        <w:t>Orangebox</w:t>
      </w:r>
    </w:p>
    <w:p w:rsidR="0042441A" w:rsidRDefault="0042441A" w:rsidP="00CB18D2">
      <w:pPr>
        <w:spacing w:after="0"/>
        <w:ind w:left="0"/>
        <w:rPr>
          <w:sz w:val="22"/>
          <w:szCs w:val="20"/>
        </w:rPr>
      </w:pPr>
      <w:r>
        <w:rPr>
          <w:sz w:val="22"/>
          <w:szCs w:val="20"/>
        </w:rPr>
        <w:t>Poundstretcher</w:t>
      </w:r>
    </w:p>
    <w:p w:rsidR="0042441A" w:rsidRDefault="0042441A" w:rsidP="00CB18D2">
      <w:pPr>
        <w:spacing w:after="0"/>
        <w:ind w:left="0"/>
        <w:rPr>
          <w:sz w:val="22"/>
          <w:szCs w:val="20"/>
        </w:rPr>
      </w:pPr>
      <w:r>
        <w:rPr>
          <w:sz w:val="22"/>
          <w:szCs w:val="20"/>
        </w:rPr>
        <w:t>Quality Furniture Company</w:t>
      </w:r>
    </w:p>
    <w:p w:rsidR="0042441A" w:rsidRDefault="0042441A" w:rsidP="00CB18D2">
      <w:pPr>
        <w:spacing w:after="0"/>
        <w:ind w:left="0"/>
        <w:rPr>
          <w:sz w:val="22"/>
          <w:szCs w:val="20"/>
        </w:rPr>
      </w:pPr>
      <w:r>
        <w:rPr>
          <w:sz w:val="22"/>
          <w:szCs w:val="20"/>
        </w:rPr>
        <w:t>Relyon</w:t>
      </w:r>
    </w:p>
    <w:p w:rsidR="0042441A" w:rsidRDefault="0042441A" w:rsidP="00CB18D2">
      <w:pPr>
        <w:spacing w:after="0"/>
        <w:ind w:left="0"/>
        <w:rPr>
          <w:sz w:val="22"/>
          <w:szCs w:val="20"/>
        </w:rPr>
      </w:pPr>
      <w:r>
        <w:rPr>
          <w:sz w:val="22"/>
          <w:szCs w:val="20"/>
        </w:rPr>
        <w:t>Sainsbury’s</w:t>
      </w:r>
    </w:p>
    <w:p w:rsidR="00F62038" w:rsidRDefault="00F62038" w:rsidP="00CB18D2">
      <w:pPr>
        <w:spacing w:after="0"/>
        <w:ind w:left="0"/>
        <w:rPr>
          <w:sz w:val="22"/>
          <w:szCs w:val="20"/>
        </w:rPr>
      </w:pPr>
      <w:r>
        <w:rPr>
          <w:sz w:val="22"/>
          <w:szCs w:val="20"/>
        </w:rPr>
        <w:t>SCS</w:t>
      </w:r>
    </w:p>
    <w:p w:rsidR="0042441A" w:rsidRDefault="0042441A" w:rsidP="00CB18D2">
      <w:pPr>
        <w:spacing w:after="0"/>
        <w:ind w:left="0"/>
        <w:rPr>
          <w:sz w:val="22"/>
          <w:szCs w:val="20"/>
        </w:rPr>
      </w:pPr>
      <w:r>
        <w:rPr>
          <w:sz w:val="22"/>
          <w:szCs w:val="20"/>
        </w:rPr>
        <w:t>Shop Direct</w:t>
      </w:r>
    </w:p>
    <w:p w:rsidR="0042441A" w:rsidRDefault="0042441A" w:rsidP="00CB18D2">
      <w:pPr>
        <w:spacing w:after="0"/>
        <w:ind w:left="0"/>
        <w:rPr>
          <w:sz w:val="22"/>
          <w:szCs w:val="20"/>
        </w:rPr>
      </w:pPr>
      <w:r>
        <w:rPr>
          <w:sz w:val="22"/>
          <w:szCs w:val="20"/>
        </w:rPr>
        <w:t>Sofaworks</w:t>
      </w:r>
    </w:p>
    <w:p w:rsidR="0042441A" w:rsidRDefault="0042441A" w:rsidP="00CB18D2">
      <w:pPr>
        <w:spacing w:after="0"/>
        <w:ind w:left="0"/>
        <w:rPr>
          <w:sz w:val="22"/>
          <w:szCs w:val="20"/>
        </w:rPr>
      </w:pPr>
      <w:r>
        <w:rPr>
          <w:sz w:val="22"/>
          <w:szCs w:val="20"/>
        </w:rPr>
        <w:t>Steinhoff International</w:t>
      </w:r>
    </w:p>
    <w:p w:rsidR="0042441A" w:rsidRDefault="0042441A" w:rsidP="00CB18D2">
      <w:pPr>
        <w:spacing w:after="0"/>
        <w:ind w:left="0"/>
        <w:rPr>
          <w:sz w:val="22"/>
          <w:szCs w:val="20"/>
        </w:rPr>
      </w:pPr>
      <w:r>
        <w:rPr>
          <w:sz w:val="22"/>
          <w:szCs w:val="20"/>
        </w:rPr>
        <w:t>Tesco</w:t>
      </w:r>
    </w:p>
    <w:p w:rsidR="0042441A" w:rsidRDefault="0042441A" w:rsidP="00CB18D2">
      <w:pPr>
        <w:spacing w:after="0"/>
        <w:ind w:left="0"/>
        <w:rPr>
          <w:sz w:val="22"/>
          <w:szCs w:val="20"/>
        </w:rPr>
      </w:pPr>
      <w:r>
        <w:rPr>
          <w:sz w:val="22"/>
          <w:szCs w:val="20"/>
        </w:rPr>
        <w:t>The Range</w:t>
      </w:r>
    </w:p>
    <w:p w:rsidR="0042441A" w:rsidRDefault="0042441A" w:rsidP="00CB18D2">
      <w:pPr>
        <w:spacing w:after="0"/>
        <w:ind w:left="0"/>
        <w:rPr>
          <w:sz w:val="22"/>
          <w:szCs w:val="20"/>
        </w:rPr>
      </w:pPr>
      <w:r>
        <w:rPr>
          <w:sz w:val="22"/>
          <w:szCs w:val="20"/>
        </w:rPr>
        <w:t>The White Company</w:t>
      </w:r>
    </w:p>
    <w:p w:rsidR="0042441A" w:rsidRDefault="0042441A" w:rsidP="00CB18D2">
      <w:pPr>
        <w:spacing w:after="0"/>
        <w:ind w:left="0"/>
        <w:rPr>
          <w:sz w:val="22"/>
          <w:szCs w:val="20"/>
        </w:rPr>
      </w:pPr>
      <w:r>
        <w:rPr>
          <w:sz w:val="22"/>
          <w:szCs w:val="20"/>
        </w:rPr>
        <w:t>Toys R Us</w:t>
      </w:r>
    </w:p>
    <w:p w:rsidR="0042441A" w:rsidRDefault="0042441A" w:rsidP="00CB18D2">
      <w:pPr>
        <w:spacing w:after="0"/>
        <w:ind w:left="0"/>
        <w:rPr>
          <w:sz w:val="22"/>
          <w:szCs w:val="20"/>
        </w:rPr>
      </w:pPr>
      <w:r>
        <w:rPr>
          <w:sz w:val="22"/>
          <w:szCs w:val="20"/>
        </w:rPr>
        <w:t>Waitrose</w:t>
      </w:r>
    </w:p>
    <w:p w:rsidR="00E6552D" w:rsidRDefault="00E6552D" w:rsidP="00CB18D2">
      <w:pPr>
        <w:spacing w:after="0"/>
        <w:ind w:left="0"/>
        <w:rPr>
          <w:sz w:val="22"/>
          <w:szCs w:val="20"/>
        </w:rPr>
      </w:pPr>
      <w:r>
        <w:rPr>
          <w:sz w:val="22"/>
          <w:szCs w:val="20"/>
        </w:rPr>
        <w:t>Welbeck House Ltd</w:t>
      </w:r>
    </w:p>
    <w:p w:rsidR="0042441A" w:rsidRDefault="0042441A" w:rsidP="00CB18D2">
      <w:pPr>
        <w:spacing w:after="0"/>
        <w:ind w:left="0"/>
        <w:rPr>
          <w:sz w:val="22"/>
          <w:szCs w:val="20"/>
        </w:rPr>
      </w:pPr>
      <w:r>
        <w:rPr>
          <w:sz w:val="22"/>
          <w:szCs w:val="20"/>
        </w:rPr>
        <w:t>Wilko</w:t>
      </w:r>
    </w:p>
    <w:p w:rsidR="0042441A" w:rsidRDefault="0042441A" w:rsidP="00CB18D2">
      <w:pPr>
        <w:spacing w:after="0"/>
        <w:ind w:left="0"/>
        <w:rPr>
          <w:sz w:val="22"/>
          <w:szCs w:val="20"/>
        </w:rPr>
      </w:pPr>
      <w:r>
        <w:rPr>
          <w:sz w:val="22"/>
          <w:szCs w:val="20"/>
        </w:rPr>
        <w:t>WorldStores</w:t>
      </w:r>
    </w:p>
    <w:p w:rsidR="004265CE" w:rsidRDefault="004265CE" w:rsidP="00CB18D2">
      <w:pPr>
        <w:spacing w:after="0"/>
        <w:ind w:left="0"/>
        <w:rPr>
          <w:sz w:val="22"/>
          <w:szCs w:val="20"/>
        </w:rPr>
        <w:sectPr w:rsidR="004265CE" w:rsidSect="004265CE">
          <w:footnotePr>
            <w:numRestart w:val="eachSect"/>
          </w:footnotePr>
          <w:type w:val="continuous"/>
          <w:pgSz w:w="11907" w:h="16840" w:code="9"/>
          <w:pgMar w:top="680" w:right="851" w:bottom="680" w:left="851" w:header="284" w:footer="284" w:gutter="0"/>
          <w:cols w:num="2" w:space="708"/>
          <w:docGrid w:linePitch="360"/>
        </w:sectPr>
      </w:pPr>
    </w:p>
    <w:p w:rsidR="0042441A" w:rsidRDefault="0042441A" w:rsidP="00CB18D2">
      <w:pPr>
        <w:spacing w:after="0"/>
        <w:ind w:left="0"/>
        <w:rPr>
          <w:sz w:val="22"/>
          <w:szCs w:val="20"/>
        </w:rPr>
      </w:pPr>
    </w:p>
    <w:p w:rsidR="00CB18D2" w:rsidRPr="001A7104" w:rsidRDefault="00CB18D2" w:rsidP="00D722BA">
      <w:pPr>
        <w:spacing w:after="0"/>
        <w:ind w:left="0"/>
        <w:jc w:val="center"/>
        <w:rPr>
          <w:sz w:val="22"/>
          <w:szCs w:val="20"/>
          <w:u w:val="single"/>
        </w:rPr>
      </w:pPr>
      <w:r>
        <w:rPr>
          <w:sz w:val="22"/>
          <w:szCs w:val="20"/>
          <w:u w:val="single"/>
        </w:rPr>
        <w:t>Trade Associations, accreditation services, consultants, fire rescue services, consumer organisations</w:t>
      </w:r>
    </w:p>
    <w:p w:rsidR="00CB18D2" w:rsidRDefault="00CB18D2" w:rsidP="00CB18D2">
      <w:pPr>
        <w:spacing w:after="0"/>
        <w:ind w:left="0"/>
        <w:rPr>
          <w:sz w:val="22"/>
          <w:szCs w:val="20"/>
        </w:rPr>
      </w:pPr>
    </w:p>
    <w:p w:rsidR="004265CE" w:rsidRDefault="004265CE" w:rsidP="00CB18D2">
      <w:pPr>
        <w:spacing w:after="0"/>
        <w:ind w:left="0"/>
        <w:rPr>
          <w:sz w:val="22"/>
          <w:szCs w:val="20"/>
        </w:rPr>
        <w:sectPr w:rsidR="004265CE" w:rsidSect="00A43C03">
          <w:footnotePr>
            <w:numRestart w:val="eachSect"/>
          </w:footnotePr>
          <w:type w:val="continuous"/>
          <w:pgSz w:w="11907" w:h="16840" w:code="9"/>
          <w:pgMar w:top="680" w:right="851" w:bottom="680" w:left="851" w:header="284" w:footer="284" w:gutter="0"/>
          <w:cols w:space="708"/>
          <w:docGrid w:linePitch="360"/>
        </w:sectPr>
      </w:pPr>
    </w:p>
    <w:p w:rsidR="0081651E" w:rsidRDefault="0081651E" w:rsidP="00CB18D2">
      <w:pPr>
        <w:spacing w:after="0"/>
        <w:ind w:left="0"/>
        <w:rPr>
          <w:sz w:val="22"/>
          <w:szCs w:val="20"/>
        </w:rPr>
      </w:pPr>
      <w:r>
        <w:rPr>
          <w:sz w:val="22"/>
          <w:szCs w:val="20"/>
        </w:rPr>
        <w:lastRenderedPageBreak/>
        <w:t>The Association of Master Upholsterers and Soft Furnishers (AMUSF)</w:t>
      </w:r>
    </w:p>
    <w:p w:rsidR="0042441A" w:rsidRDefault="0042441A" w:rsidP="00CB18D2">
      <w:pPr>
        <w:spacing w:after="0"/>
        <w:ind w:left="0"/>
        <w:rPr>
          <w:sz w:val="22"/>
          <w:szCs w:val="20"/>
        </w:rPr>
      </w:pPr>
      <w:r>
        <w:rPr>
          <w:sz w:val="22"/>
          <w:szCs w:val="20"/>
        </w:rPr>
        <w:t>Baby Products Association (BPA)</w:t>
      </w:r>
    </w:p>
    <w:p w:rsidR="0042441A" w:rsidRDefault="0042441A" w:rsidP="00CB18D2">
      <w:pPr>
        <w:spacing w:after="0"/>
        <w:ind w:left="0"/>
        <w:rPr>
          <w:rFonts w:cs="Arial"/>
          <w:sz w:val="22"/>
          <w:szCs w:val="56"/>
          <w:lang w:eastAsia="en-GB"/>
        </w:rPr>
      </w:pPr>
      <w:r>
        <w:rPr>
          <w:rFonts w:cs="Arial"/>
          <w:sz w:val="22"/>
          <w:szCs w:val="56"/>
          <w:lang w:eastAsia="en-GB"/>
        </w:rPr>
        <w:t>Bedfordshire and Luton Fire and Rescue Service</w:t>
      </w:r>
    </w:p>
    <w:p w:rsidR="0042441A" w:rsidRDefault="0042441A" w:rsidP="00CB18D2">
      <w:pPr>
        <w:spacing w:after="0"/>
        <w:ind w:left="0"/>
        <w:rPr>
          <w:rFonts w:cs="Arial"/>
          <w:sz w:val="22"/>
          <w:szCs w:val="56"/>
          <w:lang w:eastAsia="en-GB"/>
        </w:rPr>
      </w:pPr>
      <w:r>
        <w:rPr>
          <w:rFonts w:cs="Arial"/>
          <w:sz w:val="22"/>
          <w:szCs w:val="56"/>
          <w:lang w:eastAsia="en-GB"/>
        </w:rPr>
        <w:t>Birmingham University</w:t>
      </w:r>
    </w:p>
    <w:p w:rsidR="00122B01" w:rsidRDefault="00122B01" w:rsidP="00CB18D2">
      <w:pPr>
        <w:spacing w:after="0"/>
        <w:ind w:left="0"/>
        <w:rPr>
          <w:rFonts w:cs="Arial"/>
          <w:sz w:val="22"/>
          <w:szCs w:val="56"/>
          <w:lang w:eastAsia="en-GB"/>
        </w:rPr>
      </w:pPr>
      <w:r>
        <w:rPr>
          <w:rFonts w:cs="Arial"/>
          <w:sz w:val="22"/>
          <w:szCs w:val="56"/>
          <w:lang w:eastAsia="en-GB"/>
        </w:rPr>
        <w:t>Bob Graham</w:t>
      </w:r>
    </w:p>
    <w:p w:rsidR="0042441A" w:rsidRDefault="0042441A" w:rsidP="00CB18D2">
      <w:pPr>
        <w:spacing w:after="0"/>
        <w:ind w:left="0"/>
        <w:rPr>
          <w:sz w:val="22"/>
          <w:szCs w:val="20"/>
        </w:rPr>
      </w:pPr>
      <w:r>
        <w:rPr>
          <w:sz w:val="22"/>
          <w:szCs w:val="20"/>
        </w:rPr>
        <w:t>Bolton Consultancy</w:t>
      </w:r>
    </w:p>
    <w:p w:rsidR="0042441A" w:rsidRDefault="0042441A" w:rsidP="00CB18D2">
      <w:pPr>
        <w:spacing w:after="0"/>
        <w:ind w:left="0"/>
        <w:rPr>
          <w:sz w:val="22"/>
          <w:szCs w:val="20"/>
        </w:rPr>
      </w:pPr>
      <w:r>
        <w:rPr>
          <w:sz w:val="22"/>
          <w:szCs w:val="20"/>
        </w:rPr>
        <w:t>Bolton University</w:t>
      </w:r>
    </w:p>
    <w:p w:rsidR="0042441A" w:rsidRDefault="0042441A" w:rsidP="00CB18D2">
      <w:pPr>
        <w:spacing w:after="0"/>
        <w:ind w:left="0"/>
        <w:rPr>
          <w:sz w:val="22"/>
          <w:szCs w:val="20"/>
        </w:rPr>
      </w:pPr>
      <w:r>
        <w:rPr>
          <w:sz w:val="22"/>
          <w:szCs w:val="20"/>
        </w:rPr>
        <w:t>Brevia</w:t>
      </w:r>
    </w:p>
    <w:p w:rsidR="0042441A" w:rsidRDefault="0042441A" w:rsidP="00CB18D2">
      <w:pPr>
        <w:spacing w:after="0"/>
        <w:ind w:left="0"/>
        <w:rPr>
          <w:sz w:val="22"/>
          <w:szCs w:val="20"/>
        </w:rPr>
      </w:pPr>
      <w:r>
        <w:rPr>
          <w:sz w:val="22"/>
          <w:szCs w:val="20"/>
        </w:rPr>
        <w:t>British Furniture Manufacturers (BFM)</w:t>
      </w:r>
    </w:p>
    <w:p w:rsidR="0042441A" w:rsidRDefault="0042441A" w:rsidP="00CB18D2">
      <w:pPr>
        <w:spacing w:after="0"/>
        <w:ind w:left="0"/>
        <w:rPr>
          <w:sz w:val="22"/>
          <w:szCs w:val="20"/>
        </w:rPr>
      </w:pPr>
      <w:r>
        <w:rPr>
          <w:sz w:val="22"/>
          <w:szCs w:val="20"/>
        </w:rPr>
        <w:t>British Independent Retailers Association (BSSA)</w:t>
      </w:r>
    </w:p>
    <w:p w:rsidR="007527B6" w:rsidRDefault="007527B6" w:rsidP="00CB18D2">
      <w:pPr>
        <w:spacing w:after="0"/>
        <w:ind w:left="0"/>
        <w:rPr>
          <w:sz w:val="22"/>
          <w:szCs w:val="20"/>
        </w:rPr>
      </w:pPr>
      <w:r>
        <w:rPr>
          <w:sz w:val="22"/>
          <w:szCs w:val="20"/>
        </w:rPr>
        <w:t>British Plastics Federation</w:t>
      </w:r>
    </w:p>
    <w:p w:rsidR="0042441A" w:rsidRDefault="0042441A" w:rsidP="00CB18D2">
      <w:pPr>
        <w:spacing w:after="0"/>
        <w:ind w:left="0"/>
        <w:rPr>
          <w:sz w:val="22"/>
          <w:szCs w:val="20"/>
        </w:rPr>
      </w:pPr>
      <w:r>
        <w:rPr>
          <w:sz w:val="22"/>
          <w:szCs w:val="20"/>
        </w:rPr>
        <w:t>British Retail Confederation (BRC)</w:t>
      </w:r>
    </w:p>
    <w:p w:rsidR="00E07A94" w:rsidRDefault="00E07A94" w:rsidP="00CB18D2">
      <w:pPr>
        <w:spacing w:after="0"/>
        <w:ind w:left="0"/>
        <w:rPr>
          <w:sz w:val="22"/>
          <w:szCs w:val="20"/>
        </w:rPr>
      </w:pPr>
      <w:r>
        <w:rPr>
          <w:sz w:val="22"/>
          <w:szCs w:val="20"/>
        </w:rPr>
        <w:t>British Shops and Stores Association (BSSA)</w:t>
      </w:r>
    </w:p>
    <w:p w:rsidR="0042441A" w:rsidRDefault="0042441A" w:rsidP="00CB18D2">
      <w:pPr>
        <w:spacing w:after="0"/>
        <w:ind w:left="0"/>
        <w:rPr>
          <w:sz w:val="22"/>
          <w:szCs w:val="20"/>
        </w:rPr>
      </w:pPr>
      <w:r>
        <w:rPr>
          <w:sz w:val="22"/>
          <w:szCs w:val="20"/>
        </w:rPr>
        <w:t>British Standards Institute</w:t>
      </w:r>
    </w:p>
    <w:p w:rsidR="002D688C" w:rsidRDefault="002D688C" w:rsidP="00CB18D2">
      <w:pPr>
        <w:spacing w:after="0"/>
        <w:ind w:left="0"/>
        <w:rPr>
          <w:sz w:val="22"/>
          <w:szCs w:val="20"/>
        </w:rPr>
      </w:pPr>
      <w:r>
        <w:rPr>
          <w:sz w:val="22"/>
          <w:szCs w:val="20"/>
        </w:rPr>
        <w:t>Burson-Marsteller UK</w:t>
      </w:r>
    </w:p>
    <w:p w:rsidR="0042441A" w:rsidRDefault="0042441A" w:rsidP="00CB18D2">
      <w:pPr>
        <w:spacing w:after="0"/>
        <w:ind w:left="0"/>
        <w:rPr>
          <w:sz w:val="22"/>
          <w:szCs w:val="20"/>
        </w:rPr>
      </w:pPr>
      <w:r>
        <w:rPr>
          <w:sz w:val="22"/>
          <w:szCs w:val="20"/>
        </w:rPr>
        <w:t>Cancer Prevention Society</w:t>
      </w:r>
    </w:p>
    <w:p w:rsidR="0042441A" w:rsidRDefault="0042441A" w:rsidP="00CB18D2">
      <w:pPr>
        <w:spacing w:after="0"/>
        <w:ind w:left="0"/>
        <w:rPr>
          <w:rFonts w:cs="Arial"/>
          <w:sz w:val="22"/>
          <w:szCs w:val="56"/>
          <w:lang w:eastAsia="en-GB"/>
        </w:rPr>
      </w:pPr>
      <w:r>
        <w:rPr>
          <w:rFonts w:cs="Arial"/>
          <w:sz w:val="22"/>
          <w:szCs w:val="56"/>
          <w:lang w:eastAsia="en-GB"/>
        </w:rPr>
        <w:t>Catherine Levin</w:t>
      </w:r>
    </w:p>
    <w:p w:rsidR="0042441A" w:rsidRDefault="0042441A" w:rsidP="00CB18D2">
      <w:pPr>
        <w:spacing w:after="0"/>
        <w:ind w:left="0"/>
        <w:rPr>
          <w:rFonts w:cs="Arial"/>
          <w:sz w:val="22"/>
          <w:szCs w:val="56"/>
          <w:lang w:eastAsia="en-GB"/>
        </w:rPr>
      </w:pPr>
      <w:r>
        <w:rPr>
          <w:rFonts w:cs="Arial"/>
          <w:sz w:val="22"/>
          <w:szCs w:val="56"/>
          <w:lang w:eastAsia="en-GB"/>
        </w:rPr>
        <w:t>Cheshire Fire and Rescue Service</w:t>
      </w:r>
    </w:p>
    <w:p w:rsidR="0042441A" w:rsidRDefault="0042441A" w:rsidP="00CB18D2">
      <w:pPr>
        <w:spacing w:after="0"/>
        <w:ind w:left="0"/>
        <w:rPr>
          <w:sz w:val="22"/>
          <w:szCs w:val="20"/>
        </w:rPr>
      </w:pPr>
      <w:r>
        <w:rPr>
          <w:sz w:val="22"/>
          <w:szCs w:val="20"/>
        </w:rPr>
        <w:t>Chief Fire Officers’ Association</w:t>
      </w:r>
    </w:p>
    <w:p w:rsidR="00136D86" w:rsidRDefault="00136D86" w:rsidP="00CB18D2">
      <w:pPr>
        <w:spacing w:after="0"/>
        <w:ind w:left="0"/>
        <w:rPr>
          <w:sz w:val="22"/>
          <w:szCs w:val="20"/>
        </w:rPr>
      </w:pPr>
      <w:r>
        <w:rPr>
          <w:sz w:val="22"/>
          <w:szCs w:val="20"/>
        </w:rPr>
        <w:t>Child Accident Prevention Trust (CAPT)</w:t>
      </w:r>
    </w:p>
    <w:p w:rsidR="0042441A" w:rsidRDefault="0042441A" w:rsidP="00CB18D2">
      <w:pPr>
        <w:spacing w:after="0"/>
        <w:ind w:left="0"/>
        <w:rPr>
          <w:sz w:val="22"/>
          <w:szCs w:val="20"/>
        </w:rPr>
      </w:pPr>
      <w:r>
        <w:rPr>
          <w:sz w:val="22"/>
          <w:szCs w:val="20"/>
        </w:rPr>
        <w:t>David Hawkridge</w:t>
      </w:r>
    </w:p>
    <w:p w:rsidR="0042441A" w:rsidRDefault="0042441A" w:rsidP="00CB18D2">
      <w:pPr>
        <w:spacing w:after="0"/>
        <w:ind w:left="0"/>
        <w:rPr>
          <w:sz w:val="22"/>
          <w:szCs w:val="20"/>
        </w:rPr>
      </w:pPr>
      <w:r>
        <w:rPr>
          <w:sz w:val="22"/>
          <w:szCs w:val="20"/>
        </w:rPr>
        <w:t>David King</w:t>
      </w:r>
    </w:p>
    <w:p w:rsidR="0042441A" w:rsidRDefault="0042441A" w:rsidP="00CB18D2">
      <w:pPr>
        <w:spacing w:after="0"/>
        <w:ind w:left="0"/>
        <w:rPr>
          <w:sz w:val="22"/>
          <w:szCs w:val="20"/>
        </w:rPr>
      </w:pPr>
      <w:r>
        <w:rPr>
          <w:sz w:val="22"/>
          <w:szCs w:val="20"/>
        </w:rPr>
        <w:lastRenderedPageBreak/>
        <w:t>David Waite</w:t>
      </w:r>
    </w:p>
    <w:p w:rsidR="0042441A" w:rsidRDefault="0042441A" w:rsidP="00CB18D2">
      <w:pPr>
        <w:spacing w:after="0"/>
        <w:ind w:left="0"/>
        <w:rPr>
          <w:rFonts w:cs="Arial"/>
          <w:sz w:val="22"/>
          <w:szCs w:val="56"/>
          <w:lang w:eastAsia="en-GB"/>
        </w:rPr>
      </w:pPr>
      <w:r>
        <w:rPr>
          <w:rFonts w:cs="Arial"/>
          <w:sz w:val="22"/>
          <w:szCs w:val="56"/>
          <w:lang w:eastAsia="en-GB"/>
        </w:rPr>
        <w:t>Derbyshire Trading Standards</w:t>
      </w:r>
    </w:p>
    <w:p w:rsidR="0042441A" w:rsidRDefault="0042441A" w:rsidP="00CB18D2">
      <w:pPr>
        <w:spacing w:after="0"/>
        <w:ind w:left="0"/>
        <w:rPr>
          <w:sz w:val="22"/>
          <w:szCs w:val="20"/>
        </w:rPr>
      </w:pPr>
      <w:r>
        <w:rPr>
          <w:sz w:val="22"/>
          <w:szCs w:val="20"/>
        </w:rPr>
        <w:t>Dorset Fire and Rescue Service</w:t>
      </w:r>
    </w:p>
    <w:p w:rsidR="0042441A" w:rsidRDefault="0042441A" w:rsidP="00CB18D2">
      <w:pPr>
        <w:spacing w:after="0"/>
        <w:ind w:left="0"/>
        <w:rPr>
          <w:rFonts w:cs="Arial"/>
          <w:sz w:val="22"/>
          <w:szCs w:val="56"/>
          <w:lang w:eastAsia="en-GB"/>
        </w:rPr>
      </w:pPr>
      <w:r>
        <w:rPr>
          <w:rFonts w:cs="Arial"/>
          <w:sz w:val="22"/>
          <w:szCs w:val="56"/>
          <w:lang w:eastAsia="en-GB"/>
        </w:rPr>
        <w:t>East Sussex Fire and Rescue Service</w:t>
      </w:r>
    </w:p>
    <w:p w:rsidR="0042441A" w:rsidRDefault="0042441A" w:rsidP="00CB18D2">
      <w:pPr>
        <w:spacing w:after="0"/>
        <w:ind w:left="0"/>
        <w:rPr>
          <w:rFonts w:cs="Arial"/>
          <w:sz w:val="22"/>
          <w:szCs w:val="56"/>
          <w:lang w:eastAsia="en-GB"/>
        </w:rPr>
      </w:pPr>
      <w:r w:rsidRPr="003505D5">
        <w:rPr>
          <w:rFonts w:cs="Arial"/>
          <w:sz w:val="22"/>
          <w:szCs w:val="56"/>
          <w:lang w:eastAsia="en-GB"/>
        </w:rPr>
        <w:t>Eric G</w:t>
      </w:r>
      <w:r>
        <w:rPr>
          <w:rFonts w:cs="Arial"/>
          <w:sz w:val="22"/>
          <w:szCs w:val="56"/>
          <w:lang w:eastAsia="en-GB"/>
        </w:rPr>
        <w:t>uillaume</w:t>
      </w:r>
    </w:p>
    <w:p w:rsidR="00F6605F" w:rsidRDefault="00F6605F" w:rsidP="00CB18D2">
      <w:pPr>
        <w:spacing w:after="0"/>
        <w:ind w:left="0"/>
        <w:rPr>
          <w:rFonts w:cs="Arial"/>
          <w:sz w:val="22"/>
          <w:szCs w:val="56"/>
          <w:lang w:eastAsia="en-GB"/>
        </w:rPr>
      </w:pPr>
      <w:r>
        <w:rPr>
          <w:rFonts w:cs="Arial"/>
          <w:sz w:val="22"/>
          <w:szCs w:val="56"/>
          <w:lang w:eastAsia="en-GB"/>
        </w:rPr>
        <w:t>European Man-Made Fibres Association</w:t>
      </w:r>
    </w:p>
    <w:p w:rsidR="0042441A" w:rsidRPr="003505D5" w:rsidRDefault="0042441A" w:rsidP="00CB18D2">
      <w:pPr>
        <w:spacing w:after="0"/>
        <w:ind w:left="0"/>
        <w:rPr>
          <w:sz w:val="22"/>
          <w:szCs w:val="20"/>
        </w:rPr>
      </w:pPr>
      <w:r>
        <w:rPr>
          <w:rFonts w:cs="Arial"/>
          <w:sz w:val="22"/>
          <w:szCs w:val="56"/>
          <w:lang w:eastAsia="en-GB"/>
        </w:rPr>
        <w:t>Fire and Rescue Statistics Users Group</w:t>
      </w:r>
    </w:p>
    <w:p w:rsidR="0042441A" w:rsidRDefault="0042441A" w:rsidP="00CB18D2">
      <w:pPr>
        <w:spacing w:after="0"/>
        <w:ind w:left="0"/>
        <w:rPr>
          <w:sz w:val="22"/>
          <w:szCs w:val="20"/>
        </w:rPr>
      </w:pPr>
      <w:r>
        <w:rPr>
          <w:sz w:val="22"/>
          <w:szCs w:val="20"/>
        </w:rPr>
        <w:t>Fire Brigades Union</w:t>
      </w:r>
    </w:p>
    <w:p w:rsidR="0042441A" w:rsidRDefault="0042441A" w:rsidP="00CB18D2">
      <w:pPr>
        <w:spacing w:after="0"/>
        <w:ind w:left="0"/>
        <w:rPr>
          <w:rFonts w:cs="Arial"/>
          <w:sz w:val="22"/>
          <w:szCs w:val="56"/>
          <w:lang w:eastAsia="en-GB"/>
        </w:rPr>
      </w:pPr>
      <w:r>
        <w:rPr>
          <w:rFonts w:cs="Arial"/>
          <w:sz w:val="22"/>
          <w:szCs w:val="56"/>
          <w:lang w:eastAsia="en-GB"/>
        </w:rPr>
        <w:t>Fire Safety Platform</w:t>
      </w:r>
    </w:p>
    <w:p w:rsidR="0042441A" w:rsidRDefault="0042441A" w:rsidP="00CB18D2">
      <w:pPr>
        <w:spacing w:after="0"/>
        <w:ind w:left="0"/>
        <w:rPr>
          <w:sz w:val="22"/>
          <w:szCs w:val="20"/>
        </w:rPr>
      </w:pPr>
      <w:r>
        <w:rPr>
          <w:sz w:val="22"/>
          <w:szCs w:val="20"/>
        </w:rPr>
        <w:t>Furniture Industry Research Association (FIRA)</w:t>
      </w:r>
    </w:p>
    <w:p w:rsidR="002D688C" w:rsidRDefault="002D688C" w:rsidP="00CB18D2">
      <w:pPr>
        <w:spacing w:after="0"/>
        <w:ind w:left="0"/>
        <w:rPr>
          <w:sz w:val="22"/>
          <w:szCs w:val="20"/>
        </w:rPr>
      </w:pPr>
      <w:r>
        <w:rPr>
          <w:sz w:val="22"/>
          <w:szCs w:val="20"/>
        </w:rPr>
        <w:t>Green Textile Consultants</w:t>
      </w:r>
    </w:p>
    <w:p w:rsidR="0042441A" w:rsidRDefault="0042441A" w:rsidP="00CB18D2">
      <w:pPr>
        <w:spacing w:after="0"/>
        <w:ind w:left="0"/>
        <w:rPr>
          <w:sz w:val="22"/>
          <w:szCs w:val="20"/>
        </w:rPr>
      </w:pPr>
      <w:r>
        <w:rPr>
          <w:sz w:val="22"/>
          <w:szCs w:val="20"/>
        </w:rPr>
        <w:t>Greenstreet Berman</w:t>
      </w:r>
      <w:r w:rsidR="00122B01">
        <w:rPr>
          <w:sz w:val="22"/>
          <w:szCs w:val="20"/>
        </w:rPr>
        <w:t xml:space="preserve"> Ltd</w:t>
      </w:r>
    </w:p>
    <w:p w:rsidR="0042441A" w:rsidRDefault="0042441A" w:rsidP="00CB18D2">
      <w:pPr>
        <w:spacing w:after="0"/>
        <w:ind w:left="0"/>
        <w:rPr>
          <w:sz w:val="22"/>
          <w:szCs w:val="20"/>
        </w:rPr>
      </w:pPr>
      <w:r>
        <w:rPr>
          <w:sz w:val="22"/>
          <w:szCs w:val="20"/>
        </w:rPr>
        <w:t>Legaleyes</w:t>
      </w:r>
    </w:p>
    <w:p w:rsidR="0042441A" w:rsidRDefault="0042441A" w:rsidP="00CB18D2">
      <w:pPr>
        <w:spacing w:after="0"/>
        <w:ind w:left="0"/>
        <w:rPr>
          <w:rFonts w:cs="Arial"/>
          <w:sz w:val="22"/>
          <w:szCs w:val="56"/>
          <w:lang w:eastAsia="en-GB"/>
        </w:rPr>
      </w:pPr>
      <w:r>
        <w:rPr>
          <w:rFonts w:cs="Arial"/>
          <w:sz w:val="22"/>
          <w:szCs w:val="56"/>
          <w:lang w:eastAsia="en-GB"/>
        </w:rPr>
        <w:t>Leicester Trading Standards</w:t>
      </w:r>
    </w:p>
    <w:p w:rsidR="0042441A" w:rsidRDefault="0042441A" w:rsidP="00CB18D2">
      <w:pPr>
        <w:spacing w:after="0"/>
        <w:ind w:left="0"/>
        <w:rPr>
          <w:sz w:val="22"/>
          <w:szCs w:val="20"/>
        </w:rPr>
      </w:pPr>
      <w:r>
        <w:rPr>
          <w:sz w:val="22"/>
          <w:szCs w:val="20"/>
        </w:rPr>
        <w:t>Leisure &amp; Outdoor Furniture Association (LOFA)</w:t>
      </w:r>
    </w:p>
    <w:p w:rsidR="0081651E" w:rsidRDefault="0081651E" w:rsidP="00CB18D2">
      <w:pPr>
        <w:spacing w:after="0"/>
        <w:ind w:left="0"/>
        <w:rPr>
          <w:sz w:val="22"/>
          <w:szCs w:val="20"/>
        </w:rPr>
      </w:pPr>
      <w:r>
        <w:rPr>
          <w:sz w:val="22"/>
          <w:szCs w:val="20"/>
        </w:rPr>
        <w:t>LGC</w:t>
      </w:r>
    </w:p>
    <w:p w:rsidR="0042441A" w:rsidRDefault="0042441A" w:rsidP="00CB18D2">
      <w:pPr>
        <w:spacing w:after="0"/>
        <w:ind w:left="0"/>
        <w:rPr>
          <w:sz w:val="22"/>
          <w:szCs w:val="20"/>
        </w:rPr>
      </w:pPr>
      <w:r>
        <w:rPr>
          <w:sz w:val="22"/>
          <w:szCs w:val="20"/>
        </w:rPr>
        <w:t>London Fire Brigade</w:t>
      </w:r>
    </w:p>
    <w:p w:rsidR="0042441A" w:rsidRDefault="0042441A" w:rsidP="00CB18D2">
      <w:pPr>
        <w:spacing w:after="0"/>
        <w:ind w:left="0"/>
        <w:rPr>
          <w:sz w:val="22"/>
          <w:szCs w:val="20"/>
        </w:rPr>
      </w:pPr>
      <w:r>
        <w:rPr>
          <w:sz w:val="22"/>
          <w:szCs w:val="20"/>
        </w:rPr>
        <w:t>National Bed Federation (NBF)</w:t>
      </w:r>
    </w:p>
    <w:p w:rsidR="0042441A" w:rsidRDefault="0042441A" w:rsidP="00CB18D2">
      <w:pPr>
        <w:spacing w:after="0"/>
        <w:ind w:left="0"/>
        <w:rPr>
          <w:sz w:val="22"/>
          <w:szCs w:val="20"/>
        </w:rPr>
      </w:pPr>
      <w:r>
        <w:rPr>
          <w:sz w:val="22"/>
          <w:szCs w:val="20"/>
        </w:rPr>
        <w:t>National Childrenswear Association (NCWA)</w:t>
      </w:r>
    </w:p>
    <w:p w:rsidR="00E07A94" w:rsidRDefault="00E07A94" w:rsidP="00CB18D2">
      <w:pPr>
        <w:spacing w:after="0"/>
        <w:ind w:left="0"/>
        <w:rPr>
          <w:sz w:val="22"/>
          <w:szCs w:val="20"/>
        </w:rPr>
      </w:pPr>
      <w:r>
        <w:rPr>
          <w:sz w:val="22"/>
          <w:szCs w:val="20"/>
        </w:rPr>
        <w:t>No-Burn Europe</w:t>
      </w:r>
    </w:p>
    <w:p w:rsidR="0042441A" w:rsidRDefault="0042441A" w:rsidP="00CB18D2">
      <w:pPr>
        <w:spacing w:after="0"/>
        <w:ind w:left="0"/>
        <w:rPr>
          <w:rFonts w:cs="Arial"/>
          <w:sz w:val="22"/>
          <w:szCs w:val="56"/>
          <w:lang w:eastAsia="en-GB"/>
        </w:rPr>
      </w:pPr>
      <w:r>
        <w:rPr>
          <w:rFonts w:cs="Arial"/>
          <w:sz w:val="22"/>
          <w:szCs w:val="56"/>
          <w:lang w:eastAsia="en-GB"/>
        </w:rPr>
        <w:t>Northamptonshire Trading Standards</w:t>
      </w:r>
    </w:p>
    <w:p w:rsidR="0042441A" w:rsidRDefault="0042441A" w:rsidP="00CB18D2">
      <w:pPr>
        <w:spacing w:after="0"/>
        <w:ind w:left="0"/>
        <w:rPr>
          <w:sz w:val="22"/>
          <w:szCs w:val="20"/>
        </w:rPr>
      </w:pPr>
      <w:r>
        <w:rPr>
          <w:sz w:val="22"/>
          <w:szCs w:val="20"/>
        </w:rPr>
        <w:t>Prof. A. R. Horrocks</w:t>
      </w:r>
    </w:p>
    <w:p w:rsidR="0042441A" w:rsidRDefault="0042441A" w:rsidP="00CB18D2">
      <w:pPr>
        <w:spacing w:after="0"/>
        <w:ind w:left="0"/>
        <w:rPr>
          <w:sz w:val="22"/>
          <w:szCs w:val="20"/>
        </w:rPr>
      </w:pPr>
      <w:r>
        <w:rPr>
          <w:sz w:val="22"/>
          <w:szCs w:val="20"/>
        </w:rPr>
        <w:t>Royal Society for the Prevention of Accidents (RoSPA)</w:t>
      </w:r>
    </w:p>
    <w:p w:rsidR="0042441A" w:rsidRDefault="0042441A" w:rsidP="00CB18D2">
      <w:pPr>
        <w:spacing w:after="0"/>
        <w:ind w:left="0"/>
        <w:rPr>
          <w:sz w:val="22"/>
          <w:szCs w:val="20"/>
        </w:rPr>
      </w:pPr>
      <w:r>
        <w:rPr>
          <w:sz w:val="22"/>
          <w:szCs w:val="20"/>
        </w:rPr>
        <w:t>Trading Standards Institute (TSI)</w:t>
      </w:r>
    </w:p>
    <w:p w:rsidR="0042441A" w:rsidRDefault="0042441A" w:rsidP="00CB18D2">
      <w:pPr>
        <w:spacing w:after="0"/>
        <w:ind w:left="0"/>
        <w:rPr>
          <w:sz w:val="22"/>
          <w:szCs w:val="20"/>
        </w:rPr>
      </w:pPr>
      <w:r>
        <w:rPr>
          <w:sz w:val="22"/>
          <w:szCs w:val="20"/>
        </w:rPr>
        <w:lastRenderedPageBreak/>
        <w:t>UCLAN</w:t>
      </w:r>
    </w:p>
    <w:p w:rsidR="002D688C" w:rsidRDefault="002D688C" w:rsidP="00CB18D2">
      <w:pPr>
        <w:spacing w:after="0"/>
        <w:ind w:left="0"/>
        <w:rPr>
          <w:sz w:val="22"/>
          <w:szCs w:val="20"/>
        </w:rPr>
      </w:pPr>
      <w:r>
        <w:rPr>
          <w:sz w:val="22"/>
          <w:szCs w:val="20"/>
        </w:rPr>
        <w:t xml:space="preserve">UK Fashion &amp; Textile Association </w:t>
      </w:r>
      <w:r w:rsidR="00F6605F">
        <w:rPr>
          <w:sz w:val="22"/>
          <w:szCs w:val="20"/>
        </w:rPr>
        <w:t>(</w:t>
      </w:r>
      <w:r>
        <w:rPr>
          <w:sz w:val="22"/>
          <w:szCs w:val="20"/>
        </w:rPr>
        <w:t>UKFT)</w:t>
      </w:r>
    </w:p>
    <w:p w:rsidR="0042441A" w:rsidRDefault="0042441A" w:rsidP="00CB18D2">
      <w:pPr>
        <w:spacing w:after="0"/>
        <w:ind w:left="0"/>
        <w:rPr>
          <w:sz w:val="22"/>
          <w:szCs w:val="20"/>
        </w:rPr>
      </w:pPr>
      <w:r>
        <w:rPr>
          <w:sz w:val="22"/>
          <w:szCs w:val="20"/>
        </w:rPr>
        <w:t>United Kingdom Accreditation</w:t>
      </w:r>
      <w:r w:rsidR="002D688C">
        <w:rPr>
          <w:sz w:val="22"/>
          <w:szCs w:val="20"/>
        </w:rPr>
        <w:t xml:space="preserve"> </w:t>
      </w:r>
      <w:r>
        <w:rPr>
          <w:sz w:val="22"/>
          <w:szCs w:val="20"/>
        </w:rPr>
        <w:t>Service (UKAS)</w:t>
      </w:r>
    </w:p>
    <w:p w:rsidR="0042441A" w:rsidRDefault="0042441A" w:rsidP="00CB18D2">
      <w:pPr>
        <w:spacing w:after="0"/>
        <w:ind w:left="0"/>
        <w:rPr>
          <w:sz w:val="22"/>
          <w:szCs w:val="20"/>
        </w:rPr>
      </w:pPr>
      <w:r>
        <w:rPr>
          <w:sz w:val="22"/>
          <w:szCs w:val="20"/>
        </w:rPr>
        <w:lastRenderedPageBreak/>
        <w:t>United Kingdom Textile Laboratory Forum (UKTLF)</w:t>
      </w:r>
    </w:p>
    <w:p w:rsidR="0042441A" w:rsidRDefault="0042441A" w:rsidP="00CB18D2">
      <w:pPr>
        <w:spacing w:after="0"/>
        <w:ind w:left="0"/>
        <w:rPr>
          <w:sz w:val="22"/>
          <w:szCs w:val="20"/>
        </w:rPr>
      </w:pPr>
      <w:r>
        <w:rPr>
          <w:sz w:val="22"/>
          <w:szCs w:val="20"/>
        </w:rPr>
        <w:t>World Textile Information Network</w:t>
      </w:r>
    </w:p>
    <w:p w:rsidR="004265CE" w:rsidRDefault="004265CE" w:rsidP="00CB18D2">
      <w:pPr>
        <w:spacing w:after="0"/>
        <w:ind w:left="0"/>
        <w:rPr>
          <w:sz w:val="22"/>
          <w:szCs w:val="20"/>
        </w:rPr>
        <w:sectPr w:rsidR="004265CE" w:rsidSect="004265CE">
          <w:footnotePr>
            <w:numRestart w:val="eachSect"/>
          </w:footnotePr>
          <w:type w:val="continuous"/>
          <w:pgSz w:w="11907" w:h="16840" w:code="9"/>
          <w:pgMar w:top="680" w:right="851" w:bottom="680" w:left="851" w:header="284" w:footer="284" w:gutter="0"/>
          <w:cols w:num="2" w:space="708"/>
          <w:docGrid w:linePitch="360"/>
        </w:sectPr>
      </w:pPr>
    </w:p>
    <w:p w:rsidR="00CB18D2" w:rsidRDefault="00CB18D2" w:rsidP="00CB18D2">
      <w:pPr>
        <w:spacing w:after="0"/>
        <w:ind w:left="0"/>
        <w:rPr>
          <w:sz w:val="22"/>
          <w:szCs w:val="20"/>
        </w:rPr>
      </w:pPr>
    </w:p>
    <w:p w:rsidR="00CB18D2" w:rsidRPr="00421E51" w:rsidRDefault="00CB18D2" w:rsidP="00D722BA">
      <w:pPr>
        <w:spacing w:after="0"/>
        <w:ind w:left="0"/>
        <w:jc w:val="center"/>
        <w:rPr>
          <w:sz w:val="22"/>
          <w:szCs w:val="20"/>
          <w:u w:val="single"/>
        </w:rPr>
      </w:pPr>
      <w:r>
        <w:rPr>
          <w:sz w:val="22"/>
          <w:szCs w:val="20"/>
          <w:u w:val="single"/>
        </w:rPr>
        <w:t>Test Houses, c</w:t>
      </w:r>
      <w:r w:rsidRPr="00421E51">
        <w:rPr>
          <w:sz w:val="22"/>
          <w:szCs w:val="20"/>
          <w:u w:val="single"/>
        </w:rPr>
        <w:t>hemicals companies, treatment processors and others</w:t>
      </w:r>
    </w:p>
    <w:p w:rsidR="00CB18D2" w:rsidRDefault="00CB18D2" w:rsidP="00CB18D2">
      <w:pPr>
        <w:spacing w:after="0"/>
        <w:ind w:left="0"/>
        <w:rPr>
          <w:sz w:val="22"/>
          <w:szCs w:val="20"/>
        </w:rPr>
      </w:pPr>
    </w:p>
    <w:p w:rsidR="004265CE" w:rsidRDefault="004265CE" w:rsidP="00CB18D2">
      <w:pPr>
        <w:spacing w:after="0"/>
        <w:ind w:left="0"/>
        <w:rPr>
          <w:sz w:val="22"/>
          <w:szCs w:val="20"/>
        </w:rPr>
        <w:sectPr w:rsidR="004265CE" w:rsidSect="00A43C03">
          <w:footnotePr>
            <w:numRestart w:val="eachSect"/>
          </w:footnotePr>
          <w:type w:val="continuous"/>
          <w:pgSz w:w="11907" w:h="16840" w:code="9"/>
          <w:pgMar w:top="680" w:right="851" w:bottom="680" w:left="851" w:header="284" w:footer="284" w:gutter="0"/>
          <w:cols w:space="708"/>
          <w:docGrid w:linePitch="360"/>
        </w:sectPr>
      </w:pPr>
    </w:p>
    <w:p w:rsidR="0042441A" w:rsidRDefault="0042441A" w:rsidP="00CB18D2">
      <w:pPr>
        <w:spacing w:after="0"/>
        <w:ind w:left="0"/>
        <w:rPr>
          <w:sz w:val="22"/>
          <w:szCs w:val="20"/>
        </w:rPr>
      </w:pPr>
      <w:r>
        <w:rPr>
          <w:sz w:val="22"/>
          <w:szCs w:val="20"/>
        </w:rPr>
        <w:lastRenderedPageBreak/>
        <w:t>Bradford Textile Society</w:t>
      </w:r>
    </w:p>
    <w:p w:rsidR="0042441A" w:rsidRDefault="0042441A" w:rsidP="00CB18D2">
      <w:pPr>
        <w:spacing w:after="0"/>
        <w:ind w:left="0"/>
        <w:rPr>
          <w:sz w:val="22"/>
          <w:szCs w:val="20"/>
        </w:rPr>
      </w:pPr>
      <w:r>
        <w:rPr>
          <w:sz w:val="22"/>
          <w:szCs w:val="20"/>
        </w:rPr>
        <w:t>Bureau Veritas</w:t>
      </w:r>
    </w:p>
    <w:p w:rsidR="0042441A" w:rsidRDefault="0042441A" w:rsidP="00CB18D2">
      <w:pPr>
        <w:spacing w:after="0"/>
        <w:ind w:left="0"/>
        <w:rPr>
          <w:sz w:val="22"/>
          <w:szCs w:val="20"/>
        </w:rPr>
      </w:pPr>
      <w:r>
        <w:rPr>
          <w:sz w:val="22"/>
          <w:szCs w:val="20"/>
        </w:rPr>
        <w:t>Chemtura</w:t>
      </w:r>
    </w:p>
    <w:p w:rsidR="00E07A94" w:rsidRDefault="00E07A94" w:rsidP="00CB18D2">
      <w:pPr>
        <w:spacing w:after="0"/>
        <w:ind w:left="0"/>
        <w:rPr>
          <w:sz w:val="22"/>
          <w:szCs w:val="20"/>
        </w:rPr>
      </w:pPr>
      <w:r>
        <w:rPr>
          <w:sz w:val="22"/>
          <w:szCs w:val="20"/>
        </w:rPr>
        <w:t>Clarkson Textiles</w:t>
      </w:r>
    </w:p>
    <w:p w:rsidR="0042441A" w:rsidRDefault="0042441A" w:rsidP="00CB18D2">
      <w:pPr>
        <w:spacing w:after="0"/>
        <w:ind w:left="0"/>
        <w:rPr>
          <w:sz w:val="22"/>
          <w:szCs w:val="20"/>
        </w:rPr>
      </w:pPr>
      <w:r>
        <w:rPr>
          <w:sz w:val="22"/>
          <w:szCs w:val="20"/>
        </w:rPr>
        <w:t>FRETWORK</w:t>
      </w:r>
    </w:p>
    <w:p w:rsidR="0042441A" w:rsidRDefault="0042441A" w:rsidP="00CB18D2">
      <w:pPr>
        <w:spacing w:after="0"/>
        <w:ind w:left="0"/>
        <w:rPr>
          <w:sz w:val="22"/>
          <w:szCs w:val="20"/>
        </w:rPr>
      </w:pPr>
      <w:r>
        <w:rPr>
          <w:sz w:val="22"/>
          <w:szCs w:val="20"/>
        </w:rPr>
        <w:t>Greenurethanes</w:t>
      </w:r>
    </w:p>
    <w:p w:rsidR="0042441A" w:rsidRDefault="0042441A" w:rsidP="00CB18D2">
      <w:pPr>
        <w:spacing w:after="0"/>
        <w:ind w:left="0"/>
        <w:rPr>
          <w:sz w:val="22"/>
          <w:szCs w:val="20"/>
        </w:rPr>
      </w:pPr>
      <w:r>
        <w:rPr>
          <w:sz w:val="22"/>
          <w:szCs w:val="20"/>
        </w:rPr>
        <w:t>Howorth’s Textiles</w:t>
      </w:r>
    </w:p>
    <w:p w:rsidR="0042441A" w:rsidRDefault="0042441A" w:rsidP="00CB18D2">
      <w:pPr>
        <w:spacing w:after="0"/>
        <w:ind w:left="0"/>
        <w:rPr>
          <w:sz w:val="22"/>
          <w:szCs w:val="20"/>
        </w:rPr>
      </w:pPr>
      <w:r>
        <w:rPr>
          <w:sz w:val="22"/>
          <w:szCs w:val="20"/>
        </w:rPr>
        <w:t>Intertek</w:t>
      </w:r>
    </w:p>
    <w:p w:rsidR="0042441A" w:rsidRDefault="0042441A" w:rsidP="00CB18D2">
      <w:pPr>
        <w:spacing w:after="0"/>
        <w:ind w:left="0"/>
        <w:rPr>
          <w:sz w:val="22"/>
          <w:szCs w:val="20"/>
        </w:rPr>
      </w:pPr>
      <w:r>
        <w:rPr>
          <w:sz w:val="22"/>
          <w:szCs w:val="20"/>
        </w:rPr>
        <w:lastRenderedPageBreak/>
        <w:t>National Composites Centre</w:t>
      </w:r>
    </w:p>
    <w:p w:rsidR="0042441A" w:rsidRDefault="0042441A" w:rsidP="00CB18D2">
      <w:pPr>
        <w:spacing w:after="0"/>
        <w:ind w:left="0"/>
        <w:rPr>
          <w:sz w:val="22"/>
          <w:szCs w:val="20"/>
        </w:rPr>
      </w:pPr>
      <w:r>
        <w:rPr>
          <w:sz w:val="22"/>
          <w:szCs w:val="20"/>
        </w:rPr>
        <w:t>SATRA</w:t>
      </w:r>
    </w:p>
    <w:p w:rsidR="0042441A" w:rsidRDefault="0042441A" w:rsidP="00CB18D2">
      <w:pPr>
        <w:spacing w:after="0"/>
        <w:ind w:left="0"/>
        <w:rPr>
          <w:sz w:val="22"/>
          <w:szCs w:val="20"/>
        </w:rPr>
      </w:pPr>
      <w:r>
        <w:rPr>
          <w:sz w:val="22"/>
          <w:szCs w:val="20"/>
        </w:rPr>
        <w:t>Solvay</w:t>
      </w:r>
    </w:p>
    <w:p w:rsidR="0042441A" w:rsidRDefault="0042441A" w:rsidP="00CB18D2">
      <w:pPr>
        <w:spacing w:after="0"/>
        <w:ind w:left="0"/>
        <w:rPr>
          <w:sz w:val="22"/>
          <w:szCs w:val="20"/>
        </w:rPr>
      </w:pPr>
      <w:r>
        <w:rPr>
          <w:sz w:val="22"/>
          <w:szCs w:val="20"/>
        </w:rPr>
        <w:t>Texchem</w:t>
      </w:r>
    </w:p>
    <w:p w:rsidR="00E07A94" w:rsidRDefault="00E07A94" w:rsidP="00CB18D2">
      <w:pPr>
        <w:spacing w:after="0"/>
        <w:ind w:left="0"/>
        <w:rPr>
          <w:sz w:val="22"/>
          <w:szCs w:val="20"/>
        </w:rPr>
      </w:pPr>
      <w:r>
        <w:rPr>
          <w:sz w:val="22"/>
          <w:szCs w:val="20"/>
        </w:rPr>
        <w:t>Textile Laboratory Services</w:t>
      </w:r>
    </w:p>
    <w:p w:rsidR="0042441A" w:rsidRDefault="0042441A" w:rsidP="00CB18D2">
      <w:pPr>
        <w:spacing w:after="0"/>
        <w:ind w:left="0"/>
        <w:rPr>
          <w:sz w:val="22"/>
          <w:szCs w:val="20"/>
        </w:rPr>
      </w:pPr>
      <w:r>
        <w:rPr>
          <w:sz w:val="22"/>
          <w:szCs w:val="20"/>
        </w:rPr>
        <w:t>West Yorkshire Joint Services</w:t>
      </w:r>
    </w:p>
    <w:p w:rsidR="00E07A94" w:rsidRDefault="00E07A94" w:rsidP="00CB18D2">
      <w:pPr>
        <w:spacing w:after="0"/>
        <w:ind w:left="0"/>
        <w:rPr>
          <w:sz w:val="22"/>
          <w:szCs w:val="20"/>
        </w:rPr>
      </w:pPr>
      <w:r>
        <w:rPr>
          <w:sz w:val="22"/>
          <w:szCs w:val="20"/>
        </w:rPr>
        <w:t>Westbridge Fabrics</w:t>
      </w:r>
    </w:p>
    <w:p w:rsidR="004265CE" w:rsidRDefault="004265CE" w:rsidP="00CB18D2">
      <w:pPr>
        <w:spacing w:after="0"/>
        <w:ind w:left="0"/>
        <w:rPr>
          <w:sz w:val="22"/>
          <w:szCs w:val="20"/>
        </w:rPr>
        <w:sectPr w:rsidR="004265CE" w:rsidSect="004265CE">
          <w:footnotePr>
            <w:numRestart w:val="eachSect"/>
          </w:footnotePr>
          <w:type w:val="continuous"/>
          <w:pgSz w:w="11907" w:h="16840" w:code="9"/>
          <w:pgMar w:top="680" w:right="851" w:bottom="680" w:left="851" w:header="284" w:footer="284" w:gutter="0"/>
          <w:cols w:num="2" w:space="708"/>
          <w:docGrid w:linePitch="360"/>
        </w:sectPr>
      </w:pPr>
    </w:p>
    <w:p w:rsidR="00CB18D2" w:rsidRDefault="00CB18D2" w:rsidP="00CB18D2">
      <w:pPr>
        <w:spacing w:after="0"/>
        <w:ind w:left="0"/>
        <w:rPr>
          <w:sz w:val="22"/>
          <w:szCs w:val="20"/>
        </w:rPr>
      </w:pPr>
    </w:p>
    <w:p w:rsidR="00CB18D2" w:rsidRPr="00875AEB" w:rsidRDefault="00CB18D2" w:rsidP="00D722BA">
      <w:pPr>
        <w:spacing w:after="0"/>
        <w:ind w:left="0"/>
        <w:jc w:val="center"/>
        <w:rPr>
          <w:sz w:val="22"/>
          <w:szCs w:val="20"/>
          <w:u w:val="single"/>
        </w:rPr>
      </w:pPr>
      <w:r>
        <w:rPr>
          <w:sz w:val="22"/>
          <w:szCs w:val="20"/>
          <w:u w:val="single"/>
        </w:rPr>
        <w:t>Other Government Departments/Agencies</w:t>
      </w:r>
    </w:p>
    <w:p w:rsidR="00CB18D2" w:rsidRDefault="00CB18D2" w:rsidP="00CB18D2">
      <w:pPr>
        <w:spacing w:after="0"/>
        <w:ind w:left="0"/>
        <w:rPr>
          <w:sz w:val="22"/>
          <w:szCs w:val="20"/>
        </w:rPr>
      </w:pPr>
    </w:p>
    <w:p w:rsidR="004265CE" w:rsidRDefault="004265CE" w:rsidP="00CB18D2">
      <w:pPr>
        <w:spacing w:after="0"/>
        <w:ind w:left="0"/>
        <w:rPr>
          <w:sz w:val="22"/>
          <w:szCs w:val="20"/>
        </w:rPr>
        <w:sectPr w:rsidR="004265CE" w:rsidSect="00A43C03">
          <w:footnotePr>
            <w:numRestart w:val="eachSect"/>
          </w:footnotePr>
          <w:type w:val="continuous"/>
          <w:pgSz w:w="11907" w:h="16840" w:code="9"/>
          <w:pgMar w:top="680" w:right="851" w:bottom="680" w:left="851" w:header="284" w:footer="284" w:gutter="0"/>
          <w:cols w:space="708"/>
          <w:docGrid w:linePitch="360"/>
        </w:sectPr>
      </w:pPr>
    </w:p>
    <w:p w:rsidR="0042441A" w:rsidRDefault="0042441A" w:rsidP="00CB18D2">
      <w:pPr>
        <w:spacing w:after="0"/>
        <w:ind w:left="0"/>
        <w:rPr>
          <w:sz w:val="22"/>
          <w:szCs w:val="20"/>
        </w:rPr>
      </w:pPr>
      <w:r>
        <w:rPr>
          <w:sz w:val="22"/>
          <w:szCs w:val="20"/>
        </w:rPr>
        <w:lastRenderedPageBreak/>
        <w:t>Cabinet Office</w:t>
      </w:r>
    </w:p>
    <w:p w:rsidR="0042441A" w:rsidRDefault="0042441A" w:rsidP="00CB18D2">
      <w:pPr>
        <w:spacing w:after="0"/>
        <w:ind w:left="0"/>
        <w:rPr>
          <w:sz w:val="22"/>
          <w:szCs w:val="20"/>
        </w:rPr>
      </w:pPr>
      <w:r>
        <w:rPr>
          <w:sz w:val="22"/>
          <w:szCs w:val="20"/>
        </w:rPr>
        <w:t>Defra</w:t>
      </w:r>
    </w:p>
    <w:p w:rsidR="0042441A" w:rsidRDefault="0042441A" w:rsidP="00CB18D2">
      <w:pPr>
        <w:spacing w:after="0"/>
        <w:ind w:left="0"/>
        <w:rPr>
          <w:sz w:val="22"/>
          <w:szCs w:val="20"/>
        </w:rPr>
      </w:pPr>
      <w:r>
        <w:rPr>
          <w:sz w:val="22"/>
          <w:szCs w:val="20"/>
        </w:rPr>
        <w:t>Department for Communities and Local Government</w:t>
      </w:r>
    </w:p>
    <w:p w:rsidR="0042441A" w:rsidRDefault="0042441A" w:rsidP="00CB18D2">
      <w:pPr>
        <w:spacing w:after="0"/>
        <w:ind w:left="0"/>
        <w:rPr>
          <w:sz w:val="22"/>
          <w:szCs w:val="20"/>
        </w:rPr>
      </w:pPr>
      <w:r>
        <w:rPr>
          <w:sz w:val="22"/>
          <w:szCs w:val="20"/>
        </w:rPr>
        <w:t>Environment Agency</w:t>
      </w:r>
    </w:p>
    <w:p w:rsidR="0042441A" w:rsidRDefault="0042441A" w:rsidP="00CB18D2">
      <w:pPr>
        <w:spacing w:after="0"/>
        <w:ind w:left="0"/>
        <w:rPr>
          <w:sz w:val="22"/>
          <w:szCs w:val="20"/>
        </w:rPr>
      </w:pPr>
      <w:r>
        <w:rPr>
          <w:sz w:val="22"/>
          <w:szCs w:val="20"/>
        </w:rPr>
        <w:t>Food Standards Agency</w:t>
      </w:r>
    </w:p>
    <w:p w:rsidR="0042441A" w:rsidRDefault="0042441A" w:rsidP="00CB18D2">
      <w:pPr>
        <w:spacing w:after="0"/>
        <w:ind w:left="0"/>
        <w:rPr>
          <w:sz w:val="22"/>
          <w:szCs w:val="20"/>
        </w:rPr>
      </w:pPr>
      <w:r>
        <w:rPr>
          <w:sz w:val="22"/>
          <w:szCs w:val="20"/>
        </w:rPr>
        <w:t>Foreign Office</w:t>
      </w:r>
    </w:p>
    <w:p w:rsidR="0042441A" w:rsidRDefault="0042441A" w:rsidP="00CB18D2">
      <w:pPr>
        <w:spacing w:after="0"/>
        <w:ind w:left="0"/>
        <w:rPr>
          <w:sz w:val="22"/>
          <w:szCs w:val="20"/>
        </w:rPr>
      </w:pPr>
      <w:r>
        <w:rPr>
          <w:sz w:val="22"/>
          <w:szCs w:val="20"/>
        </w:rPr>
        <w:lastRenderedPageBreak/>
        <w:t>Health and Safety Executive</w:t>
      </w:r>
    </w:p>
    <w:p w:rsidR="0042441A" w:rsidRDefault="0042441A" w:rsidP="00CB18D2">
      <w:pPr>
        <w:spacing w:after="0"/>
        <w:ind w:left="0"/>
        <w:rPr>
          <w:sz w:val="22"/>
          <w:szCs w:val="20"/>
        </w:rPr>
      </w:pPr>
      <w:r>
        <w:rPr>
          <w:sz w:val="22"/>
          <w:szCs w:val="20"/>
        </w:rPr>
        <w:t>Northern Ireland Executive</w:t>
      </w:r>
    </w:p>
    <w:p w:rsidR="0042441A" w:rsidRDefault="0042441A" w:rsidP="00CB18D2">
      <w:pPr>
        <w:spacing w:after="0"/>
        <w:ind w:left="0"/>
        <w:rPr>
          <w:sz w:val="22"/>
          <w:szCs w:val="20"/>
        </w:rPr>
      </w:pPr>
      <w:r>
        <w:rPr>
          <w:sz w:val="22"/>
          <w:szCs w:val="20"/>
        </w:rPr>
        <w:t>Public Health England</w:t>
      </w:r>
    </w:p>
    <w:p w:rsidR="0042441A" w:rsidRDefault="0042441A" w:rsidP="00CB18D2">
      <w:pPr>
        <w:spacing w:after="0"/>
        <w:ind w:left="0"/>
        <w:rPr>
          <w:sz w:val="22"/>
          <w:szCs w:val="20"/>
        </w:rPr>
      </w:pPr>
      <w:r>
        <w:rPr>
          <w:sz w:val="22"/>
          <w:szCs w:val="20"/>
        </w:rPr>
        <w:t>Republic of Ireland Government</w:t>
      </w:r>
    </w:p>
    <w:p w:rsidR="0042441A" w:rsidRDefault="0042441A" w:rsidP="00CB18D2">
      <w:pPr>
        <w:spacing w:after="0"/>
        <w:ind w:left="0"/>
        <w:rPr>
          <w:sz w:val="22"/>
          <w:szCs w:val="20"/>
        </w:rPr>
      </w:pPr>
      <w:r>
        <w:rPr>
          <w:sz w:val="22"/>
          <w:szCs w:val="20"/>
        </w:rPr>
        <w:t>Scottish Executive</w:t>
      </w:r>
    </w:p>
    <w:p w:rsidR="0042441A" w:rsidRDefault="0042441A" w:rsidP="00CB18D2">
      <w:pPr>
        <w:spacing w:after="0"/>
        <w:ind w:left="0"/>
        <w:rPr>
          <w:sz w:val="22"/>
          <w:szCs w:val="20"/>
        </w:rPr>
      </w:pPr>
      <w:r>
        <w:rPr>
          <w:sz w:val="22"/>
          <w:szCs w:val="20"/>
        </w:rPr>
        <w:t>Welsh Assembly</w:t>
      </w:r>
    </w:p>
    <w:p w:rsidR="00CB18D2" w:rsidRDefault="00CB18D2" w:rsidP="00CB18D2">
      <w:pPr>
        <w:spacing w:after="0"/>
        <w:ind w:left="0"/>
        <w:rPr>
          <w:sz w:val="22"/>
          <w:szCs w:val="20"/>
        </w:rPr>
      </w:pPr>
    </w:p>
    <w:p w:rsidR="004265CE" w:rsidRDefault="004265CE" w:rsidP="00CB18D2">
      <w:pPr>
        <w:spacing w:after="0"/>
        <w:ind w:left="0"/>
        <w:rPr>
          <w:sz w:val="22"/>
          <w:szCs w:val="20"/>
          <w:u w:val="single"/>
        </w:rPr>
        <w:sectPr w:rsidR="004265CE" w:rsidSect="004265CE">
          <w:footnotePr>
            <w:numRestart w:val="eachSect"/>
          </w:footnotePr>
          <w:type w:val="continuous"/>
          <w:pgSz w:w="11907" w:h="16840" w:code="9"/>
          <w:pgMar w:top="680" w:right="851" w:bottom="680" w:left="851" w:header="284" w:footer="284" w:gutter="0"/>
          <w:cols w:num="2" w:space="708"/>
          <w:docGrid w:linePitch="360"/>
        </w:sectPr>
      </w:pPr>
    </w:p>
    <w:p w:rsidR="004265CE" w:rsidRDefault="004265CE" w:rsidP="00CB18D2">
      <w:pPr>
        <w:spacing w:after="0"/>
        <w:ind w:left="0"/>
        <w:rPr>
          <w:sz w:val="22"/>
          <w:szCs w:val="20"/>
          <w:u w:val="single"/>
        </w:rPr>
      </w:pPr>
    </w:p>
    <w:p w:rsidR="00CB18D2" w:rsidRPr="00CB18D2" w:rsidRDefault="00CB18D2" w:rsidP="00D722BA">
      <w:pPr>
        <w:spacing w:after="0"/>
        <w:ind w:left="0"/>
        <w:jc w:val="center"/>
        <w:rPr>
          <w:sz w:val="22"/>
          <w:szCs w:val="20"/>
          <w:u w:val="single"/>
        </w:rPr>
      </w:pPr>
      <w:r>
        <w:rPr>
          <w:sz w:val="22"/>
          <w:szCs w:val="20"/>
          <w:u w:val="single"/>
        </w:rPr>
        <w:t>Others</w:t>
      </w:r>
    </w:p>
    <w:p w:rsidR="00CB18D2" w:rsidRDefault="00CB18D2" w:rsidP="00CB18D2">
      <w:pPr>
        <w:spacing w:after="0"/>
        <w:ind w:left="0"/>
        <w:rPr>
          <w:sz w:val="22"/>
          <w:szCs w:val="20"/>
        </w:rPr>
      </w:pPr>
    </w:p>
    <w:p w:rsidR="004265CE" w:rsidRDefault="004265CE" w:rsidP="00CB18D2">
      <w:pPr>
        <w:spacing w:after="0"/>
        <w:ind w:left="0"/>
        <w:rPr>
          <w:sz w:val="22"/>
          <w:szCs w:val="20"/>
        </w:rPr>
        <w:sectPr w:rsidR="004265CE" w:rsidSect="00A43C03">
          <w:footnotePr>
            <w:numRestart w:val="eachSect"/>
          </w:footnotePr>
          <w:type w:val="continuous"/>
          <w:pgSz w:w="11907" w:h="16840" w:code="9"/>
          <w:pgMar w:top="680" w:right="851" w:bottom="680" w:left="851" w:header="284" w:footer="284" w:gutter="0"/>
          <w:cols w:space="708"/>
          <w:docGrid w:linePitch="360"/>
        </w:sectPr>
      </w:pPr>
    </w:p>
    <w:p w:rsidR="0042441A" w:rsidRDefault="0042441A" w:rsidP="00CB18D2">
      <w:pPr>
        <w:spacing w:after="0"/>
        <w:ind w:left="0"/>
        <w:rPr>
          <w:sz w:val="22"/>
          <w:szCs w:val="20"/>
        </w:rPr>
      </w:pPr>
      <w:r>
        <w:rPr>
          <w:sz w:val="22"/>
          <w:szCs w:val="20"/>
        </w:rPr>
        <w:lastRenderedPageBreak/>
        <w:t>California Department of Consumer Affairs (US)</w:t>
      </w:r>
    </w:p>
    <w:p w:rsidR="0042441A" w:rsidRDefault="0042441A" w:rsidP="00CB18D2">
      <w:pPr>
        <w:spacing w:after="0"/>
        <w:ind w:left="0"/>
        <w:rPr>
          <w:sz w:val="22"/>
          <w:szCs w:val="20"/>
        </w:rPr>
      </w:pPr>
      <w:r>
        <w:rPr>
          <w:sz w:val="22"/>
          <w:szCs w:val="20"/>
        </w:rPr>
        <w:t>Consumer Product Safety Commission (US)</w:t>
      </w:r>
    </w:p>
    <w:p w:rsidR="0042441A" w:rsidRDefault="0042441A" w:rsidP="00CB18D2">
      <w:pPr>
        <w:spacing w:after="0"/>
        <w:ind w:left="0"/>
        <w:rPr>
          <w:sz w:val="22"/>
          <w:szCs w:val="20"/>
        </w:rPr>
      </w:pPr>
      <w:r>
        <w:rPr>
          <w:sz w:val="22"/>
          <w:szCs w:val="20"/>
        </w:rPr>
        <w:t>Department of Toxic Substances Control (US)</w:t>
      </w:r>
    </w:p>
    <w:p w:rsidR="00E6552D" w:rsidRDefault="00E6552D" w:rsidP="00E6552D">
      <w:pPr>
        <w:spacing w:after="0"/>
        <w:ind w:left="0"/>
        <w:rPr>
          <w:sz w:val="22"/>
          <w:szCs w:val="20"/>
        </w:rPr>
      </w:pPr>
      <w:r>
        <w:rPr>
          <w:sz w:val="22"/>
          <w:szCs w:val="20"/>
        </w:rPr>
        <w:t>Danish Standards Committee for Furniture</w:t>
      </w:r>
    </w:p>
    <w:p w:rsidR="0042441A" w:rsidRDefault="0042441A" w:rsidP="00CB18D2">
      <w:pPr>
        <w:spacing w:after="0"/>
        <w:ind w:left="0"/>
        <w:rPr>
          <w:sz w:val="22"/>
          <w:szCs w:val="20"/>
        </w:rPr>
      </w:pPr>
      <w:r>
        <w:rPr>
          <w:sz w:val="22"/>
          <w:szCs w:val="20"/>
        </w:rPr>
        <w:lastRenderedPageBreak/>
        <w:t>DG Sanco, European Commission</w:t>
      </w:r>
    </w:p>
    <w:p w:rsidR="0042441A" w:rsidRDefault="0042441A" w:rsidP="00CB18D2">
      <w:pPr>
        <w:spacing w:after="0"/>
        <w:ind w:left="0"/>
        <w:rPr>
          <w:sz w:val="22"/>
          <w:szCs w:val="20"/>
        </w:rPr>
      </w:pPr>
      <w:r>
        <w:rPr>
          <w:sz w:val="22"/>
          <w:szCs w:val="20"/>
        </w:rPr>
        <w:t>Environment Protection Agency (US)</w:t>
      </w:r>
    </w:p>
    <w:p w:rsidR="0042441A" w:rsidRDefault="0042441A" w:rsidP="00CB18D2">
      <w:pPr>
        <w:spacing w:after="0"/>
        <w:ind w:left="0"/>
        <w:rPr>
          <w:sz w:val="22"/>
          <w:szCs w:val="20"/>
        </w:rPr>
      </w:pPr>
      <w:r>
        <w:rPr>
          <w:sz w:val="22"/>
          <w:szCs w:val="20"/>
        </w:rPr>
        <w:t>Green Science Policy Institu</w:t>
      </w:r>
      <w:r w:rsidR="00CE2B0C">
        <w:rPr>
          <w:sz w:val="22"/>
          <w:szCs w:val="20"/>
        </w:rPr>
        <w:t>t</w:t>
      </w:r>
      <w:r>
        <w:rPr>
          <w:sz w:val="22"/>
          <w:szCs w:val="20"/>
        </w:rPr>
        <w:t>e (US)</w:t>
      </w:r>
    </w:p>
    <w:p w:rsidR="00136D86" w:rsidRDefault="00136D86" w:rsidP="00CB18D2">
      <w:pPr>
        <w:spacing w:after="0"/>
        <w:ind w:left="0"/>
        <w:rPr>
          <w:sz w:val="22"/>
          <w:szCs w:val="20"/>
        </w:rPr>
      </w:pPr>
      <w:r>
        <w:rPr>
          <w:sz w:val="22"/>
          <w:szCs w:val="20"/>
        </w:rPr>
        <w:t>International Dyer</w:t>
      </w:r>
    </w:p>
    <w:p w:rsidR="004265CE" w:rsidRDefault="004265CE" w:rsidP="00CB18D2">
      <w:pPr>
        <w:spacing w:after="0"/>
        <w:ind w:left="0"/>
        <w:rPr>
          <w:sz w:val="22"/>
          <w:szCs w:val="20"/>
        </w:rPr>
        <w:sectPr w:rsidR="004265CE" w:rsidSect="004265CE">
          <w:footnotePr>
            <w:numRestart w:val="eachSect"/>
          </w:footnotePr>
          <w:type w:val="continuous"/>
          <w:pgSz w:w="11907" w:h="16840" w:code="9"/>
          <w:pgMar w:top="680" w:right="851" w:bottom="680" w:left="851" w:header="284" w:footer="284" w:gutter="0"/>
          <w:cols w:num="2" w:space="708"/>
          <w:docGrid w:linePitch="360"/>
        </w:sectPr>
      </w:pPr>
    </w:p>
    <w:p w:rsidR="00CB18D2" w:rsidRDefault="00CB18D2" w:rsidP="00CB18D2">
      <w:pPr>
        <w:spacing w:after="0"/>
        <w:ind w:left="0"/>
        <w:rPr>
          <w:sz w:val="22"/>
          <w:szCs w:val="20"/>
        </w:rPr>
      </w:pPr>
    </w:p>
    <w:p w:rsidR="00CB18D2" w:rsidRDefault="00CB18D2" w:rsidP="00CB18D2">
      <w:pPr>
        <w:spacing w:after="0"/>
        <w:ind w:left="0"/>
        <w:rPr>
          <w:sz w:val="22"/>
          <w:szCs w:val="20"/>
        </w:rPr>
      </w:pPr>
    </w:p>
    <w:p w:rsidR="00CB18D2" w:rsidRPr="00727242" w:rsidRDefault="00CB18D2" w:rsidP="00CB18D2">
      <w:pPr>
        <w:spacing w:after="0"/>
        <w:ind w:left="0"/>
        <w:rPr>
          <w:sz w:val="18"/>
          <w:szCs w:val="18"/>
        </w:rPr>
      </w:pPr>
    </w:p>
    <w:p w:rsidR="00CB18D2" w:rsidRPr="00727242" w:rsidRDefault="00CB18D2" w:rsidP="00CB18D2">
      <w:pPr>
        <w:spacing w:after="0"/>
        <w:ind w:left="0"/>
        <w:rPr>
          <w:sz w:val="18"/>
          <w:szCs w:val="18"/>
        </w:rPr>
      </w:pPr>
    </w:p>
    <w:p w:rsidR="00CB18D2" w:rsidRPr="00727242" w:rsidRDefault="00CB18D2" w:rsidP="00CB18D2">
      <w:pPr>
        <w:spacing w:after="0"/>
        <w:ind w:left="0"/>
        <w:rPr>
          <w:color w:val="1F497D"/>
          <w:sz w:val="16"/>
          <w:szCs w:val="16"/>
          <w:lang w:val="fr-FR"/>
        </w:rPr>
      </w:pPr>
    </w:p>
    <w:p w:rsidR="00CB18D2" w:rsidRPr="00727242" w:rsidRDefault="00CB18D2" w:rsidP="00CB18D2">
      <w:pPr>
        <w:spacing w:after="0"/>
        <w:ind w:left="0"/>
        <w:rPr>
          <w:color w:val="1F497D"/>
          <w:sz w:val="16"/>
          <w:szCs w:val="16"/>
        </w:rPr>
      </w:pPr>
    </w:p>
    <w:p w:rsidR="00CB18D2" w:rsidRPr="00727242" w:rsidRDefault="00CB18D2" w:rsidP="00CB18D2">
      <w:pPr>
        <w:spacing w:after="0"/>
        <w:ind w:left="0"/>
        <w:rPr>
          <w:color w:val="1F497D"/>
          <w:sz w:val="16"/>
          <w:szCs w:val="16"/>
        </w:rPr>
      </w:pPr>
    </w:p>
    <w:p w:rsidR="00CB18D2" w:rsidRPr="00727242" w:rsidRDefault="00CB18D2" w:rsidP="00CB18D2">
      <w:pPr>
        <w:spacing w:after="0"/>
        <w:ind w:left="0"/>
        <w:rPr>
          <w:color w:val="1F497D"/>
          <w:sz w:val="16"/>
          <w:szCs w:val="16"/>
        </w:rPr>
      </w:pPr>
    </w:p>
    <w:p w:rsidR="00A43C03" w:rsidRPr="00030588" w:rsidRDefault="006B4DAA" w:rsidP="00CB18D2">
      <w:pPr>
        <w:pStyle w:val="Heading2"/>
      </w:pPr>
      <w:r w:rsidRPr="00030588">
        <w:br w:type="page"/>
      </w:r>
      <w:bookmarkStart w:id="67" w:name="_Toc222902182"/>
      <w:bookmarkStart w:id="68" w:name="_Toc287009287"/>
      <w:bookmarkStart w:id="69" w:name="_Toc394509384"/>
      <w:r w:rsidRPr="00030588">
        <w:lastRenderedPageBreak/>
        <w:t xml:space="preserve">Annex </w:t>
      </w:r>
      <w:r w:rsidR="00C20B87">
        <w:t>7</w:t>
      </w:r>
      <w:r w:rsidRPr="00030588">
        <w:t>: Impact Assessment of</w:t>
      </w:r>
      <w:r w:rsidR="00911589">
        <w:t xml:space="preserve"> </w:t>
      </w:r>
      <w:r w:rsidR="00911589">
        <w:rPr>
          <w:rFonts w:cs="Arial"/>
        </w:rPr>
        <w:t>proposed amendments to schedule 5 - the match test - part 1 and schedule 4 - the cigarette test - of the furniture and furnishings (fire) (safety) regulations 1988</w:t>
      </w:r>
      <w:bookmarkEnd w:id="67"/>
      <w:bookmarkEnd w:id="68"/>
      <w:bookmarkEnd w:id="69"/>
    </w:p>
    <w:tbl>
      <w:tblPr>
        <w:tblW w:w="10548" w:type="dxa"/>
        <w:tblLayout w:type="fixed"/>
        <w:tblLook w:val="01E0" w:firstRow="1" w:lastRow="1" w:firstColumn="1" w:lastColumn="1" w:noHBand="0" w:noVBand="0"/>
      </w:tblPr>
      <w:tblGrid>
        <w:gridCol w:w="1992"/>
        <w:gridCol w:w="1623"/>
        <w:gridCol w:w="2524"/>
        <w:gridCol w:w="1987"/>
        <w:gridCol w:w="2422"/>
      </w:tblGrid>
      <w:tr w:rsidR="00A43C03" w:rsidRPr="003F7678" w:rsidTr="00A43C03">
        <w:trPr>
          <w:trHeight w:hRule="exact" w:val="4792"/>
        </w:trPr>
        <w:tc>
          <w:tcPr>
            <w:tcW w:w="6139" w:type="dxa"/>
            <w:gridSpan w:val="3"/>
          </w:tcPr>
          <w:p w:rsidR="00A43C03" w:rsidRPr="003F7678" w:rsidRDefault="00A43C03" w:rsidP="00A43C03">
            <w:pPr>
              <w:pStyle w:val="IAHeadLabel0"/>
              <w:spacing w:before="50"/>
              <w:ind w:left="113"/>
              <w:rPr>
                <w:rFonts w:cs="Arial"/>
              </w:rPr>
            </w:pPr>
            <w:r w:rsidRPr="003F7678">
              <w:rPr>
                <w:rFonts w:cs="Arial"/>
              </w:rPr>
              <w:t>Title:</w:t>
            </w:r>
          </w:p>
          <w:p w:rsidR="00A43C03" w:rsidRPr="003F7678" w:rsidRDefault="00A43C03" w:rsidP="00A43C03">
            <w:pPr>
              <w:pStyle w:val="IATitle"/>
            </w:pPr>
            <w:r>
              <w:t>Furniture Fire Regulations Amendment</w:t>
            </w:r>
          </w:p>
          <w:p w:rsidR="00A43C03" w:rsidRDefault="00A43C03" w:rsidP="00A43C03">
            <w:pPr>
              <w:pStyle w:val="IAHeadTitle"/>
              <w:ind w:left="113"/>
              <w:rPr>
                <w:rFonts w:cs="Arial"/>
                <w:sz w:val="20"/>
                <w:szCs w:val="20"/>
              </w:rPr>
            </w:pPr>
          </w:p>
          <w:p w:rsidR="00A43C03" w:rsidRPr="003F7678" w:rsidRDefault="00A43C03" w:rsidP="00A43C03">
            <w:pPr>
              <w:pStyle w:val="IAHeadTitle"/>
              <w:ind w:left="113"/>
              <w:rPr>
                <w:rStyle w:val="IANoChar"/>
                <w:rFonts w:cs="Arial"/>
              </w:rPr>
            </w:pPr>
            <w:r w:rsidRPr="003F7678">
              <w:rPr>
                <w:rFonts w:cs="Arial"/>
                <w:sz w:val="20"/>
                <w:szCs w:val="20"/>
              </w:rPr>
              <w:t xml:space="preserve">IA No: </w:t>
            </w:r>
            <w:bookmarkStart w:id="70" w:name="IANo"/>
            <w:r w:rsidRPr="003F7678">
              <w:rPr>
                <w:rStyle w:val="IANoChar"/>
                <w:rFonts w:cs="Arial"/>
                <w:sz w:val="20"/>
                <w:szCs w:val="20"/>
              </w:rPr>
              <w:fldChar w:fldCharType="begin">
                <w:ffData>
                  <w:name w:val="IANo"/>
                  <w:enabled/>
                  <w:calcOnExit w:val="0"/>
                  <w:textInput>
                    <w:maxLength w:val="20"/>
                  </w:textInput>
                </w:ffData>
              </w:fldChar>
            </w:r>
            <w:r w:rsidRPr="003F7678">
              <w:rPr>
                <w:rStyle w:val="IANoChar"/>
                <w:rFonts w:cs="Arial"/>
                <w:sz w:val="20"/>
                <w:szCs w:val="20"/>
              </w:rPr>
              <w:instrText xml:space="preserve"> FORMTEXT </w:instrText>
            </w:r>
            <w:r w:rsidRPr="003F7678">
              <w:rPr>
                <w:rStyle w:val="IANoChar"/>
                <w:rFonts w:cs="Arial"/>
                <w:sz w:val="20"/>
                <w:szCs w:val="20"/>
              </w:rPr>
            </w:r>
            <w:r w:rsidRPr="003F7678">
              <w:rPr>
                <w:rStyle w:val="IANoChar"/>
                <w:rFonts w:cs="Arial"/>
                <w:sz w:val="20"/>
                <w:szCs w:val="20"/>
              </w:rPr>
              <w:fldChar w:fldCharType="separate"/>
            </w:r>
            <w:r w:rsidRPr="003F7678">
              <w:rPr>
                <w:rStyle w:val="IANoChar"/>
                <w:rFonts w:cs="Arial"/>
                <w:sz w:val="20"/>
                <w:szCs w:val="20"/>
              </w:rPr>
              <w:t> </w:t>
            </w:r>
            <w:r w:rsidRPr="003F7678">
              <w:rPr>
                <w:rStyle w:val="IANoChar"/>
                <w:rFonts w:cs="Arial"/>
                <w:sz w:val="20"/>
                <w:szCs w:val="20"/>
              </w:rPr>
              <w:t> </w:t>
            </w:r>
            <w:r w:rsidRPr="003F7678">
              <w:rPr>
                <w:rStyle w:val="IANoChar"/>
                <w:rFonts w:cs="Arial"/>
                <w:sz w:val="20"/>
                <w:szCs w:val="20"/>
              </w:rPr>
              <w:t> </w:t>
            </w:r>
            <w:r w:rsidRPr="003F7678">
              <w:rPr>
                <w:rStyle w:val="IANoChar"/>
                <w:rFonts w:cs="Arial"/>
                <w:sz w:val="20"/>
                <w:szCs w:val="20"/>
              </w:rPr>
              <w:t> </w:t>
            </w:r>
            <w:r w:rsidRPr="003F7678">
              <w:rPr>
                <w:rStyle w:val="IANoChar"/>
                <w:rFonts w:cs="Arial"/>
                <w:sz w:val="20"/>
                <w:szCs w:val="20"/>
              </w:rPr>
              <w:t> </w:t>
            </w:r>
            <w:r w:rsidRPr="003F7678">
              <w:rPr>
                <w:rStyle w:val="IANoChar"/>
                <w:rFonts w:cs="Arial"/>
                <w:sz w:val="20"/>
                <w:szCs w:val="20"/>
              </w:rPr>
              <w:fldChar w:fldCharType="end"/>
            </w:r>
            <w:bookmarkEnd w:id="70"/>
          </w:p>
          <w:p w:rsidR="00A43C03" w:rsidRDefault="00A43C03" w:rsidP="00A43C03">
            <w:pPr>
              <w:pStyle w:val="IAHeadLabel"/>
              <w:ind w:left="113"/>
              <w:rPr>
                <w:rFonts w:cs="Arial"/>
              </w:rPr>
            </w:pPr>
          </w:p>
          <w:p w:rsidR="00A43C03" w:rsidRPr="003F7678" w:rsidRDefault="00A43C03" w:rsidP="00A43C03">
            <w:pPr>
              <w:pStyle w:val="IAHeadLabel"/>
              <w:ind w:left="113"/>
              <w:rPr>
                <w:rFonts w:cs="Arial"/>
              </w:rPr>
            </w:pPr>
            <w:r w:rsidRPr="003F7678">
              <w:rPr>
                <w:rFonts w:cs="Arial"/>
              </w:rPr>
              <w:t>Lead department or agency:</w:t>
            </w:r>
          </w:p>
          <w:p w:rsidR="00A43C03" w:rsidRPr="003F7678" w:rsidRDefault="00A43C03" w:rsidP="00A43C03">
            <w:pPr>
              <w:pStyle w:val="IALeadDept"/>
            </w:pPr>
            <w:r>
              <w:t>Department for Business, Innovation and Skills</w:t>
            </w:r>
          </w:p>
          <w:p w:rsidR="00A43C03" w:rsidRDefault="00A43C03" w:rsidP="00A43C03">
            <w:pPr>
              <w:pStyle w:val="IATableLabel"/>
              <w:spacing w:after="0"/>
              <w:rPr>
                <w:rFonts w:cs="Arial"/>
              </w:rPr>
            </w:pPr>
          </w:p>
          <w:p w:rsidR="00A43C03" w:rsidRPr="003F7678" w:rsidRDefault="00A43C03" w:rsidP="00A43C03">
            <w:pPr>
              <w:pStyle w:val="IATableLabel"/>
              <w:spacing w:after="0"/>
              <w:rPr>
                <w:rFonts w:cs="Arial"/>
              </w:rPr>
            </w:pPr>
            <w:r w:rsidRPr="003F7678">
              <w:rPr>
                <w:rFonts w:cs="Arial"/>
              </w:rPr>
              <w:t xml:space="preserve">Other departments or agencies: </w:t>
            </w:r>
          </w:p>
          <w:p w:rsidR="00A43C03" w:rsidRPr="003F7678" w:rsidRDefault="00A43C03" w:rsidP="00A43C03">
            <w:pPr>
              <w:pStyle w:val="IAOtherDepts"/>
              <w:rPr>
                <w:rFonts w:cs="Arial"/>
              </w:rPr>
            </w:pPr>
          </w:p>
        </w:tc>
        <w:tc>
          <w:tcPr>
            <w:tcW w:w="4409" w:type="dxa"/>
            <w:gridSpan w:val="2"/>
          </w:tcPr>
          <w:tbl>
            <w:tblPr>
              <w:tblW w:w="4100" w:type="dxa"/>
              <w:tblInd w:w="5" w:type="dxa"/>
              <w:tblBorders>
                <w:insideH w:val="single" w:sz="4" w:space="0" w:color="333333"/>
                <w:insideV w:val="single" w:sz="4" w:space="0" w:color="333333"/>
              </w:tblBorders>
              <w:tblLayout w:type="fixed"/>
              <w:tblCellMar>
                <w:left w:w="0" w:type="dxa"/>
                <w:right w:w="0" w:type="dxa"/>
              </w:tblCellMar>
              <w:tblLook w:val="01E0" w:firstRow="1" w:lastRow="1" w:firstColumn="1" w:lastColumn="1" w:noHBand="0" w:noVBand="0"/>
            </w:tblPr>
            <w:tblGrid>
              <w:gridCol w:w="4100"/>
            </w:tblGrid>
            <w:tr w:rsidR="00A43C03" w:rsidRPr="003F7678" w:rsidTr="00A43C03">
              <w:trPr>
                <w:trHeight w:hRule="exact" w:val="895"/>
              </w:trPr>
              <w:tc>
                <w:tcPr>
                  <w:tcW w:w="4100" w:type="dxa"/>
                  <w:tcBorders>
                    <w:bottom w:val="single" w:sz="4" w:space="0" w:color="333333"/>
                  </w:tcBorders>
                  <w:shd w:val="clear" w:color="auto" w:fill="333333"/>
                  <w:vAlign w:val="center"/>
                </w:tcPr>
                <w:p w:rsidR="00A43C03" w:rsidRPr="003F7678" w:rsidRDefault="00A43C03" w:rsidP="00A43C03">
                  <w:pPr>
                    <w:pStyle w:val="Title"/>
                  </w:pPr>
                  <w:bookmarkStart w:id="71" w:name="_Toc394509385"/>
                  <w:r w:rsidRPr="003F7678">
                    <w:t>Impact Assessment (IA)</w:t>
                  </w:r>
                  <w:bookmarkEnd w:id="71"/>
                </w:p>
              </w:tc>
            </w:tr>
            <w:tr w:rsidR="00A43C03" w:rsidRPr="003F7678" w:rsidTr="00A43C03">
              <w:trPr>
                <w:trHeight w:val="548"/>
              </w:trPr>
              <w:tc>
                <w:tcPr>
                  <w:tcW w:w="4100" w:type="dxa"/>
                  <w:tcBorders>
                    <w:top w:val="single" w:sz="4" w:space="0" w:color="333333"/>
                    <w:bottom w:val="single" w:sz="4" w:space="0" w:color="333333"/>
                  </w:tcBorders>
                </w:tcPr>
                <w:p w:rsidR="00A43C03" w:rsidRPr="008A2F2E" w:rsidRDefault="00A43C03" w:rsidP="00A43C03">
                  <w:pPr>
                    <w:pStyle w:val="IATableLabel"/>
                    <w:rPr>
                      <w:rFonts w:cs="Arial"/>
                      <w:b w:val="0"/>
                    </w:rPr>
                  </w:pPr>
                  <w:r w:rsidRPr="003F7678">
                    <w:rPr>
                      <w:rFonts w:cs="Arial"/>
                    </w:rPr>
                    <w:t xml:space="preserve">Date: </w:t>
                  </w:r>
                </w:p>
              </w:tc>
            </w:tr>
            <w:tr w:rsidR="00A43C03" w:rsidRPr="003F7678" w:rsidTr="00A43C03">
              <w:trPr>
                <w:trHeight w:val="548"/>
              </w:trPr>
              <w:tc>
                <w:tcPr>
                  <w:tcW w:w="4100" w:type="dxa"/>
                  <w:tcBorders>
                    <w:top w:val="single" w:sz="4" w:space="0" w:color="333333"/>
                    <w:bottom w:val="single" w:sz="4" w:space="0" w:color="333333"/>
                  </w:tcBorders>
                </w:tcPr>
                <w:p w:rsidR="00A43C03" w:rsidRPr="003F7678" w:rsidRDefault="00A43C03" w:rsidP="00A43C03">
                  <w:pPr>
                    <w:pStyle w:val="IATableLabel"/>
                    <w:rPr>
                      <w:rFonts w:cs="Arial"/>
                    </w:rPr>
                  </w:pPr>
                  <w:bookmarkStart w:id="72" w:name="Stage"/>
                  <w:r w:rsidRPr="003F7678">
                    <w:rPr>
                      <w:rFonts w:cs="Arial"/>
                    </w:rPr>
                    <w:t xml:space="preserve">Stage: </w:t>
                  </w:r>
                  <w:bookmarkEnd w:id="72"/>
                  <w:r>
                    <w:rPr>
                      <w:rFonts w:cs="Arial"/>
                      <w:b w:val="0"/>
                    </w:rPr>
                    <w:t>Consultation</w:t>
                  </w:r>
                </w:p>
              </w:tc>
            </w:tr>
            <w:tr w:rsidR="00A43C03" w:rsidRPr="003F7678" w:rsidTr="00A43C03">
              <w:trPr>
                <w:trHeight w:val="548"/>
              </w:trPr>
              <w:tc>
                <w:tcPr>
                  <w:tcW w:w="4100" w:type="dxa"/>
                  <w:tcBorders>
                    <w:top w:val="single" w:sz="4" w:space="0" w:color="333333"/>
                    <w:bottom w:val="single" w:sz="4" w:space="0" w:color="333333"/>
                  </w:tcBorders>
                </w:tcPr>
                <w:p w:rsidR="00A43C03" w:rsidRPr="003F7678" w:rsidRDefault="00A43C03" w:rsidP="00A43C03">
                  <w:pPr>
                    <w:pStyle w:val="IATableLabel"/>
                    <w:rPr>
                      <w:rFonts w:cs="Arial"/>
                    </w:rPr>
                  </w:pPr>
                  <w:r w:rsidRPr="003F7678">
                    <w:rPr>
                      <w:rFonts w:cs="Arial"/>
                    </w:rPr>
                    <w:t xml:space="preserve">Source of intervention: </w:t>
                  </w:r>
                  <w:r w:rsidRPr="003F7678">
                    <w:rPr>
                      <w:rStyle w:val="IASOIChar"/>
                      <w:rFonts w:cs="Arial"/>
                      <w:sz w:val="20"/>
                    </w:rPr>
                    <w:t>Domestic</w:t>
                  </w:r>
                </w:p>
              </w:tc>
            </w:tr>
            <w:tr w:rsidR="00A43C03" w:rsidRPr="003F7678" w:rsidTr="00A43C03">
              <w:trPr>
                <w:trHeight w:val="523"/>
              </w:trPr>
              <w:tc>
                <w:tcPr>
                  <w:tcW w:w="4100" w:type="dxa"/>
                  <w:tcBorders>
                    <w:top w:val="single" w:sz="4" w:space="0" w:color="333333"/>
                    <w:bottom w:val="single" w:sz="4" w:space="0" w:color="333333"/>
                  </w:tcBorders>
                </w:tcPr>
                <w:p w:rsidR="00A43C03" w:rsidRPr="003F7678" w:rsidRDefault="00A43C03" w:rsidP="00A43C03">
                  <w:pPr>
                    <w:pStyle w:val="IATableLabel"/>
                    <w:rPr>
                      <w:rFonts w:cs="Arial"/>
                      <w:b w:val="0"/>
                    </w:rPr>
                  </w:pPr>
                  <w:r w:rsidRPr="003F7678">
                    <w:rPr>
                      <w:rFonts w:cs="Arial"/>
                    </w:rPr>
                    <w:t xml:space="preserve">Type of measure: </w:t>
                  </w:r>
                </w:p>
              </w:tc>
            </w:tr>
            <w:tr w:rsidR="00A43C03" w:rsidRPr="003F7678" w:rsidTr="00A43C03">
              <w:trPr>
                <w:trHeight w:val="1849"/>
              </w:trPr>
              <w:tc>
                <w:tcPr>
                  <w:tcW w:w="4100" w:type="dxa"/>
                  <w:tcBorders>
                    <w:top w:val="single" w:sz="4" w:space="0" w:color="333333"/>
                    <w:bottom w:val="single" w:sz="4" w:space="0" w:color="333333"/>
                  </w:tcBorders>
                </w:tcPr>
                <w:p w:rsidR="00A43C03" w:rsidRDefault="00A43C03" w:rsidP="00A43C03">
                  <w:pPr>
                    <w:ind w:left="113" w:right="113"/>
                    <w:rPr>
                      <w:rStyle w:val="IATableLabelCharChar"/>
                      <w:rFonts w:cs="Arial"/>
                      <w:sz w:val="20"/>
                      <w:szCs w:val="20"/>
                    </w:rPr>
                  </w:pPr>
                </w:p>
                <w:p w:rsidR="00A43C03" w:rsidRDefault="00A43C03" w:rsidP="00A43C03">
                  <w:pPr>
                    <w:ind w:left="113" w:right="113"/>
                    <w:rPr>
                      <w:rStyle w:val="IACOEChar"/>
                      <w:rFonts w:cs="Arial"/>
                      <w:b w:val="0"/>
                      <w:sz w:val="20"/>
                    </w:rPr>
                  </w:pPr>
                  <w:r w:rsidRPr="003F7678">
                    <w:rPr>
                      <w:rStyle w:val="IATableLabelCharChar"/>
                      <w:rFonts w:cs="Arial"/>
                      <w:sz w:val="20"/>
                      <w:szCs w:val="20"/>
                    </w:rPr>
                    <w:t>Contact for enquiries:</w:t>
                  </w:r>
                  <w:r w:rsidRPr="003F7678">
                    <w:rPr>
                      <w:rFonts w:cs="Arial"/>
                    </w:rPr>
                    <w:t xml:space="preserve"> </w:t>
                  </w:r>
                  <w:r>
                    <w:rPr>
                      <w:rStyle w:val="IACOEChar"/>
                      <w:rFonts w:cs="Arial"/>
                      <w:b w:val="0"/>
                      <w:sz w:val="20"/>
                    </w:rPr>
                    <w:t xml:space="preserve">Terry Edge </w:t>
                  </w:r>
                </w:p>
                <w:p w:rsidR="00A43C03" w:rsidRPr="003F7678" w:rsidRDefault="00A43C03" w:rsidP="00A43C03">
                  <w:pPr>
                    <w:ind w:left="113" w:right="113"/>
                    <w:rPr>
                      <w:rFonts w:cs="Arial"/>
                    </w:rPr>
                  </w:pPr>
                  <w:r>
                    <w:rPr>
                      <w:rStyle w:val="IACOEChar"/>
                      <w:rFonts w:cs="Arial"/>
                      <w:b w:val="0"/>
                      <w:sz w:val="20"/>
                    </w:rPr>
                    <w:t>020 7215 5276</w:t>
                  </w:r>
                </w:p>
              </w:tc>
            </w:tr>
            <w:tr w:rsidR="00A43C03" w:rsidRPr="003F7678" w:rsidTr="00A43C03">
              <w:trPr>
                <w:trHeight w:val="1849"/>
              </w:trPr>
              <w:tc>
                <w:tcPr>
                  <w:tcW w:w="4100" w:type="dxa"/>
                  <w:tcBorders>
                    <w:top w:val="single" w:sz="4" w:space="0" w:color="333333"/>
                    <w:bottom w:val="single" w:sz="4" w:space="0" w:color="333333"/>
                  </w:tcBorders>
                </w:tcPr>
                <w:p w:rsidR="00A43C03" w:rsidRPr="003F7678" w:rsidRDefault="00A43C03" w:rsidP="00A43C03">
                  <w:pPr>
                    <w:pStyle w:val="IATableLines"/>
                    <w:rPr>
                      <w:rFonts w:cs="Arial"/>
                      <w:b/>
                      <w:color w:val="000000"/>
                      <w:sz w:val="20"/>
                    </w:rPr>
                  </w:pPr>
                </w:p>
              </w:tc>
            </w:tr>
            <w:tr w:rsidR="00A43C03" w:rsidRPr="003F7678" w:rsidTr="00A43C03">
              <w:trPr>
                <w:trHeight w:val="1849"/>
              </w:trPr>
              <w:tc>
                <w:tcPr>
                  <w:tcW w:w="4100" w:type="dxa"/>
                  <w:tcBorders>
                    <w:top w:val="single" w:sz="4" w:space="0" w:color="333333"/>
                    <w:bottom w:val="single" w:sz="4" w:space="0" w:color="333333"/>
                  </w:tcBorders>
                </w:tcPr>
                <w:p w:rsidR="00A43C03" w:rsidRPr="003F7678" w:rsidRDefault="00A43C03" w:rsidP="00A43C03">
                  <w:pPr>
                    <w:pStyle w:val="IATableLines"/>
                    <w:rPr>
                      <w:rFonts w:cs="Arial"/>
                      <w:b/>
                      <w:color w:val="000000"/>
                      <w:sz w:val="20"/>
                    </w:rPr>
                  </w:pPr>
                </w:p>
              </w:tc>
            </w:tr>
            <w:tr w:rsidR="00A43C03" w:rsidRPr="003F7678" w:rsidTr="00A43C03">
              <w:trPr>
                <w:trHeight w:val="1849"/>
              </w:trPr>
              <w:tc>
                <w:tcPr>
                  <w:tcW w:w="4100" w:type="dxa"/>
                  <w:tcBorders>
                    <w:top w:val="single" w:sz="4" w:space="0" w:color="333333"/>
                    <w:bottom w:val="single" w:sz="4" w:space="0" w:color="333333"/>
                  </w:tcBorders>
                </w:tcPr>
                <w:p w:rsidR="00A43C03" w:rsidRPr="003F7678" w:rsidRDefault="00A43C03" w:rsidP="00A43C03">
                  <w:pPr>
                    <w:pStyle w:val="IATableLines"/>
                    <w:rPr>
                      <w:rFonts w:cs="Arial"/>
                      <w:b/>
                      <w:color w:val="000000"/>
                      <w:sz w:val="20"/>
                    </w:rPr>
                  </w:pPr>
                </w:p>
              </w:tc>
            </w:tr>
            <w:tr w:rsidR="00A43C03" w:rsidRPr="003F7678" w:rsidTr="00A43C03">
              <w:trPr>
                <w:trHeight w:val="1849"/>
              </w:trPr>
              <w:tc>
                <w:tcPr>
                  <w:tcW w:w="4100" w:type="dxa"/>
                  <w:tcBorders>
                    <w:top w:val="single" w:sz="4" w:space="0" w:color="333333"/>
                    <w:bottom w:val="single" w:sz="4" w:space="0" w:color="333333"/>
                  </w:tcBorders>
                </w:tcPr>
                <w:p w:rsidR="00A43C03" w:rsidRPr="003F7678" w:rsidRDefault="00A43C03" w:rsidP="00A43C03">
                  <w:pPr>
                    <w:pStyle w:val="IATableLines"/>
                    <w:rPr>
                      <w:rFonts w:cs="Arial"/>
                      <w:b/>
                      <w:color w:val="000000"/>
                      <w:sz w:val="20"/>
                    </w:rPr>
                  </w:pPr>
                </w:p>
              </w:tc>
            </w:tr>
            <w:tr w:rsidR="00A43C03" w:rsidRPr="003F7678" w:rsidTr="00A43C03">
              <w:trPr>
                <w:trHeight w:val="1849"/>
              </w:trPr>
              <w:tc>
                <w:tcPr>
                  <w:tcW w:w="4100" w:type="dxa"/>
                  <w:tcBorders>
                    <w:top w:val="single" w:sz="4" w:space="0" w:color="333333"/>
                    <w:bottom w:val="single" w:sz="4" w:space="0" w:color="333333"/>
                  </w:tcBorders>
                </w:tcPr>
                <w:p w:rsidR="00A43C03" w:rsidRPr="003F7678" w:rsidRDefault="00A43C03" w:rsidP="00A43C03">
                  <w:pPr>
                    <w:pStyle w:val="IATableLines"/>
                    <w:rPr>
                      <w:rFonts w:cs="Arial"/>
                      <w:b/>
                      <w:color w:val="000000"/>
                      <w:sz w:val="20"/>
                    </w:rPr>
                  </w:pPr>
                </w:p>
              </w:tc>
            </w:tr>
            <w:tr w:rsidR="00A43C03" w:rsidRPr="003F7678" w:rsidTr="00A43C03">
              <w:trPr>
                <w:trHeight w:val="1849"/>
              </w:trPr>
              <w:tc>
                <w:tcPr>
                  <w:tcW w:w="4100" w:type="dxa"/>
                  <w:tcBorders>
                    <w:top w:val="single" w:sz="4" w:space="0" w:color="333333"/>
                  </w:tcBorders>
                </w:tcPr>
                <w:p w:rsidR="00A43C03" w:rsidRPr="003F7678" w:rsidRDefault="00A43C03" w:rsidP="00A43C03">
                  <w:pPr>
                    <w:pStyle w:val="IATableLines"/>
                    <w:rPr>
                      <w:rFonts w:cs="Arial"/>
                      <w:b/>
                      <w:color w:val="000000"/>
                      <w:sz w:val="20"/>
                    </w:rPr>
                  </w:pPr>
                </w:p>
              </w:tc>
            </w:tr>
          </w:tbl>
          <w:p w:rsidR="00A43C03" w:rsidRPr="003F7678" w:rsidRDefault="00A43C03" w:rsidP="00A43C03">
            <w:pPr>
              <w:rPr>
                <w:rFonts w:eastAsia="SimSun" w:cs="Arial"/>
              </w:rPr>
            </w:pPr>
          </w:p>
        </w:tc>
      </w:tr>
      <w:tr w:rsidR="00A43C03" w:rsidRPr="003F7678" w:rsidTr="00A43C03">
        <w:trPr>
          <w:trHeight w:hRule="exact" w:val="679"/>
        </w:trPr>
        <w:tc>
          <w:tcPr>
            <w:tcW w:w="6139" w:type="dxa"/>
            <w:gridSpan w:val="3"/>
          </w:tcPr>
          <w:p w:rsidR="00A43C03" w:rsidRPr="003F7678" w:rsidRDefault="00A43C03" w:rsidP="00A43C03">
            <w:pPr>
              <w:pStyle w:val="Heading1"/>
              <w:spacing w:before="60"/>
              <w:rPr>
                <w:rFonts w:eastAsia="SimSun"/>
                <w:sz w:val="28"/>
                <w:szCs w:val="28"/>
              </w:rPr>
            </w:pPr>
            <w:bookmarkStart w:id="73" w:name="_Toc394509386"/>
            <w:r w:rsidRPr="003F7678">
              <w:rPr>
                <w:rFonts w:eastAsia="SimSun"/>
                <w:sz w:val="28"/>
                <w:szCs w:val="28"/>
              </w:rPr>
              <w:t>Summary: Intervention and Options</w:t>
            </w:r>
            <w:bookmarkEnd w:id="73"/>
            <w:r w:rsidRPr="003F7678">
              <w:rPr>
                <w:rFonts w:eastAsia="SimSun"/>
                <w:sz w:val="28"/>
                <w:szCs w:val="28"/>
              </w:rPr>
              <w:t xml:space="preserve"> </w:t>
            </w:r>
          </w:p>
          <w:p w:rsidR="00A43C03" w:rsidRPr="003F7678" w:rsidRDefault="00A43C03" w:rsidP="00A43C03">
            <w:pPr>
              <w:pStyle w:val="IAHeadLabel0"/>
              <w:spacing w:before="50"/>
              <w:ind w:left="113"/>
              <w:rPr>
                <w:rFonts w:cs="Arial"/>
                <w:sz w:val="28"/>
                <w:szCs w:val="28"/>
              </w:rPr>
            </w:pPr>
          </w:p>
        </w:tc>
        <w:tc>
          <w:tcPr>
            <w:tcW w:w="4409" w:type="dxa"/>
            <w:gridSpan w:val="2"/>
          </w:tcPr>
          <w:p w:rsidR="00A43C03" w:rsidRPr="003F7678" w:rsidRDefault="00A43C03" w:rsidP="00A43C03">
            <w:pPr>
              <w:pStyle w:val="Title"/>
              <w:rPr>
                <w:rFonts w:eastAsia="SimSun"/>
                <w:b/>
                <w:color w:val="auto"/>
                <w:sz w:val="24"/>
                <w:szCs w:val="24"/>
              </w:rPr>
            </w:pPr>
            <w:bookmarkStart w:id="74" w:name="_Toc394509387"/>
            <w:r w:rsidRPr="003F7678">
              <w:rPr>
                <w:rFonts w:eastAsia="SimSun"/>
                <w:b/>
                <w:color w:val="auto"/>
                <w:sz w:val="24"/>
                <w:szCs w:val="24"/>
              </w:rPr>
              <w:t>RPC Opinion:</w:t>
            </w:r>
            <w:bookmarkEnd w:id="74"/>
            <w:r w:rsidRPr="003F7678">
              <w:rPr>
                <w:rFonts w:eastAsia="SimSun"/>
                <w:b/>
                <w:color w:val="auto"/>
                <w:sz w:val="24"/>
                <w:szCs w:val="24"/>
              </w:rPr>
              <w:t xml:space="preserve"> </w:t>
            </w:r>
          </w:p>
        </w:tc>
      </w:tr>
      <w:tr w:rsidR="00A43C03" w:rsidRPr="003F7678" w:rsidTr="00A43C03">
        <w:trPr>
          <w:trHeight w:hRule="exact" w:val="149"/>
        </w:trPr>
        <w:tc>
          <w:tcPr>
            <w:tcW w:w="10548" w:type="dxa"/>
            <w:gridSpan w:val="5"/>
          </w:tcPr>
          <w:p w:rsidR="00A43C03" w:rsidRPr="003F7678" w:rsidRDefault="00A43C03" w:rsidP="00A43C03">
            <w:pPr>
              <w:rPr>
                <w:rFonts w:eastAsia="SimSun" w:cs="Arial"/>
              </w:rPr>
            </w:pPr>
          </w:p>
        </w:tc>
      </w:tr>
      <w:tr w:rsidR="00A43C03" w:rsidRPr="003F7678" w:rsidTr="00A43C03">
        <w:trPr>
          <w:trHeight w:hRule="exact" w:val="516"/>
        </w:trPr>
        <w:tc>
          <w:tcPr>
            <w:tcW w:w="10548" w:type="dxa"/>
            <w:gridSpan w:val="5"/>
          </w:tcPr>
          <w:p w:rsidR="00A43C03" w:rsidRPr="003F7678" w:rsidRDefault="00A43C03" w:rsidP="00A43C03">
            <w:pPr>
              <w:pStyle w:val="IATableLabel"/>
              <w:ind w:left="0"/>
              <w:jc w:val="center"/>
              <w:rPr>
                <w:rFonts w:cs="Arial"/>
              </w:rPr>
            </w:pPr>
            <w:bookmarkStart w:id="75" w:name="CostText"/>
            <w:r w:rsidRPr="003F7678">
              <w:rPr>
                <w:rFonts w:cs="Arial"/>
              </w:rPr>
              <w:t>Cost of Preferred (or more likely) Option</w:t>
            </w:r>
            <w:bookmarkEnd w:id="75"/>
          </w:p>
        </w:tc>
      </w:tr>
      <w:tr w:rsidR="00A43C03" w:rsidRPr="003F7678" w:rsidTr="00A43C03">
        <w:trPr>
          <w:trHeight w:hRule="exact" w:val="948"/>
        </w:trPr>
        <w:tc>
          <w:tcPr>
            <w:tcW w:w="1992" w:type="dxa"/>
          </w:tcPr>
          <w:p w:rsidR="00A43C03" w:rsidRPr="003F7678" w:rsidRDefault="00A43C03" w:rsidP="00A43C03">
            <w:pPr>
              <w:pStyle w:val="IATableLabel"/>
              <w:spacing w:before="0" w:after="0"/>
              <w:rPr>
                <w:rFonts w:cs="Arial"/>
              </w:rPr>
            </w:pPr>
            <w:r w:rsidRPr="003F7678">
              <w:rPr>
                <w:rFonts w:cs="Arial"/>
              </w:rPr>
              <w:t>Total Net Present Value</w:t>
            </w:r>
          </w:p>
        </w:tc>
        <w:tc>
          <w:tcPr>
            <w:tcW w:w="1623" w:type="dxa"/>
          </w:tcPr>
          <w:p w:rsidR="00A43C03" w:rsidRPr="003F7678" w:rsidRDefault="00A43C03" w:rsidP="00A43C03">
            <w:pPr>
              <w:pStyle w:val="IATableLabel"/>
              <w:spacing w:before="0" w:after="0"/>
              <w:rPr>
                <w:rFonts w:cs="Arial"/>
              </w:rPr>
            </w:pPr>
            <w:r w:rsidRPr="003F7678">
              <w:rPr>
                <w:rFonts w:cs="Arial"/>
              </w:rPr>
              <w:t>Business Net Present Value</w:t>
            </w:r>
          </w:p>
        </w:tc>
        <w:tc>
          <w:tcPr>
            <w:tcW w:w="2524" w:type="dxa"/>
          </w:tcPr>
          <w:p w:rsidR="00A43C03" w:rsidRPr="003F7678" w:rsidRDefault="00A43C03" w:rsidP="00A43C03">
            <w:pPr>
              <w:pStyle w:val="IATableLabel"/>
              <w:spacing w:before="0" w:after="0"/>
              <w:rPr>
                <w:rFonts w:cs="Arial"/>
              </w:rPr>
            </w:pPr>
            <w:r w:rsidRPr="003F7678">
              <w:rPr>
                <w:rFonts w:cs="Arial"/>
              </w:rPr>
              <w:t xml:space="preserve">Net cost to business per year </w:t>
            </w:r>
            <w:r w:rsidRPr="003F7678">
              <w:rPr>
                <w:rFonts w:cs="Arial"/>
                <w:b w:val="0"/>
              </w:rPr>
              <w:t>(</w:t>
            </w:r>
            <w:r w:rsidRPr="003F7678">
              <w:rPr>
                <w:rFonts w:cs="Arial"/>
                <w:b w:val="0"/>
                <w:sz w:val="16"/>
                <w:szCs w:val="16"/>
              </w:rPr>
              <w:t>EANCB</w:t>
            </w:r>
            <w:r w:rsidRPr="003F7678">
              <w:rPr>
                <w:rFonts w:cs="Arial"/>
                <w:b w:val="0"/>
              </w:rPr>
              <w:t xml:space="preserve"> </w:t>
            </w:r>
            <w:r w:rsidRPr="003F7678">
              <w:rPr>
                <w:rFonts w:cs="Arial"/>
                <w:b w:val="0"/>
                <w:sz w:val="16"/>
                <w:szCs w:val="16"/>
              </w:rPr>
              <w:t>on 2009 prices)</w:t>
            </w:r>
          </w:p>
        </w:tc>
        <w:tc>
          <w:tcPr>
            <w:tcW w:w="1987" w:type="dxa"/>
          </w:tcPr>
          <w:p w:rsidR="00A43C03" w:rsidRPr="003F7678" w:rsidRDefault="00A43C03" w:rsidP="00A43C03">
            <w:pPr>
              <w:pStyle w:val="IATableLabel"/>
              <w:spacing w:before="0" w:after="0"/>
              <w:rPr>
                <w:rFonts w:cs="Arial"/>
              </w:rPr>
            </w:pPr>
            <w:r w:rsidRPr="003F7678">
              <w:rPr>
                <w:rFonts w:cs="Arial"/>
              </w:rPr>
              <w:t>In scope of One-In, Two-Out?</w:t>
            </w:r>
          </w:p>
        </w:tc>
        <w:tc>
          <w:tcPr>
            <w:tcW w:w="2422" w:type="dxa"/>
          </w:tcPr>
          <w:p w:rsidR="00A43C03" w:rsidRPr="003F7678" w:rsidRDefault="00A43C03" w:rsidP="00A43C03">
            <w:pPr>
              <w:pStyle w:val="IATableLabel"/>
              <w:spacing w:before="0" w:after="0"/>
              <w:ind w:left="0"/>
              <w:rPr>
                <w:rFonts w:cs="Arial"/>
              </w:rPr>
            </w:pPr>
            <w:r w:rsidRPr="003F7678">
              <w:rPr>
                <w:rFonts w:cs="Arial"/>
              </w:rPr>
              <w:t>Measure qualifies as</w:t>
            </w:r>
          </w:p>
          <w:p w:rsidR="00A43C03" w:rsidRPr="003F7678" w:rsidRDefault="00A43C03" w:rsidP="00A43C03">
            <w:pPr>
              <w:pStyle w:val="IATableLabel"/>
              <w:spacing w:before="0" w:after="0"/>
              <w:ind w:left="0"/>
              <w:rPr>
                <w:rFonts w:cs="Arial"/>
              </w:rPr>
            </w:pPr>
          </w:p>
        </w:tc>
      </w:tr>
      <w:bookmarkStart w:id="76" w:name="IATNPV"/>
      <w:tr w:rsidR="00A43C03" w:rsidRPr="003F7678" w:rsidTr="00A43C03">
        <w:trPr>
          <w:trHeight w:hRule="exact" w:val="565"/>
        </w:trPr>
        <w:tc>
          <w:tcPr>
            <w:tcW w:w="1992" w:type="dxa"/>
          </w:tcPr>
          <w:p w:rsidR="00A43C03" w:rsidRPr="003F7678" w:rsidRDefault="00A43C03" w:rsidP="00A43C03">
            <w:pPr>
              <w:pStyle w:val="IAIIOTNPV"/>
              <w:rPr>
                <w:rFonts w:cs="Arial"/>
              </w:rPr>
            </w:pPr>
            <w:r w:rsidRPr="003F7678">
              <w:rPr>
                <w:rFonts w:cs="Arial"/>
              </w:rPr>
              <w:fldChar w:fldCharType="begin">
                <w:ffData>
                  <w:name w:val="IATNPV"/>
                  <w:enabled/>
                  <w:calcOnExit w:val="0"/>
                  <w:textInput>
                    <w:default w:val="£m"/>
                    <w:maxLength w:val="9"/>
                  </w:textInput>
                </w:ffData>
              </w:fldChar>
            </w:r>
            <w:r w:rsidRPr="003F7678">
              <w:rPr>
                <w:rFonts w:cs="Arial"/>
              </w:rPr>
              <w:instrText xml:space="preserve"> FORMTEXT </w:instrText>
            </w:r>
            <w:r w:rsidRPr="003F7678">
              <w:rPr>
                <w:rFonts w:cs="Arial"/>
              </w:rPr>
            </w:r>
            <w:r w:rsidRPr="003F7678">
              <w:rPr>
                <w:rFonts w:cs="Arial"/>
              </w:rPr>
              <w:fldChar w:fldCharType="separate"/>
            </w:r>
            <w:r w:rsidRPr="003F7678">
              <w:rPr>
                <w:rFonts w:cs="Arial"/>
                <w:noProof/>
              </w:rPr>
              <w:t>£</w:t>
            </w:r>
            <w:r w:rsidRPr="003F7678">
              <w:rPr>
                <w:rFonts w:cs="Arial"/>
              </w:rPr>
              <w:fldChar w:fldCharType="end"/>
            </w:r>
            <w:bookmarkEnd w:id="76"/>
            <w:r>
              <w:rPr>
                <w:rFonts w:cs="Arial"/>
              </w:rPr>
              <w:t>160-470m</w:t>
            </w:r>
          </w:p>
        </w:tc>
        <w:tc>
          <w:tcPr>
            <w:tcW w:w="1623" w:type="dxa"/>
          </w:tcPr>
          <w:p w:rsidR="00A43C03" w:rsidRPr="003F7678" w:rsidRDefault="00A43C03" w:rsidP="00A43C03">
            <w:pPr>
              <w:pStyle w:val="IAIOBNPV"/>
              <w:rPr>
                <w:rFonts w:cs="Arial"/>
              </w:rPr>
            </w:pPr>
            <w:r>
              <w:rPr>
                <w:rFonts w:cs="Arial"/>
              </w:rPr>
              <w:t>£160-470m</w:t>
            </w:r>
          </w:p>
        </w:tc>
        <w:tc>
          <w:tcPr>
            <w:tcW w:w="2524" w:type="dxa"/>
          </w:tcPr>
          <w:p w:rsidR="00A43C03" w:rsidRPr="003F7678" w:rsidRDefault="00A43C03" w:rsidP="00A43C03">
            <w:pPr>
              <w:pStyle w:val="IAIONCTBPY"/>
              <w:rPr>
                <w:rFonts w:cs="Arial"/>
              </w:rPr>
            </w:pPr>
            <w:r>
              <w:rPr>
                <w:rFonts w:cs="Arial"/>
              </w:rPr>
              <w:t>- £15-43m</w:t>
            </w:r>
          </w:p>
        </w:tc>
        <w:tc>
          <w:tcPr>
            <w:tcW w:w="1987" w:type="dxa"/>
          </w:tcPr>
          <w:p w:rsidR="00A43C03" w:rsidRPr="003F7678" w:rsidRDefault="00A43C03" w:rsidP="00A43C03">
            <w:pPr>
              <w:pStyle w:val="IAIOInScopeInOut"/>
              <w:rPr>
                <w:rFonts w:cs="Arial"/>
              </w:rPr>
            </w:pPr>
            <w:bookmarkStart w:id="77" w:name="IAInScopeInOut"/>
            <w:r w:rsidRPr="003F7678">
              <w:rPr>
                <w:rFonts w:cs="Arial"/>
              </w:rPr>
              <w:t>Yes</w:t>
            </w:r>
            <w:bookmarkEnd w:id="77"/>
          </w:p>
        </w:tc>
        <w:tc>
          <w:tcPr>
            <w:tcW w:w="2422" w:type="dxa"/>
          </w:tcPr>
          <w:p w:rsidR="00A43C03" w:rsidRPr="003F7678" w:rsidRDefault="00A43C03" w:rsidP="00A43C03">
            <w:pPr>
              <w:pStyle w:val="IAIOPrefMQ"/>
              <w:rPr>
                <w:rFonts w:cs="Arial"/>
              </w:rPr>
            </w:pPr>
            <w:r>
              <w:rPr>
                <w:rFonts w:cs="Arial"/>
              </w:rPr>
              <w:t>Out</w:t>
            </w:r>
          </w:p>
        </w:tc>
      </w:tr>
      <w:tr w:rsidR="00A43C03" w:rsidRPr="003F7678" w:rsidTr="00A43C03">
        <w:tblPrEx>
          <w:tblBorders>
            <w:top w:val="single" w:sz="4" w:space="0" w:color="auto"/>
            <w:left w:val="single" w:sz="4" w:space="0" w:color="auto"/>
            <w:bottom w:val="single" w:sz="4" w:space="0" w:color="auto"/>
            <w:right w:val="single" w:sz="4" w:space="0" w:color="auto"/>
          </w:tblBorders>
          <w:tblCellMar>
            <w:left w:w="0" w:type="dxa"/>
            <w:right w:w="0" w:type="dxa"/>
          </w:tblCellMar>
        </w:tblPrEx>
        <w:trPr>
          <w:trHeight w:hRule="exact" w:val="3137"/>
        </w:trPr>
        <w:tc>
          <w:tcPr>
            <w:tcW w:w="10548" w:type="dxa"/>
            <w:gridSpan w:val="5"/>
            <w:tcBorders>
              <w:top w:val="single" w:sz="4" w:space="0" w:color="auto"/>
              <w:bottom w:val="single" w:sz="4" w:space="0" w:color="auto"/>
            </w:tcBorders>
          </w:tcPr>
          <w:p w:rsidR="00A43C03" w:rsidRPr="003F7678" w:rsidRDefault="00A43C03" w:rsidP="00A43C03">
            <w:pPr>
              <w:pStyle w:val="IAIOQ1"/>
              <w:ind w:left="0"/>
              <w:rPr>
                <w:rFonts w:cs="Arial"/>
                <w:sz w:val="22"/>
                <w:szCs w:val="22"/>
              </w:rPr>
            </w:pPr>
            <w:bookmarkStart w:id="78" w:name="Summary1"/>
            <w:r>
              <w:rPr>
                <w:rFonts w:cs="Arial"/>
              </w:rPr>
              <w:t xml:space="preserve">  </w:t>
            </w:r>
            <w:r w:rsidRPr="003F7678">
              <w:rPr>
                <w:rFonts w:cs="Arial"/>
              </w:rPr>
              <w:t>What is the problem under consideration? Why is government intervention necessary?</w:t>
            </w:r>
            <w:bookmarkStart w:id="79" w:name="IAIOA1"/>
            <w:bookmarkEnd w:id="78"/>
            <w:r w:rsidRPr="003F7678">
              <w:rPr>
                <w:rFonts w:cs="Arial"/>
                <w:b w:val="0"/>
                <w:sz w:val="22"/>
                <w:szCs w:val="22"/>
              </w:rPr>
              <w:t xml:space="preserve"> </w:t>
            </w:r>
          </w:p>
          <w:bookmarkEnd w:id="79"/>
          <w:p w:rsidR="00A43C03" w:rsidRDefault="00A43C03" w:rsidP="00A43C03">
            <w:pPr>
              <w:pStyle w:val="IATableLines"/>
              <w:rPr>
                <w:rFonts w:cs="Arial"/>
                <w:sz w:val="20"/>
              </w:rPr>
            </w:pPr>
          </w:p>
          <w:p w:rsidR="00A43C03" w:rsidRPr="00230ADE" w:rsidRDefault="00A43C03" w:rsidP="002772A0">
            <w:pPr>
              <w:pStyle w:val="IATableLines"/>
              <w:rPr>
                <w:rFonts w:cs="Arial"/>
                <w:sz w:val="20"/>
              </w:rPr>
            </w:pPr>
            <w:r w:rsidRPr="007F2EE7">
              <w:rPr>
                <w:rFonts w:cs="Arial"/>
              </w:rPr>
              <w:t xml:space="preserve">The Furniture and Furnishings (Fire) (Safety) Regulations 1988 (FFRs) </w:t>
            </w:r>
            <w:r>
              <w:rPr>
                <w:rFonts w:cs="Arial"/>
              </w:rPr>
              <w:t>are expected to be substantively updated</w:t>
            </w:r>
            <w:r w:rsidR="0056597A">
              <w:rPr>
                <w:rFonts w:cs="Arial"/>
              </w:rPr>
              <w:t>, by the earliest</w:t>
            </w:r>
            <w:r>
              <w:rPr>
                <w:rFonts w:cs="Arial"/>
              </w:rPr>
              <w:t xml:space="preserve"> in 2016. However, government </w:t>
            </w:r>
            <w:r w:rsidRPr="007F2EE7">
              <w:rPr>
                <w:rFonts w:cs="Arial"/>
              </w:rPr>
              <w:t xml:space="preserve">intervention is </w:t>
            </w:r>
            <w:r>
              <w:rPr>
                <w:rFonts w:cs="Arial"/>
              </w:rPr>
              <w:t>required now</w:t>
            </w:r>
            <w:r w:rsidRPr="007F2EE7">
              <w:rPr>
                <w:rFonts w:cs="Arial"/>
              </w:rPr>
              <w:t xml:space="preserve"> to amend </w:t>
            </w:r>
            <w:r>
              <w:rPr>
                <w:rFonts w:cs="Arial"/>
              </w:rPr>
              <w:t>the</w:t>
            </w:r>
            <w:r w:rsidRPr="007F2EE7">
              <w:rPr>
                <w:rFonts w:cs="Arial"/>
              </w:rPr>
              <w:t xml:space="preserve"> flammability</w:t>
            </w:r>
            <w:r>
              <w:rPr>
                <w:rFonts w:cs="Arial"/>
              </w:rPr>
              <w:t xml:space="preserve"> match</w:t>
            </w:r>
            <w:r w:rsidRPr="007F2EE7">
              <w:rPr>
                <w:rFonts w:cs="Arial"/>
              </w:rPr>
              <w:t xml:space="preserve"> test requirement that in practice has led to furniture producers and retailers using large amounts of </w:t>
            </w:r>
            <w:r>
              <w:rPr>
                <w:rFonts w:cs="Arial"/>
              </w:rPr>
              <w:t xml:space="preserve">environment- and health-damaging </w:t>
            </w:r>
            <w:r w:rsidRPr="007F2EE7">
              <w:rPr>
                <w:rFonts w:cs="Arial"/>
              </w:rPr>
              <w:t xml:space="preserve">flame retardant chemicals. </w:t>
            </w:r>
            <w:r>
              <w:rPr>
                <w:rFonts w:cs="Arial"/>
              </w:rPr>
              <w:t xml:space="preserve">The intervention tackles a government failure to amend regulation to technological advances and changes in industry practice; to minimise the cost to business. </w:t>
            </w:r>
            <w:r w:rsidRPr="007F2EE7">
              <w:rPr>
                <w:rFonts w:cs="Arial"/>
              </w:rPr>
              <w:t>The new</w:t>
            </w:r>
            <w:r>
              <w:rPr>
                <w:rFonts w:cs="Arial"/>
              </w:rPr>
              <w:t xml:space="preserve"> match</w:t>
            </w:r>
            <w:r w:rsidRPr="007F2EE7">
              <w:rPr>
                <w:rFonts w:cs="Arial"/>
              </w:rPr>
              <w:t xml:space="preserve"> </w:t>
            </w:r>
            <w:r>
              <w:rPr>
                <w:rFonts w:cs="Arial"/>
              </w:rPr>
              <w:t xml:space="preserve">test </w:t>
            </w:r>
            <w:r w:rsidRPr="007F2EE7">
              <w:rPr>
                <w:rFonts w:cs="Arial"/>
              </w:rPr>
              <w:t>reduces the cost of meeting safety requirements to ensure furniture is fire resistant</w:t>
            </w:r>
            <w:r>
              <w:rPr>
                <w:rFonts w:cs="Arial"/>
              </w:rPr>
              <w:t>,</w:t>
            </w:r>
            <w:r w:rsidRPr="007F2EE7">
              <w:rPr>
                <w:rFonts w:cs="Arial"/>
              </w:rPr>
              <w:t xml:space="preserve"> </w:t>
            </w:r>
            <w:r>
              <w:rPr>
                <w:rFonts w:cs="Arial"/>
              </w:rPr>
              <w:t xml:space="preserve">and has been developed from </w:t>
            </w:r>
            <w:r w:rsidRPr="007F2EE7">
              <w:rPr>
                <w:rFonts w:cs="Arial"/>
              </w:rPr>
              <w:t>performance evidence</w:t>
            </w:r>
            <w:r>
              <w:rPr>
                <w:rFonts w:cs="Arial"/>
              </w:rPr>
              <w:t xml:space="preserve"> gained by research sponsored by BIS</w:t>
            </w:r>
            <w:r w:rsidRPr="007F2EE7">
              <w:rPr>
                <w:rFonts w:cs="Arial"/>
              </w:rPr>
              <w:t xml:space="preserve">. </w:t>
            </w:r>
            <w:r>
              <w:rPr>
                <w:rFonts w:cs="Arial"/>
              </w:rPr>
              <w:t xml:space="preserve"> A further cost saving was identified in light of test house evidence, BIS intends to exclude most furniture cover fabrics from the FFRs' cigarette test, on the grounds that </w:t>
            </w:r>
            <w:r w:rsidR="002772A0">
              <w:rPr>
                <w:rFonts w:cs="Arial"/>
              </w:rPr>
              <w:t>if they pass the match test, they will automatically pass the cigarette test</w:t>
            </w:r>
            <w:r>
              <w:rPr>
                <w:rFonts w:cs="Arial"/>
              </w:rPr>
              <w:t>.</w:t>
            </w:r>
          </w:p>
        </w:tc>
      </w:tr>
      <w:tr w:rsidR="00A43C03" w:rsidRPr="003F7678" w:rsidTr="00A43C03">
        <w:tblPrEx>
          <w:tblBorders>
            <w:top w:val="single" w:sz="4" w:space="0" w:color="auto"/>
            <w:left w:val="single" w:sz="4" w:space="0" w:color="auto"/>
            <w:bottom w:val="single" w:sz="4" w:space="0" w:color="auto"/>
            <w:right w:val="single" w:sz="4" w:space="0" w:color="auto"/>
          </w:tblBorders>
          <w:tblCellMar>
            <w:left w:w="0" w:type="dxa"/>
            <w:right w:w="0" w:type="dxa"/>
          </w:tblCellMar>
        </w:tblPrEx>
        <w:trPr>
          <w:trHeight w:hRule="exact" w:val="3263"/>
        </w:trPr>
        <w:tc>
          <w:tcPr>
            <w:tcW w:w="10548" w:type="dxa"/>
            <w:gridSpan w:val="5"/>
            <w:tcBorders>
              <w:top w:val="single" w:sz="4" w:space="0" w:color="auto"/>
              <w:bottom w:val="single" w:sz="4" w:space="0" w:color="auto"/>
            </w:tcBorders>
          </w:tcPr>
          <w:p w:rsidR="00A43C03" w:rsidRDefault="00A43C03" w:rsidP="00A43C03">
            <w:pPr>
              <w:pStyle w:val="IAIOQ2"/>
              <w:rPr>
                <w:rFonts w:cs="Arial"/>
              </w:rPr>
            </w:pPr>
          </w:p>
          <w:p w:rsidR="00A43C03" w:rsidRDefault="00A43C03" w:rsidP="00A43C03">
            <w:pPr>
              <w:pStyle w:val="IAIOQ2"/>
              <w:rPr>
                <w:rFonts w:cs="Arial"/>
              </w:rPr>
            </w:pPr>
            <w:r w:rsidRPr="003F7678">
              <w:rPr>
                <w:rFonts w:cs="Arial"/>
              </w:rPr>
              <w:t>What are the policy objectives and the intended effects?</w:t>
            </w:r>
          </w:p>
          <w:p w:rsidR="00A43C03" w:rsidRPr="003F7678" w:rsidRDefault="00A43C03" w:rsidP="00A43C03">
            <w:pPr>
              <w:pStyle w:val="IAIOQ2"/>
              <w:ind w:left="1368" w:hanging="720"/>
              <w:rPr>
                <w:rFonts w:cs="Arial"/>
              </w:rPr>
            </w:pPr>
          </w:p>
          <w:p w:rsidR="00A43C03" w:rsidRDefault="00A43C03" w:rsidP="0039415E">
            <w:pPr>
              <w:numPr>
                <w:ilvl w:val="0"/>
                <w:numId w:val="12"/>
              </w:numPr>
              <w:tabs>
                <w:tab w:val="clear" w:pos="1440"/>
                <w:tab w:val="num" w:pos="1368"/>
              </w:tabs>
              <w:spacing w:after="0"/>
              <w:ind w:left="1368" w:hanging="720"/>
              <w:rPr>
                <w:rFonts w:eastAsia="SimSun" w:cs="Arial"/>
                <w:spacing w:val="-5"/>
                <w:sz w:val="22"/>
                <w:szCs w:val="22"/>
                <w:lang w:eastAsia="zh-CN"/>
              </w:rPr>
            </w:pPr>
            <w:r w:rsidRPr="00A22898">
              <w:rPr>
                <w:rFonts w:eastAsia="SimSun" w:cs="Arial"/>
                <w:spacing w:val="-5"/>
                <w:sz w:val="22"/>
                <w:szCs w:val="22"/>
                <w:lang w:eastAsia="zh-CN"/>
              </w:rPr>
              <w:t>To maintain</w:t>
            </w:r>
            <w:r w:rsidR="002772A0">
              <w:rPr>
                <w:rFonts w:eastAsia="SimSun" w:cs="Arial"/>
                <w:spacing w:val="-5"/>
                <w:sz w:val="22"/>
                <w:szCs w:val="22"/>
                <w:lang w:eastAsia="zh-CN"/>
              </w:rPr>
              <w:t xml:space="preserve"> and improve</w:t>
            </w:r>
            <w:r w:rsidRPr="00A22898">
              <w:rPr>
                <w:rFonts w:eastAsia="SimSun" w:cs="Arial"/>
                <w:spacing w:val="-5"/>
                <w:sz w:val="22"/>
                <w:szCs w:val="22"/>
                <w:lang w:eastAsia="zh-CN"/>
              </w:rPr>
              <w:t xml:space="preserve"> the current high levels of fire safety</w:t>
            </w:r>
            <w:r>
              <w:rPr>
                <w:rFonts w:eastAsia="SimSun" w:cs="Arial"/>
                <w:spacing w:val="-5"/>
                <w:sz w:val="22"/>
                <w:szCs w:val="22"/>
                <w:lang w:eastAsia="zh-CN"/>
              </w:rPr>
              <w:t xml:space="preserve"> of UK domestic upholstered furniture</w:t>
            </w:r>
            <w:r w:rsidRPr="00A22898">
              <w:rPr>
                <w:rFonts w:eastAsia="SimSun" w:cs="Arial"/>
                <w:spacing w:val="-5"/>
                <w:sz w:val="22"/>
                <w:szCs w:val="22"/>
                <w:lang w:eastAsia="zh-CN"/>
              </w:rPr>
              <w:t>, which preve</w:t>
            </w:r>
            <w:r>
              <w:rPr>
                <w:rFonts w:eastAsia="SimSun" w:cs="Arial"/>
                <w:spacing w:val="-5"/>
                <w:sz w:val="22"/>
                <w:szCs w:val="22"/>
                <w:lang w:eastAsia="zh-CN"/>
              </w:rPr>
              <w:t>nts injury and the loss of life.</w:t>
            </w:r>
            <w:r w:rsidRPr="00A22898">
              <w:rPr>
                <w:rFonts w:eastAsia="SimSun" w:cs="Arial"/>
                <w:spacing w:val="-5"/>
                <w:sz w:val="22"/>
                <w:szCs w:val="22"/>
                <w:lang w:eastAsia="zh-CN"/>
              </w:rPr>
              <w:t xml:space="preserve"> </w:t>
            </w:r>
          </w:p>
          <w:p w:rsidR="00A43C03" w:rsidRPr="00A22898" w:rsidRDefault="00A43C03" w:rsidP="00A43C03">
            <w:pPr>
              <w:ind w:left="1368" w:hanging="720"/>
              <w:rPr>
                <w:rFonts w:eastAsia="SimSun" w:cs="Arial"/>
                <w:spacing w:val="-5"/>
                <w:sz w:val="22"/>
                <w:szCs w:val="22"/>
                <w:lang w:eastAsia="zh-CN"/>
              </w:rPr>
            </w:pPr>
          </w:p>
          <w:p w:rsidR="00A43C03" w:rsidRDefault="00A43C03" w:rsidP="0039415E">
            <w:pPr>
              <w:numPr>
                <w:ilvl w:val="0"/>
                <w:numId w:val="12"/>
              </w:numPr>
              <w:tabs>
                <w:tab w:val="clear" w:pos="1440"/>
                <w:tab w:val="num" w:pos="725"/>
              </w:tabs>
              <w:spacing w:after="0"/>
              <w:ind w:left="1368" w:hanging="720"/>
              <w:rPr>
                <w:rFonts w:eastAsia="SimSun" w:cs="Arial"/>
                <w:spacing w:val="-5"/>
                <w:sz w:val="22"/>
                <w:szCs w:val="22"/>
                <w:lang w:eastAsia="zh-CN"/>
              </w:rPr>
            </w:pPr>
            <w:r w:rsidRPr="00A22898">
              <w:rPr>
                <w:rFonts w:eastAsia="SimSun" w:cs="Arial"/>
                <w:spacing w:val="-5"/>
                <w:sz w:val="22"/>
                <w:szCs w:val="22"/>
                <w:lang w:eastAsia="zh-CN"/>
              </w:rPr>
              <w:t xml:space="preserve">To </w:t>
            </w:r>
            <w:r>
              <w:rPr>
                <w:rFonts w:eastAsia="SimSun" w:cs="Arial"/>
                <w:spacing w:val="-5"/>
                <w:sz w:val="22"/>
                <w:szCs w:val="22"/>
                <w:lang w:eastAsia="zh-CN"/>
              </w:rPr>
              <w:t>reduce the cost to business</w:t>
            </w:r>
            <w:r w:rsidRPr="00A22898">
              <w:rPr>
                <w:rFonts w:eastAsia="SimSun" w:cs="Arial"/>
                <w:spacing w:val="-5"/>
                <w:sz w:val="22"/>
                <w:szCs w:val="22"/>
                <w:lang w:eastAsia="zh-CN"/>
              </w:rPr>
              <w:t xml:space="preserve"> of meeting the flammab</w:t>
            </w:r>
            <w:r>
              <w:rPr>
                <w:rFonts w:eastAsia="SimSun" w:cs="Arial"/>
                <w:spacing w:val="-5"/>
                <w:sz w:val="22"/>
                <w:szCs w:val="22"/>
                <w:lang w:eastAsia="zh-CN"/>
              </w:rPr>
              <w:t>ility requirements of the FFRs.</w:t>
            </w:r>
          </w:p>
          <w:p w:rsidR="00A43C03" w:rsidRPr="00A22898" w:rsidRDefault="00A43C03" w:rsidP="00A43C03">
            <w:pPr>
              <w:ind w:left="1368" w:hanging="720"/>
              <w:rPr>
                <w:rFonts w:eastAsia="SimSun" w:cs="Arial"/>
                <w:spacing w:val="-5"/>
                <w:sz w:val="22"/>
                <w:szCs w:val="22"/>
                <w:lang w:eastAsia="zh-CN"/>
              </w:rPr>
            </w:pPr>
          </w:p>
          <w:p w:rsidR="00A43C03" w:rsidRDefault="00A43C03" w:rsidP="0039415E">
            <w:pPr>
              <w:numPr>
                <w:ilvl w:val="0"/>
                <w:numId w:val="12"/>
              </w:numPr>
              <w:tabs>
                <w:tab w:val="clear" w:pos="1440"/>
                <w:tab w:val="num" w:pos="0"/>
              </w:tabs>
              <w:spacing w:after="0"/>
              <w:ind w:left="1368" w:hanging="720"/>
              <w:rPr>
                <w:sz w:val="22"/>
                <w:szCs w:val="22"/>
              </w:rPr>
            </w:pPr>
            <w:r w:rsidRPr="00A22898">
              <w:rPr>
                <w:sz w:val="22"/>
                <w:szCs w:val="22"/>
              </w:rPr>
              <w:t>To reduce the use of flame retardant chemicals</w:t>
            </w:r>
            <w:r>
              <w:rPr>
                <w:sz w:val="22"/>
                <w:szCs w:val="22"/>
              </w:rPr>
              <w:t>,</w:t>
            </w:r>
            <w:r w:rsidRPr="00A22898">
              <w:rPr>
                <w:sz w:val="22"/>
                <w:szCs w:val="22"/>
              </w:rPr>
              <w:t xml:space="preserve"> on health and environment</w:t>
            </w:r>
            <w:r>
              <w:rPr>
                <w:sz w:val="22"/>
                <w:szCs w:val="22"/>
              </w:rPr>
              <w:t>al grounds</w:t>
            </w:r>
            <w:r w:rsidRPr="00A22898">
              <w:rPr>
                <w:sz w:val="22"/>
                <w:szCs w:val="22"/>
              </w:rPr>
              <w:t xml:space="preserve">.  </w:t>
            </w:r>
          </w:p>
          <w:p w:rsidR="00A43C03" w:rsidRPr="003F7678" w:rsidRDefault="00A43C03" w:rsidP="00A43C03">
            <w:pPr>
              <w:pStyle w:val="IAIOQ1"/>
              <w:ind w:left="0"/>
              <w:rPr>
                <w:rFonts w:cs="Arial"/>
              </w:rPr>
            </w:pPr>
          </w:p>
        </w:tc>
      </w:tr>
    </w:tbl>
    <w:p w:rsidR="00A43C03" w:rsidRPr="003F7678" w:rsidRDefault="00A43C03" w:rsidP="00A43C03">
      <w:pPr>
        <w:pStyle w:val="IASpacer"/>
        <w:rPr>
          <w:rFonts w:cs="Arial"/>
        </w:rPr>
      </w:pPr>
    </w:p>
    <w:p w:rsidR="00A43C03" w:rsidRPr="003F7678" w:rsidRDefault="00A43C03" w:rsidP="00A43C03">
      <w:pPr>
        <w:pStyle w:val="IASpacer"/>
        <w:rPr>
          <w:rFonts w:cs="Arial"/>
        </w:rPr>
      </w:pPr>
    </w:p>
    <w:tbl>
      <w:tblPr>
        <w:tblW w:w="5113" w:type="pct"/>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10446"/>
      </w:tblGrid>
      <w:tr w:rsidR="00A43C03" w:rsidRPr="003F7678" w:rsidTr="002245A2">
        <w:trPr>
          <w:trHeight w:hRule="exact" w:val="9725"/>
        </w:trPr>
        <w:tc>
          <w:tcPr>
            <w:tcW w:w="10445" w:type="dxa"/>
            <w:tcBorders>
              <w:top w:val="single" w:sz="4" w:space="0" w:color="auto"/>
              <w:bottom w:val="single" w:sz="4" w:space="0" w:color="auto"/>
            </w:tcBorders>
          </w:tcPr>
          <w:p w:rsidR="00A43C03" w:rsidRDefault="00A43C03" w:rsidP="00A43C03">
            <w:pPr>
              <w:pStyle w:val="IAIOQ3"/>
              <w:rPr>
                <w:rFonts w:cs="Arial"/>
              </w:rPr>
            </w:pPr>
            <w:bookmarkStart w:id="80" w:name="IAIOQ3"/>
            <w:bookmarkStart w:id="81" w:name="Summary3"/>
            <w:r w:rsidRPr="003F7678">
              <w:rPr>
                <w:rFonts w:cs="Arial"/>
              </w:rPr>
              <w:t>What policy options have been considered, including any alternatives to regulation? Please justify preferred option (further details in Evidence Base)</w:t>
            </w:r>
            <w:bookmarkEnd w:id="80"/>
          </w:p>
          <w:p w:rsidR="00A43C03" w:rsidRPr="003F7678" w:rsidRDefault="00A43C03" w:rsidP="00A43C03">
            <w:pPr>
              <w:pStyle w:val="IAIOQ3"/>
              <w:rPr>
                <w:rFonts w:cs="Arial"/>
              </w:rPr>
            </w:pPr>
          </w:p>
          <w:p w:rsidR="00A43C03" w:rsidRPr="001A4C05" w:rsidRDefault="00A43C03" w:rsidP="00A43C03">
            <w:pPr>
              <w:pStyle w:val="IAIOQ3"/>
              <w:rPr>
                <w:rFonts w:cs="Arial"/>
                <w:b w:val="0"/>
                <w:sz w:val="22"/>
              </w:rPr>
            </w:pPr>
            <w:r w:rsidRPr="001A4C05">
              <w:rPr>
                <w:rFonts w:cs="Arial"/>
                <w:b w:val="0"/>
                <w:sz w:val="22"/>
              </w:rPr>
              <w:t xml:space="preserve">Option 1, 'Do nothing' - This would </w:t>
            </w:r>
            <w:r>
              <w:rPr>
                <w:rFonts w:cs="Arial"/>
                <w:b w:val="0"/>
                <w:sz w:val="22"/>
              </w:rPr>
              <w:t>not meet the 2</w:t>
            </w:r>
            <w:r w:rsidRPr="00A273AC">
              <w:rPr>
                <w:rFonts w:cs="Arial"/>
                <w:b w:val="0"/>
                <w:sz w:val="22"/>
                <w:vertAlign w:val="superscript"/>
              </w:rPr>
              <w:t>nd</w:t>
            </w:r>
            <w:r>
              <w:rPr>
                <w:rFonts w:cs="Arial"/>
                <w:b w:val="0"/>
                <w:sz w:val="22"/>
              </w:rPr>
              <w:t xml:space="preserve"> &amp; 3</w:t>
            </w:r>
            <w:r w:rsidRPr="00A273AC">
              <w:rPr>
                <w:rFonts w:cs="Arial"/>
                <w:b w:val="0"/>
                <w:sz w:val="22"/>
                <w:vertAlign w:val="superscript"/>
              </w:rPr>
              <w:t>rd</w:t>
            </w:r>
            <w:r>
              <w:rPr>
                <w:rFonts w:cs="Arial"/>
                <w:b w:val="0"/>
                <w:sz w:val="22"/>
              </w:rPr>
              <w:t xml:space="preserve"> policy objectives. I</w:t>
            </w:r>
            <w:r w:rsidRPr="001A4C05">
              <w:rPr>
                <w:rFonts w:cs="Arial"/>
                <w:b w:val="0"/>
                <w:sz w:val="22"/>
              </w:rPr>
              <w:t xml:space="preserve">ndustry </w:t>
            </w:r>
            <w:r>
              <w:rPr>
                <w:rFonts w:cs="Arial"/>
                <w:b w:val="0"/>
                <w:sz w:val="22"/>
              </w:rPr>
              <w:t xml:space="preserve">will not benefit from technological progress that reduces costs. This is because the current match test does not allow for compliance to be met through the ignition resistance of the overall composite of flame-resistant fillings and cover fabrics (i.e. the ignition resistance currently required of the cover fabric alone is unnaturally high). Therefore, manufacturers will </w:t>
            </w:r>
            <w:r w:rsidRPr="001A4C05">
              <w:rPr>
                <w:rFonts w:cs="Arial"/>
                <w:b w:val="0"/>
                <w:sz w:val="22"/>
              </w:rPr>
              <w:t xml:space="preserve">continue to use </w:t>
            </w:r>
            <w:r>
              <w:rPr>
                <w:rFonts w:cs="Arial"/>
                <w:b w:val="0"/>
                <w:sz w:val="22"/>
              </w:rPr>
              <w:t>more</w:t>
            </w:r>
            <w:r w:rsidRPr="001A4C05">
              <w:rPr>
                <w:rFonts w:cs="Arial"/>
                <w:b w:val="0"/>
                <w:sz w:val="22"/>
              </w:rPr>
              <w:t xml:space="preserve"> fla</w:t>
            </w:r>
            <w:r>
              <w:rPr>
                <w:rFonts w:cs="Arial"/>
                <w:b w:val="0"/>
                <w:sz w:val="22"/>
              </w:rPr>
              <w:t xml:space="preserve">me retardants than is necessary (with the new test). </w:t>
            </w:r>
            <w:r w:rsidR="002772A0">
              <w:rPr>
                <w:rFonts w:cs="Arial"/>
                <w:b w:val="0"/>
                <w:sz w:val="22"/>
              </w:rPr>
              <w:t>Also, in the course of researching the proposed new test, BIS has discovered that in some cases, fabrics which pass the current match test under test conditions do not always comply in practice, in the finished product. Which means this option is not viable for the 1</w:t>
            </w:r>
            <w:r w:rsidR="002772A0" w:rsidRPr="002772A0">
              <w:rPr>
                <w:rFonts w:cs="Arial"/>
                <w:b w:val="0"/>
                <w:sz w:val="22"/>
                <w:vertAlign w:val="superscript"/>
              </w:rPr>
              <w:t>st</w:t>
            </w:r>
            <w:r w:rsidR="002772A0">
              <w:rPr>
                <w:rFonts w:cs="Arial"/>
                <w:b w:val="0"/>
                <w:sz w:val="22"/>
              </w:rPr>
              <w:t xml:space="preserve"> objective either.</w:t>
            </w:r>
            <w:r w:rsidR="002245A2">
              <w:rPr>
                <w:rFonts w:cs="Arial"/>
                <w:b w:val="0"/>
                <w:sz w:val="22"/>
              </w:rPr>
              <w:t xml:space="preserve"> In addition, BIS intends to include currently unregulated materials within 40mm of the cover fabric, thereby making furniture safer, i.e. because some of these materials (such as some forms of webbing) can be highly flammable and negate the benefits of the current match test.</w:t>
            </w:r>
          </w:p>
          <w:p w:rsidR="00A43C03" w:rsidRDefault="00A43C03" w:rsidP="00A43C03">
            <w:pPr>
              <w:pStyle w:val="IAIOQ3"/>
              <w:rPr>
                <w:rFonts w:cs="Arial"/>
                <w:b w:val="0"/>
                <w:sz w:val="22"/>
              </w:rPr>
            </w:pPr>
          </w:p>
          <w:p w:rsidR="00A43C03" w:rsidRDefault="00A43C03" w:rsidP="00A43C03">
            <w:pPr>
              <w:pStyle w:val="IAIOQ3"/>
              <w:rPr>
                <w:rFonts w:cs="Arial"/>
                <w:b w:val="0"/>
                <w:sz w:val="22"/>
              </w:rPr>
            </w:pPr>
            <w:r w:rsidRPr="001A4C05">
              <w:rPr>
                <w:rFonts w:cs="Arial"/>
                <w:b w:val="0"/>
                <w:sz w:val="22"/>
              </w:rPr>
              <w:t xml:space="preserve">Option 2, </w:t>
            </w:r>
            <w:r>
              <w:rPr>
                <w:rFonts w:cs="Arial"/>
                <w:b w:val="0"/>
                <w:sz w:val="22"/>
              </w:rPr>
              <w:t xml:space="preserve">[preferred option] </w:t>
            </w:r>
            <w:r w:rsidRPr="001A4C05">
              <w:rPr>
                <w:rFonts w:cs="Arial"/>
                <w:b w:val="0"/>
                <w:sz w:val="22"/>
              </w:rPr>
              <w:t xml:space="preserve">'Introduce a new flammability test now' - Brings early and significant cost </w:t>
            </w:r>
            <w:r>
              <w:rPr>
                <w:rFonts w:cs="Arial"/>
                <w:b w:val="0"/>
                <w:sz w:val="22"/>
              </w:rPr>
              <w:t>reduction</w:t>
            </w:r>
            <w:r w:rsidRPr="001A4C05">
              <w:rPr>
                <w:rFonts w:cs="Arial"/>
                <w:b w:val="0"/>
                <w:sz w:val="22"/>
              </w:rPr>
              <w:t xml:space="preserve">s to industry and puts the government ahead of growing </w:t>
            </w:r>
            <w:r>
              <w:rPr>
                <w:rFonts w:cs="Arial"/>
                <w:b w:val="0"/>
                <w:sz w:val="22"/>
              </w:rPr>
              <w:t>concern</w:t>
            </w:r>
            <w:r w:rsidRPr="001A4C05">
              <w:rPr>
                <w:rFonts w:cs="Arial"/>
                <w:b w:val="0"/>
                <w:sz w:val="22"/>
              </w:rPr>
              <w:t xml:space="preserve"> over flame retardants. </w:t>
            </w:r>
            <w:r>
              <w:rPr>
                <w:rFonts w:cs="Arial"/>
                <w:b w:val="0"/>
                <w:sz w:val="22"/>
              </w:rPr>
              <w:t xml:space="preserve">Costs will be reduced in two ways: </w:t>
            </w:r>
          </w:p>
          <w:p w:rsidR="00A43C03" w:rsidRDefault="00A43C03" w:rsidP="00A43C03">
            <w:pPr>
              <w:pStyle w:val="IAIOQ3"/>
              <w:rPr>
                <w:rFonts w:cs="Arial"/>
                <w:b w:val="0"/>
                <w:sz w:val="22"/>
              </w:rPr>
            </w:pPr>
          </w:p>
          <w:p w:rsidR="00A43C03" w:rsidRDefault="00A43C03" w:rsidP="0039415E">
            <w:pPr>
              <w:pStyle w:val="IAIOQ3"/>
              <w:numPr>
                <w:ilvl w:val="0"/>
                <w:numId w:val="16"/>
              </w:numPr>
              <w:rPr>
                <w:rFonts w:cs="Arial"/>
                <w:b w:val="0"/>
                <w:sz w:val="22"/>
              </w:rPr>
            </w:pPr>
            <w:r>
              <w:rPr>
                <w:rFonts w:cs="Arial"/>
                <w:b w:val="0"/>
                <w:sz w:val="22"/>
              </w:rPr>
              <w:t xml:space="preserve">The tests have been amended to reflect changes in materials standards, reducing the amount and cost of chemicals currently used </w:t>
            </w:r>
            <w:r w:rsidRPr="00571942">
              <w:rPr>
                <w:rFonts w:cs="Arial"/>
                <w:b w:val="0"/>
                <w:sz w:val="22"/>
              </w:rPr>
              <w:t>in meeting the flammability requirement of the FFRs</w:t>
            </w:r>
            <w:r w:rsidR="002772A0">
              <w:rPr>
                <w:rFonts w:cs="Arial"/>
                <w:b w:val="0"/>
                <w:sz w:val="22"/>
              </w:rPr>
              <w:t>.</w:t>
            </w:r>
          </w:p>
          <w:p w:rsidR="00A43C03" w:rsidRPr="001A4C05" w:rsidRDefault="002245A2" w:rsidP="0039415E">
            <w:pPr>
              <w:pStyle w:val="IAIOQ3"/>
              <w:numPr>
                <w:ilvl w:val="0"/>
                <w:numId w:val="16"/>
              </w:numPr>
              <w:rPr>
                <w:rFonts w:cs="Arial"/>
                <w:b w:val="0"/>
                <w:sz w:val="22"/>
              </w:rPr>
            </w:pPr>
            <w:r>
              <w:rPr>
                <w:rFonts w:cs="Arial"/>
                <w:b w:val="0"/>
                <w:sz w:val="22"/>
              </w:rPr>
              <w:t>By i</w:t>
            </w:r>
            <w:r w:rsidR="00A43C03" w:rsidRPr="001A4C05">
              <w:rPr>
                <w:rFonts w:cs="Arial"/>
                <w:b w:val="0"/>
                <w:sz w:val="22"/>
              </w:rPr>
              <w:t>ntroduc</w:t>
            </w:r>
            <w:r>
              <w:rPr>
                <w:rFonts w:cs="Arial"/>
                <w:b w:val="0"/>
                <w:sz w:val="22"/>
              </w:rPr>
              <w:t>ing</w:t>
            </w:r>
            <w:r w:rsidR="00A43C03" w:rsidRPr="001A4C05">
              <w:rPr>
                <w:rFonts w:cs="Arial"/>
                <w:b w:val="0"/>
                <w:sz w:val="22"/>
              </w:rPr>
              <w:t xml:space="preserve"> a change to the cigarette test, effectively excluding most fabrics (on the basis </w:t>
            </w:r>
            <w:r>
              <w:rPr>
                <w:rFonts w:cs="Arial"/>
                <w:b w:val="0"/>
                <w:sz w:val="22"/>
              </w:rPr>
              <w:t>if they pass the match test, they will automatically pass the cigarette</w:t>
            </w:r>
            <w:r w:rsidR="00A43C03" w:rsidRPr="001A4C05">
              <w:rPr>
                <w:rFonts w:cs="Arial"/>
                <w:b w:val="0"/>
                <w:sz w:val="22"/>
              </w:rPr>
              <w:t xml:space="preserve"> the test)</w:t>
            </w:r>
            <w:r w:rsidR="00A43C03">
              <w:rPr>
                <w:rFonts w:cs="Arial"/>
                <w:b w:val="0"/>
                <w:sz w:val="22"/>
              </w:rPr>
              <w:t>, bringing further savings to industry</w:t>
            </w:r>
            <w:r w:rsidR="00A43C03" w:rsidRPr="001A4C05">
              <w:rPr>
                <w:rFonts w:cs="Arial"/>
                <w:b w:val="0"/>
                <w:sz w:val="22"/>
              </w:rPr>
              <w:t>.</w:t>
            </w:r>
          </w:p>
          <w:p w:rsidR="00A43C03" w:rsidRDefault="00A43C03" w:rsidP="00A43C03">
            <w:pPr>
              <w:pStyle w:val="IAIOQ3"/>
              <w:rPr>
                <w:rFonts w:cs="Arial"/>
                <w:b w:val="0"/>
                <w:sz w:val="22"/>
              </w:rPr>
            </w:pPr>
          </w:p>
          <w:p w:rsidR="00A43C03" w:rsidRDefault="00A43C03" w:rsidP="002245A2">
            <w:pPr>
              <w:pStyle w:val="IAIOQ3"/>
              <w:rPr>
                <w:rFonts w:cs="Arial"/>
              </w:rPr>
            </w:pPr>
            <w:r w:rsidRPr="001A4C05">
              <w:rPr>
                <w:rFonts w:cs="Arial"/>
                <w:b w:val="0"/>
                <w:sz w:val="22"/>
              </w:rPr>
              <w:t xml:space="preserve">Option </w:t>
            </w:r>
            <w:r>
              <w:rPr>
                <w:rFonts w:cs="Arial"/>
                <w:b w:val="0"/>
                <w:sz w:val="22"/>
              </w:rPr>
              <w:t>3</w:t>
            </w:r>
            <w:r w:rsidRPr="001A4C05">
              <w:rPr>
                <w:rFonts w:cs="Arial"/>
                <w:b w:val="0"/>
                <w:sz w:val="22"/>
              </w:rPr>
              <w:t xml:space="preserve">, 'Implement all Regulatory changes at the same time' - Delay the new flammability test and cigarette test amendments </w:t>
            </w:r>
            <w:r>
              <w:rPr>
                <w:rFonts w:cs="Arial"/>
                <w:b w:val="0"/>
                <w:sz w:val="22"/>
              </w:rPr>
              <w:t xml:space="preserve">by one year </w:t>
            </w:r>
            <w:r w:rsidRPr="001A4C05">
              <w:rPr>
                <w:rFonts w:cs="Arial"/>
                <w:b w:val="0"/>
                <w:sz w:val="22"/>
              </w:rPr>
              <w:t>to</w:t>
            </w:r>
            <w:r>
              <w:rPr>
                <w:rFonts w:cs="Arial"/>
                <w:b w:val="0"/>
                <w:sz w:val="22"/>
              </w:rPr>
              <w:t xml:space="preserve"> 2016</w:t>
            </w:r>
            <w:r w:rsidRPr="001A4C05">
              <w:rPr>
                <w:rFonts w:cs="Arial"/>
                <w:b w:val="0"/>
                <w:sz w:val="22"/>
              </w:rPr>
              <w:t xml:space="preserve"> so they are implemented at the same time as the rest of the amendments to the</w:t>
            </w:r>
            <w:r>
              <w:rPr>
                <w:rFonts w:cs="Arial"/>
                <w:b w:val="0"/>
                <w:sz w:val="22"/>
              </w:rPr>
              <w:t xml:space="preserve"> FFR</w:t>
            </w:r>
            <w:r w:rsidRPr="001A4C05">
              <w:rPr>
                <w:rFonts w:cs="Arial"/>
                <w:b w:val="0"/>
                <w:sz w:val="22"/>
              </w:rPr>
              <w:t>s. T</w:t>
            </w:r>
            <w:r>
              <w:rPr>
                <w:rFonts w:cs="Arial"/>
                <w:b w:val="0"/>
                <w:sz w:val="22"/>
              </w:rPr>
              <w:t>ransition costs may be reduced compared to option 2 but t</w:t>
            </w:r>
            <w:r w:rsidRPr="001A4C05">
              <w:rPr>
                <w:rFonts w:cs="Arial"/>
                <w:b w:val="0"/>
                <w:sz w:val="22"/>
              </w:rPr>
              <w:t>his would delay the majority of savings, meaning industry would benefit later than for option 2.</w:t>
            </w:r>
            <w:r>
              <w:rPr>
                <w:rFonts w:cs="Arial"/>
                <w:b w:val="0"/>
                <w:sz w:val="22"/>
              </w:rPr>
              <w:t xml:space="preserve"> </w:t>
            </w:r>
          </w:p>
          <w:p w:rsidR="00A43C03" w:rsidRDefault="00A43C03" w:rsidP="00A43C03">
            <w:pPr>
              <w:pStyle w:val="IAIOQ3"/>
              <w:rPr>
                <w:rFonts w:cs="Arial"/>
                <w:b w:val="0"/>
                <w:sz w:val="22"/>
              </w:rPr>
            </w:pPr>
            <w:r w:rsidRPr="001A4C05">
              <w:rPr>
                <w:rFonts w:cs="Arial"/>
                <w:b w:val="0"/>
                <w:sz w:val="22"/>
              </w:rPr>
              <w:t xml:space="preserve">Option </w:t>
            </w:r>
            <w:r>
              <w:rPr>
                <w:rFonts w:cs="Arial"/>
                <w:b w:val="0"/>
                <w:sz w:val="22"/>
              </w:rPr>
              <w:t>4</w:t>
            </w:r>
            <w:r w:rsidRPr="001A4C05">
              <w:rPr>
                <w:rFonts w:cs="Arial"/>
                <w:b w:val="0"/>
                <w:sz w:val="22"/>
              </w:rPr>
              <w:t xml:space="preserve">, 'Revoke the Regulations' - This would mean relying on the existing EU safety provisions which have lower fire resistance requirements than the UK's. This would lead to an increase in fire deaths and injuries compared to the ‘do nothing’ baseline. </w:t>
            </w:r>
            <w:r>
              <w:rPr>
                <w:rFonts w:cs="Arial"/>
                <w:b w:val="0"/>
                <w:sz w:val="22"/>
              </w:rPr>
              <w:t>This option was not taken further and is not costed in this Impact Assessment given the risk to consumer safety, as detailed in the Rationale for Intervention below.</w:t>
            </w:r>
          </w:p>
          <w:p w:rsidR="00A43C03" w:rsidRPr="001A4C05" w:rsidRDefault="00A43C03" w:rsidP="00A43C03">
            <w:pPr>
              <w:pStyle w:val="IAIOQ3"/>
              <w:rPr>
                <w:rFonts w:cs="Arial"/>
                <w:b w:val="0"/>
                <w:sz w:val="22"/>
              </w:rPr>
            </w:pPr>
          </w:p>
          <w:p w:rsidR="00A43C03" w:rsidRDefault="00A43C03" w:rsidP="00A43C03">
            <w:pPr>
              <w:pStyle w:val="IATableLines"/>
              <w:rPr>
                <w:rFonts w:cs="Arial"/>
              </w:rPr>
            </w:pPr>
          </w:p>
          <w:p w:rsidR="002245A2" w:rsidRDefault="002245A2" w:rsidP="00A43C03">
            <w:pPr>
              <w:pStyle w:val="IATableLines"/>
              <w:rPr>
                <w:rFonts w:cs="Arial"/>
              </w:rPr>
            </w:pPr>
          </w:p>
          <w:p w:rsidR="002245A2" w:rsidRDefault="002245A2" w:rsidP="00A43C03">
            <w:pPr>
              <w:pStyle w:val="IATableLines"/>
              <w:rPr>
                <w:rFonts w:cs="Arial"/>
              </w:rPr>
            </w:pPr>
          </w:p>
          <w:p w:rsidR="002245A2" w:rsidRDefault="002245A2" w:rsidP="00A43C03">
            <w:pPr>
              <w:pStyle w:val="IATableLines"/>
              <w:rPr>
                <w:rFonts w:cs="Arial"/>
              </w:rPr>
            </w:pPr>
          </w:p>
          <w:p w:rsidR="002245A2" w:rsidRPr="003F7678" w:rsidRDefault="002245A2" w:rsidP="00A43C03">
            <w:pPr>
              <w:pStyle w:val="IATableLines"/>
              <w:rPr>
                <w:rFonts w:cs="Arial"/>
              </w:rPr>
            </w:pPr>
          </w:p>
        </w:tc>
      </w:tr>
    </w:tbl>
    <w:p w:rsidR="00A43C03" w:rsidRPr="003F7678" w:rsidRDefault="00A43C03" w:rsidP="00A43C03">
      <w:pPr>
        <w:pStyle w:val="IASpacer2"/>
        <w:rPr>
          <w:rFonts w:cs="Arial"/>
        </w:rPr>
      </w:pPr>
    </w:p>
    <w:tbl>
      <w:tblPr>
        <w:tblW w:w="51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286"/>
        <w:gridCol w:w="985"/>
        <w:gridCol w:w="985"/>
        <w:gridCol w:w="985"/>
        <w:gridCol w:w="347"/>
        <w:gridCol w:w="636"/>
        <w:gridCol w:w="1277"/>
      </w:tblGrid>
      <w:tr w:rsidR="00A43C03" w:rsidRPr="003F7678" w:rsidTr="00A43C03">
        <w:tc>
          <w:tcPr>
            <w:tcW w:w="5000" w:type="pct"/>
            <w:gridSpan w:val="7"/>
          </w:tcPr>
          <w:p w:rsidR="00A43C03" w:rsidRPr="003F7678" w:rsidRDefault="00A43C03" w:rsidP="00A43C03">
            <w:pPr>
              <w:pStyle w:val="IATableLabel"/>
              <w:rPr>
                <w:rFonts w:cs="Arial"/>
                <w:b w:val="0"/>
                <w:sz w:val="22"/>
                <w:szCs w:val="22"/>
              </w:rPr>
            </w:pPr>
            <w:r w:rsidRPr="003F7678">
              <w:rPr>
                <w:rFonts w:cs="Arial"/>
              </w:rPr>
              <w:t xml:space="preserve">Will </w:t>
            </w:r>
            <w:r w:rsidRPr="003F7678">
              <w:rPr>
                <w:rFonts w:cs="Arial"/>
                <w:color w:val="auto"/>
              </w:rPr>
              <w:t xml:space="preserve">the policy be reviewed?  </w:t>
            </w:r>
            <w:r>
              <w:rPr>
                <w:rFonts w:cs="Arial"/>
                <w:b w:val="0"/>
                <w:color w:val="auto"/>
                <w:sz w:val="22"/>
                <w:szCs w:val="22"/>
              </w:rPr>
              <w:t>Yes</w:t>
            </w:r>
            <w:r w:rsidRPr="003F7678">
              <w:rPr>
                <w:rFonts w:cs="Arial"/>
                <w:b w:val="0"/>
                <w:color w:val="auto"/>
                <w:sz w:val="22"/>
                <w:szCs w:val="22"/>
              </w:rPr>
              <w:t xml:space="preserve">. </w:t>
            </w:r>
            <w:r w:rsidRPr="003F7678">
              <w:rPr>
                <w:rFonts w:cs="Arial"/>
                <w:color w:val="auto"/>
                <w:sz w:val="22"/>
                <w:szCs w:val="22"/>
              </w:rPr>
              <w:t xml:space="preserve"> </w:t>
            </w:r>
            <w:r w:rsidRPr="003F7678">
              <w:rPr>
                <w:rFonts w:cs="Arial"/>
                <w:color w:val="auto"/>
              </w:rPr>
              <w:t xml:space="preserve"> If applicable, set review date:  </w:t>
            </w:r>
            <w:r w:rsidRPr="003F7678">
              <w:rPr>
                <w:rStyle w:val="IAIOReviewYearChar"/>
                <w:rFonts w:cs="Arial"/>
                <w:color w:val="auto"/>
              </w:rPr>
              <w:t xml:space="preserve"> 20</w:t>
            </w:r>
            <w:r>
              <w:rPr>
                <w:rStyle w:val="IAIOReviewYearChar"/>
                <w:rFonts w:cs="Arial"/>
                <w:color w:val="auto"/>
              </w:rPr>
              <w:t>20.</w:t>
            </w:r>
          </w:p>
        </w:tc>
      </w:tr>
      <w:tr w:rsidR="00A43C03" w:rsidRPr="003F7678" w:rsidTr="00A43C03">
        <w:trPr>
          <w:trHeight w:hRule="exact" w:val="340"/>
        </w:trPr>
        <w:tc>
          <w:tcPr>
            <w:tcW w:w="3455" w:type="pct"/>
            <w:gridSpan w:val="3"/>
            <w:shd w:val="clear" w:color="auto" w:fill="E0E0E0"/>
            <w:vAlign w:val="center"/>
          </w:tcPr>
          <w:p w:rsidR="00A43C03" w:rsidRPr="003F7678" w:rsidRDefault="00A43C03" w:rsidP="00A43C03">
            <w:pPr>
              <w:pStyle w:val="IATableText"/>
              <w:spacing w:before="0" w:after="0"/>
              <w:rPr>
                <w:rFonts w:cs="Arial"/>
                <w:sz w:val="20"/>
              </w:rPr>
            </w:pPr>
            <w:bookmarkStart w:id="82" w:name="Summary4"/>
            <w:bookmarkEnd w:id="81"/>
            <w:r w:rsidRPr="003F7678">
              <w:rPr>
                <w:rFonts w:cs="Arial"/>
                <w:iCs/>
                <w:sz w:val="20"/>
              </w:rPr>
              <w:t>Does implementation go beyond minimum EU requirements?</w:t>
            </w:r>
          </w:p>
        </w:tc>
        <w:tc>
          <w:tcPr>
            <w:tcW w:w="1545" w:type="pct"/>
            <w:gridSpan w:val="4"/>
            <w:shd w:val="clear" w:color="auto" w:fill="E0E0E0"/>
            <w:vAlign w:val="center"/>
          </w:tcPr>
          <w:p w:rsidR="00A43C03" w:rsidRPr="003F7678" w:rsidRDefault="00A43C03" w:rsidP="00A43C03">
            <w:pPr>
              <w:pStyle w:val="IAIOCheckEU"/>
              <w:ind w:left="0"/>
              <w:rPr>
                <w:rFonts w:cs="Arial"/>
              </w:rPr>
            </w:pPr>
            <w:r>
              <w:rPr>
                <w:rFonts w:cs="Arial"/>
              </w:rPr>
              <w:t xml:space="preserve">  Yes</w:t>
            </w:r>
          </w:p>
        </w:tc>
      </w:tr>
      <w:tr w:rsidR="00A43C03" w:rsidRPr="003F7678" w:rsidTr="00A43C03">
        <w:trPr>
          <w:trHeight w:val="460"/>
        </w:trPr>
        <w:tc>
          <w:tcPr>
            <w:tcW w:w="2517" w:type="pct"/>
            <w:shd w:val="clear" w:color="auto" w:fill="E0E0E0"/>
            <w:vAlign w:val="center"/>
          </w:tcPr>
          <w:p w:rsidR="00A43C03" w:rsidRPr="003F7678" w:rsidRDefault="00A43C03" w:rsidP="00A43C03">
            <w:pPr>
              <w:pStyle w:val="IATableText"/>
              <w:spacing w:before="0" w:after="0"/>
              <w:rPr>
                <w:rFonts w:cs="Arial"/>
                <w:sz w:val="20"/>
              </w:rPr>
            </w:pPr>
            <w:r w:rsidRPr="003F7678">
              <w:rPr>
                <w:rFonts w:cs="Arial"/>
                <w:sz w:val="20"/>
              </w:rPr>
              <w:t>Are any of these organisations in scope? If Micros not exempted set out reason in Evidence Base.</w:t>
            </w:r>
          </w:p>
        </w:tc>
        <w:tc>
          <w:tcPr>
            <w:tcW w:w="469" w:type="pct"/>
            <w:shd w:val="clear" w:color="auto" w:fill="E0E0E0"/>
            <w:vAlign w:val="center"/>
          </w:tcPr>
          <w:p w:rsidR="00A43C03" w:rsidRPr="003F7678" w:rsidRDefault="00A43C03" w:rsidP="00A43C03">
            <w:pPr>
              <w:pStyle w:val="IATableLines"/>
              <w:rPr>
                <w:rFonts w:cs="Arial"/>
                <w:b/>
                <w:color w:val="000000"/>
                <w:sz w:val="20"/>
              </w:rPr>
            </w:pPr>
            <w:r w:rsidRPr="003F7678">
              <w:rPr>
                <w:rFonts w:cs="Arial"/>
                <w:b/>
                <w:color w:val="000000"/>
                <w:sz w:val="20"/>
              </w:rPr>
              <w:t>Micro</w:t>
            </w:r>
            <w:r>
              <w:rPr>
                <w:rFonts w:cs="Arial"/>
                <w:b/>
                <w:color w:val="000000"/>
                <w:sz w:val="20"/>
              </w:rPr>
              <w:br/>
            </w:r>
            <w:r>
              <w:rPr>
                <w:rStyle w:val="IAIOCheckMicroChar"/>
                <w:rFonts w:cs="Arial"/>
                <w:b w:val="0"/>
                <w:sz w:val="20"/>
              </w:rPr>
              <w:t>Yes</w:t>
            </w:r>
          </w:p>
        </w:tc>
        <w:tc>
          <w:tcPr>
            <w:tcW w:w="469" w:type="pct"/>
            <w:shd w:val="clear" w:color="auto" w:fill="E0E0E0"/>
            <w:vAlign w:val="center"/>
          </w:tcPr>
          <w:p w:rsidR="00A43C03" w:rsidRPr="003F7678" w:rsidRDefault="00A43C03" w:rsidP="00A43C03">
            <w:pPr>
              <w:pStyle w:val="IATableLines"/>
              <w:rPr>
                <w:rFonts w:cs="Arial"/>
                <w:b/>
                <w:color w:val="000000"/>
                <w:sz w:val="20"/>
              </w:rPr>
            </w:pPr>
            <w:r w:rsidRPr="003F7678">
              <w:rPr>
                <w:rFonts w:cs="Arial"/>
                <w:b/>
                <w:color w:val="000000"/>
                <w:sz w:val="20"/>
              </w:rPr>
              <w:t>&lt; 20</w:t>
            </w:r>
          </w:p>
          <w:p w:rsidR="00A43C03" w:rsidRPr="003F7678" w:rsidRDefault="00A43C03" w:rsidP="00A43C03">
            <w:pPr>
              <w:pStyle w:val="IAIOCheck20"/>
              <w:rPr>
                <w:rFonts w:cs="Arial"/>
                <w:b/>
                <w:color w:val="000000"/>
              </w:rPr>
            </w:pPr>
            <w:r w:rsidRPr="003F7678">
              <w:rPr>
                <w:rFonts w:cs="Arial"/>
                <w:b/>
                <w:color w:val="000000"/>
              </w:rPr>
              <w:t xml:space="preserve"> </w:t>
            </w:r>
            <w:r>
              <w:rPr>
                <w:rFonts w:cs="Arial"/>
              </w:rPr>
              <w:t>Yes</w:t>
            </w:r>
          </w:p>
        </w:tc>
        <w:tc>
          <w:tcPr>
            <w:tcW w:w="469" w:type="pct"/>
            <w:shd w:val="clear" w:color="auto" w:fill="E0E0E0"/>
            <w:vAlign w:val="center"/>
          </w:tcPr>
          <w:p w:rsidR="00A43C03" w:rsidRPr="003F7678" w:rsidRDefault="00A43C03" w:rsidP="00A43C03">
            <w:pPr>
              <w:pStyle w:val="IATableLines"/>
              <w:rPr>
                <w:rFonts w:cs="Arial"/>
                <w:b/>
                <w:color w:val="000000"/>
                <w:sz w:val="20"/>
              </w:rPr>
            </w:pPr>
            <w:r w:rsidRPr="003F7678">
              <w:rPr>
                <w:rFonts w:cs="Arial"/>
                <w:b/>
                <w:color w:val="000000"/>
                <w:sz w:val="20"/>
              </w:rPr>
              <w:t>Small</w:t>
            </w:r>
            <w:r>
              <w:rPr>
                <w:rFonts w:cs="Arial"/>
                <w:b/>
                <w:color w:val="000000"/>
                <w:sz w:val="20"/>
              </w:rPr>
              <w:br/>
            </w:r>
            <w:r>
              <w:rPr>
                <w:rStyle w:val="IAIOCheckSmallChar"/>
                <w:rFonts w:cs="Arial"/>
                <w:b w:val="0"/>
                <w:sz w:val="20"/>
              </w:rPr>
              <w:t>Yes</w:t>
            </w:r>
          </w:p>
        </w:tc>
        <w:tc>
          <w:tcPr>
            <w:tcW w:w="468" w:type="pct"/>
            <w:gridSpan w:val="2"/>
            <w:shd w:val="clear" w:color="auto" w:fill="E0E0E0"/>
            <w:vAlign w:val="center"/>
          </w:tcPr>
          <w:p w:rsidR="00A43C03" w:rsidRPr="003F7678" w:rsidRDefault="00A43C03" w:rsidP="00A43C03">
            <w:pPr>
              <w:pStyle w:val="IATableLines"/>
              <w:rPr>
                <w:rFonts w:cs="Arial"/>
                <w:b/>
                <w:color w:val="000000"/>
                <w:sz w:val="20"/>
              </w:rPr>
            </w:pPr>
            <w:r w:rsidRPr="003F7678">
              <w:rPr>
                <w:rFonts w:cs="Arial"/>
                <w:b/>
                <w:color w:val="000000"/>
                <w:sz w:val="20"/>
              </w:rPr>
              <w:t>Medium</w:t>
            </w:r>
            <w:r>
              <w:rPr>
                <w:rStyle w:val="IAIOCheckMediumChar"/>
                <w:b w:val="0"/>
              </w:rPr>
              <w:br/>
              <w:t>Yes</w:t>
            </w:r>
          </w:p>
        </w:tc>
        <w:tc>
          <w:tcPr>
            <w:tcW w:w="608" w:type="pct"/>
            <w:shd w:val="clear" w:color="auto" w:fill="E0E0E0"/>
            <w:vAlign w:val="center"/>
          </w:tcPr>
          <w:p w:rsidR="00A43C03" w:rsidRPr="00530746" w:rsidRDefault="00A43C03" w:rsidP="00A43C03">
            <w:pPr>
              <w:pStyle w:val="IATableLines"/>
              <w:rPr>
                <w:rFonts w:cs="Arial"/>
                <w:color w:val="000000"/>
                <w:sz w:val="20"/>
              </w:rPr>
            </w:pPr>
            <w:r w:rsidRPr="003F7678">
              <w:rPr>
                <w:rFonts w:cs="Arial"/>
                <w:b/>
                <w:color w:val="000000"/>
                <w:sz w:val="20"/>
              </w:rPr>
              <w:t>Large</w:t>
            </w:r>
            <w:r>
              <w:rPr>
                <w:rFonts w:cs="Arial"/>
                <w:b/>
                <w:color w:val="000000"/>
                <w:sz w:val="20"/>
              </w:rPr>
              <w:br/>
            </w:r>
            <w:r>
              <w:rPr>
                <w:rFonts w:cs="Arial"/>
                <w:color w:val="000000"/>
                <w:sz w:val="20"/>
              </w:rPr>
              <w:t>Yes</w:t>
            </w:r>
          </w:p>
        </w:tc>
      </w:tr>
      <w:tr w:rsidR="00A43C03" w:rsidRPr="003F7678" w:rsidTr="00A43C03">
        <w:trPr>
          <w:trHeight w:hRule="exact" w:val="567"/>
        </w:trPr>
        <w:tc>
          <w:tcPr>
            <w:tcW w:w="3455" w:type="pct"/>
            <w:gridSpan w:val="3"/>
            <w:shd w:val="clear" w:color="auto" w:fill="E0E0E0"/>
            <w:vAlign w:val="center"/>
          </w:tcPr>
          <w:p w:rsidR="00A43C03" w:rsidRPr="003F7678" w:rsidRDefault="00A43C03" w:rsidP="00A43C03">
            <w:pPr>
              <w:pStyle w:val="IATableText"/>
              <w:spacing w:before="0" w:after="0"/>
              <w:rPr>
                <w:rFonts w:eastAsia="Times New Roman" w:cs="Arial"/>
                <w:sz w:val="16"/>
                <w:szCs w:val="16"/>
              </w:rPr>
            </w:pPr>
            <w:r w:rsidRPr="003F7678">
              <w:rPr>
                <w:rFonts w:cs="Arial"/>
                <w:sz w:val="20"/>
              </w:rPr>
              <w:t>What is the CO</w:t>
            </w:r>
            <w:r w:rsidRPr="003F7678">
              <w:rPr>
                <w:rFonts w:cs="Arial"/>
                <w:sz w:val="20"/>
                <w:vertAlign w:val="subscript"/>
              </w:rPr>
              <w:t>2</w:t>
            </w:r>
            <w:r w:rsidRPr="003F7678">
              <w:rPr>
                <w:rFonts w:cs="Arial"/>
                <w:sz w:val="20"/>
              </w:rPr>
              <w:t xml:space="preserve"> equivalent change in greenhouse gas emissions? </w:t>
            </w:r>
            <w:r w:rsidRPr="003F7678">
              <w:rPr>
                <w:rFonts w:cs="Arial"/>
                <w:sz w:val="20"/>
              </w:rPr>
              <w:br/>
              <w:t>(Million tonnes CO</w:t>
            </w:r>
            <w:r w:rsidRPr="003F7678">
              <w:rPr>
                <w:rFonts w:cs="Arial"/>
                <w:sz w:val="20"/>
                <w:vertAlign w:val="subscript"/>
              </w:rPr>
              <w:t>2</w:t>
            </w:r>
            <w:r w:rsidRPr="003F7678">
              <w:rPr>
                <w:rFonts w:cs="Arial"/>
                <w:sz w:val="20"/>
              </w:rPr>
              <w:t xml:space="preserve"> equivalent)</w:t>
            </w:r>
            <w:r w:rsidRPr="003F7678">
              <w:rPr>
                <w:rFonts w:cs="Arial"/>
                <w:spacing w:val="0"/>
                <w:sz w:val="18"/>
              </w:rPr>
              <w:t xml:space="preserve">  </w:t>
            </w:r>
          </w:p>
        </w:tc>
        <w:tc>
          <w:tcPr>
            <w:tcW w:w="634" w:type="pct"/>
            <w:gridSpan w:val="2"/>
            <w:shd w:val="clear" w:color="auto" w:fill="E0E0E0"/>
          </w:tcPr>
          <w:p w:rsidR="00A43C03" w:rsidRPr="003F7678" w:rsidRDefault="00A43C03" w:rsidP="00A43C03">
            <w:pPr>
              <w:pStyle w:val="IATableLabel"/>
              <w:rPr>
                <w:rFonts w:cs="Arial"/>
              </w:rPr>
            </w:pPr>
            <w:r w:rsidRPr="003F7678">
              <w:rPr>
                <w:rFonts w:cs="Arial"/>
              </w:rPr>
              <w:t xml:space="preserve">Traded:   </w:t>
            </w:r>
            <w:r w:rsidRPr="003F7678">
              <w:rPr>
                <w:rFonts w:cs="Arial"/>
              </w:rPr>
              <w:br/>
            </w:r>
            <w:r>
              <w:rPr>
                <w:rStyle w:val="IAIOCO2TradedChar"/>
                <w:rFonts w:cs="Arial"/>
                <w:sz w:val="20"/>
              </w:rPr>
              <w:t>N/A</w:t>
            </w:r>
          </w:p>
        </w:tc>
        <w:tc>
          <w:tcPr>
            <w:tcW w:w="911" w:type="pct"/>
            <w:gridSpan w:val="2"/>
            <w:shd w:val="clear" w:color="auto" w:fill="E0E0E0"/>
          </w:tcPr>
          <w:p w:rsidR="00A43C03" w:rsidRPr="003F7678" w:rsidRDefault="00A43C03" w:rsidP="00A43C03">
            <w:pPr>
              <w:pStyle w:val="IATableLabel"/>
              <w:rPr>
                <w:rFonts w:cs="Arial"/>
              </w:rPr>
            </w:pPr>
            <w:r w:rsidRPr="003F7678">
              <w:rPr>
                <w:rFonts w:cs="Arial"/>
              </w:rPr>
              <w:t xml:space="preserve">Non-traded:   </w:t>
            </w:r>
            <w:r w:rsidRPr="003F7678">
              <w:rPr>
                <w:rFonts w:cs="Arial"/>
              </w:rPr>
              <w:br/>
            </w:r>
            <w:r>
              <w:rPr>
                <w:rStyle w:val="IAIOCO2TradedChar"/>
                <w:rFonts w:cs="Arial"/>
                <w:sz w:val="20"/>
              </w:rPr>
              <w:t>N/A</w:t>
            </w:r>
          </w:p>
        </w:tc>
      </w:tr>
    </w:tbl>
    <w:p w:rsidR="00A43C03" w:rsidRDefault="00A43C03" w:rsidP="00A43C03">
      <w:pPr>
        <w:pStyle w:val="IASign-off"/>
        <w:rPr>
          <w:rFonts w:cs="Arial"/>
          <w:sz w:val="20"/>
        </w:rPr>
      </w:pPr>
      <w:bookmarkStart w:id="83" w:name="SignOfftext"/>
      <w:bookmarkEnd w:id="82"/>
    </w:p>
    <w:p w:rsidR="00A43C03" w:rsidRPr="003F7678" w:rsidRDefault="00A43C03" w:rsidP="00A43C03">
      <w:pPr>
        <w:pStyle w:val="IASign-off"/>
        <w:rPr>
          <w:rFonts w:cs="Arial"/>
          <w:sz w:val="20"/>
        </w:rPr>
      </w:pPr>
      <w:r w:rsidRPr="003F7678">
        <w:rPr>
          <w:rFonts w:cs="Arial"/>
          <w:sz w:val="20"/>
        </w:rPr>
        <w:t>I have read the Impact Assessment and I am satisfied that, given the available evidence, it represents a reasonable view of the likely costs, benefits and impact of the leading options.</w:t>
      </w:r>
    </w:p>
    <w:tbl>
      <w:tblPr>
        <w:tblW w:w="5115" w:type="pct"/>
        <w:tblLayout w:type="fixed"/>
        <w:tblCellMar>
          <w:left w:w="0" w:type="dxa"/>
          <w:right w:w="0" w:type="dxa"/>
        </w:tblCellMar>
        <w:tblLook w:val="0000" w:firstRow="0" w:lastRow="0" w:firstColumn="0" w:lastColumn="0" w:noHBand="0" w:noVBand="0"/>
      </w:tblPr>
      <w:tblGrid>
        <w:gridCol w:w="4798"/>
        <w:gridCol w:w="2689"/>
        <w:gridCol w:w="704"/>
        <w:gridCol w:w="2249"/>
      </w:tblGrid>
      <w:tr w:rsidR="00A43C03" w:rsidRPr="003F7678" w:rsidTr="00A43C03">
        <w:trPr>
          <w:trHeight w:hRule="exact" w:val="767"/>
        </w:trPr>
        <w:tc>
          <w:tcPr>
            <w:tcW w:w="2298" w:type="pct"/>
            <w:vAlign w:val="bottom"/>
          </w:tcPr>
          <w:p w:rsidR="00A43C03" w:rsidRPr="003F7678" w:rsidRDefault="00A43C03" w:rsidP="00A43C03">
            <w:pPr>
              <w:pStyle w:val="IASignature"/>
              <w:tabs>
                <w:tab w:val="clear" w:pos="6804"/>
                <w:tab w:val="left" w:leader="dot" w:pos="7380"/>
              </w:tabs>
              <w:rPr>
                <w:rFonts w:cs="Arial"/>
              </w:rPr>
            </w:pPr>
            <w:r w:rsidRPr="003F7678">
              <w:rPr>
                <w:rFonts w:cs="Arial"/>
              </w:rPr>
              <w:t xml:space="preserve">Signed by the responsible </w:t>
            </w:r>
            <w:bookmarkStart w:id="84" w:name="IASignedBy"/>
            <w:r w:rsidRPr="003F7678">
              <w:rPr>
                <w:rFonts w:cs="Arial"/>
              </w:rPr>
              <w:fldChar w:fldCharType="begin">
                <w:ffData>
                  <w:name w:val="IASignedBy"/>
                  <w:enabled/>
                  <w:calcOnExit w:val="0"/>
                  <w:ddList>
                    <w:listEntry w:val="SELECT SIGNATORY"/>
                    <w:listEntry w:val="Chair"/>
                    <w:listEntry w:val="Chief Executive"/>
                    <w:listEntry w:val="Minister"/>
                  </w:ddList>
                </w:ffData>
              </w:fldChar>
            </w:r>
            <w:r w:rsidRPr="003F7678">
              <w:rPr>
                <w:rFonts w:cs="Arial"/>
              </w:rPr>
              <w:instrText xml:space="preserve"> FORMDROPDOWN </w:instrText>
            </w:r>
            <w:r w:rsidR="00E27371">
              <w:rPr>
                <w:rFonts w:cs="Arial"/>
              </w:rPr>
            </w:r>
            <w:r w:rsidR="00E27371">
              <w:rPr>
                <w:rFonts w:cs="Arial"/>
              </w:rPr>
              <w:fldChar w:fldCharType="separate"/>
            </w:r>
            <w:r w:rsidRPr="003F7678">
              <w:rPr>
                <w:rFonts w:cs="Arial"/>
              </w:rPr>
              <w:fldChar w:fldCharType="end"/>
            </w:r>
            <w:bookmarkEnd w:id="84"/>
            <w:r w:rsidRPr="003F7678">
              <w:rPr>
                <w:rFonts w:cs="Arial"/>
              </w:rPr>
              <w:t>:</w:t>
            </w:r>
          </w:p>
        </w:tc>
        <w:tc>
          <w:tcPr>
            <w:tcW w:w="1288" w:type="pct"/>
            <w:tcBorders>
              <w:bottom w:val="dashSmallGap" w:sz="4" w:space="0" w:color="auto"/>
            </w:tcBorders>
            <w:vAlign w:val="bottom"/>
          </w:tcPr>
          <w:p w:rsidR="00A43C03" w:rsidRPr="003F7678" w:rsidRDefault="00A43C03" w:rsidP="00A43C03">
            <w:pPr>
              <w:pStyle w:val="IAIOtextSign"/>
              <w:rPr>
                <w:rFonts w:cs="Arial"/>
              </w:rPr>
            </w:pPr>
          </w:p>
        </w:tc>
        <w:tc>
          <w:tcPr>
            <w:tcW w:w="337" w:type="pct"/>
            <w:vAlign w:val="bottom"/>
          </w:tcPr>
          <w:p w:rsidR="00A43C03" w:rsidRPr="003F7678" w:rsidRDefault="00A43C03" w:rsidP="00A43C03">
            <w:pPr>
              <w:pStyle w:val="IASignature"/>
              <w:tabs>
                <w:tab w:val="clear" w:pos="6804"/>
                <w:tab w:val="left" w:leader="dot" w:pos="7380"/>
              </w:tabs>
              <w:rPr>
                <w:rFonts w:cs="Arial"/>
              </w:rPr>
            </w:pPr>
            <w:r w:rsidRPr="003F7678">
              <w:rPr>
                <w:rFonts w:cs="Arial"/>
              </w:rPr>
              <w:t> Date:</w:t>
            </w:r>
          </w:p>
        </w:tc>
        <w:bookmarkStart w:id="85" w:name="SigDate"/>
        <w:tc>
          <w:tcPr>
            <w:tcW w:w="1077" w:type="pct"/>
            <w:tcBorders>
              <w:bottom w:val="dashSmallGap" w:sz="4" w:space="0" w:color="auto"/>
            </w:tcBorders>
            <w:vAlign w:val="bottom"/>
          </w:tcPr>
          <w:p w:rsidR="00A43C03" w:rsidRPr="003F7678" w:rsidRDefault="00A43C03" w:rsidP="00A43C03">
            <w:pPr>
              <w:pStyle w:val="IAIOSigDate"/>
              <w:rPr>
                <w:rFonts w:cs="Arial"/>
              </w:rPr>
            </w:pPr>
            <w:r w:rsidRPr="003F7678">
              <w:rPr>
                <w:rFonts w:cs="Arial"/>
              </w:rPr>
              <w:fldChar w:fldCharType="begin">
                <w:ffData>
                  <w:name w:val="SigDate"/>
                  <w:enabled/>
                  <w:calcOnExit w:val="0"/>
                  <w:textInput/>
                </w:ffData>
              </w:fldChar>
            </w:r>
            <w:r w:rsidRPr="003F7678">
              <w:rPr>
                <w:rFonts w:cs="Arial"/>
              </w:rPr>
              <w:instrText xml:space="preserve"> FORMTEXT </w:instrText>
            </w:r>
            <w:r w:rsidRPr="003F7678">
              <w:rPr>
                <w:rFonts w:cs="Arial"/>
              </w:rPr>
            </w:r>
            <w:r w:rsidRPr="003F7678">
              <w:rPr>
                <w:rFonts w:cs="Arial"/>
              </w:rPr>
              <w:fldChar w:fldCharType="separate"/>
            </w:r>
            <w:r w:rsidRPr="003F7678">
              <w:rPr>
                <w:rFonts w:cs="Arial"/>
                <w:noProof/>
              </w:rPr>
              <w:t> </w:t>
            </w:r>
            <w:r w:rsidRPr="003F7678">
              <w:rPr>
                <w:rFonts w:cs="Arial"/>
                <w:noProof/>
              </w:rPr>
              <w:t> </w:t>
            </w:r>
            <w:r w:rsidRPr="003F7678">
              <w:rPr>
                <w:rFonts w:cs="Arial"/>
                <w:noProof/>
              </w:rPr>
              <w:t> </w:t>
            </w:r>
            <w:r w:rsidRPr="003F7678">
              <w:rPr>
                <w:rFonts w:cs="Arial"/>
                <w:noProof/>
              </w:rPr>
              <w:t> </w:t>
            </w:r>
            <w:r w:rsidRPr="003F7678">
              <w:rPr>
                <w:rFonts w:cs="Arial"/>
                <w:noProof/>
              </w:rPr>
              <w:t> </w:t>
            </w:r>
            <w:r w:rsidRPr="003F7678">
              <w:rPr>
                <w:rFonts w:cs="Arial"/>
              </w:rPr>
              <w:fldChar w:fldCharType="end"/>
            </w:r>
            <w:bookmarkEnd w:id="85"/>
          </w:p>
        </w:tc>
      </w:tr>
      <w:bookmarkEnd w:id="83"/>
    </w:tbl>
    <w:p w:rsidR="00A43C03" w:rsidRPr="003F7678" w:rsidRDefault="00A43C03" w:rsidP="00A43C03">
      <w:pPr>
        <w:pStyle w:val="Heading1"/>
        <w:sectPr w:rsidR="00A43C03" w:rsidRPr="003F7678" w:rsidSect="00A43C03">
          <w:footnotePr>
            <w:numRestart w:val="eachSect"/>
          </w:footnotePr>
          <w:type w:val="continuous"/>
          <w:pgSz w:w="11907" w:h="16840" w:code="9"/>
          <w:pgMar w:top="680" w:right="851" w:bottom="680" w:left="851" w:header="284" w:footer="284" w:gutter="0"/>
          <w:cols w:space="708"/>
          <w:docGrid w:linePitch="360"/>
        </w:sectPr>
      </w:pPr>
    </w:p>
    <w:p w:rsidR="00A43C03" w:rsidRPr="00D05304" w:rsidRDefault="00A43C03" w:rsidP="00A43C03">
      <w:pPr>
        <w:pStyle w:val="Heading1"/>
        <w:rPr>
          <w:color w:val="000000"/>
          <w:sz w:val="28"/>
        </w:rPr>
      </w:pPr>
      <w:bookmarkStart w:id="86" w:name="_Toc394509388"/>
      <w:bookmarkStart w:id="87" w:name="EvidenceHead"/>
      <w:r w:rsidRPr="00D05304">
        <w:rPr>
          <w:color w:val="000000"/>
          <w:sz w:val="28"/>
        </w:rPr>
        <w:lastRenderedPageBreak/>
        <w:t>Summary: Analysis &amp; Evidence</w:t>
      </w:r>
      <w:r w:rsidR="00D05304">
        <w:rPr>
          <w:color w:val="000000"/>
          <w:sz w:val="28"/>
        </w:rPr>
        <w:t xml:space="preserve"> - </w:t>
      </w:r>
      <w:r w:rsidRPr="00D05304">
        <w:rPr>
          <w:b w:val="0"/>
          <w:bCs w:val="0"/>
          <w:color w:val="000000"/>
          <w:sz w:val="28"/>
        </w:rPr>
        <w:t>Policy Option 2</w:t>
      </w:r>
      <w:bookmarkEnd w:id="86"/>
    </w:p>
    <w:p w:rsidR="00A43C03" w:rsidRPr="003F7678" w:rsidRDefault="00A43C03" w:rsidP="00A43C03">
      <w:pPr>
        <w:pStyle w:val="IAHeadLabel"/>
        <w:spacing w:before="50"/>
        <w:rPr>
          <w:rFonts w:cs="Arial"/>
        </w:rPr>
      </w:pPr>
      <w:r w:rsidRPr="003F7678">
        <w:rPr>
          <w:rFonts w:cs="Arial"/>
        </w:rPr>
        <w:t xml:space="preserve">Description:  </w:t>
      </w:r>
      <w:r>
        <w:rPr>
          <w:rStyle w:val="IAPODescriptionCharChar"/>
          <w:rFonts w:cs="Arial"/>
        </w:rPr>
        <w:t>Introduce a new flammability test now</w:t>
      </w:r>
    </w:p>
    <w:p w:rsidR="00A43C03" w:rsidRPr="003F7678" w:rsidRDefault="00A43C03" w:rsidP="00A43C03">
      <w:pPr>
        <w:pStyle w:val="IAHeadLabel"/>
        <w:spacing w:before="50"/>
        <w:rPr>
          <w:rFonts w:cs="Arial"/>
        </w:rPr>
      </w:pPr>
      <w:r w:rsidRPr="003F7678">
        <w:rPr>
          <w:rFonts w:cs="Arial"/>
        </w:rPr>
        <w:t>FULL ECONOMIC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72"/>
        <w:gridCol w:w="1267"/>
        <w:gridCol w:w="1448"/>
        <w:gridCol w:w="1810"/>
        <w:gridCol w:w="1837"/>
        <w:gridCol w:w="2648"/>
      </w:tblGrid>
      <w:tr w:rsidR="00A43C03" w:rsidRPr="003F7678" w:rsidTr="00A43C03">
        <w:trPr>
          <w:trHeight w:hRule="exact" w:val="312"/>
        </w:trPr>
        <w:tc>
          <w:tcPr>
            <w:tcW w:w="1265" w:type="dxa"/>
            <w:vMerge w:val="restart"/>
          </w:tcPr>
          <w:p w:rsidR="00A43C03" w:rsidRPr="003F7678" w:rsidRDefault="00A43C03" w:rsidP="00A43C03">
            <w:pPr>
              <w:pStyle w:val="POPBY"/>
              <w:rPr>
                <w:rFonts w:cs="Arial"/>
              </w:rPr>
            </w:pPr>
            <w:r w:rsidRPr="003F7678">
              <w:rPr>
                <w:rFonts w:cs="Arial"/>
              </w:rPr>
              <w:t xml:space="preserve">Price Base Year  </w:t>
            </w:r>
            <w:r>
              <w:rPr>
                <w:rFonts w:cs="Arial"/>
                <w:b w:val="0"/>
              </w:rPr>
              <w:t>2014</w:t>
            </w:r>
          </w:p>
        </w:tc>
        <w:tc>
          <w:tcPr>
            <w:tcW w:w="1260" w:type="dxa"/>
            <w:vMerge w:val="restart"/>
          </w:tcPr>
          <w:p w:rsidR="00A43C03" w:rsidRPr="003F7678" w:rsidRDefault="00A43C03" w:rsidP="00A43C03">
            <w:pPr>
              <w:pStyle w:val="POPVBY"/>
              <w:rPr>
                <w:rFonts w:cs="Arial"/>
              </w:rPr>
            </w:pPr>
            <w:r w:rsidRPr="003F7678">
              <w:rPr>
                <w:rFonts w:cs="Arial"/>
              </w:rPr>
              <w:t xml:space="preserve">PV Base Year  </w:t>
            </w:r>
            <w:r>
              <w:rPr>
                <w:rFonts w:cs="Arial"/>
                <w:b w:val="0"/>
              </w:rPr>
              <w:t>2014</w:t>
            </w:r>
          </w:p>
        </w:tc>
        <w:tc>
          <w:tcPr>
            <w:tcW w:w="1440" w:type="dxa"/>
            <w:vMerge w:val="restart"/>
            <w:tcBorders>
              <w:right w:val="single" w:sz="12" w:space="0" w:color="auto"/>
            </w:tcBorders>
          </w:tcPr>
          <w:p w:rsidR="00A43C03" w:rsidRPr="003F7678" w:rsidRDefault="00A43C03" w:rsidP="00A43C03">
            <w:pPr>
              <w:pStyle w:val="POTPY"/>
              <w:rPr>
                <w:rFonts w:cs="Arial"/>
              </w:rPr>
            </w:pPr>
            <w:r w:rsidRPr="003F7678">
              <w:rPr>
                <w:rFonts w:cs="Arial"/>
              </w:rPr>
              <w:t xml:space="preserve">Time Period Years  </w:t>
            </w:r>
            <w:r>
              <w:rPr>
                <w:rFonts w:cs="Arial"/>
                <w:b w:val="0"/>
              </w:rPr>
              <w:t>10</w:t>
            </w:r>
          </w:p>
        </w:tc>
        <w:tc>
          <w:tcPr>
            <w:tcW w:w="6260" w:type="dxa"/>
            <w:gridSpan w:val="3"/>
            <w:tcBorders>
              <w:top w:val="single" w:sz="12" w:space="0" w:color="auto"/>
              <w:left w:val="single" w:sz="12" w:space="0" w:color="auto"/>
              <w:right w:val="single" w:sz="12" w:space="0" w:color="auto"/>
            </w:tcBorders>
            <w:shd w:val="clear" w:color="auto" w:fill="FFFFFF"/>
          </w:tcPr>
          <w:p w:rsidR="00A43C03" w:rsidRPr="003F7678" w:rsidRDefault="00A43C03" w:rsidP="00A43C03">
            <w:pPr>
              <w:pStyle w:val="IATableLabel"/>
              <w:jc w:val="center"/>
              <w:rPr>
                <w:rFonts w:cs="Arial"/>
              </w:rPr>
            </w:pPr>
            <w:r w:rsidRPr="003F7678">
              <w:rPr>
                <w:rFonts w:cs="Arial"/>
              </w:rPr>
              <w:t>Net Benefit (Present Value (PV)) (£m)</w:t>
            </w:r>
          </w:p>
        </w:tc>
      </w:tr>
      <w:tr w:rsidR="00A43C03" w:rsidRPr="003F7678" w:rsidTr="00A43C03">
        <w:trPr>
          <w:trHeight w:hRule="exact" w:val="340"/>
        </w:trPr>
        <w:tc>
          <w:tcPr>
            <w:tcW w:w="1265" w:type="dxa"/>
            <w:vMerge/>
          </w:tcPr>
          <w:p w:rsidR="00A43C03" w:rsidRPr="003F7678" w:rsidRDefault="00A43C03" w:rsidP="00A43C03">
            <w:pPr>
              <w:pStyle w:val="IATableNotes"/>
              <w:ind w:left="0"/>
              <w:rPr>
                <w:rFonts w:cs="Arial"/>
                <w:b/>
                <w:sz w:val="20"/>
              </w:rPr>
            </w:pPr>
          </w:p>
        </w:tc>
        <w:tc>
          <w:tcPr>
            <w:tcW w:w="1260" w:type="dxa"/>
            <w:vMerge/>
          </w:tcPr>
          <w:p w:rsidR="00A43C03" w:rsidRPr="003F7678" w:rsidRDefault="00A43C03" w:rsidP="00A43C03">
            <w:pPr>
              <w:pStyle w:val="IATableNotes"/>
              <w:ind w:left="0"/>
              <w:rPr>
                <w:rFonts w:cs="Arial"/>
                <w:b/>
                <w:sz w:val="20"/>
              </w:rPr>
            </w:pPr>
          </w:p>
        </w:tc>
        <w:tc>
          <w:tcPr>
            <w:tcW w:w="1440" w:type="dxa"/>
            <w:vMerge/>
            <w:tcBorders>
              <w:right w:val="single" w:sz="12" w:space="0" w:color="auto"/>
            </w:tcBorders>
          </w:tcPr>
          <w:p w:rsidR="00A43C03" w:rsidRPr="003F7678" w:rsidRDefault="00A43C03" w:rsidP="00A43C03">
            <w:pPr>
              <w:pStyle w:val="IATableNotes"/>
              <w:ind w:left="0"/>
              <w:rPr>
                <w:rFonts w:cs="Arial"/>
                <w:b/>
                <w:sz w:val="20"/>
              </w:rPr>
            </w:pPr>
          </w:p>
        </w:tc>
        <w:tc>
          <w:tcPr>
            <w:tcW w:w="1800" w:type="dxa"/>
            <w:tcBorders>
              <w:left w:val="single" w:sz="12" w:space="0" w:color="auto"/>
              <w:bottom w:val="single" w:sz="12" w:space="0" w:color="auto"/>
            </w:tcBorders>
          </w:tcPr>
          <w:p w:rsidR="00A43C03" w:rsidRPr="003F7678" w:rsidRDefault="00A43C03" w:rsidP="00A43C03">
            <w:pPr>
              <w:pStyle w:val="IATableLabel"/>
              <w:rPr>
                <w:rFonts w:cs="Arial"/>
                <w:bCs/>
              </w:rPr>
            </w:pPr>
            <w:r w:rsidRPr="003F7678">
              <w:rPr>
                <w:rFonts w:cs="Arial"/>
              </w:rPr>
              <w:t xml:space="preserve">Low: </w:t>
            </w:r>
            <w:r>
              <w:rPr>
                <w:rStyle w:val="PONBLowCharChar"/>
                <w:rFonts w:cs="Arial"/>
              </w:rPr>
              <w:t>£160m</w:t>
            </w:r>
          </w:p>
        </w:tc>
        <w:tc>
          <w:tcPr>
            <w:tcW w:w="1827" w:type="dxa"/>
            <w:tcBorders>
              <w:bottom w:val="single" w:sz="12" w:space="0" w:color="auto"/>
              <w:right w:val="single" w:sz="12" w:space="0" w:color="auto"/>
            </w:tcBorders>
          </w:tcPr>
          <w:p w:rsidR="00A43C03" w:rsidRPr="003F7678" w:rsidRDefault="00A43C03" w:rsidP="00A43C03">
            <w:pPr>
              <w:pStyle w:val="IATableLabel"/>
              <w:rPr>
                <w:rFonts w:cs="Arial"/>
                <w:bCs/>
                <w:szCs w:val="18"/>
              </w:rPr>
            </w:pPr>
            <w:r w:rsidRPr="003F7678">
              <w:rPr>
                <w:rFonts w:cs="Arial"/>
              </w:rPr>
              <w:t xml:space="preserve">High: </w:t>
            </w:r>
            <w:r>
              <w:rPr>
                <w:rStyle w:val="PONBHighChar"/>
                <w:rFonts w:cs="Arial"/>
              </w:rPr>
              <w:t>£470m</w:t>
            </w:r>
          </w:p>
        </w:tc>
        <w:tc>
          <w:tcPr>
            <w:tcW w:w="2633" w:type="dxa"/>
            <w:tcBorders>
              <w:top w:val="single" w:sz="12" w:space="0" w:color="auto"/>
              <w:left w:val="single" w:sz="12" w:space="0" w:color="auto"/>
              <w:bottom w:val="single" w:sz="12" w:space="0" w:color="auto"/>
              <w:right w:val="single" w:sz="12" w:space="0" w:color="auto"/>
            </w:tcBorders>
            <w:shd w:val="clear" w:color="auto" w:fill="FFFFFF"/>
          </w:tcPr>
          <w:p w:rsidR="00A43C03" w:rsidRPr="003F7678" w:rsidRDefault="00A43C03" w:rsidP="00A43C03">
            <w:pPr>
              <w:pStyle w:val="IATableLabel"/>
              <w:rPr>
                <w:rFonts w:cs="Arial"/>
                <w:szCs w:val="18"/>
              </w:rPr>
            </w:pPr>
            <w:r w:rsidRPr="003F7678">
              <w:rPr>
                <w:rFonts w:cs="Arial"/>
              </w:rPr>
              <w:t xml:space="preserve">Best Estimate: </w:t>
            </w:r>
            <w:r>
              <w:rPr>
                <w:rStyle w:val="PONBBestEstChar"/>
                <w:rFonts w:cs="Arial"/>
              </w:rPr>
              <w:t>£160-470m</w:t>
            </w:r>
          </w:p>
        </w:tc>
      </w:tr>
    </w:tbl>
    <w:p w:rsidR="00A43C03" w:rsidRPr="003F7678" w:rsidRDefault="00A43C03" w:rsidP="00A43C03">
      <w:pPr>
        <w:pStyle w:val="IASpacer"/>
        <w:rPr>
          <w:rFonts w:cs="Arial"/>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2006"/>
        <w:gridCol w:w="1960"/>
        <w:gridCol w:w="794"/>
        <w:gridCol w:w="2881"/>
        <w:gridCol w:w="1786"/>
        <w:gridCol w:w="865"/>
      </w:tblGrid>
      <w:tr w:rsidR="00A43C03" w:rsidRPr="003F7678" w:rsidTr="00A43C03">
        <w:trPr>
          <w:trHeight w:hRule="exact" w:val="567"/>
        </w:trPr>
        <w:tc>
          <w:tcPr>
            <w:tcW w:w="1995" w:type="dxa"/>
            <w:tcBorders>
              <w:top w:val="single" w:sz="12" w:space="0" w:color="auto"/>
            </w:tcBorders>
            <w:shd w:val="clear" w:color="auto" w:fill="FFFFFF"/>
          </w:tcPr>
          <w:p w:rsidR="00A43C03" w:rsidRPr="003F7678" w:rsidRDefault="00A43C03" w:rsidP="00A43C03">
            <w:pPr>
              <w:pStyle w:val="IATableLabel"/>
              <w:rPr>
                <w:rFonts w:cs="Arial"/>
                <w:sz w:val="24"/>
                <w:szCs w:val="24"/>
              </w:rPr>
            </w:pPr>
            <w:r w:rsidRPr="003F7678">
              <w:rPr>
                <w:rFonts w:cs="Arial"/>
                <w:sz w:val="24"/>
                <w:szCs w:val="24"/>
              </w:rPr>
              <w:t>COSTS (£m)</w:t>
            </w:r>
          </w:p>
        </w:tc>
        <w:tc>
          <w:tcPr>
            <w:tcW w:w="2739" w:type="dxa"/>
            <w:gridSpan w:val="2"/>
            <w:tcBorders>
              <w:top w:val="single" w:sz="12" w:space="0" w:color="auto"/>
            </w:tcBorders>
          </w:tcPr>
          <w:p w:rsidR="00A43C03" w:rsidRPr="003F7678" w:rsidRDefault="00A43C03" w:rsidP="00A43C03">
            <w:pPr>
              <w:pStyle w:val="IATableLabel"/>
              <w:tabs>
                <w:tab w:val="right" w:pos="1800"/>
                <w:tab w:val="center" w:pos="2340"/>
              </w:tabs>
              <w:jc w:val="right"/>
              <w:rPr>
                <w:rFonts w:cs="Arial"/>
              </w:rPr>
            </w:pPr>
            <w:r w:rsidRPr="003F7678">
              <w:rPr>
                <w:rFonts w:cs="Arial"/>
              </w:rPr>
              <w:t xml:space="preserve">Total Transition </w:t>
            </w:r>
            <w:r w:rsidRPr="003F7678">
              <w:rPr>
                <w:rFonts w:cs="Arial"/>
              </w:rPr>
              <w:br/>
            </w:r>
            <w:r w:rsidRPr="003F7678">
              <w:rPr>
                <w:rFonts w:cs="Arial"/>
              </w:rPr>
              <w:tab/>
            </w:r>
            <w:r w:rsidRPr="003F7678">
              <w:rPr>
                <w:rFonts w:cs="Arial"/>
                <w:b w:val="0"/>
                <w:sz w:val="18"/>
                <w:szCs w:val="18"/>
              </w:rPr>
              <w:t>(Constant Price)</w:t>
            </w:r>
            <w:r w:rsidRPr="003F7678">
              <w:rPr>
                <w:rFonts w:cs="Arial"/>
              </w:rPr>
              <w:tab/>
            </w:r>
            <w:r w:rsidRPr="003F7678">
              <w:rPr>
                <w:rFonts w:cs="Arial"/>
                <w:b w:val="0"/>
                <w:sz w:val="18"/>
                <w:szCs w:val="18"/>
              </w:rPr>
              <w:t>Yea</w:t>
            </w:r>
            <w:r w:rsidRPr="003F7678">
              <w:rPr>
                <w:rFonts w:cs="Arial"/>
                <w:b w:val="0"/>
                <w:bCs/>
                <w:sz w:val="18"/>
                <w:szCs w:val="18"/>
              </w:rPr>
              <w:t>r</w:t>
            </w:r>
            <w:r w:rsidRPr="003F7678">
              <w:rPr>
                <w:rFonts w:cs="Arial"/>
                <w:b w:val="0"/>
                <w:sz w:val="18"/>
                <w:szCs w:val="18"/>
              </w:rPr>
              <w:t>s</w:t>
            </w:r>
          </w:p>
          <w:p w:rsidR="00A43C03" w:rsidRPr="003F7678" w:rsidRDefault="00A43C03" w:rsidP="00A43C03">
            <w:pPr>
              <w:pStyle w:val="IATableLabel"/>
              <w:jc w:val="right"/>
              <w:rPr>
                <w:rFonts w:cs="Arial"/>
              </w:rPr>
            </w:pPr>
            <w:r w:rsidRPr="003F7678">
              <w:rPr>
                <w:rFonts w:cs="Arial"/>
              </w:rPr>
              <w:br/>
            </w:r>
          </w:p>
        </w:tc>
        <w:tc>
          <w:tcPr>
            <w:tcW w:w="2865" w:type="dxa"/>
            <w:tcBorders>
              <w:top w:val="single" w:sz="12" w:space="0" w:color="auto"/>
              <w:right w:val="single" w:sz="12" w:space="0" w:color="auto"/>
            </w:tcBorders>
          </w:tcPr>
          <w:p w:rsidR="00A43C03" w:rsidRPr="003F7678" w:rsidRDefault="00A43C03" w:rsidP="00A43C03">
            <w:pPr>
              <w:pStyle w:val="IATableLabel"/>
              <w:jc w:val="right"/>
              <w:rPr>
                <w:rFonts w:cs="Arial"/>
                <w:bCs/>
              </w:rPr>
            </w:pPr>
            <w:r w:rsidRPr="003F7678">
              <w:rPr>
                <w:rFonts w:cs="Arial"/>
              </w:rPr>
              <w:t xml:space="preserve">Average Annual </w:t>
            </w:r>
            <w:r w:rsidRPr="003F7678">
              <w:rPr>
                <w:rFonts w:cs="Arial"/>
              </w:rPr>
              <w:br/>
            </w:r>
            <w:r w:rsidRPr="003F7678">
              <w:rPr>
                <w:rFonts w:cs="Arial"/>
                <w:b w:val="0"/>
                <w:sz w:val="18"/>
                <w:szCs w:val="18"/>
              </w:rPr>
              <w:t xml:space="preserve">(excl. Transition) </w:t>
            </w:r>
            <w:r w:rsidRPr="003F7678">
              <w:rPr>
                <w:rFonts w:cs="Arial"/>
                <w:b w:val="0"/>
                <w:bCs/>
                <w:sz w:val="18"/>
                <w:szCs w:val="18"/>
              </w:rPr>
              <w:t>(Constant Price)</w:t>
            </w:r>
          </w:p>
        </w:tc>
        <w:tc>
          <w:tcPr>
            <w:tcW w:w="2636" w:type="dxa"/>
            <w:gridSpan w:val="2"/>
            <w:tcBorders>
              <w:top w:val="single" w:sz="12" w:space="0" w:color="auto"/>
              <w:left w:val="single" w:sz="12" w:space="0" w:color="auto"/>
            </w:tcBorders>
          </w:tcPr>
          <w:p w:rsidR="00A43C03" w:rsidRPr="003F7678" w:rsidRDefault="00A43C03" w:rsidP="00A43C03">
            <w:pPr>
              <w:pStyle w:val="IATableLabel"/>
              <w:jc w:val="right"/>
              <w:rPr>
                <w:rFonts w:cs="Arial"/>
              </w:rPr>
            </w:pPr>
            <w:r w:rsidRPr="003F7678">
              <w:rPr>
                <w:rFonts w:cs="Arial"/>
              </w:rPr>
              <w:t>Total Cost</w:t>
            </w:r>
            <w:r w:rsidRPr="003F7678">
              <w:rPr>
                <w:rFonts w:cs="Arial"/>
                <w:b w:val="0"/>
                <w:sz w:val="18"/>
                <w:szCs w:val="18"/>
              </w:rPr>
              <w:t xml:space="preserve"> </w:t>
            </w:r>
            <w:r w:rsidRPr="003F7678">
              <w:rPr>
                <w:rFonts w:cs="Arial"/>
                <w:b w:val="0"/>
                <w:sz w:val="18"/>
                <w:szCs w:val="18"/>
              </w:rPr>
              <w:br/>
              <w:t>(Present Value)</w:t>
            </w:r>
          </w:p>
        </w:tc>
      </w:tr>
      <w:tr w:rsidR="00A43C03" w:rsidRPr="003F7678" w:rsidTr="00A43C03">
        <w:trPr>
          <w:trHeight w:hRule="exact" w:val="348"/>
        </w:trPr>
        <w:tc>
          <w:tcPr>
            <w:tcW w:w="1995" w:type="dxa"/>
            <w:vAlign w:val="center"/>
          </w:tcPr>
          <w:p w:rsidR="00A43C03" w:rsidRPr="003F7678" w:rsidRDefault="00A43C03" w:rsidP="00A43C03">
            <w:pPr>
              <w:pStyle w:val="IATableLabel"/>
              <w:rPr>
                <w:rFonts w:cs="Arial"/>
              </w:rPr>
            </w:pPr>
            <w:r w:rsidRPr="003F7678">
              <w:rPr>
                <w:rFonts w:cs="Arial"/>
              </w:rPr>
              <w:t xml:space="preserve">Low </w:t>
            </w:r>
          </w:p>
        </w:tc>
        <w:tc>
          <w:tcPr>
            <w:tcW w:w="1949" w:type="dxa"/>
            <w:vAlign w:val="center"/>
          </w:tcPr>
          <w:p w:rsidR="00A43C03" w:rsidRPr="003F7678" w:rsidRDefault="00A43C03" w:rsidP="00A43C03">
            <w:pPr>
              <w:pStyle w:val="POTTCostsLow"/>
              <w:rPr>
                <w:rFonts w:cs="Arial"/>
                <w:sz w:val="20"/>
              </w:rPr>
            </w:pPr>
            <w:r>
              <w:rPr>
                <w:rFonts w:cs="Arial"/>
                <w:sz w:val="20"/>
              </w:rPr>
              <w:t>£0.2m</w:t>
            </w:r>
          </w:p>
        </w:tc>
        <w:tc>
          <w:tcPr>
            <w:tcW w:w="790" w:type="dxa"/>
            <w:vMerge w:val="restart"/>
            <w:vAlign w:val="center"/>
          </w:tcPr>
          <w:p w:rsidR="00A43C03" w:rsidRPr="003F7678" w:rsidRDefault="00A43C03" w:rsidP="00A43C03">
            <w:pPr>
              <w:pStyle w:val="POTTCostsYear"/>
              <w:rPr>
                <w:rFonts w:cs="Arial"/>
                <w:sz w:val="20"/>
                <w:szCs w:val="20"/>
              </w:rPr>
            </w:pPr>
            <w:r w:rsidRPr="003F7678">
              <w:rPr>
                <w:rFonts w:cs="Arial"/>
                <w:sz w:val="20"/>
                <w:szCs w:val="20"/>
              </w:rPr>
              <w:fldChar w:fldCharType="begin">
                <w:ffData>
                  <w:name w:val="Text48"/>
                  <w:enabled/>
                  <w:calcOnExit w:val="0"/>
                  <w:textInput>
                    <w:maxLength w:val="3"/>
                  </w:textInput>
                </w:ffData>
              </w:fldChar>
            </w:r>
            <w:r w:rsidRPr="003F7678">
              <w:rPr>
                <w:rFonts w:cs="Arial"/>
                <w:sz w:val="20"/>
                <w:szCs w:val="20"/>
              </w:rPr>
              <w:instrText xml:space="preserve"> FORMTEXT </w:instrText>
            </w:r>
            <w:r w:rsidRPr="003F7678">
              <w:rPr>
                <w:rFonts w:cs="Arial"/>
                <w:sz w:val="20"/>
                <w:szCs w:val="20"/>
              </w:rPr>
            </w:r>
            <w:r w:rsidRPr="003F7678">
              <w:rPr>
                <w:rFonts w:cs="Arial"/>
                <w:sz w:val="20"/>
                <w:szCs w:val="20"/>
              </w:rPr>
              <w:fldChar w:fldCharType="separate"/>
            </w:r>
            <w:r w:rsidRPr="003F7678">
              <w:rPr>
                <w:rFonts w:cs="Arial"/>
                <w:noProof/>
                <w:sz w:val="20"/>
                <w:szCs w:val="20"/>
              </w:rPr>
              <w:t> </w:t>
            </w:r>
            <w:r w:rsidRPr="003F7678">
              <w:rPr>
                <w:rFonts w:cs="Arial"/>
                <w:noProof/>
                <w:sz w:val="20"/>
                <w:szCs w:val="20"/>
              </w:rPr>
              <w:t> </w:t>
            </w:r>
            <w:r w:rsidRPr="003F7678">
              <w:rPr>
                <w:rFonts w:cs="Arial"/>
                <w:noProof/>
                <w:sz w:val="20"/>
                <w:szCs w:val="20"/>
              </w:rPr>
              <w:t> </w:t>
            </w:r>
            <w:r w:rsidRPr="003F7678">
              <w:rPr>
                <w:rFonts w:cs="Arial"/>
                <w:sz w:val="20"/>
                <w:szCs w:val="20"/>
              </w:rPr>
              <w:fldChar w:fldCharType="end"/>
            </w:r>
            <w:r>
              <w:rPr>
                <w:rFonts w:cs="Arial"/>
                <w:sz w:val="20"/>
                <w:szCs w:val="20"/>
              </w:rPr>
              <w:t>2</w:t>
            </w:r>
          </w:p>
        </w:tc>
        <w:tc>
          <w:tcPr>
            <w:tcW w:w="2865" w:type="dxa"/>
            <w:tcBorders>
              <w:right w:val="single" w:sz="12" w:space="0" w:color="auto"/>
            </w:tcBorders>
            <w:vAlign w:val="center"/>
          </w:tcPr>
          <w:p w:rsidR="00A43C03" w:rsidRPr="003F7678" w:rsidRDefault="00A43C03" w:rsidP="00A43C03">
            <w:pPr>
              <w:pStyle w:val="POAACostsLow"/>
              <w:rPr>
                <w:rFonts w:cs="Arial"/>
                <w:sz w:val="20"/>
              </w:rPr>
            </w:pPr>
            <w:r>
              <w:rPr>
                <w:rFonts w:cs="Arial"/>
                <w:sz w:val="20"/>
              </w:rPr>
              <w:t>0</w:t>
            </w:r>
          </w:p>
        </w:tc>
        <w:tc>
          <w:tcPr>
            <w:tcW w:w="2636" w:type="dxa"/>
            <w:gridSpan w:val="2"/>
            <w:tcBorders>
              <w:left w:val="single" w:sz="12" w:space="0" w:color="auto"/>
            </w:tcBorders>
            <w:vAlign w:val="center"/>
          </w:tcPr>
          <w:p w:rsidR="00A43C03" w:rsidRPr="003F7678" w:rsidRDefault="00A43C03" w:rsidP="00A43C03">
            <w:pPr>
              <w:pStyle w:val="POTCCostsLow"/>
              <w:rPr>
                <w:rFonts w:cs="Arial"/>
                <w:sz w:val="20"/>
              </w:rPr>
            </w:pPr>
            <w:r>
              <w:rPr>
                <w:rFonts w:cs="Arial"/>
                <w:sz w:val="20"/>
              </w:rPr>
              <w:t>0</w:t>
            </w:r>
          </w:p>
        </w:tc>
      </w:tr>
      <w:tr w:rsidR="00A43C03" w:rsidRPr="003F7678" w:rsidTr="00A43C03">
        <w:trPr>
          <w:trHeight w:hRule="exact" w:val="348"/>
        </w:trPr>
        <w:tc>
          <w:tcPr>
            <w:tcW w:w="1995" w:type="dxa"/>
            <w:tcBorders>
              <w:bottom w:val="single" w:sz="12" w:space="0" w:color="auto"/>
            </w:tcBorders>
            <w:vAlign w:val="center"/>
          </w:tcPr>
          <w:p w:rsidR="00A43C03" w:rsidRPr="003F7678" w:rsidRDefault="00A43C03" w:rsidP="00A43C03">
            <w:pPr>
              <w:pStyle w:val="IATableLabel"/>
              <w:rPr>
                <w:rFonts w:cs="Arial"/>
              </w:rPr>
            </w:pPr>
            <w:r w:rsidRPr="003F7678">
              <w:rPr>
                <w:rFonts w:cs="Arial"/>
              </w:rPr>
              <w:t xml:space="preserve">High </w:t>
            </w:r>
          </w:p>
        </w:tc>
        <w:tc>
          <w:tcPr>
            <w:tcW w:w="1949" w:type="dxa"/>
            <w:tcBorders>
              <w:bottom w:val="single" w:sz="12" w:space="0" w:color="auto"/>
            </w:tcBorders>
          </w:tcPr>
          <w:p w:rsidR="00A43C03" w:rsidRDefault="00A43C03" w:rsidP="00A43C03">
            <w:pPr>
              <w:jc w:val="right"/>
            </w:pPr>
            <w:r w:rsidRPr="008B41B4">
              <w:rPr>
                <w:rFonts w:cs="Arial"/>
                <w:sz w:val="20"/>
              </w:rPr>
              <w:t>£0.</w:t>
            </w:r>
            <w:r>
              <w:rPr>
                <w:rFonts w:cs="Arial"/>
                <w:sz w:val="20"/>
              </w:rPr>
              <w:t>2</w:t>
            </w:r>
            <w:r w:rsidRPr="008B41B4">
              <w:rPr>
                <w:rFonts w:cs="Arial"/>
                <w:sz w:val="20"/>
              </w:rPr>
              <w:t>m</w:t>
            </w:r>
          </w:p>
        </w:tc>
        <w:tc>
          <w:tcPr>
            <w:tcW w:w="790" w:type="dxa"/>
            <w:vMerge/>
            <w:shd w:val="clear" w:color="auto" w:fill="FFFFFF"/>
            <w:vAlign w:val="center"/>
          </w:tcPr>
          <w:p w:rsidR="00A43C03" w:rsidRPr="003F7678" w:rsidRDefault="00A43C03" w:rsidP="00A43C03">
            <w:pPr>
              <w:pStyle w:val="IATableText"/>
              <w:jc w:val="right"/>
              <w:rPr>
                <w:rFonts w:cs="Arial"/>
                <w:sz w:val="20"/>
              </w:rPr>
            </w:pPr>
          </w:p>
        </w:tc>
        <w:tc>
          <w:tcPr>
            <w:tcW w:w="2865" w:type="dxa"/>
            <w:tcBorders>
              <w:bottom w:val="single" w:sz="12" w:space="0" w:color="auto"/>
              <w:right w:val="single" w:sz="12" w:space="0" w:color="auto"/>
            </w:tcBorders>
            <w:vAlign w:val="center"/>
          </w:tcPr>
          <w:p w:rsidR="00A43C03" w:rsidRPr="003F7678" w:rsidRDefault="00A43C03" w:rsidP="00A43C03">
            <w:pPr>
              <w:pStyle w:val="POAACostsHigh"/>
              <w:rPr>
                <w:rFonts w:cs="Arial"/>
                <w:sz w:val="20"/>
              </w:rPr>
            </w:pPr>
            <w:r>
              <w:rPr>
                <w:rFonts w:cs="Arial"/>
                <w:sz w:val="20"/>
              </w:rPr>
              <w:t>0</w:t>
            </w:r>
          </w:p>
        </w:tc>
        <w:tc>
          <w:tcPr>
            <w:tcW w:w="2636" w:type="dxa"/>
            <w:gridSpan w:val="2"/>
            <w:tcBorders>
              <w:left w:val="single" w:sz="12" w:space="0" w:color="auto"/>
              <w:bottom w:val="single" w:sz="12" w:space="0" w:color="auto"/>
            </w:tcBorders>
            <w:vAlign w:val="center"/>
          </w:tcPr>
          <w:p w:rsidR="00A43C03" w:rsidRPr="003F7678" w:rsidRDefault="00A43C03" w:rsidP="00A43C03">
            <w:pPr>
              <w:pStyle w:val="POTCCostsHigh"/>
              <w:rPr>
                <w:rFonts w:cs="Arial"/>
                <w:sz w:val="20"/>
              </w:rPr>
            </w:pPr>
            <w:r>
              <w:rPr>
                <w:rFonts w:cs="Arial"/>
                <w:sz w:val="20"/>
              </w:rPr>
              <w:t>0</w:t>
            </w:r>
          </w:p>
        </w:tc>
      </w:tr>
      <w:tr w:rsidR="00A43C03" w:rsidRPr="003F7678" w:rsidTr="00A43C03">
        <w:trPr>
          <w:trHeight w:hRule="exact" w:val="348"/>
        </w:trPr>
        <w:tc>
          <w:tcPr>
            <w:tcW w:w="1995" w:type="dxa"/>
            <w:tcBorders>
              <w:top w:val="single" w:sz="12" w:space="0" w:color="auto"/>
              <w:bottom w:val="single" w:sz="12" w:space="0" w:color="auto"/>
              <w:right w:val="single" w:sz="12" w:space="0" w:color="auto"/>
            </w:tcBorders>
            <w:shd w:val="clear" w:color="auto" w:fill="FFFFFF"/>
            <w:vAlign w:val="center"/>
          </w:tcPr>
          <w:p w:rsidR="00A43C03" w:rsidRPr="003F7678" w:rsidRDefault="00A43C03" w:rsidP="00A43C03">
            <w:pPr>
              <w:pStyle w:val="IATableLabel"/>
              <w:rPr>
                <w:rFonts w:cs="Arial"/>
              </w:rPr>
            </w:pPr>
            <w:r w:rsidRPr="003F7678">
              <w:rPr>
                <w:rFonts w:cs="Arial"/>
              </w:rPr>
              <w:t>Best Estimate</w:t>
            </w:r>
          </w:p>
          <w:p w:rsidR="00A43C03" w:rsidRPr="003F7678" w:rsidRDefault="00A43C03" w:rsidP="00A43C03">
            <w:pPr>
              <w:pStyle w:val="IATableNotes"/>
              <w:spacing w:beforeLines="40" w:before="96"/>
              <w:ind w:left="0" w:right="-22"/>
              <w:jc w:val="center"/>
              <w:rPr>
                <w:rFonts w:cs="Arial"/>
                <w:b/>
                <w:sz w:val="20"/>
              </w:rPr>
            </w:pPr>
          </w:p>
        </w:tc>
        <w:tc>
          <w:tcPr>
            <w:tcW w:w="1949" w:type="dxa"/>
            <w:tcBorders>
              <w:top w:val="single" w:sz="12" w:space="0" w:color="auto"/>
              <w:left w:val="single" w:sz="12" w:space="0" w:color="auto"/>
              <w:bottom w:val="single" w:sz="12" w:space="0" w:color="auto"/>
              <w:right w:val="single" w:sz="12" w:space="0" w:color="auto"/>
            </w:tcBorders>
            <w:shd w:val="clear" w:color="auto" w:fill="FFFFFF"/>
          </w:tcPr>
          <w:p w:rsidR="00A43C03" w:rsidRDefault="00A43C03" w:rsidP="00A43C03">
            <w:pPr>
              <w:jc w:val="right"/>
            </w:pPr>
            <w:r w:rsidRPr="008B41B4">
              <w:rPr>
                <w:rFonts w:cs="Arial"/>
                <w:sz w:val="20"/>
              </w:rPr>
              <w:t>£0.</w:t>
            </w:r>
            <w:r>
              <w:rPr>
                <w:rFonts w:cs="Arial"/>
                <w:sz w:val="20"/>
              </w:rPr>
              <w:t>2</w:t>
            </w:r>
            <w:r w:rsidRPr="008B41B4">
              <w:rPr>
                <w:rFonts w:cs="Arial"/>
                <w:sz w:val="20"/>
              </w:rPr>
              <w:t>m</w:t>
            </w:r>
          </w:p>
        </w:tc>
        <w:tc>
          <w:tcPr>
            <w:tcW w:w="790" w:type="dxa"/>
            <w:vMerge/>
            <w:tcBorders>
              <w:left w:val="single" w:sz="12" w:space="0" w:color="auto"/>
              <w:right w:val="single" w:sz="12" w:space="0" w:color="auto"/>
            </w:tcBorders>
            <w:shd w:val="clear" w:color="auto" w:fill="FFFFFF"/>
            <w:vAlign w:val="center"/>
          </w:tcPr>
          <w:p w:rsidR="00A43C03" w:rsidRPr="003F7678" w:rsidRDefault="00A43C03" w:rsidP="00A43C03">
            <w:pPr>
              <w:pStyle w:val="IATableText"/>
              <w:jc w:val="right"/>
              <w:rPr>
                <w:rFonts w:cs="Arial"/>
                <w:sz w:val="20"/>
              </w:rPr>
            </w:pPr>
          </w:p>
        </w:tc>
        <w:tc>
          <w:tcPr>
            <w:tcW w:w="2865" w:type="dxa"/>
            <w:tcBorders>
              <w:top w:val="single" w:sz="12" w:space="0" w:color="auto"/>
              <w:left w:val="single" w:sz="12" w:space="0" w:color="auto"/>
              <w:bottom w:val="single" w:sz="12" w:space="0" w:color="auto"/>
              <w:right w:val="single" w:sz="12" w:space="0" w:color="auto"/>
            </w:tcBorders>
            <w:shd w:val="clear" w:color="auto" w:fill="FFFFFF"/>
            <w:vAlign w:val="center"/>
          </w:tcPr>
          <w:p w:rsidR="00A43C03" w:rsidRPr="003F7678" w:rsidRDefault="00A43C03" w:rsidP="00A43C03">
            <w:pPr>
              <w:pStyle w:val="POAACostsBest"/>
              <w:rPr>
                <w:rFonts w:cs="Arial"/>
                <w:sz w:val="20"/>
              </w:rPr>
            </w:pPr>
            <w:r>
              <w:rPr>
                <w:rFonts w:cs="Arial"/>
                <w:sz w:val="20"/>
              </w:rPr>
              <w:t>£0.00</w:t>
            </w:r>
          </w:p>
        </w:tc>
        <w:tc>
          <w:tcPr>
            <w:tcW w:w="2636" w:type="dxa"/>
            <w:gridSpan w:val="2"/>
            <w:tcBorders>
              <w:top w:val="single" w:sz="12" w:space="0" w:color="auto"/>
              <w:left w:val="single" w:sz="12" w:space="0" w:color="auto"/>
              <w:bottom w:val="single" w:sz="12" w:space="0" w:color="auto"/>
            </w:tcBorders>
            <w:shd w:val="clear" w:color="auto" w:fill="FFFFFF"/>
            <w:vAlign w:val="center"/>
          </w:tcPr>
          <w:p w:rsidR="00A43C03" w:rsidRPr="003F7678" w:rsidRDefault="00A43C03" w:rsidP="00A43C03">
            <w:pPr>
              <w:pStyle w:val="POTCCostsBest"/>
              <w:rPr>
                <w:rFonts w:cs="Arial"/>
                <w:sz w:val="20"/>
              </w:rPr>
            </w:pPr>
            <w:r>
              <w:rPr>
                <w:rFonts w:cs="Arial"/>
                <w:sz w:val="20"/>
              </w:rPr>
              <w:t>£0.00</w:t>
            </w:r>
          </w:p>
        </w:tc>
      </w:tr>
      <w:tr w:rsidR="00A43C03" w:rsidRPr="003F7678" w:rsidTr="00A43C03">
        <w:trPr>
          <w:trHeight w:hRule="exact" w:val="633"/>
        </w:trPr>
        <w:tc>
          <w:tcPr>
            <w:tcW w:w="10235" w:type="dxa"/>
            <w:gridSpan w:val="6"/>
            <w:tcBorders>
              <w:bottom w:val="single" w:sz="4" w:space="0" w:color="auto"/>
            </w:tcBorders>
          </w:tcPr>
          <w:p w:rsidR="00A43C03" w:rsidRPr="003F7678" w:rsidRDefault="00A43C03" w:rsidP="00A43C03">
            <w:pPr>
              <w:pStyle w:val="IAPOQ1"/>
              <w:rPr>
                <w:rFonts w:cs="Arial"/>
                <w:szCs w:val="22"/>
              </w:rPr>
            </w:pPr>
            <w:r w:rsidRPr="003F7678">
              <w:rPr>
                <w:rFonts w:cs="Arial"/>
              </w:rPr>
              <w:t xml:space="preserve">Description and scale of key monetised costs by ‘main affected groups’ </w:t>
            </w:r>
          </w:p>
          <w:p w:rsidR="00A43C03" w:rsidRPr="003F7678" w:rsidRDefault="00A43C03" w:rsidP="00A43C03">
            <w:pPr>
              <w:pStyle w:val="IAPOA1"/>
              <w:rPr>
                <w:rFonts w:cs="Arial"/>
              </w:rPr>
            </w:pPr>
            <w:bookmarkStart w:id="88" w:name="OLE_LINK16"/>
            <w:r>
              <w:rPr>
                <w:rFonts w:cs="Arial"/>
              </w:rPr>
              <w:t>£200k familiarisation cost to furniture manufacturers.</w:t>
            </w:r>
            <w:bookmarkEnd w:id="88"/>
            <w:r>
              <w:rPr>
                <w:rFonts w:cs="Arial"/>
              </w:rPr>
              <w:t xml:space="preserve"> </w:t>
            </w:r>
          </w:p>
        </w:tc>
      </w:tr>
      <w:tr w:rsidR="00A43C03" w:rsidRPr="003F7678" w:rsidTr="00A43C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183"/>
        </w:trPr>
        <w:tc>
          <w:tcPr>
            <w:tcW w:w="10235" w:type="dxa"/>
            <w:gridSpan w:val="6"/>
            <w:tcBorders>
              <w:top w:val="single" w:sz="4" w:space="0" w:color="auto"/>
              <w:left w:val="single" w:sz="4" w:space="0" w:color="auto"/>
              <w:bottom w:val="single" w:sz="4" w:space="0" w:color="auto"/>
              <w:right w:val="single" w:sz="4" w:space="0" w:color="auto"/>
            </w:tcBorders>
          </w:tcPr>
          <w:p w:rsidR="00A43C03" w:rsidRPr="003F7678" w:rsidRDefault="00A43C03" w:rsidP="00A43C03">
            <w:pPr>
              <w:pStyle w:val="IAPOQ2"/>
              <w:rPr>
                <w:rFonts w:cs="Arial"/>
                <w:color w:val="auto"/>
                <w:szCs w:val="22"/>
              </w:rPr>
            </w:pPr>
            <w:r w:rsidRPr="003F7678">
              <w:rPr>
                <w:rFonts w:cs="Arial"/>
                <w:color w:val="auto"/>
              </w:rPr>
              <w:t xml:space="preserve">Other key non-monetised costs by ‘main affected groups’ </w:t>
            </w:r>
          </w:p>
          <w:p w:rsidR="00A43C03" w:rsidRPr="003F7678" w:rsidRDefault="00A43C03" w:rsidP="00A43C03">
            <w:pPr>
              <w:pStyle w:val="IAPOA2"/>
              <w:rPr>
                <w:rFonts w:cs="Arial"/>
                <w:szCs w:val="22"/>
              </w:rPr>
            </w:pPr>
            <w:r>
              <w:rPr>
                <w:rFonts w:cs="Arial"/>
                <w:szCs w:val="22"/>
              </w:rPr>
              <w:t xml:space="preserve">Cost of familiarisation with the legislation to other groups, such as public bodies and other businesses that could be affected. Risks for increased costs or reduced benefits considered below were: increased risk of fires, cost savings not being passed on from test houses to manufacturers and transition costs. </w:t>
            </w:r>
          </w:p>
        </w:tc>
      </w:tr>
      <w:tr w:rsidR="00A43C03" w:rsidRPr="003F7678" w:rsidTr="00A43C03">
        <w:trPr>
          <w:trHeight w:hRule="exact" w:val="567"/>
        </w:trPr>
        <w:tc>
          <w:tcPr>
            <w:tcW w:w="1995" w:type="dxa"/>
            <w:tcBorders>
              <w:top w:val="single" w:sz="4" w:space="0" w:color="auto"/>
            </w:tcBorders>
            <w:shd w:val="clear" w:color="auto" w:fill="FFFFFF"/>
          </w:tcPr>
          <w:p w:rsidR="00A43C03" w:rsidRPr="003F7678" w:rsidRDefault="00A43C03" w:rsidP="00A43C03">
            <w:pPr>
              <w:pStyle w:val="IATableLabel"/>
              <w:rPr>
                <w:rFonts w:cs="Arial"/>
                <w:sz w:val="24"/>
                <w:szCs w:val="24"/>
              </w:rPr>
            </w:pPr>
            <w:r w:rsidRPr="003F7678">
              <w:rPr>
                <w:rFonts w:cs="Arial"/>
                <w:sz w:val="24"/>
                <w:szCs w:val="24"/>
              </w:rPr>
              <w:t>BENEFITS (£m)</w:t>
            </w:r>
          </w:p>
        </w:tc>
        <w:tc>
          <w:tcPr>
            <w:tcW w:w="2739" w:type="dxa"/>
            <w:gridSpan w:val="2"/>
            <w:tcBorders>
              <w:top w:val="single" w:sz="4" w:space="0" w:color="auto"/>
            </w:tcBorders>
          </w:tcPr>
          <w:p w:rsidR="00A43C03" w:rsidRPr="003F7678" w:rsidRDefault="00A43C03" w:rsidP="00A43C03">
            <w:pPr>
              <w:pStyle w:val="IATableLabel"/>
              <w:tabs>
                <w:tab w:val="right" w:pos="1797"/>
                <w:tab w:val="center" w:pos="2340"/>
              </w:tabs>
              <w:jc w:val="right"/>
              <w:rPr>
                <w:rFonts w:cs="Arial"/>
              </w:rPr>
            </w:pPr>
            <w:r w:rsidRPr="003F7678">
              <w:rPr>
                <w:rFonts w:cs="Arial"/>
              </w:rPr>
              <w:t xml:space="preserve">Total Transition </w:t>
            </w:r>
            <w:r w:rsidRPr="003F7678">
              <w:rPr>
                <w:rFonts w:cs="Arial"/>
              </w:rPr>
              <w:br/>
            </w:r>
            <w:r w:rsidRPr="003F7678">
              <w:rPr>
                <w:rFonts w:cs="Arial"/>
              </w:rPr>
              <w:tab/>
            </w:r>
            <w:r w:rsidRPr="003F7678">
              <w:rPr>
                <w:rFonts w:cs="Arial"/>
                <w:b w:val="0"/>
                <w:sz w:val="18"/>
                <w:szCs w:val="18"/>
              </w:rPr>
              <w:t>(Constant Price)</w:t>
            </w:r>
            <w:r w:rsidRPr="003F7678">
              <w:rPr>
                <w:rFonts w:cs="Arial"/>
              </w:rPr>
              <w:tab/>
            </w:r>
            <w:r w:rsidRPr="003F7678">
              <w:rPr>
                <w:rFonts w:cs="Arial"/>
                <w:b w:val="0"/>
                <w:sz w:val="18"/>
                <w:szCs w:val="18"/>
              </w:rPr>
              <w:t>Yea</w:t>
            </w:r>
            <w:r w:rsidRPr="003F7678">
              <w:rPr>
                <w:rFonts w:cs="Arial"/>
                <w:b w:val="0"/>
                <w:bCs/>
                <w:sz w:val="18"/>
                <w:szCs w:val="18"/>
              </w:rPr>
              <w:t>r</w:t>
            </w:r>
            <w:r w:rsidRPr="003F7678">
              <w:rPr>
                <w:rFonts w:cs="Arial"/>
                <w:b w:val="0"/>
                <w:sz w:val="18"/>
                <w:szCs w:val="18"/>
              </w:rPr>
              <w:t>s</w:t>
            </w:r>
          </w:p>
          <w:p w:rsidR="00A43C03" w:rsidRPr="003F7678" w:rsidRDefault="00A43C03" w:rsidP="00A43C03">
            <w:pPr>
              <w:pStyle w:val="IATableLabel"/>
              <w:jc w:val="right"/>
              <w:rPr>
                <w:rFonts w:cs="Arial"/>
              </w:rPr>
            </w:pPr>
            <w:r w:rsidRPr="003F7678">
              <w:rPr>
                <w:rFonts w:cs="Arial"/>
              </w:rPr>
              <w:br/>
            </w:r>
          </w:p>
        </w:tc>
        <w:tc>
          <w:tcPr>
            <w:tcW w:w="2865" w:type="dxa"/>
            <w:tcBorders>
              <w:top w:val="single" w:sz="4" w:space="0" w:color="auto"/>
              <w:right w:val="single" w:sz="12" w:space="0" w:color="auto"/>
            </w:tcBorders>
          </w:tcPr>
          <w:p w:rsidR="00A43C03" w:rsidRPr="003F7678" w:rsidRDefault="00A43C03" w:rsidP="00A43C03">
            <w:pPr>
              <w:pStyle w:val="IATableLabel"/>
              <w:jc w:val="right"/>
              <w:rPr>
                <w:rFonts w:cs="Arial"/>
                <w:bCs/>
              </w:rPr>
            </w:pPr>
            <w:r w:rsidRPr="003F7678">
              <w:rPr>
                <w:rFonts w:cs="Arial"/>
              </w:rPr>
              <w:t xml:space="preserve">Average Annual </w:t>
            </w:r>
            <w:r w:rsidRPr="003F7678">
              <w:rPr>
                <w:rFonts w:cs="Arial"/>
              </w:rPr>
              <w:br/>
            </w:r>
            <w:r w:rsidRPr="003F7678">
              <w:rPr>
                <w:rFonts w:cs="Arial"/>
                <w:b w:val="0"/>
                <w:sz w:val="18"/>
                <w:szCs w:val="18"/>
              </w:rPr>
              <w:t xml:space="preserve">(excl. Transition) </w:t>
            </w:r>
            <w:r w:rsidRPr="003F7678">
              <w:rPr>
                <w:rFonts w:cs="Arial"/>
                <w:b w:val="0"/>
                <w:bCs/>
                <w:sz w:val="18"/>
                <w:szCs w:val="18"/>
              </w:rPr>
              <w:t>(Constant Price)</w:t>
            </w:r>
          </w:p>
        </w:tc>
        <w:tc>
          <w:tcPr>
            <w:tcW w:w="2636" w:type="dxa"/>
            <w:gridSpan w:val="2"/>
            <w:tcBorders>
              <w:top w:val="single" w:sz="4" w:space="0" w:color="auto"/>
              <w:left w:val="single" w:sz="12" w:space="0" w:color="auto"/>
            </w:tcBorders>
          </w:tcPr>
          <w:p w:rsidR="00A43C03" w:rsidRPr="003F7678" w:rsidRDefault="00A43C03" w:rsidP="00A43C03">
            <w:pPr>
              <w:pStyle w:val="IATableLabel"/>
              <w:jc w:val="right"/>
              <w:rPr>
                <w:rFonts w:cs="Arial"/>
              </w:rPr>
            </w:pPr>
            <w:r w:rsidRPr="003F7678">
              <w:rPr>
                <w:rFonts w:cs="Arial"/>
              </w:rPr>
              <w:t>Total Benefit</w:t>
            </w:r>
            <w:r w:rsidRPr="003F7678">
              <w:rPr>
                <w:rFonts w:cs="Arial"/>
                <w:b w:val="0"/>
                <w:sz w:val="18"/>
                <w:szCs w:val="18"/>
              </w:rPr>
              <w:t xml:space="preserve"> </w:t>
            </w:r>
            <w:r w:rsidRPr="003F7678">
              <w:rPr>
                <w:rFonts w:cs="Arial"/>
                <w:b w:val="0"/>
                <w:sz w:val="18"/>
                <w:szCs w:val="18"/>
              </w:rPr>
              <w:br/>
              <w:t>(Present Value)</w:t>
            </w:r>
          </w:p>
        </w:tc>
      </w:tr>
      <w:tr w:rsidR="00A43C03" w:rsidRPr="003F7678" w:rsidTr="00A43C03">
        <w:trPr>
          <w:trHeight w:hRule="exact" w:val="348"/>
        </w:trPr>
        <w:tc>
          <w:tcPr>
            <w:tcW w:w="1995" w:type="dxa"/>
            <w:vAlign w:val="center"/>
          </w:tcPr>
          <w:p w:rsidR="00A43C03" w:rsidRPr="003F7678" w:rsidRDefault="00A43C03" w:rsidP="00A43C03">
            <w:pPr>
              <w:pStyle w:val="IATableLabel"/>
              <w:rPr>
                <w:rFonts w:cs="Arial"/>
              </w:rPr>
            </w:pPr>
            <w:r w:rsidRPr="003F7678">
              <w:rPr>
                <w:rFonts w:cs="Arial"/>
              </w:rPr>
              <w:t xml:space="preserve">Low </w:t>
            </w:r>
          </w:p>
        </w:tc>
        <w:tc>
          <w:tcPr>
            <w:tcW w:w="1949" w:type="dxa"/>
            <w:vAlign w:val="center"/>
          </w:tcPr>
          <w:p w:rsidR="00A43C03" w:rsidRPr="003F7678" w:rsidRDefault="00A43C03" w:rsidP="00A43C03">
            <w:pPr>
              <w:pStyle w:val="POTTBenLow"/>
              <w:rPr>
                <w:rFonts w:cs="Arial"/>
                <w:sz w:val="20"/>
              </w:rPr>
            </w:pPr>
            <w:r>
              <w:rPr>
                <w:rFonts w:cs="Arial"/>
                <w:sz w:val="20"/>
              </w:rPr>
              <w:t>£0.0</w:t>
            </w:r>
          </w:p>
        </w:tc>
        <w:tc>
          <w:tcPr>
            <w:tcW w:w="790" w:type="dxa"/>
            <w:vMerge w:val="restart"/>
            <w:vAlign w:val="center"/>
          </w:tcPr>
          <w:p w:rsidR="00A43C03" w:rsidRPr="003F7678" w:rsidRDefault="00A43C03" w:rsidP="00A43C03">
            <w:pPr>
              <w:pStyle w:val="IATableText"/>
              <w:jc w:val="center"/>
              <w:rPr>
                <w:rFonts w:cs="Arial"/>
                <w:sz w:val="20"/>
              </w:rPr>
            </w:pPr>
            <w:r>
              <w:rPr>
                <w:rFonts w:cs="Arial"/>
                <w:sz w:val="20"/>
              </w:rPr>
              <w:t>0</w:t>
            </w:r>
          </w:p>
        </w:tc>
        <w:tc>
          <w:tcPr>
            <w:tcW w:w="2865" w:type="dxa"/>
            <w:tcBorders>
              <w:right w:val="single" w:sz="12" w:space="0" w:color="auto"/>
            </w:tcBorders>
            <w:vAlign w:val="center"/>
          </w:tcPr>
          <w:p w:rsidR="00A43C03" w:rsidRPr="003F7678" w:rsidRDefault="00A43C03" w:rsidP="00A43C03">
            <w:pPr>
              <w:pStyle w:val="POAABenLow"/>
              <w:rPr>
                <w:rFonts w:cs="Arial"/>
                <w:sz w:val="20"/>
              </w:rPr>
            </w:pPr>
            <w:r>
              <w:rPr>
                <w:rFonts w:cs="Arial"/>
                <w:sz w:val="20"/>
              </w:rPr>
              <w:t>£19m</w:t>
            </w:r>
          </w:p>
        </w:tc>
        <w:tc>
          <w:tcPr>
            <w:tcW w:w="2636" w:type="dxa"/>
            <w:gridSpan w:val="2"/>
            <w:tcBorders>
              <w:left w:val="single" w:sz="12" w:space="0" w:color="auto"/>
            </w:tcBorders>
            <w:vAlign w:val="center"/>
          </w:tcPr>
          <w:p w:rsidR="00A43C03" w:rsidRPr="003F7678" w:rsidRDefault="00A43C03" w:rsidP="00A43C03">
            <w:pPr>
              <w:pStyle w:val="POTBBenLow"/>
              <w:rPr>
                <w:rFonts w:cs="Arial"/>
                <w:sz w:val="20"/>
              </w:rPr>
            </w:pPr>
            <w:r>
              <w:rPr>
                <w:rFonts w:cs="Arial"/>
                <w:sz w:val="20"/>
              </w:rPr>
              <w:t>£164m</w:t>
            </w:r>
          </w:p>
        </w:tc>
      </w:tr>
      <w:tr w:rsidR="00A43C03" w:rsidRPr="003F7678" w:rsidTr="00A43C03">
        <w:trPr>
          <w:trHeight w:hRule="exact" w:val="532"/>
        </w:trPr>
        <w:tc>
          <w:tcPr>
            <w:tcW w:w="1995" w:type="dxa"/>
            <w:tcBorders>
              <w:bottom w:val="single" w:sz="12" w:space="0" w:color="auto"/>
            </w:tcBorders>
            <w:vAlign w:val="center"/>
          </w:tcPr>
          <w:p w:rsidR="00A43C03" w:rsidRPr="003F7678" w:rsidRDefault="00A43C03" w:rsidP="00A43C03">
            <w:pPr>
              <w:pStyle w:val="IATableLabel"/>
              <w:rPr>
                <w:rFonts w:cs="Arial"/>
              </w:rPr>
            </w:pPr>
            <w:r w:rsidRPr="003F7678">
              <w:rPr>
                <w:rFonts w:cs="Arial"/>
              </w:rPr>
              <w:t xml:space="preserve">High </w:t>
            </w:r>
          </w:p>
        </w:tc>
        <w:tc>
          <w:tcPr>
            <w:tcW w:w="1949" w:type="dxa"/>
            <w:tcBorders>
              <w:bottom w:val="single" w:sz="12" w:space="0" w:color="auto"/>
            </w:tcBorders>
            <w:vAlign w:val="center"/>
          </w:tcPr>
          <w:p w:rsidR="00A43C03" w:rsidRPr="003F7678" w:rsidRDefault="00A43C03" w:rsidP="00A43C03">
            <w:pPr>
              <w:pStyle w:val="POTTBenHigh"/>
              <w:rPr>
                <w:rFonts w:cs="Arial"/>
                <w:sz w:val="20"/>
              </w:rPr>
            </w:pPr>
            <w:r>
              <w:rPr>
                <w:rFonts w:cs="Arial"/>
                <w:sz w:val="20"/>
              </w:rPr>
              <w:t>£0.0</w:t>
            </w:r>
          </w:p>
        </w:tc>
        <w:tc>
          <w:tcPr>
            <w:tcW w:w="790" w:type="dxa"/>
            <w:vMerge/>
            <w:shd w:val="clear" w:color="auto" w:fill="FFFFFF"/>
            <w:vAlign w:val="center"/>
          </w:tcPr>
          <w:p w:rsidR="00A43C03" w:rsidRPr="003F7678" w:rsidRDefault="00A43C03" w:rsidP="00A43C03">
            <w:pPr>
              <w:pStyle w:val="IATableText"/>
              <w:jc w:val="right"/>
              <w:rPr>
                <w:rFonts w:cs="Arial"/>
                <w:sz w:val="20"/>
              </w:rPr>
            </w:pPr>
          </w:p>
        </w:tc>
        <w:tc>
          <w:tcPr>
            <w:tcW w:w="2865" w:type="dxa"/>
            <w:tcBorders>
              <w:bottom w:val="single" w:sz="12" w:space="0" w:color="auto"/>
              <w:right w:val="single" w:sz="12" w:space="0" w:color="auto"/>
            </w:tcBorders>
            <w:vAlign w:val="center"/>
          </w:tcPr>
          <w:p w:rsidR="00A43C03" w:rsidRPr="003F7678" w:rsidRDefault="00A43C03" w:rsidP="00A43C03">
            <w:pPr>
              <w:pStyle w:val="POAABenHigh"/>
              <w:rPr>
                <w:rFonts w:cs="Arial"/>
                <w:sz w:val="20"/>
              </w:rPr>
            </w:pPr>
            <w:r>
              <w:rPr>
                <w:rFonts w:cs="Arial"/>
                <w:sz w:val="20"/>
              </w:rPr>
              <w:t>£55m</w:t>
            </w:r>
          </w:p>
        </w:tc>
        <w:tc>
          <w:tcPr>
            <w:tcW w:w="2636" w:type="dxa"/>
            <w:gridSpan w:val="2"/>
            <w:tcBorders>
              <w:left w:val="single" w:sz="12" w:space="0" w:color="auto"/>
              <w:bottom w:val="single" w:sz="12" w:space="0" w:color="auto"/>
            </w:tcBorders>
            <w:vAlign w:val="center"/>
          </w:tcPr>
          <w:p w:rsidR="00A43C03" w:rsidRPr="003F7678" w:rsidRDefault="00A43C03" w:rsidP="00A43C03">
            <w:pPr>
              <w:pStyle w:val="POTBBenHigh"/>
              <w:rPr>
                <w:rFonts w:cs="Arial"/>
                <w:sz w:val="20"/>
              </w:rPr>
            </w:pPr>
            <w:r>
              <w:rPr>
                <w:rFonts w:cs="Arial"/>
                <w:sz w:val="20"/>
              </w:rPr>
              <w:t>£473m</w:t>
            </w:r>
          </w:p>
        </w:tc>
      </w:tr>
      <w:tr w:rsidR="00A43C03" w:rsidRPr="003F7678" w:rsidTr="00A43C03">
        <w:trPr>
          <w:trHeight w:hRule="exact" w:val="348"/>
        </w:trPr>
        <w:tc>
          <w:tcPr>
            <w:tcW w:w="1995" w:type="dxa"/>
            <w:tcBorders>
              <w:top w:val="single" w:sz="12" w:space="0" w:color="auto"/>
              <w:bottom w:val="single" w:sz="12" w:space="0" w:color="auto"/>
              <w:right w:val="single" w:sz="12" w:space="0" w:color="auto"/>
            </w:tcBorders>
            <w:shd w:val="clear" w:color="auto" w:fill="FFFFFF"/>
            <w:vAlign w:val="center"/>
          </w:tcPr>
          <w:p w:rsidR="00A43C03" w:rsidRPr="003F7678" w:rsidRDefault="00A43C03" w:rsidP="00A43C03">
            <w:pPr>
              <w:pStyle w:val="IATableLabel"/>
              <w:rPr>
                <w:rFonts w:cs="Arial"/>
              </w:rPr>
            </w:pPr>
            <w:r w:rsidRPr="003F7678">
              <w:rPr>
                <w:rFonts w:cs="Arial"/>
              </w:rPr>
              <w:t>Best Estimate</w:t>
            </w:r>
          </w:p>
          <w:p w:rsidR="00A43C03" w:rsidRPr="003F7678" w:rsidRDefault="00A43C03" w:rsidP="00A43C03">
            <w:pPr>
              <w:pStyle w:val="IATableNotes"/>
              <w:spacing w:beforeLines="40" w:before="96"/>
              <w:ind w:left="0" w:right="-22"/>
              <w:jc w:val="center"/>
              <w:rPr>
                <w:rFonts w:cs="Arial"/>
                <w:b/>
                <w:sz w:val="20"/>
              </w:rPr>
            </w:pPr>
          </w:p>
        </w:tc>
        <w:tc>
          <w:tcPr>
            <w:tcW w:w="1949" w:type="dxa"/>
            <w:tcBorders>
              <w:top w:val="single" w:sz="12" w:space="0" w:color="auto"/>
              <w:left w:val="single" w:sz="12" w:space="0" w:color="auto"/>
              <w:bottom w:val="single" w:sz="12" w:space="0" w:color="auto"/>
              <w:right w:val="single" w:sz="12" w:space="0" w:color="auto"/>
            </w:tcBorders>
            <w:shd w:val="clear" w:color="auto" w:fill="FFFFFF"/>
            <w:vAlign w:val="center"/>
          </w:tcPr>
          <w:p w:rsidR="00A43C03" w:rsidRPr="003F7678" w:rsidRDefault="00A43C03" w:rsidP="00A43C03">
            <w:pPr>
              <w:pStyle w:val="POTTBenBest"/>
              <w:rPr>
                <w:rFonts w:cs="Arial"/>
                <w:sz w:val="20"/>
              </w:rPr>
            </w:pPr>
            <w:r>
              <w:rPr>
                <w:rFonts w:cs="Arial"/>
                <w:sz w:val="20"/>
              </w:rPr>
              <w:t>£0.0</w:t>
            </w:r>
          </w:p>
        </w:tc>
        <w:tc>
          <w:tcPr>
            <w:tcW w:w="790" w:type="dxa"/>
            <w:vMerge/>
            <w:tcBorders>
              <w:left w:val="single" w:sz="12" w:space="0" w:color="auto"/>
              <w:right w:val="single" w:sz="12" w:space="0" w:color="auto"/>
            </w:tcBorders>
            <w:shd w:val="clear" w:color="auto" w:fill="FFFFFF"/>
            <w:vAlign w:val="center"/>
          </w:tcPr>
          <w:p w:rsidR="00A43C03" w:rsidRPr="003F7678" w:rsidRDefault="00A43C03" w:rsidP="00A43C03">
            <w:pPr>
              <w:pStyle w:val="IATableText"/>
              <w:jc w:val="right"/>
              <w:rPr>
                <w:rFonts w:cs="Arial"/>
                <w:sz w:val="20"/>
              </w:rPr>
            </w:pPr>
          </w:p>
        </w:tc>
        <w:tc>
          <w:tcPr>
            <w:tcW w:w="2865" w:type="dxa"/>
            <w:tcBorders>
              <w:top w:val="single" w:sz="12" w:space="0" w:color="auto"/>
              <w:left w:val="single" w:sz="12" w:space="0" w:color="auto"/>
              <w:bottom w:val="single" w:sz="12" w:space="0" w:color="auto"/>
              <w:right w:val="single" w:sz="12" w:space="0" w:color="auto"/>
            </w:tcBorders>
            <w:shd w:val="clear" w:color="auto" w:fill="FFFFFF"/>
            <w:vAlign w:val="center"/>
          </w:tcPr>
          <w:p w:rsidR="00A43C03" w:rsidRPr="003F7678" w:rsidRDefault="00A43C03" w:rsidP="00A43C03">
            <w:pPr>
              <w:pStyle w:val="POAABenBest"/>
              <w:rPr>
                <w:rFonts w:cs="Arial"/>
                <w:sz w:val="20"/>
              </w:rPr>
            </w:pPr>
            <w:r>
              <w:rPr>
                <w:rFonts w:cs="Arial"/>
                <w:sz w:val="20"/>
              </w:rPr>
              <w:t>£19-55m</w:t>
            </w:r>
          </w:p>
        </w:tc>
        <w:tc>
          <w:tcPr>
            <w:tcW w:w="2636" w:type="dxa"/>
            <w:gridSpan w:val="2"/>
            <w:tcBorders>
              <w:top w:val="single" w:sz="12" w:space="0" w:color="auto"/>
              <w:left w:val="single" w:sz="12" w:space="0" w:color="auto"/>
              <w:bottom w:val="single" w:sz="12" w:space="0" w:color="auto"/>
            </w:tcBorders>
            <w:shd w:val="clear" w:color="auto" w:fill="FFFFFF"/>
            <w:vAlign w:val="center"/>
          </w:tcPr>
          <w:p w:rsidR="00A43C03" w:rsidRPr="003F7678" w:rsidRDefault="00A43C03" w:rsidP="00A43C03">
            <w:pPr>
              <w:pStyle w:val="POTBBenBest"/>
              <w:rPr>
                <w:rFonts w:cs="Arial"/>
                <w:sz w:val="20"/>
              </w:rPr>
            </w:pPr>
            <w:r>
              <w:rPr>
                <w:rFonts w:cs="Arial"/>
                <w:sz w:val="20"/>
              </w:rPr>
              <w:t>£160-470m</w:t>
            </w:r>
          </w:p>
        </w:tc>
      </w:tr>
      <w:tr w:rsidR="00A43C03" w:rsidRPr="003F7678" w:rsidTr="00A43C03">
        <w:trPr>
          <w:trHeight w:hRule="exact" w:val="2203"/>
        </w:trPr>
        <w:tc>
          <w:tcPr>
            <w:tcW w:w="10235" w:type="dxa"/>
            <w:gridSpan w:val="6"/>
          </w:tcPr>
          <w:p w:rsidR="00A43C03" w:rsidRPr="003F7678" w:rsidRDefault="00A43C03" w:rsidP="00A43C03">
            <w:pPr>
              <w:pStyle w:val="IPPOQ3"/>
              <w:rPr>
                <w:rFonts w:cs="Arial"/>
                <w:szCs w:val="22"/>
              </w:rPr>
            </w:pPr>
            <w:r w:rsidRPr="003F7678">
              <w:rPr>
                <w:rFonts w:cs="Arial"/>
              </w:rPr>
              <w:t xml:space="preserve">Description and scale of key monetised benefits by ‘main affected groups’ </w:t>
            </w:r>
          </w:p>
          <w:p w:rsidR="00A43C03" w:rsidRDefault="00A43C03" w:rsidP="00A43C03">
            <w:pPr>
              <w:pStyle w:val="IAPOA1"/>
              <w:rPr>
                <w:rFonts w:cs="Arial"/>
              </w:rPr>
            </w:pPr>
            <w:r>
              <w:rPr>
                <w:rFonts w:cs="Arial"/>
              </w:rPr>
              <w:t xml:space="preserve">Assuming between 65 and 130 million metres of fabric is treated every year in the UK then cost savings to business, assuming a 20-50% reduction in the cost of flame retardant chemicals, would be in the order of £11.5m to £47.5m a year. This benefit accrues to furniture manufacturers selling to the UK market and derives from a saving on the process of treating fabrics so they can meet the 'match test' requirements of the FFRs. In addition, it is assumed that the cost of testing fabrics to the cigarette test will be reduced by £7.5m giving a total range of £19m to £55m annual savings. </w:t>
            </w:r>
          </w:p>
          <w:p w:rsidR="00A43C03" w:rsidRDefault="00A43C03" w:rsidP="00A43C03">
            <w:pPr>
              <w:pStyle w:val="IAPOA1"/>
              <w:rPr>
                <w:rFonts w:cs="Arial"/>
              </w:rPr>
            </w:pPr>
          </w:p>
          <w:p w:rsidR="00A43C03" w:rsidRDefault="00A43C03" w:rsidP="00A43C03">
            <w:pPr>
              <w:pStyle w:val="IAPOA1"/>
              <w:rPr>
                <w:rFonts w:cs="Arial"/>
              </w:rPr>
            </w:pPr>
          </w:p>
          <w:p w:rsidR="00A43C03" w:rsidRPr="003F7678" w:rsidRDefault="00A43C03" w:rsidP="00A43C03">
            <w:pPr>
              <w:pStyle w:val="IAPOA3"/>
              <w:rPr>
                <w:rFonts w:cs="Arial"/>
              </w:rPr>
            </w:pPr>
          </w:p>
        </w:tc>
      </w:tr>
      <w:tr w:rsidR="00A43C03" w:rsidRPr="003F7678" w:rsidTr="00A43C03">
        <w:trPr>
          <w:trHeight w:hRule="exact" w:val="3619"/>
        </w:trPr>
        <w:tc>
          <w:tcPr>
            <w:tcW w:w="10235" w:type="dxa"/>
            <w:gridSpan w:val="6"/>
          </w:tcPr>
          <w:p w:rsidR="00A43C03" w:rsidRPr="003F7678" w:rsidRDefault="00A43C03" w:rsidP="00A43C03">
            <w:pPr>
              <w:pStyle w:val="IAPOQ4"/>
              <w:rPr>
                <w:rFonts w:cs="Arial"/>
                <w:szCs w:val="22"/>
              </w:rPr>
            </w:pPr>
            <w:r w:rsidRPr="003F7678">
              <w:rPr>
                <w:rFonts w:cs="Arial"/>
              </w:rPr>
              <w:t xml:space="preserve">Other key non-monetised benefits by ‘main affected groups’ </w:t>
            </w:r>
          </w:p>
          <w:p w:rsidR="00A43C03" w:rsidRDefault="00A43C03" w:rsidP="00A43C03">
            <w:pPr>
              <w:pStyle w:val="IAPOA4"/>
              <w:rPr>
                <w:rFonts w:cs="Arial"/>
              </w:rPr>
            </w:pPr>
            <w:r>
              <w:rPr>
                <w:rFonts w:cs="Arial"/>
              </w:rPr>
              <w:t xml:space="preserve">The reduction of 20-50% of flame retardant chemical costs in UK furniture could make UK companies more competitive in the EU non-domestic market, since EU FR regulations are less stringent (i.e. while most Member States don't want FR chemicals in their domestic furniture, the higher flammability requirements for their non-domestic furniture mean some FR use is essential). There are also considerable health benefits that may result from this reduction in flame retardant use. Research projects show that brominated FRs accumulate in fauna, and are present in human blood and breast milk. Public concern about this issue in the US has directly affected fire safety policy there, and industry in the UK inform us there is growing public concern here too. </w:t>
            </w:r>
          </w:p>
          <w:p w:rsidR="00A43C03" w:rsidRDefault="00A43C03" w:rsidP="00A43C03">
            <w:pPr>
              <w:pStyle w:val="IAPOA4"/>
              <w:rPr>
                <w:rFonts w:cs="Arial"/>
              </w:rPr>
            </w:pPr>
          </w:p>
          <w:p w:rsidR="00A43C03" w:rsidRPr="003F7678" w:rsidRDefault="00A43C03" w:rsidP="00A43C03">
            <w:pPr>
              <w:pStyle w:val="IAPOA4"/>
              <w:rPr>
                <w:rFonts w:cs="Arial"/>
              </w:rPr>
            </w:pPr>
            <w:r>
              <w:rPr>
                <w:rFonts w:cs="Arial"/>
              </w:rPr>
              <w:t>Industry has also indicated that the cost of chemicals used in treatment may rise in the future, which has not been factored in to the current calculations, for example one large UK furniture producer said they will be paying £2 per metre for treatment by the time the new test is implemented (up from £1.30 per metre now).</w:t>
            </w:r>
          </w:p>
        </w:tc>
      </w:tr>
      <w:tr w:rsidR="00A43C03" w:rsidRPr="003F7678" w:rsidTr="00A43C03">
        <w:trPr>
          <w:trHeight w:hRule="exact" w:val="712"/>
        </w:trPr>
        <w:tc>
          <w:tcPr>
            <w:tcW w:w="9375" w:type="dxa"/>
            <w:gridSpan w:val="5"/>
            <w:tcBorders>
              <w:bottom w:val="nil"/>
            </w:tcBorders>
          </w:tcPr>
          <w:p w:rsidR="00A43C03" w:rsidRPr="003F7678" w:rsidRDefault="00A43C03" w:rsidP="00A43C03">
            <w:pPr>
              <w:pStyle w:val="IATableLabel"/>
              <w:tabs>
                <w:tab w:val="left" w:pos="7655"/>
              </w:tabs>
              <w:rPr>
                <w:rFonts w:cs="Arial"/>
              </w:rPr>
            </w:pPr>
            <w:r w:rsidRPr="003F7678">
              <w:rPr>
                <w:rStyle w:val="IAPOQ5Char"/>
                <w:rFonts w:cs="Arial"/>
              </w:rPr>
              <w:t>Key assumptions/sensitivities/risks</w:t>
            </w:r>
            <w:r w:rsidRPr="003F7678">
              <w:rPr>
                <w:rFonts w:cs="Arial"/>
              </w:rPr>
              <w:tab/>
              <w:t>Discount rate (</w:t>
            </w:r>
            <w:r>
              <w:rPr>
                <w:rFonts w:cs="Arial"/>
              </w:rPr>
              <w:t>3.5</w:t>
            </w:r>
            <w:r w:rsidRPr="003F7678">
              <w:rPr>
                <w:rFonts w:cs="Arial"/>
              </w:rPr>
              <w:t>%)</w:t>
            </w:r>
          </w:p>
          <w:p w:rsidR="00A43C03" w:rsidRPr="003F7678" w:rsidRDefault="00A43C03" w:rsidP="00A43C03">
            <w:pPr>
              <w:pStyle w:val="IATableLabel"/>
              <w:rPr>
                <w:rFonts w:cs="Arial"/>
              </w:rPr>
            </w:pPr>
          </w:p>
        </w:tc>
        <w:tc>
          <w:tcPr>
            <w:tcW w:w="860" w:type="dxa"/>
            <w:tcBorders>
              <w:bottom w:val="single" w:sz="4" w:space="0" w:color="auto"/>
            </w:tcBorders>
          </w:tcPr>
          <w:p w:rsidR="00A43C03" w:rsidRPr="003F7678" w:rsidRDefault="00A43C03" w:rsidP="00A43C03">
            <w:pPr>
              <w:pStyle w:val="IAPODisRate"/>
              <w:rPr>
                <w:rFonts w:cs="Arial"/>
              </w:rPr>
            </w:pPr>
            <w:r>
              <w:rPr>
                <w:rFonts w:cs="Arial"/>
              </w:rPr>
              <w:t>3.5</w:t>
            </w:r>
          </w:p>
        </w:tc>
      </w:tr>
      <w:tr w:rsidR="00A43C03" w:rsidRPr="003F7678" w:rsidTr="00A43C03">
        <w:trPr>
          <w:trHeight w:hRule="exact" w:val="2271"/>
        </w:trPr>
        <w:tc>
          <w:tcPr>
            <w:tcW w:w="10235" w:type="dxa"/>
            <w:gridSpan w:val="6"/>
            <w:tcBorders>
              <w:top w:val="nil"/>
              <w:bottom w:val="single" w:sz="12" w:space="0" w:color="auto"/>
            </w:tcBorders>
          </w:tcPr>
          <w:p w:rsidR="00A43C03" w:rsidRDefault="00A43C03" w:rsidP="00A43C03">
            <w:pPr>
              <w:pStyle w:val="IAPOA5"/>
              <w:rPr>
                <w:rFonts w:cs="Arial"/>
                <w:sz w:val="20"/>
              </w:rPr>
            </w:pPr>
          </w:p>
          <w:p w:rsidR="00A43C03" w:rsidRDefault="00A43C03" w:rsidP="00A43C03">
            <w:pPr>
              <w:pStyle w:val="IAPOA5"/>
              <w:rPr>
                <w:rFonts w:cs="Arial"/>
                <w:sz w:val="20"/>
              </w:rPr>
            </w:pPr>
            <w:bookmarkStart w:id="89" w:name="OLE_LINK19"/>
            <w:bookmarkStart w:id="90" w:name="OLE_LINK20"/>
            <w:r>
              <w:rPr>
                <w:rFonts w:cs="Arial"/>
                <w:szCs w:val="22"/>
              </w:rPr>
              <w:t xml:space="preserve">Two alternative methodologies were used to derive the range. The consultation looks to improve the current evidence base but given the information available, a range is given to indicate the order of magnitude. The key uncertainty is how to estimate the amount of fabric treated by UK manufacturers of furniture, which using the two methodologies, gives a range of 65 to 130 million metres per annum. Cost savings from treatment also have been estimated to range between 11.5p to 32.5p, enlarging the range further. The cost saving and annual demand for treated fabric are the key sensitivities; a full discussion on the alternative methodologies and a list of all the assumptions is discussed below. </w:t>
            </w:r>
          </w:p>
          <w:bookmarkEnd w:id="89"/>
          <w:bookmarkEnd w:id="90"/>
          <w:p w:rsidR="00A43C03" w:rsidRPr="003F7678" w:rsidRDefault="00A43C03" w:rsidP="00A43C03">
            <w:pPr>
              <w:pStyle w:val="IAPOA5"/>
              <w:rPr>
                <w:rFonts w:cs="Arial"/>
                <w:sz w:val="20"/>
              </w:rPr>
            </w:pPr>
          </w:p>
        </w:tc>
      </w:tr>
    </w:tbl>
    <w:p w:rsidR="00A43C03" w:rsidRPr="003F7678" w:rsidRDefault="00A43C03" w:rsidP="00A43C03">
      <w:pPr>
        <w:pStyle w:val="IASpacer"/>
        <w:rPr>
          <w:rFonts w:cs="Arial"/>
        </w:rPr>
      </w:pPr>
    </w:p>
    <w:p w:rsidR="00A43C03" w:rsidRPr="003F7678" w:rsidRDefault="00A43C03" w:rsidP="00A43C03">
      <w:pPr>
        <w:pStyle w:val="IAHeadLabel"/>
        <w:spacing w:before="50"/>
        <w:rPr>
          <w:rFonts w:cs="Arial"/>
        </w:rPr>
      </w:pPr>
      <w:r w:rsidRPr="003F7678">
        <w:rPr>
          <w:rFonts w:cs="Arial"/>
        </w:rPr>
        <w:t xml:space="preserve">BUSINESS ASSESSMENT (Option </w:t>
      </w:r>
      <w:r w:rsidRPr="003F7678">
        <w:rPr>
          <w:rFonts w:cs="Arial"/>
        </w:rPr>
        <w:fldChar w:fldCharType="begin"/>
      </w:r>
      <w:r w:rsidRPr="003F7678">
        <w:rPr>
          <w:rFonts w:cs="Arial"/>
        </w:rPr>
        <w:instrText xml:space="preserve"> SEQ BA </w:instrText>
      </w:r>
      <w:r w:rsidRPr="003F7678">
        <w:rPr>
          <w:rFonts w:cs="Arial"/>
        </w:rPr>
        <w:fldChar w:fldCharType="separate"/>
      </w:r>
      <w:r w:rsidR="000A0889">
        <w:rPr>
          <w:rFonts w:cs="Arial"/>
          <w:noProof/>
        </w:rPr>
        <w:t>1</w:t>
      </w:r>
      <w:r w:rsidRPr="003F7678">
        <w:rPr>
          <w:rFonts w:cs="Arial"/>
        </w:rPr>
        <w:fldChar w:fldCharType="end"/>
      </w:r>
      <w:r w:rsidRPr="003F7678">
        <w:rPr>
          <w:rFonts w:cs="Arial"/>
        </w:rPr>
        <w:t>)</w:t>
      </w:r>
    </w:p>
    <w:tbl>
      <w:tblPr>
        <w:tblW w:w="5000" w:type="pct"/>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2001"/>
        <w:gridCol w:w="2167"/>
        <w:gridCol w:w="1991"/>
        <w:gridCol w:w="1991"/>
        <w:gridCol w:w="2122"/>
      </w:tblGrid>
      <w:tr w:rsidR="00A43C03" w:rsidRPr="003F7678" w:rsidTr="00A43C03">
        <w:trPr>
          <w:trHeight w:hRule="exact" w:val="312"/>
        </w:trPr>
        <w:tc>
          <w:tcPr>
            <w:tcW w:w="6125" w:type="dxa"/>
            <w:gridSpan w:val="3"/>
            <w:tcBorders>
              <w:top w:val="single" w:sz="4" w:space="0" w:color="auto"/>
              <w:bottom w:val="nil"/>
              <w:right w:val="single" w:sz="4" w:space="0" w:color="auto"/>
            </w:tcBorders>
          </w:tcPr>
          <w:p w:rsidR="00A43C03" w:rsidRPr="003F7678" w:rsidRDefault="00A43C03" w:rsidP="00A43C03">
            <w:pPr>
              <w:pStyle w:val="IATableLabel"/>
              <w:rPr>
                <w:rFonts w:cs="Arial"/>
              </w:rPr>
            </w:pPr>
            <w:r w:rsidRPr="003F7678">
              <w:rPr>
                <w:rFonts w:cs="Arial"/>
              </w:rPr>
              <w:t xml:space="preserve">Direct impact on business (Equivalent Annual) £m: </w:t>
            </w:r>
          </w:p>
        </w:tc>
        <w:tc>
          <w:tcPr>
            <w:tcW w:w="1980" w:type="dxa"/>
            <w:tcBorders>
              <w:top w:val="single" w:sz="4" w:space="0" w:color="auto"/>
              <w:left w:val="single" w:sz="4" w:space="0" w:color="auto"/>
              <w:bottom w:val="nil"/>
              <w:right w:val="nil"/>
            </w:tcBorders>
          </w:tcPr>
          <w:p w:rsidR="00A43C03" w:rsidRPr="003F7678" w:rsidRDefault="00A43C03" w:rsidP="00A43C03">
            <w:pPr>
              <w:pStyle w:val="IATableLabel"/>
              <w:rPr>
                <w:rFonts w:cs="Arial"/>
              </w:rPr>
            </w:pPr>
            <w:r w:rsidRPr="003F7678">
              <w:rPr>
                <w:rFonts w:cs="Arial"/>
              </w:rPr>
              <w:t>In scope of OIOO?</w:t>
            </w:r>
          </w:p>
        </w:tc>
        <w:tc>
          <w:tcPr>
            <w:tcW w:w="2110" w:type="dxa"/>
            <w:tcBorders>
              <w:top w:val="single" w:sz="4" w:space="0" w:color="auto"/>
              <w:left w:val="nil"/>
              <w:bottom w:val="nil"/>
            </w:tcBorders>
          </w:tcPr>
          <w:p w:rsidR="00A43C03" w:rsidRPr="003F7678" w:rsidRDefault="00A43C03" w:rsidP="00A43C03">
            <w:pPr>
              <w:pStyle w:val="IATableLabel"/>
              <w:ind w:left="0"/>
              <w:rPr>
                <w:rFonts w:cs="Arial"/>
              </w:rPr>
            </w:pPr>
            <w:r w:rsidRPr="003F7678">
              <w:rPr>
                <w:rFonts w:cs="Arial"/>
              </w:rPr>
              <w:t xml:space="preserve">  Measure qualifies as</w:t>
            </w:r>
          </w:p>
        </w:tc>
      </w:tr>
      <w:tr w:rsidR="00A43C03" w:rsidRPr="003F7678" w:rsidTr="00A43C03">
        <w:trPr>
          <w:trHeight w:hRule="exact" w:val="340"/>
        </w:trPr>
        <w:tc>
          <w:tcPr>
            <w:tcW w:w="1990" w:type="dxa"/>
            <w:tcBorders>
              <w:top w:val="nil"/>
              <w:bottom w:val="single" w:sz="4" w:space="0" w:color="auto"/>
              <w:right w:val="single" w:sz="4" w:space="0" w:color="auto"/>
            </w:tcBorders>
            <w:shd w:val="clear" w:color="auto" w:fill="FFFFFF"/>
          </w:tcPr>
          <w:p w:rsidR="00A43C03" w:rsidRPr="003F7678" w:rsidRDefault="00A43C03" w:rsidP="00A43C03">
            <w:pPr>
              <w:pStyle w:val="IATableLabel"/>
              <w:rPr>
                <w:rFonts w:cs="Arial"/>
              </w:rPr>
            </w:pPr>
            <w:r w:rsidRPr="003F7678">
              <w:rPr>
                <w:rFonts w:cs="Arial"/>
              </w:rPr>
              <w:t xml:space="preserve">Costs: </w:t>
            </w:r>
            <w:r>
              <w:rPr>
                <w:rStyle w:val="IAPODICostChar"/>
                <w:rFonts w:cs="Arial"/>
              </w:rPr>
              <w:t>£0.00</w:t>
            </w:r>
          </w:p>
        </w:tc>
        <w:tc>
          <w:tcPr>
            <w:tcW w:w="2155" w:type="dxa"/>
            <w:tcBorders>
              <w:top w:val="nil"/>
              <w:bottom w:val="single" w:sz="4" w:space="0" w:color="auto"/>
              <w:right w:val="single" w:sz="4" w:space="0" w:color="auto"/>
            </w:tcBorders>
            <w:shd w:val="clear" w:color="auto" w:fill="FFFFFF"/>
          </w:tcPr>
          <w:p w:rsidR="00A43C03" w:rsidRPr="003F7678" w:rsidRDefault="00A43C03" w:rsidP="00A43C03">
            <w:pPr>
              <w:pStyle w:val="IATableLabel"/>
              <w:rPr>
                <w:rFonts w:cs="Arial"/>
              </w:rPr>
            </w:pPr>
            <w:r w:rsidRPr="003F7678">
              <w:rPr>
                <w:rFonts w:cs="Arial"/>
              </w:rPr>
              <w:t xml:space="preserve">Benefits: </w:t>
            </w:r>
            <w:r w:rsidRPr="007D6508">
              <w:rPr>
                <w:rStyle w:val="IAPODIBenChar"/>
                <w:rFonts w:cs="Arial"/>
              </w:rPr>
              <w:t>£</w:t>
            </w:r>
            <w:r>
              <w:rPr>
                <w:rStyle w:val="IAPODIBenChar"/>
                <w:rFonts w:cs="Arial"/>
              </w:rPr>
              <w:t>15-43m</w:t>
            </w:r>
          </w:p>
        </w:tc>
        <w:tc>
          <w:tcPr>
            <w:tcW w:w="1980" w:type="dxa"/>
            <w:tcBorders>
              <w:top w:val="nil"/>
              <w:bottom w:val="single" w:sz="4" w:space="0" w:color="auto"/>
              <w:right w:val="single" w:sz="4" w:space="0" w:color="auto"/>
            </w:tcBorders>
            <w:shd w:val="clear" w:color="auto" w:fill="FFFFFF"/>
          </w:tcPr>
          <w:p w:rsidR="00A43C03" w:rsidRPr="003F7678" w:rsidRDefault="00A43C03" w:rsidP="00A43C03">
            <w:pPr>
              <w:pStyle w:val="IATableLabel"/>
              <w:rPr>
                <w:rFonts w:cs="Arial"/>
              </w:rPr>
            </w:pPr>
            <w:r w:rsidRPr="003F7678">
              <w:rPr>
                <w:rFonts w:cs="Arial"/>
              </w:rPr>
              <w:t xml:space="preserve">Net: </w:t>
            </w:r>
            <w:r w:rsidRPr="00FA42B1">
              <w:rPr>
                <w:rFonts w:cs="Arial"/>
                <w:sz w:val="22"/>
                <w:szCs w:val="22"/>
              </w:rPr>
              <w:t xml:space="preserve">- </w:t>
            </w:r>
            <w:r>
              <w:rPr>
                <w:rStyle w:val="IAPODINetChar"/>
                <w:rFonts w:cs="Arial"/>
              </w:rPr>
              <w:t>£15-43m</w:t>
            </w:r>
          </w:p>
        </w:tc>
        <w:tc>
          <w:tcPr>
            <w:tcW w:w="1980" w:type="dxa"/>
            <w:tcBorders>
              <w:top w:val="nil"/>
              <w:left w:val="single" w:sz="4" w:space="0" w:color="auto"/>
              <w:bottom w:val="single" w:sz="4" w:space="0" w:color="auto"/>
              <w:right w:val="single" w:sz="4" w:space="0" w:color="auto"/>
            </w:tcBorders>
            <w:shd w:val="clear" w:color="auto" w:fill="FFFFFF"/>
          </w:tcPr>
          <w:p w:rsidR="00A43C03" w:rsidRPr="003F7678" w:rsidRDefault="00A43C03" w:rsidP="00A43C03">
            <w:pPr>
              <w:pStyle w:val="IAPODIOIOO"/>
              <w:rPr>
                <w:rFonts w:cs="Arial"/>
                <w:sz w:val="20"/>
                <w:szCs w:val="20"/>
              </w:rPr>
            </w:pPr>
            <w:r>
              <w:rPr>
                <w:rFonts w:cs="Arial"/>
                <w:sz w:val="20"/>
                <w:szCs w:val="20"/>
              </w:rPr>
              <w:t>Yes</w:t>
            </w:r>
          </w:p>
        </w:tc>
        <w:tc>
          <w:tcPr>
            <w:tcW w:w="2110" w:type="dxa"/>
            <w:tcBorders>
              <w:top w:val="nil"/>
              <w:left w:val="single" w:sz="4" w:space="0" w:color="auto"/>
              <w:bottom w:val="single" w:sz="4" w:space="0" w:color="auto"/>
            </w:tcBorders>
          </w:tcPr>
          <w:p w:rsidR="00A43C03" w:rsidRPr="003F7678" w:rsidRDefault="00A43C03" w:rsidP="00A43C03">
            <w:pPr>
              <w:pStyle w:val="IAPODIMQ"/>
              <w:rPr>
                <w:rFonts w:cs="Arial"/>
              </w:rPr>
            </w:pPr>
            <w:r>
              <w:rPr>
                <w:rFonts w:cs="Arial"/>
              </w:rPr>
              <w:t>Out</w:t>
            </w:r>
          </w:p>
        </w:tc>
      </w:tr>
    </w:tbl>
    <w:p w:rsidR="00A43C03" w:rsidRDefault="00A43C03" w:rsidP="00A43C03">
      <w:pPr>
        <w:pStyle w:val="Heading1"/>
      </w:pPr>
    </w:p>
    <w:p w:rsidR="00A43C03" w:rsidRDefault="00A43C03" w:rsidP="00A43C03">
      <w:pPr>
        <w:pStyle w:val="Heading1"/>
      </w:pPr>
      <w:r>
        <w:br w:type="column"/>
      </w:r>
    </w:p>
    <w:p w:rsidR="00A43C03" w:rsidRPr="00D05304" w:rsidRDefault="00A43C03" w:rsidP="00A43C03">
      <w:pPr>
        <w:pStyle w:val="Heading1"/>
        <w:rPr>
          <w:color w:val="000000"/>
          <w:sz w:val="28"/>
        </w:rPr>
      </w:pPr>
      <w:bookmarkStart w:id="91" w:name="_Toc394509389"/>
      <w:r w:rsidRPr="00D05304">
        <w:rPr>
          <w:color w:val="000000"/>
          <w:sz w:val="28"/>
        </w:rPr>
        <w:t>Summary: Analysis &amp; Evidence</w:t>
      </w:r>
      <w:r w:rsidR="00D05304">
        <w:rPr>
          <w:color w:val="000000"/>
          <w:sz w:val="28"/>
        </w:rPr>
        <w:t xml:space="preserve"> - </w:t>
      </w:r>
      <w:r w:rsidRPr="00D05304">
        <w:rPr>
          <w:b w:val="0"/>
          <w:bCs w:val="0"/>
          <w:color w:val="000000"/>
          <w:sz w:val="28"/>
        </w:rPr>
        <w:t>Policy Option 3</w:t>
      </w:r>
      <w:bookmarkEnd w:id="91"/>
    </w:p>
    <w:p w:rsidR="00A43C03" w:rsidRPr="003F7678" w:rsidRDefault="00A43C03" w:rsidP="00A43C03">
      <w:pPr>
        <w:pStyle w:val="IAHeadLabel"/>
        <w:spacing w:before="50"/>
        <w:rPr>
          <w:rFonts w:cs="Arial"/>
        </w:rPr>
      </w:pPr>
      <w:r w:rsidRPr="003F7678">
        <w:rPr>
          <w:rFonts w:cs="Arial"/>
        </w:rPr>
        <w:t xml:space="preserve">Description:  </w:t>
      </w:r>
      <w:r>
        <w:rPr>
          <w:rStyle w:val="IAPODescriptionCharChar"/>
          <w:rFonts w:cs="Arial"/>
        </w:rPr>
        <w:t>Implement all Regulatory changes at the same time</w:t>
      </w:r>
    </w:p>
    <w:p w:rsidR="00A43C03" w:rsidRPr="003F7678" w:rsidRDefault="00A43C03" w:rsidP="00A43C03">
      <w:pPr>
        <w:pStyle w:val="IAHeadLabel"/>
        <w:spacing w:before="50"/>
        <w:rPr>
          <w:rFonts w:cs="Arial"/>
        </w:rPr>
      </w:pPr>
      <w:r w:rsidRPr="003F7678">
        <w:rPr>
          <w:rFonts w:cs="Arial"/>
        </w:rPr>
        <w:t>FULL ECONOMIC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72"/>
        <w:gridCol w:w="1267"/>
        <w:gridCol w:w="1448"/>
        <w:gridCol w:w="1810"/>
        <w:gridCol w:w="1837"/>
        <w:gridCol w:w="2648"/>
      </w:tblGrid>
      <w:tr w:rsidR="00A43C03" w:rsidRPr="003F7678" w:rsidTr="00A43C03">
        <w:trPr>
          <w:trHeight w:hRule="exact" w:val="312"/>
        </w:trPr>
        <w:tc>
          <w:tcPr>
            <w:tcW w:w="1265" w:type="dxa"/>
            <w:vMerge w:val="restart"/>
          </w:tcPr>
          <w:p w:rsidR="00A43C03" w:rsidRPr="003F7678" w:rsidRDefault="00A43C03" w:rsidP="00A43C03">
            <w:pPr>
              <w:pStyle w:val="POPBY"/>
              <w:rPr>
                <w:rFonts w:cs="Arial"/>
              </w:rPr>
            </w:pPr>
            <w:r w:rsidRPr="003F7678">
              <w:rPr>
                <w:rFonts w:cs="Arial"/>
              </w:rPr>
              <w:t xml:space="preserve">Price Base Year  </w:t>
            </w:r>
            <w:r>
              <w:rPr>
                <w:rFonts w:cs="Arial"/>
                <w:b w:val="0"/>
              </w:rPr>
              <w:t>2014</w:t>
            </w:r>
          </w:p>
        </w:tc>
        <w:tc>
          <w:tcPr>
            <w:tcW w:w="1260" w:type="dxa"/>
            <w:vMerge w:val="restart"/>
          </w:tcPr>
          <w:p w:rsidR="00A43C03" w:rsidRPr="003F7678" w:rsidRDefault="00A43C03" w:rsidP="00A43C03">
            <w:pPr>
              <w:pStyle w:val="POPVBY"/>
              <w:rPr>
                <w:rFonts w:cs="Arial"/>
              </w:rPr>
            </w:pPr>
            <w:r w:rsidRPr="003F7678">
              <w:rPr>
                <w:rFonts w:cs="Arial"/>
              </w:rPr>
              <w:t xml:space="preserve">PV Base Year  </w:t>
            </w:r>
            <w:r>
              <w:rPr>
                <w:rFonts w:cs="Arial"/>
                <w:b w:val="0"/>
              </w:rPr>
              <w:t>2014</w:t>
            </w:r>
          </w:p>
        </w:tc>
        <w:tc>
          <w:tcPr>
            <w:tcW w:w="1440" w:type="dxa"/>
            <w:vMerge w:val="restart"/>
            <w:tcBorders>
              <w:right w:val="single" w:sz="12" w:space="0" w:color="auto"/>
            </w:tcBorders>
          </w:tcPr>
          <w:p w:rsidR="00A43C03" w:rsidRPr="003F7678" w:rsidRDefault="00A43C03" w:rsidP="00A43C03">
            <w:pPr>
              <w:pStyle w:val="POTPY"/>
              <w:rPr>
                <w:rFonts w:cs="Arial"/>
              </w:rPr>
            </w:pPr>
            <w:r w:rsidRPr="003F7678">
              <w:rPr>
                <w:rFonts w:cs="Arial"/>
              </w:rPr>
              <w:t xml:space="preserve">Time Period Years  </w:t>
            </w:r>
            <w:r>
              <w:rPr>
                <w:rFonts w:cs="Arial"/>
                <w:b w:val="0"/>
              </w:rPr>
              <w:t>10</w:t>
            </w:r>
          </w:p>
        </w:tc>
        <w:tc>
          <w:tcPr>
            <w:tcW w:w="6260" w:type="dxa"/>
            <w:gridSpan w:val="3"/>
            <w:tcBorders>
              <w:top w:val="single" w:sz="12" w:space="0" w:color="auto"/>
              <w:left w:val="single" w:sz="12" w:space="0" w:color="auto"/>
              <w:right w:val="single" w:sz="12" w:space="0" w:color="auto"/>
            </w:tcBorders>
            <w:shd w:val="clear" w:color="auto" w:fill="FFFFFF"/>
          </w:tcPr>
          <w:p w:rsidR="00A43C03" w:rsidRPr="003F7678" w:rsidRDefault="00A43C03" w:rsidP="00A43C03">
            <w:pPr>
              <w:pStyle w:val="IATableLabel"/>
              <w:jc w:val="center"/>
              <w:rPr>
                <w:rFonts w:cs="Arial"/>
              </w:rPr>
            </w:pPr>
            <w:r w:rsidRPr="003F7678">
              <w:rPr>
                <w:rFonts w:cs="Arial"/>
              </w:rPr>
              <w:t>Net Benefit (Present Value (PV)) (£m)</w:t>
            </w:r>
          </w:p>
        </w:tc>
      </w:tr>
      <w:tr w:rsidR="00A43C03" w:rsidRPr="003F7678" w:rsidTr="00A43C03">
        <w:trPr>
          <w:trHeight w:hRule="exact" w:val="340"/>
        </w:trPr>
        <w:tc>
          <w:tcPr>
            <w:tcW w:w="1265" w:type="dxa"/>
            <w:vMerge/>
          </w:tcPr>
          <w:p w:rsidR="00A43C03" w:rsidRPr="003F7678" w:rsidRDefault="00A43C03" w:rsidP="00A43C03">
            <w:pPr>
              <w:pStyle w:val="IATableNotes"/>
              <w:ind w:left="0"/>
              <w:rPr>
                <w:rFonts w:cs="Arial"/>
                <w:b/>
                <w:sz w:val="20"/>
              </w:rPr>
            </w:pPr>
          </w:p>
        </w:tc>
        <w:tc>
          <w:tcPr>
            <w:tcW w:w="1260" w:type="dxa"/>
            <w:vMerge/>
          </w:tcPr>
          <w:p w:rsidR="00A43C03" w:rsidRPr="003F7678" w:rsidRDefault="00A43C03" w:rsidP="00A43C03">
            <w:pPr>
              <w:pStyle w:val="IATableNotes"/>
              <w:ind w:left="0"/>
              <w:rPr>
                <w:rFonts w:cs="Arial"/>
                <w:b/>
                <w:sz w:val="20"/>
              </w:rPr>
            </w:pPr>
          </w:p>
        </w:tc>
        <w:tc>
          <w:tcPr>
            <w:tcW w:w="1440" w:type="dxa"/>
            <w:vMerge/>
            <w:tcBorders>
              <w:right w:val="single" w:sz="12" w:space="0" w:color="auto"/>
            </w:tcBorders>
          </w:tcPr>
          <w:p w:rsidR="00A43C03" w:rsidRPr="003F7678" w:rsidRDefault="00A43C03" w:rsidP="00A43C03">
            <w:pPr>
              <w:pStyle w:val="IATableNotes"/>
              <w:ind w:left="0"/>
              <w:rPr>
                <w:rFonts w:cs="Arial"/>
                <w:b/>
                <w:sz w:val="20"/>
              </w:rPr>
            </w:pPr>
          </w:p>
        </w:tc>
        <w:tc>
          <w:tcPr>
            <w:tcW w:w="1800" w:type="dxa"/>
            <w:tcBorders>
              <w:left w:val="single" w:sz="12" w:space="0" w:color="auto"/>
              <w:bottom w:val="single" w:sz="12" w:space="0" w:color="auto"/>
            </w:tcBorders>
          </w:tcPr>
          <w:p w:rsidR="00A43C03" w:rsidRPr="003F7678" w:rsidRDefault="00A43C03" w:rsidP="00A43C03">
            <w:pPr>
              <w:pStyle w:val="IATableLabel"/>
              <w:rPr>
                <w:rFonts w:cs="Arial"/>
                <w:bCs/>
              </w:rPr>
            </w:pPr>
            <w:r w:rsidRPr="003F7678">
              <w:rPr>
                <w:rFonts w:cs="Arial"/>
              </w:rPr>
              <w:t xml:space="preserve">Low: </w:t>
            </w:r>
            <w:r>
              <w:rPr>
                <w:rStyle w:val="PONBLowCharChar"/>
                <w:rFonts w:cs="Arial"/>
              </w:rPr>
              <w:t>£140m</w:t>
            </w:r>
          </w:p>
        </w:tc>
        <w:tc>
          <w:tcPr>
            <w:tcW w:w="1827" w:type="dxa"/>
            <w:tcBorders>
              <w:bottom w:val="single" w:sz="12" w:space="0" w:color="auto"/>
              <w:right w:val="single" w:sz="12" w:space="0" w:color="auto"/>
            </w:tcBorders>
          </w:tcPr>
          <w:p w:rsidR="00A43C03" w:rsidRPr="003F7678" w:rsidRDefault="00A43C03" w:rsidP="00A43C03">
            <w:pPr>
              <w:pStyle w:val="IATableLabel"/>
              <w:rPr>
                <w:rFonts w:cs="Arial"/>
                <w:bCs/>
                <w:szCs w:val="18"/>
              </w:rPr>
            </w:pPr>
            <w:r w:rsidRPr="003F7678">
              <w:rPr>
                <w:rFonts w:cs="Arial"/>
              </w:rPr>
              <w:t xml:space="preserve">High: </w:t>
            </w:r>
            <w:r>
              <w:rPr>
                <w:rStyle w:val="PONBHighChar"/>
                <w:rFonts w:cs="Arial"/>
              </w:rPr>
              <w:t>£420m</w:t>
            </w:r>
          </w:p>
        </w:tc>
        <w:tc>
          <w:tcPr>
            <w:tcW w:w="2633" w:type="dxa"/>
            <w:tcBorders>
              <w:top w:val="single" w:sz="12" w:space="0" w:color="auto"/>
              <w:left w:val="single" w:sz="12" w:space="0" w:color="auto"/>
              <w:bottom w:val="single" w:sz="12" w:space="0" w:color="auto"/>
              <w:right w:val="single" w:sz="12" w:space="0" w:color="auto"/>
            </w:tcBorders>
            <w:shd w:val="clear" w:color="auto" w:fill="FFFFFF"/>
          </w:tcPr>
          <w:p w:rsidR="00A43C03" w:rsidRPr="003F7678" w:rsidRDefault="00A43C03" w:rsidP="00A43C03">
            <w:pPr>
              <w:pStyle w:val="IATableLabel"/>
              <w:rPr>
                <w:rFonts w:cs="Arial"/>
                <w:szCs w:val="18"/>
              </w:rPr>
            </w:pPr>
            <w:r w:rsidRPr="003F7678">
              <w:rPr>
                <w:rFonts w:cs="Arial"/>
              </w:rPr>
              <w:t xml:space="preserve">Best Estimate: </w:t>
            </w:r>
            <w:r>
              <w:rPr>
                <w:rStyle w:val="PONBBestEstChar"/>
                <w:rFonts w:cs="Arial"/>
              </w:rPr>
              <w:t>£140-420m</w:t>
            </w:r>
          </w:p>
        </w:tc>
      </w:tr>
    </w:tbl>
    <w:p w:rsidR="00A43C03" w:rsidRPr="003F7678" w:rsidRDefault="00A43C03" w:rsidP="00A43C03">
      <w:pPr>
        <w:pStyle w:val="IASpacer"/>
        <w:rPr>
          <w:rFonts w:cs="Arial"/>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2007"/>
        <w:gridCol w:w="1959"/>
        <w:gridCol w:w="794"/>
        <w:gridCol w:w="2881"/>
        <w:gridCol w:w="1786"/>
        <w:gridCol w:w="865"/>
      </w:tblGrid>
      <w:tr w:rsidR="00A43C03" w:rsidRPr="003F7678" w:rsidTr="00A43C03">
        <w:trPr>
          <w:trHeight w:hRule="exact" w:val="567"/>
        </w:trPr>
        <w:tc>
          <w:tcPr>
            <w:tcW w:w="1996" w:type="dxa"/>
            <w:tcBorders>
              <w:top w:val="single" w:sz="12" w:space="0" w:color="auto"/>
            </w:tcBorders>
            <w:shd w:val="clear" w:color="auto" w:fill="FFFFFF"/>
          </w:tcPr>
          <w:p w:rsidR="00A43C03" w:rsidRPr="003F7678" w:rsidRDefault="00A43C03" w:rsidP="00A43C03">
            <w:pPr>
              <w:pStyle w:val="IATableLabel"/>
              <w:rPr>
                <w:rFonts w:cs="Arial"/>
                <w:sz w:val="24"/>
                <w:szCs w:val="24"/>
              </w:rPr>
            </w:pPr>
            <w:r w:rsidRPr="003F7678">
              <w:rPr>
                <w:rFonts w:cs="Arial"/>
                <w:sz w:val="24"/>
                <w:szCs w:val="24"/>
              </w:rPr>
              <w:t>COSTS (£m)</w:t>
            </w:r>
          </w:p>
        </w:tc>
        <w:tc>
          <w:tcPr>
            <w:tcW w:w="2739" w:type="dxa"/>
            <w:gridSpan w:val="2"/>
            <w:tcBorders>
              <w:top w:val="single" w:sz="12" w:space="0" w:color="auto"/>
            </w:tcBorders>
          </w:tcPr>
          <w:p w:rsidR="00A43C03" w:rsidRPr="003F7678" w:rsidRDefault="00A43C03" w:rsidP="00A43C03">
            <w:pPr>
              <w:pStyle w:val="IATableLabel"/>
              <w:tabs>
                <w:tab w:val="right" w:pos="1800"/>
                <w:tab w:val="center" w:pos="2340"/>
              </w:tabs>
              <w:jc w:val="right"/>
              <w:rPr>
                <w:rFonts w:cs="Arial"/>
              </w:rPr>
            </w:pPr>
            <w:r w:rsidRPr="003F7678">
              <w:rPr>
                <w:rFonts w:cs="Arial"/>
              </w:rPr>
              <w:t xml:space="preserve">Total Transition </w:t>
            </w:r>
            <w:r w:rsidRPr="003F7678">
              <w:rPr>
                <w:rFonts w:cs="Arial"/>
              </w:rPr>
              <w:br/>
            </w:r>
            <w:r w:rsidRPr="003F7678">
              <w:rPr>
                <w:rFonts w:cs="Arial"/>
              </w:rPr>
              <w:tab/>
            </w:r>
            <w:r w:rsidRPr="003F7678">
              <w:rPr>
                <w:rFonts w:cs="Arial"/>
                <w:b w:val="0"/>
                <w:sz w:val="18"/>
                <w:szCs w:val="18"/>
              </w:rPr>
              <w:t>(Constant Price)</w:t>
            </w:r>
            <w:r w:rsidRPr="003F7678">
              <w:rPr>
                <w:rFonts w:cs="Arial"/>
              </w:rPr>
              <w:tab/>
            </w:r>
            <w:r w:rsidRPr="003F7678">
              <w:rPr>
                <w:rFonts w:cs="Arial"/>
                <w:b w:val="0"/>
                <w:sz w:val="18"/>
                <w:szCs w:val="18"/>
              </w:rPr>
              <w:t>Yea</w:t>
            </w:r>
            <w:r w:rsidRPr="003F7678">
              <w:rPr>
                <w:rFonts w:cs="Arial"/>
                <w:b w:val="0"/>
                <w:bCs/>
                <w:sz w:val="18"/>
                <w:szCs w:val="18"/>
              </w:rPr>
              <w:t>r</w:t>
            </w:r>
            <w:r w:rsidRPr="003F7678">
              <w:rPr>
                <w:rFonts w:cs="Arial"/>
                <w:b w:val="0"/>
                <w:sz w:val="18"/>
                <w:szCs w:val="18"/>
              </w:rPr>
              <w:t>s</w:t>
            </w:r>
          </w:p>
          <w:p w:rsidR="00A43C03" w:rsidRPr="003F7678" w:rsidRDefault="00A43C03" w:rsidP="00A43C03">
            <w:pPr>
              <w:pStyle w:val="IATableLabel"/>
              <w:jc w:val="right"/>
              <w:rPr>
                <w:rFonts w:cs="Arial"/>
              </w:rPr>
            </w:pPr>
            <w:r w:rsidRPr="003F7678">
              <w:rPr>
                <w:rFonts w:cs="Arial"/>
              </w:rPr>
              <w:br/>
            </w:r>
          </w:p>
        </w:tc>
        <w:tc>
          <w:tcPr>
            <w:tcW w:w="2866" w:type="dxa"/>
            <w:tcBorders>
              <w:top w:val="single" w:sz="12" w:space="0" w:color="auto"/>
              <w:right w:val="single" w:sz="12" w:space="0" w:color="auto"/>
            </w:tcBorders>
          </w:tcPr>
          <w:p w:rsidR="00A43C03" w:rsidRPr="003F7678" w:rsidRDefault="00A43C03" w:rsidP="00A43C03">
            <w:pPr>
              <w:pStyle w:val="IATableLabel"/>
              <w:jc w:val="right"/>
              <w:rPr>
                <w:rFonts w:cs="Arial"/>
                <w:bCs/>
              </w:rPr>
            </w:pPr>
            <w:r w:rsidRPr="003F7678">
              <w:rPr>
                <w:rFonts w:cs="Arial"/>
              </w:rPr>
              <w:t xml:space="preserve">Average Annual </w:t>
            </w:r>
            <w:r w:rsidRPr="003F7678">
              <w:rPr>
                <w:rFonts w:cs="Arial"/>
              </w:rPr>
              <w:br/>
            </w:r>
            <w:r w:rsidRPr="003F7678">
              <w:rPr>
                <w:rFonts w:cs="Arial"/>
                <w:b w:val="0"/>
                <w:sz w:val="18"/>
                <w:szCs w:val="18"/>
              </w:rPr>
              <w:t xml:space="preserve">(excl. Transition) </w:t>
            </w:r>
            <w:r w:rsidRPr="003F7678">
              <w:rPr>
                <w:rFonts w:cs="Arial"/>
                <w:b w:val="0"/>
                <w:bCs/>
                <w:sz w:val="18"/>
                <w:szCs w:val="18"/>
              </w:rPr>
              <w:t>(Constant Price)</w:t>
            </w:r>
          </w:p>
        </w:tc>
        <w:tc>
          <w:tcPr>
            <w:tcW w:w="2636" w:type="dxa"/>
            <w:gridSpan w:val="2"/>
            <w:tcBorders>
              <w:top w:val="single" w:sz="12" w:space="0" w:color="auto"/>
              <w:left w:val="single" w:sz="12" w:space="0" w:color="auto"/>
            </w:tcBorders>
          </w:tcPr>
          <w:p w:rsidR="00A43C03" w:rsidRPr="003F7678" w:rsidRDefault="00A43C03" w:rsidP="00A43C03">
            <w:pPr>
              <w:pStyle w:val="IATableLabel"/>
              <w:jc w:val="right"/>
              <w:rPr>
                <w:rFonts w:cs="Arial"/>
              </w:rPr>
            </w:pPr>
            <w:r w:rsidRPr="003F7678">
              <w:rPr>
                <w:rFonts w:cs="Arial"/>
              </w:rPr>
              <w:t>Total Cost</w:t>
            </w:r>
            <w:r w:rsidRPr="003F7678">
              <w:rPr>
                <w:rFonts w:cs="Arial"/>
                <w:b w:val="0"/>
                <w:sz w:val="18"/>
                <w:szCs w:val="18"/>
              </w:rPr>
              <w:t xml:space="preserve"> </w:t>
            </w:r>
            <w:r w:rsidRPr="003F7678">
              <w:rPr>
                <w:rFonts w:cs="Arial"/>
                <w:b w:val="0"/>
                <w:sz w:val="18"/>
                <w:szCs w:val="18"/>
              </w:rPr>
              <w:br/>
              <w:t>(Present Value)</w:t>
            </w:r>
          </w:p>
        </w:tc>
      </w:tr>
      <w:tr w:rsidR="00A43C03" w:rsidRPr="003F7678" w:rsidTr="00A43C03">
        <w:trPr>
          <w:trHeight w:hRule="exact" w:val="348"/>
        </w:trPr>
        <w:tc>
          <w:tcPr>
            <w:tcW w:w="1996" w:type="dxa"/>
            <w:vAlign w:val="center"/>
          </w:tcPr>
          <w:p w:rsidR="00A43C03" w:rsidRPr="003F7678" w:rsidRDefault="00A43C03" w:rsidP="00A43C03">
            <w:pPr>
              <w:pStyle w:val="IATableLabel"/>
              <w:rPr>
                <w:rFonts w:cs="Arial"/>
              </w:rPr>
            </w:pPr>
            <w:r w:rsidRPr="003F7678">
              <w:rPr>
                <w:rFonts w:cs="Arial"/>
              </w:rPr>
              <w:t xml:space="preserve">Low </w:t>
            </w:r>
          </w:p>
        </w:tc>
        <w:tc>
          <w:tcPr>
            <w:tcW w:w="1949" w:type="dxa"/>
            <w:vAlign w:val="center"/>
          </w:tcPr>
          <w:p w:rsidR="00A43C03" w:rsidRPr="003F7678" w:rsidRDefault="00A43C03" w:rsidP="00A43C03">
            <w:pPr>
              <w:pStyle w:val="POTTCostsLow"/>
              <w:rPr>
                <w:rFonts w:cs="Arial"/>
                <w:sz w:val="20"/>
              </w:rPr>
            </w:pPr>
            <w:r>
              <w:rPr>
                <w:rFonts w:cs="Arial"/>
                <w:sz w:val="20"/>
              </w:rPr>
              <w:t>£0.2m</w:t>
            </w:r>
          </w:p>
        </w:tc>
        <w:tc>
          <w:tcPr>
            <w:tcW w:w="790" w:type="dxa"/>
            <w:vMerge w:val="restart"/>
            <w:vAlign w:val="center"/>
          </w:tcPr>
          <w:p w:rsidR="00A43C03" w:rsidRPr="003F7678" w:rsidRDefault="00A43C03" w:rsidP="00A43C03">
            <w:pPr>
              <w:pStyle w:val="POTTCostsYear"/>
              <w:rPr>
                <w:rFonts w:cs="Arial"/>
                <w:sz w:val="20"/>
                <w:szCs w:val="20"/>
              </w:rPr>
            </w:pPr>
            <w:r>
              <w:rPr>
                <w:rFonts w:cs="Arial"/>
                <w:sz w:val="20"/>
                <w:szCs w:val="20"/>
              </w:rPr>
              <w:t>2</w:t>
            </w:r>
          </w:p>
        </w:tc>
        <w:tc>
          <w:tcPr>
            <w:tcW w:w="2866" w:type="dxa"/>
            <w:tcBorders>
              <w:right w:val="single" w:sz="12" w:space="0" w:color="auto"/>
            </w:tcBorders>
            <w:vAlign w:val="center"/>
          </w:tcPr>
          <w:p w:rsidR="00A43C03" w:rsidRPr="003F7678" w:rsidRDefault="00A43C03" w:rsidP="00A43C03">
            <w:pPr>
              <w:pStyle w:val="POAACostsLow"/>
              <w:rPr>
                <w:rFonts w:cs="Arial"/>
                <w:sz w:val="20"/>
              </w:rPr>
            </w:pPr>
            <w:r>
              <w:rPr>
                <w:rFonts w:cs="Arial"/>
                <w:sz w:val="20"/>
              </w:rPr>
              <w:t>0</w:t>
            </w:r>
          </w:p>
        </w:tc>
        <w:tc>
          <w:tcPr>
            <w:tcW w:w="2636" w:type="dxa"/>
            <w:gridSpan w:val="2"/>
            <w:tcBorders>
              <w:left w:val="single" w:sz="12" w:space="0" w:color="auto"/>
            </w:tcBorders>
            <w:vAlign w:val="center"/>
          </w:tcPr>
          <w:p w:rsidR="00A43C03" w:rsidRPr="003F7678" w:rsidRDefault="00A43C03" w:rsidP="00A43C03">
            <w:pPr>
              <w:pStyle w:val="POTCCostsLow"/>
              <w:rPr>
                <w:rFonts w:cs="Arial"/>
                <w:sz w:val="20"/>
              </w:rPr>
            </w:pPr>
            <w:r>
              <w:rPr>
                <w:rFonts w:cs="Arial"/>
                <w:sz w:val="20"/>
              </w:rPr>
              <w:t>0</w:t>
            </w:r>
          </w:p>
        </w:tc>
      </w:tr>
      <w:tr w:rsidR="00A43C03" w:rsidRPr="003F7678" w:rsidTr="00A43C03">
        <w:trPr>
          <w:trHeight w:hRule="exact" w:val="348"/>
        </w:trPr>
        <w:tc>
          <w:tcPr>
            <w:tcW w:w="1996" w:type="dxa"/>
            <w:tcBorders>
              <w:bottom w:val="single" w:sz="12" w:space="0" w:color="auto"/>
            </w:tcBorders>
            <w:vAlign w:val="center"/>
          </w:tcPr>
          <w:p w:rsidR="00A43C03" w:rsidRPr="003F7678" w:rsidRDefault="00A43C03" w:rsidP="00A43C03">
            <w:pPr>
              <w:pStyle w:val="IATableLabel"/>
              <w:rPr>
                <w:rFonts w:cs="Arial"/>
              </w:rPr>
            </w:pPr>
            <w:r w:rsidRPr="003F7678">
              <w:rPr>
                <w:rFonts w:cs="Arial"/>
              </w:rPr>
              <w:t xml:space="preserve">High </w:t>
            </w:r>
          </w:p>
        </w:tc>
        <w:tc>
          <w:tcPr>
            <w:tcW w:w="1949" w:type="dxa"/>
            <w:tcBorders>
              <w:bottom w:val="single" w:sz="12" w:space="0" w:color="auto"/>
            </w:tcBorders>
          </w:tcPr>
          <w:p w:rsidR="00A43C03" w:rsidRDefault="00A43C03" w:rsidP="00A43C03">
            <w:pPr>
              <w:jc w:val="right"/>
            </w:pPr>
            <w:r w:rsidRPr="00870DA8">
              <w:rPr>
                <w:rFonts w:cs="Arial"/>
                <w:sz w:val="20"/>
              </w:rPr>
              <w:t>£0.2m</w:t>
            </w:r>
          </w:p>
        </w:tc>
        <w:tc>
          <w:tcPr>
            <w:tcW w:w="790" w:type="dxa"/>
            <w:vMerge/>
            <w:shd w:val="clear" w:color="auto" w:fill="FFFFFF"/>
            <w:vAlign w:val="center"/>
          </w:tcPr>
          <w:p w:rsidR="00A43C03" w:rsidRPr="003F7678" w:rsidRDefault="00A43C03" w:rsidP="00A43C03">
            <w:pPr>
              <w:pStyle w:val="IATableText"/>
              <w:jc w:val="right"/>
              <w:rPr>
                <w:rFonts w:cs="Arial"/>
                <w:sz w:val="20"/>
              </w:rPr>
            </w:pPr>
          </w:p>
        </w:tc>
        <w:tc>
          <w:tcPr>
            <w:tcW w:w="2866" w:type="dxa"/>
            <w:tcBorders>
              <w:bottom w:val="single" w:sz="12" w:space="0" w:color="auto"/>
              <w:right w:val="single" w:sz="12" w:space="0" w:color="auto"/>
            </w:tcBorders>
            <w:vAlign w:val="center"/>
          </w:tcPr>
          <w:p w:rsidR="00A43C03" w:rsidRPr="003F7678" w:rsidRDefault="00A43C03" w:rsidP="00A43C03">
            <w:pPr>
              <w:pStyle w:val="POAACostsHigh"/>
              <w:rPr>
                <w:rFonts w:cs="Arial"/>
                <w:sz w:val="20"/>
              </w:rPr>
            </w:pPr>
            <w:r>
              <w:rPr>
                <w:rFonts w:cs="Arial"/>
                <w:sz w:val="20"/>
              </w:rPr>
              <w:t>0</w:t>
            </w:r>
          </w:p>
        </w:tc>
        <w:tc>
          <w:tcPr>
            <w:tcW w:w="2636" w:type="dxa"/>
            <w:gridSpan w:val="2"/>
            <w:tcBorders>
              <w:left w:val="single" w:sz="12" w:space="0" w:color="auto"/>
              <w:bottom w:val="single" w:sz="12" w:space="0" w:color="auto"/>
            </w:tcBorders>
            <w:vAlign w:val="center"/>
          </w:tcPr>
          <w:p w:rsidR="00A43C03" w:rsidRPr="003F7678" w:rsidRDefault="00A43C03" w:rsidP="00A43C03">
            <w:pPr>
              <w:pStyle w:val="POTCCostsHigh"/>
              <w:rPr>
                <w:rFonts w:cs="Arial"/>
                <w:sz w:val="20"/>
              </w:rPr>
            </w:pPr>
            <w:r>
              <w:rPr>
                <w:rFonts w:cs="Arial"/>
                <w:sz w:val="20"/>
              </w:rPr>
              <w:t>0</w:t>
            </w:r>
          </w:p>
        </w:tc>
      </w:tr>
      <w:tr w:rsidR="00A43C03" w:rsidRPr="003F7678" w:rsidTr="00A43C03">
        <w:trPr>
          <w:trHeight w:hRule="exact" w:val="348"/>
        </w:trPr>
        <w:tc>
          <w:tcPr>
            <w:tcW w:w="1996" w:type="dxa"/>
            <w:tcBorders>
              <w:top w:val="single" w:sz="12" w:space="0" w:color="auto"/>
              <w:bottom w:val="single" w:sz="12" w:space="0" w:color="auto"/>
              <w:right w:val="single" w:sz="12" w:space="0" w:color="auto"/>
            </w:tcBorders>
            <w:shd w:val="clear" w:color="auto" w:fill="FFFFFF"/>
            <w:vAlign w:val="center"/>
          </w:tcPr>
          <w:p w:rsidR="00A43C03" w:rsidRPr="003F7678" w:rsidRDefault="00A43C03" w:rsidP="00A43C03">
            <w:pPr>
              <w:pStyle w:val="IATableLabel"/>
              <w:rPr>
                <w:rFonts w:cs="Arial"/>
              </w:rPr>
            </w:pPr>
            <w:r w:rsidRPr="003F7678">
              <w:rPr>
                <w:rFonts w:cs="Arial"/>
              </w:rPr>
              <w:t>Best Estimate</w:t>
            </w:r>
          </w:p>
          <w:p w:rsidR="00A43C03" w:rsidRPr="003F7678" w:rsidRDefault="00A43C03" w:rsidP="00A43C03">
            <w:pPr>
              <w:pStyle w:val="IATableNotes"/>
              <w:spacing w:beforeLines="40" w:before="96"/>
              <w:ind w:left="0" w:right="-22"/>
              <w:jc w:val="center"/>
              <w:rPr>
                <w:rFonts w:cs="Arial"/>
                <w:b/>
                <w:sz w:val="20"/>
              </w:rPr>
            </w:pPr>
          </w:p>
        </w:tc>
        <w:tc>
          <w:tcPr>
            <w:tcW w:w="1949" w:type="dxa"/>
            <w:tcBorders>
              <w:top w:val="single" w:sz="12" w:space="0" w:color="auto"/>
              <w:left w:val="single" w:sz="12" w:space="0" w:color="auto"/>
              <w:bottom w:val="single" w:sz="12" w:space="0" w:color="auto"/>
              <w:right w:val="single" w:sz="12" w:space="0" w:color="auto"/>
            </w:tcBorders>
            <w:shd w:val="clear" w:color="auto" w:fill="FFFFFF"/>
          </w:tcPr>
          <w:p w:rsidR="00A43C03" w:rsidRDefault="00A43C03" w:rsidP="00A43C03">
            <w:pPr>
              <w:jc w:val="right"/>
            </w:pPr>
            <w:r w:rsidRPr="00870DA8">
              <w:rPr>
                <w:rFonts w:cs="Arial"/>
                <w:sz w:val="20"/>
              </w:rPr>
              <w:t>£0.2m</w:t>
            </w:r>
          </w:p>
        </w:tc>
        <w:tc>
          <w:tcPr>
            <w:tcW w:w="790" w:type="dxa"/>
            <w:vMerge/>
            <w:tcBorders>
              <w:left w:val="single" w:sz="12" w:space="0" w:color="auto"/>
              <w:right w:val="single" w:sz="12" w:space="0" w:color="auto"/>
            </w:tcBorders>
            <w:shd w:val="clear" w:color="auto" w:fill="FFFFFF"/>
            <w:vAlign w:val="center"/>
          </w:tcPr>
          <w:p w:rsidR="00A43C03" w:rsidRPr="003F7678" w:rsidRDefault="00A43C03" w:rsidP="00A43C03">
            <w:pPr>
              <w:pStyle w:val="IATableText"/>
              <w:jc w:val="right"/>
              <w:rPr>
                <w:rFonts w:cs="Arial"/>
                <w:sz w:val="20"/>
              </w:rPr>
            </w:pPr>
          </w:p>
        </w:tc>
        <w:tc>
          <w:tcPr>
            <w:tcW w:w="2866" w:type="dxa"/>
            <w:tcBorders>
              <w:top w:val="single" w:sz="12" w:space="0" w:color="auto"/>
              <w:left w:val="single" w:sz="12" w:space="0" w:color="auto"/>
              <w:bottom w:val="single" w:sz="12" w:space="0" w:color="auto"/>
              <w:right w:val="single" w:sz="12" w:space="0" w:color="auto"/>
            </w:tcBorders>
            <w:shd w:val="clear" w:color="auto" w:fill="FFFFFF"/>
            <w:vAlign w:val="center"/>
          </w:tcPr>
          <w:p w:rsidR="00A43C03" w:rsidRPr="003F7678" w:rsidRDefault="00A43C03" w:rsidP="00A43C03">
            <w:pPr>
              <w:pStyle w:val="POAACostsBest"/>
              <w:rPr>
                <w:rFonts w:cs="Arial"/>
                <w:sz w:val="20"/>
              </w:rPr>
            </w:pPr>
            <w:r>
              <w:rPr>
                <w:rFonts w:cs="Arial"/>
                <w:sz w:val="20"/>
              </w:rPr>
              <w:t>£0.00</w:t>
            </w:r>
          </w:p>
        </w:tc>
        <w:tc>
          <w:tcPr>
            <w:tcW w:w="2636" w:type="dxa"/>
            <w:gridSpan w:val="2"/>
            <w:tcBorders>
              <w:top w:val="single" w:sz="12" w:space="0" w:color="auto"/>
              <w:left w:val="single" w:sz="12" w:space="0" w:color="auto"/>
              <w:bottom w:val="single" w:sz="12" w:space="0" w:color="auto"/>
            </w:tcBorders>
            <w:shd w:val="clear" w:color="auto" w:fill="FFFFFF"/>
            <w:vAlign w:val="center"/>
          </w:tcPr>
          <w:p w:rsidR="00A43C03" w:rsidRPr="003F7678" w:rsidRDefault="00A43C03" w:rsidP="00A43C03">
            <w:pPr>
              <w:pStyle w:val="POTCCostsBest"/>
              <w:rPr>
                <w:rFonts w:cs="Arial"/>
                <w:sz w:val="20"/>
              </w:rPr>
            </w:pPr>
            <w:r>
              <w:rPr>
                <w:rFonts w:cs="Arial"/>
                <w:sz w:val="20"/>
              </w:rPr>
              <w:t>£0.00</w:t>
            </w:r>
          </w:p>
        </w:tc>
      </w:tr>
      <w:tr w:rsidR="00A43C03" w:rsidRPr="003F7678" w:rsidTr="00A43C03">
        <w:trPr>
          <w:trHeight w:hRule="exact" w:val="686"/>
        </w:trPr>
        <w:tc>
          <w:tcPr>
            <w:tcW w:w="10237" w:type="dxa"/>
            <w:gridSpan w:val="6"/>
          </w:tcPr>
          <w:p w:rsidR="00A43C03" w:rsidRPr="003F7678" w:rsidRDefault="00A43C03" w:rsidP="00A43C03">
            <w:pPr>
              <w:pStyle w:val="IAPOQ1"/>
              <w:rPr>
                <w:rFonts w:cs="Arial"/>
                <w:szCs w:val="22"/>
              </w:rPr>
            </w:pPr>
            <w:r w:rsidRPr="003F7678">
              <w:rPr>
                <w:rFonts w:cs="Arial"/>
              </w:rPr>
              <w:t xml:space="preserve">Description and scale of key monetised costs by ‘main affected groups’ </w:t>
            </w:r>
          </w:p>
          <w:p w:rsidR="00A43C03" w:rsidRPr="00A41211" w:rsidRDefault="00A43C03" w:rsidP="00A43C03">
            <w:pPr>
              <w:pStyle w:val="IAPOA1"/>
            </w:pPr>
            <w:r>
              <w:rPr>
                <w:rFonts w:cs="Arial"/>
              </w:rPr>
              <w:t>Initial estimate of £200k familiarisation cost to furniture manufacturers.</w:t>
            </w:r>
          </w:p>
          <w:p w:rsidR="00A43C03" w:rsidRPr="008D036D" w:rsidRDefault="00A43C03" w:rsidP="00A43C03">
            <w:pPr>
              <w:pStyle w:val="IAPOA1"/>
              <w:rPr>
                <w:rFonts w:cs="Arial"/>
                <w:i/>
              </w:rPr>
            </w:pPr>
          </w:p>
        </w:tc>
      </w:tr>
      <w:tr w:rsidR="00A43C03" w:rsidRPr="003F7678" w:rsidTr="00A43C03">
        <w:trPr>
          <w:trHeight w:val="929"/>
        </w:trPr>
        <w:tc>
          <w:tcPr>
            <w:tcW w:w="10237" w:type="dxa"/>
            <w:gridSpan w:val="6"/>
            <w:tcBorders>
              <w:bottom w:val="single" w:sz="12" w:space="0" w:color="auto"/>
            </w:tcBorders>
          </w:tcPr>
          <w:p w:rsidR="00A43C03" w:rsidRPr="003F7678" w:rsidRDefault="00A43C03" w:rsidP="00A43C03">
            <w:pPr>
              <w:pStyle w:val="IAPOQ2"/>
              <w:rPr>
                <w:rFonts w:cs="Arial"/>
                <w:szCs w:val="22"/>
              </w:rPr>
            </w:pPr>
            <w:r w:rsidRPr="003F7678">
              <w:rPr>
                <w:rFonts w:cs="Arial"/>
              </w:rPr>
              <w:t xml:space="preserve">Other key non-monetised costs by ‘main affected groups’ </w:t>
            </w:r>
          </w:p>
          <w:p w:rsidR="00A43C03" w:rsidRPr="003F7678" w:rsidRDefault="00A43C03" w:rsidP="00A43C03">
            <w:pPr>
              <w:pStyle w:val="IAPOA2"/>
              <w:rPr>
                <w:rFonts w:cs="Arial"/>
                <w:szCs w:val="22"/>
              </w:rPr>
            </w:pPr>
            <w:r>
              <w:rPr>
                <w:rFonts w:cs="Arial"/>
                <w:szCs w:val="22"/>
              </w:rPr>
              <w:t xml:space="preserve">Cost of familiarisation with the legislation to other groups, such as public bodies and other businesses that could be affected. </w:t>
            </w:r>
          </w:p>
        </w:tc>
      </w:tr>
      <w:tr w:rsidR="00A43C03" w:rsidRPr="003F7678" w:rsidTr="00A43C03">
        <w:trPr>
          <w:trHeight w:hRule="exact" w:val="567"/>
        </w:trPr>
        <w:tc>
          <w:tcPr>
            <w:tcW w:w="1996" w:type="dxa"/>
            <w:shd w:val="clear" w:color="auto" w:fill="FFFFFF"/>
          </w:tcPr>
          <w:p w:rsidR="00A43C03" w:rsidRPr="003F7678" w:rsidRDefault="00A43C03" w:rsidP="00A43C03">
            <w:pPr>
              <w:pStyle w:val="IATableLabel"/>
              <w:rPr>
                <w:rFonts w:cs="Arial"/>
                <w:sz w:val="24"/>
                <w:szCs w:val="24"/>
              </w:rPr>
            </w:pPr>
            <w:r w:rsidRPr="003F7678">
              <w:rPr>
                <w:rFonts w:cs="Arial"/>
                <w:sz w:val="24"/>
                <w:szCs w:val="24"/>
              </w:rPr>
              <w:t>BENEFITS (£m)</w:t>
            </w:r>
          </w:p>
        </w:tc>
        <w:tc>
          <w:tcPr>
            <w:tcW w:w="2739" w:type="dxa"/>
            <w:gridSpan w:val="2"/>
            <w:tcBorders>
              <w:top w:val="single" w:sz="12" w:space="0" w:color="auto"/>
            </w:tcBorders>
          </w:tcPr>
          <w:p w:rsidR="00A43C03" w:rsidRPr="003F7678" w:rsidRDefault="00A43C03" w:rsidP="00A43C03">
            <w:pPr>
              <w:pStyle w:val="IATableLabel"/>
              <w:tabs>
                <w:tab w:val="right" w:pos="1797"/>
                <w:tab w:val="center" w:pos="2340"/>
              </w:tabs>
              <w:jc w:val="right"/>
              <w:rPr>
                <w:rFonts w:cs="Arial"/>
              </w:rPr>
            </w:pPr>
            <w:r w:rsidRPr="003F7678">
              <w:rPr>
                <w:rFonts w:cs="Arial"/>
              </w:rPr>
              <w:t xml:space="preserve">Total Transition </w:t>
            </w:r>
            <w:r w:rsidRPr="003F7678">
              <w:rPr>
                <w:rFonts w:cs="Arial"/>
              </w:rPr>
              <w:br/>
            </w:r>
            <w:r w:rsidRPr="003F7678">
              <w:rPr>
                <w:rFonts w:cs="Arial"/>
              </w:rPr>
              <w:tab/>
            </w:r>
            <w:r w:rsidRPr="003F7678">
              <w:rPr>
                <w:rFonts w:cs="Arial"/>
                <w:b w:val="0"/>
                <w:sz w:val="18"/>
                <w:szCs w:val="18"/>
              </w:rPr>
              <w:t>(Constant Price)</w:t>
            </w:r>
            <w:r w:rsidRPr="003F7678">
              <w:rPr>
                <w:rFonts w:cs="Arial"/>
              </w:rPr>
              <w:tab/>
            </w:r>
            <w:r w:rsidRPr="003F7678">
              <w:rPr>
                <w:rFonts w:cs="Arial"/>
                <w:b w:val="0"/>
                <w:sz w:val="18"/>
                <w:szCs w:val="18"/>
              </w:rPr>
              <w:t>Yea</w:t>
            </w:r>
            <w:r w:rsidRPr="003F7678">
              <w:rPr>
                <w:rFonts w:cs="Arial"/>
                <w:b w:val="0"/>
                <w:bCs/>
                <w:sz w:val="18"/>
                <w:szCs w:val="18"/>
              </w:rPr>
              <w:t>r</w:t>
            </w:r>
            <w:r w:rsidRPr="003F7678">
              <w:rPr>
                <w:rFonts w:cs="Arial"/>
                <w:b w:val="0"/>
                <w:sz w:val="18"/>
                <w:szCs w:val="18"/>
              </w:rPr>
              <w:t>s</w:t>
            </w:r>
          </w:p>
          <w:p w:rsidR="00A43C03" w:rsidRPr="003F7678" w:rsidRDefault="00A43C03" w:rsidP="00A43C03">
            <w:pPr>
              <w:pStyle w:val="IATableLabel"/>
              <w:jc w:val="right"/>
              <w:rPr>
                <w:rFonts w:cs="Arial"/>
              </w:rPr>
            </w:pPr>
            <w:r w:rsidRPr="003F7678">
              <w:rPr>
                <w:rFonts w:cs="Arial"/>
              </w:rPr>
              <w:br/>
            </w:r>
          </w:p>
        </w:tc>
        <w:tc>
          <w:tcPr>
            <w:tcW w:w="2866" w:type="dxa"/>
            <w:tcBorders>
              <w:right w:val="single" w:sz="12" w:space="0" w:color="auto"/>
            </w:tcBorders>
          </w:tcPr>
          <w:p w:rsidR="00A43C03" w:rsidRPr="003F7678" w:rsidRDefault="00A43C03" w:rsidP="00A43C03">
            <w:pPr>
              <w:pStyle w:val="IATableLabel"/>
              <w:jc w:val="right"/>
              <w:rPr>
                <w:rFonts w:cs="Arial"/>
                <w:bCs/>
              </w:rPr>
            </w:pPr>
            <w:r w:rsidRPr="003F7678">
              <w:rPr>
                <w:rFonts w:cs="Arial"/>
              </w:rPr>
              <w:t xml:space="preserve">Average Annual </w:t>
            </w:r>
            <w:r w:rsidRPr="003F7678">
              <w:rPr>
                <w:rFonts w:cs="Arial"/>
              </w:rPr>
              <w:br/>
            </w:r>
            <w:r w:rsidRPr="003F7678">
              <w:rPr>
                <w:rFonts w:cs="Arial"/>
                <w:b w:val="0"/>
                <w:sz w:val="18"/>
                <w:szCs w:val="18"/>
              </w:rPr>
              <w:t xml:space="preserve">(excl. Transition) </w:t>
            </w:r>
            <w:r w:rsidRPr="003F7678">
              <w:rPr>
                <w:rFonts w:cs="Arial"/>
                <w:b w:val="0"/>
                <w:bCs/>
                <w:sz w:val="18"/>
                <w:szCs w:val="18"/>
              </w:rPr>
              <w:t>(Constant Price)</w:t>
            </w:r>
          </w:p>
        </w:tc>
        <w:tc>
          <w:tcPr>
            <w:tcW w:w="2636" w:type="dxa"/>
            <w:gridSpan w:val="2"/>
            <w:tcBorders>
              <w:top w:val="single" w:sz="12" w:space="0" w:color="auto"/>
              <w:left w:val="single" w:sz="12" w:space="0" w:color="auto"/>
            </w:tcBorders>
          </w:tcPr>
          <w:p w:rsidR="00A43C03" w:rsidRPr="003F7678" w:rsidRDefault="00A43C03" w:rsidP="00A43C03">
            <w:pPr>
              <w:pStyle w:val="IATableLabel"/>
              <w:jc w:val="right"/>
              <w:rPr>
                <w:rFonts w:cs="Arial"/>
              </w:rPr>
            </w:pPr>
            <w:r w:rsidRPr="003F7678">
              <w:rPr>
                <w:rFonts w:cs="Arial"/>
              </w:rPr>
              <w:t>Total Benefit</w:t>
            </w:r>
            <w:r w:rsidRPr="003F7678">
              <w:rPr>
                <w:rFonts w:cs="Arial"/>
                <w:b w:val="0"/>
                <w:sz w:val="18"/>
                <w:szCs w:val="18"/>
              </w:rPr>
              <w:t xml:space="preserve"> </w:t>
            </w:r>
            <w:r w:rsidRPr="003F7678">
              <w:rPr>
                <w:rFonts w:cs="Arial"/>
                <w:b w:val="0"/>
                <w:sz w:val="18"/>
                <w:szCs w:val="18"/>
              </w:rPr>
              <w:br/>
              <w:t>(Present Value)</w:t>
            </w:r>
          </w:p>
        </w:tc>
      </w:tr>
      <w:tr w:rsidR="00A43C03" w:rsidRPr="003F7678" w:rsidTr="00A43C03">
        <w:trPr>
          <w:trHeight w:hRule="exact" w:val="348"/>
        </w:trPr>
        <w:tc>
          <w:tcPr>
            <w:tcW w:w="1996" w:type="dxa"/>
            <w:vAlign w:val="center"/>
          </w:tcPr>
          <w:p w:rsidR="00A43C03" w:rsidRPr="003F7678" w:rsidRDefault="00A43C03" w:rsidP="00A43C03">
            <w:pPr>
              <w:pStyle w:val="IATableLabel"/>
              <w:rPr>
                <w:rFonts w:cs="Arial"/>
              </w:rPr>
            </w:pPr>
            <w:r w:rsidRPr="003F7678">
              <w:rPr>
                <w:rFonts w:cs="Arial"/>
              </w:rPr>
              <w:t xml:space="preserve">Low </w:t>
            </w:r>
          </w:p>
        </w:tc>
        <w:tc>
          <w:tcPr>
            <w:tcW w:w="1949" w:type="dxa"/>
            <w:vAlign w:val="center"/>
          </w:tcPr>
          <w:p w:rsidR="00A43C03" w:rsidRPr="003F7678" w:rsidRDefault="00A43C03" w:rsidP="00A43C03">
            <w:pPr>
              <w:pStyle w:val="POTTBenLow"/>
              <w:rPr>
                <w:rFonts w:cs="Arial"/>
                <w:sz w:val="20"/>
              </w:rPr>
            </w:pPr>
            <w:r>
              <w:rPr>
                <w:rFonts w:cs="Arial"/>
                <w:sz w:val="20"/>
              </w:rPr>
              <w:t>£0.0</w:t>
            </w:r>
          </w:p>
        </w:tc>
        <w:tc>
          <w:tcPr>
            <w:tcW w:w="790" w:type="dxa"/>
            <w:vMerge w:val="restart"/>
            <w:vAlign w:val="center"/>
          </w:tcPr>
          <w:p w:rsidR="00A43C03" w:rsidRPr="003F7678" w:rsidRDefault="00A43C03" w:rsidP="00A43C03">
            <w:pPr>
              <w:pStyle w:val="IATableText"/>
              <w:jc w:val="center"/>
              <w:rPr>
                <w:rFonts w:cs="Arial"/>
                <w:sz w:val="20"/>
              </w:rPr>
            </w:pPr>
            <w:r>
              <w:rPr>
                <w:rFonts w:cs="Arial"/>
                <w:sz w:val="20"/>
              </w:rPr>
              <w:t>0</w:t>
            </w:r>
          </w:p>
        </w:tc>
        <w:tc>
          <w:tcPr>
            <w:tcW w:w="2866" w:type="dxa"/>
            <w:tcBorders>
              <w:right w:val="single" w:sz="12" w:space="0" w:color="auto"/>
            </w:tcBorders>
            <w:vAlign w:val="center"/>
          </w:tcPr>
          <w:p w:rsidR="00A43C03" w:rsidRPr="003F7678" w:rsidRDefault="00A43C03" w:rsidP="00A43C03">
            <w:pPr>
              <w:pStyle w:val="POAABenLow"/>
              <w:rPr>
                <w:rFonts w:cs="Arial"/>
                <w:sz w:val="20"/>
              </w:rPr>
            </w:pPr>
            <w:r>
              <w:rPr>
                <w:rFonts w:cs="Arial"/>
                <w:sz w:val="20"/>
              </w:rPr>
              <w:t>£17m</w:t>
            </w:r>
          </w:p>
        </w:tc>
        <w:tc>
          <w:tcPr>
            <w:tcW w:w="2636" w:type="dxa"/>
            <w:gridSpan w:val="2"/>
            <w:tcBorders>
              <w:left w:val="single" w:sz="12" w:space="0" w:color="auto"/>
            </w:tcBorders>
            <w:vAlign w:val="center"/>
          </w:tcPr>
          <w:p w:rsidR="00A43C03" w:rsidRPr="003F7678" w:rsidRDefault="00A43C03" w:rsidP="00A43C03">
            <w:pPr>
              <w:pStyle w:val="POTBBenLow"/>
              <w:rPr>
                <w:rFonts w:cs="Arial"/>
                <w:sz w:val="20"/>
              </w:rPr>
            </w:pPr>
            <w:r>
              <w:rPr>
                <w:rFonts w:cs="Arial"/>
                <w:sz w:val="20"/>
              </w:rPr>
              <w:t xml:space="preserve">£145m </w:t>
            </w:r>
          </w:p>
        </w:tc>
      </w:tr>
      <w:tr w:rsidR="00A43C03" w:rsidRPr="003F7678" w:rsidTr="00A43C03">
        <w:trPr>
          <w:trHeight w:hRule="exact" w:val="348"/>
        </w:trPr>
        <w:tc>
          <w:tcPr>
            <w:tcW w:w="1996" w:type="dxa"/>
            <w:tcBorders>
              <w:bottom w:val="single" w:sz="12" w:space="0" w:color="auto"/>
            </w:tcBorders>
            <w:vAlign w:val="center"/>
          </w:tcPr>
          <w:p w:rsidR="00A43C03" w:rsidRPr="003F7678" w:rsidRDefault="00A43C03" w:rsidP="00A43C03">
            <w:pPr>
              <w:pStyle w:val="IATableLabel"/>
              <w:rPr>
                <w:rFonts w:cs="Arial"/>
              </w:rPr>
            </w:pPr>
            <w:r w:rsidRPr="003F7678">
              <w:rPr>
                <w:rFonts w:cs="Arial"/>
              </w:rPr>
              <w:t xml:space="preserve">High </w:t>
            </w:r>
          </w:p>
        </w:tc>
        <w:tc>
          <w:tcPr>
            <w:tcW w:w="1949" w:type="dxa"/>
            <w:tcBorders>
              <w:bottom w:val="single" w:sz="12" w:space="0" w:color="auto"/>
            </w:tcBorders>
            <w:vAlign w:val="center"/>
          </w:tcPr>
          <w:p w:rsidR="00A43C03" w:rsidRPr="003F7678" w:rsidRDefault="00A43C03" w:rsidP="00A43C03">
            <w:pPr>
              <w:pStyle w:val="POTTBenHigh"/>
              <w:rPr>
                <w:rFonts w:cs="Arial"/>
                <w:sz w:val="20"/>
              </w:rPr>
            </w:pPr>
            <w:r>
              <w:rPr>
                <w:rFonts w:cs="Arial"/>
                <w:sz w:val="20"/>
              </w:rPr>
              <w:t>£0.0</w:t>
            </w:r>
          </w:p>
        </w:tc>
        <w:tc>
          <w:tcPr>
            <w:tcW w:w="790" w:type="dxa"/>
            <w:vMerge/>
            <w:shd w:val="clear" w:color="auto" w:fill="FFFFFF"/>
            <w:vAlign w:val="center"/>
          </w:tcPr>
          <w:p w:rsidR="00A43C03" w:rsidRPr="003F7678" w:rsidRDefault="00A43C03" w:rsidP="00A43C03">
            <w:pPr>
              <w:pStyle w:val="IATableText"/>
              <w:jc w:val="right"/>
              <w:rPr>
                <w:rFonts w:cs="Arial"/>
                <w:sz w:val="20"/>
              </w:rPr>
            </w:pPr>
          </w:p>
        </w:tc>
        <w:tc>
          <w:tcPr>
            <w:tcW w:w="2866" w:type="dxa"/>
            <w:tcBorders>
              <w:bottom w:val="single" w:sz="12" w:space="0" w:color="auto"/>
              <w:right w:val="single" w:sz="12" w:space="0" w:color="auto"/>
            </w:tcBorders>
            <w:vAlign w:val="center"/>
          </w:tcPr>
          <w:p w:rsidR="00A43C03" w:rsidRPr="003F7678" w:rsidRDefault="00A43C03" w:rsidP="00A43C03">
            <w:pPr>
              <w:pStyle w:val="POAABenHigh"/>
              <w:rPr>
                <w:rFonts w:cs="Arial"/>
                <w:sz w:val="20"/>
              </w:rPr>
            </w:pPr>
            <w:r>
              <w:rPr>
                <w:rFonts w:cs="Arial"/>
                <w:sz w:val="20"/>
              </w:rPr>
              <w:t>£50m</w:t>
            </w:r>
          </w:p>
        </w:tc>
        <w:tc>
          <w:tcPr>
            <w:tcW w:w="2636" w:type="dxa"/>
            <w:gridSpan w:val="2"/>
            <w:tcBorders>
              <w:left w:val="single" w:sz="12" w:space="0" w:color="auto"/>
              <w:bottom w:val="single" w:sz="12" w:space="0" w:color="auto"/>
            </w:tcBorders>
            <w:vAlign w:val="center"/>
          </w:tcPr>
          <w:p w:rsidR="00A43C03" w:rsidRPr="003F7678" w:rsidRDefault="00A43C03" w:rsidP="00A43C03">
            <w:pPr>
              <w:pStyle w:val="POTBBenHigh"/>
              <w:rPr>
                <w:rFonts w:cs="Arial"/>
                <w:sz w:val="20"/>
              </w:rPr>
            </w:pPr>
            <w:r>
              <w:rPr>
                <w:rFonts w:cs="Arial"/>
                <w:sz w:val="20"/>
              </w:rPr>
              <w:t>£418m</w:t>
            </w:r>
          </w:p>
        </w:tc>
      </w:tr>
      <w:tr w:rsidR="00A43C03" w:rsidRPr="003F7678" w:rsidTr="00A43C03">
        <w:trPr>
          <w:trHeight w:hRule="exact" w:val="348"/>
        </w:trPr>
        <w:tc>
          <w:tcPr>
            <w:tcW w:w="1996" w:type="dxa"/>
            <w:tcBorders>
              <w:top w:val="single" w:sz="12" w:space="0" w:color="auto"/>
              <w:bottom w:val="single" w:sz="12" w:space="0" w:color="auto"/>
              <w:right w:val="single" w:sz="12" w:space="0" w:color="auto"/>
            </w:tcBorders>
            <w:shd w:val="clear" w:color="auto" w:fill="FFFFFF"/>
            <w:vAlign w:val="center"/>
          </w:tcPr>
          <w:p w:rsidR="00A43C03" w:rsidRPr="003F7678" w:rsidRDefault="00A43C03" w:rsidP="00A43C03">
            <w:pPr>
              <w:pStyle w:val="IATableLabel"/>
              <w:rPr>
                <w:rFonts w:cs="Arial"/>
              </w:rPr>
            </w:pPr>
            <w:r w:rsidRPr="003F7678">
              <w:rPr>
                <w:rFonts w:cs="Arial"/>
              </w:rPr>
              <w:t>Best Estimate</w:t>
            </w:r>
          </w:p>
          <w:p w:rsidR="00A43C03" w:rsidRPr="003F7678" w:rsidRDefault="00A43C03" w:rsidP="00A43C03">
            <w:pPr>
              <w:pStyle w:val="IATableNotes"/>
              <w:spacing w:beforeLines="40" w:before="96"/>
              <w:ind w:left="0" w:right="-22"/>
              <w:jc w:val="center"/>
              <w:rPr>
                <w:rFonts w:cs="Arial"/>
                <w:b/>
                <w:sz w:val="20"/>
              </w:rPr>
            </w:pPr>
          </w:p>
        </w:tc>
        <w:tc>
          <w:tcPr>
            <w:tcW w:w="1949" w:type="dxa"/>
            <w:tcBorders>
              <w:top w:val="single" w:sz="12" w:space="0" w:color="auto"/>
              <w:left w:val="single" w:sz="12" w:space="0" w:color="auto"/>
              <w:bottom w:val="single" w:sz="12" w:space="0" w:color="auto"/>
              <w:right w:val="single" w:sz="12" w:space="0" w:color="auto"/>
            </w:tcBorders>
            <w:shd w:val="clear" w:color="auto" w:fill="FFFFFF"/>
            <w:vAlign w:val="center"/>
          </w:tcPr>
          <w:p w:rsidR="00A43C03" w:rsidRPr="003F7678" w:rsidRDefault="00A43C03" w:rsidP="00A43C03">
            <w:pPr>
              <w:pStyle w:val="POTTBenBest"/>
              <w:rPr>
                <w:rFonts w:cs="Arial"/>
                <w:sz w:val="20"/>
              </w:rPr>
            </w:pPr>
            <w:r>
              <w:rPr>
                <w:rFonts w:cs="Arial"/>
                <w:sz w:val="20"/>
              </w:rPr>
              <w:t>£0.0</w:t>
            </w:r>
          </w:p>
        </w:tc>
        <w:tc>
          <w:tcPr>
            <w:tcW w:w="790" w:type="dxa"/>
            <w:vMerge/>
            <w:tcBorders>
              <w:left w:val="single" w:sz="12" w:space="0" w:color="auto"/>
              <w:right w:val="single" w:sz="12" w:space="0" w:color="auto"/>
            </w:tcBorders>
            <w:shd w:val="clear" w:color="auto" w:fill="FFFFFF"/>
            <w:vAlign w:val="center"/>
          </w:tcPr>
          <w:p w:rsidR="00A43C03" w:rsidRPr="003F7678" w:rsidRDefault="00A43C03" w:rsidP="00A43C03">
            <w:pPr>
              <w:pStyle w:val="IATableText"/>
              <w:jc w:val="right"/>
              <w:rPr>
                <w:rFonts w:cs="Arial"/>
                <w:sz w:val="20"/>
              </w:rPr>
            </w:pPr>
          </w:p>
        </w:tc>
        <w:tc>
          <w:tcPr>
            <w:tcW w:w="2866" w:type="dxa"/>
            <w:tcBorders>
              <w:top w:val="single" w:sz="12" w:space="0" w:color="auto"/>
              <w:left w:val="single" w:sz="12" w:space="0" w:color="auto"/>
              <w:bottom w:val="single" w:sz="12" w:space="0" w:color="auto"/>
              <w:right w:val="single" w:sz="12" w:space="0" w:color="auto"/>
            </w:tcBorders>
            <w:shd w:val="clear" w:color="auto" w:fill="FFFFFF"/>
            <w:vAlign w:val="center"/>
          </w:tcPr>
          <w:p w:rsidR="00A43C03" w:rsidRPr="003F7678" w:rsidRDefault="00A43C03" w:rsidP="00A43C03">
            <w:pPr>
              <w:pStyle w:val="POAABenBest"/>
              <w:rPr>
                <w:rFonts w:cs="Arial"/>
                <w:sz w:val="20"/>
              </w:rPr>
            </w:pPr>
            <w:r>
              <w:rPr>
                <w:rFonts w:cs="Arial"/>
                <w:sz w:val="20"/>
              </w:rPr>
              <w:t>£17-50m</w:t>
            </w:r>
          </w:p>
        </w:tc>
        <w:tc>
          <w:tcPr>
            <w:tcW w:w="2636" w:type="dxa"/>
            <w:gridSpan w:val="2"/>
            <w:tcBorders>
              <w:top w:val="single" w:sz="12" w:space="0" w:color="auto"/>
              <w:left w:val="single" w:sz="12" w:space="0" w:color="auto"/>
              <w:bottom w:val="single" w:sz="12" w:space="0" w:color="auto"/>
            </w:tcBorders>
            <w:shd w:val="clear" w:color="auto" w:fill="FFFFFF"/>
            <w:vAlign w:val="center"/>
          </w:tcPr>
          <w:p w:rsidR="00A43C03" w:rsidRPr="003F7678" w:rsidRDefault="00A43C03" w:rsidP="00A43C03">
            <w:pPr>
              <w:pStyle w:val="POTBBenBest"/>
              <w:rPr>
                <w:rFonts w:cs="Arial"/>
                <w:sz w:val="20"/>
              </w:rPr>
            </w:pPr>
            <w:r>
              <w:rPr>
                <w:rStyle w:val="PONBBestEstChar"/>
                <w:rFonts w:cs="Arial"/>
                <w:sz w:val="20"/>
              </w:rPr>
              <w:t>£140-420m</w:t>
            </w:r>
          </w:p>
        </w:tc>
      </w:tr>
      <w:tr w:rsidR="00A43C03" w:rsidRPr="003F7678" w:rsidTr="00A43C03">
        <w:trPr>
          <w:trHeight w:hRule="exact" w:val="1771"/>
        </w:trPr>
        <w:tc>
          <w:tcPr>
            <w:tcW w:w="10237" w:type="dxa"/>
            <w:gridSpan w:val="6"/>
          </w:tcPr>
          <w:p w:rsidR="00A43C03" w:rsidRPr="003F7678" w:rsidRDefault="00A43C03" w:rsidP="00A43C03">
            <w:pPr>
              <w:pStyle w:val="IPPOQ3"/>
              <w:rPr>
                <w:rFonts w:cs="Arial"/>
                <w:szCs w:val="22"/>
              </w:rPr>
            </w:pPr>
            <w:r w:rsidRPr="003F7678">
              <w:rPr>
                <w:rFonts w:cs="Arial"/>
              </w:rPr>
              <w:t xml:space="preserve">Description and scale of key monetised benefits by ‘main affected groups’ </w:t>
            </w:r>
          </w:p>
          <w:p w:rsidR="00A43C03" w:rsidRDefault="00A43C03" w:rsidP="00A43C03">
            <w:pPr>
              <w:pStyle w:val="IAPOA1"/>
              <w:rPr>
                <w:rFonts w:cs="Arial"/>
              </w:rPr>
            </w:pPr>
            <w:r>
              <w:rPr>
                <w:rFonts w:cs="Arial"/>
              </w:rPr>
              <w:t>As with option 2 but benefits are delayed by 1 year. The benefit of introducing all amendments to the Furniture Fire Regulations Amendments at the same time, through lower familiarisation costs, is not included. This is because the benefits and costs of future amendments are not considered in this IA, since they are still being considered, therefore familiarisation costs are also not considered.</w:t>
            </w:r>
          </w:p>
          <w:p w:rsidR="00A43C03" w:rsidRDefault="00A43C03" w:rsidP="00A43C03">
            <w:pPr>
              <w:pStyle w:val="IAPOA1"/>
              <w:rPr>
                <w:rFonts w:cs="Arial"/>
              </w:rPr>
            </w:pPr>
          </w:p>
          <w:p w:rsidR="00A43C03" w:rsidRDefault="00A43C03" w:rsidP="00A43C03">
            <w:pPr>
              <w:pStyle w:val="IAPOA1"/>
              <w:rPr>
                <w:rFonts w:cs="Arial"/>
              </w:rPr>
            </w:pPr>
          </w:p>
          <w:p w:rsidR="00A43C03" w:rsidRPr="003F7678" w:rsidRDefault="00A43C03" w:rsidP="00A43C03">
            <w:pPr>
              <w:pStyle w:val="IAPOA3"/>
              <w:rPr>
                <w:rFonts w:cs="Arial"/>
              </w:rPr>
            </w:pPr>
          </w:p>
        </w:tc>
      </w:tr>
      <w:tr w:rsidR="00A43C03" w:rsidRPr="003F7678" w:rsidTr="00A43C03">
        <w:trPr>
          <w:trHeight w:hRule="exact" w:val="1045"/>
        </w:trPr>
        <w:tc>
          <w:tcPr>
            <w:tcW w:w="10237" w:type="dxa"/>
            <w:gridSpan w:val="6"/>
          </w:tcPr>
          <w:p w:rsidR="00A43C03" w:rsidRPr="003F7678" w:rsidRDefault="00A43C03" w:rsidP="00A43C03">
            <w:pPr>
              <w:pStyle w:val="IAPOQ4"/>
              <w:rPr>
                <w:rFonts w:cs="Arial"/>
                <w:szCs w:val="22"/>
              </w:rPr>
            </w:pPr>
            <w:r w:rsidRPr="003F7678">
              <w:rPr>
                <w:rFonts w:cs="Arial"/>
              </w:rPr>
              <w:t xml:space="preserve">Other key non-monetised benefits by ‘main affected groups’ </w:t>
            </w:r>
          </w:p>
          <w:p w:rsidR="00A43C03" w:rsidRPr="003F7678" w:rsidRDefault="00A43C03" w:rsidP="00A43C03">
            <w:pPr>
              <w:pStyle w:val="IAPOA4"/>
              <w:rPr>
                <w:rFonts w:cs="Arial"/>
              </w:rPr>
            </w:pPr>
            <w:r>
              <w:rPr>
                <w:rFonts w:cs="Arial"/>
              </w:rPr>
              <w:t>As with option 2</w:t>
            </w:r>
          </w:p>
        </w:tc>
      </w:tr>
      <w:tr w:rsidR="00A43C03" w:rsidRPr="003F7678" w:rsidTr="00A43C03">
        <w:trPr>
          <w:trHeight w:hRule="exact" w:val="541"/>
        </w:trPr>
        <w:tc>
          <w:tcPr>
            <w:tcW w:w="9377" w:type="dxa"/>
            <w:gridSpan w:val="5"/>
            <w:tcBorders>
              <w:bottom w:val="nil"/>
            </w:tcBorders>
          </w:tcPr>
          <w:p w:rsidR="00A43C03" w:rsidRPr="003F7678" w:rsidRDefault="00A43C03" w:rsidP="00A43C03">
            <w:pPr>
              <w:pStyle w:val="IATableLabel"/>
              <w:tabs>
                <w:tab w:val="left" w:pos="7655"/>
              </w:tabs>
              <w:rPr>
                <w:rFonts w:cs="Arial"/>
              </w:rPr>
            </w:pPr>
            <w:r w:rsidRPr="003F7678">
              <w:rPr>
                <w:rStyle w:val="IAPOQ5Char"/>
                <w:rFonts w:cs="Arial"/>
              </w:rPr>
              <w:t>Key assumptions/sensitivities/risks</w:t>
            </w:r>
            <w:r w:rsidRPr="003F7678">
              <w:rPr>
                <w:rFonts w:cs="Arial"/>
              </w:rPr>
              <w:tab/>
              <w:t>Discount rate (%) (</w:t>
            </w:r>
            <w:r>
              <w:rPr>
                <w:rFonts w:cs="Arial"/>
              </w:rPr>
              <w:t>3.5</w:t>
            </w:r>
            <w:r w:rsidRPr="003F7678">
              <w:rPr>
                <w:rFonts w:cs="Arial"/>
              </w:rPr>
              <w:t>%)</w:t>
            </w:r>
          </w:p>
          <w:p w:rsidR="00A43C03" w:rsidRPr="003F7678" w:rsidRDefault="00A43C03" w:rsidP="00A43C03">
            <w:pPr>
              <w:pStyle w:val="IATableLabel"/>
              <w:rPr>
                <w:rFonts w:cs="Arial"/>
              </w:rPr>
            </w:pPr>
          </w:p>
        </w:tc>
        <w:tc>
          <w:tcPr>
            <w:tcW w:w="860" w:type="dxa"/>
            <w:tcBorders>
              <w:bottom w:val="single" w:sz="4" w:space="0" w:color="auto"/>
            </w:tcBorders>
          </w:tcPr>
          <w:p w:rsidR="00A43C03" w:rsidRPr="003F7678" w:rsidRDefault="00A43C03" w:rsidP="00A43C03">
            <w:pPr>
              <w:pStyle w:val="IAPOA3"/>
              <w:rPr>
                <w:rFonts w:cs="Arial"/>
              </w:rPr>
            </w:pPr>
            <w:r>
              <w:rPr>
                <w:rFonts w:cs="Arial"/>
              </w:rPr>
              <w:t>3.5</w:t>
            </w:r>
          </w:p>
        </w:tc>
      </w:tr>
      <w:tr w:rsidR="00A43C03" w:rsidRPr="003F7678" w:rsidTr="00A43C03">
        <w:trPr>
          <w:trHeight w:hRule="exact" w:val="719"/>
        </w:trPr>
        <w:tc>
          <w:tcPr>
            <w:tcW w:w="10237" w:type="dxa"/>
            <w:gridSpan w:val="6"/>
            <w:tcBorders>
              <w:top w:val="nil"/>
              <w:bottom w:val="single" w:sz="12" w:space="0" w:color="auto"/>
            </w:tcBorders>
          </w:tcPr>
          <w:p w:rsidR="00A43C03" w:rsidRDefault="00A43C03" w:rsidP="00A43C03">
            <w:pPr>
              <w:pStyle w:val="IAPOA5"/>
              <w:rPr>
                <w:rFonts w:cs="Arial"/>
                <w:sz w:val="20"/>
              </w:rPr>
            </w:pPr>
            <w:r>
              <w:rPr>
                <w:rFonts w:cs="Arial"/>
                <w:szCs w:val="22"/>
              </w:rPr>
              <w:t>As with option 2</w:t>
            </w:r>
          </w:p>
          <w:p w:rsidR="00A43C03" w:rsidRPr="003F7678" w:rsidRDefault="00A43C03" w:rsidP="00A43C03">
            <w:pPr>
              <w:pStyle w:val="IAPOA5"/>
              <w:rPr>
                <w:rFonts w:cs="Arial"/>
                <w:sz w:val="20"/>
              </w:rPr>
            </w:pPr>
          </w:p>
        </w:tc>
      </w:tr>
    </w:tbl>
    <w:p w:rsidR="00A43C03" w:rsidRPr="003F7678" w:rsidRDefault="00A43C03" w:rsidP="00A43C03">
      <w:pPr>
        <w:pStyle w:val="IASpacer"/>
        <w:rPr>
          <w:rFonts w:cs="Arial"/>
        </w:rPr>
      </w:pPr>
    </w:p>
    <w:p w:rsidR="00A43C03" w:rsidRPr="003F7678" w:rsidRDefault="00A43C03" w:rsidP="00A43C03">
      <w:pPr>
        <w:pStyle w:val="IAHeadLabel"/>
        <w:spacing w:before="50"/>
        <w:rPr>
          <w:rFonts w:cs="Arial"/>
        </w:rPr>
      </w:pPr>
      <w:r w:rsidRPr="003F7678">
        <w:rPr>
          <w:rFonts w:cs="Arial"/>
        </w:rPr>
        <w:t xml:space="preserve">BUSINESS ASSESSMENT (Option </w:t>
      </w:r>
      <w:r w:rsidRPr="003F7678">
        <w:rPr>
          <w:rFonts w:cs="Arial"/>
        </w:rPr>
        <w:fldChar w:fldCharType="begin"/>
      </w:r>
      <w:r w:rsidRPr="003F7678">
        <w:rPr>
          <w:rFonts w:cs="Arial"/>
        </w:rPr>
        <w:instrText xml:space="preserve"> SEQ BA </w:instrText>
      </w:r>
      <w:r w:rsidRPr="003F7678">
        <w:rPr>
          <w:rFonts w:cs="Arial"/>
        </w:rPr>
        <w:fldChar w:fldCharType="separate"/>
      </w:r>
      <w:r w:rsidR="000A0889">
        <w:rPr>
          <w:rFonts w:cs="Arial"/>
          <w:noProof/>
        </w:rPr>
        <w:t>2</w:t>
      </w:r>
      <w:r w:rsidRPr="003F7678">
        <w:rPr>
          <w:rFonts w:cs="Arial"/>
        </w:rPr>
        <w:fldChar w:fldCharType="end"/>
      </w:r>
      <w:r w:rsidRPr="003F7678">
        <w:rPr>
          <w:rFonts w:cs="Arial"/>
        </w:rPr>
        <w:t>)</w:t>
      </w:r>
    </w:p>
    <w:tbl>
      <w:tblPr>
        <w:tblW w:w="5000" w:type="pct"/>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2001"/>
        <w:gridCol w:w="2167"/>
        <w:gridCol w:w="1991"/>
        <w:gridCol w:w="1991"/>
        <w:gridCol w:w="2122"/>
      </w:tblGrid>
      <w:tr w:rsidR="00A43C03" w:rsidRPr="003F7678" w:rsidTr="00A43C03">
        <w:trPr>
          <w:trHeight w:hRule="exact" w:val="312"/>
        </w:trPr>
        <w:tc>
          <w:tcPr>
            <w:tcW w:w="6125" w:type="dxa"/>
            <w:gridSpan w:val="3"/>
            <w:tcBorders>
              <w:top w:val="single" w:sz="4" w:space="0" w:color="auto"/>
              <w:bottom w:val="nil"/>
              <w:right w:val="single" w:sz="4" w:space="0" w:color="auto"/>
            </w:tcBorders>
          </w:tcPr>
          <w:p w:rsidR="00A43C03" w:rsidRPr="003F7678" w:rsidRDefault="00A43C03" w:rsidP="00A43C03">
            <w:pPr>
              <w:pStyle w:val="IATableLabel"/>
              <w:rPr>
                <w:rFonts w:cs="Arial"/>
              </w:rPr>
            </w:pPr>
            <w:r w:rsidRPr="003F7678">
              <w:rPr>
                <w:rFonts w:cs="Arial"/>
              </w:rPr>
              <w:t xml:space="preserve">Direct impact on business (Equivalent Annual) £m: </w:t>
            </w:r>
          </w:p>
        </w:tc>
        <w:tc>
          <w:tcPr>
            <w:tcW w:w="1980" w:type="dxa"/>
            <w:tcBorders>
              <w:top w:val="single" w:sz="4" w:space="0" w:color="auto"/>
              <w:left w:val="single" w:sz="4" w:space="0" w:color="auto"/>
              <w:bottom w:val="nil"/>
              <w:right w:val="nil"/>
            </w:tcBorders>
          </w:tcPr>
          <w:p w:rsidR="00A43C03" w:rsidRPr="003F7678" w:rsidRDefault="00A43C03" w:rsidP="00A43C03">
            <w:pPr>
              <w:pStyle w:val="IATableLabel"/>
              <w:rPr>
                <w:rFonts w:cs="Arial"/>
              </w:rPr>
            </w:pPr>
            <w:r w:rsidRPr="003F7678">
              <w:rPr>
                <w:rFonts w:cs="Arial"/>
              </w:rPr>
              <w:t>In scope of OIOO?</w:t>
            </w:r>
          </w:p>
        </w:tc>
        <w:tc>
          <w:tcPr>
            <w:tcW w:w="2110" w:type="dxa"/>
            <w:tcBorders>
              <w:top w:val="single" w:sz="4" w:space="0" w:color="auto"/>
              <w:left w:val="nil"/>
              <w:bottom w:val="nil"/>
            </w:tcBorders>
          </w:tcPr>
          <w:p w:rsidR="00A43C03" w:rsidRPr="003F7678" w:rsidRDefault="00A43C03" w:rsidP="00A43C03">
            <w:pPr>
              <w:pStyle w:val="IATableLabel"/>
              <w:ind w:left="0"/>
              <w:rPr>
                <w:rFonts w:cs="Arial"/>
              </w:rPr>
            </w:pPr>
            <w:r w:rsidRPr="003F7678">
              <w:rPr>
                <w:rFonts w:cs="Arial"/>
              </w:rPr>
              <w:t xml:space="preserve">  Measure qualifies as</w:t>
            </w:r>
          </w:p>
        </w:tc>
      </w:tr>
      <w:tr w:rsidR="00A43C03" w:rsidRPr="003F7678" w:rsidTr="00A43C03">
        <w:trPr>
          <w:trHeight w:hRule="exact" w:val="340"/>
        </w:trPr>
        <w:tc>
          <w:tcPr>
            <w:tcW w:w="1990" w:type="dxa"/>
            <w:tcBorders>
              <w:top w:val="nil"/>
              <w:bottom w:val="single" w:sz="4" w:space="0" w:color="auto"/>
              <w:right w:val="single" w:sz="4" w:space="0" w:color="auto"/>
            </w:tcBorders>
            <w:shd w:val="clear" w:color="auto" w:fill="FFFFFF"/>
          </w:tcPr>
          <w:p w:rsidR="00A43C03" w:rsidRPr="003F7678" w:rsidRDefault="00A43C03" w:rsidP="00A43C03">
            <w:pPr>
              <w:pStyle w:val="IATableLabel"/>
              <w:rPr>
                <w:rFonts w:cs="Arial"/>
              </w:rPr>
            </w:pPr>
            <w:r w:rsidRPr="003F7678">
              <w:rPr>
                <w:rFonts w:cs="Arial"/>
              </w:rPr>
              <w:t xml:space="preserve">Costs: </w:t>
            </w:r>
            <w:r w:rsidRPr="003F7678">
              <w:rPr>
                <w:rStyle w:val="IAPODICostChar"/>
                <w:rFonts w:cs="Arial"/>
              </w:rPr>
              <w:fldChar w:fldCharType="begin">
                <w:ffData>
                  <w:name w:val="Text67"/>
                  <w:enabled/>
                  <w:calcOnExit w:val="0"/>
                  <w:textInput>
                    <w:maxLength w:val="9"/>
                  </w:textInput>
                </w:ffData>
              </w:fldChar>
            </w:r>
            <w:r w:rsidRPr="003F7678">
              <w:rPr>
                <w:rStyle w:val="IAPODICostChar"/>
                <w:rFonts w:cs="Arial"/>
              </w:rPr>
              <w:instrText xml:space="preserve"> FORMTEXT </w:instrText>
            </w:r>
            <w:r w:rsidRPr="003F7678">
              <w:rPr>
                <w:rStyle w:val="IAPODICostChar"/>
                <w:rFonts w:cs="Arial"/>
              </w:rPr>
            </w:r>
            <w:r w:rsidRPr="003F7678">
              <w:rPr>
                <w:rStyle w:val="IAPODICostChar"/>
                <w:rFonts w:cs="Arial"/>
              </w:rPr>
              <w:fldChar w:fldCharType="separate"/>
            </w:r>
            <w:r w:rsidRPr="003F7678">
              <w:rPr>
                <w:rStyle w:val="IAPODICostChar"/>
                <w:rFonts w:cs="Arial"/>
                <w:noProof/>
              </w:rPr>
              <w:t> </w:t>
            </w:r>
            <w:r w:rsidRPr="003F7678">
              <w:rPr>
                <w:rStyle w:val="IAPODICostChar"/>
                <w:rFonts w:cs="Arial"/>
                <w:noProof/>
              </w:rPr>
              <w:t> </w:t>
            </w:r>
            <w:r w:rsidRPr="003F7678">
              <w:rPr>
                <w:rStyle w:val="IAPODICostChar"/>
                <w:rFonts w:cs="Arial"/>
                <w:noProof/>
              </w:rPr>
              <w:t> </w:t>
            </w:r>
            <w:r w:rsidRPr="003F7678">
              <w:rPr>
                <w:rStyle w:val="IAPODICostChar"/>
                <w:rFonts w:cs="Arial"/>
                <w:noProof/>
              </w:rPr>
              <w:t> </w:t>
            </w:r>
            <w:r w:rsidRPr="003F7678">
              <w:rPr>
                <w:rStyle w:val="IAPODICostChar"/>
                <w:rFonts w:cs="Arial"/>
                <w:noProof/>
              </w:rPr>
              <w:t> </w:t>
            </w:r>
            <w:r w:rsidRPr="003F7678">
              <w:rPr>
                <w:rStyle w:val="IAPODICostChar"/>
                <w:rFonts w:cs="Arial"/>
              </w:rPr>
              <w:fldChar w:fldCharType="end"/>
            </w:r>
          </w:p>
        </w:tc>
        <w:tc>
          <w:tcPr>
            <w:tcW w:w="2155" w:type="dxa"/>
            <w:tcBorders>
              <w:top w:val="nil"/>
              <w:bottom w:val="single" w:sz="4" w:space="0" w:color="auto"/>
              <w:right w:val="single" w:sz="4" w:space="0" w:color="auto"/>
            </w:tcBorders>
            <w:shd w:val="clear" w:color="auto" w:fill="FFFFFF"/>
          </w:tcPr>
          <w:p w:rsidR="00A43C03" w:rsidRPr="003F7678" w:rsidRDefault="00A43C03" w:rsidP="00A43C03">
            <w:pPr>
              <w:pStyle w:val="IATableLabel"/>
              <w:rPr>
                <w:rFonts w:cs="Arial"/>
              </w:rPr>
            </w:pPr>
            <w:r w:rsidRPr="003F7678">
              <w:rPr>
                <w:rFonts w:cs="Arial"/>
              </w:rPr>
              <w:t xml:space="preserve">Benefits: </w:t>
            </w:r>
            <w:r w:rsidRPr="009A7DEA">
              <w:rPr>
                <w:rStyle w:val="IAPODIBenChar"/>
                <w:rFonts w:cs="Arial"/>
              </w:rPr>
              <w:t>£</w:t>
            </w:r>
            <w:r>
              <w:rPr>
                <w:rStyle w:val="IAPODIBenChar"/>
                <w:rFonts w:cs="Arial"/>
              </w:rPr>
              <w:t>13-38</w:t>
            </w:r>
            <w:r w:rsidRPr="009A7DEA">
              <w:rPr>
                <w:rStyle w:val="IAPODIBenChar"/>
                <w:rFonts w:cs="Arial"/>
              </w:rPr>
              <w:t>m</w:t>
            </w:r>
          </w:p>
        </w:tc>
        <w:tc>
          <w:tcPr>
            <w:tcW w:w="1980" w:type="dxa"/>
            <w:tcBorders>
              <w:top w:val="nil"/>
              <w:bottom w:val="single" w:sz="4" w:space="0" w:color="auto"/>
              <w:right w:val="single" w:sz="4" w:space="0" w:color="auto"/>
            </w:tcBorders>
            <w:shd w:val="clear" w:color="auto" w:fill="FFFFFF"/>
          </w:tcPr>
          <w:p w:rsidR="00A43C03" w:rsidRPr="003F7678" w:rsidRDefault="00A43C03" w:rsidP="00A43C03">
            <w:pPr>
              <w:pStyle w:val="IATableLabel"/>
              <w:rPr>
                <w:rFonts w:cs="Arial"/>
              </w:rPr>
            </w:pPr>
            <w:r w:rsidRPr="003F7678">
              <w:rPr>
                <w:rFonts w:cs="Arial"/>
              </w:rPr>
              <w:t xml:space="preserve">Net: </w:t>
            </w:r>
            <w:r w:rsidRPr="00415B85">
              <w:rPr>
                <w:rFonts w:cs="Arial"/>
                <w:sz w:val="22"/>
                <w:szCs w:val="22"/>
              </w:rPr>
              <w:t>-</w:t>
            </w:r>
            <w:r>
              <w:rPr>
                <w:rStyle w:val="IAPODINetChar"/>
                <w:rFonts w:cs="Arial"/>
              </w:rPr>
              <w:t xml:space="preserve"> £13-38m</w:t>
            </w:r>
          </w:p>
        </w:tc>
        <w:tc>
          <w:tcPr>
            <w:tcW w:w="1980" w:type="dxa"/>
            <w:tcBorders>
              <w:top w:val="nil"/>
              <w:left w:val="single" w:sz="4" w:space="0" w:color="auto"/>
              <w:bottom w:val="single" w:sz="4" w:space="0" w:color="auto"/>
              <w:right w:val="single" w:sz="4" w:space="0" w:color="auto"/>
            </w:tcBorders>
            <w:shd w:val="clear" w:color="auto" w:fill="FFFFFF"/>
          </w:tcPr>
          <w:p w:rsidR="00A43C03" w:rsidRPr="003F7678" w:rsidRDefault="00A43C03" w:rsidP="00A43C03">
            <w:pPr>
              <w:pStyle w:val="IAPODIOIOO"/>
              <w:rPr>
                <w:rFonts w:cs="Arial"/>
                <w:sz w:val="20"/>
                <w:szCs w:val="20"/>
              </w:rPr>
            </w:pPr>
            <w:r>
              <w:rPr>
                <w:rFonts w:cs="Arial"/>
                <w:sz w:val="20"/>
                <w:szCs w:val="20"/>
              </w:rPr>
              <w:t>Yes</w:t>
            </w:r>
          </w:p>
        </w:tc>
        <w:tc>
          <w:tcPr>
            <w:tcW w:w="2110" w:type="dxa"/>
            <w:tcBorders>
              <w:top w:val="nil"/>
              <w:left w:val="single" w:sz="4" w:space="0" w:color="auto"/>
              <w:bottom w:val="single" w:sz="4" w:space="0" w:color="auto"/>
            </w:tcBorders>
          </w:tcPr>
          <w:p w:rsidR="00A43C03" w:rsidRPr="003F7678" w:rsidRDefault="00A43C03" w:rsidP="00A43C03">
            <w:pPr>
              <w:pStyle w:val="IAPODIMQ"/>
              <w:rPr>
                <w:rFonts w:cs="Arial"/>
              </w:rPr>
            </w:pPr>
            <w:r>
              <w:rPr>
                <w:rFonts w:cs="Arial"/>
              </w:rPr>
              <w:t>Out</w:t>
            </w:r>
          </w:p>
        </w:tc>
      </w:tr>
    </w:tbl>
    <w:p w:rsidR="00A43C03" w:rsidRDefault="00A43C03" w:rsidP="00A43C03">
      <w:pPr>
        <w:rPr>
          <w:rFonts w:cs="Arial"/>
        </w:rPr>
      </w:pPr>
    </w:p>
    <w:p w:rsidR="00A43C03" w:rsidRPr="00D05304" w:rsidRDefault="00A43C03" w:rsidP="00A43C03">
      <w:pPr>
        <w:pStyle w:val="Heading1"/>
        <w:ind w:left="720" w:hanging="720"/>
        <w:rPr>
          <w:rFonts w:ascii="Arial Bold" w:hAnsi="Arial Bold"/>
          <w:color w:val="000000"/>
          <w:sz w:val="28"/>
        </w:rPr>
      </w:pPr>
      <w:r>
        <w:lastRenderedPageBreak/>
        <w:tab/>
      </w:r>
      <w:bookmarkStart w:id="92" w:name="_Toc394509390"/>
      <w:r w:rsidRPr="00D05304">
        <w:rPr>
          <w:rFonts w:ascii="Arial Bold" w:hAnsi="Arial Bold"/>
          <w:color w:val="000000"/>
          <w:sz w:val="28"/>
        </w:rPr>
        <w:t>Evidence Base</w:t>
      </w:r>
      <w:bookmarkEnd w:id="92"/>
      <w:r w:rsidRPr="00D05304">
        <w:rPr>
          <w:rFonts w:ascii="Arial Bold" w:hAnsi="Arial Bold"/>
          <w:color w:val="000000"/>
          <w:sz w:val="28"/>
        </w:rPr>
        <w:t xml:space="preserve"> </w:t>
      </w:r>
      <w:bookmarkStart w:id="93" w:name="EvidenceBase"/>
      <w:bookmarkEnd w:id="93"/>
    </w:p>
    <w:p w:rsidR="00A43C03" w:rsidRPr="00D05304" w:rsidRDefault="00A43C03" w:rsidP="00A43C03">
      <w:pPr>
        <w:pStyle w:val="Heading3"/>
        <w:jc w:val="both"/>
        <w:rPr>
          <w:rFonts w:ascii="Arial Bold" w:hAnsi="Arial Bold"/>
          <w:color w:val="000000"/>
        </w:rPr>
      </w:pPr>
      <w:r w:rsidRPr="00D05304">
        <w:rPr>
          <w:rFonts w:ascii="Arial Bold" w:hAnsi="Arial Bold"/>
          <w:color w:val="000000"/>
        </w:rPr>
        <w:t>1.</w:t>
      </w:r>
      <w:r w:rsidRPr="00D05304">
        <w:rPr>
          <w:rFonts w:ascii="Arial Bold" w:hAnsi="Arial Bold"/>
          <w:color w:val="000000"/>
        </w:rPr>
        <w:tab/>
        <w:t>Background to the Furniture and Furnishings (Fire) (Safety) Regulations</w:t>
      </w:r>
      <w:r w:rsidRPr="00D05304" w:rsidDel="005201AD">
        <w:rPr>
          <w:rFonts w:ascii="Arial Bold" w:hAnsi="Arial Bold"/>
          <w:color w:val="000000"/>
        </w:rPr>
        <w:t xml:space="preserve"> </w:t>
      </w:r>
      <w:r w:rsidRPr="00D05304">
        <w:rPr>
          <w:rFonts w:ascii="Arial Bold" w:hAnsi="Arial Bold"/>
          <w:color w:val="000000"/>
        </w:rPr>
        <w:t xml:space="preserve"> </w:t>
      </w:r>
    </w:p>
    <w:p w:rsidR="00A43C03" w:rsidRPr="008C2722" w:rsidRDefault="00A43C03" w:rsidP="00A43C03">
      <w:pPr>
        <w:pStyle w:val="EBBullet"/>
        <w:keepNext/>
        <w:numPr>
          <w:ilvl w:val="0"/>
          <w:numId w:val="0"/>
        </w:numPr>
        <w:tabs>
          <w:tab w:val="left" w:pos="720"/>
        </w:tabs>
        <w:ind w:left="720" w:hanging="720"/>
        <w:rPr>
          <w:sz w:val="24"/>
          <w:szCs w:val="24"/>
        </w:rPr>
      </w:pPr>
      <w:r>
        <w:rPr>
          <w:sz w:val="24"/>
        </w:rPr>
        <w:t>1</w:t>
      </w:r>
      <w:r w:rsidRPr="00200A41">
        <w:rPr>
          <w:sz w:val="24"/>
        </w:rPr>
        <w:t>.1</w:t>
      </w:r>
      <w:r w:rsidRPr="00C84631">
        <w:tab/>
      </w:r>
      <w:r w:rsidRPr="005C5BDA">
        <w:rPr>
          <w:sz w:val="24"/>
        </w:rPr>
        <w:t>The Furniture and Furnishings (Fire) (Safety) Regulations 1988</w:t>
      </w:r>
      <w:r>
        <w:rPr>
          <w:sz w:val="24"/>
        </w:rPr>
        <w:t xml:space="preserve"> (FFRs)</w:t>
      </w:r>
      <w:r w:rsidRPr="005C5BDA">
        <w:rPr>
          <w:sz w:val="24"/>
        </w:rPr>
        <w:t xml:space="preserve"> provide flammability performance levels for all UK domestic upholstered furniture, e.g. sofas, chairs, cushions, pillows, mattress fillings, etc. </w:t>
      </w:r>
      <w:r w:rsidRPr="008C2722">
        <w:rPr>
          <w:sz w:val="24"/>
          <w:szCs w:val="24"/>
        </w:rPr>
        <w:t>While the FFRs do not stipulate any particular route to compliance, in practice manufacturers mostly choose to use Flame Retardants (FRs) as the most cost-effective solution.</w:t>
      </w:r>
    </w:p>
    <w:p w:rsidR="00A43C03" w:rsidRPr="005C5BDA" w:rsidRDefault="00A43C03" w:rsidP="00A43C03">
      <w:pPr>
        <w:pStyle w:val="EBBullet"/>
        <w:keepNext/>
        <w:numPr>
          <w:ilvl w:val="0"/>
          <w:numId w:val="0"/>
        </w:numPr>
        <w:tabs>
          <w:tab w:val="left" w:pos="720"/>
        </w:tabs>
        <w:ind w:left="720" w:hanging="720"/>
        <w:rPr>
          <w:sz w:val="24"/>
        </w:rPr>
      </w:pPr>
      <w:r>
        <w:rPr>
          <w:sz w:val="24"/>
        </w:rPr>
        <w:t>1</w:t>
      </w:r>
      <w:r w:rsidRPr="005C5BDA">
        <w:rPr>
          <w:sz w:val="24"/>
        </w:rPr>
        <w:t>.2</w:t>
      </w:r>
      <w:r w:rsidRPr="005C5BDA">
        <w:rPr>
          <w:sz w:val="24"/>
        </w:rPr>
        <w:tab/>
      </w:r>
      <w:r>
        <w:rPr>
          <w:sz w:val="24"/>
        </w:rPr>
        <w:t>T</w:t>
      </w:r>
      <w:r w:rsidRPr="005C5BDA">
        <w:rPr>
          <w:sz w:val="24"/>
        </w:rPr>
        <w:t xml:space="preserve">he FFRs </w:t>
      </w:r>
      <w:r>
        <w:rPr>
          <w:sz w:val="24"/>
        </w:rPr>
        <w:t xml:space="preserve">are </w:t>
      </w:r>
      <w:r w:rsidRPr="005C5BDA">
        <w:rPr>
          <w:sz w:val="24"/>
        </w:rPr>
        <w:t>highly successful</w:t>
      </w:r>
      <w:r>
        <w:rPr>
          <w:sz w:val="24"/>
        </w:rPr>
        <w:t xml:space="preserve"> in preventing injury and loss of life</w:t>
      </w:r>
      <w:r w:rsidRPr="005C5BDA">
        <w:rPr>
          <w:sz w:val="24"/>
        </w:rPr>
        <w:t>.</w:t>
      </w:r>
      <w:r>
        <w:rPr>
          <w:sz w:val="24"/>
        </w:rPr>
        <w:t xml:space="preserve"> A BIS-commissioned report in 2009 shows that the current regulations </w:t>
      </w:r>
      <w:r w:rsidRPr="005C5BDA">
        <w:rPr>
          <w:sz w:val="24"/>
        </w:rPr>
        <w:t>were</w:t>
      </w:r>
      <w:r>
        <w:rPr>
          <w:sz w:val="24"/>
        </w:rPr>
        <w:t xml:space="preserve"> annually</w:t>
      </w:r>
      <w:r w:rsidRPr="005C5BDA">
        <w:rPr>
          <w:sz w:val="24"/>
        </w:rPr>
        <w:t xml:space="preserve"> saving around 54 lives, preventing around </w:t>
      </w:r>
      <w:r>
        <w:rPr>
          <w:sz w:val="24"/>
        </w:rPr>
        <w:t xml:space="preserve">800 </w:t>
      </w:r>
      <w:r w:rsidRPr="005C5BDA">
        <w:rPr>
          <w:sz w:val="24"/>
        </w:rPr>
        <w:t>injuries</w:t>
      </w:r>
      <w:r>
        <w:rPr>
          <w:sz w:val="24"/>
        </w:rPr>
        <w:t xml:space="preserve">, over 1,000 fires. These savings to health and property were valued at </w:t>
      </w:r>
      <w:r w:rsidRPr="005C5BDA">
        <w:rPr>
          <w:sz w:val="24"/>
        </w:rPr>
        <w:t>around £140m per year</w:t>
      </w:r>
      <w:r>
        <w:rPr>
          <w:rStyle w:val="FootnoteReference"/>
        </w:rPr>
        <w:footnoteReference w:id="2"/>
      </w:r>
      <w:r w:rsidRPr="005C5BDA">
        <w:rPr>
          <w:sz w:val="24"/>
        </w:rPr>
        <w:t>.</w:t>
      </w:r>
      <w:r>
        <w:rPr>
          <w:sz w:val="24"/>
        </w:rPr>
        <w:t xml:space="preserve"> Therefore, any changes to the regulation have the primary objective of consumer protection and safety.</w:t>
      </w:r>
    </w:p>
    <w:p w:rsidR="00A43C03" w:rsidRPr="00706E31" w:rsidRDefault="00A43C03" w:rsidP="00A43C03">
      <w:pPr>
        <w:pStyle w:val="EBBullet"/>
        <w:keepNext/>
        <w:numPr>
          <w:ilvl w:val="0"/>
          <w:numId w:val="0"/>
        </w:numPr>
        <w:tabs>
          <w:tab w:val="left" w:pos="720"/>
        </w:tabs>
        <w:ind w:left="720" w:hanging="720"/>
      </w:pPr>
      <w:r w:rsidRPr="00EC4E39">
        <w:rPr>
          <w:sz w:val="24"/>
        </w:rPr>
        <w:t>1.3</w:t>
      </w:r>
      <w:r w:rsidRPr="005C5BDA">
        <w:tab/>
      </w:r>
      <w:r w:rsidRPr="008C2722">
        <w:rPr>
          <w:sz w:val="24"/>
          <w:szCs w:val="24"/>
        </w:rPr>
        <w:t>Enforcement of the FFRs is the responsibility of Trading Standards, with powers derived from the primary legislation, the Consumer Protection Act 1987. Regular exercises by Trading Standards reveal that a constant threat to UK consumers is from non-compliant furniture imports, because most of the rest of the world provides little flammability protection for upholstered products</w:t>
      </w:r>
      <w:r>
        <w:t>.</w:t>
      </w:r>
    </w:p>
    <w:p w:rsidR="00A43C03" w:rsidRPr="00FB6347" w:rsidRDefault="00A43C03" w:rsidP="00A43C03">
      <w:pPr>
        <w:pStyle w:val="Heading3"/>
        <w:jc w:val="both"/>
        <w:rPr>
          <w:color w:val="auto"/>
        </w:rPr>
      </w:pPr>
      <w:r>
        <w:rPr>
          <w:color w:val="auto"/>
        </w:rPr>
        <w:t>2.</w:t>
      </w:r>
      <w:r w:rsidRPr="00FB6347">
        <w:rPr>
          <w:color w:val="auto"/>
        </w:rPr>
        <w:tab/>
        <w:t>What is the problem?</w:t>
      </w:r>
    </w:p>
    <w:p w:rsidR="00A43C03" w:rsidRDefault="00A43C03" w:rsidP="00A43C03">
      <w:pPr>
        <w:ind w:left="720" w:hanging="720"/>
        <w:rPr>
          <w:rFonts w:cs="Arial"/>
        </w:rPr>
      </w:pPr>
      <w:r>
        <w:rPr>
          <w:rFonts w:cs="Arial"/>
        </w:rPr>
        <w:t>2.1</w:t>
      </w:r>
      <w:r>
        <w:rPr>
          <w:rFonts w:cs="Arial"/>
        </w:rPr>
        <w:tab/>
        <w:t>T</w:t>
      </w:r>
      <w:r w:rsidRPr="00AE42E5">
        <w:rPr>
          <w:rFonts w:cs="Arial"/>
        </w:rPr>
        <w:t>he FFRs are have not been updated (aside from minor amendments) since 1988</w:t>
      </w:r>
      <w:r>
        <w:rPr>
          <w:rFonts w:cs="Arial"/>
        </w:rPr>
        <w:t xml:space="preserve"> and s</w:t>
      </w:r>
      <w:r w:rsidRPr="00AE42E5">
        <w:rPr>
          <w:rFonts w:cs="Arial"/>
        </w:rPr>
        <w:t>takeholders</w:t>
      </w:r>
      <w:r>
        <w:rPr>
          <w:rFonts w:cs="Arial"/>
        </w:rPr>
        <w:t xml:space="preserve"> (e.g. industry, the fire service, Trading Standards),</w:t>
      </w:r>
      <w:r w:rsidRPr="00AE42E5">
        <w:rPr>
          <w:rFonts w:cs="Arial"/>
        </w:rPr>
        <w:t xml:space="preserve"> while strongly supportive of the FFRs, have often lobbied for an update</w:t>
      </w:r>
      <w:r>
        <w:rPr>
          <w:rFonts w:cs="Arial"/>
        </w:rPr>
        <w:t xml:space="preserve">. For the past three years, BIS has been working closely with all key stakeholders on a review of the FFRs and the amended regulation could be in place by 2016. Over the past year or so, however, evidence for the ill effects of FRs on health and the environment has been growing, so much so that in the USA, California has made changes to its furniture flammability standard (used across the USA) which </w:t>
      </w:r>
      <w:r w:rsidR="004244A6">
        <w:rPr>
          <w:rFonts w:cs="Arial"/>
        </w:rPr>
        <w:t>will</w:t>
      </w:r>
      <w:r>
        <w:rPr>
          <w:rFonts w:cs="Arial"/>
        </w:rPr>
        <w:t xml:space="preserve"> obviate the use of all FRs, which may compromise the safety of consumers (see 5.4). There are signs in the UK (from press and consumers) that consumer concern over the chemical treatment of furniture is growing here too. </w:t>
      </w:r>
    </w:p>
    <w:p w:rsidR="00A43C03" w:rsidRDefault="00A43C03" w:rsidP="00A43C03">
      <w:pPr>
        <w:ind w:left="720" w:hanging="720"/>
        <w:rPr>
          <w:rFonts w:cs="Arial"/>
        </w:rPr>
      </w:pPr>
      <w:r>
        <w:rPr>
          <w:rFonts w:cs="Arial"/>
        </w:rPr>
        <w:t>2.2</w:t>
      </w:r>
      <w:r>
        <w:rPr>
          <w:rFonts w:cs="Arial"/>
        </w:rPr>
        <w:tab/>
        <w:t xml:space="preserve">The current flammability tests required by the FFRs are: match and cigarette tests for cover fabrics and the 'crib 5' test for filling materials. Some FRs are needed for filling materials; however, these are largely non-contentious. More potentially/actually harmful FRs - particularly the brominated variety (BFRs) - are used to meet the stringent requirements of the match test. These are applied either by impregnating the fabric or by 'backcoating' it. There is growing evidence that a) BFRs are worn away during normal use, getting into house dust and b) damage the environment by releasing toxins and dioxins when burnt or dumped in landfill at end of life (see Annex </w:t>
      </w:r>
      <w:r w:rsidR="004244A6">
        <w:rPr>
          <w:rFonts w:cs="Arial"/>
        </w:rPr>
        <w:t xml:space="preserve">1 above </w:t>
      </w:r>
      <w:r>
        <w:rPr>
          <w:rFonts w:cs="Arial"/>
        </w:rPr>
        <w:t>for evidence linking chemicals with environmental and health outcomes).</w:t>
      </w:r>
    </w:p>
    <w:p w:rsidR="00A43C03" w:rsidRDefault="00A43C03" w:rsidP="00A43C03">
      <w:pPr>
        <w:ind w:left="720" w:hanging="720"/>
        <w:rPr>
          <w:rFonts w:cs="Arial"/>
        </w:rPr>
      </w:pPr>
      <w:r>
        <w:rPr>
          <w:rFonts w:cs="Arial"/>
        </w:rPr>
        <w:t>2.3</w:t>
      </w:r>
      <w:r>
        <w:rPr>
          <w:rFonts w:cs="Arial"/>
        </w:rPr>
        <w:tab/>
        <w:t xml:space="preserve">The current FFRs match test (see text box) requires cover fabrics to be tested over highly-flammable (and now illegal in the UK) polyurethane foam fillings. This means the additional flame resistance supplied by the combustion-modified fillings that are present in </w:t>
      </w:r>
      <w:r>
        <w:rPr>
          <w:rFonts w:cs="Arial"/>
        </w:rPr>
        <w:lastRenderedPageBreak/>
        <w:t xml:space="preserve">the final product is not utilised, leading to a higher than necessary ignition resistance standard in the cover fabrics (and more chemicals used to meet it). </w:t>
      </w:r>
    </w:p>
    <w:p w:rsidR="00A43C03" w:rsidRPr="005C5BDA" w:rsidRDefault="00A43C03" w:rsidP="00A43C03">
      <w:pPr>
        <w:pStyle w:val="EBBullet"/>
        <w:keepNext/>
        <w:numPr>
          <w:ilvl w:val="0"/>
          <w:numId w:val="0"/>
        </w:numPr>
        <w:pBdr>
          <w:top w:val="single" w:sz="4" w:space="1" w:color="auto"/>
          <w:left w:val="single" w:sz="4" w:space="4" w:color="auto"/>
          <w:bottom w:val="single" w:sz="4" w:space="1" w:color="auto"/>
          <w:right w:val="single" w:sz="4" w:space="4" w:color="auto"/>
        </w:pBdr>
        <w:tabs>
          <w:tab w:val="left" w:pos="720"/>
        </w:tabs>
        <w:ind w:left="720" w:hanging="720"/>
        <w:rPr>
          <w:sz w:val="24"/>
        </w:rPr>
      </w:pPr>
      <w:r>
        <w:rPr>
          <w:i/>
          <w:sz w:val="24"/>
        </w:rPr>
        <w:t>Box 1: The match test</w:t>
      </w:r>
    </w:p>
    <w:p w:rsidR="00A43C03" w:rsidRDefault="00A43C03" w:rsidP="0039415E">
      <w:pPr>
        <w:pStyle w:val="EBBullet"/>
        <w:keepNext/>
        <w:numPr>
          <w:ilvl w:val="0"/>
          <w:numId w:val="15"/>
        </w:numPr>
        <w:pBdr>
          <w:top w:val="single" w:sz="4" w:space="1" w:color="auto"/>
          <w:left w:val="single" w:sz="4" w:space="4" w:color="auto"/>
          <w:bottom w:val="single" w:sz="4" w:space="1" w:color="auto"/>
          <w:right w:val="single" w:sz="4" w:space="4" w:color="auto"/>
        </w:pBdr>
        <w:tabs>
          <w:tab w:val="left" w:pos="720"/>
        </w:tabs>
        <w:rPr>
          <w:sz w:val="24"/>
        </w:rPr>
      </w:pPr>
      <w:r w:rsidRPr="005C5BDA">
        <w:rPr>
          <w:sz w:val="24"/>
        </w:rPr>
        <w:t xml:space="preserve">The current match test under the FFRs requires cover fabric to be tested over highly flammable polyurethane foam. However, this foam would not pass the FFRs filling test, i.e. </w:t>
      </w:r>
      <w:r>
        <w:rPr>
          <w:sz w:val="24"/>
        </w:rPr>
        <w:t xml:space="preserve">it </w:t>
      </w:r>
      <w:r w:rsidRPr="005C5BDA">
        <w:rPr>
          <w:sz w:val="24"/>
        </w:rPr>
        <w:t>is not found in furniture</w:t>
      </w:r>
      <w:r>
        <w:rPr>
          <w:sz w:val="24"/>
        </w:rPr>
        <w:t xml:space="preserve"> sold in the UK</w:t>
      </w:r>
      <w:r w:rsidRPr="005C5BDA">
        <w:rPr>
          <w:sz w:val="24"/>
        </w:rPr>
        <w:t>. The EU match test, by contrast, requires cover fabrics to be tested over the same combustion-modified foam</w:t>
      </w:r>
      <w:r>
        <w:rPr>
          <w:sz w:val="24"/>
        </w:rPr>
        <w:t xml:space="preserve"> that appears in final products, which is the basis of BIS's new proposal. The proposed new match test will be undertaken over representative actual foam fillings. This will reduce the amount of flame retardant chemicals needed to pass the match test; the same safety level previously tested for will be met with less chemicals in cover fabrics.</w:t>
      </w:r>
    </w:p>
    <w:p w:rsidR="00A43C03" w:rsidRDefault="00A43C03" w:rsidP="0039415E">
      <w:pPr>
        <w:pStyle w:val="EBBullet"/>
        <w:keepNext/>
        <w:numPr>
          <w:ilvl w:val="0"/>
          <w:numId w:val="15"/>
        </w:numPr>
        <w:pBdr>
          <w:top w:val="single" w:sz="4" w:space="1" w:color="auto"/>
          <w:left w:val="single" w:sz="4" w:space="4" w:color="auto"/>
          <w:bottom w:val="single" w:sz="4" w:space="1" w:color="auto"/>
          <w:right w:val="single" w:sz="4" w:space="4" w:color="auto"/>
        </w:pBdr>
        <w:tabs>
          <w:tab w:val="left" w:pos="720"/>
        </w:tabs>
        <w:rPr>
          <w:sz w:val="24"/>
        </w:rPr>
      </w:pPr>
      <w:r>
        <w:rPr>
          <w:sz w:val="24"/>
        </w:rPr>
        <w:t xml:space="preserve">The current test serves two purposes: to reduce the </w:t>
      </w:r>
      <w:r w:rsidR="007B73A7">
        <w:rPr>
          <w:sz w:val="24"/>
        </w:rPr>
        <w:t>ignitability of</w:t>
      </w:r>
      <w:r>
        <w:rPr>
          <w:sz w:val="24"/>
        </w:rPr>
        <w:t xml:space="preserve"> the cover fabric and to protect the filling material underneath. The current test does not take account of the fact that the combustion-modified foam present in the actual product reduces the ignitability of the cover fabric and is also, by its nature, more protected than the test PU foam.</w:t>
      </w:r>
    </w:p>
    <w:p w:rsidR="00A43C03" w:rsidRDefault="00A43C03" w:rsidP="00A43C03">
      <w:pPr>
        <w:pStyle w:val="EBBullet"/>
        <w:keepNext/>
        <w:numPr>
          <w:ilvl w:val="0"/>
          <w:numId w:val="0"/>
        </w:numPr>
        <w:pBdr>
          <w:top w:val="single" w:sz="4" w:space="1" w:color="auto"/>
          <w:left w:val="single" w:sz="4" w:space="4" w:color="auto"/>
          <w:bottom w:val="single" w:sz="4" w:space="1" w:color="auto"/>
          <w:right w:val="single" w:sz="4" w:space="4" w:color="auto"/>
        </w:pBdr>
        <w:tabs>
          <w:tab w:val="left" w:pos="720"/>
        </w:tabs>
        <w:rPr>
          <w:sz w:val="24"/>
        </w:rPr>
      </w:pPr>
    </w:p>
    <w:p w:rsidR="004244A6" w:rsidRPr="004244A6" w:rsidRDefault="004244A6" w:rsidP="004244A6">
      <w:pPr>
        <w:pBdr>
          <w:top w:val="single" w:sz="4" w:space="1" w:color="auto"/>
          <w:left w:val="single" w:sz="4" w:space="4" w:color="auto"/>
          <w:bottom w:val="single" w:sz="4" w:space="19" w:color="auto"/>
          <w:right w:val="single" w:sz="4" w:space="4" w:color="auto"/>
        </w:pBdr>
        <w:spacing w:after="0"/>
        <w:ind w:left="0"/>
        <w:rPr>
          <w:rFonts w:cs="Arial"/>
        </w:rPr>
      </w:pPr>
      <w:r>
        <w:rPr>
          <w:rFonts w:cs="Arial"/>
          <w:i/>
        </w:rPr>
        <w:t>Box 2: The cigarette test</w:t>
      </w:r>
    </w:p>
    <w:p w:rsidR="004244A6" w:rsidRPr="004244A6" w:rsidRDefault="004244A6" w:rsidP="004244A6">
      <w:pPr>
        <w:pBdr>
          <w:top w:val="single" w:sz="4" w:space="1" w:color="auto"/>
          <w:left w:val="single" w:sz="4" w:space="4" w:color="auto"/>
          <w:bottom w:val="single" w:sz="4" w:space="19" w:color="auto"/>
          <w:right w:val="single" w:sz="4" w:space="4" w:color="auto"/>
        </w:pBdr>
        <w:spacing w:after="0"/>
        <w:ind w:left="0"/>
        <w:rPr>
          <w:rFonts w:cs="Arial"/>
        </w:rPr>
      </w:pPr>
    </w:p>
    <w:p w:rsidR="004244A6" w:rsidRPr="00D05304" w:rsidRDefault="004244A6" w:rsidP="0039415E">
      <w:pPr>
        <w:numPr>
          <w:ilvl w:val="0"/>
          <w:numId w:val="15"/>
        </w:numPr>
        <w:pBdr>
          <w:top w:val="single" w:sz="4" w:space="1" w:color="auto"/>
          <w:left w:val="single" w:sz="4" w:space="4" w:color="auto"/>
          <w:bottom w:val="single" w:sz="4" w:space="19" w:color="auto"/>
          <w:right w:val="single" w:sz="4" w:space="4" w:color="auto"/>
        </w:pBdr>
        <w:spacing w:after="0"/>
        <w:rPr>
          <w:rFonts w:cs="Arial"/>
        </w:rPr>
      </w:pPr>
      <w:r>
        <w:t xml:space="preserve">We also intend to modify the existing cigarette test, essentially to exclude most fabrics from having to be tested. This is because the cigarette test is less stringent than the match test and many fabrics have never failed the test. The main reason they do not fail the cigarette test is because they must also pass the match test, which is a much more severe test.  </w:t>
      </w:r>
    </w:p>
    <w:p w:rsidR="004244A6" w:rsidRDefault="004244A6" w:rsidP="00A43C03">
      <w:pPr>
        <w:pStyle w:val="Heading3"/>
        <w:jc w:val="both"/>
        <w:rPr>
          <w:color w:val="auto"/>
        </w:rPr>
      </w:pPr>
    </w:p>
    <w:p w:rsidR="00A43C03" w:rsidRPr="00FB6347" w:rsidRDefault="00A43C03" w:rsidP="00A43C03">
      <w:pPr>
        <w:pStyle w:val="Heading3"/>
        <w:jc w:val="both"/>
        <w:rPr>
          <w:color w:val="auto"/>
        </w:rPr>
      </w:pPr>
      <w:r>
        <w:rPr>
          <w:color w:val="auto"/>
        </w:rPr>
        <w:t>3.</w:t>
      </w:r>
      <w:r w:rsidRPr="00FB6347">
        <w:rPr>
          <w:color w:val="auto"/>
        </w:rPr>
        <w:tab/>
        <w:t>What solution is proposed?</w:t>
      </w:r>
    </w:p>
    <w:p w:rsidR="00A43C03" w:rsidRDefault="00A43C03" w:rsidP="00A43C03">
      <w:pPr>
        <w:ind w:left="720" w:hanging="720"/>
        <w:rPr>
          <w:rFonts w:cs="Arial"/>
        </w:rPr>
      </w:pPr>
      <w:r>
        <w:rPr>
          <w:rFonts w:cs="Arial"/>
        </w:rPr>
        <w:t>3.1</w:t>
      </w:r>
      <w:r>
        <w:rPr>
          <w:rFonts w:cs="Arial"/>
        </w:rPr>
        <w:tab/>
        <w:t>BIS intends to introduce to the FFRs a new flammability match test (see text box) which, while maintaining current safety levels, will allow manufacturers to reduce FR use by between 30%-50%</w:t>
      </w:r>
      <w:r>
        <w:rPr>
          <w:rStyle w:val="FootnoteReference"/>
        </w:rPr>
        <w:footnoteReference w:id="3"/>
      </w:r>
      <w:r>
        <w:rPr>
          <w:rFonts w:cs="Arial"/>
        </w:rPr>
        <w:t xml:space="preserve">. Based on the assumptions detailed below this could lead to an annual un-discounted saving of between </w:t>
      </w:r>
      <w:r w:rsidRPr="00C66523">
        <w:rPr>
          <w:rFonts w:cs="Arial"/>
        </w:rPr>
        <w:t>£1</w:t>
      </w:r>
      <w:r>
        <w:rPr>
          <w:rFonts w:cs="Arial"/>
        </w:rPr>
        <w:t>9</w:t>
      </w:r>
      <w:r w:rsidRPr="00C66523">
        <w:rPr>
          <w:rFonts w:cs="Arial"/>
        </w:rPr>
        <w:t>m and £</w:t>
      </w:r>
      <w:r>
        <w:rPr>
          <w:rFonts w:cs="Arial"/>
        </w:rPr>
        <w:t>55</w:t>
      </w:r>
      <w:r w:rsidRPr="00C66523">
        <w:rPr>
          <w:rFonts w:cs="Arial"/>
        </w:rPr>
        <w:t xml:space="preserve">m </w:t>
      </w:r>
      <w:r>
        <w:rPr>
          <w:rFonts w:cs="Arial"/>
        </w:rPr>
        <w:t xml:space="preserve"> A best estimate is not currently given due to the uncertainty of the data available. BIS hopes this consultation IA will elicit evidence to improve the</w:t>
      </w:r>
      <w:r w:rsidR="00D05304">
        <w:rPr>
          <w:rFonts w:cs="Arial"/>
        </w:rPr>
        <w:t xml:space="preserve"> robustness of these estimates.</w:t>
      </w:r>
    </w:p>
    <w:p w:rsidR="00A43C03" w:rsidRDefault="00A43C03" w:rsidP="00A43C03">
      <w:pPr>
        <w:ind w:left="720" w:hanging="720"/>
        <w:rPr>
          <w:rFonts w:cs="Arial"/>
        </w:rPr>
      </w:pPr>
      <w:r>
        <w:rPr>
          <w:rFonts w:cs="Arial"/>
        </w:rPr>
        <w:t>3.2</w:t>
      </w:r>
      <w:r>
        <w:rPr>
          <w:rFonts w:cs="Arial"/>
        </w:rPr>
        <w:tab/>
        <w:t>We believe that if we make compliance possible with less FR chemicals, industry will be encouraged to explore other means of achieving flame retardance, e.g. inherently flame-retardant fabric fibres, which require no treatment at all. This is because we are removing the need to test fabrics over highly flammable polyurethane but instead testing the whole product including the foam filling that will be used. The new test should also encourage manufacturers to explore compliance through design. Long-term, for example, BIS intends to encourage and support research into new 'barrier' technology (currently used for mattresses in the USA) which does not require the use of any FR chemicals.</w:t>
      </w:r>
    </w:p>
    <w:p w:rsidR="00A43C03" w:rsidRDefault="00A43C03" w:rsidP="00A43C03">
      <w:pPr>
        <w:ind w:left="720" w:hanging="720"/>
        <w:rPr>
          <w:rFonts w:cs="Arial"/>
        </w:rPr>
      </w:pPr>
      <w:r>
        <w:rPr>
          <w:rFonts w:cs="Arial"/>
        </w:rPr>
        <w:lastRenderedPageBreak/>
        <w:t>3.3</w:t>
      </w:r>
      <w:r>
        <w:rPr>
          <w:rFonts w:cs="Arial"/>
        </w:rPr>
        <w:tab/>
        <w:t xml:space="preserve">A discussion paper based around the proposed new draft match test and amendment to the cigarette test was circulated to key stakeholders in July 2013, and received very positive support. There were some concerns, which BIS believes were mostly down to the discussion paper being (necessarily) somewhat complex as it needed to provide, with explanation, several options. </w:t>
      </w:r>
    </w:p>
    <w:p w:rsidR="00A43C03" w:rsidRDefault="00A43C03" w:rsidP="00A43C03">
      <w:pPr>
        <w:ind w:left="720" w:hanging="720"/>
        <w:rPr>
          <w:rFonts w:cs="Arial"/>
        </w:rPr>
      </w:pPr>
      <w:r>
        <w:rPr>
          <w:rFonts w:cs="Arial"/>
        </w:rPr>
        <w:t>3.4</w:t>
      </w:r>
      <w:r>
        <w:rPr>
          <w:rFonts w:cs="Arial"/>
        </w:rPr>
        <w:tab/>
        <w:t>Regarding our plans to exclude most fabrics from the cigarette test - this was agreed by a group of prominent test house experts in a workshop meeting with BIS. Essentially, any fabric which passe</w:t>
      </w:r>
      <w:r w:rsidR="00321C47">
        <w:rPr>
          <w:rFonts w:cs="Arial"/>
        </w:rPr>
        <w:t>s</w:t>
      </w:r>
      <w:r>
        <w:rPr>
          <w:rFonts w:cs="Arial"/>
        </w:rPr>
        <w:t xml:space="preserve"> the match test will automatically pass the cigarette test (because the match test is more severe). When the FFRs were introduced, this was not </w:t>
      </w:r>
      <w:r w:rsidR="007B73A7">
        <w:rPr>
          <w:rFonts w:cs="Arial"/>
        </w:rPr>
        <w:t>foreseen</w:t>
      </w:r>
      <w:r>
        <w:rPr>
          <w:rFonts w:cs="Arial"/>
        </w:rPr>
        <w:t>, and has become apparent over the years with the results of multiple testings.</w:t>
      </w:r>
    </w:p>
    <w:p w:rsidR="00321C47" w:rsidRPr="00321C47" w:rsidRDefault="00A43C03" w:rsidP="00321C47">
      <w:pPr>
        <w:ind w:left="720" w:hanging="720"/>
        <w:rPr>
          <w:rFonts w:cs="Arial"/>
        </w:rPr>
      </w:pPr>
      <w:r>
        <w:rPr>
          <w:rFonts w:cs="Arial"/>
        </w:rPr>
        <w:t>3.5</w:t>
      </w:r>
      <w:r>
        <w:rPr>
          <w:rFonts w:cs="Arial"/>
        </w:rPr>
        <w:tab/>
        <w:t>The proposed new match test was discussed with various experts over a two-day period at IKEA's research establishment in Almhult, Sweden. IKEA have strong green credentials and took a great interest in BIS's proposal, e.g. because it can allow them to use a greater range of cover fabrics that at present (they do not use BFRs in furniture, thereby restricting the range they can offer in the UK). IKEA were strongly supportive of the veracity of the test requirements, commenting that it was highly competent. They foresee that it could support some of their new technologies, too.</w:t>
      </w:r>
      <w:bookmarkEnd w:id="87"/>
    </w:p>
    <w:p w:rsidR="00D05304" w:rsidRDefault="00A43C03" w:rsidP="00D05304">
      <w:pPr>
        <w:ind w:left="720" w:hanging="720"/>
        <w:jc w:val="both"/>
        <w:rPr>
          <w:b/>
        </w:rPr>
      </w:pPr>
      <w:r>
        <w:rPr>
          <w:b/>
        </w:rPr>
        <w:t>4.</w:t>
      </w:r>
      <w:r>
        <w:rPr>
          <w:b/>
        </w:rPr>
        <w:tab/>
      </w:r>
      <w:r w:rsidRPr="00337148">
        <w:rPr>
          <w:b/>
        </w:rPr>
        <w:t>Rationale for intervention</w:t>
      </w:r>
    </w:p>
    <w:p w:rsidR="00A43C03" w:rsidRDefault="00A43C03" w:rsidP="00321C47">
      <w:pPr>
        <w:ind w:left="720" w:hanging="720"/>
      </w:pPr>
      <w:r>
        <w:t xml:space="preserve">4.1 </w:t>
      </w:r>
      <w:r>
        <w:tab/>
      </w:r>
      <w:r w:rsidRPr="00B01354">
        <w:t xml:space="preserve">Government intervention is necessary to amend a flammability test requirement that in practice has led to furniture producers and retailers using large amounts of flame retardant chemicals to comply with </w:t>
      </w:r>
      <w:r>
        <w:t>the</w:t>
      </w:r>
      <w:r w:rsidRPr="00B01354">
        <w:t xml:space="preserve"> regulations. The new test reduces the cost of meeting safety requirements to ensure furniture is fire resistant, in light of new performance evidence gained by research sponsored by BIS. </w:t>
      </w:r>
      <w:r>
        <w:t>BIS believe t</w:t>
      </w:r>
      <w:r w:rsidRPr="005C5BDA">
        <w:t xml:space="preserve">he fire safety of UK consumers </w:t>
      </w:r>
      <w:r>
        <w:t>should not</w:t>
      </w:r>
      <w:r w:rsidRPr="005C5BDA">
        <w:t xml:space="preserve"> be left to </w:t>
      </w:r>
      <w:r>
        <w:t xml:space="preserve">existing </w:t>
      </w:r>
      <w:r w:rsidRPr="005C5BDA">
        <w:t>EU legislation</w:t>
      </w:r>
      <w:r>
        <w:rPr>
          <w:rStyle w:val="FootnoteReference"/>
        </w:rPr>
        <w:footnoteReference w:id="4"/>
      </w:r>
      <w:r w:rsidRPr="005C5BDA">
        <w:t xml:space="preserve"> </w:t>
      </w:r>
      <w:r>
        <w:t>as that would mean the standard of fire safety in furniture will fall, increasing the risk of loss of life</w:t>
      </w:r>
      <w:r w:rsidRPr="005C5BDA">
        <w:t xml:space="preserve">. </w:t>
      </w:r>
      <w:r>
        <w:t xml:space="preserve">Quantifying the risk to loss of life is difficult as there are issues with data collection across European comparators but the UK is widely recognised as having an excellent fire safety record for furniture within the EU.  </w:t>
      </w:r>
    </w:p>
    <w:p w:rsidR="00A43C03" w:rsidRDefault="00A43C03" w:rsidP="00A43C03">
      <w:pPr>
        <w:pStyle w:val="EBBullet"/>
        <w:keepNext/>
        <w:numPr>
          <w:ilvl w:val="0"/>
          <w:numId w:val="0"/>
        </w:numPr>
        <w:tabs>
          <w:tab w:val="left" w:pos="720"/>
        </w:tabs>
        <w:ind w:left="720" w:hanging="720"/>
        <w:rPr>
          <w:sz w:val="24"/>
        </w:rPr>
      </w:pPr>
      <w:r>
        <w:rPr>
          <w:sz w:val="24"/>
        </w:rPr>
        <w:t>4.2</w:t>
      </w:r>
      <w:r>
        <w:rPr>
          <w:sz w:val="24"/>
        </w:rPr>
        <w:tab/>
        <w:t xml:space="preserve">The European Commission has frequently stated its intention to raise the EU standard to UK levels. However, it has recently acknowledged that a stumbling block to acceptance from some Member States is that such high standards tend to require the use of FR chemicals in furniture. The Commission has found it difficult to prove that the chemicals used in furniture (particularly BFRs) are not harmful; indeed, as said above, evidence is growing that in fact they can be damaging to health and the environment. In short, the new test will also help the Commission in that the new match test will considerably reduce FR use. </w:t>
      </w:r>
      <w:r w:rsidR="00321C47">
        <w:rPr>
          <w:sz w:val="24"/>
        </w:rPr>
        <w:t xml:space="preserve">BIS officials visited the Commission to discuss these proposed changes in April 2014. The Commission (DG SANCO) expressed strong enthusiasm of the direction the UK is taking; however, they also made it clear that the increasing concern about FR </w:t>
      </w:r>
      <w:r w:rsidR="00321C47">
        <w:rPr>
          <w:sz w:val="24"/>
        </w:rPr>
        <w:lastRenderedPageBreak/>
        <w:t>chemicals in Europe means they are not as willing as before to push for a rise in standards until this issue is addressed.</w:t>
      </w:r>
    </w:p>
    <w:p w:rsidR="00A43C03" w:rsidRDefault="00A43C03" w:rsidP="00A43C03">
      <w:pPr>
        <w:pStyle w:val="EBBullet"/>
        <w:keepNext/>
        <w:numPr>
          <w:ilvl w:val="0"/>
          <w:numId w:val="0"/>
        </w:numPr>
        <w:tabs>
          <w:tab w:val="left" w:pos="720"/>
        </w:tabs>
        <w:ind w:left="720" w:hanging="720"/>
        <w:rPr>
          <w:sz w:val="24"/>
        </w:rPr>
      </w:pPr>
      <w:r>
        <w:rPr>
          <w:i/>
          <w:sz w:val="24"/>
        </w:rPr>
        <w:tab/>
        <w:t>Note on the effects of FRs on human health and the environment</w:t>
      </w:r>
    </w:p>
    <w:p w:rsidR="00A43C03" w:rsidRPr="001F26E3" w:rsidRDefault="00A43C03" w:rsidP="00A43C03">
      <w:pPr>
        <w:ind w:left="720" w:hanging="720"/>
        <w:rPr>
          <w:szCs w:val="26"/>
        </w:rPr>
      </w:pPr>
      <w:r>
        <w:t>4.3</w:t>
      </w:r>
      <w:r>
        <w:tab/>
        <w:t>There is a growing literature that has linked h</w:t>
      </w:r>
      <w:r w:rsidRPr="001F26E3">
        <w:rPr>
          <w:szCs w:val="26"/>
        </w:rPr>
        <w:t>e</w:t>
      </w:r>
      <w:r>
        <w:rPr>
          <w:szCs w:val="26"/>
        </w:rPr>
        <w:t>alth and environmental harm with</w:t>
      </w:r>
      <w:r w:rsidRPr="001F26E3">
        <w:rPr>
          <w:szCs w:val="26"/>
        </w:rPr>
        <w:t xml:space="preserve"> flame retardant chemicals (brominated, chlorinated and phosphate) used in furniture</w:t>
      </w:r>
      <w:r>
        <w:rPr>
          <w:rStyle w:val="FootnoteReference"/>
          <w:szCs w:val="26"/>
        </w:rPr>
        <w:footnoteReference w:id="5"/>
      </w:r>
      <w:r>
        <w:rPr>
          <w:szCs w:val="26"/>
        </w:rPr>
        <w:t>.</w:t>
      </w:r>
      <w:r w:rsidRPr="001F26E3">
        <w:rPr>
          <w:szCs w:val="26"/>
        </w:rPr>
        <w:t xml:space="preserve"> Furniture flame retardants are associated with endocrine disruption, immunotoxicity, cancer, and/or reproductive and neurological impairments, lowered IQ, and hyperactivity. </w:t>
      </w:r>
      <w:r>
        <w:rPr>
          <w:szCs w:val="26"/>
        </w:rPr>
        <w:t>F</w:t>
      </w:r>
      <w:r w:rsidRPr="001F26E3">
        <w:rPr>
          <w:szCs w:val="26"/>
        </w:rPr>
        <w:t>lame retardants migrate out of furniture, settle in dust, and are ingested by humans and animals. Young children have the highest blood levels due to hand-to-mouth behavio</w:t>
      </w:r>
      <w:r>
        <w:rPr>
          <w:szCs w:val="26"/>
        </w:rPr>
        <w:t>u</w:t>
      </w:r>
      <w:r w:rsidRPr="001F26E3">
        <w:rPr>
          <w:szCs w:val="26"/>
        </w:rPr>
        <w:t xml:space="preserve">r. </w:t>
      </w:r>
      <w:r>
        <w:rPr>
          <w:szCs w:val="26"/>
        </w:rPr>
        <w:t>In the USA, a</w:t>
      </w:r>
      <w:r w:rsidRPr="001F26E3">
        <w:rPr>
          <w:szCs w:val="26"/>
        </w:rPr>
        <w:t xml:space="preserve"> majority of residential fire deaths result from inhalation of toxic gases, and soot and smoke can obscure escape. </w:t>
      </w:r>
      <w:r>
        <w:rPr>
          <w:szCs w:val="26"/>
        </w:rPr>
        <w:t>One study indicates that US f</w:t>
      </w:r>
      <w:r w:rsidRPr="001F26E3">
        <w:rPr>
          <w:szCs w:val="26"/>
        </w:rPr>
        <w:t xml:space="preserve">ire fighters have high rates of types of cancers associated with dioxin exposure; the dioxins produced when flame retardants burn are believed to contribute. </w:t>
      </w:r>
    </w:p>
    <w:p w:rsidR="00A43C03" w:rsidRDefault="00A43C03" w:rsidP="00A43C03">
      <w:pPr>
        <w:ind w:left="720" w:hanging="720"/>
        <w:rPr>
          <w:szCs w:val="26"/>
        </w:rPr>
      </w:pPr>
      <w:r>
        <w:rPr>
          <w:szCs w:val="26"/>
        </w:rPr>
        <w:t>4.4</w:t>
      </w:r>
      <w:r>
        <w:rPr>
          <w:szCs w:val="26"/>
        </w:rPr>
        <w:tab/>
      </w:r>
      <w:r w:rsidRPr="001F26E3">
        <w:rPr>
          <w:szCs w:val="26"/>
        </w:rPr>
        <w:t xml:space="preserve">California </w:t>
      </w:r>
      <w:r w:rsidR="00321C47">
        <w:rPr>
          <w:szCs w:val="26"/>
        </w:rPr>
        <w:t xml:space="preserve">also </w:t>
      </w:r>
      <w:r w:rsidRPr="001F26E3">
        <w:rPr>
          <w:szCs w:val="26"/>
        </w:rPr>
        <w:t>followed an open flame furniture flammability standard</w:t>
      </w:r>
      <w:r w:rsidR="00321C47">
        <w:rPr>
          <w:szCs w:val="26"/>
        </w:rPr>
        <w:t xml:space="preserve"> (like the UK’s match test)</w:t>
      </w:r>
      <w:r w:rsidRPr="001F26E3">
        <w:rPr>
          <w:szCs w:val="26"/>
        </w:rPr>
        <w:t xml:space="preserve">. This standard, called Technical Bulletin 117 (TB117), led to the use of flame retardant chemicals in furniture foam across the United States.  On 1 January 2014, California implemented a revised furniture flammability standard called TB117-2013. </w:t>
      </w:r>
      <w:r>
        <w:rPr>
          <w:szCs w:val="26"/>
        </w:rPr>
        <w:t>This could lead to US furniture not containing FR chemicals in future. It is anticipated that the new standard will increase fire safety. However, in BIS's view the original standard offered less fire safety than the UK regulation and the amendments are unlikely to reach the UK’s high standards. Nevertheless, BIS acknowledges that there was strong public support in the USA for a fire standard that would effectively remove FRs from furniture.</w:t>
      </w:r>
    </w:p>
    <w:p w:rsidR="00A43C03" w:rsidRPr="00D05304" w:rsidRDefault="00A43C03" w:rsidP="00D05304">
      <w:pPr>
        <w:pStyle w:val="Heading3"/>
        <w:jc w:val="both"/>
        <w:rPr>
          <w:rFonts w:ascii="Arial Bold" w:hAnsi="Arial Bold"/>
          <w:color w:val="000000"/>
        </w:rPr>
      </w:pPr>
      <w:r w:rsidRPr="00D05304">
        <w:rPr>
          <w:rFonts w:ascii="Arial Bold" w:hAnsi="Arial Bold"/>
          <w:color w:val="000000"/>
        </w:rPr>
        <w:t>5.</w:t>
      </w:r>
      <w:r w:rsidRPr="00D05304">
        <w:rPr>
          <w:rFonts w:ascii="Arial Bold" w:hAnsi="Arial Bold"/>
          <w:color w:val="000000"/>
        </w:rPr>
        <w:tab/>
        <w:t xml:space="preserve">Risks associated with option 2 </w:t>
      </w:r>
    </w:p>
    <w:p w:rsidR="00A43C03" w:rsidRDefault="00A43C03" w:rsidP="00D05304">
      <w:pPr>
        <w:ind w:left="720" w:hanging="720"/>
      </w:pPr>
      <w:r>
        <w:t>5.1</w:t>
      </w:r>
      <w:r>
        <w:tab/>
        <w:t xml:space="preserve">SMEs may need more help/guidance initially, since the new test is more complex in some respects. BIS will draft guidance, in conjunction with Intertek, and place it on BIS's website. The formal consultation paper will also contain clear guidance as to what will be necessary to meet compliance. We will also work with the appropriate trade associations. In addition, UK test houses will be an available and accessible source of guidance given that SMEs regularly use their services. </w:t>
      </w:r>
    </w:p>
    <w:p w:rsidR="00A43C03" w:rsidRDefault="00A43C03" w:rsidP="00A43C03">
      <w:pPr>
        <w:ind w:left="720"/>
      </w:pPr>
      <w:r>
        <w:rPr>
          <w:i/>
        </w:rPr>
        <w:t>Fire safety</w:t>
      </w:r>
    </w:p>
    <w:p w:rsidR="00A43C03" w:rsidRDefault="00A43C03" w:rsidP="00321C47">
      <w:pPr>
        <w:ind w:left="720" w:hanging="720"/>
      </w:pPr>
      <w:r>
        <w:t>5.2</w:t>
      </w:r>
      <w:r>
        <w:tab/>
        <w:t xml:space="preserve">Some stakeholders may assume the new match test will lower safety levels because it requires less FRs to meet compliance. However, there will be no lowering of safety standards. At a meeting BIS held in December 2013, all stakeholders present agreed that the new test will not lower safety in any way (attendees included: FIRA - the Fire Industry Research Association, the British Furniture Confederation, the Baby Products Association, Intertek (test house), and retailers such as Parker Knoll). Intertek has also undertaken test research on representative composites under the new test and concludes that it is as safe as the current test. </w:t>
      </w:r>
      <w:r w:rsidR="00321C47">
        <w:t>After a number or workshops and visits made by BIS and Intertek during the first half of 2014, there is widespread acceptance that the new test will actually make furniture safer from fire (see main consultation document for details). At a workshop on 16</w:t>
      </w:r>
      <w:r w:rsidR="00321C47" w:rsidRPr="00321C47">
        <w:rPr>
          <w:vertAlign w:val="superscript"/>
        </w:rPr>
        <w:t>th</w:t>
      </w:r>
      <w:r w:rsidR="00321C47">
        <w:t xml:space="preserve"> June 2014, including furniture manufacturers/retailers, flame retardant manufactures, trading standards and others, FIRA announced that its research into the </w:t>
      </w:r>
      <w:r w:rsidR="00321C47">
        <w:lastRenderedPageBreak/>
        <w:t>proposed test confirmed BIS’s claims on the potential reductions in FR levels, as well as that it should provide more fire safety than the current test.</w:t>
      </w:r>
    </w:p>
    <w:p w:rsidR="00A43C03" w:rsidRDefault="00A43C03" w:rsidP="00D05304">
      <w:pPr>
        <w:ind w:left="720" w:hanging="720"/>
      </w:pPr>
      <w:r>
        <w:t>5.3</w:t>
      </w:r>
      <w:r>
        <w:tab/>
      </w:r>
      <w:r w:rsidR="00321C47">
        <w:t xml:space="preserve">One of the </w:t>
      </w:r>
      <w:r w:rsidR="007B73A7">
        <w:t>reasons</w:t>
      </w:r>
      <w:r>
        <w:t xml:space="preserve"> the new test provides slightly more safety, because it now includes previously unregulated parts of furniture, e.g. the arms. Test houses inform us that in recent years, cheap and highly flammable materials have sometimes appeared in these unregulated parts, making the overall product more flammable than was envisaged at the introduction of the FFRs. </w:t>
      </w:r>
      <w:r w:rsidR="00321C47">
        <w:t>Another reason is that in the course of researching the new test it has become apparent that the current test does not always produce fire-resistant final products, i.e. some polyester fabrics (now very common in furniture) will pass the test in test conditions but when placed in the final product, construction factors mean they will often fail to be non-ignitable to the same level. The new test caters for these extra, unforeseen, factors.</w:t>
      </w:r>
    </w:p>
    <w:p w:rsidR="00A43C03" w:rsidRDefault="00A43C03" w:rsidP="00D05304">
      <w:pPr>
        <w:ind w:left="720" w:hanging="720"/>
      </w:pPr>
      <w:r>
        <w:t>5.4</w:t>
      </w:r>
      <w:r>
        <w:tab/>
        <w:t>There will be a small amount of extra testing required for some products (although it should be noted that only a sample of a batch needs testing, not each product). However, the extra cost of this is negligible compared with the savings to be made from reduced FRs. It is also more than off-set by savings that will be made from reductions in cigarette testing (i.e. only some fabrics requiring extra match tests compared to most fabrics not needing the cigarette test).</w:t>
      </w:r>
      <w:r w:rsidR="00321C47">
        <w:t xml:space="preserve"> In addition, BIS has informed industry that costs can be reduced further by the establishment of exemption lists for materials which pass the modified test for additional materials.</w:t>
      </w:r>
    </w:p>
    <w:p w:rsidR="00A43C03" w:rsidRDefault="00A43C03" w:rsidP="00A43C03">
      <w:pPr>
        <w:ind w:left="720"/>
      </w:pPr>
      <w:r>
        <w:rPr>
          <w:i/>
        </w:rPr>
        <w:t>Complicated regulatory transition</w:t>
      </w:r>
    </w:p>
    <w:p w:rsidR="00A43C03" w:rsidRDefault="00A43C03" w:rsidP="00D05304">
      <w:pPr>
        <w:ind w:left="720" w:hanging="720"/>
      </w:pPr>
      <w:r>
        <w:t>5.5</w:t>
      </w:r>
      <w:r>
        <w:tab/>
        <w:t xml:space="preserve">At the meeting in December mentioned above, FIRA said its members would prefer all the FFRs amendments to be made at the same time; that this proposal will mean they're required to respond to two consultation exercises. We agreed that this would be simpler but explained that the main amendments can not be implemented before 2016 anyway; yet it is possible within that time scale to bring forward the relatively simpler match/cigarette test changes and thereby provide savings to industry a year earlier. Also, while we accept there will be two consultations, the material for each is separate and will require no more consideration time-wise than if they were made together. </w:t>
      </w:r>
    </w:p>
    <w:p w:rsidR="00A43C03" w:rsidRDefault="00A43C03" w:rsidP="00A43C03">
      <w:pPr>
        <w:ind w:left="720"/>
        <w:rPr>
          <w:i/>
        </w:rPr>
      </w:pPr>
      <w:r>
        <w:rPr>
          <w:i/>
        </w:rPr>
        <w:t>Cost savings of the flame retardant treatment is not passed on to furniture producers and ultimately the consumers</w:t>
      </w:r>
    </w:p>
    <w:p w:rsidR="00A43C03" w:rsidRDefault="00A43C03" w:rsidP="00A43C03">
      <w:pPr>
        <w:ind w:left="720" w:hanging="720"/>
      </w:pPr>
      <w:r>
        <w:t>5.6</w:t>
      </w:r>
      <w:r>
        <w:tab/>
        <w:t>This risk is minimal as furniture manufacturers are well aware of the breakdown of treatment costs, i.e. that half the cost covers the processing while half covers the chemicals, and will therefore be able to negotiate effectively with treatment companies. Some larger manufacturers have their own treatment facilities so will directly benefit from the savings. Larger companies will also be aware that the change in the match test/BIS's thinking, can lead to the development of technologies that will reduce FR use further, possibly cut it out altogether (e.g. the USA has a mattress flammability test that is as tough as the UK's but is met via 'barrier' technology, with no FR treatment required. Research is currently being undertaken on developing similar technology for sofas, too).</w:t>
      </w:r>
    </w:p>
    <w:p w:rsidR="00A43C03" w:rsidRDefault="00A43C03" w:rsidP="00A43C03">
      <w:pPr>
        <w:ind w:left="720" w:hanging="720"/>
      </w:pPr>
      <w:r>
        <w:rPr>
          <w:b/>
        </w:rPr>
        <w:t>6</w:t>
      </w:r>
      <w:r w:rsidRPr="005D1994">
        <w:rPr>
          <w:b/>
        </w:rPr>
        <w:t>.</w:t>
      </w:r>
      <w:r w:rsidRPr="005D1994">
        <w:rPr>
          <w:b/>
        </w:rPr>
        <w:tab/>
        <w:t xml:space="preserve">Costs and benefits for Option 2  </w:t>
      </w:r>
    </w:p>
    <w:p w:rsidR="00A43C03" w:rsidRDefault="00A43C03" w:rsidP="00A43C03">
      <w:pPr>
        <w:ind w:left="720"/>
        <w:rPr>
          <w:bCs/>
        </w:rPr>
      </w:pPr>
      <w:r w:rsidRPr="005D1994">
        <w:rPr>
          <w:i/>
        </w:rPr>
        <w:t>Economic Context</w:t>
      </w:r>
    </w:p>
    <w:p w:rsidR="00A43C03" w:rsidRDefault="00A43C03" w:rsidP="00A43C03">
      <w:pPr>
        <w:pStyle w:val="EBBullet"/>
        <w:keepNext/>
        <w:numPr>
          <w:ilvl w:val="0"/>
          <w:numId w:val="0"/>
        </w:numPr>
        <w:tabs>
          <w:tab w:val="left" w:pos="720"/>
        </w:tabs>
        <w:ind w:left="720" w:hanging="720"/>
        <w:rPr>
          <w:sz w:val="24"/>
          <w:szCs w:val="24"/>
        </w:rPr>
      </w:pPr>
      <w:r>
        <w:rPr>
          <w:rFonts w:cs="Times New Roman"/>
          <w:bCs w:val="0"/>
          <w:color w:val="auto"/>
          <w:sz w:val="24"/>
          <w:szCs w:val="24"/>
          <w:lang w:eastAsia="en-US"/>
        </w:rPr>
        <w:lastRenderedPageBreak/>
        <w:t>6.1</w:t>
      </w:r>
      <w:r>
        <w:rPr>
          <w:rFonts w:cs="Times New Roman"/>
          <w:bCs w:val="0"/>
          <w:color w:val="auto"/>
          <w:sz w:val="24"/>
          <w:szCs w:val="24"/>
          <w:lang w:eastAsia="en-US"/>
        </w:rPr>
        <w:tab/>
      </w:r>
      <w:r w:rsidRPr="007E1790">
        <w:rPr>
          <w:sz w:val="24"/>
          <w:szCs w:val="24"/>
        </w:rPr>
        <w:t>Upholstered furniture manufacturers provide approximately £1.3</w:t>
      </w:r>
      <w:r>
        <w:rPr>
          <w:sz w:val="24"/>
          <w:szCs w:val="24"/>
        </w:rPr>
        <w:t xml:space="preserve"> </w:t>
      </w:r>
      <w:r w:rsidRPr="007E1790">
        <w:rPr>
          <w:sz w:val="24"/>
          <w:szCs w:val="24"/>
        </w:rPr>
        <w:t>bn to Gross Value Added, employing 51,000 people in 4,000 enterprises in 2012.</w:t>
      </w:r>
      <w:r w:rsidRPr="007E1790">
        <w:rPr>
          <w:rStyle w:val="FootnoteReference"/>
          <w:sz w:val="24"/>
          <w:szCs w:val="24"/>
        </w:rPr>
        <w:footnoteReference w:id="6"/>
      </w:r>
      <w:r w:rsidRPr="007E1790">
        <w:rPr>
          <w:sz w:val="24"/>
          <w:szCs w:val="24"/>
        </w:rPr>
        <w:t xml:space="preserve"> Turnover was £3.2</w:t>
      </w:r>
      <w:r>
        <w:rPr>
          <w:sz w:val="24"/>
          <w:szCs w:val="24"/>
        </w:rPr>
        <w:t xml:space="preserve"> </w:t>
      </w:r>
      <w:r w:rsidRPr="007E1790">
        <w:rPr>
          <w:sz w:val="24"/>
          <w:szCs w:val="24"/>
        </w:rPr>
        <w:t>bn with £1.9</w:t>
      </w:r>
      <w:r>
        <w:rPr>
          <w:sz w:val="24"/>
          <w:szCs w:val="24"/>
        </w:rPr>
        <w:t xml:space="preserve"> </w:t>
      </w:r>
      <w:r w:rsidRPr="007E1790">
        <w:rPr>
          <w:sz w:val="24"/>
          <w:szCs w:val="24"/>
        </w:rPr>
        <w:t>bn of purchases in the wider supply chain. Using another data source, at a lower level of granularity, sales for products affected by the regulation are estimated at £3.2-1.5</w:t>
      </w:r>
      <w:r>
        <w:rPr>
          <w:sz w:val="24"/>
          <w:szCs w:val="24"/>
        </w:rPr>
        <w:t xml:space="preserve"> </w:t>
      </w:r>
      <w:r w:rsidRPr="007E1790">
        <w:rPr>
          <w:sz w:val="24"/>
          <w:szCs w:val="24"/>
        </w:rPr>
        <w:t>bn.</w:t>
      </w:r>
      <w:r w:rsidRPr="007E1790">
        <w:rPr>
          <w:rStyle w:val="FootnoteReference"/>
          <w:sz w:val="24"/>
          <w:szCs w:val="24"/>
        </w:rPr>
        <w:footnoteReference w:id="7"/>
      </w:r>
      <w:r w:rsidRPr="007E1790">
        <w:rPr>
          <w:sz w:val="24"/>
          <w:szCs w:val="24"/>
        </w:rPr>
        <w:t xml:space="preserve"> Figures are presented in a range </w:t>
      </w:r>
      <w:r>
        <w:rPr>
          <w:sz w:val="24"/>
          <w:szCs w:val="24"/>
        </w:rPr>
        <w:t>because</w:t>
      </w:r>
      <w:r w:rsidRPr="007E1790">
        <w:rPr>
          <w:sz w:val="24"/>
          <w:szCs w:val="24"/>
        </w:rPr>
        <w:t xml:space="preserve"> even at a lower level of granularity the categories are still residual, so the inclusion and exclusion is based on a judgement of those categories.</w:t>
      </w:r>
    </w:p>
    <w:p w:rsidR="00D05304" w:rsidRDefault="00D05304" w:rsidP="00A43C03">
      <w:pPr>
        <w:pStyle w:val="EBBullet"/>
        <w:keepNext/>
        <w:numPr>
          <w:ilvl w:val="0"/>
          <w:numId w:val="0"/>
        </w:numPr>
        <w:tabs>
          <w:tab w:val="left" w:pos="720"/>
        </w:tabs>
        <w:ind w:left="720" w:hanging="720"/>
      </w:pPr>
    </w:p>
    <w:p w:rsidR="00A43C03" w:rsidRDefault="00A43C03" w:rsidP="00A43C03">
      <w:pPr>
        <w:pStyle w:val="EBBullet"/>
        <w:keepNext/>
        <w:numPr>
          <w:ilvl w:val="0"/>
          <w:numId w:val="0"/>
        </w:numPr>
        <w:tabs>
          <w:tab w:val="left" w:pos="720"/>
        </w:tabs>
        <w:ind w:left="720" w:hanging="720"/>
        <w:rPr>
          <w:rFonts w:ascii="Arial Bold" w:hAnsi="Arial Bold"/>
          <w:sz w:val="24"/>
        </w:rPr>
      </w:pPr>
      <w:r w:rsidRPr="00200A41">
        <w:rPr>
          <w:rFonts w:ascii="Arial Bold" w:hAnsi="Arial Bold"/>
          <w:b/>
          <w:sz w:val="24"/>
        </w:rPr>
        <w:tab/>
      </w:r>
      <w:r w:rsidRPr="005D1994">
        <w:rPr>
          <w:rFonts w:ascii="Arial Bold" w:hAnsi="Arial Bold"/>
          <w:b/>
          <w:sz w:val="24"/>
          <w:u w:val="single"/>
        </w:rPr>
        <w:t>Costs</w:t>
      </w:r>
    </w:p>
    <w:p w:rsidR="00A43C03" w:rsidRDefault="00A43C03" w:rsidP="00A43C03">
      <w:pPr>
        <w:pStyle w:val="EBBullet"/>
        <w:keepNext/>
        <w:numPr>
          <w:ilvl w:val="0"/>
          <w:numId w:val="0"/>
        </w:numPr>
        <w:tabs>
          <w:tab w:val="left" w:pos="720"/>
        </w:tabs>
        <w:ind w:left="720" w:hanging="720"/>
        <w:rPr>
          <w:rFonts w:ascii="Arial Bold" w:hAnsi="Arial Bold"/>
          <w:sz w:val="24"/>
        </w:rPr>
      </w:pPr>
    </w:p>
    <w:p w:rsidR="00A43C03" w:rsidRDefault="00A43C03" w:rsidP="00A43C03">
      <w:pPr>
        <w:pStyle w:val="EBBullet"/>
        <w:keepNext/>
        <w:numPr>
          <w:ilvl w:val="0"/>
          <w:numId w:val="0"/>
        </w:numPr>
        <w:tabs>
          <w:tab w:val="left" w:pos="720"/>
        </w:tabs>
        <w:ind w:left="720" w:hanging="720"/>
        <w:rPr>
          <w:i/>
          <w:sz w:val="24"/>
        </w:rPr>
      </w:pPr>
      <w:r>
        <w:rPr>
          <w:i/>
          <w:sz w:val="24"/>
        </w:rPr>
        <w:tab/>
        <w:t>Costs in lost earnings to test houses</w:t>
      </w:r>
    </w:p>
    <w:p w:rsidR="00A43C03" w:rsidRDefault="00A43C03" w:rsidP="00A43C03">
      <w:pPr>
        <w:ind w:left="720" w:hanging="720"/>
      </w:pPr>
      <w:r>
        <w:t>6.2</w:t>
      </w:r>
      <w:r>
        <w:tab/>
        <w:t>It is assumed that the total cost of testing will be reduced as there is no longer a requirement to conduct the cigarette test for most fabrics. This brings estimated saving of £7.5m per annum</w:t>
      </w:r>
      <w:r>
        <w:rPr>
          <w:rStyle w:val="FootnoteReference"/>
        </w:rPr>
        <w:footnoteReference w:id="8"/>
      </w:r>
      <w:r>
        <w:t xml:space="preserve"> compared to the current requirements.</w:t>
      </w:r>
    </w:p>
    <w:p w:rsidR="00A43C03" w:rsidRPr="00D05304" w:rsidRDefault="00A43C03" w:rsidP="00D05304">
      <w:pPr>
        <w:pStyle w:val="EBBullet"/>
        <w:keepNext/>
        <w:numPr>
          <w:ilvl w:val="0"/>
          <w:numId w:val="0"/>
        </w:numPr>
        <w:tabs>
          <w:tab w:val="left" w:pos="720"/>
        </w:tabs>
        <w:ind w:left="720" w:hanging="720"/>
        <w:rPr>
          <w:sz w:val="24"/>
        </w:rPr>
      </w:pPr>
      <w:r w:rsidRPr="00D05304">
        <w:rPr>
          <w:sz w:val="24"/>
        </w:rPr>
        <w:t>6.3</w:t>
      </w:r>
      <w:r w:rsidRPr="00D05304">
        <w:rPr>
          <w:sz w:val="24"/>
        </w:rPr>
        <w:tab/>
        <w:t>The reduced cost to furniture manufacturers selling in the UK market is a loss in earnings to test houses. This revenue is a regulatory cost and therefore not considered to be a loss in economic benefit to the UK. This is because the labour previously allocated to testing can be re-allocated to more economically productive activity.</w:t>
      </w:r>
      <w:r w:rsidRPr="00D05304">
        <w:rPr>
          <w:sz w:val="24"/>
        </w:rPr>
        <w:tab/>
      </w:r>
    </w:p>
    <w:p w:rsidR="00A43C03" w:rsidRDefault="00A43C03" w:rsidP="00A43C03">
      <w:pPr>
        <w:pStyle w:val="EBBullet"/>
        <w:keepNext/>
        <w:numPr>
          <w:ilvl w:val="0"/>
          <w:numId w:val="0"/>
        </w:numPr>
        <w:tabs>
          <w:tab w:val="left" w:pos="720"/>
        </w:tabs>
        <w:ind w:left="720" w:hanging="720"/>
        <w:rPr>
          <w:sz w:val="24"/>
        </w:rPr>
      </w:pPr>
    </w:p>
    <w:p w:rsidR="00A43C03" w:rsidRPr="00321C47" w:rsidRDefault="00A43C03" w:rsidP="00A43C03">
      <w:pPr>
        <w:pStyle w:val="EBBullet"/>
        <w:keepNext/>
        <w:numPr>
          <w:ilvl w:val="0"/>
          <w:numId w:val="0"/>
        </w:numPr>
        <w:pBdr>
          <w:top w:val="single" w:sz="4" w:space="1" w:color="auto"/>
          <w:left w:val="single" w:sz="4" w:space="4" w:color="auto"/>
          <w:bottom w:val="single" w:sz="4" w:space="1" w:color="auto"/>
          <w:right w:val="single" w:sz="4" w:space="4" w:color="auto"/>
        </w:pBdr>
        <w:tabs>
          <w:tab w:val="left" w:pos="720"/>
        </w:tabs>
        <w:ind w:left="720" w:hanging="720"/>
        <w:rPr>
          <w:b/>
          <w:i/>
          <w:sz w:val="24"/>
        </w:rPr>
      </w:pPr>
      <w:r w:rsidRPr="00675A4A">
        <w:rPr>
          <w:b/>
          <w:sz w:val="24"/>
        </w:rPr>
        <w:t>Q</w:t>
      </w:r>
      <w:r>
        <w:rPr>
          <w:b/>
          <w:sz w:val="24"/>
        </w:rPr>
        <w:t>1</w:t>
      </w:r>
      <w:r w:rsidR="00321C47">
        <w:rPr>
          <w:b/>
          <w:sz w:val="24"/>
        </w:rPr>
        <w:t>*</w:t>
      </w:r>
      <w:r w:rsidRPr="00675A4A">
        <w:rPr>
          <w:b/>
          <w:sz w:val="24"/>
        </w:rPr>
        <w:t>:</w:t>
      </w:r>
      <w:r>
        <w:rPr>
          <w:sz w:val="24"/>
        </w:rPr>
        <w:t xml:space="preserve"> Is the assumption on the cost of testing above right in your view? Could you provide evidence supporting your arguments? </w:t>
      </w:r>
      <w:r w:rsidR="00321C47">
        <w:rPr>
          <w:b/>
          <w:i/>
          <w:sz w:val="24"/>
        </w:rPr>
        <w:t>Please note: all questions in this impact assessment are repeated in Annex 9 below. We would be grateful if you made your responses in the Annex, not here.</w:t>
      </w:r>
    </w:p>
    <w:p w:rsidR="00A43C03" w:rsidRDefault="00A43C03" w:rsidP="00321C47">
      <w:pPr>
        <w:pStyle w:val="EBBullet"/>
        <w:keepNext/>
        <w:numPr>
          <w:ilvl w:val="0"/>
          <w:numId w:val="0"/>
        </w:numPr>
        <w:tabs>
          <w:tab w:val="left" w:pos="720"/>
        </w:tabs>
        <w:ind w:left="360"/>
        <w:rPr>
          <w:i/>
          <w:sz w:val="24"/>
        </w:rPr>
      </w:pPr>
      <w:r>
        <w:rPr>
          <w:i/>
          <w:sz w:val="24"/>
        </w:rPr>
        <w:t xml:space="preserve"> </w:t>
      </w:r>
    </w:p>
    <w:p w:rsidR="00A43C03" w:rsidRDefault="00A43C03" w:rsidP="00A43C03">
      <w:pPr>
        <w:pStyle w:val="EBBullet"/>
        <w:keepNext/>
        <w:numPr>
          <w:ilvl w:val="0"/>
          <w:numId w:val="0"/>
        </w:numPr>
        <w:tabs>
          <w:tab w:val="left" w:pos="720"/>
        </w:tabs>
        <w:ind w:left="720" w:hanging="720"/>
        <w:rPr>
          <w:i/>
          <w:sz w:val="24"/>
        </w:rPr>
      </w:pPr>
      <w:r>
        <w:rPr>
          <w:i/>
          <w:sz w:val="24"/>
        </w:rPr>
        <w:tab/>
        <w:t>Cost in lost earnings to chemicals manufacturers</w:t>
      </w:r>
    </w:p>
    <w:p w:rsidR="00A43C03" w:rsidRDefault="00A43C03" w:rsidP="00A43C03">
      <w:pPr>
        <w:pStyle w:val="EBBullet"/>
        <w:keepNext/>
        <w:numPr>
          <w:ilvl w:val="0"/>
          <w:numId w:val="0"/>
        </w:numPr>
        <w:tabs>
          <w:tab w:val="left" w:pos="720"/>
        </w:tabs>
        <w:ind w:left="720" w:hanging="720"/>
        <w:rPr>
          <w:i/>
          <w:sz w:val="24"/>
        </w:rPr>
      </w:pPr>
    </w:p>
    <w:p w:rsidR="00A43C03" w:rsidRDefault="00A43C03" w:rsidP="00A43C03">
      <w:pPr>
        <w:pStyle w:val="EBBullet"/>
        <w:keepNext/>
        <w:numPr>
          <w:ilvl w:val="0"/>
          <w:numId w:val="0"/>
        </w:numPr>
        <w:tabs>
          <w:tab w:val="left" w:pos="720"/>
        </w:tabs>
        <w:ind w:left="720" w:hanging="720"/>
        <w:rPr>
          <w:sz w:val="24"/>
        </w:rPr>
      </w:pPr>
      <w:r>
        <w:rPr>
          <w:sz w:val="24"/>
        </w:rPr>
        <w:t>6.4</w:t>
      </w:r>
      <w:r>
        <w:rPr>
          <w:sz w:val="24"/>
        </w:rPr>
        <w:tab/>
        <w:t xml:space="preserve">We understand that all chemicals used in the manufacture of UK furniture are produced by non-UK companies, mainly in China and the Dead Sea area. </w:t>
      </w:r>
    </w:p>
    <w:p w:rsidR="00A43C03" w:rsidRDefault="00A43C03" w:rsidP="00A43C03">
      <w:pPr>
        <w:pStyle w:val="EBBullet"/>
        <w:keepNext/>
        <w:numPr>
          <w:ilvl w:val="0"/>
          <w:numId w:val="0"/>
        </w:numPr>
        <w:tabs>
          <w:tab w:val="left" w:pos="720"/>
        </w:tabs>
        <w:ind w:left="720"/>
        <w:rPr>
          <w:sz w:val="24"/>
        </w:rPr>
      </w:pPr>
    </w:p>
    <w:p w:rsidR="00A43C03" w:rsidRDefault="00A43C03" w:rsidP="00A43C03">
      <w:pPr>
        <w:pStyle w:val="EBBullet"/>
        <w:keepNext/>
        <w:numPr>
          <w:ilvl w:val="0"/>
          <w:numId w:val="0"/>
        </w:numPr>
        <w:tabs>
          <w:tab w:val="left" w:pos="720"/>
        </w:tabs>
        <w:ind w:left="720"/>
        <w:rPr>
          <w:i/>
          <w:sz w:val="24"/>
        </w:rPr>
      </w:pPr>
      <w:r>
        <w:rPr>
          <w:i/>
          <w:sz w:val="24"/>
        </w:rPr>
        <w:t>Familiarisation costs</w:t>
      </w:r>
    </w:p>
    <w:p w:rsidR="00A43C03" w:rsidRDefault="00A43C03" w:rsidP="00A43C03">
      <w:pPr>
        <w:pStyle w:val="EBBullet"/>
        <w:keepNext/>
        <w:numPr>
          <w:ilvl w:val="0"/>
          <w:numId w:val="0"/>
        </w:numPr>
        <w:tabs>
          <w:tab w:val="left" w:pos="720"/>
        </w:tabs>
        <w:ind w:left="720"/>
        <w:rPr>
          <w:sz w:val="24"/>
        </w:rPr>
      </w:pPr>
    </w:p>
    <w:p w:rsidR="00A43C03" w:rsidRDefault="00A43C03" w:rsidP="00A43C03">
      <w:pPr>
        <w:pStyle w:val="EBBullet"/>
        <w:keepNext/>
        <w:numPr>
          <w:ilvl w:val="0"/>
          <w:numId w:val="0"/>
        </w:numPr>
        <w:tabs>
          <w:tab w:val="left" w:pos="720"/>
        </w:tabs>
        <w:ind w:left="720" w:hanging="720"/>
        <w:rPr>
          <w:sz w:val="24"/>
        </w:rPr>
      </w:pPr>
      <w:r>
        <w:rPr>
          <w:sz w:val="24"/>
        </w:rPr>
        <w:t>6.5</w:t>
      </w:r>
      <w:r>
        <w:rPr>
          <w:sz w:val="24"/>
        </w:rPr>
        <w:tab/>
        <w:t>There will be a cost to business in familiarising themselves with the new legislation. To calculate these costs it was assumed it would take 2 hours of a retail or wholesale manager’s time</w:t>
      </w:r>
      <w:r>
        <w:rPr>
          <w:rStyle w:val="FootnoteReference"/>
        </w:rPr>
        <w:footnoteReference w:id="9"/>
      </w:r>
      <w:r>
        <w:rPr>
          <w:sz w:val="24"/>
        </w:rPr>
        <w:t>. There are assumed to be 6,145 businesses affected</w:t>
      </w:r>
      <w:r>
        <w:rPr>
          <w:rStyle w:val="FootnoteReference"/>
        </w:rPr>
        <w:footnoteReference w:id="10"/>
      </w:r>
      <w:r>
        <w:rPr>
          <w:sz w:val="24"/>
        </w:rPr>
        <w:t xml:space="preserve">, giving a total cost </w:t>
      </w:r>
      <w:r>
        <w:rPr>
          <w:sz w:val="24"/>
        </w:rPr>
        <w:lastRenderedPageBreak/>
        <w:t>of approximately £160,000 for companies to familiarise themselves with the updates to the furniture regulations. The number of businesses includes those who are not required to test their furniture to the domestic regulations, such as office and shop furniture manufacturers. However, we assume that these businesses are likely to also have to familiarise themselves with the legislation, so are included</w:t>
      </w:r>
      <w:r>
        <w:rPr>
          <w:rStyle w:val="FootnoteReference"/>
        </w:rPr>
        <w:footnoteReference w:id="11"/>
      </w:r>
      <w:r>
        <w:rPr>
          <w:sz w:val="24"/>
        </w:rPr>
        <w:t>. Please indicate if there are any other types of business or organisation you think will need to familiarise themselves with the new regulations.</w:t>
      </w:r>
    </w:p>
    <w:p w:rsidR="00A43C03" w:rsidRDefault="00A43C03" w:rsidP="00A43C03">
      <w:pPr>
        <w:pStyle w:val="EBBullet"/>
        <w:keepNext/>
        <w:numPr>
          <w:ilvl w:val="0"/>
          <w:numId w:val="0"/>
        </w:numPr>
        <w:tabs>
          <w:tab w:val="left" w:pos="720"/>
        </w:tabs>
        <w:ind w:left="720"/>
        <w:rPr>
          <w:sz w:val="24"/>
        </w:rPr>
      </w:pPr>
    </w:p>
    <w:p w:rsidR="00A43C03" w:rsidRDefault="00A43C03" w:rsidP="00A43C03">
      <w:pPr>
        <w:pStyle w:val="Default"/>
        <w:pBdr>
          <w:top w:val="single" w:sz="4" w:space="1" w:color="auto"/>
          <w:left w:val="single" w:sz="4" w:space="4" w:color="auto"/>
          <w:bottom w:val="single" w:sz="4" w:space="1" w:color="auto"/>
          <w:right w:val="single" w:sz="4" w:space="4" w:color="auto"/>
        </w:pBdr>
        <w:rPr>
          <w:szCs w:val="22"/>
        </w:rPr>
      </w:pPr>
      <w:r w:rsidRPr="00675A4A">
        <w:rPr>
          <w:b/>
        </w:rPr>
        <w:t>Q</w:t>
      </w:r>
      <w:r>
        <w:rPr>
          <w:b/>
        </w:rPr>
        <w:t>2</w:t>
      </w:r>
      <w:r w:rsidRPr="00675A4A">
        <w:rPr>
          <w:b/>
        </w:rPr>
        <w:t>:</w:t>
      </w:r>
      <w:r>
        <w:t xml:space="preserve"> </w:t>
      </w:r>
      <w:r w:rsidRPr="006C2653">
        <w:rPr>
          <w:szCs w:val="22"/>
        </w:rPr>
        <w:t>Do you have any eviden</w:t>
      </w:r>
      <w:r w:rsidRPr="006C2653">
        <w:t>ce that could help to refine this</w:t>
      </w:r>
      <w:r w:rsidRPr="006C2653">
        <w:rPr>
          <w:szCs w:val="22"/>
        </w:rPr>
        <w:t xml:space="preserve"> cost estimates</w:t>
      </w:r>
      <w:r w:rsidRPr="006C2653">
        <w:t xml:space="preserve">? </w:t>
      </w:r>
      <w:r w:rsidRPr="006C2653">
        <w:rPr>
          <w:szCs w:val="22"/>
        </w:rPr>
        <w:t xml:space="preserve"> </w:t>
      </w:r>
    </w:p>
    <w:p w:rsidR="00A43C03" w:rsidRDefault="00A43C03" w:rsidP="00A43C03">
      <w:pPr>
        <w:pStyle w:val="Default"/>
        <w:pBdr>
          <w:top w:val="single" w:sz="4" w:space="1" w:color="auto"/>
          <w:left w:val="single" w:sz="4" w:space="4" w:color="auto"/>
          <w:bottom w:val="single" w:sz="4" w:space="1" w:color="auto"/>
          <w:right w:val="single" w:sz="4" w:space="4" w:color="auto"/>
        </w:pBdr>
        <w:rPr>
          <w:szCs w:val="22"/>
        </w:rPr>
      </w:pPr>
    </w:p>
    <w:p w:rsidR="00A43C03" w:rsidRPr="00556AB7" w:rsidRDefault="00A43C03" w:rsidP="00A43C03">
      <w:pPr>
        <w:pStyle w:val="Default"/>
        <w:pBdr>
          <w:top w:val="single" w:sz="4" w:space="1" w:color="auto"/>
          <w:left w:val="single" w:sz="4" w:space="4" w:color="auto"/>
          <w:bottom w:val="single" w:sz="4" w:space="1" w:color="auto"/>
          <w:right w:val="single" w:sz="4" w:space="4" w:color="auto"/>
        </w:pBdr>
        <w:rPr>
          <w:i/>
        </w:rPr>
      </w:pPr>
      <w:r w:rsidRPr="00772A95">
        <w:rPr>
          <w:b/>
          <w:szCs w:val="22"/>
        </w:rPr>
        <w:t>Q</w:t>
      </w:r>
      <w:r>
        <w:rPr>
          <w:b/>
          <w:szCs w:val="22"/>
        </w:rPr>
        <w:t>3</w:t>
      </w:r>
      <w:r>
        <w:rPr>
          <w:szCs w:val="22"/>
        </w:rPr>
        <w:t xml:space="preserve">: </w:t>
      </w:r>
      <w:r>
        <w:t xml:space="preserve">Are there any other costs not included here that should be included? Please provide evidence supporting your arguments. </w:t>
      </w:r>
    </w:p>
    <w:p w:rsidR="00A43C03" w:rsidRDefault="00A43C03" w:rsidP="00A43C03">
      <w:pPr>
        <w:pStyle w:val="EBBullet"/>
        <w:keepNext/>
        <w:numPr>
          <w:ilvl w:val="0"/>
          <w:numId w:val="0"/>
        </w:numPr>
        <w:tabs>
          <w:tab w:val="left" w:pos="720"/>
        </w:tabs>
        <w:ind w:left="720"/>
        <w:rPr>
          <w:sz w:val="24"/>
        </w:rPr>
      </w:pPr>
    </w:p>
    <w:p w:rsidR="00A43C03" w:rsidRDefault="00A43C03" w:rsidP="00A43C03">
      <w:pPr>
        <w:pStyle w:val="EBBullet"/>
        <w:keepNext/>
        <w:numPr>
          <w:ilvl w:val="0"/>
          <w:numId w:val="0"/>
        </w:numPr>
        <w:tabs>
          <w:tab w:val="left" w:pos="720"/>
        </w:tabs>
        <w:ind w:left="720" w:hanging="720"/>
        <w:rPr>
          <w:i/>
          <w:sz w:val="24"/>
        </w:rPr>
      </w:pPr>
      <w:r>
        <w:rPr>
          <w:i/>
          <w:sz w:val="24"/>
        </w:rPr>
        <w:tab/>
        <w:t>Lead-in times and cost of scrapping old inventory</w:t>
      </w:r>
    </w:p>
    <w:p w:rsidR="00A43C03" w:rsidRDefault="00A43C03" w:rsidP="00A43C03">
      <w:pPr>
        <w:pStyle w:val="EBBullet"/>
        <w:keepNext/>
        <w:numPr>
          <w:ilvl w:val="0"/>
          <w:numId w:val="0"/>
        </w:numPr>
        <w:tabs>
          <w:tab w:val="left" w:pos="720"/>
        </w:tabs>
        <w:ind w:left="720" w:hanging="720"/>
        <w:rPr>
          <w:sz w:val="24"/>
        </w:rPr>
      </w:pPr>
      <w:r>
        <w:rPr>
          <w:sz w:val="24"/>
        </w:rPr>
        <w:t>6.6</w:t>
      </w:r>
      <w:r>
        <w:rPr>
          <w:sz w:val="24"/>
        </w:rPr>
        <w:tab/>
        <w:t>A suitable lead-in time will be provided by the new test amendment to minimise cost to business. BIS assumes this would be around 18 months. The amendment will include a provision for outstanding stock compliant with the current test for furniture manufactured prior to the amendment coming into force. It is assumed, therefore, that there will not be any significant losses of furniture inventory stock or additional testing costs given the length of the transition period. However, any feed-back from industry to the contrary, based on working practice, will be considered. Again, information on this is welcome.</w:t>
      </w:r>
    </w:p>
    <w:p w:rsidR="00A43C03" w:rsidRDefault="00A43C03" w:rsidP="00A43C03">
      <w:pPr>
        <w:pStyle w:val="EBBullet"/>
        <w:keepNext/>
        <w:numPr>
          <w:ilvl w:val="0"/>
          <w:numId w:val="0"/>
        </w:numPr>
        <w:tabs>
          <w:tab w:val="left" w:pos="720"/>
          <w:tab w:val="left" w:pos="1628"/>
        </w:tabs>
        <w:ind w:left="720" w:hanging="720"/>
        <w:rPr>
          <w:sz w:val="24"/>
        </w:rPr>
      </w:pPr>
      <w:r>
        <w:rPr>
          <w:i/>
          <w:sz w:val="24"/>
        </w:rPr>
        <w:tab/>
      </w:r>
    </w:p>
    <w:p w:rsidR="00A43C03" w:rsidRPr="00556AB7" w:rsidRDefault="00A43C03" w:rsidP="00A43C03">
      <w:pPr>
        <w:pStyle w:val="Default"/>
        <w:pBdr>
          <w:top w:val="single" w:sz="4" w:space="1" w:color="auto"/>
          <w:left w:val="single" w:sz="4" w:space="4" w:color="auto"/>
          <w:bottom w:val="single" w:sz="4" w:space="1" w:color="auto"/>
          <w:right w:val="single" w:sz="4" w:space="4" w:color="auto"/>
        </w:pBdr>
        <w:rPr>
          <w:i/>
        </w:rPr>
      </w:pPr>
      <w:r w:rsidRPr="00675A4A">
        <w:rPr>
          <w:b/>
        </w:rPr>
        <w:t>Q</w:t>
      </w:r>
      <w:r>
        <w:rPr>
          <w:b/>
        </w:rPr>
        <w:t>4</w:t>
      </w:r>
      <w:r w:rsidRPr="00675A4A">
        <w:rPr>
          <w:b/>
        </w:rPr>
        <w:t>:</w:t>
      </w:r>
      <w:r>
        <w:t xml:space="preserve"> </w:t>
      </w:r>
      <w:r w:rsidRPr="006C2653">
        <w:rPr>
          <w:szCs w:val="22"/>
        </w:rPr>
        <w:t xml:space="preserve">Do you </w:t>
      </w:r>
      <w:r>
        <w:rPr>
          <w:szCs w:val="22"/>
        </w:rPr>
        <w:t>agree with the assumption that there will be minimal losses of stock given the transition period? What is your normal turnover of stock?</w:t>
      </w:r>
    </w:p>
    <w:p w:rsidR="00A43C03" w:rsidRPr="008B306C" w:rsidRDefault="00A43C03" w:rsidP="00A43C03">
      <w:pPr>
        <w:pStyle w:val="EBBullet"/>
        <w:keepNext/>
        <w:numPr>
          <w:ilvl w:val="0"/>
          <w:numId w:val="0"/>
        </w:numPr>
        <w:tabs>
          <w:tab w:val="left" w:pos="720"/>
          <w:tab w:val="left" w:pos="1628"/>
        </w:tabs>
        <w:ind w:left="720" w:hanging="720"/>
        <w:rPr>
          <w:sz w:val="24"/>
        </w:rPr>
      </w:pPr>
    </w:p>
    <w:p w:rsidR="00A43C03" w:rsidRDefault="00A43C03" w:rsidP="00D05304">
      <w:pPr>
        <w:pStyle w:val="EBBullet"/>
        <w:keepNext/>
        <w:numPr>
          <w:ilvl w:val="0"/>
          <w:numId w:val="0"/>
        </w:numPr>
        <w:tabs>
          <w:tab w:val="left" w:pos="720"/>
        </w:tabs>
        <w:ind w:left="720" w:hanging="720"/>
        <w:rPr>
          <w:sz w:val="24"/>
        </w:rPr>
      </w:pPr>
      <w:r>
        <w:rPr>
          <w:sz w:val="24"/>
        </w:rPr>
        <w:tab/>
      </w:r>
      <w:r w:rsidRPr="00C35510">
        <w:rPr>
          <w:b/>
          <w:sz w:val="24"/>
          <w:u w:val="single"/>
        </w:rPr>
        <w:t>Benefits</w:t>
      </w:r>
    </w:p>
    <w:p w:rsidR="00A43C03" w:rsidRDefault="00A43C03" w:rsidP="00A43C03">
      <w:pPr>
        <w:pStyle w:val="EBBullet"/>
        <w:keepNext/>
        <w:numPr>
          <w:ilvl w:val="0"/>
          <w:numId w:val="0"/>
        </w:numPr>
        <w:tabs>
          <w:tab w:val="left" w:pos="720"/>
        </w:tabs>
        <w:ind w:left="720" w:hanging="720"/>
        <w:rPr>
          <w:sz w:val="24"/>
        </w:rPr>
      </w:pPr>
      <w:r>
        <w:rPr>
          <w:sz w:val="24"/>
        </w:rPr>
        <w:t>6.7</w:t>
      </w:r>
      <w:r>
        <w:rPr>
          <w:sz w:val="24"/>
        </w:rPr>
        <w:tab/>
        <w:t>There are two monetised economic benefits of the change in regulation:</w:t>
      </w:r>
    </w:p>
    <w:p w:rsidR="00A43C03" w:rsidRDefault="00A43C03" w:rsidP="0039415E">
      <w:pPr>
        <w:pStyle w:val="EBBullet"/>
        <w:keepNext/>
        <w:numPr>
          <w:ilvl w:val="0"/>
          <w:numId w:val="14"/>
        </w:numPr>
        <w:ind w:firstLine="0"/>
        <w:rPr>
          <w:sz w:val="24"/>
        </w:rPr>
      </w:pPr>
      <w:r>
        <w:rPr>
          <w:sz w:val="24"/>
        </w:rPr>
        <w:t>reduced cost of fabric testing</w:t>
      </w:r>
      <w:r w:rsidR="00321C47">
        <w:rPr>
          <w:sz w:val="24"/>
        </w:rPr>
        <w:t>,</w:t>
      </w:r>
    </w:p>
    <w:p w:rsidR="00A43C03" w:rsidRDefault="00A43C03" w:rsidP="0039415E">
      <w:pPr>
        <w:pStyle w:val="EBBullet"/>
        <w:keepNext/>
        <w:numPr>
          <w:ilvl w:val="0"/>
          <w:numId w:val="14"/>
        </w:numPr>
        <w:ind w:firstLine="0"/>
        <w:rPr>
          <w:sz w:val="24"/>
        </w:rPr>
      </w:pPr>
      <w:r>
        <w:rPr>
          <w:sz w:val="24"/>
        </w:rPr>
        <w:t>reduced cost of fabric treatment due to a reduction in chemicals needed</w:t>
      </w:r>
      <w:r w:rsidR="00321C47">
        <w:rPr>
          <w:sz w:val="24"/>
        </w:rPr>
        <w:t>.</w:t>
      </w:r>
    </w:p>
    <w:p w:rsidR="00A43C03" w:rsidRDefault="00A43C03" w:rsidP="00A43C03">
      <w:pPr>
        <w:pStyle w:val="EBBullet"/>
        <w:keepNext/>
        <w:numPr>
          <w:ilvl w:val="0"/>
          <w:numId w:val="0"/>
        </w:numPr>
        <w:tabs>
          <w:tab w:val="left" w:pos="720"/>
        </w:tabs>
        <w:ind w:left="720"/>
        <w:rPr>
          <w:sz w:val="24"/>
        </w:rPr>
      </w:pPr>
    </w:p>
    <w:p w:rsidR="00A43C03" w:rsidRDefault="00A43C03" w:rsidP="00A43C03">
      <w:pPr>
        <w:pStyle w:val="EBBullet"/>
        <w:keepNext/>
        <w:numPr>
          <w:ilvl w:val="0"/>
          <w:numId w:val="0"/>
        </w:numPr>
        <w:tabs>
          <w:tab w:val="left" w:pos="720"/>
        </w:tabs>
        <w:ind w:left="720" w:hanging="720"/>
        <w:rPr>
          <w:sz w:val="24"/>
        </w:rPr>
      </w:pPr>
      <w:r>
        <w:rPr>
          <w:sz w:val="24"/>
        </w:rPr>
        <w:t>6.8</w:t>
      </w:r>
      <w:r>
        <w:rPr>
          <w:sz w:val="24"/>
        </w:rPr>
        <w:tab/>
        <w:t xml:space="preserve">The first is the reduced cost of testing in order to meet regulations; the second is a reduced cost for UK based upholstered furniture manufacturers in meeting the flammability requirement of the FFRs. The total monetised savings are estimated to be within the range £19m to £55m per annum. These figures are uncertain and it is hoped that this consultation will help BIS improve the robustness and evidence base of the estimates. </w:t>
      </w:r>
    </w:p>
    <w:p w:rsidR="00A43C03" w:rsidRDefault="00A43C03" w:rsidP="0039415E">
      <w:pPr>
        <w:pStyle w:val="EBBullet"/>
        <w:keepNext/>
        <w:numPr>
          <w:ilvl w:val="1"/>
          <w:numId w:val="18"/>
        </w:numPr>
        <w:tabs>
          <w:tab w:val="clear" w:pos="360"/>
          <w:tab w:val="num" w:pos="720"/>
        </w:tabs>
        <w:ind w:left="720" w:hanging="720"/>
        <w:rPr>
          <w:sz w:val="24"/>
        </w:rPr>
      </w:pPr>
      <w:r>
        <w:rPr>
          <w:sz w:val="24"/>
        </w:rPr>
        <w:t>This section proceeds by firstly discussing the monetised cost savings, the benefits, of the new regulations and then turns to the non-monetised benefits. The analysis in this Impact Assessment represents current evidence but is also a call for evidence as part of this consultation. Any data and evidence you can provide to improve the evidence base for this analysis would be greatly appreciated in order to strengthen the robustness of the final Impact Assessment.</w:t>
      </w:r>
    </w:p>
    <w:p w:rsidR="00A43C03" w:rsidRDefault="00A43C03" w:rsidP="00A43C03">
      <w:pPr>
        <w:pStyle w:val="EBBullet"/>
        <w:keepNext/>
        <w:numPr>
          <w:ilvl w:val="0"/>
          <w:numId w:val="0"/>
        </w:numPr>
        <w:tabs>
          <w:tab w:val="left" w:pos="720"/>
        </w:tabs>
        <w:ind w:left="284" w:hanging="284"/>
        <w:rPr>
          <w:sz w:val="24"/>
        </w:rPr>
      </w:pPr>
    </w:p>
    <w:p w:rsidR="00A43C03" w:rsidRPr="00CC6967" w:rsidRDefault="00A43C03" w:rsidP="00A43C03">
      <w:pPr>
        <w:pStyle w:val="EBBullet"/>
        <w:keepNext/>
        <w:numPr>
          <w:ilvl w:val="0"/>
          <w:numId w:val="0"/>
        </w:numPr>
        <w:rPr>
          <w:i/>
          <w:sz w:val="24"/>
        </w:rPr>
      </w:pPr>
      <w:r>
        <w:rPr>
          <w:i/>
          <w:sz w:val="24"/>
        </w:rPr>
        <w:t>Reduced cost of fabric testing</w:t>
      </w:r>
    </w:p>
    <w:p w:rsidR="00A43C03" w:rsidRDefault="00A43C03" w:rsidP="00A43C03">
      <w:pPr>
        <w:pStyle w:val="EBBullet"/>
        <w:keepNext/>
        <w:numPr>
          <w:ilvl w:val="0"/>
          <w:numId w:val="0"/>
        </w:numPr>
        <w:tabs>
          <w:tab w:val="left" w:pos="720"/>
        </w:tabs>
        <w:ind w:left="284" w:hanging="284"/>
        <w:rPr>
          <w:sz w:val="24"/>
        </w:rPr>
      </w:pPr>
    </w:p>
    <w:p w:rsidR="00A43C03" w:rsidRDefault="00A43C03" w:rsidP="0039415E">
      <w:pPr>
        <w:pStyle w:val="EBBullet"/>
        <w:keepNext/>
        <w:numPr>
          <w:ilvl w:val="1"/>
          <w:numId w:val="18"/>
        </w:numPr>
        <w:tabs>
          <w:tab w:val="clear" w:pos="360"/>
          <w:tab w:val="num" w:pos="720"/>
        </w:tabs>
        <w:ind w:left="720" w:hanging="720"/>
        <w:rPr>
          <w:sz w:val="24"/>
        </w:rPr>
      </w:pPr>
      <w:r w:rsidRPr="008C2722">
        <w:rPr>
          <w:sz w:val="24"/>
        </w:rPr>
        <w:t>The cost savings UK based companies will make on fabric testing was estimated above in the costs section. The cost savings were estimated by a test house to be approximately £7.5m per annum.</w:t>
      </w:r>
      <w:r>
        <w:rPr>
          <w:rStyle w:val="FootnoteReference"/>
        </w:rPr>
        <w:footnoteReference w:id="12"/>
      </w:r>
      <w:r w:rsidRPr="008C2722">
        <w:rPr>
          <w:sz w:val="24"/>
        </w:rPr>
        <w:t xml:space="preserve">  The cost savings are due to companies no longer being required to conduct the cigarette test for a large number of products. This is shown again in the table below:</w:t>
      </w:r>
    </w:p>
    <w:p w:rsidR="00A43C03" w:rsidRDefault="00A43C03" w:rsidP="00A43C03">
      <w:pPr>
        <w:pStyle w:val="EBBullet"/>
        <w:keepNext/>
        <w:numPr>
          <w:ilvl w:val="0"/>
          <w:numId w:val="0"/>
        </w:numPr>
        <w:rPr>
          <w:sz w:val="24"/>
        </w:rPr>
      </w:pPr>
    </w:p>
    <w:p w:rsidR="00A43C03" w:rsidRDefault="00A43C03" w:rsidP="00A43C03">
      <w:pPr>
        <w:pStyle w:val="EBBullet"/>
        <w:keepNext/>
        <w:numPr>
          <w:ilvl w:val="0"/>
          <w:numId w:val="0"/>
        </w:numPr>
        <w:tabs>
          <w:tab w:val="left" w:pos="720"/>
        </w:tabs>
        <w:ind w:left="720" w:hanging="720"/>
        <w:rPr>
          <w:sz w:val="24"/>
          <w:u w:val="single"/>
        </w:rPr>
      </w:pPr>
      <w:r>
        <w:rPr>
          <w:sz w:val="24"/>
          <w:u w:val="single"/>
        </w:rPr>
        <w:t>Table 1. Difference in testing requirements and costs between old and new regulation</w:t>
      </w:r>
    </w:p>
    <w:p w:rsidR="00A43C03" w:rsidRPr="003F4E0D" w:rsidRDefault="00A43C03" w:rsidP="00A43C03">
      <w:pPr>
        <w:pStyle w:val="EBBullet"/>
        <w:keepNext/>
        <w:numPr>
          <w:ilvl w:val="0"/>
          <w:numId w:val="0"/>
        </w:numPr>
        <w:tabs>
          <w:tab w:val="left" w:pos="720"/>
        </w:tabs>
        <w:ind w:left="720" w:hanging="720"/>
        <w:rPr>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73"/>
        <w:gridCol w:w="3474"/>
        <w:gridCol w:w="3474"/>
      </w:tblGrid>
      <w:tr w:rsidR="00A43C03" w:rsidRPr="00751196" w:rsidTr="00751196">
        <w:tc>
          <w:tcPr>
            <w:tcW w:w="3473" w:type="dxa"/>
            <w:tcBorders>
              <w:bottom w:val="single" w:sz="4" w:space="0" w:color="auto"/>
            </w:tcBorders>
            <w:shd w:val="clear" w:color="auto" w:fill="000000"/>
          </w:tcPr>
          <w:p w:rsidR="00A43C03" w:rsidRPr="00751196" w:rsidRDefault="00A43C03" w:rsidP="00751196">
            <w:pPr>
              <w:pStyle w:val="EBBullet"/>
              <w:keepNext/>
              <w:numPr>
                <w:ilvl w:val="0"/>
                <w:numId w:val="0"/>
              </w:numPr>
              <w:tabs>
                <w:tab w:val="left" w:pos="720"/>
              </w:tabs>
              <w:rPr>
                <w:b/>
                <w:color w:val="FFFFFF"/>
                <w:sz w:val="24"/>
              </w:rPr>
            </w:pPr>
          </w:p>
        </w:tc>
        <w:tc>
          <w:tcPr>
            <w:tcW w:w="3474" w:type="dxa"/>
            <w:shd w:val="clear" w:color="auto" w:fill="000000"/>
          </w:tcPr>
          <w:p w:rsidR="00A43C03" w:rsidRPr="00751196" w:rsidRDefault="00A43C03" w:rsidP="00751196">
            <w:pPr>
              <w:pStyle w:val="EBBullet"/>
              <w:keepNext/>
              <w:numPr>
                <w:ilvl w:val="0"/>
                <w:numId w:val="0"/>
              </w:numPr>
              <w:tabs>
                <w:tab w:val="left" w:pos="720"/>
              </w:tabs>
              <w:rPr>
                <w:b/>
                <w:color w:val="FFFFFF"/>
                <w:sz w:val="24"/>
              </w:rPr>
            </w:pPr>
            <w:r w:rsidRPr="00751196">
              <w:rPr>
                <w:b/>
                <w:color w:val="FFFFFF"/>
                <w:sz w:val="24"/>
              </w:rPr>
              <w:t>Old Requirements</w:t>
            </w:r>
          </w:p>
        </w:tc>
        <w:tc>
          <w:tcPr>
            <w:tcW w:w="3474" w:type="dxa"/>
            <w:shd w:val="clear" w:color="auto" w:fill="000000"/>
          </w:tcPr>
          <w:p w:rsidR="00A43C03" w:rsidRPr="00751196" w:rsidRDefault="00A43C03" w:rsidP="00751196">
            <w:pPr>
              <w:pStyle w:val="EBBullet"/>
              <w:keepNext/>
              <w:numPr>
                <w:ilvl w:val="0"/>
                <w:numId w:val="0"/>
              </w:numPr>
              <w:tabs>
                <w:tab w:val="left" w:pos="720"/>
              </w:tabs>
              <w:rPr>
                <w:b/>
                <w:color w:val="FFFFFF"/>
                <w:sz w:val="24"/>
              </w:rPr>
            </w:pPr>
            <w:r w:rsidRPr="00751196">
              <w:rPr>
                <w:b/>
                <w:color w:val="FFFFFF"/>
                <w:sz w:val="24"/>
              </w:rPr>
              <w:t>New requirements (options 2&amp;3)</w:t>
            </w:r>
          </w:p>
        </w:tc>
      </w:tr>
      <w:tr w:rsidR="00A43C03" w:rsidRPr="00751196" w:rsidTr="00751196">
        <w:tc>
          <w:tcPr>
            <w:tcW w:w="3473" w:type="dxa"/>
            <w:shd w:val="clear" w:color="auto" w:fill="000000"/>
          </w:tcPr>
          <w:p w:rsidR="00A43C03" w:rsidRPr="00751196" w:rsidRDefault="00A43C03" w:rsidP="00751196">
            <w:pPr>
              <w:pStyle w:val="EBBullet"/>
              <w:keepNext/>
              <w:numPr>
                <w:ilvl w:val="0"/>
                <w:numId w:val="0"/>
              </w:numPr>
              <w:tabs>
                <w:tab w:val="left" w:pos="720"/>
              </w:tabs>
              <w:rPr>
                <w:b/>
                <w:color w:val="FFFFFF"/>
                <w:sz w:val="24"/>
              </w:rPr>
            </w:pPr>
            <w:r w:rsidRPr="00751196">
              <w:rPr>
                <w:b/>
                <w:color w:val="FFFFFF"/>
                <w:sz w:val="24"/>
              </w:rPr>
              <w:t>Testing required on fabric</w:t>
            </w:r>
          </w:p>
        </w:tc>
        <w:tc>
          <w:tcPr>
            <w:tcW w:w="3474" w:type="dxa"/>
            <w:shd w:val="clear" w:color="auto" w:fill="auto"/>
          </w:tcPr>
          <w:p w:rsidR="00A43C03" w:rsidRPr="00751196" w:rsidRDefault="00A43C03" w:rsidP="00751196">
            <w:pPr>
              <w:pStyle w:val="EBBullet"/>
              <w:keepNext/>
              <w:numPr>
                <w:ilvl w:val="0"/>
                <w:numId w:val="0"/>
              </w:numPr>
              <w:tabs>
                <w:tab w:val="left" w:pos="720"/>
              </w:tabs>
              <w:rPr>
                <w:sz w:val="24"/>
              </w:rPr>
            </w:pPr>
            <w:r w:rsidRPr="00751196">
              <w:rPr>
                <w:sz w:val="24"/>
              </w:rPr>
              <w:t>Cigarette Test</w:t>
            </w:r>
          </w:p>
          <w:p w:rsidR="00A43C03" w:rsidRPr="00751196" w:rsidRDefault="00A43C03" w:rsidP="00751196">
            <w:pPr>
              <w:pStyle w:val="EBBullet"/>
              <w:keepNext/>
              <w:numPr>
                <w:ilvl w:val="0"/>
                <w:numId w:val="0"/>
              </w:numPr>
              <w:tabs>
                <w:tab w:val="left" w:pos="720"/>
              </w:tabs>
              <w:rPr>
                <w:sz w:val="24"/>
              </w:rPr>
            </w:pPr>
            <w:r w:rsidRPr="00751196">
              <w:rPr>
                <w:sz w:val="24"/>
              </w:rPr>
              <w:t>Match Test</w:t>
            </w:r>
          </w:p>
        </w:tc>
        <w:tc>
          <w:tcPr>
            <w:tcW w:w="3474" w:type="dxa"/>
            <w:shd w:val="clear" w:color="auto" w:fill="auto"/>
          </w:tcPr>
          <w:p w:rsidR="00A43C03" w:rsidRPr="00751196" w:rsidRDefault="00A43C03" w:rsidP="00751196">
            <w:pPr>
              <w:pStyle w:val="EBBullet"/>
              <w:keepNext/>
              <w:numPr>
                <w:ilvl w:val="0"/>
                <w:numId w:val="0"/>
              </w:numPr>
              <w:tabs>
                <w:tab w:val="left" w:pos="720"/>
              </w:tabs>
              <w:rPr>
                <w:sz w:val="24"/>
              </w:rPr>
            </w:pPr>
            <w:r w:rsidRPr="00751196">
              <w:rPr>
                <w:sz w:val="24"/>
              </w:rPr>
              <w:t>Match Test only for a large number of products (see consultation)</w:t>
            </w:r>
          </w:p>
        </w:tc>
      </w:tr>
      <w:tr w:rsidR="00A43C03" w:rsidRPr="00751196" w:rsidTr="00751196">
        <w:tc>
          <w:tcPr>
            <w:tcW w:w="3473" w:type="dxa"/>
            <w:shd w:val="clear" w:color="auto" w:fill="000000"/>
          </w:tcPr>
          <w:p w:rsidR="00A43C03" w:rsidRPr="00751196" w:rsidRDefault="00A43C03" w:rsidP="00751196">
            <w:pPr>
              <w:pStyle w:val="EBBullet"/>
              <w:keepNext/>
              <w:numPr>
                <w:ilvl w:val="0"/>
                <w:numId w:val="0"/>
              </w:numPr>
              <w:tabs>
                <w:tab w:val="left" w:pos="720"/>
              </w:tabs>
              <w:rPr>
                <w:b/>
                <w:color w:val="FFFFFF"/>
                <w:sz w:val="24"/>
              </w:rPr>
            </w:pPr>
            <w:r w:rsidRPr="00751196">
              <w:rPr>
                <w:b/>
                <w:color w:val="FFFFFF"/>
                <w:sz w:val="24"/>
              </w:rPr>
              <w:t>Cost</w:t>
            </w:r>
          </w:p>
        </w:tc>
        <w:tc>
          <w:tcPr>
            <w:tcW w:w="3474" w:type="dxa"/>
            <w:shd w:val="clear" w:color="auto" w:fill="auto"/>
          </w:tcPr>
          <w:p w:rsidR="00A43C03" w:rsidRPr="00751196" w:rsidRDefault="00A43C03" w:rsidP="00751196">
            <w:pPr>
              <w:pStyle w:val="EBBullet"/>
              <w:keepNext/>
              <w:numPr>
                <w:ilvl w:val="0"/>
                <w:numId w:val="0"/>
              </w:numPr>
              <w:tabs>
                <w:tab w:val="left" w:pos="720"/>
              </w:tabs>
              <w:rPr>
                <w:sz w:val="24"/>
              </w:rPr>
            </w:pPr>
            <w:r w:rsidRPr="00751196">
              <w:rPr>
                <w:sz w:val="24"/>
              </w:rPr>
              <w:t>Unknown</w:t>
            </w:r>
          </w:p>
        </w:tc>
        <w:tc>
          <w:tcPr>
            <w:tcW w:w="3474" w:type="dxa"/>
            <w:shd w:val="clear" w:color="auto" w:fill="auto"/>
          </w:tcPr>
          <w:p w:rsidR="00A43C03" w:rsidRPr="00751196" w:rsidRDefault="00A43C03" w:rsidP="00751196">
            <w:pPr>
              <w:pStyle w:val="EBBullet"/>
              <w:keepNext/>
              <w:numPr>
                <w:ilvl w:val="0"/>
                <w:numId w:val="0"/>
              </w:numPr>
              <w:tabs>
                <w:tab w:val="left" w:pos="720"/>
              </w:tabs>
              <w:rPr>
                <w:sz w:val="24"/>
              </w:rPr>
            </w:pPr>
            <w:r w:rsidRPr="00751196">
              <w:rPr>
                <w:sz w:val="24"/>
              </w:rPr>
              <w:t>Estimated saving of £7.5m per annum</w:t>
            </w:r>
            <w:r>
              <w:rPr>
                <w:rStyle w:val="FootnoteReference"/>
              </w:rPr>
              <w:footnoteReference w:id="13"/>
            </w:r>
            <w:r w:rsidRPr="00751196">
              <w:rPr>
                <w:sz w:val="24"/>
              </w:rPr>
              <w:t xml:space="preserve"> compared to the old requirements</w:t>
            </w:r>
          </w:p>
        </w:tc>
      </w:tr>
    </w:tbl>
    <w:p w:rsidR="00A43C03" w:rsidRDefault="00A43C03" w:rsidP="00A43C03">
      <w:pPr>
        <w:pStyle w:val="EBBullet"/>
        <w:keepNext/>
        <w:numPr>
          <w:ilvl w:val="0"/>
          <w:numId w:val="0"/>
        </w:numPr>
        <w:tabs>
          <w:tab w:val="left" w:pos="720"/>
        </w:tabs>
        <w:ind w:left="720" w:hanging="720"/>
        <w:rPr>
          <w:rFonts w:ascii="Arial Bold" w:hAnsi="Arial Bold"/>
          <w:sz w:val="24"/>
        </w:rPr>
      </w:pPr>
    </w:p>
    <w:p w:rsidR="00A43C03" w:rsidRPr="00556AB7" w:rsidRDefault="00A43C03" w:rsidP="00A43C03">
      <w:pPr>
        <w:pStyle w:val="Default"/>
        <w:pBdr>
          <w:top w:val="single" w:sz="4" w:space="1" w:color="auto"/>
          <w:left w:val="single" w:sz="4" w:space="4" w:color="auto"/>
          <w:bottom w:val="single" w:sz="4" w:space="1" w:color="auto"/>
          <w:right w:val="single" w:sz="4" w:space="4" w:color="auto"/>
        </w:pBdr>
        <w:rPr>
          <w:i/>
        </w:rPr>
      </w:pPr>
      <w:r w:rsidRPr="00675A4A">
        <w:rPr>
          <w:b/>
        </w:rPr>
        <w:t>Q</w:t>
      </w:r>
      <w:r>
        <w:rPr>
          <w:b/>
        </w:rPr>
        <w:t>5</w:t>
      </w:r>
      <w:r w:rsidRPr="00675A4A">
        <w:rPr>
          <w:b/>
        </w:rPr>
        <w:t>:</w:t>
      </w:r>
      <w:r>
        <w:t xml:space="preserve"> </w:t>
      </w:r>
      <w:r w:rsidRPr="006C2653">
        <w:rPr>
          <w:szCs w:val="22"/>
        </w:rPr>
        <w:t xml:space="preserve">Do you </w:t>
      </w:r>
      <w:r>
        <w:rPr>
          <w:szCs w:val="22"/>
        </w:rPr>
        <w:t>agree with the assumption on annual cost savings to UK based companies testing of fabrics for the cigarette test? Could you provide information on the cost of the cigarette testing for your company?</w:t>
      </w:r>
    </w:p>
    <w:p w:rsidR="00A43C03" w:rsidRDefault="00A43C03" w:rsidP="00A43C03">
      <w:pPr>
        <w:pStyle w:val="EBBullet"/>
        <w:keepNext/>
        <w:numPr>
          <w:ilvl w:val="0"/>
          <w:numId w:val="0"/>
        </w:numPr>
        <w:tabs>
          <w:tab w:val="left" w:pos="720"/>
        </w:tabs>
        <w:ind w:left="720"/>
        <w:rPr>
          <w:sz w:val="24"/>
        </w:rPr>
      </w:pPr>
    </w:p>
    <w:p w:rsidR="00A43C03" w:rsidRDefault="00A43C03" w:rsidP="00A43C03">
      <w:pPr>
        <w:pStyle w:val="EBBullet"/>
        <w:keepNext/>
        <w:numPr>
          <w:ilvl w:val="0"/>
          <w:numId w:val="0"/>
        </w:numPr>
        <w:tabs>
          <w:tab w:val="left" w:pos="720"/>
        </w:tabs>
        <w:ind w:left="720"/>
        <w:rPr>
          <w:sz w:val="24"/>
        </w:rPr>
      </w:pPr>
    </w:p>
    <w:p w:rsidR="00A43C03" w:rsidRDefault="00A43C03" w:rsidP="00A43C03">
      <w:pPr>
        <w:pStyle w:val="EBBullet"/>
        <w:keepNext/>
        <w:numPr>
          <w:ilvl w:val="0"/>
          <w:numId w:val="0"/>
        </w:numPr>
        <w:tabs>
          <w:tab w:val="left" w:pos="720"/>
        </w:tabs>
        <w:ind w:left="720" w:hanging="720"/>
        <w:rPr>
          <w:i/>
          <w:sz w:val="24"/>
        </w:rPr>
      </w:pPr>
      <w:r>
        <w:rPr>
          <w:sz w:val="24"/>
        </w:rPr>
        <w:tab/>
      </w:r>
      <w:r w:rsidRPr="007C4862">
        <w:rPr>
          <w:i/>
          <w:sz w:val="24"/>
        </w:rPr>
        <w:t>Reduced cost of treating fabric</w:t>
      </w:r>
    </w:p>
    <w:p w:rsidR="00A43C03" w:rsidRPr="007C4862" w:rsidRDefault="00A43C03" w:rsidP="00A43C03">
      <w:pPr>
        <w:pStyle w:val="EBBullet"/>
        <w:keepNext/>
        <w:numPr>
          <w:ilvl w:val="0"/>
          <w:numId w:val="0"/>
        </w:numPr>
        <w:tabs>
          <w:tab w:val="left" w:pos="720"/>
        </w:tabs>
        <w:ind w:left="720" w:hanging="720"/>
        <w:rPr>
          <w:i/>
          <w:sz w:val="24"/>
        </w:rPr>
      </w:pPr>
    </w:p>
    <w:p w:rsidR="00A43C03" w:rsidRDefault="00A43C03" w:rsidP="00A43C03">
      <w:pPr>
        <w:pStyle w:val="EBBullet"/>
        <w:keepNext/>
        <w:numPr>
          <w:ilvl w:val="0"/>
          <w:numId w:val="0"/>
        </w:numPr>
        <w:tabs>
          <w:tab w:val="left" w:pos="720"/>
        </w:tabs>
        <w:ind w:left="720" w:hanging="720"/>
        <w:rPr>
          <w:sz w:val="24"/>
        </w:rPr>
      </w:pPr>
      <w:r>
        <w:rPr>
          <w:sz w:val="24"/>
        </w:rPr>
        <w:t>6.10</w:t>
      </w:r>
      <w:r>
        <w:rPr>
          <w:sz w:val="24"/>
        </w:rPr>
        <w:tab/>
        <w:t>To calculate these cost savings, BIS needs to estimate:</w:t>
      </w:r>
    </w:p>
    <w:p w:rsidR="00A43C03" w:rsidRDefault="00A43C03" w:rsidP="00A43C03">
      <w:pPr>
        <w:pStyle w:val="EBBullet"/>
        <w:keepNext/>
        <w:numPr>
          <w:ilvl w:val="0"/>
          <w:numId w:val="0"/>
        </w:numPr>
        <w:tabs>
          <w:tab w:val="left" w:pos="720"/>
        </w:tabs>
        <w:ind w:left="1080"/>
        <w:rPr>
          <w:sz w:val="24"/>
        </w:rPr>
      </w:pPr>
      <w:r>
        <w:rPr>
          <w:sz w:val="24"/>
        </w:rPr>
        <w:t>1)</w:t>
      </w:r>
      <w:r>
        <w:rPr>
          <w:sz w:val="24"/>
        </w:rPr>
        <w:tab/>
        <w:t>the cost savings in treating fabrics, and</w:t>
      </w:r>
    </w:p>
    <w:p w:rsidR="00A43C03" w:rsidRDefault="00A43C03" w:rsidP="00A43C03">
      <w:pPr>
        <w:pStyle w:val="EBBullet"/>
        <w:keepNext/>
        <w:numPr>
          <w:ilvl w:val="0"/>
          <w:numId w:val="0"/>
        </w:numPr>
        <w:tabs>
          <w:tab w:val="left" w:pos="720"/>
        </w:tabs>
        <w:ind w:left="1080"/>
        <w:rPr>
          <w:sz w:val="24"/>
        </w:rPr>
      </w:pPr>
      <w:r>
        <w:rPr>
          <w:sz w:val="24"/>
        </w:rPr>
        <w:t>2)</w:t>
      </w:r>
      <w:r>
        <w:rPr>
          <w:sz w:val="24"/>
        </w:rPr>
        <w:tab/>
        <w:t>the amount of fabric treated by UK manufacturers</w:t>
      </w:r>
    </w:p>
    <w:p w:rsidR="00A43C03" w:rsidRDefault="00A43C03" w:rsidP="00A43C03">
      <w:pPr>
        <w:pStyle w:val="EBBullet"/>
        <w:keepNext/>
        <w:numPr>
          <w:ilvl w:val="0"/>
          <w:numId w:val="0"/>
        </w:numPr>
        <w:tabs>
          <w:tab w:val="left" w:pos="720"/>
        </w:tabs>
        <w:ind w:left="720"/>
        <w:rPr>
          <w:sz w:val="24"/>
        </w:rPr>
      </w:pPr>
      <w:r>
        <w:rPr>
          <w:sz w:val="24"/>
        </w:rPr>
        <w:t xml:space="preserve">This section begins with the first estimation and concludes with the second, which is more uncertain. </w:t>
      </w:r>
    </w:p>
    <w:p w:rsidR="00A43C03" w:rsidRDefault="00A43C03" w:rsidP="00A43C03">
      <w:pPr>
        <w:pStyle w:val="EBBullet"/>
        <w:keepNext/>
        <w:numPr>
          <w:ilvl w:val="0"/>
          <w:numId w:val="0"/>
        </w:numPr>
        <w:tabs>
          <w:tab w:val="left" w:pos="720"/>
        </w:tabs>
        <w:ind w:left="284" w:hanging="284"/>
        <w:rPr>
          <w:sz w:val="24"/>
        </w:rPr>
      </w:pPr>
    </w:p>
    <w:p w:rsidR="00A43C03" w:rsidRPr="001F477F" w:rsidRDefault="00A43C03" w:rsidP="00A43C03">
      <w:pPr>
        <w:pStyle w:val="EBBullet"/>
        <w:keepNext/>
        <w:numPr>
          <w:ilvl w:val="0"/>
          <w:numId w:val="0"/>
        </w:numPr>
        <w:tabs>
          <w:tab w:val="left" w:pos="720"/>
        </w:tabs>
        <w:ind w:left="284" w:hanging="284"/>
        <w:rPr>
          <w:i/>
          <w:sz w:val="24"/>
        </w:rPr>
      </w:pPr>
      <w:r>
        <w:rPr>
          <w:i/>
          <w:sz w:val="24"/>
        </w:rPr>
        <w:t>1) The cost savings of treating fabrics</w:t>
      </w:r>
    </w:p>
    <w:p w:rsidR="00A43C03" w:rsidRDefault="00A43C03" w:rsidP="00A43C03">
      <w:pPr>
        <w:pStyle w:val="EBBullet"/>
        <w:keepNext/>
        <w:numPr>
          <w:ilvl w:val="0"/>
          <w:numId w:val="0"/>
        </w:numPr>
        <w:tabs>
          <w:tab w:val="left" w:pos="720"/>
        </w:tabs>
        <w:ind w:left="720"/>
        <w:rPr>
          <w:sz w:val="24"/>
        </w:rPr>
      </w:pPr>
    </w:p>
    <w:p w:rsidR="00A43C03" w:rsidRDefault="00A43C03" w:rsidP="00A43C03">
      <w:pPr>
        <w:pStyle w:val="EBBullet"/>
        <w:keepNext/>
        <w:numPr>
          <w:ilvl w:val="0"/>
          <w:numId w:val="0"/>
        </w:numPr>
        <w:tabs>
          <w:tab w:val="left" w:pos="720"/>
        </w:tabs>
        <w:ind w:left="720" w:hanging="720"/>
        <w:rPr>
          <w:sz w:val="24"/>
        </w:rPr>
      </w:pPr>
      <w:r>
        <w:rPr>
          <w:sz w:val="24"/>
        </w:rPr>
        <w:t>6.11</w:t>
      </w:r>
      <w:r>
        <w:rPr>
          <w:sz w:val="24"/>
        </w:rPr>
        <w:tab/>
        <w:t>To meet current fire tests, a lot of fabrics for upholstered furniture sold in the UK are treated by chemical processors. The cost of treatment is estimated by industry to be in the range of £1.15 -1.30 / metre, at the low end. BIS has been informed by the largest chemical processor</w:t>
      </w:r>
      <w:r>
        <w:rPr>
          <w:rStyle w:val="FootnoteReference"/>
        </w:rPr>
        <w:footnoteReference w:id="14"/>
      </w:r>
      <w:r>
        <w:rPr>
          <w:sz w:val="24"/>
        </w:rPr>
        <w:t xml:space="preserve"> that half this cost comprises FR chemicals and the other half the treatment process. They also estimate that the new test should reduce the need for FRs by between 20-50%. There is anecdotal evidence that these costs may underestimate the cost of treatment to SMEs. We have also not taken into account that future costs may rise, according to one large furniture manufacturer, with the cost of treatment estimated to increase to £2 per metre by the time the new test is implemented. Our current assumptions are summarised in the table below:</w:t>
      </w:r>
    </w:p>
    <w:p w:rsidR="00A43C03" w:rsidRDefault="00A43C03" w:rsidP="00A43C03">
      <w:pPr>
        <w:pStyle w:val="EBBullet"/>
        <w:keepNext/>
        <w:numPr>
          <w:ilvl w:val="0"/>
          <w:numId w:val="0"/>
        </w:numPr>
        <w:tabs>
          <w:tab w:val="left" w:pos="720"/>
        </w:tabs>
        <w:ind w:left="284" w:hanging="284"/>
        <w:rPr>
          <w:sz w:val="24"/>
          <w:u w:val="single"/>
        </w:rPr>
      </w:pPr>
    </w:p>
    <w:p w:rsidR="00A43C03" w:rsidRPr="002B3148" w:rsidRDefault="00A43C03" w:rsidP="00A43C03">
      <w:pPr>
        <w:pStyle w:val="EBBullet"/>
        <w:keepNext/>
        <w:numPr>
          <w:ilvl w:val="0"/>
          <w:numId w:val="0"/>
        </w:numPr>
        <w:tabs>
          <w:tab w:val="left" w:pos="720"/>
        </w:tabs>
        <w:ind w:left="284" w:hanging="284"/>
        <w:rPr>
          <w:sz w:val="24"/>
          <w:u w:val="single"/>
        </w:rPr>
      </w:pPr>
      <w:r>
        <w:rPr>
          <w:sz w:val="24"/>
          <w:u w:val="single"/>
        </w:rPr>
        <w:t>Table 2. Cost savings range for treating fabrics used in furniture sold in the UK</w:t>
      </w:r>
    </w:p>
    <w:p w:rsidR="00A43C03" w:rsidRDefault="00A43C03" w:rsidP="00A43C03">
      <w:pPr>
        <w:pStyle w:val="EBBullet"/>
        <w:keepNext/>
        <w:numPr>
          <w:ilvl w:val="0"/>
          <w:numId w:val="0"/>
        </w:numPr>
        <w:tabs>
          <w:tab w:val="left" w:pos="720"/>
        </w:tabs>
        <w:ind w:left="284" w:hanging="284"/>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73"/>
        <w:gridCol w:w="3474"/>
        <w:gridCol w:w="3474"/>
      </w:tblGrid>
      <w:tr w:rsidR="00A43C03" w:rsidRPr="00751196" w:rsidTr="00751196">
        <w:trPr>
          <w:trHeight w:val="197"/>
        </w:trPr>
        <w:tc>
          <w:tcPr>
            <w:tcW w:w="3473" w:type="dxa"/>
            <w:vMerge w:val="restart"/>
            <w:shd w:val="clear" w:color="auto" w:fill="000000"/>
          </w:tcPr>
          <w:p w:rsidR="00A43C03" w:rsidRPr="00751196" w:rsidRDefault="00A43C03" w:rsidP="00751196">
            <w:pPr>
              <w:pStyle w:val="EBBullet"/>
              <w:keepNext/>
              <w:numPr>
                <w:ilvl w:val="0"/>
                <w:numId w:val="0"/>
              </w:numPr>
              <w:tabs>
                <w:tab w:val="left" w:pos="720"/>
              </w:tabs>
              <w:rPr>
                <w:b/>
                <w:color w:val="FFFFFF"/>
                <w:sz w:val="24"/>
              </w:rPr>
            </w:pPr>
            <w:r w:rsidRPr="00751196">
              <w:rPr>
                <w:b/>
                <w:color w:val="FFFFFF"/>
                <w:sz w:val="24"/>
              </w:rPr>
              <w:t>Assumption</w:t>
            </w:r>
          </w:p>
        </w:tc>
        <w:tc>
          <w:tcPr>
            <w:tcW w:w="3474" w:type="dxa"/>
            <w:shd w:val="clear" w:color="auto" w:fill="000000"/>
          </w:tcPr>
          <w:p w:rsidR="00A43C03" w:rsidRPr="00751196" w:rsidRDefault="00A43C03" w:rsidP="00751196">
            <w:pPr>
              <w:pStyle w:val="EBBullet"/>
              <w:keepNext/>
              <w:numPr>
                <w:ilvl w:val="0"/>
                <w:numId w:val="0"/>
              </w:numPr>
              <w:tabs>
                <w:tab w:val="left" w:pos="720"/>
              </w:tabs>
              <w:rPr>
                <w:b/>
                <w:color w:val="FFFFFF"/>
                <w:sz w:val="24"/>
              </w:rPr>
            </w:pPr>
            <w:r w:rsidRPr="00751196">
              <w:rPr>
                <w:b/>
                <w:color w:val="FFFFFF"/>
                <w:sz w:val="24"/>
              </w:rPr>
              <w:t xml:space="preserve">LOW </w:t>
            </w:r>
          </w:p>
        </w:tc>
        <w:tc>
          <w:tcPr>
            <w:tcW w:w="3474" w:type="dxa"/>
            <w:shd w:val="clear" w:color="auto" w:fill="000000"/>
          </w:tcPr>
          <w:p w:rsidR="00A43C03" w:rsidRPr="00751196" w:rsidRDefault="00A43C03" w:rsidP="00751196">
            <w:pPr>
              <w:pStyle w:val="EBBullet"/>
              <w:keepNext/>
              <w:numPr>
                <w:ilvl w:val="0"/>
                <w:numId w:val="0"/>
              </w:numPr>
              <w:tabs>
                <w:tab w:val="left" w:pos="720"/>
              </w:tabs>
              <w:rPr>
                <w:b/>
                <w:color w:val="FFFFFF"/>
                <w:sz w:val="24"/>
              </w:rPr>
            </w:pPr>
            <w:r w:rsidRPr="00751196">
              <w:rPr>
                <w:b/>
                <w:color w:val="FFFFFF"/>
                <w:sz w:val="24"/>
              </w:rPr>
              <w:t>HIGH</w:t>
            </w:r>
          </w:p>
        </w:tc>
      </w:tr>
      <w:tr w:rsidR="00A43C03" w:rsidRPr="00751196" w:rsidTr="00751196">
        <w:trPr>
          <w:trHeight w:val="196"/>
        </w:trPr>
        <w:tc>
          <w:tcPr>
            <w:tcW w:w="3473" w:type="dxa"/>
            <w:vMerge/>
            <w:shd w:val="clear" w:color="auto" w:fill="000000"/>
          </w:tcPr>
          <w:p w:rsidR="00A43C03" w:rsidRPr="00751196" w:rsidRDefault="00A43C03" w:rsidP="00751196">
            <w:pPr>
              <w:pStyle w:val="EBBullet"/>
              <w:keepNext/>
              <w:numPr>
                <w:ilvl w:val="0"/>
                <w:numId w:val="0"/>
              </w:numPr>
              <w:tabs>
                <w:tab w:val="left" w:pos="720"/>
              </w:tabs>
              <w:rPr>
                <w:b/>
                <w:color w:val="FFFFFF"/>
                <w:sz w:val="24"/>
              </w:rPr>
            </w:pPr>
          </w:p>
        </w:tc>
        <w:tc>
          <w:tcPr>
            <w:tcW w:w="3474" w:type="dxa"/>
            <w:shd w:val="clear" w:color="auto" w:fill="000000"/>
          </w:tcPr>
          <w:p w:rsidR="00A43C03" w:rsidRPr="00751196" w:rsidRDefault="00A43C03" w:rsidP="00751196">
            <w:pPr>
              <w:pStyle w:val="EBBullet"/>
              <w:keepNext/>
              <w:numPr>
                <w:ilvl w:val="0"/>
                <w:numId w:val="0"/>
              </w:numPr>
              <w:tabs>
                <w:tab w:val="left" w:pos="720"/>
              </w:tabs>
              <w:rPr>
                <w:i/>
                <w:color w:val="FFFFFF"/>
                <w:sz w:val="18"/>
                <w:szCs w:val="18"/>
              </w:rPr>
            </w:pPr>
            <w:r w:rsidRPr="00751196">
              <w:rPr>
                <w:i/>
                <w:color w:val="FFFFFF"/>
                <w:sz w:val="18"/>
                <w:szCs w:val="18"/>
              </w:rPr>
              <w:t>Source: FIRA</w:t>
            </w:r>
          </w:p>
        </w:tc>
        <w:tc>
          <w:tcPr>
            <w:tcW w:w="3474" w:type="dxa"/>
            <w:shd w:val="clear" w:color="auto" w:fill="000000"/>
          </w:tcPr>
          <w:p w:rsidR="00A43C03" w:rsidRPr="00751196" w:rsidRDefault="00A43C03" w:rsidP="00751196">
            <w:pPr>
              <w:pStyle w:val="EBBullet"/>
              <w:keepNext/>
              <w:numPr>
                <w:ilvl w:val="0"/>
                <w:numId w:val="0"/>
              </w:numPr>
              <w:tabs>
                <w:tab w:val="left" w:pos="720"/>
              </w:tabs>
              <w:rPr>
                <w:i/>
                <w:color w:val="FFFFFF"/>
                <w:sz w:val="18"/>
                <w:szCs w:val="18"/>
              </w:rPr>
            </w:pPr>
            <w:r w:rsidRPr="00751196">
              <w:rPr>
                <w:i/>
                <w:color w:val="FFFFFF"/>
                <w:sz w:val="18"/>
                <w:szCs w:val="18"/>
              </w:rPr>
              <w:t>Source: BIS estimates from discussions with test houses and industry</w:t>
            </w:r>
          </w:p>
        </w:tc>
      </w:tr>
      <w:tr w:rsidR="00A43C03" w:rsidTr="00751196">
        <w:tc>
          <w:tcPr>
            <w:tcW w:w="3473" w:type="dxa"/>
            <w:shd w:val="clear" w:color="auto" w:fill="auto"/>
          </w:tcPr>
          <w:p w:rsidR="00A43C03" w:rsidRPr="00751196" w:rsidRDefault="00A43C03" w:rsidP="00751196">
            <w:pPr>
              <w:pStyle w:val="EBBullet"/>
              <w:keepNext/>
              <w:numPr>
                <w:ilvl w:val="0"/>
                <w:numId w:val="0"/>
              </w:numPr>
              <w:tabs>
                <w:tab w:val="left" w:pos="720"/>
              </w:tabs>
              <w:rPr>
                <w:sz w:val="24"/>
              </w:rPr>
            </w:pPr>
            <w:r w:rsidRPr="00751196">
              <w:rPr>
                <w:sz w:val="24"/>
              </w:rPr>
              <w:t>Cost of fabric treatment (per metre)</w:t>
            </w:r>
          </w:p>
        </w:tc>
        <w:tc>
          <w:tcPr>
            <w:tcW w:w="3474" w:type="dxa"/>
            <w:shd w:val="clear" w:color="auto" w:fill="auto"/>
          </w:tcPr>
          <w:p w:rsidR="00A43C03" w:rsidRPr="00751196" w:rsidRDefault="00A43C03" w:rsidP="00751196">
            <w:pPr>
              <w:pStyle w:val="EBBullet"/>
              <w:keepNext/>
              <w:numPr>
                <w:ilvl w:val="0"/>
                <w:numId w:val="0"/>
              </w:numPr>
              <w:tabs>
                <w:tab w:val="left" w:pos="720"/>
              </w:tabs>
              <w:rPr>
                <w:sz w:val="24"/>
              </w:rPr>
            </w:pPr>
            <w:r w:rsidRPr="00751196">
              <w:rPr>
                <w:sz w:val="24"/>
              </w:rPr>
              <w:t>£1.15</w:t>
            </w:r>
          </w:p>
        </w:tc>
        <w:tc>
          <w:tcPr>
            <w:tcW w:w="3474" w:type="dxa"/>
            <w:shd w:val="clear" w:color="auto" w:fill="auto"/>
          </w:tcPr>
          <w:p w:rsidR="00A43C03" w:rsidRPr="00751196" w:rsidRDefault="00A43C03" w:rsidP="00751196">
            <w:pPr>
              <w:pStyle w:val="EBBullet"/>
              <w:keepNext/>
              <w:numPr>
                <w:ilvl w:val="0"/>
                <w:numId w:val="0"/>
              </w:numPr>
              <w:tabs>
                <w:tab w:val="left" w:pos="720"/>
              </w:tabs>
              <w:rPr>
                <w:sz w:val="24"/>
              </w:rPr>
            </w:pPr>
            <w:r w:rsidRPr="00751196">
              <w:rPr>
                <w:sz w:val="24"/>
              </w:rPr>
              <w:t>£1.30</w:t>
            </w:r>
          </w:p>
        </w:tc>
      </w:tr>
      <w:tr w:rsidR="00A43C03" w:rsidTr="00751196">
        <w:tc>
          <w:tcPr>
            <w:tcW w:w="3473" w:type="dxa"/>
            <w:shd w:val="clear" w:color="auto" w:fill="auto"/>
          </w:tcPr>
          <w:p w:rsidR="00A43C03" w:rsidRPr="00751196" w:rsidRDefault="00A43C03" w:rsidP="00751196">
            <w:pPr>
              <w:pStyle w:val="EBBullet"/>
              <w:keepNext/>
              <w:numPr>
                <w:ilvl w:val="0"/>
                <w:numId w:val="0"/>
              </w:numPr>
              <w:tabs>
                <w:tab w:val="left" w:pos="720"/>
              </w:tabs>
              <w:rPr>
                <w:sz w:val="24"/>
              </w:rPr>
            </w:pPr>
            <w:r w:rsidRPr="00751196">
              <w:rPr>
                <w:sz w:val="24"/>
              </w:rPr>
              <w:t>Cost savings from new test</w:t>
            </w:r>
          </w:p>
        </w:tc>
        <w:tc>
          <w:tcPr>
            <w:tcW w:w="3474" w:type="dxa"/>
            <w:shd w:val="clear" w:color="auto" w:fill="auto"/>
          </w:tcPr>
          <w:p w:rsidR="00A43C03" w:rsidRPr="00751196" w:rsidRDefault="00A43C03" w:rsidP="00751196">
            <w:pPr>
              <w:pStyle w:val="EBBullet"/>
              <w:keepNext/>
              <w:numPr>
                <w:ilvl w:val="0"/>
                <w:numId w:val="0"/>
              </w:numPr>
              <w:tabs>
                <w:tab w:val="left" w:pos="720"/>
              </w:tabs>
              <w:rPr>
                <w:sz w:val="24"/>
              </w:rPr>
            </w:pPr>
            <w:r w:rsidRPr="00751196">
              <w:rPr>
                <w:sz w:val="24"/>
              </w:rPr>
              <w:t>10%</w:t>
            </w:r>
          </w:p>
        </w:tc>
        <w:tc>
          <w:tcPr>
            <w:tcW w:w="3474" w:type="dxa"/>
            <w:shd w:val="clear" w:color="auto" w:fill="auto"/>
          </w:tcPr>
          <w:p w:rsidR="00A43C03" w:rsidRPr="00751196" w:rsidRDefault="00A43C03" w:rsidP="00751196">
            <w:pPr>
              <w:pStyle w:val="EBBullet"/>
              <w:keepNext/>
              <w:numPr>
                <w:ilvl w:val="0"/>
                <w:numId w:val="0"/>
              </w:numPr>
              <w:tabs>
                <w:tab w:val="left" w:pos="720"/>
              </w:tabs>
              <w:rPr>
                <w:sz w:val="24"/>
              </w:rPr>
            </w:pPr>
            <w:r w:rsidRPr="00751196">
              <w:rPr>
                <w:sz w:val="24"/>
              </w:rPr>
              <w:t>25%</w:t>
            </w:r>
          </w:p>
        </w:tc>
      </w:tr>
      <w:tr w:rsidR="00A43C03" w:rsidTr="00751196">
        <w:tc>
          <w:tcPr>
            <w:tcW w:w="3473" w:type="dxa"/>
            <w:shd w:val="clear" w:color="auto" w:fill="auto"/>
          </w:tcPr>
          <w:p w:rsidR="00A43C03" w:rsidRPr="00751196" w:rsidRDefault="00A43C03" w:rsidP="00751196">
            <w:pPr>
              <w:pStyle w:val="EBBullet"/>
              <w:keepNext/>
              <w:numPr>
                <w:ilvl w:val="0"/>
                <w:numId w:val="0"/>
              </w:numPr>
              <w:tabs>
                <w:tab w:val="left" w:pos="720"/>
              </w:tabs>
              <w:rPr>
                <w:sz w:val="24"/>
              </w:rPr>
            </w:pPr>
            <w:r w:rsidRPr="00751196">
              <w:rPr>
                <w:sz w:val="24"/>
              </w:rPr>
              <w:t>Range of cost savings per metre</w:t>
            </w:r>
          </w:p>
        </w:tc>
        <w:tc>
          <w:tcPr>
            <w:tcW w:w="3474" w:type="dxa"/>
            <w:shd w:val="clear" w:color="auto" w:fill="auto"/>
          </w:tcPr>
          <w:p w:rsidR="00A43C03" w:rsidRPr="00751196" w:rsidRDefault="00A43C03" w:rsidP="00751196">
            <w:pPr>
              <w:pStyle w:val="EBBullet"/>
              <w:keepNext/>
              <w:numPr>
                <w:ilvl w:val="0"/>
                <w:numId w:val="0"/>
              </w:numPr>
              <w:tabs>
                <w:tab w:val="left" w:pos="720"/>
              </w:tabs>
              <w:rPr>
                <w:sz w:val="24"/>
              </w:rPr>
            </w:pPr>
            <w:r w:rsidRPr="00751196">
              <w:rPr>
                <w:sz w:val="24"/>
              </w:rPr>
              <w:t>£0.115</w:t>
            </w:r>
          </w:p>
        </w:tc>
        <w:tc>
          <w:tcPr>
            <w:tcW w:w="3474" w:type="dxa"/>
            <w:shd w:val="clear" w:color="auto" w:fill="auto"/>
          </w:tcPr>
          <w:p w:rsidR="00A43C03" w:rsidRPr="00751196" w:rsidRDefault="00A43C03" w:rsidP="00751196">
            <w:pPr>
              <w:pStyle w:val="EBBullet"/>
              <w:keepNext/>
              <w:numPr>
                <w:ilvl w:val="0"/>
                <w:numId w:val="0"/>
              </w:numPr>
              <w:tabs>
                <w:tab w:val="left" w:pos="720"/>
              </w:tabs>
              <w:rPr>
                <w:sz w:val="24"/>
              </w:rPr>
            </w:pPr>
            <w:r w:rsidRPr="00751196">
              <w:rPr>
                <w:sz w:val="24"/>
              </w:rPr>
              <w:t>£0.325</w:t>
            </w:r>
          </w:p>
        </w:tc>
      </w:tr>
    </w:tbl>
    <w:p w:rsidR="00A43C03" w:rsidRPr="00F174A4" w:rsidRDefault="00A43C03" w:rsidP="00A43C03">
      <w:pPr>
        <w:pStyle w:val="EBBullet"/>
        <w:keepNext/>
        <w:numPr>
          <w:ilvl w:val="0"/>
          <w:numId w:val="0"/>
        </w:numPr>
        <w:tabs>
          <w:tab w:val="left" w:pos="720"/>
        </w:tabs>
        <w:ind w:left="284" w:hanging="284"/>
        <w:rPr>
          <w:sz w:val="24"/>
        </w:rPr>
      </w:pPr>
    </w:p>
    <w:p w:rsidR="00A43C03" w:rsidRPr="00556AB7" w:rsidRDefault="00A43C03" w:rsidP="00A43C03">
      <w:pPr>
        <w:pStyle w:val="Default"/>
        <w:pBdr>
          <w:top w:val="single" w:sz="4" w:space="1" w:color="auto"/>
          <w:left w:val="single" w:sz="4" w:space="4" w:color="auto"/>
          <w:bottom w:val="single" w:sz="4" w:space="1" w:color="auto"/>
          <w:right w:val="single" w:sz="4" w:space="4" w:color="auto"/>
        </w:pBdr>
        <w:rPr>
          <w:i/>
        </w:rPr>
      </w:pPr>
      <w:r w:rsidRPr="00675A4A">
        <w:rPr>
          <w:b/>
        </w:rPr>
        <w:t>Q</w:t>
      </w:r>
      <w:r>
        <w:rPr>
          <w:b/>
        </w:rPr>
        <w:t>6</w:t>
      </w:r>
      <w:r w:rsidRPr="00675A4A">
        <w:rPr>
          <w:b/>
        </w:rPr>
        <w:t>:</w:t>
      </w:r>
      <w:r>
        <w:t xml:space="preserve"> </w:t>
      </w:r>
      <w:r>
        <w:rPr>
          <w:szCs w:val="22"/>
        </w:rPr>
        <w:t>Do you agree with the range of cost savings above? What are the cost savings most likely to be for your company?</w:t>
      </w:r>
    </w:p>
    <w:p w:rsidR="00A43C03" w:rsidRPr="001F477F" w:rsidRDefault="00A43C03" w:rsidP="00A43C03">
      <w:pPr>
        <w:pStyle w:val="EBBullet"/>
        <w:keepNext/>
        <w:numPr>
          <w:ilvl w:val="0"/>
          <w:numId w:val="0"/>
        </w:numPr>
        <w:tabs>
          <w:tab w:val="left" w:pos="720"/>
        </w:tabs>
        <w:ind w:left="284" w:hanging="284"/>
        <w:rPr>
          <w:i/>
          <w:sz w:val="24"/>
        </w:rPr>
      </w:pPr>
      <w:r>
        <w:rPr>
          <w:i/>
          <w:sz w:val="24"/>
        </w:rPr>
        <w:lastRenderedPageBreak/>
        <w:t>2) Annual Demand for treating fabrics used in furniture sold in the UK</w:t>
      </w:r>
    </w:p>
    <w:p w:rsidR="00A43C03" w:rsidRPr="00F174A4" w:rsidRDefault="00A43C03" w:rsidP="00A43C03">
      <w:pPr>
        <w:pStyle w:val="EBBullet"/>
        <w:keepNext/>
        <w:numPr>
          <w:ilvl w:val="0"/>
          <w:numId w:val="0"/>
        </w:numPr>
        <w:tabs>
          <w:tab w:val="left" w:pos="720"/>
        </w:tabs>
        <w:ind w:left="284" w:hanging="284"/>
        <w:rPr>
          <w:sz w:val="24"/>
        </w:rPr>
      </w:pPr>
    </w:p>
    <w:p w:rsidR="00A43C03" w:rsidRDefault="00A43C03" w:rsidP="00A43C03">
      <w:pPr>
        <w:pStyle w:val="EBBullet"/>
        <w:keepNext/>
        <w:numPr>
          <w:ilvl w:val="0"/>
          <w:numId w:val="0"/>
        </w:numPr>
        <w:tabs>
          <w:tab w:val="left" w:pos="720"/>
        </w:tabs>
        <w:ind w:left="720" w:hanging="720"/>
        <w:rPr>
          <w:sz w:val="24"/>
        </w:rPr>
      </w:pPr>
      <w:r>
        <w:rPr>
          <w:sz w:val="24"/>
        </w:rPr>
        <w:t>6.12</w:t>
      </w:r>
      <w:r>
        <w:rPr>
          <w:sz w:val="24"/>
        </w:rPr>
        <w:tab/>
        <w:t>There are a number of methodologies that can be employed to estimate the total amount of fabric treated by UK manufacturers. Due to the uncertainties, however, all methodologies are presented, even those where BIS currently have no data. Any evidence to help the analysis would be greatly appreciated from stakeholders. The different methodologies are represented in the table below:</w:t>
      </w:r>
    </w:p>
    <w:p w:rsidR="00A43C03" w:rsidRDefault="00A43C03" w:rsidP="00A43C03">
      <w:pPr>
        <w:pStyle w:val="EBBullet"/>
        <w:keepNext/>
        <w:numPr>
          <w:ilvl w:val="0"/>
          <w:numId w:val="0"/>
        </w:numPr>
        <w:tabs>
          <w:tab w:val="left" w:pos="720"/>
        </w:tabs>
        <w:ind w:left="284" w:hanging="284"/>
        <w:rPr>
          <w:sz w:val="24"/>
        </w:rPr>
      </w:pPr>
    </w:p>
    <w:p w:rsidR="00A43C03" w:rsidRDefault="00A43C03" w:rsidP="00A43C03">
      <w:pPr>
        <w:pStyle w:val="EBBullet"/>
        <w:keepNext/>
        <w:numPr>
          <w:ilvl w:val="0"/>
          <w:numId w:val="0"/>
        </w:numPr>
        <w:tabs>
          <w:tab w:val="left" w:pos="720"/>
        </w:tabs>
        <w:ind w:left="284" w:hanging="284"/>
        <w:rPr>
          <w:sz w:val="24"/>
          <w:u w:val="single"/>
        </w:rPr>
      </w:pPr>
      <w:r>
        <w:rPr>
          <w:sz w:val="24"/>
          <w:u w:val="single"/>
        </w:rPr>
        <w:t>Table 3. Methodology table for calculating annual demand for fabric treatment</w:t>
      </w:r>
    </w:p>
    <w:p w:rsidR="00A43C03" w:rsidRPr="002B3148" w:rsidRDefault="00A43C03" w:rsidP="00A43C03">
      <w:pPr>
        <w:pStyle w:val="EBBullet"/>
        <w:keepNext/>
        <w:numPr>
          <w:ilvl w:val="0"/>
          <w:numId w:val="0"/>
        </w:numPr>
        <w:tabs>
          <w:tab w:val="left" w:pos="720"/>
        </w:tabs>
        <w:ind w:left="284" w:hanging="284"/>
        <w:rPr>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1"/>
        <w:gridCol w:w="2794"/>
        <w:gridCol w:w="3593"/>
        <w:gridCol w:w="1493"/>
      </w:tblGrid>
      <w:tr w:rsidR="00A43C03" w:rsidRPr="00751196" w:rsidTr="00751196">
        <w:tc>
          <w:tcPr>
            <w:tcW w:w="2541" w:type="dxa"/>
            <w:shd w:val="clear" w:color="auto" w:fill="000000"/>
          </w:tcPr>
          <w:p w:rsidR="00A43C03" w:rsidRPr="00751196" w:rsidRDefault="00A43C03" w:rsidP="00751196">
            <w:pPr>
              <w:pStyle w:val="EBBullet"/>
              <w:keepNext/>
              <w:numPr>
                <w:ilvl w:val="0"/>
                <w:numId w:val="0"/>
              </w:numPr>
              <w:tabs>
                <w:tab w:val="left" w:pos="720"/>
              </w:tabs>
              <w:rPr>
                <w:b/>
                <w:color w:val="FFFFFF"/>
                <w:sz w:val="24"/>
              </w:rPr>
            </w:pPr>
            <w:r w:rsidRPr="00751196">
              <w:rPr>
                <w:b/>
                <w:color w:val="FFFFFF"/>
                <w:sz w:val="24"/>
              </w:rPr>
              <w:t>Methodology</w:t>
            </w:r>
          </w:p>
        </w:tc>
        <w:tc>
          <w:tcPr>
            <w:tcW w:w="2794" w:type="dxa"/>
            <w:shd w:val="clear" w:color="auto" w:fill="000000"/>
          </w:tcPr>
          <w:p w:rsidR="00A43C03" w:rsidRPr="00751196" w:rsidRDefault="00A43C03" w:rsidP="00751196">
            <w:pPr>
              <w:pStyle w:val="EBBullet"/>
              <w:keepNext/>
              <w:numPr>
                <w:ilvl w:val="0"/>
                <w:numId w:val="0"/>
              </w:numPr>
              <w:tabs>
                <w:tab w:val="left" w:pos="720"/>
              </w:tabs>
              <w:rPr>
                <w:b/>
                <w:color w:val="FFFFFF"/>
                <w:sz w:val="24"/>
              </w:rPr>
            </w:pPr>
            <w:r w:rsidRPr="00751196">
              <w:rPr>
                <w:b/>
                <w:color w:val="FFFFFF"/>
                <w:sz w:val="24"/>
              </w:rPr>
              <w:t>Calculations Detail</w:t>
            </w:r>
          </w:p>
        </w:tc>
        <w:tc>
          <w:tcPr>
            <w:tcW w:w="3593" w:type="dxa"/>
            <w:shd w:val="clear" w:color="auto" w:fill="000000"/>
          </w:tcPr>
          <w:p w:rsidR="00A43C03" w:rsidRPr="00751196" w:rsidRDefault="00A43C03" w:rsidP="00751196">
            <w:pPr>
              <w:pStyle w:val="EBBullet"/>
              <w:keepNext/>
              <w:numPr>
                <w:ilvl w:val="0"/>
                <w:numId w:val="0"/>
              </w:numPr>
              <w:tabs>
                <w:tab w:val="left" w:pos="720"/>
              </w:tabs>
              <w:rPr>
                <w:b/>
                <w:color w:val="FFFFFF"/>
                <w:sz w:val="24"/>
              </w:rPr>
            </w:pPr>
            <w:r w:rsidRPr="00751196">
              <w:rPr>
                <w:b/>
                <w:color w:val="FFFFFF"/>
                <w:sz w:val="24"/>
              </w:rPr>
              <w:t xml:space="preserve">Current Robustness? </w:t>
            </w:r>
          </w:p>
        </w:tc>
        <w:tc>
          <w:tcPr>
            <w:tcW w:w="1493" w:type="dxa"/>
            <w:shd w:val="clear" w:color="auto" w:fill="000000"/>
          </w:tcPr>
          <w:p w:rsidR="00A43C03" w:rsidRPr="00751196" w:rsidRDefault="00A43C03" w:rsidP="00751196">
            <w:pPr>
              <w:pStyle w:val="EBBullet"/>
              <w:keepNext/>
              <w:numPr>
                <w:ilvl w:val="0"/>
                <w:numId w:val="0"/>
              </w:numPr>
              <w:tabs>
                <w:tab w:val="left" w:pos="720"/>
              </w:tabs>
              <w:rPr>
                <w:b/>
                <w:color w:val="FFFFFF"/>
                <w:sz w:val="24"/>
              </w:rPr>
            </w:pPr>
            <w:r w:rsidRPr="00751196">
              <w:rPr>
                <w:b/>
                <w:color w:val="FFFFFF"/>
                <w:sz w:val="24"/>
              </w:rPr>
              <w:t>Estimated here?</w:t>
            </w:r>
          </w:p>
        </w:tc>
      </w:tr>
      <w:tr w:rsidR="00A43C03" w:rsidRPr="00751196" w:rsidTr="00751196">
        <w:trPr>
          <w:trHeight w:val="304"/>
        </w:trPr>
        <w:tc>
          <w:tcPr>
            <w:tcW w:w="2541" w:type="dxa"/>
            <w:vMerge w:val="restart"/>
            <w:shd w:val="clear" w:color="auto" w:fill="auto"/>
          </w:tcPr>
          <w:p w:rsidR="00A43C03" w:rsidRPr="00751196" w:rsidRDefault="00A43C03" w:rsidP="00751196">
            <w:pPr>
              <w:pStyle w:val="EBBullet"/>
              <w:keepNext/>
              <w:numPr>
                <w:ilvl w:val="0"/>
                <w:numId w:val="0"/>
              </w:numPr>
              <w:tabs>
                <w:tab w:val="left" w:pos="720"/>
              </w:tabs>
              <w:rPr>
                <w:sz w:val="24"/>
              </w:rPr>
            </w:pPr>
            <w:r w:rsidRPr="00751196">
              <w:rPr>
                <w:sz w:val="24"/>
              </w:rPr>
              <w:t>(1) Sales data (top down)</w:t>
            </w:r>
          </w:p>
        </w:tc>
        <w:tc>
          <w:tcPr>
            <w:tcW w:w="2794" w:type="dxa"/>
            <w:shd w:val="clear" w:color="auto" w:fill="auto"/>
          </w:tcPr>
          <w:p w:rsidR="00A43C03" w:rsidRPr="00751196" w:rsidRDefault="00A43C03" w:rsidP="00751196">
            <w:pPr>
              <w:pStyle w:val="EBBullet"/>
              <w:keepNext/>
              <w:numPr>
                <w:ilvl w:val="0"/>
                <w:numId w:val="0"/>
              </w:numPr>
              <w:tabs>
                <w:tab w:val="left" w:pos="720"/>
              </w:tabs>
              <w:rPr>
                <w:sz w:val="24"/>
              </w:rPr>
            </w:pPr>
            <w:r w:rsidRPr="00751196">
              <w:rPr>
                <w:sz w:val="24"/>
              </w:rPr>
              <w:t xml:space="preserve">Sales  </w:t>
            </w:r>
          </w:p>
        </w:tc>
        <w:tc>
          <w:tcPr>
            <w:tcW w:w="3593" w:type="dxa"/>
            <w:vMerge w:val="restart"/>
            <w:shd w:val="clear" w:color="auto" w:fill="auto"/>
          </w:tcPr>
          <w:p w:rsidR="00A43C03" w:rsidRPr="00751196" w:rsidRDefault="00A43C03" w:rsidP="00751196">
            <w:pPr>
              <w:pStyle w:val="EBBullet"/>
              <w:keepNext/>
              <w:numPr>
                <w:ilvl w:val="0"/>
                <w:numId w:val="0"/>
              </w:numPr>
              <w:tabs>
                <w:tab w:val="left" w:pos="720"/>
              </w:tabs>
              <w:rPr>
                <w:sz w:val="24"/>
              </w:rPr>
            </w:pPr>
            <w:r w:rsidRPr="00751196">
              <w:rPr>
                <w:sz w:val="24"/>
              </w:rPr>
              <w:t>LOW - Sales categories from Prodcom or ONS are in residual product categories, therefore estimating the average cost per unit and m2 of fabric used in a residual category is likely to be inaccurate given the diversity of products included.</w:t>
            </w:r>
          </w:p>
        </w:tc>
        <w:tc>
          <w:tcPr>
            <w:tcW w:w="1493" w:type="dxa"/>
            <w:vMerge w:val="restart"/>
            <w:shd w:val="clear" w:color="auto" w:fill="auto"/>
          </w:tcPr>
          <w:p w:rsidR="00A43C03" w:rsidRPr="00751196" w:rsidRDefault="00A43C03" w:rsidP="00751196">
            <w:pPr>
              <w:pStyle w:val="EBBullet"/>
              <w:keepNext/>
              <w:numPr>
                <w:ilvl w:val="0"/>
                <w:numId w:val="0"/>
              </w:numPr>
              <w:tabs>
                <w:tab w:val="left" w:pos="720"/>
              </w:tabs>
              <w:rPr>
                <w:sz w:val="24"/>
              </w:rPr>
            </w:pPr>
            <w:r w:rsidRPr="00751196">
              <w:rPr>
                <w:sz w:val="24"/>
              </w:rPr>
              <w:t>FIRA</w:t>
            </w:r>
          </w:p>
        </w:tc>
      </w:tr>
      <w:tr w:rsidR="00A43C03" w:rsidTr="00751196">
        <w:trPr>
          <w:trHeight w:val="304"/>
        </w:trPr>
        <w:tc>
          <w:tcPr>
            <w:tcW w:w="2541" w:type="dxa"/>
            <w:vMerge/>
            <w:shd w:val="clear" w:color="auto" w:fill="auto"/>
          </w:tcPr>
          <w:p w:rsidR="00A43C03" w:rsidRPr="00751196" w:rsidRDefault="00A43C03" w:rsidP="00751196">
            <w:pPr>
              <w:pStyle w:val="EBBullet"/>
              <w:keepNext/>
              <w:numPr>
                <w:ilvl w:val="0"/>
                <w:numId w:val="0"/>
              </w:numPr>
              <w:tabs>
                <w:tab w:val="left" w:pos="720"/>
              </w:tabs>
              <w:rPr>
                <w:sz w:val="24"/>
              </w:rPr>
            </w:pPr>
          </w:p>
        </w:tc>
        <w:tc>
          <w:tcPr>
            <w:tcW w:w="2794" w:type="dxa"/>
            <w:shd w:val="clear" w:color="auto" w:fill="auto"/>
          </w:tcPr>
          <w:p w:rsidR="00A43C03" w:rsidRPr="00751196" w:rsidRDefault="00A43C03" w:rsidP="00751196">
            <w:pPr>
              <w:pStyle w:val="EBBullet"/>
              <w:keepNext/>
              <w:numPr>
                <w:ilvl w:val="0"/>
                <w:numId w:val="0"/>
              </w:numPr>
              <w:tabs>
                <w:tab w:val="left" w:pos="720"/>
              </w:tabs>
              <w:rPr>
                <w:sz w:val="24"/>
              </w:rPr>
            </w:pPr>
            <w:r w:rsidRPr="00751196">
              <w:rPr>
                <w:sz w:val="24"/>
              </w:rPr>
              <w:t>/Average cost of unit sold</w:t>
            </w:r>
          </w:p>
        </w:tc>
        <w:tc>
          <w:tcPr>
            <w:tcW w:w="3593" w:type="dxa"/>
            <w:vMerge/>
            <w:shd w:val="clear" w:color="auto" w:fill="auto"/>
          </w:tcPr>
          <w:p w:rsidR="00A43C03" w:rsidRPr="00751196" w:rsidRDefault="00A43C03" w:rsidP="00751196">
            <w:pPr>
              <w:pStyle w:val="EBBullet"/>
              <w:keepNext/>
              <w:numPr>
                <w:ilvl w:val="0"/>
                <w:numId w:val="0"/>
              </w:numPr>
              <w:tabs>
                <w:tab w:val="left" w:pos="720"/>
              </w:tabs>
              <w:rPr>
                <w:sz w:val="24"/>
              </w:rPr>
            </w:pPr>
          </w:p>
        </w:tc>
        <w:tc>
          <w:tcPr>
            <w:tcW w:w="1493" w:type="dxa"/>
            <w:vMerge/>
            <w:shd w:val="clear" w:color="auto" w:fill="auto"/>
          </w:tcPr>
          <w:p w:rsidR="00A43C03" w:rsidRPr="00751196" w:rsidRDefault="00A43C03" w:rsidP="00751196">
            <w:pPr>
              <w:pStyle w:val="EBBullet"/>
              <w:keepNext/>
              <w:numPr>
                <w:ilvl w:val="0"/>
                <w:numId w:val="0"/>
              </w:numPr>
              <w:tabs>
                <w:tab w:val="left" w:pos="720"/>
              </w:tabs>
              <w:rPr>
                <w:sz w:val="24"/>
              </w:rPr>
            </w:pPr>
          </w:p>
        </w:tc>
      </w:tr>
      <w:tr w:rsidR="00A43C03" w:rsidTr="00751196">
        <w:trPr>
          <w:trHeight w:val="304"/>
        </w:trPr>
        <w:tc>
          <w:tcPr>
            <w:tcW w:w="2541" w:type="dxa"/>
            <w:vMerge/>
            <w:shd w:val="clear" w:color="auto" w:fill="auto"/>
          </w:tcPr>
          <w:p w:rsidR="00A43C03" w:rsidRPr="00751196" w:rsidRDefault="00A43C03" w:rsidP="00751196">
            <w:pPr>
              <w:pStyle w:val="EBBullet"/>
              <w:keepNext/>
              <w:numPr>
                <w:ilvl w:val="0"/>
                <w:numId w:val="0"/>
              </w:numPr>
              <w:tabs>
                <w:tab w:val="left" w:pos="720"/>
              </w:tabs>
              <w:rPr>
                <w:sz w:val="24"/>
              </w:rPr>
            </w:pPr>
          </w:p>
        </w:tc>
        <w:tc>
          <w:tcPr>
            <w:tcW w:w="2794" w:type="dxa"/>
            <w:shd w:val="clear" w:color="auto" w:fill="auto"/>
          </w:tcPr>
          <w:p w:rsidR="00A43C03" w:rsidRPr="00751196" w:rsidRDefault="00A43C03" w:rsidP="00751196">
            <w:pPr>
              <w:pStyle w:val="EBBullet"/>
              <w:keepNext/>
              <w:numPr>
                <w:ilvl w:val="0"/>
                <w:numId w:val="0"/>
              </w:numPr>
              <w:tabs>
                <w:tab w:val="left" w:pos="720"/>
              </w:tabs>
              <w:rPr>
                <w:sz w:val="24"/>
              </w:rPr>
            </w:pPr>
            <w:r w:rsidRPr="00751196">
              <w:rPr>
                <w:sz w:val="24"/>
              </w:rPr>
              <w:t>x average metres of fabric used</w:t>
            </w:r>
          </w:p>
        </w:tc>
        <w:tc>
          <w:tcPr>
            <w:tcW w:w="3593" w:type="dxa"/>
            <w:vMerge/>
            <w:shd w:val="clear" w:color="auto" w:fill="auto"/>
          </w:tcPr>
          <w:p w:rsidR="00A43C03" w:rsidRPr="00751196" w:rsidRDefault="00A43C03" w:rsidP="00751196">
            <w:pPr>
              <w:pStyle w:val="EBBullet"/>
              <w:keepNext/>
              <w:numPr>
                <w:ilvl w:val="0"/>
                <w:numId w:val="0"/>
              </w:numPr>
              <w:tabs>
                <w:tab w:val="left" w:pos="720"/>
              </w:tabs>
              <w:rPr>
                <w:sz w:val="24"/>
              </w:rPr>
            </w:pPr>
          </w:p>
        </w:tc>
        <w:tc>
          <w:tcPr>
            <w:tcW w:w="1493" w:type="dxa"/>
            <w:vMerge/>
            <w:shd w:val="clear" w:color="auto" w:fill="auto"/>
          </w:tcPr>
          <w:p w:rsidR="00A43C03" w:rsidRPr="00751196" w:rsidRDefault="00A43C03" w:rsidP="00751196">
            <w:pPr>
              <w:pStyle w:val="EBBullet"/>
              <w:keepNext/>
              <w:numPr>
                <w:ilvl w:val="0"/>
                <w:numId w:val="0"/>
              </w:numPr>
              <w:tabs>
                <w:tab w:val="left" w:pos="720"/>
              </w:tabs>
              <w:rPr>
                <w:sz w:val="24"/>
              </w:rPr>
            </w:pPr>
          </w:p>
        </w:tc>
      </w:tr>
      <w:tr w:rsidR="00A43C03" w:rsidTr="00751196">
        <w:trPr>
          <w:trHeight w:val="304"/>
        </w:trPr>
        <w:tc>
          <w:tcPr>
            <w:tcW w:w="2541" w:type="dxa"/>
            <w:vMerge/>
            <w:shd w:val="clear" w:color="auto" w:fill="auto"/>
          </w:tcPr>
          <w:p w:rsidR="00A43C03" w:rsidRPr="00751196" w:rsidRDefault="00A43C03" w:rsidP="00751196">
            <w:pPr>
              <w:pStyle w:val="EBBullet"/>
              <w:keepNext/>
              <w:numPr>
                <w:ilvl w:val="0"/>
                <w:numId w:val="0"/>
              </w:numPr>
              <w:tabs>
                <w:tab w:val="left" w:pos="720"/>
              </w:tabs>
              <w:rPr>
                <w:sz w:val="24"/>
              </w:rPr>
            </w:pPr>
          </w:p>
        </w:tc>
        <w:tc>
          <w:tcPr>
            <w:tcW w:w="2794" w:type="dxa"/>
            <w:shd w:val="clear" w:color="auto" w:fill="auto"/>
          </w:tcPr>
          <w:p w:rsidR="00A43C03" w:rsidRPr="00751196" w:rsidRDefault="00A43C03" w:rsidP="00751196">
            <w:pPr>
              <w:pStyle w:val="EBBullet"/>
              <w:keepNext/>
              <w:numPr>
                <w:ilvl w:val="0"/>
                <w:numId w:val="0"/>
              </w:numPr>
              <w:tabs>
                <w:tab w:val="left" w:pos="720"/>
              </w:tabs>
              <w:rPr>
                <w:sz w:val="24"/>
              </w:rPr>
            </w:pPr>
            <w:r w:rsidRPr="00751196">
              <w:rPr>
                <w:sz w:val="24"/>
              </w:rPr>
              <w:t>= metres of treated fabric</w:t>
            </w:r>
          </w:p>
        </w:tc>
        <w:tc>
          <w:tcPr>
            <w:tcW w:w="3593" w:type="dxa"/>
            <w:vMerge/>
            <w:shd w:val="clear" w:color="auto" w:fill="auto"/>
          </w:tcPr>
          <w:p w:rsidR="00A43C03" w:rsidRPr="00751196" w:rsidRDefault="00A43C03" w:rsidP="00751196">
            <w:pPr>
              <w:pStyle w:val="EBBullet"/>
              <w:keepNext/>
              <w:numPr>
                <w:ilvl w:val="0"/>
                <w:numId w:val="0"/>
              </w:numPr>
              <w:tabs>
                <w:tab w:val="left" w:pos="720"/>
              </w:tabs>
              <w:rPr>
                <w:sz w:val="24"/>
              </w:rPr>
            </w:pPr>
          </w:p>
        </w:tc>
        <w:tc>
          <w:tcPr>
            <w:tcW w:w="1493" w:type="dxa"/>
            <w:vMerge/>
            <w:shd w:val="clear" w:color="auto" w:fill="auto"/>
          </w:tcPr>
          <w:p w:rsidR="00A43C03" w:rsidRPr="00751196" w:rsidRDefault="00A43C03" w:rsidP="00751196">
            <w:pPr>
              <w:pStyle w:val="EBBullet"/>
              <w:keepNext/>
              <w:numPr>
                <w:ilvl w:val="0"/>
                <w:numId w:val="0"/>
              </w:numPr>
              <w:tabs>
                <w:tab w:val="left" w:pos="720"/>
              </w:tabs>
              <w:rPr>
                <w:sz w:val="24"/>
              </w:rPr>
            </w:pPr>
          </w:p>
        </w:tc>
      </w:tr>
      <w:tr w:rsidR="00A43C03" w:rsidRPr="00751196" w:rsidTr="00751196">
        <w:trPr>
          <w:trHeight w:val="159"/>
        </w:trPr>
        <w:tc>
          <w:tcPr>
            <w:tcW w:w="2541" w:type="dxa"/>
            <w:vMerge w:val="restart"/>
            <w:shd w:val="clear" w:color="auto" w:fill="auto"/>
          </w:tcPr>
          <w:p w:rsidR="00A43C03" w:rsidRPr="00751196" w:rsidRDefault="00A43C03" w:rsidP="00751196">
            <w:pPr>
              <w:pStyle w:val="EBBullet"/>
              <w:keepNext/>
              <w:numPr>
                <w:ilvl w:val="0"/>
                <w:numId w:val="0"/>
              </w:numPr>
              <w:tabs>
                <w:tab w:val="left" w:pos="720"/>
              </w:tabs>
              <w:rPr>
                <w:sz w:val="24"/>
              </w:rPr>
            </w:pPr>
            <w:r w:rsidRPr="00751196">
              <w:rPr>
                <w:sz w:val="24"/>
              </w:rPr>
              <w:t>(2) Household demand (bottom up)</w:t>
            </w:r>
          </w:p>
        </w:tc>
        <w:tc>
          <w:tcPr>
            <w:tcW w:w="2794" w:type="dxa"/>
            <w:shd w:val="clear" w:color="auto" w:fill="auto"/>
          </w:tcPr>
          <w:p w:rsidR="00A43C03" w:rsidRPr="00751196" w:rsidRDefault="00A43C03" w:rsidP="00751196">
            <w:pPr>
              <w:pStyle w:val="EBBullet"/>
              <w:keepNext/>
              <w:numPr>
                <w:ilvl w:val="0"/>
                <w:numId w:val="0"/>
              </w:numPr>
              <w:tabs>
                <w:tab w:val="left" w:pos="720"/>
              </w:tabs>
              <w:rPr>
                <w:sz w:val="24"/>
              </w:rPr>
            </w:pPr>
            <w:r w:rsidRPr="00751196">
              <w:rPr>
                <w:sz w:val="24"/>
              </w:rPr>
              <w:t xml:space="preserve">metres of treated fabric in average household  </w:t>
            </w:r>
          </w:p>
        </w:tc>
        <w:tc>
          <w:tcPr>
            <w:tcW w:w="3593" w:type="dxa"/>
            <w:vMerge w:val="restart"/>
            <w:shd w:val="clear" w:color="auto" w:fill="auto"/>
          </w:tcPr>
          <w:p w:rsidR="00A43C03" w:rsidRPr="00751196" w:rsidRDefault="00A43C03" w:rsidP="00751196">
            <w:pPr>
              <w:pStyle w:val="EBBullet"/>
              <w:keepNext/>
              <w:numPr>
                <w:ilvl w:val="0"/>
                <w:numId w:val="0"/>
              </w:numPr>
              <w:tabs>
                <w:tab w:val="left" w:pos="720"/>
              </w:tabs>
              <w:rPr>
                <w:sz w:val="24"/>
              </w:rPr>
            </w:pPr>
            <w:r w:rsidRPr="00751196">
              <w:rPr>
                <w:sz w:val="24"/>
              </w:rPr>
              <w:t>LOW/MED – The major uncertainties are on the amount of treated fabric in the average UK home and the average replacement rate. Therefore, likely to generate a large range.</w:t>
            </w:r>
          </w:p>
        </w:tc>
        <w:tc>
          <w:tcPr>
            <w:tcW w:w="1493" w:type="dxa"/>
            <w:vMerge w:val="restart"/>
            <w:shd w:val="clear" w:color="auto" w:fill="auto"/>
          </w:tcPr>
          <w:p w:rsidR="00A43C03" w:rsidRPr="00751196" w:rsidRDefault="00A43C03" w:rsidP="00751196">
            <w:pPr>
              <w:pStyle w:val="EBBullet"/>
              <w:keepNext/>
              <w:numPr>
                <w:ilvl w:val="0"/>
                <w:numId w:val="0"/>
              </w:numPr>
              <w:tabs>
                <w:tab w:val="left" w:pos="720"/>
              </w:tabs>
              <w:rPr>
                <w:sz w:val="24"/>
              </w:rPr>
            </w:pPr>
            <w:r w:rsidRPr="00751196">
              <w:rPr>
                <w:sz w:val="24"/>
              </w:rPr>
              <w:t>BIS</w:t>
            </w:r>
          </w:p>
        </w:tc>
      </w:tr>
      <w:tr w:rsidR="00A43C03" w:rsidTr="00751196">
        <w:trPr>
          <w:trHeight w:val="159"/>
        </w:trPr>
        <w:tc>
          <w:tcPr>
            <w:tcW w:w="2541" w:type="dxa"/>
            <w:vMerge/>
            <w:shd w:val="clear" w:color="auto" w:fill="auto"/>
          </w:tcPr>
          <w:p w:rsidR="00A43C03" w:rsidRPr="00751196" w:rsidRDefault="00A43C03" w:rsidP="00751196">
            <w:pPr>
              <w:pStyle w:val="EBBullet"/>
              <w:keepNext/>
              <w:numPr>
                <w:ilvl w:val="0"/>
                <w:numId w:val="0"/>
              </w:numPr>
              <w:tabs>
                <w:tab w:val="left" w:pos="720"/>
              </w:tabs>
              <w:rPr>
                <w:sz w:val="24"/>
              </w:rPr>
            </w:pPr>
          </w:p>
        </w:tc>
        <w:tc>
          <w:tcPr>
            <w:tcW w:w="2794" w:type="dxa"/>
            <w:shd w:val="clear" w:color="auto" w:fill="auto"/>
          </w:tcPr>
          <w:p w:rsidR="00A43C03" w:rsidRPr="00751196" w:rsidRDefault="00A43C03" w:rsidP="00751196">
            <w:pPr>
              <w:pStyle w:val="EBBullet"/>
              <w:keepNext/>
              <w:numPr>
                <w:ilvl w:val="0"/>
                <w:numId w:val="0"/>
              </w:numPr>
              <w:tabs>
                <w:tab w:val="left" w:pos="720"/>
              </w:tabs>
              <w:rPr>
                <w:sz w:val="24"/>
              </w:rPr>
            </w:pPr>
            <w:r w:rsidRPr="00751196">
              <w:rPr>
                <w:sz w:val="24"/>
              </w:rPr>
              <w:t>x no. of households</w:t>
            </w:r>
          </w:p>
        </w:tc>
        <w:tc>
          <w:tcPr>
            <w:tcW w:w="3593" w:type="dxa"/>
            <w:vMerge/>
            <w:shd w:val="clear" w:color="auto" w:fill="auto"/>
          </w:tcPr>
          <w:p w:rsidR="00A43C03" w:rsidRPr="00751196" w:rsidRDefault="00A43C03" w:rsidP="00751196">
            <w:pPr>
              <w:pStyle w:val="EBBullet"/>
              <w:keepNext/>
              <w:numPr>
                <w:ilvl w:val="0"/>
                <w:numId w:val="0"/>
              </w:numPr>
              <w:tabs>
                <w:tab w:val="left" w:pos="720"/>
              </w:tabs>
              <w:rPr>
                <w:sz w:val="24"/>
              </w:rPr>
            </w:pPr>
          </w:p>
        </w:tc>
        <w:tc>
          <w:tcPr>
            <w:tcW w:w="1493" w:type="dxa"/>
            <w:vMerge/>
            <w:shd w:val="clear" w:color="auto" w:fill="auto"/>
          </w:tcPr>
          <w:p w:rsidR="00A43C03" w:rsidRPr="00751196" w:rsidRDefault="00A43C03" w:rsidP="00751196">
            <w:pPr>
              <w:pStyle w:val="EBBullet"/>
              <w:keepNext/>
              <w:numPr>
                <w:ilvl w:val="0"/>
                <w:numId w:val="0"/>
              </w:numPr>
              <w:tabs>
                <w:tab w:val="left" w:pos="720"/>
              </w:tabs>
              <w:rPr>
                <w:sz w:val="24"/>
              </w:rPr>
            </w:pPr>
          </w:p>
        </w:tc>
      </w:tr>
      <w:tr w:rsidR="00A43C03" w:rsidTr="00751196">
        <w:trPr>
          <w:trHeight w:val="159"/>
        </w:trPr>
        <w:tc>
          <w:tcPr>
            <w:tcW w:w="2541" w:type="dxa"/>
            <w:vMerge/>
            <w:shd w:val="clear" w:color="auto" w:fill="auto"/>
          </w:tcPr>
          <w:p w:rsidR="00A43C03" w:rsidRPr="00751196" w:rsidRDefault="00A43C03" w:rsidP="00751196">
            <w:pPr>
              <w:pStyle w:val="EBBullet"/>
              <w:keepNext/>
              <w:numPr>
                <w:ilvl w:val="0"/>
                <w:numId w:val="0"/>
              </w:numPr>
              <w:tabs>
                <w:tab w:val="left" w:pos="720"/>
              </w:tabs>
              <w:rPr>
                <w:sz w:val="24"/>
              </w:rPr>
            </w:pPr>
          </w:p>
        </w:tc>
        <w:tc>
          <w:tcPr>
            <w:tcW w:w="2794" w:type="dxa"/>
            <w:shd w:val="clear" w:color="auto" w:fill="auto"/>
          </w:tcPr>
          <w:p w:rsidR="00A43C03" w:rsidRPr="00751196" w:rsidRDefault="00A43C03" w:rsidP="00751196">
            <w:pPr>
              <w:pStyle w:val="EBBullet"/>
              <w:keepNext/>
              <w:numPr>
                <w:ilvl w:val="0"/>
                <w:numId w:val="0"/>
              </w:numPr>
              <w:tabs>
                <w:tab w:val="left" w:pos="720"/>
              </w:tabs>
              <w:rPr>
                <w:sz w:val="24"/>
              </w:rPr>
            </w:pPr>
            <w:r w:rsidRPr="00751196">
              <w:rPr>
                <w:sz w:val="24"/>
              </w:rPr>
              <w:t>/ average annual replacement rate</w:t>
            </w:r>
          </w:p>
        </w:tc>
        <w:tc>
          <w:tcPr>
            <w:tcW w:w="3593" w:type="dxa"/>
            <w:vMerge/>
            <w:shd w:val="clear" w:color="auto" w:fill="auto"/>
          </w:tcPr>
          <w:p w:rsidR="00A43C03" w:rsidRPr="00751196" w:rsidRDefault="00A43C03" w:rsidP="00751196">
            <w:pPr>
              <w:pStyle w:val="EBBullet"/>
              <w:keepNext/>
              <w:numPr>
                <w:ilvl w:val="0"/>
                <w:numId w:val="0"/>
              </w:numPr>
              <w:tabs>
                <w:tab w:val="left" w:pos="720"/>
              </w:tabs>
              <w:rPr>
                <w:sz w:val="24"/>
              </w:rPr>
            </w:pPr>
          </w:p>
        </w:tc>
        <w:tc>
          <w:tcPr>
            <w:tcW w:w="1493" w:type="dxa"/>
            <w:vMerge/>
            <w:shd w:val="clear" w:color="auto" w:fill="auto"/>
          </w:tcPr>
          <w:p w:rsidR="00A43C03" w:rsidRPr="00751196" w:rsidRDefault="00A43C03" w:rsidP="00751196">
            <w:pPr>
              <w:pStyle w:val="EBBullet"/>
              <w:keepNext/>
              <w:numPr>
                <w:ilvl w:val="0"/>
                <w:numId w:val="0"/>
              </w:numPr>
              <w:tabs>
                <w:tab w:val="left" w:pos="720"/>
              </w:tabs>
              <w:rPr>
                <w:sz w:val="24"/>
              </w:rPr>
            </w:pPr>
          </w:p>
        </w:tc>
      </w:tr>
      <w:tr w:rsidR="00A43C03" w:rsidTr="00751196">
        <w:trPr>
          <w:trHeight w:val="159"/>
        </w:trPr>
        <w:tc>
          <w:tcPr>
            <w:tcW w:w="2541" w:type="dxa"/>
            <w:vMerge/>
            <w:shd w:val="clear" w:color="auto" w:fill="auto"/>
          </w:tcPr>
          <w:p w:rsidR="00A43C03" w:rsidRPr="00751196" w:rsidRDefault="00A43C03" w:rsidP="00751196">
            <w:pPr>
              <w:pStyle w:val="EBBullet"/>
              <w:keepNext/>
              <w:numPr>
                <w:ilvl w:val="0"/>
                <w:numId w:val="0"/>
              </w:numPr>
              <w:tabs>
                <w:tab w:val="left" w:pos="720"/>
              </w:tabs>
              <w:rPr>
                <w:sz w:val="24"/>
              </w:rPr>
            </w:pPr>
          </w:p>
        </w:tc>
        <w:tc>
          <w:tcPr>
            <w:tcW w:w="2794" w:type="dxa"/>
            <w:shd w:val="clear" w:color="auto" w:fill="auto"/>
          </w:tcPr>
          <w:p w:rsidR="00A43C03" w:rsidRPr="00751196" w:rsidRDefault="00A43C03" w:rsidP="00751196">
            <w:pPr>
              <w:pStyle w:val="EBBullet"/>
              <w:keepNext/>
              <w:numPr>
                <w:ilvl w:val="0"/>
                <w:numId w:val="0"/>
              </w:numPr>
              <w:tabs>
                <w:tab w:val="left" w:pos="720"/>
              </w:tabs>
              <w:rPr>
                <w:sz w:val="24"/>
              </w:rPr>
            </w:pPr>
            <w:r w:rsidRPr="00751196">
              <w:rPr>
                <w:sz w:val="24"/>
              </w:rPr>
              <w:t>x UK manuf. share of domestic market</w:t>
            </w:r>
          </w:p>
        </w:tc>
        <w:tc>
          <w:tcPr>
            <w:tcW w:w="3593" w:type="dxa"/>
            <w:vMerge/>
            <w:shd w:val="clear" w:color="auto" w:fill="auto"/>
          </w:tcPr>
          <w:p w:rsidR="00A43C03" w:rsidRPr="00751196" w:rsidRDefault="00A43C03" w:rsidP="00751196">
            <w:pPr>
              <w:pStyle w:val="EBBullet"/>
              <w:keepNext/>
              <w:numPr>
                <w:ilvl w:val="0"/>
                <w:numId w:val="0"/>
              </w:numPr>
              <w:tabs>
                <w:tab w:val="left" w:pos="720"/>
              </w:tabs>
              <w:rPr>
                <w:sz w:val="24"/>
              </w:rPr>
            </w:pPr>
          </w:p>
        </w:tc>
        <w:tc>
          <w:tcPr>
            <w:tcW w:w="1493" w:type="dxa"/>
            <w:vMerge/>
            <w:shd w:val="clear" w:color="auto" w:fill="auto"/>
          </w:tcPr>
          <w:p w:rsidR="00A43C03" w:rsidRPr="00751196" w:rsidRDefault="00A43C03" w:rsidP="00751196">
            <w:pPr>
              <w:pStyle w:val="EBBullet"/>
              <w:keepNext/>
              <w:numPr>
                <w:ilvl w:val="0"/>
                <w:numId w:val="0"/>
              </w:numPr>
              <w:tabs>
                <w:tab w:val="left" w:pos="720"/>
              </w:tabs>
              <w:rPr>
                <w:sz w:val="24"/>
              </w:rPr>
            </w:pPr>
          </w:p>
        </w:tc>
      </w:tr>
      <w:tr w:rsidR="00A43C03" w:rsidTr="00751196">
        <w:trPr>
          <w:trHeight w:val="159"/>
        </w:trPr>
        <w:tc>
          <w:tcPr>
            <w:tcW w:w="2541" w:type="dxa"/>
            <w:vMerge/>
            <w:shd w:val="clear" w:color="auto" w:fill="auto"/>
          </w:tcPr>
          <w:p w:rsidR="00A43C03" w:rsidRPr="00751196" w:rsidRDefault="00A43C03" w:rsidP="00751196">
            <w:pPr>
              <w:pStyle w:val="EBBullet"/>
              <w:keepNext/>
              <w:numPr>
                <w:ilvl w:val="0"/>
                <w:numId w:val="0"/>
              </w:numPr>
              <w:tabs>
                <w:tab w:val="left" w:pos="720"/>
              </w:tabs>
              <w:rPr>
                <w:sz w:val="24"/>
              </w:rPr>
            </w:pPr>
          </w:p>
        </w:tc>
        <w:tc>
          <w:tcPr>
            <w:tcW w:w="2794" w:type="dxa"/>
            <w:shd w:val="clear" w:color="auto" w:fill="auto"/>
          </w:tcPr>
          <w:p w:rsidR="00A43C03" w:rsidRPr="00751196" w:rsidRDefault="00A43C03" w:rsidP="00751196">
            <w:pPr>
              <w:pStyle w:val="EBBullet"/>
              <w:keepNext/>
              <w:numPr>
                <w:ilvl w:val="0"/>
                <w:numId w:val="0"/>
              </w:numPr>
              <w:tabs>
                <w:tab w:val="left" w:pos="720"/>
              </w:tabs>
              <w:rPr>
                <w:sz w:val="24"/>
              </w:rPr>
            </w:pPr>
            <w:r w:rsidRPr="00751196">
              <w:rPr>
                <w:sz w:val="24"/>
              </w:rPr>
              <w:t>= metres of treated fabric</w:t>
            </w:r>
          </w:p>
        </w:tc>
        <w:tc>
          <w:tcPr>
            <w:tcW w:w="3593" w:type="dxa"/>
            <w:vMerge/>
            <w:shd w:val="clear" w:color="auto" w:fill="auto"/>
          </w:tcPr>
          <w:p w:rsidR="00A43C03" w:rsidRPr="00751196" w:rsidRDefault="00A43C03" w:rsidP="00751196">
            <w:pPr>
              <w:pStyle w:val="EBBullet"/>
              <w:keepNext/>
              <w:numPr>
                <w:ilvl w:val="0"/>
                <w:numId w:val="0"/>
              </w:numPr>
              <w:tabs>
                <w:tab w:val="left" w:pos="720"/>
              </w:tabs>
              <w:rPr>
                <w:sz w:val="24"/>
              </w:rPr>
            </w:pPr>
          </w:p>
        </w:tc>
        <w:tc>
          <w:tcPr>
            <w:tcW w:w="1493" w:type="dxa"/>
            <w:vMerge/>
            <w:shd w:val="clear" w:color="auto" w:fill="auto"/>
          </w:tcPr>
          <w:p w:rsidR="00A43C03" w:rsidRPr="00751196" w:rsidRDefault="00A43C03" w:rsidP="00751196">
            <w:pPr>
              <w:pStyle w:val="EBBullet"/>
              <w:keepNext/>
              <w:numPr>
                <w:ilvl w:val="0"/>
                <w:numId w:val="0"/>
              </w:numPr>
              <w:tabs>
                <w:tab w:val="left" w:pos="720"/>
              </w:tabs>
              <w:rPr>
                <w:sz w:val="24"/>
              </w:rPr>
            </w:pPr>
          </w:p>
        </w:tc>
      </w:tr>
      <w:tr w:rsidR="00A43C03" w:rsidRPr="00751196" w:rsidTr="00751196">
        <w:trPr>
          <w:trHeight w:val="225"/>
        </w:trPr>
        <w:tc>
          <w:tcPr>
            <w:tcW w:w="2541" w:type="dxa"/>
            <w:vMerge w:val="restart"/>
            <w:shd w:val="clear" w:color="auto" w:fill="auto"/>
          </w:tcPr>
          <w:p w:rsidR="00A43C03" w:rsidRPr="00751196" w:rsidRDefault="00A43C03" w:rsidP="00751196">
            <w:pPr>
              <w:pStyle w:val="EBBullet"/>
              <w:keepNext/>
              <w:numPr>
                <w:ilvl w:val="0"/>
                <w:numId w:val="0"/>
              </w:numPr>
              <w:tabs>
                <w:tab w:val="left" w:pos="720"/>
              </w:tabs>
              <w:rPr>
                <w:sz w:val="24"/>
              </w:rPr>
            </w:pPr>
            <w:r w:rsidRPr="00751196">
              <w:rPr>
                <w:sz w:val="24"/>
              </w:rPr>
              <w:t>(3) Company cost estimates up-rated</w:t>
            </w:r>
          </w:p>
        </w:tc>
        <w:tc>
          <w:tcPr>
            <w:tcW w:w="2794" w:type="dxa"/>
            <w:shd w:val="clear" w:color="auto" w:fill="auto"/>
          </w:tcPr>
          <w:p w:rsidR="00A43C03" w:rsidRPr="00751196" w:rsidRDefault="00A43C03" w:rsidP="00751196">
            <w:pPr>
              <w:pStyle w:val="EBBullet"/>
              <w:keepNext/>
              <w:numPr>
                <w:ilvl w:val="0"/>
                <w:numId w:val="0"/>
              </w:numPr>
              <w:tabs>
                <w:tab w:val="left" w:pos="720"/>
              </w:tabs>
              <w:rPr>
                <w:sz w:val="24"/>
              </w:rPr>
            </w:pPr>
            <w:r w:rsidRPr="00751196">
              <w:rPr>
                <w:sz w:val="24"/>
              </w:rPr>
              <w:t xml:space="preserve">Cost of treating fabric </w:t>
            </w:r>
          </w:p>
        </w:tc>
        <w:tc>
          <w:tcPr>
            <w:tcW w:w="3593" w:type="dxa"/>
            <w:vMerge w:val="restart"/>
            <w:shd w:val="clear" w:color="auto" w:fill="auto"/>
          </w:tcPr>
          <w:p w:rsidR="00A43C03" w:rsidRPr="00751196" w:rsidRDefault="00A43C03" w:rsidP="00751196">
            <w:pPr>
              <w:pStyle w:val="EBBullet"/>
              <w:keepNext/>
              <w:numPr>
                <w:ilvl w:val="0"/>
                <w:numId w:val="0"/>
              </w:numPr>
              <w:tabs>
                <w:tab w:val="left" w:pos="720"/>
              </w:tabs>
              <w:rPr>
                <w:sz w:val="24"/>
              </w:rPr>
            </w:pPr>
            <w:r w:rsidRPr="00751196">
              <w:rPr>
                <w:sz w:val="24"/>
              </w:rPr>
              <w:t>MED/HIGH – Company data on treatment costs is the most direct way to estimate cost savings. Robustness will improve with an increase in the market share covered by company provided data</w:t>
            </w:r>
          </w:p>
        </w:tc>
        <w:tc>
          <w:tcPr>
            <w:tcW w:w="1493" w:type="dxa"/>
            <w:vMerge w:val="restart"/>
            <w:shd w:val="clear" w:color="auto" w:fill="auto"/>
          </w:tcPr>
          <w:p w:rsidR="00A43C03" w:rsidRPr="00751196" w:rsidRDefault="00A43C03" w:rsidP="00751196">
            <w:pPr>
              <w:pStyle w:val="EBBullet"/>
              <w:keepNext/>
              <w:numPr>
                <w:ilvl w:val="0"/>
                <w:numId w:val="0"/>
              </w:numPr>
              <w:tabs>
                <w:tab w:val="left" w:pos="720"/>
              </w:tabs>
              <w:rPr>
                <w:sz w:val="24"/>
              </w:rPr>
            </w:pPr>
          </w:p>
        </w:tc>
      </w:tr>
      <w:tr w:rsidR="00A43C03" w:rsidTr="00751196">
        <w:trPr>
          <w:trHeight w:val="224"/>
        </w:trPr>
        <w:tc>
          <w:tcPr>
            <w:tcW w:w="2541" w:type="dxa"/>
            <w:vMerge/>
            <w:shd w:val="clear" w:color="auto" w:fill="auto"/>
          </w:tcPr>
          <w:p w:rsidR="00A43C03" w:rsidRPr="00751196" w:rsidRDefault="00A43C03" w:rsidP="00751196">
            <w:pPr>
              <w:pStyle w:val="EBBullet"/>
              <w:keepNext/>
              <w:numPr>
                <w:ilvl w:val="0"/>
                <w:numId w:val="0"/>
              </w:numPr>
              <w:tabs>
                <w:tab w:val="left" w:pos="720"/>
              </w:tabs>
              <w:rPr>
                <w:sz w:val="24"/>
              </w:rPr>
            </w:pPr>
          </w:p>
        </w:tc>
        <w:tc>
          <w:tcPr>
            <w:tcW w:w="2794" w:type="dxa"/>
            <w:shd w:val="clear" w:color="auto" w:fill="auto"/>
          </w:tcPr>
          <w:p w:rsidR="00A43C03" w:rsidRPr="00751196" w:rsidRDefault="00A43C03" w:rsidP="00751196">
            <w:pPr>
              <w:pStyle w:val="EBBullet"/>
              <w:keepNext/>
              <w:numPr>
                <w:ilvl w:val="0"/>
                <w:numId w:val="0"/>
              </w:numPr>
              <w:tabs>
                <w:tab w:val="left" w:pos="720"/>
              </w:tabs>
              <w:rPr>
                <w:sz w:val="24"/>
              </w:rPr>
            </w:pPr>
            <w:r w:rsidRPr="00751196">
              <w:rPr>
                <w:sz w:val="24"/>
              </w:rPr>
              <w:t>/ market share</w:t>
            </w:r>
          </w:p>
        </w:tc>
        <w:tc>
          <w:tcPr>
            <w:tcW w:w="3593" w:type="dxa"/>
            <w:vMerge/>
            <w:shd w:val="clear" w:color="auto" w:fill="auto"/>
          </w:tcPr>
          <w:p w:rsidR="00A43C03" w:rsidRPr="00751196" w:rsidRDefault="00A43C03" w:rsidP="00751196">
            <w:pPr>
              <w:pStyle w:val="EBBullet"/>
              <w:keepNext/>
              <w:numPr>
                <w:ilvl w:val="0"/>
                <w:numId w:val="0"/>
              </w:numPr>
              <w:tabs>
                <w:tab w:val="left" w:pos="720"/>
              </w:tabs>
              <w:rPr>
                <w:sz w:val="24"/>
              </w:rPr>
            </w:pPr>
          </w:p>
        </w:tc>
        <w:tc>
          <w:tcPr>
            <w:tcW w:w="1493" w:type="dxa"/>
            <w:vMerge/>
            <w:shd w:val="clear" w:color="auto" w:fill="auto"/>
          </w:tcPr>
          <w:p w:rsidR="00A43C03" w:rsidRPr="00751196" w:rsidRDefault="00A43C03" w:rsidP="00751196">
            <w:pPr>
              <w:pStyle w:val="EBBullet"/>
              <w:keepNext/>
              <w:numPr>
                <w:ilvl w:val="0"/>
                <w:numId w:val="0"/>
              </w:numPr>
              <w:tabs>
                <w:tab w:val="left" w:pos="720"/>
              </w:tabs>
              <w:rPr>
                <w:sz w:val="24"/>
              </w:rPr>
            </w:pPr>
          </w:p>
        </w:tc>
      </w:tr>
      <w:tr w:rsidR="00A43C03" w:rsidTr="00751196">
        <w:trPr>
          <w:trHeight w:val="224"/>
        </w:trPr>
        <w:tc>
          <w:tcPr>
            <w:tcW w:w="2541" w:type="dxa"/>
            <w:vMerge/>
            <w:shd w:val="clear" w:color="auto" w:fill="auto"/>
          </w:tcPr>
          <w:p w:rsidR="00A43C03" w:rsidRPr="00751196" w:rsidRDefault="00A43C03" w:rsidP="00751196">
            <w:pPr>
              <w:pStyle w:val="EBBullet"/>
              <w:keepNext/>
              <w:numPr>
                <w:ilvl w:val="0"/>
                <w:numId w:val="0"/>
              </w:numPr>
              <w:tabs>
                <w:tab w:val="left" w:pos="720"/>
              </w:tabs>
              <w:rPr>
                <w:sz w:val="24"/>
              </w:rPr>
            </w:pPr>
          </w:p>
        </w:tc>
        <w:tc>
          <w:tcPr>
            <w:tcW w:w="2794" w:type="dxa"/>
            <w:shd w:val="clear" w:color="auto" w:fill="auto"/>
          </w:tcPr>
          <w:p w:rsidR="00A43C03" w:rsidRPr="00751196" w:rsidRDefault="00A43C03" w:rsidP="00751196">
            <w:pPr>
              <w:pStyle w:val="EBBullet"/>
              <w:keepNext/>
              <w:numPr>
                <w:ilvl w:val="0"/>
                <w:numId w:val="0"/>
              </w:numPr>
              <w:tabs>
                <w:tab w:val="left" w:pos="720"/>
              </w:tabs>
              <w:rPr>
                <w:sz w:val="24"/>
              </w:rPr>
            </w:pPr>
            <w:r w:rsidRPr="00751196">
              <w:rPr>
                <w:sz w:val="24"/>
              </w:rPr>
              <w:t>= total cost of treating fabric</w:t>
            </w:r>
          </w:p>
        </w:tc>
        <w:tc>
          <w:tcPr>
            <w:tcW w:w="3593" w:type="dxa"/>
            <w:vMerge/>
            <w:shd w:val="clear" w:color="auto" w:fill="auto"/>
          </w:tcPr>
          <w:p w:rsidR="00A43C03" w:rsidRPr="00751196" w:rsidRDefault="00A43C03" w:rsidP="00751196">
            <w:pPr>
              <w:pStyle w:val="EBBullet"/>
              <w:keepNext/>
              <w:numPr>
                <w:ilvl w:val="0"/>
                <w:numId w:val="0"/>
              </w:numPr>
              <w:tabs>
                <w:tab w:val="left" w:pos="720"/>
              </w:tabs>
              <w:rPr>
                <w:sz w:val="24"/>
              </w:rPr>
            </w:pPr>
          </w:p>
        </w:tc>
        <w:tc>
          <w:tcPr>
            <w:tcW w:w="1493" w:type="dxa"/>
            <w:vMerge/>
            <w:shd w:val="clear" w:color="auto" w:fill="auto"/>
          </w:tcPr>
          <w:p w:rsidR="00A43C03" w:rsidRPr="00751196" w:rsidRDefault="00A43C03" w:rsidP="00751196">
            <w:pPr>
              <w:pStyle w:val="EBBullet"/>
              <w:keepNext/>
              <w:numPr>
                <w:ilvl w:val="0"/>
                <w:numId w:val="0"/>
              </w:numPr>
              <w:tabs>
                <w:tab w:val="left" w:pos="720"/>
              </w:tabs>
              <w:rPr>
                <w:sz w:val="24"/>
              </w:rPr>
            </w:pPr>
          </w:p>
        </w:tc>
      </w:tr>
      <w:tr w:rsidR="00A43C03" w:rsidRPr="00751196" w:rsidTr="00751196">
        <w:trPr>
          <w:trHeight w:val="225"/>
        </w:trPr>
        <w:tc>
          <w:tcPr>
            <w:tcW w:w="2541" w:type="dxa"/>
            <w:vMerge w:val="restart"/>
            <w:shd w:val="clear" w:color="auto" w:fill="auto"/>
          </w:tcPr>
          <w:p w:rsidR="00A43C03" w:rsidRPr="00751196" w:rsidRDefault="00A43C03" w:rsidP="00751196">
            <w:pPr>
              <w:pStyle w:val="EBBullet"/>
              <w:keepNext/>
              <w:numPr>
                <w:ilvl w:val="0"/>
                <w:numId w:val="0"/>
              </w:numPr>
              <w:tabs>
                <w:tab w:val="left" w:pos="720"/>
              </w:tabs>
              <w:rPr>
                <w:sz w:val="24"/>
              </w:rPr>
            </w:pPr>
            <w:r w:rsidRPr="00751196">
              <w:rPr>
                <w:sz w:val="24"/>
              </w:rPr>
              <w:t>(4) Company volume of fabric estimates up-rated</w:t>
            </w:r>
          </w:p>
        </w:tc>
        <w:tc>
          <w:tcPr>
            <w:tcW w:w="2794" w:type="dxa"/>
            <w:shd w:val="clear" w:color="auto" w:fill="auto"/>
          </w:tcPr>
          <w:p w:rsidR="00A43C03" w:rsidRPr="00751196" w:rsidRDefault="00A43C03" w:rsidP="00751196">
            <w:pPr>
              <w:pStyle w:val="EBBullet"/>
              <w:keepNext/>
              <w:numPr>
                <w:ilvl w:val="0"/>
                <w:numId w:val="0"/>
              </w:numPr>
              <w:tabs>
                <w:tab w:val="left" w:pos="720"/>
              </w:tabs>
              <w:rPr>
                <w:sz w:val="24"/>
              </w:rPr>
            </w:pPr>
            <w:r w:rsidRPr="00751196">
              <w:rPr>
                <w:sz w:val="24"/>
              </w:rPr>
              <w:t>Volume of fabric treated</w:t>
            </w:r>
          </w:p>
        </w:tc>
        <w:tc>
          <w:tcPr>
            <w:tcW w:w="3593" w:type="dxa"/>
            <w:vMerge w:val="restart"/>
            <w:shd w:val="clear" w:color="auto" w:fill="auto"/>
          </w:tcPr>
          <w:p w:rsidR="00A43C03" w:rsidRPr="00751196" w:rsidRDefault="00A43C03" w:rsidP="00751196">
            <w:pPr>
              <w:pStyle w:val="EBBullet"/>
              <w:keepNext/>
              <w:numPr>
                <w:ilvl w:val="0"/>
                <w:numId w:val="0"/>
              </w:numPr>
              <w:tabs>
                <w:tab w:val="left" w:pos="720"/>
              </w:tabs>
              <w:rPr>
                <w:sz w:val="24"/>
              </w:rPr>
            </w:pPr>
            <w:r w:rsidRPr="00751196">
              <w:rPr>
                <w:sz w:val="24"/>
              </w:rPr>
              <w:t xml:space="preserve">MED/HIGH - Company data on the volumes of treated fabric is a direct way to estimate the annual amount of treated fabric in the UK. Robustness will improve with an increase in the market share covered by </w:t>
            </w:r>
            <w:r w:rsidRPr="00751196">
              <w:rPr>
                <w:sz w:val="24"/>
              </w:rPr>
              <w:lastRenderedPageBreak/>
              <w:t>company provided data</w:t>
            </w:r>
          </w:p>
        </w:tc>
        <w:tc>
          <w:tcPr>
            <w:tcW w:w="1493" w:type="dxa"/>
            <w:vMerge w:val="restart"/>
            <w:shd w:val="clear" w:color="auto" w:fill="auto"/>
          </w:tcPr>
          <w:p w:rsidR="00A43C03" w:rsidRPr="00751196" w:rsidRDefault="00A43C03" w:rsidP="00751196">
            <w:pPr>
              <w:pStyle w:val="EBBullet"/>
              <w:keepNext/>
              <w:numPr>
                <w:ilvl w:val="0"/>
                <w:numId w:val="0"/>
              </w:numPr>
              <w:tabs>
                <w:tab w:val="left" w:pos="720"/>
              </w:tabs>
              <w:rPr>
                <w:sz w:val="24"/>
              </w:rPr>
            </w:pPr>
          </w:p>
        </w:tc>
      </w:tr>
      <w:tr w:rsidR="00A43C03" w:rsidTr="00751196">
        <w:trPr>
          <w:trHeight w:val="224"/>
        </w:trPr>
        <w:tc>
          <w:tcPr>
            <w:tcW w:w="2541" w:type="dxa"/>
            <w:vMerge/>
            <w:shd w:val="clear" w:color="auto" w:fill="auto"/>
          </w:tcPr>
          <w:p w:rsidR="00A43C03" w:rsidRPr="00751196" w:rsidRDefault="00A43C03" w:rsidP="00751196">
            <w:pPr>
              <w:pStyle w:val="EBBullet"/>
              <w:keepNext/>
              <w:numPr>
                <w:ilvl w:val="0"/>
                <w:numId w:val="0"/>
              </w:numPr>
              <w:tabs>
                <w:tab w:val="left" w:pos="720"/>
              </w:tabs>
              <w:rPr>
                <w:sz w:val="24"/>
              </w:rPr>
            </w:pPr>
            <w:bookmarkStart w:id="94" w:name="_Hlk377742157"/>
          </w:p>
        </w:tc>
        <w:tc>
          <w:tcPr>
            <w:tcW w:w="2794" w:type="dxa"/>
            <w:shd w:val="clear" w:color="auto" w:fill="auto"/>
          </w:tcPr>
          <w:p w:rsidR="00A43C03" w:rsidRPr="00751196" w:rsidRDefault="00A43C03" w:rsidP="00751196">
            <w:pPr>
              <w:pStyle w:val="EBBullet"/>
              <w:keepNext/>
              <w:numPr>
                <w:ilvl w:val="0"/>
                <w:numId w:val="0"/>
              </w:numPr>
              <w:tabs>
                <w:tab w:val="left" w:pos="720"/>
              </w:tabs>
              <w:rPr>
                <w:sz w:val="24"/>
              </w:rPr>
            </w:pPr>
            <w:r w:rsidRPr="00751196">
              <w:rPr>
                <w:sz w:val="24"/>
              </w:rPr>
              <w:t>/ market share</w:t>
            </w:r>
          </w:p>
        </w:tc>
        <w:tc>
          <w:tcPr>
            <w:tcW w:w="3593" w:type="dxa"/>
            <w:vMerge/>
            <w:shd w:val="clear" w:color="auto" w:fill="auto"/>
          </w:tcPr>
          <w:p w:rsidR="00A43C03" w:rsidRPr="00751196" w:rsidRDefault="00A43C03" w:rsidP="00751196">
            <w:pPr>
              <w:pStyle w:val="EBBullet"/>
              <w:keepNext/>
              <w:numPr>
                <w:ilvl w:val="0"/>
                <w:numId w:val="0"/>
              </w:numPr>
              <w:tabs>
                <w:tab w:val="left" w:pos="720"/>
              </w:tabs>
              <w:rPr>
                <w:sz w:val="24"/>
              </w:rPr>
            </w:pPr>
          </w:p>
        </w:tc>
        <w:tc>
          <w:tcPr>
            <w:tcW w:w="1493" w:type="dxa"/>
            <w:vMerge/>
            <w:shd w:val="clear" w:color="auto" w:fill="auto"/>
          </w:tcPr>
          <w:p w:rsidR="00A43C03" w:rsidRPr="00751196" w:rsidRDefault="00A43C03" w:rsidP="00751196">
            <w:pPr>
              <w:pStyle w:val="EBBullet"/>
              <w:keepNext/>
              <w:numPr>
                <w:ilvl w:val="0"/>
                <w:numId w:val="0"/>
              </w:numPr>
              <w:tabs>
                <w:tab w:val="left" w:pos="720"/>
              </w:tabs>
              <w:rPr>
                <w:sz w:val="24"/>
              </w:rPr>
            </w:pPr>
          </w:p>
        </w:tc>
      </w:tr>
      <w:tr w:rsidR="00A43C03" w:rsidTr="00751196">
        <w:trPr>
          <w:trHeight w:val="224"/>
        </w:trPr>
        <w:tc>
          <w:tcPr>
            <w:tcW w:w="2541" w:type="dxa"/>
            <w:vMerge/>
            <w:shd w:val="clear" w:color="auto" w:fill="auto"/>
          </w:tcPr>
          <w:p w:rsidR="00A43C03" w:rsidRPr="00751196" w:rsidRDefault="00A43C03" w:rsidP="00751196">
            <w:pPr>
              <w:pStyle w:val="EBBullet"/>
              <w:keepNext/>
              <w:numPr>
                <w:ilvl w:val="0"/>
                <w:numId w:val="0"/>
              </w:numPr>
              <w:tabs>
                <w:tab w:val="left" w:pos="720"/>
              </w:tabs>
              <w:rPr>
                <w:sz w:val="24"/>
              </w:rPr>
            </w:pPr>
          </w:p>
        </w:tc>
        <w:tc>
          <w:tcPr>
            <w:tcW w:w="2794" w:type="dxa"/>
            <w:shd w:val="clear" w:color="auto" w:fill="auto"/>
          </w:tcPr>
          <w:p w:rsidR="00A43C03" w:rsidRPr="00751196" w:rsidRDefault="00A43C03" w:rsidP="00751196">
            <w:pPr>
              <w:pStyle w:val="EBBullet"/>
              <w:keepNext/>
              <w:numPr>
                <w:ilvl w:val="0"/>
                <w:numId w:val="0"/>
              </w:numPr>
              <w:tabs>
                <w:tab w:val="left" w:pos="720"/>
              </w:tabs>
              <w:rPr>
                <w:sz w:val="24"/>
              </w:rPr>
            </w:pPr>
            <w:r w:rsidRPr="00751196">
              <w:rPr>
                <w:sz w:val="24"/>
              </w:rPr>
              <w:t>= metres of treated fabric</w:t>
            </w:r>
          </w:p>
        </w:tc>
        <w:tc>
          <w:tcPr>
            <w:tcW w:w="3593" w:type="dxa"/>
            <w:vMerge/>
            <w:shd w:val="clear" w:color="auto" w:fill="auto"/>
          </w:tcPr>
          <w:p w:rsidR="00A43C03" w:rsidRPr="00751196" w:rsidRDefault="00A43C03" w:rsidP="00751196">
            <w:pPr>
              <w:pStyle w:val="EBBullet"/>
              <w:keepNext/>
              <w:numPr>
                <w:ilvl w:val="0"/>
                <w:numId w:val="0"/>
              </w:numPr>
              <w:tabs>
                <w:tab w:val="left" w:pos="720"/>
              </w:tabs>
              <w:rPr>
                <w:sz w:val="24"/>
              </w:rPr>
            </w:pPr>
          </w:p>
        </w:tc>
        <w:tc>
          <w:tcPr>
            <w:tcW w:w="1493" w:type="dxa"/>
            <w:vMerge/>
            <w:shd w:val="clear" w:color="auto" w:fill="auto"/>
          </w:tcPr>
          <w:p w:rsidR="00A43C03" w:rsidRPr="00751196" w:rsidRDefault="00A43C03" w:rsidP="00751196">
            <w:pPr>
              <w:pStyle w:val="EBBullet"/>
              <w:keepNext/>
              <w:numPr>
                <w:ilvl w:val="0"/>
                <w:numId w:val="0"/>
              </w:numPr>
              <w:tabs>
                <w:tab w:val="left" w:pos="720"/>
              </w:tabs>
              <w:rPr>
                <w:sz w:val="24"/>
              </w:rPr>
            </w:pPr>
          </w:p>
        </w:tc>
      </w:tr>
      <w:bookmarkEnd w:id="94"/>
      <w:tr w:rsidR="00A43C03" w:rsidRPr="00751196" w:rsidTr="00751196">
        <w:trPr>
          <w:trHeight w:val="169"/>
        </w:trPr>
        <w:tc>
          <w:tcPr>
            <w:tcW w:w="2541" w:type="dxa"/>
            <w:vMerge w:val="restart"/>
            <w:shd w:val="clear" w:color="auto" w:fill="auto"/>
          </w:tcPr>
          <w:p w:rsidR="00A43C03" w:rsidRPr="00751196" w:rsidRDefault="00A43C03" w:rsidP="00751196">
            <w:pPr>
              <w:pStyle w:val="EBBullet"/>
              <w:keepNext/>
              <w:numPr>
                <w:ilvl w:val="0"/>
                <w:numId w:val="0"/>
              </w:numPr>
              <w:tabs>
                <w:tab w:val="left" w:pos="720"/>
              </w:tabs>
              <w:rPr>
                <w:sz w:val="24"/>
              </w:rPr>
            </w:pPr>
            <w:r w:rsidRPr="00751196">
              <w:rPr>
                <w:sz w:val="24"/>
              </w:rPr>
              <w:lastRenderedPageBreak/>
              <w:t>(5) Company sales volumes up-rated</w:t>
            </w:r>
          </w:p>
        </w:tc>
        <w:tc>
          <w:tcPr>
            <w:tcW w:w="2794" w:type="dxa"/>
            <w:shd w:val="clear" w:color="auto" w:fill="auto"/>
          </w:tcPr>
          <w:p w:rsidR="00A43C03" w:rsidRPr="00751196" w:rsidRDefault="00A43C03" w:rsidP="00751196">
            <w:pPr>
              <w:pStyle w:val="EBBullet"/>
              <w:keepNext/>
              <w:numPr>
                <w:ilvl w:val="0"/>
                <w:numId w:val="0"/>
              </w:numPr>
              <w:tabs>
                <w:tab w:val="left" w:pos="720"/>
              </w:tabs>
              <w:rPr>
                <w:sz w:val="24"/>
              </w:rPr>
            </w:pPr>
            <w:r w:rsidRPr="00751196">
              <w:rPr>
                <w:sz w:val="24"/>
              </w:rPr>
              <w:t>Volume of sales in a product group e.g. sofas</w:t>
            </w:r>
          </w:p>
        </w:tc>
        <w:tc>
          <w:tcPr>
            <w:tcW w:w="3593" w:type="dxa"/>
            <w:vMerge w:val="restart"/>
            <w:shd w:val="clear" w:color="auto" w:fill="auto"/>
          </w:tcPr>
          <w:p w:rsidR="00A43C03" w:rsidRPr="00751196" w:rsidRDefault="00A43C03" w:rsidP="00751196">
            <w:pPr>
              <w:pStyle w:val="EBBullet"/>
              <w:keepNext/>
              <w:numPr>
                <w:ilvl w:val="0"/>
                <w:numId w:val="0"/>
              </w:numPr>
              <w:tabs>
                <w:tab w:val="left" w:pos="720"/>
              </w:tabs>
              <w:rPr>
                <w:sz w:val="24"/>
              </w:rPr>
            </w:pPr>
            <w:r w:rsidRPr="00751196">
              <w:rPr>
                <w:sz w:val="24"/>
              </w:rPr>
              <w:t>MED – Same as above but less likely to get good coverage of market share</w:t>
            </w:r>
          </w:p>
        </w:tc>
        <w:tc>
          <w:tcPr>
            <w:tcW w:w="1493" w:type="dxa"/>
            <w:vMerge w:val="restart"/>
            <w:shd w:val="clear" w:color="auto" w:fill="auto"/>
          </w:tcPr>
          <w:p w:rsidR="00A43C03" w:rsidRPr="00751196" w:rsidRDefault="00A43C03" w:rsidP="00751196">
            <w:pPr>
              <w:pStyle w:val="EBBullet"/>
              <w:keepNext/>
              <w:numPr>
                <w:ilvl w:val="0"/>
                <w:numId w:val="0"/>
              </w:numPr>
              <w:tabs>
                <w:tab w:val="left" w:pos="720"/>
              </w:tabs>
              <w:rPr>
                <w:sz w:val="24"/>
              </w:rPr>
            </w:pPr>
          </w:p>
        </w:tc>
      </w:tr>
      <w:tr w:rsidR="00A43C03" w:rsidTr="00751196">
        <w:trPr>
          <w:trHeight w:val="168"/>
        </w:trPr>
        <w:tc>
          <w:tcPr>
            <w:tcW w:w="2541" w:type="dxa"/>
            <w:vMerge/>
            <w:shd w:val="clear" w:color="auto" w:fill="auto"/>
          </w:tcPr>
          <w:p w:rsidR="00A43C03" w:rsidRPr="00751196" w:rsidRDefault="00A43C03" w:rsidP="00751196">
            <w:pPr>
              <w:pStyle w:val="EBBullet"/>
              <w:keepNext/>
              <w:numPr>
                <w:ilvl w:val="0"/>
                <w:numId w:val="0"/>
              </w:numPr>
              <w:tabs>
                <w:tab w:val="left" w:pos="720"/>
              </w:tabs>
              <w:rPr>
                <w:sz w:val="24"/>
              </w:rPr>
            </w:pPr>
          </w:p>
        </w:tc>
        <w:tc>
          <w:tcPr>
            <w:tcW w:w="2794" w:type="dxa"/>
            <w:shd w:val="clear" w:color="auto" w:fill="auto"/>
          </w:tcPr>
          <w:p w:rsidR="00A43C03" w:rsidRPr="00751196" w:rsidRDefault="00A43C03" w:rsidP="00751196">
            <w:pPr>
              <w:pStyle w:val="EBBullet"/>
              <w:keepNext/>
              <w:numPr>
                <w:ilvl w:val="0"/>
                <w:numId w:val="0"/>
              </w:numPr>
              <w:tabs>
                <w:tab w:val="left" w:pos="720"/>
              </w:tabs>
              <w:rPr>
                <w:sz w:val="24"/>
              </w:rPr>
            </w:pPr>
            <w:r w:rsidRPr="00751196">
              <w:rPr>
                <w:sz w:val="24"/>
              </w:rPr>
              <w:t>x average fabric needed</w:t>
            </w:r>
          </w:p>
        </w:tc>
        <w:tc>
          <w:tcPr>
            <w:tcW w:w="3593" w:type="dxa"/>
            <w:vMerge/>
            <w:shd w:val="clear" w:color="auto" w:fill="auto"/>
          </w:tcPr>
          <w:p w:rsidR="00A43C03" w:rsidRPr="00751196" w:rsidRDefault="00A43C03" w:rsidP="00751196">
            <w:pPr>
              <w:pStyle w:val="EBBullet"/>
              <w:keepNext/>
              <w:numPr>
                <w:ilvl w:val="0"/>
                <w:numId w:val="0"/>
              </w:numPr>
              <w:tabs>
                <w:tab w:val="left" w:pos="720"/>
              </w:tabs>
              <w:rPr>
                <w:sz w:val="24"/>
              </w:rPr>
            </w:pPr>
          </w:p>
        </w:tc>
        <w:tc>
          <w:tcPr>
            <w:tcW w:w="1493" w:type="dxa"/>
            <w:vMerge/>
            <w:shd w:val="clear" w:color="auto" w:fill="auto"/>
          </w:tcPr>
          <w:p w:rsidR="00A43C03" w:rsidRPr="00751196" w:rsidRDefault="00A43C03" w:rsidP="00751196">
            <w:pPr>
              <w:pStyle w:val="EBBullet"/>
              <w:keepNext/>
              <w:numPr>
                <w:ilvl w:val="0"/>
                <w:numId w:val="0"/>
              </w:numPr>
              <w:tabs>
                <w:tab w:val="left" w:pos="720"/>
              </w:tabs>
              <w:rPr>
                <w:sz w:val="24"/>
              </w:rPr>
            </w:pPr>
          </w:p>
        </w:tc>
      </w:tr>
      <w:tr w:rsidR="00A43C03" w:rsidTr="00751196">
        <w:trPr>
          <w:trHeight w:val="168"/>
        </w:trPr>
        <w:tc>
          <w:tcPr>
            <w:tcW w:w="2541" w:type="dxa"/>
            <w:vMerge/>
            <w:shd w:val="clear" w:color="auto" w:fill="auto"/>
          </w:tcPr>
          <w:p w:rsidR="00A43C03" w:rsidRPr="00751196" w:rsidRDefault="00A43C03" w:rsidP="00751196">
            <w:pPr>
              <w:pStyle w:val="EBBullet"/>
              <w:keepNext/>
              <w:numPr>
                <w:ilvl w:val="0"/>
                <w:numId w:val="0"/>
              </w:numPr>
              <w:tabs>
                <w:tab w:val="left" w:pos="720"/>
              </w:tabs>
              <w:rPr>
                <w:sz w:val="24"/>
              </w:rPr>
            </w:pPr>
          </w:p>
        </w:tc>
        <w:tc>
          <w:tcPr>
            <w:tcW w:w="2794" w:type="dxa"/>
            <w:shd w:val="clear" w:color="auto" w:fill="auto"/>
          </w:tcPr>
          <w:p w:rsidR="00A43C03" w:rsidRPr="00751196" w:rsidRDefault="00A43C03" w:rsidP="00751196">
            <w:pPr>
              <w:pStyle w:val="EBBullet"/>
              <w:keepNext/>
              <w:numPr>
                <w:ilvl w:val="0"/>
                <w:numId w:val="0"/>
              </w:numPr>
              <w:tabs>
                <w:tab w:val="left" w:pos="720"/>
              </w:tabs>
              <w:rPr>
                <w:sz w:val="24"/>
              </w:rPr>
            </w:pPr>
            <w:r w:rsidRPr="00751196">
              <w:rPr>
                <w:sz w:val="24"/>
              </w:rPr>
              <w:t>/ market share</w:t>
            </w:r>
          </w:p>
        </w:tc>
        <w:tc>
          <w:tcPr>
            <w:tcW w:w="3593" w:type="dxa"/>
            <w:vMerge/>
            <w:shd w:val="clear" w:color="auto" w:fill="auto"/>
          </w:tcPr>
          <w:p w:rsidR="00A43C03" w:rsidRPr="00751196" w:rsidRDefault="00A43C03" w:rsidP="00751196">
            <w:pPr>
              <w:pStyle w:val="EBBullet"/>
              <w:keepNext/>
              <w:numPr>
                <w:ilvl w:val="0"/>
                <w:numId w:val="0"/>
              </w:numPr>
              <w:tabs>
                <w:tab w:val="left" w:pos="720"/>
              </w:tabs>
              <w:rPr>
                <w:sz w:val="24"/>
              </w:rPr>
            </w:pPr>
          </w:p>
        </w:tc>
        <w:tc>
          <w:tcPr>
            <w:tcW w:w="1493" w:type="dxa"/>
            <w:vMerge/>
            <w:shd w:val="clear" w:color="auto" w:fill="auto"/>
          </w:tcPr>
          <w:p w:rsidR="00A43C03" w:rsidRPr="00751196" w:rsidRDefault="00A43C03" w:rsidP="00751196">
            <w:pPr>
              <w:pStyle w:val="EBBullet"/>
              <w:keepNext/>
              <w:numPr>
                <w:ilvl w:val="0"/>
                <w:numId w:val="0"/>
              </w:numPr>
              <w:tabs>
                <w:tab w:val="left" w:pos="720"/>
              </w:tabs>
              <w:rPr>
                <w:sz w:val="24"/>
              </w:rPr>
            </w:pPr>
          </w:p>
        </w:tc>
      </w:tr>
      <w:tr w:rsidR="00A43C03" w:rsidTr="00751196">
        <w:trPr>
          <w:trHeight w:val="168"/>
        </w:trPr>
        <w:tc>
          <w:tcPr>
            <w:tcW w:w="2541" w:type="dxa"/>
            <w:vMerge/>
            <w:shd w:val="clear" w:color="auto" w:fill="auto"/>
          </w:tcPr>
          <w:p w:rsidR="00A43C03" w:rsidRPr="00751196" w:rsidRDefault="00A43C03" w:rsidP="00751196">
            <w:pPr>
              <w:pStyle w:val="EBBullet"/>
              <w:keepNext/>
              <w:numPr>
                <w:ilvl w:val="0"/>
                <w:numId w:val="0"/>
              </w:numPr>
              <w:tabs>
                <w:tab w:val="left" w:pos="720"/>
              </w:tabs>
              <w:rPr>
                <w:sz w:val="24"/>
              </w:rPr>
            </w:pPr>
          </w:p>
        </w:tc>
        <w:tc>
          <w:tcPr>
            <w:tcW w:w="2794" w:type="dxa"/>
            <w:shd w:val="clear" w:color="auto" w:fill="auto"/>
          </w:tcPr>
          <w:p w:rsidR="00A43C03" w:rsidRPr="00751196" w:rsidRDefault="00A43C03" w:rsidP="00751196">
            <w:pPr>
              <w:pStyle w:val="EBBullet"/>
              <w:keepNext/>
              <w:numPr>
                <w:ilvl w:val="0"/>
                <w:numId w:val="0"/>
              </w:numPr>
              <w:tabs>
                <w:tab w:val="left" w:pos="720"/>
              </w:tabs>
              <w:rPr>
                <w:sz w:val="24"/>
              </w:rPr>
            </w:pPr>
            <w:r w:rsidRPr="00751196">
              <w:rPr>
                <w:sz w:val="24"/>
              </w:rPr>
              <w:t>= total cost of treating fabric</w:t>
            </w:r>
          </w:p>
        </w:tc>
        <w:tc>
          <w:tcPr>
            <w:tcW w:w="3593" w:type="dxa"/>
            <w:vMerge/>
            <w:shd w:val="clear" w:color="auto" w:fill="auto"/>
          </w:tcPr>
          <w:p w:rsidR="00A43C03" w:rsidRPr="00751196" w:rsidRDefault="00A43C03" w:rsidP="00751196">
            <w:pPr>
              <w:pStyle w:val="EBBullet"/>
              <w:keepNext/>
              <w:numPr>
                <w:ilvl w:val="0"/>
                <w:numId w:val="0"/>
              </w:numPr>
              <w:tabs>
                <w:tab w:val="left" w:pos="720"/>
              </w:tabs>
              <w:rPr>
                <w:sz w:val="24"/>
              </w:rPr>
            </w:pPr>
          </w:p>
        </w:tc>
        <w:tc>
          <w:tcPr>
            <w:tcW w:w="1493" w:type="dxa"/>
            <w:vMerge/>
            <w:shd w:val="clear" w:color="auto" w:fill="auto"/>
          </w:tcPr>
          <w:p w:rsidR="00A43C03" w:rsidRPr="00751196" w:rsidRDefault="00A43C03" w:rsidP="00751196">
            <w:pPr>
              <w:pStyle w:val="EBBullet"/>
              <w:keepNext/>
              <w:numPr>
                <w:ilvl w:val="0"/>
                <w:numId w:val="0"/>
              </w:numPr>
              <w:tabs>
                <w:tab w:val="left" w:pos="720"/>
              </w:tabs>
              <w:rPr>
                <w:sz w:val="24"/>
              </w:rPr>
            </w:pPr>
          </w:p>
        </w:tc>
      </w:tr>
    </w:tbl>
    <w:p w:rsidR="00A43C03" w:rsidRDefault="00A43C03" w:rsidP="00A43C03">
      <w:pPr>
        <w:pStyle w:val="EBBullet"/>
        <w:keepNext/>
        <w:numPr>
          <w:ilvl w:val="0"/>
          <w:numId w:val="0"/>
        </w:numPr>
        <w:tabs>
          <w:tab w:val="left" w:pos="720"/>
        </w:tabs>
        <w:ind w:left="284" w:hanging="284"/>
        <w:rPr>
          <w:sz w:val="24"/>
        </w:rPr>
      </w:pPr>
    </w:p>
    <w:p w:rsidR="00A43C03" w:rsidRDefault="00A43C03" w:rsidP="00A43C03">
      <w:pPr>
        <w:pStyle w:val="EBBullet"/>
        <w:keepNext/>
        <w:numPr>
          <w:ilvl w:val="0"/>
          <w:numId w:val="0"/>
        </w:numPr>
        <w:tabs>
          <w:tab w:val="left" w:pos="720"/>
        </w:tabs>
        <w:ind w:left="284" w:hanging="284"/>
        <w:rPr>
          <w:sz w:val="24"/>
        </w:rPr>
      </w:pPr>
    </w:p>
    <w:p w:rsidR="00A43C03" w:rsidRPr="00556AB7" w:rsidRDefault="00A43C03" w:rsidP="00A43C03">
      <w:pPr>
        <w:pStyle w:val="EBBullet"/>
        <w:keepNext/>
        <w:numPr>
          <w:ilvl w:val="0"/>
          <w:numId w:val="0"/>
        </w:numPr>
        <w:pBdr>
          <w:top w:val="single" w:sz="4" w:space="1" w:color="auto"/>
          <w:left w:val="single" w:sz="4" w:space="4" w:color="auto"/>
          <w:bottom w:val="single" w:sz="4" w:space="1" w:color="auto"/>
          <w:right w:val="single" w:sz="4" w:space="4" w:color="auto"/>
        </w:pBdr>
        <w:tabs>
          <w:tab w:val="left" w:pos="720"/>
        </w:tabs>
        <w:ind w:left="720" w:hanging="720"/>
        <w:rPr>
          <w:i/>
          <w:sz w:val="24"/>
        </w:rPr>
      </w:pPr>
      <w:bookmarkStart w:id="95" w:name="OLE_LINK17"/>
      <w:bookmarkStart w:id="96" w:name="OLE_LINK18"/>
      <w:r w:rsidRPr="00675A4A">
        <w:rPr>
          <w:b/>
          <w:sz w:val="24"/>
        </w:rPr>
        <w:t>Q</w:t>
      </w:r>
      <w:r>
        <w:rPr>
          <w:b/>
          <w:sz w:val="24"/>
        </w:rPr>
        <w:t>7</w:t>
      </w:r>
      <w:r w:rsidRPr="00675A4A">
        <w:rPr>
          <w:b/>
          <w:sz w:val="24"/>
        </w:rPr>
        <w:t>:</w:t>
      </w:r>
      <w:r>
        <w:rPr>
          <w:sz w:val="24"/>
        </w:rPr>
        <w:t xml:space="preserve"> Are there any other methodologies you think would be more appropriate? </w:t>
      </w:r>
    </w:p>
    <w:bookmarkEnd w:id="95"/>
    <w:bookmarkEnd w:id="96"/>
    <w:p w:rsidR="00A43C03" w:rsidRDefault="00A43C03" w:rsidP="00A43C03">
      <w:pPr>
        <w:pStyle w:val="EBBullet"/>
        <w:keepNext/>
        <w:numPr>
          <w:ilvl w:val="0"/>
          <w:numId w:val="0"/>
        </w:numPr>
        <w:tabs>
          <w:tab w:val="left" w:pos="720"/>
        </w:tabs>
        <w:ind w:left="284" w:hanging="284"/>
        <w:rPr>
          <w:sz w:val="24"/>
        </w:rPr>
      </w:pPr>
    </w:p>
    <w:p w:rsidR="00A43C03" w:rsidRDefault="00A43C03" w:rsidP="00A43C03">
      <w:pPr>
        <w:pStyle w:val="EBBullet"/>
        <w:keepNext/>
        <w:numPr>
          <w:ilvl w:val="0"/>
          <w:numId w:val="0"/>
        </w:numPr>
        <w:tabs>
          <w:tab w:val="left" w:pos="720"/>
        </w:tabs>
        <w:ind w:left="284" w:hanging="284"/>
        <w:rPr>
          <w:i/>
          <w:sz w:val="24"/>
        </w:rPr>
      </w:pPr>
      <w:r>
        <w:rPr>
          <w:i/>
          <w:sz w:val="24"/>
        </w:rPr>
        <w:t>Methodology 1 – Sales data (top down)</w:t>
      </w:r>
    </w:p>
    <w:p w:rsidR="00A43C03" w:rsidRPr="00C9573A" w:rsidRDefault="00A43C03" w:rsidP="00A43C03">
      <w:pPr>
        <w:pStyle w:val="EBBullet"/>
        <w:keepNext/>
        <w:numPr>
          <w:ilvl w:val="0"/>
          <w:numId w:val="0"/>
        </w:numPr>
        <w:tabs>
          <w:tab w:val="left" w:pos="720"/>
        </w:tabs>
        <w:ind w:left="284" w:hanging="284"/>
        <w:rPr>
          <w:i/>
          <w:sz w:val="24"/>
        </w:rPr>
      </w:pPr>
    </w:p>
    <w:p w:rsidR="00A43C03" w:rsidRDefault="00A43C03" w:rsidP="00A43C03">
      <w:pPr>
        <w:pStyle w:val="EBBullet"/>
        <w:keepNext/>
        <w:numPr>
          <w:ilvl w:val="0"/>
          <w:numId w:val="0"/>
        </w:numPr>
        <w:tabs>
          <w:tab w:val="left" w:pos="720"/>
        </w:tabs>
        <w:ind w:left="720" w:hanging="720"/>
        <w:rPr>
          <w:sz w:val="24"/>
        </w:rPr>
      </w:pPr>
      <w:r>
        <w:rPr>
          <w:sz w:val="24"/>
        </w:rPr>
        <w:t>6.13</w:t>
      </w:r>
      <w:r>
        <w:rPr>
          <w:sz w:val="24"/>
        </w:rPr>
        <w:tab/>
        <w:t>Firstly, sales data needs to be estimated for those product groups affected. Estimates on the sales of the product groups that use treated fabric are listed below:</w:t>
      </w:r>
    </w:p>
    <w:p w:rsidR="00A43C03" w:rsidRDefault="00A43C03" w:rsidP="00A43C03">
      <w:pPr>
        <w:pStyle w:val="EBBullet"/>
        <w:keepNext/>
        <w:numPr>
          <w:ilvl w:val="0"/>
          <w:numId w:val="0"/>
        </w:numPr>
        <w:tabs>
          <w:tab w:val="left" w:pos="720"/>
        </w:tabs>
        <w:rPr>
          <w:sz w:val="24"/>
        </w:rPr>
      </w:pPr>
    </w:p>
    <w:p w:rsidR="00A43C03" w:rsidRDefault="00A43C03" w:rsidP="00A43C03">
      <w:pPr>
        <w:pStyle w:val="EBBullet"/>
        <w:keepNext/>
        <w:numPr>
          <w:ilvl w:val="0"/>
          <w:numId w:val="0"/>
        </w:numPr>
        <w:tabs>
          <w:tab w:val="left" w:pos="720"/>
        </w:tabs>
        <w:rPr>
          <w:sz w:val="24"/>
          <w:u w:val="single"/>
        </w:rPr>
      </w:pPr>
      <w:r>
        <w:rPr>
          <w:sz w:val="24"/>
          <w:u w:val="single"/>
        </w:rPr>
        <w:t>Table 4. UK Manufacturers Furniture Sales</w:t>
      </w:r>
    </w:p>
    <w:p w:rsidR="00A43C03" w:rsidRPr="002B3148" w:rsidRDefault="00A43C03" w:rsidP="00A43C03">
      <w:pPr>
        <w:pStyle w:val="EBBullet"/>
        <w:keepNext/>
        <w:numPr>
          <w:ilvl w:val="0"/>
          <w:numId w:val="0"/>
        </w:numPr>
        <w:tabs>
          <w:tab w:val="left" w:pos="720"/>
        </w:tabs>
        <w:rPr>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4"/>
        <w:gridCol w:w="2272"/>
        <w:gridCol w:w="2241"/>
        <w:gridCol w:w="2039"/>
        <w:gridCol w:w="1855"/>
      </w:tblGrid>
      <w:tr w:rsidR="00A43C03" w:rsidTr="00751196">
        <w:tc>
          <w:tcPr>
            <w:tcW w:w="2014" w:type="dxa"/>
            <w:shd w:val="clear" w:color="auto" w:fill="auto"/>
          </w:tcPr>
          <w:p w:rsidR="00A43C03" w:rsidRPr="00751196" w:rsidRDefault="00A43C03" w:rsidP="00751196">
            <w:pPr>
              <w:pStyle w:val="EBBullet"/>
              <w:keepNext/>
              <w:numPr>
                <w:ilvl w:val="0"/>
                <w:numId w:val="0"/>
              </w:numPr>
              <w:tabs>
                <w:tab w:val="left" w:pos="720"/>
              </w:tabs>
              <w:rPr>
                <w:sz w:val="24"/>
              </w:rPr>
            </w:pPr>
          </w:p>
        </w:tc>
        <w:tc>
          <w:tcPr>
            <w:tcW w:w="2272" w:type="dxa"/>
            <w:shd w:val="clear" w:color="auto" w:fill="auto"/>
          </w:tcPr>
          <w:p w:rsidR="00A43C03" w:rsidRPr="00751196" w:rsidRDefault="00A43C03" w:rsidP="00751196">
            <w:pPr>
              <w:pStyle w:val="EBBullet"/>
              <w:keepNext/>
              <w:numPr>
                <w:ilvl w:val="0"/>
                <w:numId w:val="0"/>
              </w:numPr>
              <w:tabs>
                <w:tab w:val="left" w:pos="720"/>
              </w:tabs>
              <w:rPr>
                <w:sz w:val="24"/>
              </w:rPr>
            </w:pPr>
            <w:r w:rsidRPr="00751196">
              <w:rPr>
                <w:sz w:val="24"/>
              </w:rPr>
              <w:t>Category</w:t>
            </w:r>
          </w:p>
        </w:tc>
        <w:tc>
          <w:tcPr>
            <w:tcW w:w="2241" w:type="dxa"/>
            <w:shd w:val="clear" w:color="auto" w:fill="auto"/>
          </w:tcPr>
          <w:p w:rsidR="00A43C03" w:rsidRPr="00751196" w:rsidRDefault="00A43C03" w:rsidP="00751196">
            <w:pPr>
              <w:pStyle w:val="EBBullet"/>
              <w:keepNext/>
              <w:numPr>
                <w:ilvl w:val="0"/>
                <w:numId w:val="0"/>
              </w:numPr>
              <w:tabs>
                <w:tab w:val="left" w:pos="720"/>
              </w:tabs>
              <w:rPr>
                <w:sz w:val="24"/>
              </w:rPr>
            </w:pPr>
            <w:r w:rsidRPr="00751196">
              <w:rPr>
                <w:sz w:val="24"/>
              </w:rPr>
              <w:t>Includes</w:t>
            </w:r>
          </w:p>
        </w:tc>
        <w:tc>
          <w:tcPr>
            <w:tcW w:w="2039" w:type="dxa"/>
            <w:shd w:val="clear" w:color="auto" w:fill="auto"/>
          </w:tcPr>
          <w:p w:rsidR="00A43C03" w:rsidRPr="00751196" w:rsidRDefault="00A43C03" w:rsidP="00751196">
            <w:pPr>
              <w:pStyle w:val="EBBullet"/>
              <w:keepNext/>
              <w:numPr>
                <w:ilvl w:val="0"/>
                <w:numId w:val="0"/>
              </w:numPr>
              <w:tabs>
                <w:tab w:val="left" w:pos="720"/>
              </w:tabs>
              <w:rPr>
                <w:sz w:val="24"/>
              </w:rPr>
            </w:pPr>
            <w:r w:rsidRPr="00751196">
              <w:rPr>
                <w:sz w:val="24"/>
              </w:rPr>
              <w:t>Sales</w:t>
            </w:r>
          </w:p>
        </w:tc>
        <w:tc>
          <w:tcPr>
            <w:tcW w:w="1855" w:type="dxa"/>
            <w:shd w:val="clear" w:color="auto" w:fill="auto"/>
          </w:tcPr>
          <w:p w:rsidR="00A43C03" w:rsidRPr="00751196" w:rsidRDefault="00A43C03" w:rsidP="00751196">
            <w:pPr>
              <w:pStyle w:val="EBBullet"/>
              <w:keepNext/>
              <w:numPr>
                <w:ilvl w:val="0"/>
                <w:numId w:val="0"/>
              </w:numPr>
              <w:tabs>
                <w:tab w:val="left" w:pos="720"/>
              </w:tabs>
              <w:rPr>
                <w:sz w:val="24"/>
              </w:rPr>
            </w:pPr>
            <w:r w:rsidRPr="00751196">
              <w:rPr>
                <w:sz w:val="24"/>
              </w:rPr>
              <w:t>Volume</w:t>
            </w:r>
          </w:p>
        </w:tc>
      </w:tr>
      <w:tr w:rsidR="00A43C03" w:rsidTr="00751196">
        <w:tc>
          <w:tcPr>
            <w:tcW w:w="2014" w:type="dxa"/>
            <w:shd w:val="clear" w:color="auto" w:fill="auto"/>
          </w:tcPr>
          <w:p w:rsidR="00A43C03" w:rsidRPr="00751196" w:rsidRDefault="00A43C03" w:rsidP="00751196">
            <w:pPr>
              <w:pStyle w:val="EBBullet"/>
              <w:keepNext/>
              <w:numPr>
                <w:ilvl w:val="0"/>
                <w:numId w:val="0"/>
              </w:numPr>
              <w:tabs>
                <w:tab w:val="left" w:pos="720"/>
              </w:tabs>
              <w:rPr>
                <w:sz w:val="24"/>
              </w:rPr>
            </w:pPr>
            <w:r w:rsidRPr="00751196">
              <w:rPr>
                <w:sz w:val="24"/>
              </w:rPr>
              <w:t>ONS</w:t>
            </w:r>
          </w:p>
        </w:tc>
        <w:tc>
          <w:tcPr>
            <w:tcW w:w="2272" w:type="dxa"/>
            <w:shd w:val="clear" w:color="auto" w:fill="auto"/>
          </w:tcPr>
          <w:p w:rsidR="00A43C03" w:rsidRPr="00751196" w:rsidRDefault="00A43C03" w:rsidP="00751196">
            <w:pPr>
              <w:pStyle w:val="EBBullet"/>
              <w:keepNext/>
              <w:numPr>
                <w:ilvl w:val="0"/>
                <w:numId w:val="0"/>
              </w:numPr>
              <w:tabs>
                <w:tab w:val="left" w:pos="720"/>
              </w:tabs>
              <w:rPr>
                <w:sz w:val="24"/>
              </w:rPr>
            </w:pPr>
            <w:r w:rsidRPr="00751196">
              <w:rPr>
                <w:sz w:val="24"/>
              </w:rPr>
              <w:t>Manufacture of furniture: other furniture and mattresses</w:t>
            </w:r>
            <w:r>
              <w:rPr>
                <w:rStyle w:val="FootnoteReference"/>
              </w:rPr>
              <w:footnoteReference w:id="15"/>
            </w:r>
          </w:p>
        </w:tc>
        <w:tc>
          <w:tcPr>
            <w:tcW w:w="2241" w:type="dxa"/>
            <w:shd w:val="clear" w:color="auto" w:fill="auto"/>
          </w:tcPr>
          <w:p w:rsidR="00A43C03" w:rsidRPr="00751196" w:rsidRDefault="00A43C03" w:rsidP="00751196">
            <w:pPr>
              <w:pStyle w:val="EBBullet"/>
              <w:keepNext/>
              <w:numPr>
                <w:ilvl w:val="0"/>
                <w:numId w:val="0"/>
              </w:numPr>
              <w:tabs>
                <w:tab w:val="left" w:pos="720"/>
              </w:tabs>
              <w:rPr>
                <w:sz w:val="24"/>
              </w:rPr>
            </w:pPr>
            <w:r w:rsidRPr="00751196">
              <w:rPr>
                <w:sz w:val="24"/>
              </w:rPr>
              <w:t>Sofas, mattresses, sofa beds</w:t>
            </w:r>
          </w:p>
        </w:tc>
        <w:tc>
          <w:tcPr>
            <w:tcW w:w="2039" w:type="dxa"/>
            <w:shd w:val="clear" w:color="auto" w:fill="auto"/>
          </w:tcPr>
          <w:p w:rsidR="00A43C03" w:rsidRPr="00751196" w:rsidRDefault="00A43C03" w:rsidP="00751196">
            <w:pPr>
              <w:pStyle w:val="EBBullet"/>
              <w:keepNext/>
              <w:numPr>
                <w:ilvl w:val="0"/>
                <w:numId w:val="0"/>
              </w:numPr>
              <w:tabs>
                <w:tab w:val="left" w:pos="720"/>
              </w:tabs>
              <w:rPr>
                <w:sz w:val="24"/>
              </w:rPr>
            </w:pPr>
            <w:r w:rsidRPr="00751196">
              <w:rPr>
                <w:sz w:val="24"/>
              </w:rPr>
              <w:t>£3.2 bn</w:t>
            </w:r>
          </w:p>
        </w:tc>
        <w:tc>
          <w:tcPr>
            <w:tcW w:w="1855" w:type="dxa"/>
            <w:shd w:val="clear" w:color="auto" w:fill="auto"/>
          </w:tcPr>
          <w:p w:rsidR="00A43C03" w:rsidRPr="00751196" w:rsidRDefault="00A43C03" w:rsidP="00751196">
            <w:pPr>
              <w:pStyle w:val="EBBullet"/>
              <w:keepNext/>
              <w:numPr>
                <w:ilvl w:val="0"/>
                <w:numId w:val="0"/>
              </w:numPr>
              <w:tabs>
                <w:tab w:val="left" w:pos="720"/>
              </w:tabs>
              <w:rPr>
                <w:sz w:val="24"/>
              </w:rPr>
            </w:pPr>
            <w:r w:rsidRPr="00751196">
              <w:rPr>
                <w:sz w:val="24"/>
              </w:rPr>
              <w:t>N/A</w:t>
            </w:r>
          </w:p>
        </w:tc>
      </w:tr>
      <w:tr w:rsidR="00A43C03" w:rsidTr="00751196">
        <w:tc>
          <w:tcPr>
            <w:tcW w:w="2014" w:type="dxa"/>
            <w:shd w:val="clear" w:color="auto" w:fill="auto"/>
          </w:tcPr>
          <w:p w:rsidR="00A43C03" w:rsidRPr="00751196" w:rsidRDefault="00A43C03" w:rsidP="00751196">
            <w:pPr>
              <w:pStyle w:val="EBBullet"/>
              <w:keepNext/>
              <w:numPr>
                <w:ilvl w:val="0"/>
                <w:numId w:val="0"/>
              </w:numPr>
              <w:tabs>
                <w:tab w:val="left" w:pos="720"/>
              </w:tabs>
              <w:rPr>
                <w:sz w:val="24"/>
              </w:rPr>
            </w:pPr>
            <w:r w:rsidRPr="00751196">
              <w:rPr>
                <w:sz w:val="24"/>
              </w:rPr>
              <w:t>Prodcom</w:t>
            </w:r>
            <w:r>
              <w:rPr>
                <w:rStyle w:val="FootnoteReference"/>
              </w:rPr>
              <w:footnoteReference w:id="16"/>
            </w:r>
          </w:p>
        </w:tc>
        <w:tc>
          <w:tcPr>
            <w:tcW w:w="2272" w:type="dxa"/>
            <w:shd w:val="clear" w:color="auto" w:fill="auto"/>
          </w:tcPr>
          <w:p w:rsidR="00A43C03" w:rsidRPr="00751196" w:rsidRDefault="00A43C03" w:rsidP="00751196">
            <w:pPr>
              <w:pStyle w:val="EBBullet"/>
              <w:keepNext/>
              <w:numPr>
                <w:ilvl w:val="0"/>
                <w:numId w:val="0"/>
              </w:numPr>
              <w:tabs>
                <w:tab w:val="left" w:pos="720"/>
              </w:tabs>
              <w:rPr>
                <w:sz w:val="24"/>
              </w:rPr>
            </w:pPr>
            <w:r w:rsidRPr="00751196">
              <w:rPr>
                <w:sz w:val="24"/>
              </w:rPr>
              <w:t>Manufacture of other furniture and mattresses except plastic garden seats and non-domestic</w:t>
            </w:r>
          </w:p>
        </w:tc>
        <w:tc>
          <w:tcPr>
            <w:tcW w:w="2241" w:type="dxa"/>
            <w:shd w:val="clear" w:color="auto" w:fill="auto"/>
          </w:tcPr>
          <w:p w:rsidR="00A43C03" w:rsidRPr="00751196" w:rsidRDefault="00A43C03" w:rsidP="00751196">
            <w:pPr>
              <w:pStyle w:val="EBBullet"/>
              <w:keepNext/>
              <w:numPr>
                <w:ilvl w:val="0"/>
                <w:numId w:val="0"/>
              </w:numPr>
              <w:tabs>
                <w:tab w:val="left" w:pos="720"/>
              </w:tabs>
              <w:rPr>
                <w:sz w:val="24"/>
              </w:rPr>
            </w:pPr>
            <w:r w:rsidRPr="00751196">
              <w:rPr>
                <w:sz w:val="24"/>
              </w:rPr>
              <w:t>Sofas, mattresses, note: may include non-upholstered</w:t>
            </w:r>
          </w:p>
        </w:tc>
        <w:tc>
          <w:tcPr>
            <w:tcW w:w="2039" w:type="dxa"/>
            <w:shd w:val="clear" w:color="auto" w:fill="auto"/>
          </w:tcPr>
          <w:p w:rsidR="00A43C03" w:rsidRPr="00751196" w:rsidRDefault="00A43C03" w:rsidP="00751196">
            <w:pPr>
              <w:pStyle w:val="EBBullet"/>
              <w:keepNext/>
              <w:numPr>
                <w:ilvl w:val="0"/>
                <w:numId w:val="0"/>
              </w:numPr>
              <w:tabs>
                <w:tab w:val="left" w:pos="720"/>
              </w:tabs>
              <w:rPr>
                <w:sz w:val="24"/>
              </w:rPr>
            </w:pPr>
            <w:r w:rsidRPr="00751196">
              <w:rPr>
                <w:sz w:val="24"/>
              </w:rPr>
              <w:t>£3.16 bn</w:t>
            </w:r>
          </w:p>
        </w:tc>
        <w:tc>
          <w:tcPr>
            <w:tcW w:w="1855" w:type="dxa"/>
            <w:shd w:val="clear" w:color="auto" w:fill="auto"/>
          </w:tcPr>
          <w:p w:rsidR="00A43C03" w:rsidRPr="00751196" w:rsidRDefault="00A43C03" w:rsidP="00751196">
            <w:pPr>
              <w:pStyle w:val="EBBullet"/>
              <w:keepNext/>
              <w:numPr>
                <w:ilvl w:val="0"/>
                <w:numId w:val="0"/>
              </w:numPr>
              <w:tabs>
                <w:tab w:val="left" w:pos="720"/>
              </w:tabs>
              <w:rPr>
                <w:sz w:val="24"/>
              </w:rPr>
            </w:pPr>
            <w:r w:rsidRPr="00751196">
              <w:rPr>
                <w:sz w:val="24"/>
              </w:rPr>
              <w:t>4 million units</w:t>
            </w:r>
          </w:p>
        </w:tc>
      </w:tr>
      <w:tr w:rsidR="00A43C03" w:rsidTr="00751196">
        <w:tc>
          <w:tcPr>
            <w:tcW w:w="2014" w:type="dxa"/>
            <w:shd w:val="clear" w:color="auto" w:fill="auto"/>
          </w:tcPr>
          <w:p w:rsidR="00A43C03" w:rsidRPr="00751196" w:rsidRDefault="00A43C03" w:rsidP="00751196">
            <w:pPr>
              <w:pStyle w:val="EBBullet"/>
              <w:keepNext/>
              <w:numPr>
                <w:ilvl w:val="0"/>
                <w:numId w:val="0"/>
              </w:numPr>
              <w:tabs>
                <w:tab w:val="left" w:pos="720"/>
              </w:tabs>
              <w:rPr>
                <w:sz w:val="24"/>
              </w:rPr>
            </w:pPr>
            <w:r w:rsidRPr="00751196">
              <w:rPr>
                <w:sz w:val="24"/>
              </w:rPr>
              <w:t>Prodcom</w:t>
            </w:r>
            <w:r>
              <w:rPr>
                <w:rStyle w:val="FootnoteReference"/>
              </w:rPr>
              <w:footnoteReference w:id="17"/>
            </w:r>
          </w:p>
        </w:tc>
        <w:tc>
          <w:tcPr>
            <w:tcW w:w="2272" w:type="dxa"/>
            <w:shd w:val="clear" w:color="auto" w:fill="auto"/>
          </w:tcPr>
          <w:p w:rsidR="00A43C03" w:rsidRPr="00751196" w:rsidRDefault="00A43C03" w:rsidP="00751196">
            <w:pPr>
              <w:pStyle w:val="EBBullet"/>
              <w:keepNext/>
              <w:numPr>
                <w:ilvl w:val="0"/>
                <w:numId w:val="0"/>
              </w:numPr>
              <w:tabs>
                <w:tab w:val="left" w:pos="720"/>
              </w:tabs>
              <w:rPr>
                <w:sz w:val="24"/>
              </w:rPr>
            </w:pPr>
            <w:r w:rsidRPr="00751196">
              <w:rPr>
                <w:sz w:val="24"/>
              </w:rPr>
              <w:t xml:space="preserve">Manufacture of furniture in the ‘upholstered’ category only and </w:t>
            </w:r>
            <w:r w:rsidRPr="00751196">
              <w:rPr>
                <w:sz w:val="24"/>
              </w:rPr>
              <w:lastRenderedPageBreak/>
              <w:t>mattresses</w:t>
            </w:r>
          </w:p>
        </w:tc>
        <w:tc>
          <w:tcPr>
            <w:tcW w:w="2241" w:type="dxa"/>
            <w:shd w:val="clear" w:color="auto" w:fill="auto"/>
          </w:tcPr>
          <w:p w:rsidR="00A43C03" w:rsidRPr="00751196" w:rsidRDefault="00A43C03" w:rsidP="00751196">
            <w:pPr>
              <w:pStyle w:val="EBBullet"/>
              <w:keepNext/>
              <w:numPr>
                <w:ilvl w:val="0"/>
                <w:numId w:val="0"/>
              </w:numPr>
              <w:tabs>
                <w:tab w:val="left" w:pos="720"/>
              </w:tabs>
              <w:rPr>
                <w:sz w:val="24"/>
              </w:rPr>
            </w:pPr>
            <w:r w:rsidRPr="00751196">
              <w:rPr>
                <w:sz w:val="24"/>
              </w:rPr>
              <w:lastRenderedPageBreak/>
              <w:t>Upholstered seating only and mattresses</w:t>
            </w:r>
          </w:p>
        </w:tc>
        <w:tc>
          <w:tcPr>
            <w:tcW w:w="2039" w:type="dxa"/>
            <w:shd w:val="clear" w:color="auto" w:fill="auto"/>
          </w:tcPr>
          <w:p w:rsidR="00A43C03" w:rsidRPr="00751196" w:rsidRDefault="00A43C03" w:rsidP="00751196">
            <w:pPr>
              <w:pStyle w:val="EBBullet"/>
              <w:keepNext/>
              <w:numPr>
                <w:ilvl w:val="0"/>
                <w:numId w:val="0"/>
              </w:numPr>
              <w:tabs>
                <w:tab w:val="left" w:pos="720"/>
              </w:tabs>
              <w:rPr>
                <w:sz w:val="24"/>
              </w:rPr>
            </w:pPr>
            <w:r w:rsidRPr="00751196">
              <w:rPr>
                <w:sz w:val="24"/>
              </w:rPr>
              <w:t>£1.5 bn</w:t>
            </w:r>
          </w:p>
        </w:tc>
        <w:tc>
          <w:tcPr>
            <w:tcW w:w="1855" w:type="dxa"/>
            <w:shd w:val="clear" w:color="auto" w:fill="auto"/>
          </w:tcPr>
          <w:p w:rsidR="00A43C03" w:rsidRPr="00751196" w:rsidRDefault="00A43C03" w:rsidP="00751196">
            <w:pPr>
              <w:pStyle w:val="EBBullet"/>
              <w:keepNext/>
              <w:numPr>
                <w:ilvl w:val="0"/>
                <w:numId w:val="0"/>
              </w:numPr>
              <w:tabs>
                <w:tab w:val="left" w:pos="720"/>
              </w:tabs>
              <w:rPr>
                <w:sz w:val="24"/>
              </w:rPr>
            </w:pPr>
          </w:p>
        </w:tc>
      </w:tr>
      <w:tr w:rsidR="00A43C03" w:rsidRPr="00751196" w:rsidTr="00751196">
        <w:tc>
          <w:tcPr>
            <w:tcW w:w="2014" w:type="dxa"/>
            <w:shd w:val="clear" w:color="auto" w:fill="auto"/>
          </w:tcPr>
          <w:p w:rsidR="00A43C03" w:rsidRPr="00751196" w:rsidRDefault="00A43C03" w:rsidP="00751196">
            <w:pPr>
              <w:pStyle w:val="EBBullet"/>
              <w:keepNext/>
              <w:numPr>
                <w:ilvl w:val="0"/>
                <w:numId w:val="0"/>
              </w:numPr>
              <w:tabs>
                <w:tab w:val="left" w:pos="720"/>
              </w:tabs>
              <w:rPr>
                <w:sz w:val="24"/>
              </w:rPr>
            </w:pPr>
            <w:r w:rsidRPr="00751196">
              <w:rPr>
                <w:sz w:val="24"/>
              </w:rPr>
              <w:lastRenderedPageBreak/>
              <w:t>Prodcom (FIRA choice of product categories)</w:t>
            </w:r>
          </w:p>
        </w:tc>
        <w:tc>
          <w:tcPr>
            <w:tcW w:w="2272" w:type="dxa"/>
            <w:shd w:val="clear" w:color="auto" w:fill="auto"/>
          </w:tcPr>
          <w:p w:rsidR="00A43C03" w:rsidRPr="00751196" w:rsidRDefault="00A43C03" w:rsidP="00751196">
            <w:pPr>
              <w:pStyle w:val="EBBullet"/>
              <w:keepNext/>
              <w:numPr>
                <w:ilvl w:val="0"/>
                <w:numId w:val="0"/>
              </w:numPr>
              <w:tabs>
                <w:tab w:val="left" w:pos="720"/>
              </w:tabs>
              <w:rPr>
                <w:sz w:val="24"/>
              </w:rPr>
            </w:pPr>
            <w:r w:rsidRPr="00751196">
              <w:rPr>
                <w:sz w:val="24"/>
              </w:rPr>
              <w:t>Manufacture of furniture in the ‘upholstered’ category only</w:t>
            </w:r>
          </w:p>
        </w:tc>
        <w:tc>
          <w:tcPr>
            <w:tcW w:w="2241" w:type="dxa"/>
            <w:shd w:val="clear" w:color="auto" w:fill="auto"/>
          </w:tcPr>
          <w:p w:rsidR="00A43C03" w:rsidRPr="00751196" w:rsidRDefault="00A43C03" w:rsidP="00751196">
            <w:pPr>
              <w:pStyle w:val="EBBullet"/>
              <w:keepNext/>
              <w:numPr>
                <w:ilvl w:val="0"/>
                <w:numId w:val="0"/>
              </w:numPr>
              <w:tabs>
                <w:tab w:val="left" w:pos="720"/>
              </w:tabs>
              <w:rPr>
                <w:sz w:val="24"/>
              </w:rPr>
            </w:pPr>
            <w:r w:rsidRPr="00751196">
              <w:rPr>
                <w:sz w:val="24"/>
              </w:rPr>
              <w:t>Upholstered seating only</w:t>
            </w:r>
          </w:p>
        </w:tc>
        <w:tc>
          <w:tcPr>
            <w:tcW w:w="2039" w:type="dxa"/>
            <w:shd w:val="clear" w:color="auto" w:fill="auto"/>
          </w:tcPr>
          <w:p w:rsidR="00A43C03" w:rsidRPr="00751196" w:rsidRDefault="00A43C03" w:rsidP="00751196">
            <w:pPr>
              <w:pStyle w:val="EBBullet"/>
              <w:keepNext/>
              <w:numPr>
                <w:ilvl w:val="0"/>
                <w:numId w:val="0"/>
              </w:numPr>
              <w:tabs>
                <w:tab w:val="left" w:pos="720"/>
              </w:tabs>
              <w:rPr>
                <w:sz w:val="24"/>
              </w:rPr>
            </w:pPr>
            <w:r w:rsidRPr="00751196">
              <w:rPr>
                <w:sz w:val="24"/>
              </w:rPr>
              <w:t>£0.96 bn</w:t>
            </w:r>
          </w:p>
        </w:tc>
        <w:tc>
          <w:tcPr>
            <w:tcW w:w="1855" w:type="dxa"/>
            <w:shd w:val="clear" w:color="auto" w:fill="auto"/>
          </w:tcPr>
          <w:p w:rsidR="00A43C03" w:rsidRPr="00751196" w:rsidRDefault="00A43C03" w:rsidP="00751196">
            <w:pPr>
              <w:pStyle w:val="EBBullet"/>
              <w:keepNext/>
              <w:numPr>
                <w:ilvl w:val="0"/>
                <w:numId w:val="0"/>
              </w:numPr>
              <w:tabs>
                <w:tab w:val="left" w:pos="720"/>
              </w:tabs>
              <w:rPr>
                <w:sz w:val="24"/>
              </w:rPr>
            </w:pPr>
          </w:p>
        </w:tc>
      </w:tr>
    </w:tbl>
    <w:p w:rsidR="00A43C03" w:rsidRDefault="00A43C03" w:rsidP="00A43C03">
      <w:pPr>
        <w:pStyle w:val="EBBullet"/>
        <w:keepNext/>
        <w:numPr>
          <w:ilvl w:val="0"/>
          <w:numId w:val="0"/>
        </w:numPr>
        <w:tabs>
          <w:tab w:val="left" w:pos="720"/>
        </w:tabs>
        <w:ind w:left="284" w:hanging="284"/>
        <w:rPr>
          <w:sz w:val="24"/>
        </w:rPr>
      </w:pPr>
    </w:p>
    <w:p w:rsidR="00A43C03" w:rsidRDefault="00A43C03" w:rsidP="00A43C03">
      <w:pPr>
        <w:pStyle w:val="EBBullet"/>
        <w:keepNext/>
        <w:numPr>
          <w:ilvl w:val="0"/>
          <w:numId w:val="0"/>
        </w:numPr>
        <w:tabs>
          <w:tab w:val="left" w:pos="720"/>
        </w:tabs>
        <w:ind w:left="720" w:hanging="720"/>
        <w:rPr>
          <w:sz w:val="24"/>
        </w:rPr>
      </w:pPr>
      <w:r>
        <w:rPr>
          <w:sz w:val="24"/>
        </w:rPr>
        <w:t>6.14</w:t>
      </w:r>
      <w:r>
        <w:rPr>
          <w:sz w:val="24"/>
        </w:rPr>
        <w:tab/>
        <w:t xml:space="preserve">As can be seen above, there are several product groups that are not captured in any of the sales data: </w:t>
      </w:r>
    </w:p>
    <w:p w:rsidR="00A43C03" w:rsidRDefault="00A43C03" w:rsidP="0039415E">
      <w:pPr>
        <w:pStyle w:val="EBBullet"/>
        <w:keepNext/>
        <w:numPr>
          <w:ilvl w:val="0"/>
          <w:numId w:val="13"/>
        </w:numPr>
        <w:ind w:firstLine="0"/>
        <w:rPr>
          <w:sz w:val="24"/>
        </w:rPr>
      </w:pPr>
      <w:r>
        <w:rPr>
          <w:sz w:val="24"/>
        </w:rPr>
        <w:t>baby and nursery furniture</w:t>
      </w:r>
    </w:p>
    <w:p w:rsidR="00A43C03" w:rsidRDefault="00A43C03" w:rsidP="0039415E">
      <w:pPr>
        <w:pStyle w:val="EBBullet"/>
        <w:keepNext/>
        <w:numPr>
          <w:ilvl w:val="0"/>
          <w:numId w:val="13"/>
        </w:numPr>
        <w:ind w:firstLine="0"/>
        <w:rPr>
          <w:sz w:val="24"/>
        </w:rPr>
      </w:pPr>
      <w:r>
        <w:rPr>
          <w:sz w:val="24"/>
        </w:rPr>
        <w:t>furniture used in caravans</w:t>
      </w:r>
    </w:p>
    <w:p w:rsidR="00A43C03" w:rsidRDefault="00A43C03" w:rsidP="0039415E">
      <w:pPr>
        <w:pStyle w:val="EBBullet"/>
        <w:keepNext/>
        <w:numPr>
          <w:ilvl w:val="0"/>
          <w:numId w:val="13"/>
        </w:numPr>
        <w:ind w:firstLine="0"/>
        <w:rPr>
          <w:sz w:val="24"/>
        </w:rPr>
      </w:pPr>
      <w:r>
        <w:rPr>
          <w:sz w:val="24"/>
        </w:rPr>
        <w:t>garden upholstered furniture</w:t>
      </w:r>
    </w:p>
    <w:p w:rsidR="00A43C03" w:rsidRPr="00C72198" w:rsidRDefault="00A43C03" w:rsidP="00A43C03">
      <w:pPr>
        <w:pStyle w:val="EBBullet"/>
        <w:keepNext/>
        <w:numPr>
          <w:ilvl w:val="0"/>
          <w:numId w:val="0"/>
        </w:numPr>
        <w:ind w:left="720"/>
        <w:rPr>
          <w:sz w:val="24"/>
        </w:rPr>
      </w:pPr>
    </w:p>
    <w:p w:rsidR="00A43C03" w:rsidRDefault="00A43C03" w:rsidP="00A43C03">
      <w:pPr>
        <w:pStyle w:val="EBBullet"/>
        <w:keepNext/>
        <w:numPr>
          <w:ilvl w:val="0"/>
          <w:numId w:val="0"/>
        </w:numPr>
        <w:tabs>
          <w:tab w:val="left" w:pos="720"/>
        </w:tabs>
        <w:ind w:left="720" w:hanging="720"/>
        <w:rPr>
          <w:sz w:val="24"/>
        </w:rPr>
      </w:pPr>
      <w:r>
        <w:rPr>
          <w:sz w:val="24"/>
        </w:rPr>
        <w:t>6.15</w:t>
      </w:r>
      <w:r>
        <w:rPr>
          <w:sz w:val="24"/>
        </w:rPr>
        <w:tab/>
        <w:t>This sales data is then used with estimates of average cost per item of upholstered furniture (£175) and average metres of treated fabric needed per unit (12 metres) both of which are provided by FIRA, an industry research organisation. These estimates were based on a smaller subsection of furniture sales FIRA believed will be affected compared to BIS estimates. Therefore, this estimate can be considered a lower bound, although as noted in the methodology table below, we do not believe these figures are robust given the difficulty in calculating averages for a diverse category. The calculation of this lower bound of metres of treated fabric annually is shown below and then the cost savings range is applied to give an estimate of treatment cost savings. Finally, an estimate of cost savings from BPA, Baby Products Association, is added to both estimates since this gives an estimate of one of the product categories excluded in the sales data.</w:t>
      </w:r>
    </w:p>
    <w:p w:rsidR="00A43C03" w:rsidRDefault="00A43C03" w:rsidP="00A43C03">
      <w:pPr>
        <w:pStyle w:val="EBBullet"/>
        <w:keepNext/>
        <w:numPr>
          <w:ilvl w:val="0"/>
          <w:numId w:val="0"/>
        </w:numPr>
        <w:tabs>
          <w:tab w:val="left" w:pos="720"/>
        </w:tabs>
        <w:ind w:left="720" w:hanging="720"/>
        <w:rPr>
          <w:sz w:val="24"/>
        </w:rPr>
      </w:pPr>
    </w:p>
    <w:p w:rsidR="00A43C03" w:rsidRDefault="00A43C03" w:rsidP="00A43C03">
      <w:pPr>
        <w:pStyle w:val="EBBullet"/>
        <w:keepNext/>
        <w:numPr>
          <w:ilvl w:val="0"/>
          <w:numId w:val="0"/>
        </w:numPr>
        <w:tabs>
          <w:tab w:val="left" w:pos="720"/>
        </w:tabs>
        <w:ind w:left="284" w:hanging="284"/>
        <w:rPr>
          <w:sz w:val="24"/>
          <w:u w:val="single"/>
        </w:rPr>
      </w:pPr>
      <w:r>
        <w:rPr>
          <w:sz w:val="24"/>
          <w:u w:val="single"/>
        </w:rPr>
        <w:t>Table 5. FIRA’s estimate of annual demand for treating fabrics</w:t>
      </w:r>
    </w:p>
    <w:p w:rsidR="00A43C03" w:rsidRPr="002B3148" w:rsidRDefault="00A43C03" w:rsidP="00A43C03">
      <w:pPr>
        <w:pStyle w:val="EBBullet"/>
        <w:keepNext/>
        <w:numPr>
          <w:ilvl w:val="0"/>
          <w:numId w:val="0"/>
        </w:numPr>
        <w:tabs>
          <w:tab w:val="left" w:pos="720"/>
        </w:tabs>
        <w:ind w:left="284" w:hanging="284"/>
        <w:rPr>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73"/>
        <w:gridCol w:w="3474"/>
        <w:gridCol w:w="3474"/>
      </w:tblGrid>
      <w:tr w:rsidR="00A43C03" w:rsidRPr="00751196" w:rsidTr="00751196">
        <w:tc>
          <w:tcPr>
            <w:tcW w:w="3473" w:type="dxa"/>
            <w:shd w:val="clear" w:color="auto" w:fill="000000"/>
            <w:vAlign w:val="bottom"/>
          </w:tcPr>
          <w:p w:rsidR="00A43C03" w:rsidRPr="00751196" w:rsidRDefault="00A43C03" w:rsidP="00A43C03">
            <w:pPr>
              <w:rPr>
                <w:rFonts w:cs="Arial"/>
                <w:b/>
                <w:color w:val="FFFFFF"/>
                <w:lang w:eastAsia="en-GB"/>
              </w:rPr>
            </w:pPr>
          </w:p>
        </w:tc>
        <w:tc>
          <w:tcPr>
            <w:tcW w:w="3474" w:type="dxa"/>
            <w:shd w:val="clear" w:color="auto" w:fill="000000"/>
            <w:vAlign w:val="bottom"/>
          </w:tcPr>
          <w:p w:rsidR="00A43C03" w:rsidRPr="00751196" w:rsidRDefault="00A43C03" w:rsidP="00A43C03">
            <w:pPr>
              <w:rPr>
                <w:rFonts w:cs="Arial"/>
                <w:b/>
                <w:color w:val="FFFFFF"/>
                <w:lang w:eastAsia="en-GB"/>
              </w:rPr>
            </w:pPr>
            <w:r w:rsidRPr="00751196">
              <w:rPr>
                <w:rFonts w:cs="Arial"/>
                <w:b/>
                <w:color w:val="FFFFFF"/>
                <w:lang w:eastAsia="en-GB"/>
              </w:rPr>
              <w:t>Unit</w:t>
            </w:r>
          </w:p>
        </w:tc>
        <w:tc>
          <w:tcPr>
            <w:tcW w:w="3474" w:type="dxa"/>
            <w:shd w:val="clear" w:color="auto" w:fill="000000"/>
            <w:vAlign w:val="bottom"/>
          </w:tcPr>
          <w:p w:rsidR="00A43C03" w:rsidRPr="00751196" w:rsidRDefault="00A43C03" w:rsidP="00A43C03">
            <w:pPr>
              <w:rPr>
                <w:rFonts w:cs="Arial"/>
                <w:b/>
                <w:color w:val="FFFFFF"/>
                <w:lang w:eastAsia="en-GB"/>
              </w:rPr>
            </w:pPr>
            <w:r w:rsidRPr="00751196">
              <w:rPr>
                <w:rFonts w:cs="Arial"/>
                <w:b/>
                <w:color w:val="FFFFFF"/>
                <w:lang w:eastAsia="en-GB"/>
              </w:rPr>
              <w:t>Value</w:t>
            </w:r>
          </w:p>
        </w:tc>
      </w:tr>
      <w:tr w:rsidR="00A43C03" w:rsidTr="00751196">
        <w:tc>
          <w:tcPr>
            <w:tcW w:w="3473" w:type="dxa"/>
            <w:shd w:val="clear" w:color="auto" w:fill="auto"/>
            <w:vAlign w:val="bottom"/>
          </w:tcPr>
          <w:p w:rsidR="00A43C03" w:rsidRPr="00751196" w:rsidRDefault="00A43C03" w:rsidP="00A43C03">
            <w:pPr>
              <w:rPr>
                <w:rFonts w:cs="Arial"/>
                <w:lang w:eastAsia="en-GB"/>
              </w:rPr>
            </w:pPr>
            <w:r w:rsidRPr="00751196">
              <w:rPr>
                <w:rFonts w:cs="Arial"/>
                <w:lang w:eastAsia="en-GB"/>
              </w:rPr>
              <w:t>Sales</w:t>
            </w:r>
          </w:p>
        </w:tc>
        <w:tc>
          <w:tcPr>
            <w:tcW w:w="3474" w:type="dxa"/>
            <w:shd w:val="clear" w:color="auto" w:fill="auto"/>
            <w:vAlign w:val="bottom"/>
          </w:tcPr>
          <w:p w:rsidR="00A43C03" w:rsidRPr="00751196" w:rsidRDefault="00A43C03" w:rsidP="00A43C03">
            <w:pPr>
              <w:rPr>
                <w:rFonts w:cs="Arial"/>
                <w:lang w:eastAsia="en-GB"/>
              </w:rPr>
            </w:pPr>
            <w:r w:rsidRPr="00751196">
              <w:rPr>
                <w:rFonts w:cs="Arial"/>
                <w:lang w:eastAsia="en-GB"/>
              </w:rPr>
              <w:t>£</w:t>
            </w:r>
          </w:p>
        </w:tc>
        <w:tc>
          <w:tcPr>
            <w:tcW w:w="3474" w:type="dxa"/>
            <w:shd w:val="clear" w:color="auto" w:fill="auto"/>
            <w:vAlign w:val="bottom"/>
          </w:tcPr>
          <w:p w:rsidR="00A43C03" w:rsidRPr="00751196" w:rsidRDefault="00A43C03" w:rsidP="00A43C03">
            <w:pPr>
              <w:rPr>
                <w:rFonts w:cs="Arial"/>
                <w:lang w:eastAsia="en-GB"/>
              </w:rPr>
            </w:pPr>
            <w:r w:rsidRPr="00751196">
              <w:rPr>
                <w:rFonts w:cs="Arial"/>
                <w:lang w:eastAsia="en-GB"/>
              </w:rPr>
              <w:t>956,318,000</w:t>
            </w:r>
          </w:p>
        </w:tc>
      </w:tr>
      <w:tr w:rsidR="00A43C03" w:rsidTr="00751196">
        <w:tc>
          <w:tcPr>
            <w:tcW w:w="3473" w:type="dxa"/>
            <w:shd w:val="clear" w:color="auto" w:fill="auto"/>
            <w:vAlign w:val="bottom"/>
          </w:tcPr>
          <w:p w:rsidR="00A43C03" w:rsidRPr="00751196" w:rsidRDefault="00A43C03" w:rsidP="00A43C03">
            <w:pPr>
              <w:rPr>
                <w:rFonts w:cs="Arial"/>
                <w:lang w:eastAsia="en-GB"/>
              </w:rPr>
            </w:pPr>
            <w:r w:rsidRPr="00751196">
              <w:rPr>
                <w:rFonts w:cs="Arial"/>
                <w:lang w:eastAsia="en-GB"/>
              </w:rPr>
              <w:t>Average cost per item</w:t>
            </w:r>
          </w:p>
        </w:tc>
        <w:tc>
          <w:tcPr>
            <w:tcW w:w="3474" w:type="dxa"/>
            <w:shd w:val="clear" w:color="auto" w:fill="auto"/>
            <w:vAlign w:val="bottom"/>
          </w:tcPr>
          <w:p w:rsidR="00A43C03" w:rsidRPr="00751196" w:rsidRDefault="00A43C03" w:rsidP="00A43C03">
            <w:pPr>
              <w:rPr>
                <w:rFonts w:cs="Arial"/>
                <w:lang w:eastAsia="en-GB"/>
              </w:rPr>
            </w:pPr>
            <w:r w:rsidRPr="00751196">
              <w:rPr>
                <w:rFonts w:cs="Arial"/>
                <w:lang w:eastAsia="en-GB"/>
              </w:rPr>
              <w:t>£</w:t>
            </w:r>
          </w:p>
        </w:tc>
        <w:tc>
          <w:tcPr>
            <w:tcW w:w="3474" w:type="dxa"/>
            <w:shd w:val="clear" w:color="auto" w:fill="auto"/>
            <w:vAlign w:val="bottom"/>
          </w:tcPr>
          <w:p w:rsidR="00A43C03" w:rsidRPr="00751196" w:rsidRDefault="00A43C03" w:rsidP="00A43C03">
            <w:pPr>
              <w:rPr>
                <w:rFonts w:cs="Arial"/>
                <w:lang w:eastAsia="en-GB"/>
              </w:rPr>
            </w:pPr>
            <w:r w:rsidRPr="00751196">
              <w:rPr>
                <w:rFonts w:cs="Arial"/>
                <w:lang w:eastAsia="en-GB"/>
              </w:rPr>
              <w:t>175</w:t>
            </w:r>
          </w:p>
        </w:tc>
      </w:tr>
      <w:tr w:rsidR="00A43C03" w:rsidTr="00751196">
        <w:tc>
          <w:tcPr>
            <w:tcW w:w="3473" w:type="dxa"/>
            <w:shd w:val="clear" w:color="auto" w:fill="auto"/>
            <w:vAlign w:val="bottom"/>
          </w:tcPr>
          <w:p w:rsidR="00A43C03" w:rsidRPr="00751196" w:rsidRDefault="00A43C03" w:rsidP="00A43C03">
            <w:pPr>
              <w:rPr>
                <w:rFonts w:cs="Arial"/>
                <w:lang w:eastAsia="en-GB"/>
              </w:rPr>
            </w:pPr>
            <w:r w:rsidRPr="00751196">
              <w:rPr>
                <w:rFonts w:cs="Arial"/>
                <w:lang w:eastAsia="en-GB"/>
              </w:rPr>
              <w:t>No. of items</w:t>
            </w:r>
          </w:p>
        </w:tc>
        <w:tc>
          <w:tcPr>
            <w:tcW w:w="3474" w:type="dxa"/>
            <w:shd w:val="clear" w:color="auto" w:fill="auto"/>
            <w:vAlign w:val="bottom"/>
          </w:tcPr>
          <w:p w:rsidR="00A43C03" w:rsidRPr="00751196" w:rsidRDefault="00A43C03" w:rsidP="00A43C03">
            <w:pPr>
              <w:rPr>
                <w:rFonts w:cs="Arial"/>
                <w:lang w:eastAsia="en-GB"/>
              </w:rPr>
            </w:pPr>
            <w:r w:rsidRPr="00751196">
              <w:rPr>
                <w:rFonts w:cs="Arial"/>
                <w:lang w:eastAsia="en-GB"/>
              </w:rPr>
              <w:t>No.</w:t>
            </w:r>
          </w:p>
        </w:tc>
        <w:tc>
          <w:tcPr>
            <w:tcW w:w="3474" w:type="dxa"/>
            <w:shd w:val="clear" w:color="auto" w:fill="auto"/>
            <w:vAlign w:val="bottom"/>
          </w:tcPr>
          <w:p w:rsidR="00A43C03" w:rsidRPr="00751196" w:rsidRDefault="00A43C03" w:rsidP="00A43C03">
            <w:pPr>
              <w:rPr>
                <w:rFonts w:cs="Arial"/>
                <w:lang w:eastAsia="en-GB"/>
              </w:rPr>
            </w:pPr>
            <w:r w:rsidRPr="00751196">
              <w:rPr>
                <w:rFonts w:cs="Arial"/>
                <w:lang w:eastAsia="en-GB"/>
              </w:rPr>
              <w:t>5,464,674.29</w:t>
            </w:r>
          </w:p>
        </w:tc>
      </w:tr>
      <w:tr w:rsidR="00A43C03" w:rsidTr="00751196">
        <w:tc>
          <w:tcPr>
            <w:tcW w:w="3473" w:type="dxa"/>
            <w:shd w:val="clear" w:color="auto" w:fill="auto"/>
            <w:vAlign w:val="bottom"/>
          </w:tcPr>
          <w:p w:rsidR="00A43C03" w:rsidRPr="00751196" w:rsidRDefault="00A43C03" w:rsidP="00A43C03">
            <w:pPr>
              <w:rPr>
                <w:rFonts w:cs="Arial"/>
                <w:lang w:eastAsia="en-GB"/>
              </w:rPr>
            </w:pPr>
            <w:r w:rsidRPr="00751196">
              <w:rPr>
                <w:rFonts w:cs="Arial"/>
                <w:lang w:eastAsia="en-GB"/>
              </w:rPr>
              <w:t>Metres per item</w:t>
            </w:r>
          </w:p>
        </w:tc>
        <w:tc>
          <w:tcPr>
            <w:tcW w:w="3474" w:type="dxa"/>
            <w:shd w:val="clear" w:color="auto" w:fill="auto"/>
            <w:vAlign w:val="bottom"/>
          </w:tcPr>
          <w:p w:rsidR="00A43C03" w:rsidRPr="00751196" w:rsidRDefault="00A43C03" w:rsidP="00A43C03">
            <w:pPr>
              <w:rPr>
                <w:rFonts w:cs="Arial"/>
                <w:lang w:eastAsia="en-GB"/>
              </w:rPr>
            </w:pPr>
            <w:r w:rsidRPr="00751196">
              <w:rPr>
                <w:rFonts w:cs="Arial"/>
                <w:lang w:eastAsia="en-GB"/>
              </w:rPr>
              <w:t>metre</w:t>
            </w:r>
          </w:p>
        </w:tc>
        <w:tc>
          <w:tcPr>
            <w:tcW w:w="3474" w:type="dxa"/>
            <w:shd w:val="clear" w:color="auto" w:fill="auto"/>
            <w:vAlign w:val="bottom"/>
          </w:tcPr>
          <w:p w:rsidR="00A43C03" w:rsidRPr="00751196" w:rsidRDefault="00A43C03" w:rsidP="00A43C03">
            <w:pPr>
              <w:rPr>
                <w:rFonts w:cs="Arial"/>
                <w:lang w:eastAsia="en-GB"/>
              </w:rPr>
            </w:pPr>
            <w:r w:rsidRPr="00751196">
              <w:rPr>
                <w:rFonts w:cs="Arial"/>
                <w:lang w:eastAsia="en-GB"/>
              </w:rPr>
              <w:t>12</w:t>
            </w:r>
          </w:p>
        </w:tc>
      </w:tr>
      <w:tr w:rsidR="00A43C03" w:rsidTr="00751196">
        <w:tc>
          <w:tcPr>
            <w:tcW w:w="3473" w:type="dxa"/>
            <w:shd w:val="clear" w:color="auto" w:fill="auto"/>
            <w:vAlign w:val="bottom"/>
          </w:tcPr>
          <w:p w:rsidR="00A43C03" w:rsidRPr="00751196" w:rsidRDefault="00A43C03" w:rsidP="00A43C03">
            <w:pPr>
              <w:rPr>
                <w:rFonts w:cs="Arial"/>
                <w:lang w:eastAsia="en-GB"/>
              </w:rPr>
            </w:pPr>
            <w:r w:rsidRPr="00751196">
              <w:rPr>
                <w:rFonts w:cs="Arial"/>
                <w:lang w:eastAsia="en-GB"/>
              </w:rPr>
              <w:t>Metres of treated fabric</w:t>
            </w:r>
          </w:p>
        </w:tc>
        <w:tc>
          <w:tcPr>
            <w:tcW w:w="3474" w:type="dxa"/>
            <w:shd w:val="clear" w:color="auto" w:fill="auto"/>
            <w:vAlign w:val="bottom"/>
          </w:tcPr>
          <w:p w:rsidR="00A43C03" w:rsidRPr="00751196" w:rsidRDefault="00A43C03" w:rsidP="00A43C03">
            <w:pPr>
              <w:rPr>
                <w:rFonts w:cs="Arial"/>
                <w:lang w:eastAsia="en-GB"/>
              </w:rPr>
            </w:pPr>
            <w:r w:rsidRPr="00751196">
              <w:rPr>
                <w:rFonts w:cs="Arial"/>
                <w:lang w:eastAsia="en-GB"/>
              </w:rPr>
              <w:t>metre</w:t>
            </w:r>
          </w:p>
        </w:tc>
        <w:tc>
          <w:tcPr>
            <w:tcW w:w="3474" w:type="dxa"/>
            <w:shd w:val="clear" w:color="auto" w:fill="auto"/>
            <w:vAlign w:val="bottom"/>
          </w:tcPr>
          <w:p w:rsidR="00A43C03" w:rsidRPr="00751196" w:rsidRDefault="00A43C03" w:rsidP="00A43C03">
            <w:pPr>
              <w:rPr>
                <w:rFonts w:cs="Arial"/>
                <w:lang w:eastAsia="en-GB"/>
              </w:rPr>
            </w:pPr>
            <w:r w:rsidRPr="00751196">
              <w:rPr>
                <w:rFonts w:cs="Arial"/>
                <w:lang w:eastAsia="en-GB"/>
              </w:rPr>
              <w:t>65,576,091.43</w:t>
            </w:r>
          </w:p>
        </w:tc>
      </w:tr>
    </w:tbl>
    <w:p w:rsidR="00A43C03" w:rsidRDefault="00A43C03" w:rsidP="00A43C03">
      <w:pPr>
        <w:pStyle w:val="EBBullet"/>
        <w:keepNext/>
        <w:numPr>
          <w:ilvl w:val="0"/>
          <w:numId w:val="0"/>
        </w:numPr>
        <w:tabs>
          <w:tab w:val="left" w:pos="720"/>
        </w:tabs>
        <w:ind w:left="284" w:hanging="284"/>
        <w:rPr>
          <w:sz w:val="24"/>
          <w:u w:val="single"/>
        </w:rPr>
      </w:pPr>
      <w:r>
        <w:rPr>
          <w:sz w:val="24"/>
          <w:u w:val="single"/>
        </w:rPr>
        <w:lastRenderedPageBreak/>
        <w:t xml:space="preserve">Table 6. </w:t>
      </w:r>
      <w:r w:rsidRPr="002B3148">
        <w:rPr>
          <w:sz w:val="24"/>
          <w:u w:val="single"/>
        </w:rPr>
        <w:t xml:space="preserve">Cost savings assuming FIRA’s </w:t>
      </w:r>
      <w:r>
        <w:rPr>
          <w:sz w:val="24"/>
          <w:u w:val="single"/>
        </w:rPr>
        <w:t xml:space="preserve">estimates for the </w:t>
      </w:r>
      <w:r w:rsidRPr="002B3148">
        <w:rPr>
          <w:sz w:val="24"/>
          <w:u w:val="single"/>
        </w:rPr>
        <w:t>annual demand</w:t>
      </w:r>
      <w:r>
        <w:rPr>
          <w:sz w:val="24"/>
          <w:u w:val="single"/>
        </w:rPr>
        <w:t xml:space="preserve"> for treating fabric</w:t>
      </w:r>
    </w:p>
    <w:p w:rsidR="00A43C03" w:rsidRPr="002B3148" w:rsidRDefault="00A43C03" w:rsidP="00A43C03">
      <w:pPr>
        <w:pStyle w:val="EBBullet"/>
        <w:keepNext/>
        <w:numPr>
          <w:ilvl w:val="0"/>
          <w:numId w:val="0"/>
        </w:numPr>
        <w:tabs>
          <w:tab w:val="left" w:pos="720"/>
        </w:tabs>
        <w:ind w:left="284" w:hanging="284"/>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73"/>
        <w:gridCol w:w="3474"/>
        <w:gridCol w:w="3474"/>
      </w:tblGrid>
      <w:tr w:rsidR="00A43C03" w:rsidRPr="00751196" w:rsidTr="00751196">
        <w:tc>
          <w:tcPr>
            <w:tcW w:w="3473" w:type="dxa"/>
            <w:shd w:val="clear" w:color="auto" w:fill="000000"/>
          </w:tcPr>
          <w:p w:rsidR="00A43C03" w:rsidRPr="00751196" w:rsidRDefault="00A43C03" w:rsidP="00751196">
            <w:pPr>
              <w:pStyle w:val="EBBullet"/>
              <w:keepNext/>
              <w:numPr>
                <w:ilvl w:val="0"/>
                <w:numId w:val="0"/>
              </w:numPr>
              <w:tabs>
                <w:tab w:val="left" w:pos="720"/>
              </w:tabs>
              <w:rPr>
                <w:b/>
                <w:color w:val="FFFFFF"/>
                <w:sz w:val="24"/>
              </w:rPr>
            </w:pPr>
          </w:p>
        </w:tc>
        <w:tc>
          <w:tcPr>
            <w:tcW w:w="3474" w:type="dxa"/>
            <w:shd w:val="clear" w:color="auto" w:fill="000000"/>
          </w:tcPr>
          <w:p w:rsidR="00A43C03" w:rsidRPr="00751196" w:rsidRDefault="00A43C03" w:rsidP="00751196">
            <w:pPr>
              <w:pStyle w:val="EBBullet"/>
              <w:keepNext/>
              <w:numPr>
                <w:ilvl w:val="0"/>
                <w:numId w:val="0"/>
              </w:numPr>
              <w:tabs>
                <w:tab w:val="left" w:pos="720"/>
              </w:tabs>
              <w:rPr>
                <w:b/>
                <w:color w:val="FFFFFF"/>
                <w:sz w:val="24"/>
              </w:rPr>
            </w:pPr>
            <w:r w:rsidRPr="00751196">
              <w:rPr>
                <w:b/>
                <w:color w:val="FFFFFF"/>
                <w:sz w:val="24"/>
              </w:rPr>
              <w:t>LOW</w:t>
            </w:r>
          </w:p>
        </w:tc>
        <w:tc>
          <w:tcPr>
            <w:tcW w:w="3474" w:type="dxa"/>
            <w:shd w:val="clear" w:color="auto" w:fill="000000"/>
          </w:tcPr>
          <w:p w:rsidR="00A43C03" w:rsidRPr="00751196" w:rsidRDefault="00A43C03" w:rsidP="00751196">
            <w:pPr>
              <w:pStyle w:val="EBBullet"/>
              <w:keepNext/>
              <w:numPr>
                <w:ilvl w:val="0"/>
                <w:numId w:val="0"/>
              </w:numPr>
              <w:tabs>
                <w:tab w:val="left" w:pos="720"/>
              </w:tabs>
              <w:rPr>
                <w:b/>
                <w:color w:val="FFFFFF"/>
                <w:sz w:val="24"/>
              </w:rPr>
            </w:pPr>
            <w:r w:rsidRPr="00751196">
              <w:rPr>
                <w:b/>
                <w:color w:val="FFFFFF"/>
                <w:sz w:val="24"/>
              </w:rPr>
              <w:t>HIGH</w:t>
            </w:r>
          </w:p>
        </w:tc>
      </w:tr>
      <w:tr w:rsidR="00A43C03" w:rsidTr="00751196">
        <w:tc>
          <w:tcPr>
            <w:tcW w:w="3473" w:type="dxa"/>
            <w:shd w:val="clear" w:color="auto" w:fill="auto"/>
          </w:tcPr>
          <w:p w:rsidR="00A43C03" w:rsidRPr="00751196" w:rsidRDefault="00A43C03" w:rsidP="00751196">
            <w:pPr>
              <w:pStyle w:val="EBBullet"/>
              <w:keepNext/>
              <w:numPr>
                <w:ilvl w:val="0"/>
                <w:numId w:val="0"/>
              </w:numPr>
              <w:tabs>
                <w:tab w:val="left" w:pos="720"/>
              </w:tabs>
              <w:rPr>
                <w:sz w:val="24"/>
              </w:rPr>
            </w:pPr>
            <w:r w:rsidRPr="00751196">
              <w:rPr>
                <w:sz w:val="24"/>
              </w:rPr>
              <w:t>Metres squared (m2) of fabric treated by UK furniture manufacturers</w:t>
            </w:r>
          </w:p>
        </w:tc>
        <w:tc>
          <w:tcPr>
            <w:tcW w:w="3474" w:type="dxa"/>
            <w:shd w:val="clear" w:color="auto" w:fill="auto"/>
          </w:tcPr>
          <w:p w:rsidR="00A43C03" w:rsidRPr="00751196" w:rsidRDefault="00A43C03" w:rsidP="00751196">
            <w:pPr>
              <w:pStyle w:val="EBBullet"/>
              <w:keepNext/>
              <w:numPr>
                <w:ilvl w:val="0"/>
                <w:numId w:val="0"/>
              </w:numPr>
              <w:tabs>
                <w:tab w:val="left" w:pos="720"/>
              </w:tabs>
              <w:rPr>
                <w:sz w:val="24"/>
              </w:rPr>
            </w:pPr>
            <w:r w:rsidRPr="00751196">
              <w:rPr>
                <w:sz w:val="24"/>
              </w:rPr>
              <w:t>65 million</w:t>
            </w:r>
          </w:p>
        </w:tc>
        <w:tc>
          <w:tcPr>
            <w:tcW w:w="3474" w:type="dxa"/>
            <w:shd w:val="clear" w:color="auto" w:fill="auto"/>
          </w:tcPr>
          <w:p w:rsidR="00A43C03" w:rsidRPr="00751196" w:rsidRDefault="00A43C03" w:rsidP="00751196">
            <w:pPr>
              <w:pStyle w:val="EBBullet"/>
              <w:keepNext/>
              <w:numPr>
                <w:ilvl w:val="0"/>
                <w:numId w:val="0"/>
              </w:numPr>
              <w:tabs>
                <w:tab w:val="left" w:pos="720"/>
              </w:tabs>
              <w:rPr>
                <w:sz w:val="24"/>
              </w:rPr>
            </w:pPr>
            <w:r w:rsidRPr="00751196">
              <w:rPr>
                <w:sz w:val="24"/>
              </w:rPr>
              <w:t>65 million</w:t>
            </w:r>
          </w:p>
        </w:tc>
      </w:tr>
      <w:tr w:rsidR="00A43C03" w:rsidTr="00751196">
        <w:tc>
          <w:tcPr>
            <w:tcW w:w="3473" w:type="dxa"/>
            <w:shd w:val="clear" w:color="auto" w:fill="auto"/>
          </w:tcPr>
          <w:p w:rsidR="00A43C03" w:rsidRPr="00751196" w:rsidRDefault="00A43C03" w:rsidP="00751196">
            <w:pPr>
              <w:pStyle w:val="EBBullet"/>
              <w:keepNext/>
              <w:numPr>
                <w:ilvl w:val="0"/>
                <w:numId w:val="0"/>
              </w:numPr>
              <w:tabs>
                <w:tab w:val="left" w:pos="720"/>
              </w:tabs>
              <w:rPr>
                <w:sz w:val="24"/>
              </w:rPr>
            </w:pPr>
            <w:r w:rsidRPr="00751196">
              <w:rPr>
                <w:sz w:val="24"/>
              </w:rPr>
              <w:t>Cost savings from upholstered furniture</w:t>
            </w:r>
          </w:p>
        </w:tc>
        <w:tc>
          <w:tcPr>
            <w:tcW w:w="3474" w:type="dxa"/>
            <w:shd w:val="clear" w:color="auto" w:fill="auto"/>
          </w:tcPr>
          <w:p w:rsidR="00A43C03" w:rsidRPr="00751196" w:rsidRDefault="00A43C03" w:rsidP="00751196">
            <w:pPr>
              <w:pStyle w:val="EBBullet"/>
              <w:keepNext/>
              <w:numPr>
                <w:ilvl w:val="0"/>
                <w:numId w:val="0"/>
              </w:numPr>
              <w:tabs>
                <w:tab w:val="left" w:pos="720"/>
              </w:tabs>
              <w:rPr>
                <w:sz w:val="24"/>
              </w:rPr>
            </w:pPr>
            <w:r w:rsidRPr="00751196">
              <w:rPr>
                <w:sz w:val="24"/>
              </w:rPr>
              <w:t>£7.5m</w:t>
            </w:r>
          </w:p>
        </w:tc>
        <w:tc>
          <w:tcPr>
            <w:tcW w:w="3474" w:type="dxa"/>
            <w:shd w:val="clear" w:color="auto" w:fill="auto"/>
          </w:tcPr>
          <w:p w:rsidR="00A43C03" w:rsidRPr="00751196" w:rsidRDefault="00A43C03" w:rsidP="00751196">
            <w:pPr>
              <w:pStyle w:val="EBBullet"/>
              <w:keepNext/>
              <w:numPr>
                <w:ilvl w:val="0"/>
                <w:numId w:val="0"/>
              </w:numPr>
              <w:tabs>
                <w:tab w:val="left" w:pos="720"/>
              </w:tabs>
              <w:rPr>
                <w:sz w:val="24"/>
              </w:rPr>
            </w:pPr>
            <w:r w:rsidRPr="00751196">
              <w:rPr>
                <w:sz w:val="24"/>
              </w:rPr>
              <w:t>£21.3m</w:t>
            </w:r>
          </w:p>
        </w:tc>
      </w:tr>
      <w:tr w:rsidR="00A43C03" w:rsidTr="00751196">
        <w:tc>
          <w:tcPr>
            <w:tcW w:w="3473" w:type="dxa"/>
            <w:shd w:val="clear" w:color="auto" w:fill="auto"/>
          </w:tcPr>
          <w:p w:rsidR="00A43C03" w:rsidRPr="00751196" w:rsidRDefault="00A43C03" w:rsidP="00751196">
            <w:pPr>
              <w:pStyle w:val="EBBullet"/>
              <w:keepNext/>
              <w:numPr>
                <w:ilvl w:val="0"/>
                <w:numId w:val="0"/>
              </w:numPr>
              <w:tabs>
                <w:tab w:val="left" w:pos="720"/>
              </w:tabs>
              <w:rPr>
                <w:sz w:val="24"/>
              </w:rPr>
            </w:pPr>
            <w:r w:rsidRPr="00751196">
              <w:rPr>
                <w:sz w:val="24"/>
              </w:rPr>
              <w:t>Total cost savings including nursery products</w:t>
            </w:r>
            <w:r>
              <w:rPr>
                <w:rStyle w:val="FootnoteReference"/>
              </w:rPr>
              <w:footnoteReference w:id="18"/>
            </w:r>
          </w:p>
        </w:tc>
        <w:tc>
          <w:tcPr>
            <w:tcW w:w="3474" w:type="dxa"/>
            <w:shd w:val="clear" w:color="auto" w:fill="auto"/>
          </w:tcPr>
          <w:p w:rsidR="00A43C03" w:rsidRPr="00751196" w:rsidRDefault="00A43C03" w:rsidP="00751196">
            <w:pPr>
              <w:pStyle w:val="EBBullet"/>
              <w:keepNext/>
              <w:numPr>
                <w:ilvl w:val="0"/>
                <w:numId w:val="0"/>
              </w:numPr>
              <w:tabs>
                <w:tab w:val="left" w:pos="720"/>
              </w:tabs>
              <w:rPr>
                <w:sz w:val="24"/>
              </w:rPr>
            </w:pPr>
            <w:r w:rsidRPr="00751196">
              <w:rPr>
                <w:sz w:val="24"/>
              </w:rPr>
              <w:t>£13.5m</w:t>
            </w:r>
          </w:p>
        </w:tc>
        <w:tc>
          <w:tcPr>
            <w:tcW w:w="3474" w:type="dxa"/>
            <w:shd w:val="clear" w:color="auto" w:fill="auto"/>
          </w:tcPr>
          <w:p w:rsidR="00A43C03" w:rsidRPr="00751196" w:rsidRDefault="00A43C03" w:rsidP="00751196">
            <w:pPr>
              <w:pStyle w:val="EBBullet"/>
              <w:keepNext/>
              <w:numPr>
                <w:ilvl w:val="0"/>
                <w:numId w:val="0"/>
              </w:numPr>
              <w:tabs>
                <w:tab w:val="left" w:pos="720"/>
              </w:tabs>
              <w:rPr>
                <w:sz w:val="24"/>
              </w:rPr>
            </w:pPr>
            <w:r w:rsidRPr="00751196">
              <w:rPr>
                <w:sz w:val="24"/>
              </w:rPr>
              <w:t>£27.3m</w:t>
            </w:r>
          </w:p>
        </w:tc>
      </w:tr>
    </w:tbl>
    <w:p w:rsidR="00A43C03" w:rsidRDefault="00A43C03" w:rsidP="00A43C03">
      <w:pPr>
        <w:pStyle w:val="EBBullet"/>
        <w:keepNext/>
        <w:numPr>
          <w:ilvl w:val="0"/>
          <w:numId w:val="0"/>
        </w:numPr>
        <w:tabs>
          <w:tab w:val="left" w:pos="720"/>
        </w:tabs>
        <w:ind w:left="284" w:firstLine="76"/>
        <w:rPr>
          <w:sz w:val="24"/>
        </w:rPr>
      </w:pPr>
    </w:p>
    <w:p w:rsidR="00A43C03" w:rsidRDefault="00A43C03" w:rsidP="00A43C03">
      <w:pPr>
        <w:pStyle w:val="EBBullet"/>
        <w:keepNext/>
        <w:numPr>
          <w:ilvl w:val="0"/>
          <w:numId w:val="0"/>
        </w:numPr>
        <w:tabs>
          <w:tab w:val="left" w:pos="720"/>
        </w:tabs>
        <w:ind w:left="720" w:hanging="720"/>
        <w:rPr>
          <w:sz w:val="24"/>
        </w:rPr>
      </w:pPr>
      <w:r>
        <w:rPr>
          <w:sz w:val="24"/>
        </w:rPr>
        <w:t>6.16</w:t>
      </w:r>
      <w:r>
        <w:rPr>
          <w:sz w:val="24"/>
        </w:rPr>
        <w:tab/>
        <w:t xml:space="preserve">The additional cost savings are from nursery products, which will not be included in the PRODCOM sales data used to calculate the upholstered furniture cost savings. The £6m of cost savings was estimated by the Baby Products Association (BPA) based on a survey of their members. The uncertainty driving the range is on the cost savings in reducing the amount of chemicals for treated fabrics, which gives a total cost saving to business of between £13.5m and £27.3m. This figure doesn’t include estimates on the cost savings for upholstered garden furniture and furniture used in static homes and caravans, however these sales are presumed to be of a lower magnitude but again suggest an underestimation in cost savings to all businesses affected. </w:t>
      </w:r>
    </w:p>
    <w:p w:rsidR="00A43C03" w:rsidRDefault="00A43C03" w:rsidP="00A43C03">
      <w:pPr>
        <w:pStyle w:val="EBBullet"/>
        <w:keepNext/>
        <w:numPr>
          <w:ilvl w:val="0"/>
          <w:numId w:val="0"/>
        </w:numPr>
        <w:tabs>
          <w:tab w:val="left" w:pos="720"/>
        </w:tabs>
        <w:ind w:left="284" w:hanging="284"/>
        <w:rPr>
          <w:sz w:val="24"/>
        </w:rPr>
      </w:pPr>
    </w:p>
    <w:p w:rsidR="00A43C03" w:rsidRPr="00556AB7" w:rsidRDefault="00A43C03" w:rsidP="00A43C03">
      <w:pPr>
        <w:pStyle w:val="EBBullet"/>
        <w:keepNext/>
        <w:numPr>
          <w:ilvl w:val="0"/>
          <w:numId w:val="0"/>
        </w:numPr>
        <w:pBdr>
          <w:top w:val="single" w:sz="4" w:space="1" w:color="auto"/>
          <w:left w:val="single" w:sz="4" w:space="4" w:color="auto"/>
          <w:bottom w:val="single" w:sz="4" w:space="1" w:color="auto"/>
          <w:right w:val="single" w:sz="4" w:space="4" w:color="auto"/>
        </w:pBdr>
        <w:tabs>
          <w:tab w:val="left" w:pos="720"/>
        </w:tabs>
        <w:ind w:left="720" w:hanging="720"/>
        <w:rPr>
          <w:i/>
          <w:sz w:val="24"/>
        </w:rPr>
      </w:pPr>
      <w:r w:rsidRPr="00675A4A">
        <w:rPr>
          <w:b/>
          <w:sz w:val="24"/>
        </w:rPr>
        <w:t>Q</w:t>
      </w:r>
      <w:r>
        <w:rPr>
          <w:b/>
          <w:sz w:val="24"/>
        </w:rPr>
        <w:t>8</w:t>
      </w:r>
      <w:r w:rsidRPr="00675A4A">
        <w:rPr>
          <w:b/>
          <w:sz w:val="24"/>
        </w:rPr>
        <w:t>:</w:t>
      </w:r>
      <w:r>
        <w:rPr>
          <w:sz w:val="24"/>
        </w:rPr>
        <w:t xml:space="preserve"> Do you agree with the cost estimates above? Could you provide alternative estimates? Could you provide estimates of cost savings for upholstered garden furniture and/or caravan upholstered furniture?</w:t>
      </w:r>
    </w:p>
    <w:p w:rsidR="00A43C03" w:rsidRDefault="00A43C03" w:rsidP="00A43C03">
      <w:pPr>
        <w:pStyle w:val="EBBullet"/>
        <w:keepNext/>
        <w:numPr>
          <w:ilvl w:val="0"/>
          <w:numId w:val="0"/>
        </w:numPr>
        <w:tabs>
          <w:tab w:val="left" w:pos="720"/>
        </w:tabs>
        <w:ind w:left="284" w:hanging="284"/>
        <w:rPr>
          <w:sz w:val="24"/>
        </w:rPr>
      </w:pPr>
    </w:p>
    <w:p w:rsidR="00A43C03" w:rsidRDefault="00A43C03" w:rsidP="00A43C03">
      <w:pPr>
        <w:pStyle w:val="EBBullet"/>
        <w:keepNext/>
        <w:numPr>
          <w:ilvl w:val="0"/>
          <w:numId w:val="0"/>
        </w:numPr>
        <w:tabs>
          <w:tab w:val="left" w:pos="-360"/>
        </w:tabs>
        <w:ind w:left="720" w:hanging="720"/>
        <w:rPr>
          <w:i/>
          <w:sz w:val="24"/>
        </w:rPr>
      </w:pPr>
      <w:r>
        <w:rPr>
          <w:i/>
          <w:sz w:val="24"/>
        </w:rPr>
        <w:t>Methodology 2 – Household demand (bottom up)</w:t>
      </w:r>
    </w:p>
    <w:p w:rsidR="00A43C03" w:rsidRDefault="00A43C03" w:rsidP="00A43C03">
      <w:pPr>
        <w:pStyle w:val="EBBullet"/>
        <w:keepNext/>
        <w:numPr>
          <w:ilvl w:val="0"/>
          <w:numId w:val="0"/>
        </w:numPr>
        <w:tabs>
          <w:tab w:val="left" w:pos="-360"/>
        </w:tabs>
        <w:ind w:left="720" w:hanging="720"/>
        <w:rPr>
          <w:sz w:val="24"/>
        </w:rPr>
      </w:pPr>
    </w:p>
    <w:p w:rsidR="00A43C03" w:rsidRDefault="00A43C03" w:rsidP="00A43C03">
      <w:pPr>
        <w:pStyle w:val="EBBullet"/>
        <w:keepNext/>
        <w:numPr>
          <w:ilvl w:val="0"/>
          <w:numId w:val="0"/>
        </w:numPr>
        <w:tabs>
          <w:tab w:val="left" w:pos="720"/>
        </w:tabs>
        <w:ind w:left="720" w:hanging="720"/>
        <w:rPr>
          <w:sz w:val="24"/>
        </w:rPr>
      </w:pPr>
      <w:r>
        <w:rPr>
          <w:sz w:val="24"/>
        </w:rPr>
        <w:t>6.17</w:t>
      </w:r>
      <w:r>
        <w:rPr>
          <w:sz w:val="24"/>
        </w:rPr>
        <w:tab/>
        <w:t>The calculations below shows that demand for treating fabric was estimated by calculating consumer demand for furniture, rather than through sales, as above. As highlighted in the table above, this methodology is likely to contain some uncertainties. This is because no survey data is available that calculates the average amount of treated fabric in households. This is the major uncertainty in estimating demand, therefore a range is used. In the high estimates it is assumed each household has one sofa, two upholstered chairs and 5m of other upholstered goods, such as floor cushions, pouffes and dining chairs.</w:t>
      </w:r>
      <w:r>
        <w:rPr>
          <w:rStyle w:val="FootnoteReference"/>
        </w:rPr>
        <w:footnoteReference w:id="19"/>
      </w:r>
      <w:r>
        <w:rPr>
          <w:sz w:val="24"/>
        </w:rPr>
        <w:t xml:space="preserve"> The low estimate assumes each household has one sofa only, which is assumed to contain only 12m of fabric and 5m of other upholstered goods. As discussed above (6.14), we have not included estimates for other FFRs products such as garden furniture, furniture for mobile homes, baby products (prams, buggies, strollers, car seats) and nursery furniture, which may raise the final estimates. Additionally, many </w:t>
      </w:r>
      <w:r>
        <w:rPr>
          <w:sz w:val="24"/>
        </w:rPr>
        <w:lastRenderedPageBreak/>
        <w:t>households will have more than one sofa, and a sofa can contain around 15-20 metres of fabric. The other sensitivity towards calculating total costs is the cost savings for fabric treatment (above). The assumptions, together with their sources, are shown in the table below:</w:t>
      </w:r>
    </w:p>
    <w:p w:rsidR="00A43C03" w:rsidRDefault="00A43C03" w:rsidP="00A43C03">
      <w:pPr>
        <w:pStyle w:val="EBBullet"/>
        <w:keepNext/>
        <w:numPr>
          <w:ilvl w:val="0"/>
          <w:numId w:val="0"/>
        </w:numPr>
        <w:tabs>
          <w:tab w:val="left" w:pos="720"/>
        </w:tabs>
        <w:ind w:left="720" w:hanging="720"/>
        <w:rPr>
          <w:sz w:val="24"/>
        </w:rPr>
      </w:pPr>
    </w:p>
    <w:p w:rsidR="00A43C03" w:rsidRDefault="00A43C03" w:rsidP="00A43C03">
      <w:pPr>
        <w:pStyle w:val="EBBullet"/>
        <w:keepNext/>
        <w:numPr>
          <w:ilvl w:val="0"/>
          <w:numId w:val="0"/>
        </w:numPr>
        <w:tabs>
          <w:tab w:val="left" w:pos="720"/>
        </w:tabs>
        <w:ind w:left="720" w:hanging="720"/>
        <w:rPr>
          <w:sz w:val="24"/>
        </w:rPr>
      </w:pPr>
    </w:p>
    <w:p w:rsidR="00A43C03" w:rsidRDefault="00A43C03" w:rsidP="00A43C03">
      <w:pPr>
        <w:pStyle w:val="EBBullet"/>
        <w:keepNext/>
        <w:numPr>
          <w:ilvl w:val="0"/>
          <w:numId w:val="0"/>
        </w:numPr>
        <w:tabs>
          <w:tab w:val="left" w:pos="720"/>
        </w:tabs>
        <w:ind w:left="720" w:hanging="720"/>
        <w:rPr>
          <w:sz w:val="24"/>
          <w:u w:val="single"/>
        </w:rPr>
      </w:pPr>
      <w:r w:rsidRPr="00F47E94">
        <w:rPr>
          <w:sz w:val="24"/>
          <w:u w:val="single"/>
        </w:rPr>
        <w:t>Table 7. Annual</w:t>
      </w:r>
      <w:r w:rsidRPr="00D96DB7">
        <w:rPr>
          <w:sz w:val="24"/>
          <w:u w:val="single"/>
        </w:rPr>
        <w:t xml:space="preserve"> domestic Demand for treated fabric</w:t>
      </w:r>
      <w:r>
        <w:rPr>
          <w:sz w:val="24"/>
          <w:u w:val="single"/>
        </w:rPr>
        <w:t>: Bottom up methodology</w:t>
      </w:r>
    </w:p>
    <w:p w:rsidR="00A43C03" w:rsidRPr="00D96DB7" w:rsidRDefault="00A43C03" w:rsidP="00A43C03">
      <w:pPr>
        <w:pStyle w:val="EBBullet"/>
        <w:keepNext/>
        <w:numPr>
          <w:ilvl w:val="0"/>
          <w:numId w:val="0"/>
        </w:numPr>
        <w:tabs>
          <w:tab w:val="left" w:pos="720"/>
        </w:tabs>
        <w:ind w:left="720" w:hanging="720"/>
        <w:rPr>
          <w:sz w:val="24"/>
          <w:u w:val="single"/>
        </w:rPr>
      </w:pPr>
    </w:p>
    <w:tbl>
      <w:tblPr>
        <w:tblW w:w="11121" w:type="dxa"/>
        <w:tblLook w:val="0000" w:firstRow="0" w:lastRow="0" w:firstColumn="0" w:lastColumn="0" w:noHBand="0" w:noVBand="0"/>
      </w:tblPr>
      <w:tblGrid>
        <w:gridCol w:w="2849"/>
        <w:gridCol w:w="1579"/>
        <w:gridCol w:w="1260"/>
        <w:gridCol w:w="5433"/>
      </w:tblGrid>
      <w:tr w:rsidR="00A43C03" w:rsidRPr="00D96DB7" w:rsidTr="00A43C03">
        <w:trPr>
          <w:trHeight w:val="300"/>
        </w:trPr>
        <w:tc>
          <w:tcPr>
            <w:tcW w:w="2849" w:type="dxa"/>
            <w:tcBorders>
              <w:top w:val="nil"/>
              <w:left w:val="nil"/>
              <w:bottom w:val="nil"/>
              <w:right w:val="nil"/>
            </w:tcBorders>
            <w:shd w:val="clear" w:color="auto" w:fill="000000"/>
            <w:noWrap/>
            <w:vAlign w:val="bottom"/>
          </w:tcPr>
          <w:p w:rsidR="00A43C03" w:rsidRPr="00D96DB7" w:rsidRDefault="00A43C03" w:rsidP="00A43C03">
            <w:pPr>
              <w:rPr>
                <w:rFonts w:cs="Arial"/>
                <w:b/>
                <w:color w:val="FFFFFF"/>
                <w:lang w:eastAsia="en-GB"/>
              </w:rPr>
            </w:pPr>
          </w:p>
        </w:tc>
        <w:tc>
          <w:tcPr>
            <w:tcW w:w="1579" w:type="dxa"/>
            <w:tcBorders>
              <w:top w:val="nil"/>
              <w:left w:val="nil"/>
              <w:bottom w:val="nil"/>
              <w:right w:val="nil"/>
            </w:tcBorders>
            <w:shd w:val="clear" w:color="auto" w:fill="000000"/>
            <w:noWrap/>
            <w:vAlign w:val="bottom"/>
          </w:tcPr>
          <w:p w:rsidR="00A43C03" w:rsidRPr="00D96DB7" w:rsidRDefault="00A43C03" w:rsidP="00A43C03">
            <w:pPr>
              <w:rPr>
                <w:rFonts w:cs="Arial"/>
                <w:b/>
                <w:color w:val="FFFFFF"/>
                <w:lang w:eastAsia="en-GB"/>
              </w:rPr>
            </w:pPr>
            <w:r w:rsidRPr="00D96DB7">
              <w:rPr>
                <w:rFonts w:cs="Arial"/>
                <w:b/>
                <w:color w:val="FFFFFF"/>
                <w:lang w:eastAsia="en-GB"/>
              </w:rPr>
              <w:t>HIGH</w:t>
            </w:r>
          </w:p>
        </w:tc>
        <w:tc>
          <w:tcPr>
            <w:tcW w:w="1260" w:type="dxa"/>
            <w:tcBorders>
              <w:top w:val="nil"/>
              <w:left w:val="nil"/>
              <w:bottom w:val="nil"/>
              <w:right w:val="nil"/>
            </w:tcBorders>
            <w:shd w:val="clear" w:color="auto" w:fill="000000"/>
            <w:noWrap/>
            <w:vAlign w:val="bottom"/>
          </w:tcPr>
          <w:p w:rsidR="00A43C03" w:rsidRPr="00D96DB7" w:rsidRDefault="00A43C03" w:rsidP="00A43C03">
            <w:pPr>
              <w:rPr>
                <w:rFonts w:cs="Arial"/>
                <w:b/>
                <w:color w:val="FFFFFF"/>
                <w:lang w:eastAsia="en-GB"/>
              </w:rPr>
            </w:pPr>
            <w:r w:rsidRPr="00D96DB7">
              <w:rPr>
                <w:rFonts w:cs="Arial"/>
                <w:b/>
                <w:color w:val="FFFFFF"/>
                <w:lang w:eastAsia="en-GB"/>
              </w:rPr>
              <w:t>LOW</w:t>
            </w:r>
          </w:p>
        </w:tc>
        <w:tc>
          <w:tcPr>
            <w:tcW w:w="5433" w:type="dxa"/>
            <w:tcBorders>
              <w:top w:val="nil"/>
              <w:left w:val="nil"/>
              <w:bottom w:val="nil"/>
              <w:right w:val="nil"/>
            </w:tcBorders>
            <w:shd w:val="clear" w:color="auto" w:fill="000000"/>
            <w:noWrap/>
            <w:vAlign w:val="bottom"/>
          </w:tcPr>
          <w:p w:rsidR="00A43C03" w:rsidRPr="00D96DB7" w:rsidRDefault="00A43C03" w:rsidP="00A43C03">
            <w:pPr>
              <w:rPr>
                <w:rFonts w:cs="Arial"/>
                <w:b/>
                <w:color w:val="FFFFFF"/>
                <w:lang w:eastAsia="en-GB"/>
              </w:rPr>
            </w:pPr>
            <w:r w:rsidRPr="00D96DB7">
              <w:rPr>
                <w:rFonts w:cs="Arial"/>
                <w:b/>
                <w:color w:val="FFFFFF"/>
                <w:lang w:eastAsia="en-GB"/>
              </w:rPr>
              <w:t>SOURCE</w:t>
            </w:r>
          </w:p>
        </w:tc>
      </w:tr>
      <w:tr w:rsidR="00A43C03" w:rsidRPr="00D96DB7" w:rsidTr="00A43C03">
        <w:trPr>
          <w:trHeight w:val="300"/>
        </w:trPr>
        <w:tc>
          <w:tcPr>
            <w:tcW w:w="2849" w:type="dxa"/>
            <w:tcBorders>
              <w:top w:val="nil"/>
              <w:left w:val="nil"/>
              <w:bottom w:val="nil"/>
              <w:right w:val="nil"/>
            </w:tcBorders>
            <w:shd w:val="clear" w:color="auto" w:fill="auto"/>
            <w:noWrap/>
            <w:vAlign w:val="bottom"/>
          </w:tcPr>
          <w:p w:rsidR="00A43C03" w:rsidRPr="00D96DB7" w:rsidRDefault="00A43C03" w:rsidP="00A43C03">
            <w:pPr>
              <w:rPr>
                <w:rFonts w:cs="Arial"/>
                <w:lang w:eastAsia="en-GB"/>
              </w:rPr>
            </w:pPr>
            <w:r w:rsidRPr="00D96DB7">
              <w:rPr>
                <w:rFonts w:cs="Arial"/>
                <w:lang w:eastAsia="en-GB"/>
              </w:rPr>
              <w:t>Number of Households in the UK</w:t>
            </w:r>
          </w:p>
        </w:tc>
        <w:tc>
          <w:tcPr>
            <w:tcW w:w="1579" w:type="dxa"/>
            <w:tcBorders>
              <w:top w:val="nil"/>
              <w:left w:val="nil"/>
              <w:bottom w:val="nil"/>
              <w:right w:val="nil"/>
            </w:tcBorders>
            <w:shd w:val="clear" w:color="auto" w:fill="auto"/>
            <w:noWrap/>
            <w:vAlign w:val="center"/>
          </w:tcPr>
          <w:p w:rsidR="00A43C03" w:rsidRPr="00D96DB7" w:rsidRDefault="00A43C03" w:rsidP="00A43C03">
            <w:pPr>
              <w:rPr>
                <w:rFonts w:cs="Arial"/>
                <w:lang w:eastAsia="en-GB"/>
              </w:rPr>
            </w:pPr>
            <w:r w:rsidRPr="00D96DB7">
              <w:rPr>
                <w:rFonts w:cs="Arial"/>
                <w:lang w:eastAsia="en-GB"/>
              </w:rPr>
              <w:t>26.4m</w:t>
            </w:r>
          </w:p>
        </w:tc>
        <w:tc>
          <w:tcPr>
            <w:tcW w:w="1260" w:type="dxa"/>
            <w:tcBorders>
              <w:top w:val="nil"/>
              <w:left w:val="nil"/>
              <w:bottom w:val="nil"/>
              <w:right w:val="nil"/>
            </w:tcBorders>
            <w:shd w:val="clear" w:color="auto" w:fill="auto"/>
            <w:noWrap/>
            <w:vAlign w:val="center"/>
          </w:tcPr>
          <w:p w:rsidR="00A43C03" w:rsidRPr="00D96DB7" w:rsidRDefault="00A43C03" w:rsidP="00A43C03">
            <w:pPr>
              <w:rPr>
                <w:rFonts w:cs="Arial"/>
                <w:lang w:eastAsia="en-GB"/>
              </w:rPr>
            </w:pPr>
            <w:r w:rsidRPr="00D96DB7">
              <w:rPr>
                <w:rFonts w:cs="Arial"/>
                <w:lang w:eastAsia="en-GB"/>
              </w:rPr>
              <w:t>26.4m</w:t>
            </w:r>
          </w:p>
        </w:tc>
        <w:tc>
          <w:tcPr>
            <w:tcW w:w="5433" w:type="dxa"/>
            <w:tcBorders>
              <w:top w:val="nil"/>
              <w:left w:val="nil"/>
              <w:bottom w:val="nil"/>
              <w:right w:val="nil"/>
            </w:tcBorders>
            <w:shd w:val="clear" w:color="auto" w:fill="auto"/>
            <w:noWrap/>
            <w:vAlign w:val="center"/>
          </w:tcPr>
          <w:p w:rsidR="00A43C03" w:rsidRPr="00D96DB7" w:rsidRDefault="00A43C03" w:rsidP="00A43C03">
            <w:pPr>
              <w:rPr>
                <w:rFonts w:cs="Arial"/>
                <w:lang w:eastAsia="en-GB"/>
              </w:rPr>
            </w:pPr>
            <w:r w:rsidRPr="00D96DB7">
              <w:rPr>
                <w:rFonts w:cs="Arial"/>
                <w:lang w:eastAsia="en-GB"/>
              </w:rPr>
              <w:t>ONS (2012)</w:t>
            </w:r>
            <w:r>
              <w:rPr>
                <w:rStyle w:val="FootnoteReference"/>
                <w:lang w:eastAsia="en-GB"/>
              </w:rPr>
              <w:footnoteReference w:id="20"/>
            </w:r>
          </w:p>
        </w:tc>
      </w:tr>
      <w:tr w:rsidR="00A43C03" w:rsidRPr="00D96DB7" w:rsidTr="00A43C03">
        <w:trPr>
          <w:trHeight w:val="300"/>
        </w:trPr>
        <w:tc>
          <w:tcPr>
            <w:tcW w:w="2849" w:type="dxa"/>
            <w:tcBorders>
              <w:top w:val="nil"/>
              <w:left w:val="nil"/>
              <w:bottom w:val="nil"/>
              <w:right w:val="nil"/>
            </w:tcBorders>
            <w:shd w:val="clear" w:color="auto" w:fill="auto"/>
            <w:noWrap/>
            <w:vAlign w:val="bottom"/>
          </w:tcPr>
          <w:p w:rsidR="00A43C03" w:rsidRPr="00D96DB7" w:rsidRDefault="00A43C03" w:rsidP="00A43C03">
            <w:pPr>
              <w:rPr>
                <w:rFonts w:cs="Arial"/>
                <w:lang w:eastAsia="en-GB"/>
              </w:rPr>
            </w:pPr>
            <w:r w:rsidRPr="00D96DB7">
              <w:rPr>
                <w:rFonts w:cs="Arial"/>
                <w:lang w:eastAsia="en-GB"/>
              </w:rPr>
              <w:t>UK manuf</w:t>
            </w:r>
            <w:r>
              <w:rPr>
                <w:rFonts w:cs="Arial"/>
                <w:lang w:eastAsia="en-GB"/>
              </w:rPr>
              <w:t>acturers’</w:t>
            </w:r>
            <w:r w:rsidRPr="00D96DB7">
              <w:rPr>
                <w:rFonts w:cs="Arial"/>
                <w:lang w:eastAsia="en-GB"/>
              </w:rPr>
              <w:t xml:space="preserve"> share of domestic furniture sales</w:t>
            </w:r>
          </w:p>
        </w:tc>
        <w:tc>
          <w:tcPr>
            <w:tcW w:w="1579" w:type="dxa"/>
            <w:tcBorders>
              <w:top w:val="nil"/>
              <w:left w:val="nil"/>
              <w:bottom w:val="nil"/>
              <w:right w:val="nil"/>
            </w:tcBorders>
            <w:shd w:val="clear" w:color="auto" w:fill="auto"/>
            <w:noWrap/>
            <w:vAlign w:val="center"/>
          </w:tcPr>
          <w:p w:rsidR="00A43C03" w:rsidRPr="00D96DB7" w:rsidRDefault="00A43C03" w:rsidP="00A43C03">
            <w:pPr>
              <w:rPr>
                <w:rFonts w:cs="Arial"/>
                <w:lang w:eastAsia="en-GB"/>
              </w:rPr>
            </w:pPr>
            <w:r w:rsidRPr="00D96DB7">
              <w:rPr>
                <w:rFonts w:cs="Arial"/>
                <w:lang w:eastAsia="en-GB"/>
              </w:rPr>
              <w:t>54%</w:t>
            </w:r>
          </w:p>
        </w:tc>
        <w:tc>
          <w:tcPr>
            <w:tcW w:w="1260" w:type="dxa"/>
            <w:tcBorders>
              <w:top w:val="nil"/>
              <w:left w:val="nil"/>
              <w:bottom w:val="nil"/>
              <w:right w:val="nil"/>
            </w:tcBorders>
            <w:shd w:val="clear" w:color="auto" w:fill="auto"/>
            <w:noWrap/>
            <w:vAlign w:val="center"/>
          </w:tcPr>
          <w:p w:rsidR="00A43C03" w:rsidRPr="00D96DB7" w:rsidRDefault="00A43C03" w:rsidP="00A43C03">
            <w:pPr>
              <w:rPr>
                <w:rFonts w:cs="Arial"/>
                <w:lang w:eastAsia="en-GB"/>
              </w:rPr>
            </w:pPr>
            <w:r w:rsidRPr="00D96DB7">
              <w:rPr>
                <w:rFonts w:cs="Arial"/>
                <w:lang w:eastAsia="en-GB"/>
              </w:rPr>
              <w:t>54%</w:t>
            </w:r>
          </w:p>
        </w:tc>
        <w:tc>
          <w:tcPr>
            <w:tcW w:w="5433" w:type="dxa"/>
            <w:tcBorders>
              <w:top w:val="nil"/>
              <w:left w:val="nil"/>
              <w:bottom w:val="nil"/>
              <w:right w:val="nil"/>
            </w:tcBorders>
            <w:shd w:val="clear" w:color="auto" w:fill="auto"/>
            <w:noWrap/>
            <w:vAlign w:val="center"/>
          </w:tcPr>
          <w:p w:rsidR="00A43C03" w:rsidRPr="00D96DB7" w:rsidRDefault="00A43C03" w:rsidP="00A43C03">
            <w:pPr>
              <w:rPr>
                <w:rFonts w:cs="Arial"/>
                <w:lang w:eastAsia="en-GB"/>
              </w:rPr>
            </w:pPr>
            <w:r w:rsidRPr="00D96DB7">
              <w:rPr>
                <w:rFonts w:cs="Arial"/>
                <w:lang w:eastAsia="en-GB"/>
              </w:rPr>
              <w:t>PRODCOM data, BIS calculations</w:t>
            </w:r>
          </w:p>
        </w:tc>
      </w:tr>
      <w:tr w:rsidR="00A43C03" w:rsidRPr="00D96DB7" w:rsidTr="00A43C03">
        <w:trPr>
          <w:trHeight w:val="300"/>
        </w:trPr>
        <w:tc>
          <w:tcPr>
            <w:tcW w:w="2849" w:type="dxa"/>
            <w:tcBorders>
              <w:top w:val="nil"/>
              <w:left w:val="nil"/>
              <w:bottom w:val="nil"/>
              <w:right w:val="nil"/>
            </w:tcBorders>
            <w:shd w:val="clear" w:color="auto" w:fill="auto"/>
            <w:noWrap/>
            <w:vAlign w:val="bottom"/>
          </w:tcPr>
          <w:p w:rsidR="00A43C03" w:rsidRPr="00D96DB7" w:rsidRDefault="00A43C03" w:rsidP="00A43C03">
            <w:pPr>
              <w:rPr>
                <w:rFonts w:cs="Arial"/>
                <w:lang w:eastAsia="en-GB"/>
              </w:rPr>
            </w:pPr>
            <w:r w:rsidRPr="00D96DB7">
              <w:rPr>
                <w:rFonts w:cs="Arial"/>
                <w:lang w:eastAsia="en-GB"/>
              </w:rPr>
              <w:t>Furniture replaced every 5 years</w:t>
            </w:r>
          </w:p>
        </w:tc>
        <w:tc>
          <w:tcPr>
            <w:tcW w:w="1579" w:type="dxa"/>
            <w:tcBorders>
              <w:top w:val="nil"/>
              <w:left w:val="nil"/>
              <w:bottom w:val="nil"/>
              <w:right w:val="nil"/>
            </w:tcBorders>
            <w:shd w:val="clear" w:color="auto" w:fill="auto"/>
            <w:noWrap/>
            <w:vAlign w:val="center"/>
          </w:tcPr>
          <w:p w:rsidR="00A43C03" w:rsidRPr="00D96DB7" w:rsidRDefault="00A43C03" w:rsidP="00A43C03">
            <w:pPr>
              <w:rPr>
                <w:rFonts w:cs="Arial"/>
                <w:lang w:eastAsia="en-GB"/>
              </w:rPr>
            </w:pPr>
            <w:r w:rsidRPr="00D96DB7">
              <w:rPr>
                <w:rFonts w:cs="Arial"/>
                <w:lang w:eastAsia="en-GB"/>
              </w:rPr>
              <w:t>5</w:t>
            </w:r>
          </w:p>
        </w:tc>
        <w:tc>
          <w:tcPr>
            <w:tcW w:w="1260" w:type="dxa"/>
            <w:tcBorders>
              <w:top w:val="nil"/>
              <w:left w:val="nil"/>
              <w:bottom w:val="nil"/>
              <w:right w:val="nil"/>
            </w:tcBorders>
            <w:shd w:val="clear" w:color="auto" w:fill="auto"/>
            <w:noWrap/>
            <w:vAlign w:val="center"/>
          </w:tcPr>
          <w:p w:rsidR="00A43C03" w:rsidRPr="00D96DB7" w:rsidRDefault="00A43C03" w:rsidP="00A43C03">
            <w:pPr>
              <w:rPr>
                <w:rFonts w:cs="Arial"/>
                <w:lang w:eastAsia="en-GB"/>
              </w:rPr>
            </w:pPr>
            <w:r w:rsidRPr="00D96DB7">
              <w:rPr>
                <w:rFonts w:cs="Arial"/>
                <w:lang w:eastAsia="en-GB"/>
              </w:rPr>
              <w:t>5</w:t>
            </w:r>
          </w:p>
        </w:tc>
        <w:tc>
          <w:tcPr>
            <w:tcW w:w="5433" w:type="dxa"/>
            <w:tcBorders>
              <w:top w:val="nil"/>
              <w:left w:val="nil"/>
              <w:bottom w:val="nil"/>
              <w:right w:val="nil"/>
            </w:tcBorders>
            <w:shd w:val="clear" w:color="auto" w:fill="auto"/>
            <w:noWrap/>
            <w:vAlign w:val="center"/>
          </w:tcPr>
          <w:p w:rsidR="00A43C03" w:rsidRPr="00D96DB7" w:rsidRDefault="00A43C03" w:rsidP="00A43C03">
            <w:pPr>
              <w:rPr>
                <w:rFonts w:cs="Arial"/>
                <w:lang w:eastAsia="en-GB"/>
              </w:rPr>
            </w:pPr>
            <w:r w:rsidRPr="00D96DB7">
              <w:rPr>
                <w:rFonts w:cs="Arial"/>
                <w:lang w:eastAsia="en-GB"/>
              </w:rPr>
              <w:t>Furniture Industry Research Association (FIRA)</w:t>
            </w:r>
          </w:p>
        </w:tc>
      </w:tr>
      <w:tr w:rsidR="00A43C03" w:rsidRPr="00D96DB7" w:rsidTr="00A43C03">
        <w:trPr>
          <w:trHeight w:val="300"/>
        </w:trPr>
        <w:tc>
          <w:tcPr>
            <w:tcW w:w="2849" w:type="dxa"/>
            <w:tcBorders>
              <w:top w:val="nil"/>
              <w:left w:val="nil"/>
              <w:bottom w:val="nil"/>
              <w:right w:val="nil"/>
            </w:tcBorders>
            <w:shd w:val="clear" w:color="auto" w:fill="auto"/>
            <w:noWrap/>
            <w:vAlign w:val="bottom"/>
          </w:tcPr>
          <w:p w:rsidR="00A43C03" w:rsidRPr="00D96DB7" w:rsidRDefault="00A43C03" w:rsidP="00A43C03">
            <w:pPr>
              <w:rPr>
                <w:rFonts w:cs="Arial"/>
                <w:lang w:eastAsia="en-GB"/>
              </w:rPr>
            </w:pPr>
            <w:r w:rsidRPr="00D96DB7">
              <w:rPr>
                <w:rFonts w:cs="Arial"/>
                <w:lang w:eastAsia="en-GB"/>
              </w:rPr>
              <w:t>Treated metres per household range</w:t>
            </w:r>
          </w:p>
        </w:tc>
        <w:tc>
          <w:tcPr>
            <w:tcW w:w="1579" w:type="dxa"/>
            <w:tcBorders>
              <w:top w:val="nil"/>
              <w:left w:val="nil"/>
              <w:bottom w:val="nil"/>
              <w:right w:val="nil"/>
            </w:tcBorders>
            <w:shd w:val="clear" w:color="auto" w:fill="auto"/>
            <w:noWrap/>
            <w:vAlign w:val="center"/>
          </w:tcPr>
          <w:p w:rsidR="00A43C03" w:rsidRPr="00D96DB7" w:rsidRDefault="00A43C03" w:rsidP="00A43C03">
            <w:pPr>
              <w:rPr>
                <w:rFonts w:cs="Arial"/>
                <w:lang w:eastAsia="en-GB"/>
              </w:rPr>
            </w:pPr>
            <w:r w:rsidRPr="00D96DB7">
              <w:rPr>
                <w:rFonts w:cs="Arial"/>
                <w:lang w:eastAsia="en-GB"/>
              </w:rPr>
              <w:t>45</w:t>
            </w:r>
          </w:p>
        </w:tc>
        <w:tc>
          <w:tcPr>
            <w:tcW w:w="1260" w:type="dxa"/>
            <w:tcBorders>
              <w:top w:val="nil"/>
              <w:left w:val="nil"/>
              <w:bottom w:val="nil"/>
              <w:right w:val="nil"/>
            </w:tcBorders>
            <w:shd w:val="clear" w:color="auto" w:fill="auto"/>
            <w:noWrap/>
            <w:vAlign w:val="center"/>
          </w:tcPr>
          <w:p w:rsidR="00A43C03" w:rsidRPr="00D96DB7" w:rsidRDefault="00A43C03" w:rsidP="00A43C03">
            <w:pPr>
              <w:rPr>
                <w:rFonts w:cs="Arial"/>
                <w:lang w:eastAsia="en-GB"/>
              </w:rPr>
            </w:pPr>
            <w:r w:rsidRPr="00D96DB7">
              <w:rPr>
                <w:rFonts w:cs="Arial"/>
                <w:lang w:eastAsia="en-GB"/>
              </w:rPr>
              <w:t>17</w:t>
            </w:r>
          </w:p>
        </w:tc>
        <w:tc>
          <w:tcPr>
            <w:tcW w:w="5433" w:type="dxa"/>
            <w:tcBorders>
              <w:top w:val="nil"/>
              <w:left w:val="nil"/>
              <w:bottom w:val="nil"/>
              <w:right w:val="nil"/>
            </w:tcBorders>
            <w:shd w:val="clear" w:color="auto" w:fill="auto"/>
            <w:noWrap/>
            <w:vAlign w:val="center"/>
          </w:tcPr>
          <w:p w:rsidR="00A43C03" w:rsidRPr="00D96DB7" w:rsidRDefault="00A43C03" w:rsidP="00A43C03">
            <w:pPr>
              <w:rPr>
                <w:rFonts w:cs="Arial"/>
                <w:lang w:eastAsia="en-GB"/>
              </w:rPr>
            </w:pPr>
            <w:r w:rsidRPr="00D96DB7">
              <w:rPr>
                <w:rFonts w:cs="Arial"/>
                <w:lang w:eastAsia="en-GB"/>
              </w:rPr>
              <w:t>BIS estimat</w:t>
            </w:r>
            <w:r>
              <w:rPr>
                <w:rFonts w:cs="Arial"/>
                <w:lang w:eastAsia="en-GB"/>
              </w:rPr>
              <w:t>es from Industry discussions</w:t>
            </w:r>
          </w:p>
        </w:tc>
      </w:tr>
      <w:tr w:rsidR="00A43C03" w:rsidRPr="00D96DB7" w:rsidTr="00A43C03">
        <w:trPr>
          <w:trHeight w:val="300"/>
        </w:trPr>
        <w:tc>
          <w:tcPr>
            <w:tcW w:w="2849" w:type="dxa"/>
            <w:tcBorders>
              <w:top w:val="nil"/>
              <w:left w:val="nil"/>
              <w:bottom w:val="nil"/>
              <w:right w:val="nil"/>
            </w:tcBorders>
            <w:shd w:val="clear" w:color="auto" w:fill="auto"/>
            <w:noWrap/>
            <w:vAlign w:val="bottom"/>
          </w:tcPr>
          <w:p w:rsidR="00A43C03" w:rsidRPr="00D96DB7" w:rsidRDefault="00A43C03" w:rsidP="00A43C03">
            <w:pPr>
              <w:rPr>
                <w:rFonts w:cs="Arial"/>
                <w:lang w:eastAsia="en-GB"/>
              </w:rPr>
            </w:pPr>
            <w:r>
              <w:rPr>
                <w:rFonts w:cs="Arial"/>
                <w:lang w:eastAsia="en-GB"/>
              </w:rPr>
              <w:t>Total demand for fabric treated (metres)</w:t>
            </w:r>
          </w:p>
        </w:tc>
        <w:tc>
          <w:tcPr>
            <w:tcW w:w="1579" w:type="dxa"/>
            <w:tcBorders>
              <w:top w:val="nil"/>
              <w:left w:val="nil"/>
              <w:bottom w:val="nil"/>
              <w:right w:val="nil"/>
            </w:tcBorders>
            <w:shd w:val="clear" w:color="auto" w:fill="auto"/>
            <w:noWrap/>
            <w:vAlign w:val="center"/>
          </w:tcPr>
          <w:p w:rsidR="00A43C03" w:rsidRPr="00D96DB7" w:rsidRDefault="00A43C03" w:rsidP="00A43C03">
            <w:pPr>
              <w:rPr>
                <w:rFonts w:cs="Arial"/>
                <w:lang w:eastAsia="en-GB"/>
              </w:rPr>
            </w:pPr>
            <w:r>
              <w:rPr>
                <w:rFonts w:cs="Arial"/>
                <w:lang w:eastAsia="en-GB"/>
              </w:rPr>
              <w:t>128 million</w:t>
            </w:r>
          </w:p>
        </w:tc>
        <w:tc>
          <w:tcPr>
            <w:tcW w:w="1260" w:type="dxa"/>
            <w:tcBorders>
              <w:top w:val="nil"/>
              <w:left w:val="nil"/>
              <w:bottom w:val="nil"/>
              <w:right w:val="nil"/>
            </w:tcBorders>
            <w:shd w:val="clear" w:color="auto" w:fill="auto"/>
            <w:noWrap/>
            <w:vAlign w:val="center"/>
          </w:tcPr>
          <w:p w:rsidR="00A43C03" w:rsidRPr="00D96DB7" w:rsidRDefault="00A43C03" w:rsidP="00A43C03">
            <w:pPr>
              <w:rPr>
                <w:rFonts w:cs="Arial"/>
                <w:lang w:eastAsia="en-GB"/>
              </w:rPr>
            </w:pPr>
            <w:r>
              <w:rPr>
                <w:rFonts w:cs="Arial"/>
                <w:lang w:eastAsia="en-GB"/>
              </w:rPr>
              <w:t>48 million</w:t>
            </w:r>
          </w:p>
        </w:tc>
        <w:tc>
          <w:tcPr>
            <w:tcW w:w="5433" w:type="dxa"/>
            <w:tcBorders>
              <w:top w:val="nil"/>
              <w:left w:val="nil"/>
              <w:bottom w:val="nil"/>
              <w:right w:val="nil"/>
            </w:tcBorders>
            <w:shd w:val="clear" w:color="auto" w:fill="auto"/>
            <w:noWrap/>
            <w:vAlign w:val="center"/>
          </w:tcPr>
          <w:p w:rsidR="00A43C03" w:rsidRPr="00D96DB7" w:rsidRDefault="00A43C03" w:rsidP="00A43C03">
            <w:pPr>
              <w:rPr>
                <w:rFonts w:cs="Arial"/>
                <w:lang w:eastAsia="en-GB"/>
              </w:rPr>
            </w:pPr>
          </w:p>
        </w:tc>
      </w:tr>
      <w:tr w:rsidR="00A43C03" w:rsidRPr="00D96DB7" w:rsidTr="00A43C03">
        <w:trPr>
          <w:trHeight w:val="300"/>
        </w:trPr>
        <w:tc>
          <w:tcPr>
            <w:tcW w:w="2849" w:type="dxa"/>
            <w:tcBorders>
              <w:top w:val="nil"/>
              <w:left w:val="nil"/>
              <w:bottom w:val="nil"/>
              <w:right w:val="nil"/>
            </w:tcBorders>
            <w:shd w:val="clear" w:color="auto" w:fill="auto"/>
            <w:noWrap/>
            <w:vAlign w:val="bottom"/>
          </w:tcPr>
          <w:p w:rsidR="00A43C03" w:rsidRPr="00D96DB7" w:rsidRDefault="00A43C03" w:rsidP="00A43C03">
            <w:pPr>
              <w:rPr>
                <w:rFonts w:cs="Arial"/>
                <w:lang w:eastAsia="en-GB"/>
              </w:rPr>
            </w:pPr>
            <w:r w:rsidRPr="00D96DB7">
              <w:rPr>
                <w:rFonts w:cs="Arial"/>
                <w:lang w:eastAsia="en-GB"/>
              </w:rPr>
              <w:t>Cost savings per m</w:t>
            </w:r>
            <w:r>
              <w:rPr>
                <w:rFonts w:cs="Arial"/>
                <w:lang w:eastAsia="en-GB"/>
              </w:rPr>
              <w:t>etre</w:t>
            </w:r>
            <w:r w:rsidRPr="00D96DB7">
              <w:rPr>
                <w:rFonts w:cs="Arial"/>
                <w:lang w:eastAsia="en-GB"/>
              </w:rPr>
              <w:t xml:space="preserve"> (£)</w:t>
            </w:r>
          </w:p>
        </w:tc>
        <w:tc>
          <w:tcPr>
            <w:tcW w:w="1579" w:type="dxa"/>
            <w:tcBorders>
              <w:top w:val="nil"/>
              <w:left w:val="nil"/>
              <w:bottom w:val="nil"/>
              <w:right w:val="nil"/>
            </w:tcBorders>
            <w:shd w:val="clear" w:color="auto" w:fill="auto"/>
            <w:noWrap/>
            <w:vAlign w:val="center"/>
          </w:tcPr>
          <w:p w:rsidR="00A43C03" w:rsidRPr="00D96DB7" w:rsidRDefault="00A43C03" w:rsidP="00A43C03">
            <w:pPr>
              <w:rPr>
                <w:rFonts w:cs="Arial"/>
                <w:lang w:eastAsia="en-GB"/>
              </w:rPr>
            </w:pPr>
            <w:r w:rsidRPr="00D96DB7">
              <w:rPr>
                <w:rFonts w:cs="Arial"/>
                <w:lang w:eastAsia="en-GB"/>
              </w:rPr>
              <w:t>0.325</w:t>
            </w:r>
          </w:p>
        </w:tc>
        <w:tc>
          <w:tcPr>
            <w:tcW w:w="1260" w:type="dxa"/>
            <w:tcBorders>
              <w:top w:val="nil"/>
              <w:left w:val="nil"/>
              <w:bottom w:val="nil"/>
              <w:right w:val="nil"/>
            </w:tcBorders>
            <w:shd w:val="clear" w:color="auto" w:fill="auto"/>
            <w:noWrap/>
            <w:vAlign w:val="center"/>
          </w:tcPr>
          <w:p w:rsidR="00A43C03" w:rsidRPr="00D96DB7" w:rsidRDefault="00A43C03" w:rsidP="00A43C03">
            <w:pPr>
              <w:rPr>
                <w:rFonts w:cs="Arial"/>
                <w:lang w:eastAsia="en-GB"/>
              </w:rPr>
            </w:pPr>
            <w:r w:rsidRPr="00D96DB7">
              <w:rPr>
                <w:rFonts w:cs="Arial"/>
                <w:lang w:eastAsia="en-GB"/>
              </w:rPr>
              <w:t>0.115</w:t>
            </w:r>
          </w:p>
        </w:tc>
        <w:tc>
          <w:tcPr>
            <w:tcW w:w="5433" w:type="dxa"/>
            <w:tcBorders>
              <w:top w:val="nil"/>
              <w:left w:val="nil"/>
              <w:bottom w:val="nil"/>
              <w:right w:val="nil"/>
            </w:tcBorders>
            <w:shd w:val="clear" w:color="auto" w:fill="auto"/>
            <w:noWrap/>
            <w:vAlign w:val="center"/>
          </w:tcPr>
          <w:p w:rsidR="00A43C03" w:rsidRPr="00D96DB7" w:rsidRDefault="00A43C03" w:rsidP="00A43C03">
            <w:pPr>
              <w:rPr>
                <w:rFonts w:cs="Arial"/>
                <w:lang w:eastAsia="en-GB"/>
              </w:rPr>
            </w:pPr>
            <w:r w:rsidRPr="00D96DB7">
              <w:rPr>
                <w:rFonts w:cs="Arial"/>
                <w:lang w:eastAsia="en-GB"/>
              </w:rPr>
              <w:t>FIRA and BIS, see above</w:t>
            </w:r>
          </w:p>
        </w:tc>
      </w:tr>
    </w:tbl>
    <w:p w:rsidR="00A43C03" w:rsidRDefault="00A43C03" w:rsidP="00A43C03">
      <w:pPr>
        <w:pStyle w:val="EBBullet"/>
        <w:keepNext/>
        <w:numPr>
          <w:ilvl w:val="0"/>
          <w:numId w:val="0"/>
        </w:numPr>
        <w:tabs>
          <w:tab w:val="left" w:pos="720"/>
        </w:tabs>
        <w:ind w:left="720" w:hanging="720"/>
        <w:rPr>
          <w:sz w:val="24"/>
        </w:rPr>
      </w:pPr>
    </w:p>
    <w:p w:rsidR="00A43C03" w:rsidRPr="005C5BDA" w:rsidRDefault="00A43C03" w:rsidP="00A43C03">
      <w:pPr>
        <w:pStyle w:val="EBBullet"/>
        <w:keepNext/>
        <w:numPr>
          <w:ilvl w:val="0"/>
          <w:numId w:val="0"/>
        </w:numPr>
        <w:pBdr>
          <w:top w:val="single" w:sz="4" w:space="1" w:color="auto"/>
          <w:left w:val="single" w:sz="4" w:space="4" w:color="auto"/>
          <w:bottom w:val="single" w:sz="4" w:space="1" w:color="auto"/>
          <w:right w:val="single" w:sz="4" w:space="4" w:color="auto"/>
        </w:pBdr>
        <w:tabs>
          <w:tab w:val="left" w:pos="0"/>
        </w:tabs>
        <w:rPr>
          <w:sz w:val="24"/>
        </w:rPr>
      </w:pPr>
      <w:r w:rsidRPr="00675A4A">
        <w:rPr>
          <w:b/>
          <w:sz w:val="24"/>
        </w:rPr>
        <w:t>Q</w:t>
      </w:r>
      <w:r>
        <w:rPr>
          <w:b/>
          <w:sz w:val="24"/>
        </w:rPr>
        <w:t>9</w:t>
      </w:r>
      <w:r w:rsidRPr="00675A4A">
        <w:rPr>
          <w:b/>
          <w:sz w:val="24"/>
        </w:rPr>
        <w:t>:</w:t>
      </w:r>
      <w:r>
        <w:rPr>
          <w:sz w:val="24"/>
        </w:rPr>
        <w:t xml:space="preserve"> Do you agree with the assumptions above towards calculating the total annual amount of treated fabric? Please provide evidence supporting your arguments.</w:t>
      </w:r>
    </w:p>
    <w:p w:rsidR="00A43C03" w:rsidRDefault="00A43C03" w:rsidP="00A43C03">
      <w:pPr>
        <w:pStyle w:val="EBBullet"/>
        <w:keepNext/>
        <w:numPr>
          <w:ilvl w:val="0"/>
          <w:numId w:val="0"/>
        </w:numPr>
        <w:tabs>
          <w:tab w:val="left" w:pos="720"/>
        </w:tabs>
        <w:ind w:left="720" w:hanging="720"/>
        <w:rPr>
          <w:sz w:val="24"/>
        </w:rPr>
      </w:pPr>
    </w:p>
    <w:p w:rsidR="00A43C03" w:rsidRDefault="00A43C03" w:rsidP="00A43C03">
      <w:pPr>
        <w:pStyle w:val="EBBullet"/>
        <w:keepNext/>
        <w:numPr>
          <w:ilvl w:val="0"/>
          <w:numId w:val="0"/>
        </w:numPr>
        <w:ind w:left="720" w:hanging="720"/>
        <w:rPr>
          <w:sz w:val="24"/>
        </w:rPr>
      </w:pPr>
      <w:r>
        <w:rPr>
          <w:sz w:val="24"/>
        </w:rPr>
        <w:t>6.18</w:t>
      </w:r>
      <w:r>
        <w:rPr>
          <w:sz w:val="24"/>
        </w:rPr>
        <w:tab/>
        <w:t>There are two ranges of values which are multiplied together, therefore a large range depending on the high or low value used. Added to these ranges are the cost savings from nursery products, which are assumed to be £6m per annum.</w:t>
      </w:r>
      <w:r>
        <w:rPr>
          <w:rStyle w:val="FootnoteReference"/>
        </w:rPr>
        <w:footnoteReference w:id="21"/>
      </w:r>
      <w:r>
        <w:rPr>
          <w:sz w:val="24"/>
        </w:rPr>
        <w:t xml:space="preserve"> This produces a range of cost savings between £47.5m and £11.5m, which is a larger range than methodology 1 above. The cost ranges with the sensitivities are shown in the table below:</w:t>
      </w:r>
    </w:p>
    <w:p w:rsidR="00A43C03" w:rsidRDefault="00A43C03" w:rsidP="00A43C03">
      <w:pPr>
        <w:pStyle w:val="EBBullet"/>
        <w:keepNext/>
        <w:numPr>
          <w:ilvl w:val="0"/>
          <w:numId w:val="0"/>
        </w:numPr>
        <w:tabs>
          <w:tab w:val="left" w:pos="720"/>
        </w:tabs>
        <w:ind w:left="720" w:hanging="720"/>
        <w:rPr>
          <w:sz w:val="24"/>
        </w:rPr>
      </w:pPr>
    </w:p>
    <w:p w:rsidR="00A43C03" w:rsidRDefault="00A43C03" w:rsidP="00A43C03">
      <w:pPr>
        <w:pStyle w:val="EBBullet"/>
        <w:keepNext/>
        <w:numPr>
          <w:ilvl w:val="0"/>
          <w:numId w:val="0"/>
        </w:numPr>
        <w:tabs>
          <w:tab w:val="left" w:pos="720"/>
        </w:tabs>
        <w:ind w:left="720" w:hanging="720"/>
        <w:rPr>
          <w:sz w:val="24"/>
          <w:u w:val="single"/>
        </w:rPr>
      </w:pPr>
      <w:r>
        <w:rPr>
          <w:sz w:val="24"/>
          <w:u w:val="single"/>
        </w:rPr>
        <w:t xml:space="preserve">Table 8. Estimates of cost savings using estimates of household consumption of furniture </w:t>
      </w:r>
    </w:p>
    <w:p w:rsidR="00A43C03" w:rsidRPr="0074661B" w:rsidRDefault="00A43C03" w:rsidP="00A43C03">
      <w:pPr>
        <w:pStyle w:val="EBBullet"/>
        <w:keepNext/>
        <w:numPr>
          <w:ilvl w:val="0"/>
          <w:numId w:val="0"/>
        </w:numPr>
        <w:tabs>
          <w:tab w:val="left" w:pos="720"/>
        </w:tabs>
        <w:ind w:left="720" w:hanging="720"/>
        <w:rPr>
          <w:sz w:val="24"/>
          <w:u w:val="single"/>
        </w:rPr>
      </w:pPr>
    </w:p>
    <w:tbl>
      <w:tblPr>
        <w:tblW w:w="6648" w:type="dxa"/>
        <w:jc w:val="center"/>
        <w:tblInd w:w="108" w:type="dxa"/>
        <w:tblLook w:val="0000" w:firstRow="0" w:lastRow="0" w:firstColumn="0" w:lastColumn="0" w:noHBand="0" w:noVBand="0"/>
      </w:tblPr>
      <w:tblGrid>
        <w:gridCol w:w="2340"/>
        <w:gridCol w:w="1080"/>
        <w:gridCol w:w="1260"/>
        <w:gridCol w:w="1968"/>
      </w:tblGrid>
      <w:tr w:rsidR="00A43C03" w:rsidRPr="007D42EA" w:rsidTr="00A43C03">
        <w:trPr>
          <w:trHeight w:val="300"/>
          <w:jc w:val="center"/>
        </w:trPr>
        <w:tc>
          <w:tcPr>
            <w:tcW w:w="2340" w:type="dxa"/>
            <w:tcBorders>
              <w:top w:val="nil"/>
              <w:left w:val="nil"/>
              <w:bottom w:val="nil"/>
              <w:right w:val="nil"/>
            </w:tcBorders>
            <w:shd w:val="clear" w:color="auto" w:fill="auto"/>
            <w:noWrap/>
            <w:vAlign w:val="bottom"/>
          </w:tcPr>
          <w:p w:rsidR="00A43C03" w:rsidRPr="007D42EA" w:rsidRDefault="00A43C03" w:rsidP="00A43C03">
            <w:pPr>
              <w:rPr>
                <w:rFonts w:cs="Arial"/>
                <w:color w:val="FFFFFF"/>
                <w:lang w:eastAsia="en-GB"/>
              </w:rPr>
            </w:pPr>
          </w:p>
        </w:tc>
        <w:tc>
          <w:tcPr>
            <w:tcW w:w="1080" w:type="dxa"/>
            <w:tcBorders>
              <w:top w:val="nil"/>
              <w:left w:val="nil"/>
              <w:bottom w:val="nil"/>
              <w:right w:val="nil"/>
            </w:tcBorders>
            <w:shd w:val="clear" w:color="auto" w:fill="auto"/>
            <w:noWrap/>
            <w:vAlign w:val="bottom"/>
          </w:tcPr>
          <w:p w:rsidR="00A43C03" w:rsidRPr="007D42EA" w:rsidRDefault="00A43C03" w:rsidP="00A43C03">
            <w:pPr>
              <w:rPr>
                <w:rFonts w:cs="Arial"/>
                <w:color w:val="FFFFFF"/>
                <w:lang w:eastAsia="en-GB"/>
              </w:rPr>
            </w:pPr>
          </w:p>
        </w:tc>
        <w:tc>
          <w:tcPr>
            <w:tcW w:w="3228" w:type="dxa"/>
            <w:gridSpan w:val="2"/>
            <w:tcBorders>
              <w:top w:val="nil"/>
              <w:left w:val="nil"/>
              <w:bottom w:val="nil"/>
              <w:right w:val="nil"/>
            </w:tcBorders>
            <w:shd w:val="clear" w:color="auto" w:fill="000000"/>
            <w:noWrap/>
            <w:vAlign w:val="bottom"/>
          </w:tcPr>
          <w:p w:rsidR="00A43C03" w:rsidRPr="007D42EA" w:rsidRDefault="00A43C03" w:rsidP="00A43C03">
            <w:pPr>
              <w:rPr>
                <w:rFonts w:cs="Arial"/>
                <w:color w:val="FFFFFF"/>
                <w:lang w:eastAsia="en-GB"/>
              </w:rPr>
            </w:pPr>
            <w:r w:rsidRPr="007D42EA">
              <w:rPr>
                <w:rFonts w:cs="Arial"/>
                <w:color w:val="FFFFFF"/>
                <w:lang w:eastAsia="en-GB"/>
              </w:rPr>
              <w:t>Furniture fabric per household</w:t>
            </w:r>
          </w:p>
        </w:tc>
      </w:tr>
      <w:tr w:rsidR="00A43C03" w:rsidRPr="007D42EA" w:rsidTr="00A43C03">
        <w:trPr>
          <w:trHeight w:val="300"/>
          <w:jc w:val="center"/>
        </w:trPr>
        <w:tc>
          <w:tcPr>
            <w:tcW w:w="2340" w:type="dxa"/>
            <w:tcBorders>
              <w:top w:val="nil"/>
              <w:left w:val="nil"/>
              <w:right w:val="nil"/>
            </w:tcBorders>
            <w:shd w:val="clear" w:color="auto" w:fill="auto"/>
            <w:noWrap/>
            <w:vAlign w:val="bottom"/>
          </w:tcPr>
          <w:p w:rsidR="00A43C03" w:rsidRPr="007D42EA" w:rsidRDefault="00A43C03" w:rsidP="00A43C03">
            <w:pPr>
              <w:rPr>
                <w:rFonts w:cs="Arial"/>
                <w:color w:val="FFFFFF"/>
                <w:lang w:eastAsia="en-GB"/>
              </w:rPr>
            </w:pPr>
          </w:p>
        </w:tc>
        <w:tc>
          <w:tcPr>
            <w:tcW w:w="1080" w:type="dxa"/>
            <w:tcBorders>
              <w:top w:val="nil"/>
              <w:left w:val="nil"/>
              <w:right w:val="nil"/>
            </w:tcBorders>
            <w:shd w:val="clear" w:color="auto" w:fill="auto"/>
            <w:noWrap/>
            <w:vAlign w:val="bottom"/>
          </w:tcPr>
          <w:p w:rsidR="00A43C03" w:rsidRPr="007D42EA" w:rsidRDefault="00A43C03" w:rsidP="00A43C03">
            <w:pPr>
              <w:rPr>
                <w:rFonts w:cs="Arial"/>
                <w:color w:val="FFFFFF"/>
                <w:lang w:eastAsia="en-GB"/>
              </w:rPr>
            </w:pPr>
          </w:p>
        </w:tc>
        <w:tc>
          <w:tcPr>
            <w:tcW w:w="1260" w:type="dxa"/>
            <w:tcBorders>
              <w:top w:val="nil"/>
              <w:left w:val="nil"/>
              <w:bottom w:val="nil"/>
              <w:right w:val="nil"/>
            </w:tcBorders>
            <w:shd w:val="clear" w:color="auto" w:fill="000000"/>
            <w:noWrap/>
            <w:vAlign w:val="bottom"/>
          </w:tcPr>
          <w:p w:rsidR="00A43C03" w:rsidRPr="007D42EA" w:rsidRDefault="00A43C03" w:rsidP="00A43C03">
            <w:pPr>
              <w:rPr>
                <w:rFonts w:cs="Arial"/>
                <w:b/>
                <w:color w:val="FFFFFF"/>
                <w:lang w:eastAsia="en-GB"/>
              </w:rPr>
            </w:pPr>
            <w:r w:rsidRPr="007D42EA">
              <w:rPr>
                <w:rFonts w:cs="Arial"/>
                <w:b/>
                <w:color w:val="FFFFFF"/>
                <w:lang w:eastAsia="en-GB"/>
              </w:rPr>
              <w:t>HIGH</w:t>
            </w:r>
          </w:p>
        </w:tc>
        <w:tc>
          <w:tcPr>
            <w:tcW w:w="1968" w:type="dxa"/>
            <w:tcBorders>
              <w:top w:val="nil"/>
              <w:left w:val="nil"/>
              <w:bottom w:val="nil"/>
              <w:right w:val="nil"/>
            </w:tcBorders>
            <w:shd w:val="clear" w:color="auto" w:fill="000000"/>
            <w:noWrap/>
            <w:vAlign w:val="bottom"/>
          </w:tcPr>
          <w:p w:rsidR="00A43C03" w:rsidRPr="007D42EA" w:rsidRDefault="00A43C03" w:rsidP="00A43C03">
            <w:pPr>
              <w:rPr>
                <w:rFonts w:cs="Arial"/>
                <w:b/>
                <w:color w:val="FFFFFF"/>
                <w:lang w:eastAsia="en-GB"/>
              </w:rPr>
            </w:pPr>
            <w:r w:rsidRPr="007D42EA">
              <w:rPr>
                <w:rFonts w:cs="Arial"/>
                <w:b/>
                <w:color w:val="FFFFFF"/>
                <w:lang w:eastAsia="en-GB"/>
              </w:rPr>
              <w:t>LOW</w:t>
            </w:r>
          </w:p>
        </w:tc>
      </w:tr>
      <w:tr w:rsidR="00A43C03" w:rsidRPr="0074661B" w:rsidTr="00A43C03">
        <w:trPr>
          <w:trHeight w:val="300"/>
          <w:jc w:val="center"/>
        </w:trPr>
        <w:tc>
          <w:tcPr>
            <w:tcW w:w="2340" w:type="dxa"/>
            <w:vMerge w:val="restart"/>
            <w:tcBorders>
              <w:top w:val="nil"/>
              <w:left w:val="nil"/>
              <w:bottom w:val="nil"/>
              <w:right w:val="nil"/>
            </w:tcBorders>
            <w:shd w:val="clear" w:color="auto" w:fill="000000"/>
            <w:noWrap/>
            <w:vAlign w:val="center"/>
          </w:tcPr>
          <w:p w:rsidR="00A43C03" w:rsidRPr="007D42EA" w:rsidRDefault="00A43C03" w:rsidP="00A43C03">
            <w:pPr>
              <w:rPr>
                <w:rFonts w:cs="Arial"/>
                <w:color w:val="FFFFFF"/>
                <w:lang w:eastAsia="en-GB"/>
              </w:rPr>
            </w:pPr>
            <w:r w:rsidRPr="007D42EA">
              <w:rPr>
                <w:rFonts w:cs="Arial"/>
                <w:color w:val="FFFFFF"/>
                <w:lang w:eastAsia="en-GB"/>
              </w:rPr>
              <w:t>Cost savings per m2</w:t>
            </w:r>
          </w:p>
        </w:tc>
        <w:tc>
          <w:tcPr>
            <w:tcW w:w="1080" w:type="dxa"/>
            <w:tcBorders>
              <w:top w:val="nil"/>
              <w:left w:val="nil"/>
              <w:bottom w:val="nil"/>
              <w:right w:val="nil"/>
            </w:tcBorders>
            <w:shd w:val="clear" w:color="auto" w:fill="000000"/>
            <w:noWrap/>
            <w:vAlign w:val="bottom"/>
          </w:tcPr>
          <w:p w:rsidR="00A43C03" w:rsidRPr="007D42EA" w:rsidRDefault="00A43C03" w:rsidP="00A43C03">
            <w:pPr>
              <w:rPr>
                <w:rFonts w:cs="Arial"/>
                <w:b/>
                <w:color w:val="FFFFFF"/>
                <w:lang w:eastAsia="en-GB"/>
              </w:rPr>
            </w:pPr>
            <w:r w:rsidRPr="007D42EA">
              <w:rPr>
                <w:rFonts w:cs="Arial"/>
                <w:b/>
                <w:color w:val="FFFFFF"/>
                <w:lang w:eastAsia="en-GB"/>
              </w:rPr>
              <w:t>HIGH</w:t>
            </w:r>
          </w:p>
        </w:tc>
        <w:tc>
          <w:tcPr>
            <w:tcW w:w="1260" w:type="dxa"/>
            <w:tcBorders>
              <w:top w:val="nil"/>
              <w:left w:val="nil"/>
              <w:bottom w:val="nil"/>
              <w:right w:val="nil"/>
            </w:tcBorders>
            <w:shd w:val="clear" w:color="auto" w:fill="auto"/>
            <w:noWrap/>
            <w:vAlign w:val="bottom"/>
          </w:tcPr>
          <w:p w:rsidR="00A43C03" w:rsidRPr="0074661B" w:rsidRDefault="00A43C03" w:rsidP="00A43C03">
            <w:pPr>
              <w:rPr>
                <w:rFonts w:cs="Arial"/>
                <w:lang w:eastAsia="en-GB"/>
              </w:rPr>
            </w:pPr>
            <w:r w:rsidRPr="0074661B">
              <w:rPr>
                <w:rFonts w:cs="Arial"/>
                <w:lang w:eastAsia="en-GB"/>
              </w:rPr>
              <w:t xml:space="preserve">                                                                                                            £4</w:t>
            </w:r>
            <w:r>
              <w:rPr>
                <w:rFonts w:cs="Arial"/>
                <w:lang w:eastAsia="en-GB"/>
              </w:rPr>
              <w:t>7</w:t>
            </w:r>
            <w:r w:rsidRPr="0074661B">
              <w:rPr>
                <w:rFonts w:cs="Arial"/>
                <w:lang w:eastAsia="en-GB"/>
              </w:rPr>
              <w:t xml:space="preserve">.5m </w:t>
            </w:r>
          </w:p>
        </w:tc>
        <w:tc>
          <w:tcPr>
            <w:tcW w:w="1968" w:type="dxa"/>
            <w:tcBorders>
              <w:top w:val="nil"/>
              <w:left w:val="nil"/>
              <w:bottom w:val="nil"/>
              <w:right w:val="nil"/>
            </w:tcBorders>
            <w:shd w:val="clear" w:color="auto" w:fill="auto"/>
            <w:noWrap/>
            <w:vAlign w:val="bottom"/>
          </w:tcPr>
          <w:p w:rsidR="00A43C03" w:rsidRPr="0074661B" w:rsidRDefault="00A43C03" w:rsidP="00A43C03">
            <w:pPr>
              <w:rPr>
                <w:rFonts w:cs="Arial"/>
                <w:lang w:eastAsia="en-GB"/>
              </w:rPr>
            </w:pPr>
            <w:r w:rsidRPr="0074661B">
              <w:rPr>
                <w:rFonts w:cs="Arial"/>
                <w:lang w:eastAsia="en-GB"/>
              </w:rPr>
              <w:t xml:space="preserve">                         £</w:t>
            </w:r>
            <w:r>
              <w:rPr>
                <w:rFonts w:cs="Arial"/>
                <w:lang w:eastAsia="en-GB"/>
              </w:rPr>
              <w:t>21</w:t>
            </w:r>
            <w:r w:rsidRPr="0074661B">
              <w:rPr>
                <w:rFonts w:cs="Arial"/>
                <w:lang w:eastAsia="en-GB"/>
              </w:rPr>
              <w:t xml:space="preserve">.7m </w:t>
            </w:r>
          </w:p>
        </w:tc>
      </w:tr>
      <w:tr w:rsidR="00A43C03" w:rsidRPr="0074661B" w:rsidTr="00A43C03">
        <w:trPr>
          <w:trHeight w:val="300"/>
          <w:jc w:val="center"/>
        </w:trPr>
        <w:tc>
          <w:tcPr>
            <w:tcW w:w="2340" w:type="dxa"/>
            <w:vMerge/>
            <w:tcBorders>
              <w:top w:val="nil"/>
              <w:left w:val="nil"/>
              <w:bottom w:val="nil"/>
              <w:right w:val="nil"/>
            </w:tcBorders>
            <w:shd w:val="clear" w:color="auto" w:fill="000000"/>
            <w:vAlign w:val="center"/>
          </w:tcPr>
          <w:p w:rsidR="00A43C03" w:rsidRPr="007D42EA" w:rsidRDefault="00A43C03" w:rsidP="00A43C03">
            <w:pPr>
              <w:rPr>
                <w:rFonts w:cs="Arial"/>
                <w:color w:val="FFFFFF"/>
                <w:lang w:eastAsia="en-GB"/>
              </w:rPr>
            </w:pPr>
          </w:p>
        </w:tc>
        <w:tc>
          <w:tcPr>
            <w:tcW w:w="1080" w:type="dxa"/>
            <w:tcBorders>
              <w:top w:val="nil"/>
              <w:left w:val="nil"/>
              <w:bottom w:val="nil"/>
              <w:right w:val="nil"/>
            </w:tcBorders>
            <w:shd w:val="clear" w:color="auto" w:fill="000000"/>
            <w:noWrap/>
            <w:vAlign w:val="bottom"/>
          </w:tcPr>
          <w:p w:rsidR="00A43C03" w:rsidRPr="007D42EA" w:rsidRDefault="00A43C03" w:rsidP="00A43C03">
            <w:pPr>
              <w:rPr>
                <w:rFonts w:cs="Arial"/>
                <w:b/>
                <w:color w:val="FFFFFF"/>
                <w:lang w:eastAsia="en-GB"/>
              </w:rPr>
            </w:pPr>
            <w:r w:rsidRPr="007D42EA">
              <w:rPr>
                <w:rFonts w:cs="Arial"/>
                <w:b/>
                <w:color w:val="FFFFFF"/>
                <w:lang w:eastAsia="en-GB"/>
              </w:rPr>
              <w:t>LOW</w:t>
            </w:r>
          </w:p>
        </w:tc>
        <w:tc>
          <w:tcPr>
            <w:tcW w:w="1260" w:type="dxa"/>
            <w:tcBorders>
              <w:top w:val="nil"/>
              <w:left w:val="nil"/>
              <w:bottom w:val="nil"/>
              <w:right w:val="nil"/>
            </w:tcBorders>
            <w:shd w:val="clear" w:color="auto" w:fill="auto"/>
            <w:noWrap/>
            <w:vAlign w:val="bottom"/>
          </w:tcPr>
          <w:p w:rsidR="00A43C03" w:rsidRPr="0074661B" w:rsidRDefault="00A43C03" w:rsidP="00A43C03">
            <w:pPr>
              <w:rPr>
                <w:rFonts w:cs="Arial"/>
                <w:lang w:eastAsia="en-GB"/>
              </w:rPr>
            </w:pPr>
            <w:r w:rsidRPr="0074661B">
              <w:rPr>
                <w:rFonts w:cs="Arial"/>
                <w:lang w:eastAsia="en-GB"/>
              </w:rPr>
              <w:t xml:space="preserve">                                                                                                            £</w:t>
            </w:r>
            <w:r>
              <w:rPr>
                <w:rFonts w:cs="Arial"/>
                <w:lang w:eastAsia="en-GB"/>
              </w:rPr>
              <w:t>20</w:t>
            </w:r>
            <w:r w:rsidRPr="0074661B">
              <w:rPr>
                <w:rFonts w:cs="Arial"/>
                <w:lang w:eastAsia="en-GB"/>
              </w:rPr>
              <w:t xml:space="preserve">.7m </w:t>
            </w:r>
          </w:p>
        </w:tc>
        <w:tc>
          <w:tcPr>
            <w:tcW w:w="1968" w:type="dxa"/>
            <w:tcBorders>
              <w:top w:val="nil"/>
              <w:left w:val="nil"/>
              <w:bottom w:val="nil"/>
              <w:right w:val="nil"/>
            </w:tcBorders>
            <w:shd w:val="clear" w:color="auto" w:fill="auto"/>
            <w:noWrap/>
            <w:vAlign w:val="bottom"/>
          </w:tcPr>
          <w:p w:rsidR="00A43C03" w:rsidRPr="0074661B" w:rsidRDefault="00A43C03" w:rsidP="00A43C03">
            <w:pPr>
              <w:rPr>
                <w:rFonts w:cs="Arial"/>
                <w:lang w:eastAsia="en-GB"/>
              </w:rPr>
            </w:pPr>
            <w:r w:rsidRPr="0074661B">
              <w:rPr>
                <w:rFonts w:cs="Arial"/>
                <w:lang w:eastAsia="en-GB"/>
              </w:rPr>
              <w:t xml:space="preserve">                           £</w:t>
            </w:r>
            <w:r>
              <w:rPr>
                <w:rFonts w:cs="Arial"/>
                <w:lang w:eastAsia="en-GB"/>
              </w:rPr>
              <w:t>11</w:t>
            </w:r>
            <w:r w:rsidRPr="0074661B">
              <w:rPr>
                <w:rFonts w:cs="Arial"/>
                <w:lang w:eastAsia="en-GB"/>
              </w:rPr>
              <w:t xml:space="preserve">.5m </w:t>
            </w:r>
          </w:p>
        </w:tc>
      </w:tr>
    </w:tbl>
    <w:p w:rsidR="00A43C03" w:rsidRDefault="00A43C03" w:rsidP="00A43C03">
      <w:pPr>
        <w:pStyle w:val="EBBullet"/>
        <w:keepNext/>
        <w:numPr>
          <w:ilvl w:val="0"/>
          <w:numId w:val="0"/>
        </w:numPr>
        <w:tabs>
          <w:tab w:val="left" w:pos="-540"/>
        </w:tabs>
        <w:ind w:left="720" w:hanging="720"/>
        <w:rPr>
          <w:i/>
          <w:sz w:val="24"/>
        </w:rPr>
      </w:pPr>
      <w:r>
        <w:rPr>
          <w:i/>
          <w:sz w:val="24"/>
        </w:rPr>
        <w:lastRenderedPageBreak/>
        <w:t>Methodology 3 to 5 – up rating company data</w:t>
      </w:r>
    </w:p>
    <w:p w:rsidR="00A43C03" w:rsidRDefault="00A43C03" w:rsidP="00A43C03">
      <w:pPr>
        <w:pStyle w:val="EBBullet"/>
        <w:keepNext/>
        <w:numPr>
          <w:ilvl w:val="0"/>
          <w:numId w:val="0"/>
        </w:numPr>
        <w:tabs>
          <w:tab w:val="left" w:pos="-540"/>
        </w:tabs>
        <w:ind w:left="720" w:hanging="720"/>
        <w:rPr>
          <w:i/>
          <w:sz w:val="24"/>
        </w:rPr>
      </w:pPr>
    </w:p>
    <w:p w:rsidR="00A43C03" w:rsidRDefault="00A43C03" w:rsidP="0039415E">
      <w:pPr>
        <w:pStyle w:val="EBBullet"/>
        <w:keepNext/>
        <w:numPr>
          <w:ilvl w:val="1"/>
          <w:numId w:val="17"/>
        </w:numPr>
        <w:tabs>
          <w:tab w:val="clear" w:pos="360"/>
        </w:tabs>
        <w:ind w:left="720" w:hanging="720"/>
        <w:rPr>
          <w:sz w:val="24"/>
        </w:rPr>
      </w:pPr>
      <w:r>
        <w:rPr>
          <w:sz w:val="24"/>
        </w:rPr>
        <w:t>Unfortunately, we do not have available data from companies to fully utilise these methodologies. BIS therefore asks furniture manufacturers, suppliers, importers and retailers to complete the form below. This will help strengthen the evidence base for this regulation and feedback into the design of the policy. Please note, if it is not possible to complete the whole form then even partial estimates will be useful, as there are a number of ways we can use the data (shown in the methodology table above).</w:t>
      </w:r>
    </w:p>
    <w:p w:rsidR="00A43C03" w:rsidRDefault="00A43C03" w:rsidP="00A43C03">
      <w:pPr>
        <w:pStyle w:val="EBBullet"/>
        <w:keepNext/>
        <w:numPr>
          <w:ilvl w:val="0"/>
          <w:numId w:val="0"/>
        </w:num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5211"/>
      </w:tblGrid>
      <w:tr w:rsidR="00A43C03" w:rsidRPr="00751196" w:rsidTr="00751196">
        <w:tc>
          <w:tcPr>
            <w:tcW w:w="5210" w:type="dxa"/>
            <w:shd w:val="clear" w:color="auto" w:fill="000000"/>
          </w:tcPr>
          <w:p w:rsidR="00A43C03" w:rsidRPr="00751196" w:rsidRDefault="00A43C03" w:rsidP="00751196">
            <w:pPr>
              <w:pStyle w:val="EBBullet"/>
              <w:keepNext/>
              <w:numPr>
                <w:ilvl w:val="0"/>
                <w:numId w:val="0"/>
              </w:numPr>
              <w:tabs>
                <w:tab w:val="left" w:pos="720"/>
              </w:tabs>
              <w:rPr>
                <w:b/>
                <w:color w:val="FFFFFF"/>
                <w:sz w:val="24"/>
              </w:rPr>
            </w:pPr>
            <w:r w:rsidRPr="00751196">
              <w:rPr>
                <w:b/>
                <w:color w:val="FFFFFF"/>
                <w:sz w:val="24"/>
              </w:rPr>
              <w:t>Question</w:t>
            </w:r>
          </w:p>
        </w:tc>
        <w:tc>
          <w:tcPr>
            <w:tcW w:w="5211" w:type="dxa"/>
            <w:shd w:val="clear" w:color="auto" w:fill="000000"/>
          </w:tcPr>
          <w:p w:rsidR="00A43C03" w:rsidRPr="00751196" w:rsidRDefault="00A43C03" w:rsidP="00751196">
            <w:pPr>
              <w:pStyle w:val="EBBullet"/>
              <w:keepNext/>
              <w:numPr>
                <w:ilvl w:val="0"/>
                <w:numId w:val="0"/>
              </w:numPr>
              <w:tabs>
                <w:tab w:val="left" w:pos="720"/>
              </w:tabs>
              <w:rPr>
                <w:b/>
                <w:color w:val="FFFFFF"/>
                <w:sz w:val="24"/>
              </w:rPr>
            </w:pPr>
            <w:r w:rsidRPr="00751196">
              <w:rPr>
                <w:b/>
                <w:color w:val="FFFFFF"/>
                <w:sz w:val="24"/>
              </w:rPr>
              <w:t>Response</w:t>
            </w:r>
          </w:p>
        </w:tc>
      </w:tr>
      <w:tr w:rsidR="00A43C03" w:rsidTr="00751196">
        <w:tc>
          <w:tcPr>
            <w:tcW w:w="5210" w:type="dxa"/>
            <w:shd w:val="clear" w:color="auto" w:fill="auto"/>
          </w:tcPr>
          <w:p w:rsidR="00A43C03" w:rsidRPr="00751196" w:rsidRDefault="00A43C03" w:rsidP="00751196">
            <w:pPr>
              <w:pStyle w:val="EBBullet"/>
              <w:keepNext/>
              <w:numPr>
                <w:ilvl w:val="0"/>
                <w:numId w:val="0"/>
              </w:numPr>
              <w:tabs>
                <w:tab w:val="left" w:pos="720"/>
              </w:tabs>
              <w:rPr>
                <w:sz w:val="24"/>
              </w:rPr>
            </w:pPr>
            <w:permStart w:id="1485448206" w:edGrp="everyone" w:colFirst="0" w:colLast="0"/>
            <w:permStart w:id="1837726617" w:edGrp="everyone" w:colFirst="1" w:colLast="1"/>
            <w:r w:rsidRPr="00751196">
              <w:rPr>
                <w:sz w:val="24"/>
              </w:rPr>
              <w:t>Name of Company</w:t>
            </w:r>
          </w:p>
        </w:tc>
        <w:tc>
          <w:tcPr>
            <w:tcW w:w="5211" w:type="dxa"/>
            <w:shd w:val="clear" w:color="auto" w:fill="auto"/>
          </w:tcPr>
          <w:p w:rsidR="00A43C03" w:rsidRPr="00751196" w:rsidRDefault="00A43C03" w:rsidP="00751196">
            <w:pPr>
              <w:pStyle w:val="EBBullet"/>
              <w:keepNext/>
              <w:numPr>
                <w:ilvl w:val="0"/>
                <w:numId w:val="0"/>
              </w:numPr>
              <w:tabs>
                <w:tab w:val="left" w:pos="720"/>
              </w:tabs>
              <w:rPr>
                <w:sz w:val="24"/>
              </w:rPr>
            </w:pPr>
          </w:p>
        </w:tc>
      </w:tr>
      <w:tr w:rsidR="00A43C03" w:rsidTr="00751196">
        <w:tc>
          <w:tcPr>
            <w:tcW w:w="5210" w:type="dxa"/>
            <w:shd w:val="clear" w:color="auto" w:fill="auto"/>
          </w:tcPr>
          <w:p w:rsidR="00A43C03" w:rsidRPr="00751196" w:rsidRDefault="00A43C03" w:rsidP="00751196">
            <w:pPr>
              <w:pStyle w:val="EBBullet"/>
              <w:keepNext/>
              <w:numPr>
                <w:ilvl w:val="0"/>
                <w:numId w:val="0"/>
              </w:numPr>
              <w:tabs>
                <w:tab w:val="left" w:pos="720"/>
              </w:tabs>
              <w:rPr>
                <w:sz w:val="24"/>
              </w:rPr>
            </w:pPr>
            <w:permStart w:id="369982272" w:edGrp="everyone" w:colFirst="0" w:colLast="0"/>
            <w:permStart w:id="1826698035" w:edGrp="everyone" w:colFirst="1" w:colLast="1"/>
            <w:permEnd w:id="1485448206"/>
            <w:permEnd w:id="1837726617"/>
            <w:r w:rsidRPr="00751196">
              <w:rPr>
                <w:sz w:val="24"/>
              </w:rPr>
              <w:t>Manufacturer, supplier, importer, retailer other?</w:t>
            </w:r>
          </w:p>
        </w:tc>
        <w:tc>
          <w:tcPr>
            <w:tcW w:w="5211" w:type="dxa"/>
            <w:shd w:val="clear" w:color="auto" w:fill="auto"/>
          </w:tcPr>
          <w:p w:rsidR="00A43C03" w:rsidRPr="00751196" w:rsidRDefault="00A43C03" w:rsidP="00751196">
            <w:pPr>
              <w:pStyle w:val="EBBullet"/>
              <w:keepNext/>
              <w:numPr>
                <w:ilvl w:val="0"/>
                <w:numId w:val="0"/>
              </w:numPr>
              <w:tabs>
                <w:tab w:val="left" w:pos="720"/>
              </w:tabs>
              <w:rPr>
                <w:sz w:val="24"/>
              </w:rPr>
            </w:pPr>
          </w:p>
        </w:tc>
      </w:tr>
      <w:tr w:rsidR="00A43C03" w:rsidTr="00751196">
        <w:tc>
          <w:tcPr>
            <w:tcW w:w="5210" w:type="dxa"/>
            <w:shd w:val="clear" w:color="auto" w:fill="auto"/>
          </w:tcPr>
          <w:p w:rsidR="00A43C03" w:rsidRPr="00751196" w:rsidRDefault="00A43C03" w:rsidP="00751196">
            <w:pPr>
              <w:pStyle w:val="EBBullet"/>
              <w:keepNext/>
              <w:numPr>
                <w:ilvl w:val="0"/>
                <w:numId w:val="0"/>
              </w:numPr>
              <w:tabs>
                <w:tab w:val="left" w:pos="720"/>
              </w:tabs>
              <w:rPr>
                <w:sz w:val="24"/>
              </w:rPr>
            </w:pPr>
            <w:permStart w:id="1002910217" w:edGrp="everyone" w:colFirst="0" w:colLast="0"/>
            <w:permStart w:id="1241087533" w:edGrp="everyone" w:colFirst="1" w:colLast="1"/>
            <w:permEnd w:id="369982272"/>
            <w:permEnd w:id="1826698035"/>
            <w:r w:rsidRPr="00751196">
              <w:rPr>
                <w:sz w:val="24"/>
              </w:rPr>
              <w:t>Estimate of money spent annually on testing products to the FFRs</w:t>
            </w:r>
          </w:p>
        </w:tc>
        <w:tc>
          <w:tcPr>
            <w:tcW w:w="5211" w:type="dxa"/>
            <w:shd w:val="clear" w:color="auto" w:fill="auto"/>
          </w:tcPr>
          <w:p w:rsidR="00A43C03" w:rsidRPr="00751196" w:rsidRDefault="00A43C03" w:rsidP="00751196">
            <w:pPr>
              <w:pStyle w:val="EBBullet"/>
              <w:keepNext/>
              <w:numPr>
                <w:ilvl w:val="0"/>
                <w:numId w:val="0"/>
              </w:numPr>
              <w:tabs>
                <w:tab w:val="left" w:pos="720"/>
              </w:tabs>
              <w:rPr>
                <w:sz w:val="24"/>
              </w:rPr>
            </w:pPr>
          </w:p>
        </w:tc>
      </w:tr>
      <w:tr w:rsidR="00A43C03" w:rsidTr="00751196">
        <w:tc>
          <w:tcPr>
            <w:tcW w:w="5210" w:type="dxa"/>
            <w:shd w:val="clear" w:color="auto" w:fill="auto"/>
          </w:tcPr>
          <w:p w:rsidR="00A43C03" w:rsidRPr="00751196" w:rsidRDefault="00A43C03" w:rsidP="00751196">
            <w:pPr>
              <w:pStyle w:val="EBBullet"/>
              <w:keepNext/>
              <w:numPr>
                <w:ilvl w:val="0"/>
                <w:numId w:val="0"/>
              </w:numPr>
              <w:tabs>
                <w:tab w:val="left" w:pos="720"/>
              </w:tabs>
              <w:rPr>
                <w:sz w:val="24"/>
              </w:rPr>
            </w:pPr>
            <w:permStart w:id="1298341778" w:edGrp="everyone" w:colFirst="0" w:colLast="0"/>
            <w:permStart w:id="1129387827" w:edGrp="everyone" w:colFirst="1" w:colLast="1"/>
            <w:permEnd w:id="1002910217"/>
            <w:permEnd w:id="1241087533"/>
            <w:r w:rsidRPr="00751196">
              <w:rPr>
                <w:sz w:val="24"/>
              </w:rPr>
              <w:t>Estimate of money spent annually on treating fabrics for the FFRs</w:t>
            </w:r>
          </w:p>
        </w:tc>
        <w:tc>
          <w:tcPr>
            <w:tcW w:w="5211" w:type="dxa"/>
            <w:shd w:val="clear" w:color="auto" w:fill="auto"/>
          </w:tcPr>
          <w:p w:rsidR="00A43C03" w:rsidRPr="00751196" w:rsidRDefault="00A43C03" w:rsidP="00751196">
            <w:pPr>
              <w:pStyle w:val="EBBullet"/>
              <w:keepNext/>
              <w:numPr>
                <w:ilvl w:val="0"/>
                <w:numId w:val="0"/>
              </w:numPr>
              <w:tabs>
                <w:tab w:val="left" w:pos="720"/>
              </w:tabs>
              <w:rPr>
                <w:sz w:val="24"/>
              </w:rPr>
            </w:pPr>
          </w:p>
        </w:tc>
      </w:tr>
      <w:tr w:rsidR="00A43C03" w:rsidRPr="00751196" w:rsidTr="00751196">
        <w:tc>
          <w:tcPr>
            <w:tcW w:w="5210" w:type="dxa"/>
            <w:shd w:val="clear" w:color="auto" w:fill="auto"/>
          </w:tcPr>
          <w:p w:rsidR="00A43C03" w:rsidRPr="00751196" w:rsidRDefault="00A43C03" w:rsidP="00751196">
            <w:pPr>
              <w:pStyle w:val="EBBullet"/>
              <w:keepNext/>
              <w:numPr>
                <w:ilvl w:val="0"/>
                <w:numId w:val="0"/>
              </w:numPr>
              <w:tabs>
                <w:tab w:val="left" w:pos="720"/>
              </w:tabs>
              <w:rPr>
                <w:sz w:val="24"/>
              </w:rPr>
            </w:pPr>
            <w:permStart w:id="2076785053" w:edGrp="everyone" w:colFirst="0" w:colLast="0"/>
            <w:permStart w:id="501684769" w:edGrp="everyone" w:colFirst="1" w:colLast="1"/>
            <w:permEnd w:id="1298341778"/>
            <w:permEnd w:id="1129387827"/>
            <w:r w:rsidRPr="00751196">
              <w:rPr>
                <w:sz w:val="24"/>
              </w:rPr>
              <w:t>Estimate of amount of fabric (in metres) treated annually</w:t>
            </w:r>
          </w:p>
        </w:tc>
        <w:tc>
          <w:tcPr>
            <w:tcW w:w="5211" w:type="dxa"/>
            <w:shd w:val="clear" w:color="auto" w:fill="auto"/>
          </w:tcPr>
          <w:p w:rsidR="00A43C03" w:rsidRPr="00751196" w:rsidRDefault="00A43C03" w:rsidP="00751196">
            <w:pPr>
              <w:pStyle w:val="EBBullet"/>
              <w:keepNext/>
              <w:numPr>
                <w:ilvl w:val="0"/>
                <w:numId w:val="0"/>
              </w:numPr>
              <w:tabs>
                <w:tab w:val="left" w:pos="720"/>
              </w:tabs>
              <w:rPr>
                <w:sz w:val="24"/>
              </w:rPr>
            </w:pPr>
          </w:p>
        </w:tc>
      </w:tr>
      <w:tr w:rsidR="00A43C03" w:rsidTr="00751196">
        <w:tc>
          <w:tcPr>
            <w:tcW w:w="5210" w:type="dxa"/>
            <w:shd w:val="clear" w:color="auto" w:fill="auto"/>
          </w:tcPr>
          <w:p w:rsidR="00A43C03" w:rsidRPr="00751196" w:rsidRDefault="00A43C03" w:rsidP="00751196">
            <w:pPr>
              <w:pStyle w:val="EBBullet"/>
              <w:keepNext/>
              <w:numPr>
                <w:ilvl w:val="0"/>
                <w:numId w:val="0"/>
              </w:numPr>
              <w:tabs>
                <w:tab w:val="left" w:pos="720"/>
              </w:tabs>
              <w:rPr>
                <w:sz w:val="24"/>
              </w:rPr>
            </w:pPr>
            <w:permStart w:id="465132747" w:edGrp="everyone" w:colFirst="0" w:colLast="0"/>
            <w:permStart w:id="1553219460" w:edGrp="everyone" w:colFirst="1" w:colLast="1"/>
            <w:permEnd w:id="2076785053"/>
            <w:permEnd w:id="501684769"/>
            <w:r w:rsidRPr="00751196">
              <w:rPr>
                <w:sz w:val="24"/>
              </w:rPr>
              <w:t>Number of furniture units sold that are required to meet a) the match test of the FFRs, b) other FFRs' tests</w:t>
            </w:r>
          </w:p>
        </w:tc>
        <w:tc>
          <w:tcPr>
            <w:tcW w:w="5211" w:type="dxa"/>
            <w:shd w:val="clear" w:color="auto" w:fill="auto"/>
          </w:tcPr>
          <w:p w:rsidR="00A43C03" w:rsidRPr="00751196" w:rsidRDefault="00A43C03" w:rsidP="00751196">
            <w:pPr>
              <w:pStyle w:val="EBBullet"/>
              <w:keepNext/>
              <w:numPr>
                <w:ilvl w:val="0"/>
                <w:numId w:val="0"/>
              </w:numPr>
              <w:tabs>
                <w:tab w:val="left" w:pos="720"/>
              </w:tabs>
              <w:rPr>
                <w:sz w:val="24"/>
              </w:rPr>
            </w:pPr>
            <w:r w:rsidRPr="00751196">
              <w:rPr>
                <w:sz w:val="24"/>
              </w:rPr>
              <w:t>e.g. 10,000 sofas, 50,000 upholstered chairs</w:t>
            </w:r>
          </w:p>
        </w:tc>
      </w:tr>
      <w:tr w:rsidR="00A43C03" w:rsidRPr="00751196" w:rsidTr="00751196">
        <w:tc>
          <w:tcPr>
            <w:tcW w:w="5210" w:type="dxa"/>
            <w:shd w:val="clear" w:color="auto" w:fill="auto"/>
          </w:tcPr>
          <w:p w:rsidR="00A43C03" w:rsidRPr="00751196" w:rsidRDefault="00A43C03" w:rsidP="00751196">
            <w:pPr>
              <w:pStyle w:val="EBBullet"/>
              <w:keepNext/>
              <w:numPr>
                <w:ilvl w:val="0"/>
                <w:numId w:val="0"/>
              </w:numPr>
              <w:tabs>
                <w:tab w:val="left" w:pos="720"/>
              </w:tabs>
              <w:rPr>
                <w:sz w:val="24"/>
              </w:rPr>
            </w:pPr>
            <w:permStart w:id="698439236" w:edGrp="everyone" w:colFirst="0" w:colLast="0"/>
            <w:permStart w:id="606088752" w:edGrp="everyone" w:colFirst="1" w:colLast="1"/>
            <w:permEnd w:id="465132747"/>
            <w:permEnd w:id="1553219460"/>
            <w:r w:rsidRPr="00751196">
              <w:rPr>
                <w:sz w:val="24"/>
              </w:rPr>
              <w:t>Average amount of treated fabric used for the furniture products in scope of the FFRs</w:t>
            </w:r>
          </w:p>
        </w:tc>
        <w:tc>
          <w:tcPr>
            <w:tcW w:w="5211" w:type="dxa"/>
            <w:shd w:val="clear" w:color="auto" w:fill="auto"/>
          </w:tcPr>
          <w:p w:rsidR="00A43C03" w:rsidRPr="00751196" w:rsidRDefault="00A43C03" w:rsidP="00751196">
            <w:pPr>
              <w:pStyle w:val="EBBullet"/>
              <w:keepNext/>
              <w:numPr>
                <w:ilvl w:val="0"/>
                <w:numId w:val="0"/>
              </w:numPr>
              <w:tabs>
                <w:tab w:val="left" w:pos="720"/>
              </w:tabs>
              <w:rPr>
                <w:sz w:val="24"/>
              </w:rPr>
            </w:pPr>
            <w:r w:rsidRPr="00751196">
              <w:rPr>
                <w:sz w:val="24"/>
              </w:rPr>
              <w:t>e.g. 20 metres per sofa</w:t>
            </w:r>
          </w:p>
        </w:tc>
      </w:tr>
      <w:tr w:rsidR="00A43C03" w:rsidTr="00751196">
        <w:tc>
          <w:tcPr>
            <w:tcW w:w="5210" w:type="dxa"/>
            <w:shd w:val="clear" w:color="auto" w:fill="auto"/>
          </w:tcPr>
          <w:p w:rsidR="00A43C03" w:rsidRPr="00751196" w:rsidRDefault="00A43C03" w:rsidP="00751196">
            <w:pPr>
              <w:pStyle w:val="EBBullet"/>
              <w:keepNext/>
              <w:numPr>
                <w:ilvl w:val="0"/>
                <w:numId w:val="0"/>
              </w:numPr>
              <w:tabs>
                <w:tab w:val="left" w:pos="720"/>
              </w:tabs>
              <w:rPr>
                <w:sz w:val="24"/>
              </w:rPr>
            </w:pPr>
            <w:permStart w:id="1910777023" w:edGrp="everyone" w:colFirst="0" w:colLast="0"/>
            <w:permStart w:id="1874266488" w:edGrp="everyone" w:colFirst="1" w:colLast="1"/>
            <w:permEnd w:id="698439236"/>
            <w:permEnd w:id="606088752"/>
            <w:r w:rsidRPr="00751196">
              <w:rPr>
                <w:sz w:val="24"/>
              </w:rPr>
              <w:t>Market share</w:t>
            </w:r>
          </w:p>
        </w:tc>
        <w:tc>
          <w:tcPr>
            <w:tcW w:w="5211" w:type="dxa"/>
            <w:shd w:val="clear" w:color="auto" w:fill="auto"/>
          </w:tcPr>
          <w:p w:rsidR="00A43C03" w:rsidRPr="00751196" w:rsidRDefault="00A43C03" w:rsidP="00751196">
            <w:pPr>
              <w:pStyle w:val="EBBullet"/>
              <w:keepNext/>
              <w:numPr>
                <w:ilvl w:val="0"/>
                <w:numId w:val="0"/>
              </w:numPr>
              <w:tabs>
                <w:tab w:val="left" w:pos="720"/>
              </w:tabs>
              <w:rPr>
                <w:sz w:val="24"/>
              </w:rPr>
            </w:pPr>
            <w:r w:rsidRPr="00751196">
              <w:rPr>
                <w:sz w:val="24"/>
              </w:rPr>
              <w:t>e.g. 20% of furniture retail or 15% of sofa sales</w:t>
            </w:r>
          </w:p>
        </w:tc>
      </w:tr>
      <w:permEnd w:id="1910777023"/>
      <w:permEnd w:id="1874266488"/>
    </w:tbl>
    <w:p w:rsidR="00A43C03" w:rsidRDefault="00A43C03" w:rsidP="00A43C03">
      <w:pPr>
        <w:pStyle w:val="EBBullet"/>
        <w:keepNext/>
        <w:numPr>
          <w:ilvl w:val="0"/>
          <w:numId w:val="0"/>
        </w:numPr>
        <w:rPr>
          <w:sz w:val="24"/>
        </w:rPr>
      </w:pPr>
    </w:p>
    <w:p w:rsidR="00A43C03" w:rsidRDefault="00A43C03" w:rsidP="00A43C03">
      <w:pPr>
        <w:pStyle w:val="EBBullet"/>
        <w:keepNext/>
        <w:numPr>
          <w:ilvl w:val="0"/>
          <w:numId w:val="0"/>
        </w:numPr>
        <w:tabs>
          <w:tab w:val="left" w:pos="-540"/>
        </w:tabs>
        <w:ind w:left="720" w:hanging="720"/>
        <w:rPr>
          <w:i/>
          <w:sz w:val="24"/>
        </w:rPr>
      </w:pPr>
      <w:r>
        <w:rPr>
          <w:i/>
          <w:sz w:val="24"/>
        </w:rPr>
        <w:t>Summary</w:t>
      </w:r>
    </w:p>
    <w:p w:rsidR="00A43C03" w:rsidRDefault="00A43C03" w:rsidP="00A43C03">
      <w:pPr>
        <w:pStyle w:val="EBBullet"/>
        <w:keepNext/>
        <w:numPr>
          <w:ilvl w:val="0"/>
          <w:numId w:val="0"/>
        </w:numPr>
        <w:tabs>
          <w:tab w:val="left" w:pos="-540"/>
        </w:tabs>
        <w:ind w:left="720" w:hanging="720"/>
        <w:rPr>
          <w:i/>
          <w:sz w:val="24"/>
        </w:rPr>
      </w:pPr>
    </w:p>
    <w:p w:rsidR="00A43C03" w:rsidRDefault="00A43C03" w:rsidP="0039415E">
      <w:pPr>
        <w:pStyle w:val="EBBullet"/>
        <w:keepNext/>
        <w:numPr>
          <w:ilvl w:val="1"/>
          <w:numId w:val="17"/>
        </w:numPr>
        <w:tabs>
          <w:tab w:val="clear" w:pos="360"/>
        </w:tabs>
        <w:ind w:left="720" w:hanging="720"/>
        <w:rPr>
          <w:sz w:val="24"/>
        </w:rPr>
      </w:pPr>
      <w:r>
        <w:rPr>
          <w:sz w:val="24"/>
        </w:rPr>
        <w:t xml:space="preserve">The second methodology, summarised in table 7, gives the greatest range. Given the uncertainties identified this range is used and the additional £7.5m of test house savings added to give a range of annual £19m to £55m annual cost savings to UK based furniture manufacturing businesses. </w:t>
      </w:r>
    </w:p>
    <w:p w:rsidR="00A43C03" w:rsidRDefault="00A43C03" w:rsidP="0039415E">
      <w:pPr>
        <w:pStyle w:val="EBBullet"/>
        <w:keepNext/>
        <w:numPr>
          <w:ilvl w:val="1"/>
          <w:numId w:val="17"/>
        </w:numPr>
        <w:tabs>
          <w:tab w:val="clear" w:pos="360"/>
        </w:tabs>
        <w:ind w:left="720" w:hanging="720"/>
        <w:rPr>
          <w:sz w:val="24"/>
        </w:rPr>
      </w:pPr>
      <w:r>
        <w:rPr>
          <w:sz w:val="24"/>
        </w:rPr>
        <w:t xml:space="preserve">The net cost savings to business, as shown above, for option 2 are counted as an “out” in this appraisal. The Equivalent Annual Net Cost to Business of this “out”, in 2009 prices, over the 10 year appraisal period is between £15m and £43m. The range reflects the uncertainty from the current evidence base. </w:t>
      </w:r>
    </w:p>
    <w:p w:rsidR="00A43C03" w:rsidRDefault="00A43C03" w:rsidP="00A43C03">
      <w:pPr>
        <w:pStyle w:val="EBBullet"/>
        <w:keepNext/>
        <w:numPr>
          <w:ilvl w:val="0"/>
          <w:numId w:val="0"/>
        </w:numPr>
        <w:tabs>
          <w:tab w:val="left" w:pos="720"/>
        </w:tabs>
        <w:ind w:left="720" w:hanging="720"/>
        <w:rPr>
          <w:sz w:val="24"/>
        </w:rPr>
      </w:pPr>
      <w:r>
        <w:rPr>
          <w:rFonts w:ascii="Arial Bold" w:hAnsi="Arial Bold"/>
          <w:sz w:val="24"/>
        </w:rPr>
        <w:tab/>
      </w:r>
    </w:p>
    <w:p w:rsidR="00A43C03" w:rsidRDefault="00A43C03" w:rsidP="00A43C03">
      <w:pPr>
        <w:pStyle w:val="EBBullet"/>
        <w:keepNext/>
        <w:numPr>
          <w:ilvl w:val="0"/>
          <w:numId w:val="0"/>
        </w:numPr>
        <w:ind w:left="720" w:hanging="720"/>
        <w:rPr>
          <w:b/>
          <w:sz w:val="24"/>
        </w:rPr>
      </w:pPr>
      <w:r>
        <w:rPr>
          <w:sz w:val="24"/>
        </w:rPr>
        <w:tab/>
      </w:r>
      <w:r>
        <w:rPr>
          <w:b/>
          <w:sz w:val="24"/>
        </w:rPr>
        <w:t>U</w:t>
      </w:r>
      <w:r w:rsidRPr="00C2673F">
        <w:rPr>
          <w:b/>
          <w:sz w:val="24"/>
        </w:rPr>
        <w:t xml:space="preserve">nquantified </w:t>
      </w:r>
      <w:r>
        <w:rPr>
          <w:b/>
          <w:sz w:val="24"/>
        </w:rPr>
        <w:t xml:space="preserve">potential </w:t>
      </w:r>
      <w:r w:rsidRPr="00C2673F">
        <w:rPr>
          <w:b/>
          <w:sz w:val="24"/>
        </w:rPr>
        <w:t>benefits</w:t>
      </w:r>
    </w:p>
    <w:p w:rsidR="00A43C03" w:rsidRDefault="00A43C03" w:rsidP="00A43C03">
      <w:pPr>
        <w:pStyle w:val="EBBullet"/>
        <w:keepNext/>
        <w:numPr>
          <w:ilvl w:val="0"/>
          <w:numId w:val="0"/>
        </w:numPr>
        <w:ind w:left="720" w:hanging="720"/>
      </w:pPr>
    </w:p>
    <w:p w:rsidR="00A43C03" w:rsidRDefault="00A43C03" w:rsidP="00A43C03">
      <w:pPr>
        <w:pStyle w:val="EBBullet"/>
        <w:keepNext/>
        <w:numPr>
          <w:ilvl w:val="0"/>
          <w:numId w:val="0"/>
        </w:numPr>
        <w:ind w:left="720" w:hanging="720"/>
      </w:pPr>
      <w:r>
        <w:t>6.20</w:t>
      </w:r>
      <w:r>
        <w:tab/>
        <w:t xml:space="preserve">The assessment above has assumed that cost savings will be captured by businesses. However, there could be a second order effect if businesses choose to reduce prices. If price elasticity is high then this could increase consumer demand for UK produced furniture in the UK / worldwide. </w:t>
      </w:r>
      <w:r>
        <w:lastRenderedPageBreak/>
        <w:t>However, it is assumed that the cost reduction on individual products will be too small to affect demand in any significant way even if all cost savings were passed on to the consumer.</w:t>
      </w:r>
      <w:r>
        <w:tab/>
      </w:r>
    </w:p>
    <w:p w:rsidR="00A43C03" w:rsidRDefault="00A43C03" w:rsidP="00A43C03">
      <w:pPr>
        <w:pStyle w:val="EBBullet"/>
        <w:keepNext/>
        <w:numPr>
          <w:ilvl w:val="0"/>
          <w:numId w:val="0"/>
        </w:numPr>
        <w:tabs>
          <w:tab w:val="left" w:pos="720"/>
        </w:tabs>
        <w:ind w:left="720" w:hanging="720"/>
      </w:pPr>
    </w:p>
    <w:p w:rsidR="00A43C03" w:rsidRDefault="00A43C03" w:rsidP="00A43C03">
      <w:pPr>
        <w:pStyle w:val="EBBullet"/>
        <w:keepNext/>
        <w:numPr>
          <w:ilvl w:val="0"/>
          <w:numId w:val="0"/>
        </w:numPr>
        <w:tabs>
          <w:tab w:val="left" w:pos="720"/>
        </w:tabs>
        <w:ind w:left="720" w:hanging="720"/>
        <w:rPr>
          <w:i/>
          <w:sz w:val="24"/>
        </w:rPr>
      </w:pPr>
      <w:r>
        <w:rPr>
          <w:i/>
          <w:sz w:val="24"/>
        </w:rPr>
        <w:t>Environmental benefits: reduced landfill</w:t>
      </w:r>
    </w:p>
    <w:p w:rsidR="00A43C03" w:rsidRPr="006B0140" w:rsidRDefault="00A43C03" w:rsidP="00A43C03">
      <w:pPr>
        <w:pStyle w:val="EBBullet"/>
        <w:keepNext/>
        <w:numPr>
          <w:ilvl w:val="0"/>
          <w:numId w:val="0"/>
        </w:numPr>
        <w:tabs>
          <w:tab w:val="left" w:pos="720"/>
        </w:tabs>
        <w:ind w:left="720" w:hanging="720"/>
        <w:rPr>
          <w:i/>
          <w:sz w:val="24"/>
        </w:rPr>
      </w:pPr>
    </w:p>
    <w:p w:rsidR="00A43C03" w:rsidRDefault="00A43C03" w:rsidP="00A43C03">
      <w:pPr>
        <w:pStyle w:val="EBBullet"/>
        <w:keepNext/>
        <w:numPr>
          <w:ilvl w:val="0"/>
          <w:numId w:val="0"/>
        </w:numPr>
        <w:tabs>
          <w:tab w:val="left" w:pos="720"/>
        </w:tabs>
        <w:ind w:left="720" w:hanging="720"/>
        <w:rPr>
          <w:sz w:val="24"/>
        </w:rPr>
      </w:pPr>
      <w:r>
        <w:rPr>
          <w:sz w:val="24"/>
        </w:rPr>
        <w:t>6.21</w:t>
      </w:r>
      <w:r>
        <w:rPr>
          <w:sz w:val="24"/>
        </w:rPr>
        <w:tab/>
        <w:t xml:space="preserve">At present, old upholstered furniture ends up in land-fill. Some of the FR chemicals present therein leach out into the environment and, according to Food Standards Agency research, get into the food chain (see Annex </w:t>
      </w:r>
      <w:r w:rsidR="00321C47">
        <w:rPr>
          <w:sz w:val="24"/>
        </w:rPr>
        <w:t xml:space="preserve">1 </w:t>
      </w:r>
      <w:r>
        <w:rPr>
          <w:sz w:val="24"/>
        </w:rPr>
        <w:t>for sources). One of the most common FRs used in furniture - DecaBDE - is already classed as a Substance of Very High Concern under REACH</w:t>
      </w:r>
      <w:r>
        <w:rPr>
          <w:rStyle w:val="FootnoteReference"/>
        </w:rPr>
        <w:footnoteReference w:id="22"/>
      </w:r>
      <w:r>
        <w:rPr>
          <w:sz w:val="24"/>
        </w:rPr>
        <w:t>, and is likely soon to be made a Persistent Organic Pollutant (POP). DecaBDE as a compound is not a problem but it can cause harm to the environment/health when it breaks down into its constituent parts. Defra report that there are significant problems with the destruction of FR-containing products at end-life, e.g. with building waste. BIS, therefore, wishes to alleviate this problem ahead of time by introducing an FR-reducing flammability test (as well as investigating new 'barrier' technology that could eventually lead to a total absence of FRs in furniture).</w:t>
      </w:r>
    </w:p>
    <w:p w:rsidR="00A43C03" w:rsidRDefault="00A43C03" w:rsidP="00A43C03">
      <w:pPr>
        <w:pStyle w:val="EBBullet"/>
        <w:keepNext/>
        <w:numPr>
          <w:ilvl w:val="0"/>
          <w:numId w:val="0"/>
        </w:numPr>
        <w:tabs>
          <w:tab w:val="left" w:pos="720"/>
        </w:tabs>
        <w:ind w:left="720" w:hanging="720"/>
        <w:rPr>
          <w:sz w:val="24"/>
        </w:rPr>
      </w:pPr>
    </w:p>
    <w:p w:rsidR="00A43C03" w:rsidRDefault="00A43C03" w:rsidP="00A43C03">
      <w:pPr>
        <w:pStyle w:val="EBBullet"/>
        <w:keepNext/>
        <w:numPr>
          <w:ilvl w:val="0"/>
          <w:numId w:val="0"/>
        </w:numPr>
        <w:tabs>
          <w:tab w:val="left" w:pos="720"/>
        </w:tabs>
        <w:ind w:left="720" w:hanging="720"/>
        <w:rPr>
          <w:i/>
          <w:sz w:val="24"/>
        </w:rPr>
      </w:pPr>
      <w:r>
        <w:rPr>
          <w:i/>
          <w:sz w:val="24"/>
        </w:rPr>
        <w:t>Health benefits from reduced use of FRs</w:t>
      </w:r>
    </w:p>
    <w:p w:rsidR="00A43C03" w:rsidRDefault="00A43C03" w:rsidP="00A43C03">
      <w:pPr>
        <w:pStyle w:val="EBBullet"/>
        <w:keepNext/>
        <w:numPr>
          <w:ilvl w:val="0"/>
          <w:numId w:val="0"/>
        </w:numPr>
        <w:tabs>
          <w:tab w:val="left" w:pos="720"/>
        </w:tabs>
        <w:ind w:left="720" w:hanging="720"/>
        <w:rPr>
          <w:sz w:val="24"/>
        </w:rPr>
      </w:pPr>
    </w:p>
    <w:p w:rsidR="00A43C03" w:rsidRPr="006805C3" w:rsidRDefault="00A43C03" w:rsidP="00A43C03">
      <w:pPr>
        <w:pStyle w:val="EBBullet"/>
        <w:keepNext/>
        <w:numPr>
          <w:ilvl w:val="0"/>
          <w:numId w:val="0"/>
        </w:numPr>
        <w:tabs>
          <w:tab w:val="left" w:pos="720"/>
        </w:tabs>
        <w:ind w:left="720" w:hanging="720"/>
        <w:rPr>
          <w:sz w:val="24"/>
        </w:rPr>
      </w:pPr>
      <w:r>
        <w:rPr>
          <w:sz w:val="24"/>
        </w:rPr>
        <w:t>6.22</w:t>
      </w:r>
      <w:r>
        <w:rPr>
          <w:sz w:val="24"/>
        </w:rPr>
        <w:tab/>
        <w:t>Various researches have shown that brominated flame retardants are present in house dust, from various consumer products such as furniture (see Annex for sources). Traces of BFRs have been found in human blood, particularly children, and in pets, i.e. because these tend to be in closer proximity to house dust (see 5.3 and 5.4 above). Other research shows long-term effects in rats from inducing BFRs at the post-natal stage, e.g. loss of attention and mood swings (see Annex for sources).</w:t>
      </w:r>
    </w:p>
    <w:p w:rsidR="00A43C03" w:rsidRDefault="00A43C03" w:rsidP="00A43C03">
      <w:pPr>
        <w:pStyle w:val="EBBullet"/>
        <w:keepNext/>
        <w:numPr>
          <w:ilvl w:val="0"/>
          <w:numId w:val="0"/>
        </w:numPr>
        <w:tabs>
          <w:tab w:val="left" w:pos="720"/>
        </w:tabs>
        <w:ind w:left="720" w:hanging="720"/>
        <w:rPr>
          <w:sz w:val="24"/>
        </w:rPr>
      </w:pPr>
      <w:r>
        <w:rPr>
          <w:sz w:val="24"/>
        </w:rPr>
        <w:tab/>
      </w:r>
    </w:p>
    <w:p w:rsidR="00A43C03" w:rsidRPr="00340B88" w:rsidRDefault="00A43C03" w:rsidP="00A43C03">
      <w:pPr>
        <w:pStyle w:val="EBBullet"/>
        <w:keepNext/>
        <w:numPr>
          <w:ilvl w:val="0"/>
          <w:numId w:val="0"/>
        </w:numPr>
        <w:pBdr>
          <w:top w:val="single" w:sz="4" w:space="1" w:color="auto"/>
          <w:left w:val="single" w:sz="4" w:space="4" w:color="auto"/>
          <w:bottom w:val="single" w:sz="4" w:space="1" w:color="auto"/>
          <w:right w:val="single" w:sz="4" w:space="4" w:color="auto"/>
        </w:pBdr>
        <w:tabs>
          <w:tab w:val="left" w:pos="0"/>
        </w:tabs>
        <w:rPr>
          <w:i/>
          <w:sz w:val="24"/>
        </w:rPr>
      </w:pPr>
      <w:r w:rsidRPr="00675A4A">
        <w:rPr>
          <w:b/>
          <w:sz w:val="24"/>
        </w:rPr>
        <w:t>Q</w:t>
      </w:r>
      <w:r>
        <w:rPr>
          <w:b/>
          <w:sz w:val="24"/>
        </w:rPr>
        <w:t>10</w:t>
      </w:r>
      <w:r w:rsidRPr="00675A4A">
        <w:rPr>
          <w:b/>
          <w:sz w:val="24"/>
        </w:rPr>
        <w:t>:</w:t>
      </w:r>
      <w:r>
        <w:rPr>
          <w:sz w:val="24"/>
        </w:rPr>
        <w:t xml:space="preserve"> Are there any other unquantified costs or benefits? If possible, please  provide evidence supporting your arguments. </w:t>
      </w:r>
    </w:p>
    <w:p w:rsidR="00A43C03" w:rsidRDefault="00A43C03" w:rsidP="00A43C03">
      <w:pPr>
        <w:pStyle w:val="EBBullet"/>
        <w:keepNext/>
        <w:numPr>
          <w:ilvl w:val="0"/>
          <w:numId w:val="0"/>
        </w:numPr>
        <w:tabs>
          <w:tab w:val="left" w:pos="720"/>
        </w:tabs>
        <w:ind w:left="720" w:hanging="720"/>
      </w:pPr>
    </w:p>
    <w:p w:rsidR="00A43C03" w:rsidRPr="007A3BEF" w:rsidRDefault="00A43C03" w:rsidP="00A43C03">
      <w:pPr>
        <w:pStyle w:val="EBBullet"/>
        <w:keepNext/>
        <w:numPr>
          <w:ilvl w:val="0"/>
          <w:numId w:val="0"/>
        </w:numPr>
        <w:tabs>
          <w:tab w:val="left" w:pos="720"/>
        </w:tabs>
        <w:ind w:left="720" w:hanging="720"/>
        <w:rPr>
          <w:rFonts w:ascii="Arial Bold" w:hAnsi="Arial Bold"/>
          <w:b/>
          <w:sz w:val="24"/>
        </w:rPr>
      </w:pPr>
      <w:r>
        <w:rPr>
          <w:rFonts w:ascii="Arial Bold" w:hAnsi="Arial Bold"/>
          <w:b/>
          <w:sz w:val="24"/>
        </w:rPr>
        <w:t>7.</w:t>
      </w:r>
      <w:r>
        <w:rPr>
          <w:rFonts w:ascii="Arial Bold" w:hAnsi="Arial Bold"/>
          <w:b/>
          <w:sz w:val="24"/>
        </w:rPr>
        <w:tab/>
        <w:t>Micro/SME Business Assessment</w:t>
      </w:r>
    </w:p>
    <w:p w:rsidR="00A43C03" w:rsidRDefault="00A43C03" w:rsidP="00A43C03">
      <w:pPr>
        <w:spacing w:line="276" w:lineRule="auto"/>
        <w:ind w:left="720"/>
        <w:rPr>
          <w:rFonts w:cs="Arial"/>
          <w:bCs/>
          <w:color w:val="000000"/>
          <w:sz w:val="22"/>
          <w:szCs w:val="22"/>
          <w:lang w:eastAsia="en-GB"/>
        </w:rPr>
      </w:pPr>
    </w:p>
    <w:p w:rsidR="00A43C03" w:rsidRDefault="00A43C03" w:rsidP="00A43C03">
      <w:pPr>
        <w:spacing w:line="276" w:lineRule="auto"/>
        <w:ind w:left="720" w:hanging="720"/>
      </w:pPr>
      <w:bookmarkStart w:id="97" w:name="EvidenceBullet"/>
      <w:r>
        <w:t>7.1</w:t>
      </w:r>
      <w:r>
        <w:tab/>
        <w:t>There are 3,550 SME furniture manufacturers in the UK, comprising roughly 60% of all manufacturers.</w:t>
      </w:r>
      <w:r>
        <w:rPr>
          <w:rStyle w:val="FootnoteReference"/>
        </w:rPr>
        <w:footnoteReference w:id="23"/>
      </w:r>
      <w:r>
        <w:t xml:space="preserve"> Micro/SME businesses are not exempted from the requirements of the FFRs because they must produce furniture that is as safe for the consumer as that produced by larger companies.</w:t>
      </w:r>
    </w:p>
    <w:p w:rsidR="00A43C03" w:rsidRDefault="00A43C03" w:rsidP="00A43C03">
      <w:pPr>
        <w:spacing w:line="276" w:lineRule="auto"/>
        <w:ind w:left="720"/>
      </w:pPr>
    </w:p>
    <w:p w:rsidR="00A43C03" w:rsidRDefault="00A43C03" w:rsidP="00D05304">
      <w:pPr>
        <w:spacing w:line="276" w:lineRule="auto"/>
        <w:ind w:left="720" w:hanging="720"/>
      </w:pPr>
      <w:r>
        <w:lastRenderedPageBreak/>
        <w:t>7.2</w:t>
      </w:r>
      <w:r>
        <w:tab/>
        <w:t xml:space="preserve">Due to economies of scale, SMEs can pay three times more than larger companies for FR treatment of their fabrics. We can't say that this means their savings will be 3 times higher, i.e. because the saving is in the cost of chemicals not the treatment process. However, it seems reasonable to assume that SMEs will save proportionately at least as much as larger businesses. </w:t>
      </w:r>
    </w:p>
    <w:p w:rsidR="00A43C03" w:rsidRDefault="00A43C03" w:rsidP="00A43C03">
      <w:pPr>
        <w:spacing w:line="276" w:lineRule="auto"/>
        <w:ind w:left="720" w:hanging="720"/>
      </w:pPr>
      <w:r>
        <w:t>7.3</w:t>
      </w:r>
      <w:r>
        <w:tab/>
        <w:t>In addition, because SMEs pay more for treatment, purchasing more expensive inherently-FR fibres may be more commercially attractive for them than for larger companies. If they go this route, then no treatment would be necessary; therefore, savings will be higher.</w:t>
      </w:r>
      <w:bookmarkEnd w:id="97"/>
    </w:p>
    <w:p w:rsidR="00A43C03" w:rsidRDefault="00A43C03" w:rsidP="00A43C03">
      <w:pPr>
        <w:spacing w:line="276" w:lineRule="auto"/>
        <w:ind w:left="720"/>
      </w:pPr>
    </w:p>
    <w:p w:rsidR="00A43C03" w:rsidRPr="00556AB7" w:rsidRDefault="00A43C03" w:rsidP="00A43C03">
      <w:pPr>
        <w:pStyle w:val="EBBullet"/>
        <w:keepNext/>
        <w:numPr>
          <w:ilvl w:val="0"/>
          <w:numId w:val="0"/>
        </w:numPr>
        <w:pBdr>
          <w:top w:val="single" w:sz="4" w:space="1" w:color="auto"/>
          <w:left w:val="single" w:sz="4" w:space="4" w:color="auto"/>
          <w:bottom w:val="single" w:sz="4" w:space="1" w:color="auto"/>
          <w:right w:val="single" w:sz="4" w:space="4" w:color="auto"/>
        </w:pBdr>
        <w:tabs>
          <w:tab w:val="left" w:pos="0"/>
        </w:tabs>
        <w:rPr>
          <w:i/>
          <w:sz w:val="24"/>
        </w:rPr>
      </w:pPr>
      <w:r w:rsidRPr="00675A4A">
        <w:rPr>
          <w:b/>
          <w:sz w:val="24"/>
        </w:rPr>
        <w:t>Q</w:t>
      </w:r>
      <w:r>
        <w:rPr>
          <w:b/>
          <w:sz w:val="24"/>
        </w:rPr>
        <w:t>11</w:t>
      </w:r>
      <w:r w:rsidRPr="00675A4A">
        <w:rPr>
          <w:b/>
          <w:sz w:val="24"/>
        </w:rPr>
        <w:t>:</w:t>
      </w:r>
      <w:r>
        <w:rPr>
          <w:sz w:val="24"/>
        </w:rPr>
        <w:t xml:space="preserve"> Is this a fair reflection of how smaller businesses will be affected? Please provide evidence supporting your arguments. </w:t>
      </w:r>
    </w:p>
    <w:p w:rsidR="00A43C03" w:rsidRDefault="00A43C03" w:rsidP="00A43C03">
      <w:pPr>
        <w:spacing w:line="276" w:lineRule="auto"/>
        <w:ind w:left="720"/>
      </w:pPr>
    </w:p>
    <w:p w:rsidR="00A43C03" w:rsidRPr="00531069" w:rsidRDefault="00A43C03" w:rsidP="00A43C03">
      <w:pPr>
        <w:pStyle w:val="EBBullet"/>
        <w:keepNext/>
        <w:numPr>
          <w:ilvl w:val="0"/>
          <w:numId w:val="0"/>
        </w:numPr>
        <w:tabs>
          <w:tab w:val="left" w:pos="720"/>
        </w:tabs>
        <w:ind w:left="720" w:hanging="720"/>
        <w:rPr>
          <w:sz w:val="24"/>
        </w:rPr>
      </w:pPr>
      <w:r>
        <w:rPr>
          <w:rFonts w:ascii="Arial Bold" w:hAnsi="Arial Bold"/>
          <w:b/>
          <w:sz w:val="24"/>
        </w:rPr>
        <w:t>8.</w:t>
      </w:r>
      <w:r>
        <w:rPr>
          <w:rFonts w:ascii="Arial Bold" w:hAnsi="Arial Bold"/>
          <w:b/>
          <w:sz w:val="24"/>
        </w:rPr>
        <w:tab/>
      </w:r>
      <w:r w:rsidRPr="00200A41">
        <w:rPr>
          <w:rFonts w:ascii="Arial Bold" w:hAnsi="Arial Bold"/>
          <w:b/>
          <w:sz w:val="24"/>
        </w:rPr>
        <w:t>Costs</w:t>
      </w:r>
      <w:r>
        <w:rPr>
          <w:rFonts w:ascii="Arial Bold" w:hAnsi="Arial Bold"/>
          <w:b/>
          <w:sz w:val="24"/>
        </w:rPr>
        <w:t xml:space="preserve"> and benefits for Option 3 </w:t>
      </w:r>
    </w:p>
    <w:p w:rsidR="00A43C03" w:rsidRDefault="00A43C03" w:rsidP="00A43C03">
      <w:pPr>
        <w:pStyle w:val="EBBullet"/>
        <w:keepNext/>
        <w:numPr>
          <w:ilvl w:val="0"/>
          <w:numId w:val="0"/>
        </w:numPr>
        <w:tabs>
          <w:tab w:val="left" w:pos="720"/>
        </w:tabs>
        <w:ind w:left="284" w:hanging="284"/>
        <w:rPr>
          <w:sz w:val="24"/>
        </w:rPr>
      </w:pPr>
    </w:p>
    <w:p w:rsidR="00A43C03" w:rsidRDefault="00A43C03" w:rsidP="00A43C03">
      <w:pPr>
        <w:pStyle w:val="EBBullet"/>
        <w:keepNext/>
        <w:numPr>
          <w:ilvl w:val="0"/>
          <w:numId w:val="0"/>
        </w:numPr>
        <w:tabs>
          <w:tab w:val="left" w:pos="720"/>
        </w:tabs>
        <w:ind w:left="720" w:hanging="720"/>
        <w:rPr>
          <w:sz w:val="24"/>
        </w:rPr>
      </w:pPr>
      <w:r>
        <w:rPr>
          <w:sz w:val="24"/>
        </w:rPr>
        <w:t>8.1      The</w:t>
      </w:r>
      <w:r w:rsidRPr="00531069">
        <w:rPr>
          <w:sz w:val="24"/>
        </w:rPr>
        <w:t xml:space="preserve"> analys</w:t>
      </w:r>
      <w:r>
        <w:rPr>
          <w:sz w:val="24"/>
        </w:rPr>
        <w:t>is assumes the same cost savings as option 2 but delayed by a year. This reflects the staggered nature of the regulations in option 2 compared to option 3. It is likely the familiarisation costs would be less with option 3, since it would be timed with further amendments to the furniture and fire regulations. However, these future amendments will need a separate impact assessment as they will be a further marginal change. Therefore, to avoid double-counting the cost to business of familiarisation with future amendments, it is not considered here. The differences in the timing of cost savings, resulting from reduced treatment and testing costs, are shown in the table below:</w:t>
      </w:r>
    </w:p>
    <w:p w:rsidR="00A43C03" w:rsidRDefault="00A43C03" w:rsidP="00A43C03">
      <w:pPr>
        <w:pStyle w:val="EBBullet"/>
        <w:keepNext/>
        <w:numPr>
          <w:ilvl w:val="0"/>
          <w:numId w:val="0"/>
        </w:numPr>
        <w:tabs>
          <w:tab w:val="left" w:pos="720"/>
        </w:tabs>
        <w:ind w:left="720"/>
        <w:rPr>
          <w:sz w:val="24"/>
        </w:rPr>
      </w:pPr>
    </w:p>
    <w:p w:rsidR="00A43C03" w:rsidRPr="00F20617" w:rsidRDefault="00A43C03" w:rsidP="00A43C03">
      <w:pPr>
        <w:pStyle w:val="EBBullet"/>
        <w:keepNext/>
        <w:numPr>
          <w:ilvl w:val="0"/>
          <w:numId w:val="0"/>
        </w:numPr>
        <w:tabs>
          <w:tab w:val="left" w:pos="720"/>
        </w:tabs>
        <w:ind w:left="720" w:hanging="720"/>
        <w:rPr>
          <w:sz w:val="24"/>
          <w:u w:val="single"/>
        </w:rPr>
      </w:pPr>
      <w:r>
        <w:rPr>
          <w:sz w:val="24"/>
          <w:u w:val="single"/>
        </w:rPr>
        <w:t xml:space="preserve">Table 9. </w:t>
      </w:r>
      <w:r w:rsidRPr="00F20617">
        <w:rPr>
          <w:sz w:val="24"/>
          <w:u w:val="single"/>
        </w:rPr>
        <w:t>Cost savings for option 2</w:t>
      </w:r>
    </w:p>
    <w:p w:rsidR="00A43C03" w:rsidRDefault="00A43C03" w:rsidP="00A43C03">
      <w:pPr>
        <w:pStyle w:val="EBBullet"/>
        <w:keepNext/>
        <w:numPr>
          <w:ilvl w:val="0"/>
          <w:numId w:val="0"/>
        </w:numPr>
        <w:tabs>
          <w:tab w:val="left" w:pos="720"/>
        </w:tabs>
        <w:ind w:left="720"/>
        <w:rPr>
          <w:sz w:val="24"/>
        </w:rPr>
      </w:pPr>
    </w:p>
    <w:tbl>
      <w:tblPr>
        <w:tblW w:w="9540" w:type="dxa"/>
        <w:tblInd w:w="108" w:type="dxa"/>
        <w:tblLook w:val="0000" w:firstRow="0" w:lastRow="0" w:firstColumn="0" w:lastColumn="0" w:noHBand="0" w:noVBand="0"/>
      </w:tblPr>
      <w:tblGrid>
        <w:gridCol w:w="824"/>
        <w:gridCol w:w="862"/>
        <w:gridCol w:w="863"/>
        <w:gridCol w:w="863"/>
        <w:gridCol w:w="863"/>
        <w:gridCol w:w="865"/>
        <w:gridCol w:w="863"/>
        <w:gridCol w:w="863"/>
        <w:gridCol w:w="863"/>
        <w:gridCol w:w="915"/>
        <w:gridCol w:w="863"/>
        <w:gridCol w:w="863"/>
      </w:tblGrid>
      <w:tr w:rsidR="00A43C03" w:rsidRPr="00F20617" w:rsidTr="00A43C03">
        <w:trPr>
          <w:trHeight w:val="300"/>
        </w:trPr>
        <w:tc>
          <w:tcPr>
            <w:tcW w:w="717" w:type="dxa"/>
            <w:tcBorders>
              <w:top w:val="nil"/>
              <w:left w:val="nil"/>
              <w:bottom w:val="nil"/>
              <w:right w:val="nil"/>
            </w:tcBorders>
            <w:shd w:val="clear" w:color="auto" w:fill="000000"/>
            <w:noWrap/>
            <w:vAlign w:val="bottom"/>
          </w:tcPr>
          <w:p w:rsidR="00A43C03" w:rsidRPr="00F20617" w:rsidRDefault="00A43C03" w:rsidP="00A43C03">
            <w:pPr>
              <w:rPr>
                <w:rFonts w:cs="Arial"/>
                <w:b/>
                <w:color w:val="FFFFFF"/>
                <w:lang w:eastAsia="en-GB"/>
              </w:rPr>
            </w:pPr>
            <w:r w:rsidRPr="00F20617">
              <w:rPr>
                <w:rFonts w:cs="Arial"/>
                <w:b/>
                <w:color w:val="FFFFFF"/>
                <w:lang w:eastAsia="en-GB"/>
              </w:rPr>
              <w:t>£m</w:t>
            </w:r>
          </w:p>
        </w:tc>
        <w:tc>
          <w:tcPr>
            <w:tcW w:w="750" w:type="dxa"/>
            <w:tcBorders>
              <w:top w:val="nil"/>
              <w:left w:val="nil"/>
              <w:bottom w:val="nil"/>
              <w:right w:val="nil"/>
            </w:tcBorders>
            <w:shd w:val="clear" w:color="auto" w:fill="000000"/>
            <w:noWrap/>
            <w:vAlign w:val="bottom"/>
          </w:tcPr>
          <w:p w:rsidR="00A43C03" w:rsidRPr="00F20617" w:rsidRDefault="00A43C03" w:rsidP="00A43C03">
            <w:pPr>
              <w:jc w:val="right"/>
              <w:rPr>
                <w:rFonts w:cs="Arial"/>
                <w:b/>
                <w:color w:val="FFFFFF"/>
                <w:lang w:eastAsia="en-GB"/>
              </w:rPr>
            </w:pPr>
            <w:r w:rsidRPr="00F20617">
              <w:rPr>
                <w:rFonts w:cs="Arial"/>
                <w:b/>
                <w:color w:val="FFFFFF"/>
                <w:lang w:eastAsia="en-GB"/>
              </w:rPr>
              <w:t>2014</w:t>
            </w:r>
          </w:p>
        </w:tc>
        <w:tc>
          <w:tcPr>
            <w:tcW w:w="864" w:type="dxa"/>
            <w:tcBorders>
              <w:top w:val="nil"/>
              <w:left w:val="nil"/>
              <w:bottom w:val="nil"/>
              <w:right w:val="nil"/>
            </w:tcBorders>
            <w:shd w:val="clear" w:color="auto" w:fill="000000"/>
            <w:noWrap/>
            <w:vAlign w:val="bottom"/>
          </w:tcPr>
          <w:p w:rsidR="00A43C03" w:rsidRPr="00F20617" w:rsidRDefault="00A43C03" w:rsidP="00A43C03">
            <w:pPr>
              <w:jc w:val="right"/>
              <w:rPr>
                <w:rFonts w:cs="Arial"/>
                <w:b/>
                <w:color w:val="FFFFFF"/>
                <w:lang w:eastAsia="en-GB"/>
              </w:rPr>
            </w:pPr>
            <w:r w:rsidRPr="00F20617">
              <w:rPr>
                <w:rFonts w:cs="Arial"/>
                <w:b/>
                <w:color w:val="FFFFFF"/>
                <w:lang w:eastAsia="en-GB"/>
              </w:rPr>
              <w:t>2015</w:t>
            </w:r>
          </w:p>
        </w:tc>
        <w:tc>
          <w:tcPr>
            <w:tcW w:w="750" w:type="dxa"/>
            <w:tcBorders>
              <w:top w:val="nil"/>
              <w:left w:val="nil"/>
              <w:bottom w:val="nil"/>
              <w:right w:val="nil"/>
            </w:tcBorders>
            <w:shd w:val="clear" w:color="auto" w:fill="000000"/>
            <w:noWrap/>
            <w:vAlign w:val="bottom"/>
          </w:tcPr>
          <w:p w:rsidR="00A43C03" w:rsidRPr="00F20617" w:rsidRDefault="00A43C03" w:rsidP="00A43C03">
            <w:pPr>
              <w:jc w:val="right"/>
              <w:rPr>
                <w:rFonts w:cs="Arial"/>
                <w:b/>
                <w:color w:val="FFFFFF"/>
                <w:lang w:eastAsia="en-GB"/>
              </w:rPr>
            </w:pPr>
            <w:r w:rsidRPr="00F20617">
              <w:rPr>
                <w:rFonts w:cs="Arial"/>
                <w:b/>
                <w:color w:val="FFFFFF"/>
                <w:lang w:eastAsia="en-GB"/>
              </w:rPr>
              <w:t>2016</w:t>
            </w:r>
          </w:p>
        </w:tc>
        <w:tc>
          <w:tcPr>
            <w:tcW w:w="864" w:type="dxa"/>
            <w:tcBorders>
              <w:top w:val="nil"/>
              <w:left w:val="nil"/>
              <w:bottom w:val="nil"/>
              <w:right w:val="nil"/>
            </w:tcBorders>
            <w:shd w:val="clear" w:color="auto" w:fill="000000"/>
            <w:noWrap/>
            <w:vAlign w:val="bottom"/>
          </w:tcPr>
          <w:p w:rsidR="00A43C03" w:rsidRPr="00F20617" w:rsidRDefault="00A43C03" w:rsidP="00A43C03">
            <w:pPr>
              <w:jc w:val="right"/>
              <w:rPr>
                <w:rFonts w:cs="Arial"/>
                <w:b/>
                <w:color w:val="FFFFFF"/>
                <w:lang w:eastAsia="en-GB"/>
              </w:rPr>
            </w:pPr>
            <w:r w:rsidRPr="00F20617">
              <w:rPr>
                <w:rFonts w:cs="Arial"/>
                <w:b/>
                <w:color w:val="FFFFFF"/>
                <w:lang w:eastAsia="en-GB"/>
              </w:rPr>
              <w:t>2017</w:t>
            </w:r>
          </w:p>
        </w:tc>
        <w:tc>
          <w:tcPr>
            <w:tcW w:w="894" w:type="dxa"/>
            <w:tcBorders>
              <w:top w:val="nil"/>
              <w:left w:val="nil"/>
              <w:bottom w:val="nil"/>
              <w:right w:val="nil"/>
            </w:tcBorders>
            <w:shd w:val="clear" w:color="auto" w:fill="000000"/>
            <w:noWrap/>
            <w:vAlign w:val="bottom"/>
          </w:tcPr>
          <w:p w:rsidR="00A43C03" w:rsidRPr="00F20617" w:rsidRDefault="00A43C03" w:rsidP="00A43C03">
            <w:pPr>
              <w:jc w:val="right"/>
              <w:rPr>
                <w:rFonts w:cs="Arial"/>
                <w:b/>
                <w:color w:val="FFFFFF"/>
                <w:lang w:eastAsia="en-GB"/>
              </w:rPr>
            </w:pPr>
            <w:r w:rsidRPr="00F20617">
              <w:rPr>
                <w:rFonts w:cs="Arial"/>
                <w:b/>
                <w:color w:val="FFFFFF"/>
                <w:lang w:eastAsia="en-GB"/>
              </w:rPr>
              <w:t>2018</w:t>
            </w:r>
          </w:p>
        </w:tc>
        <w:tc>
          <w:tcPr>
            <w:tcW w:w="750" w:type="dxa"/>
            <w:tcBorders>
              <w:top w:val="nil"/>
              <w:left w:val="nil"/>
              <w:bottom w:val="nil"/>
              <w:right w:val="nil"/>
            </w:tcBorders>
            <w:shd w:val="clear" w:color="auto" w:fill="000000"/>
            <w:noWrap/>
            <w:vAlign w:val="bottom"/>
          </w:tcPr>
          <w:p w:rsidR="00A43C03" w:rsidRPr="00F20617" w:rsidRDefault="00A43C03" w:rsidP="00A43C03">
            <w:pPr>
              <w:jc w:val="right"/>
              <w:rPr>
                <w:rFonts w:cs="Arial"/>
                <w:b/>
                <w:color w:val="FFFFFF"/>
                <w:lang w:eastAsia="en-GB"/>
              </w:rPr>
            </w:pPr>
            <w:r w:rsidRPr="00F20617">
              <w:rPr>
                <w:rFonts w:cs="Arial"/>
                <w:b/>
                <w:color w:val="FFFFFF"/>
                <w:lang w:eastAsia="en-GB"/>
              </w:rPr>
              <w:t>2019</w:t>
            </w:r>
          </w:p>
        </w:tc>
        <w:tc>
          <w:tcPr>
            <w:tcW w:w="750" w:type="dxa"/>
            <w:tcBorders>
              <w:top w:val="nil"/>
              <w:left w:val="nil"/>
              <w:bottom w:val="nil"/>
              <w:right w:val="nil"/>
            </w:tcBorders>
            <w:shd w:val="clear" w:color="auto" w:fill="000000"/>
            <w:noWrap/>
            <w:vAlign w:val="bottom"/>
          </w:tcPr>
          <w:p w:rsidR="00A43C03" w:rsidRPr="00F20617" w:rsidRDefault="00A43C03" w:rsidP="00A43C03">
            <w:pPr>
              <w:jc w:val="right"/>
              <w:rPr>
                <w:rFonts w:cs="Arial"/>
                <w:b/>
                <w:color w:val="FFFFFF"/>
                <w:lang w:eastAsia="en-GB"/>
              </w:rPr>
            </w:pPr>
            <w:r w:rsidRPr="00F20617">
              <w:rPr>
                <w:rFonts w:cs="Arial"/>
                <w:b/>
                <w:color w:val="FFFFFF"/>
                <w:lang w:eastAsia="en-GB"/>
              </w:rPr>
              <w:t>2020</w:t>
            </w:r>
          </w:p>
        </w:tc>
        <w:tc>
          <w:tcPr>
            <w:tcW w:w="834" w:type="dxa"/>
            <w:tcBorders>
              <w:top w:val="nil"/>
              <w:left w:val="nil"/>
              <w:bottom w:val="nil"/>
              <w:right w:val="nil"/>
            </w:tcBorders>
            <w:shd w:val="clear" w:color="auto" w:fill="000000"/>
            <w:noWrap/>
            <w:vAlign w:val="bottom"/>
          </w:tcPr>
          <w:p w:rsidR="00A43C03" w:rsidRPr="00F20617" w:rsidRDefault="00A43C03" w:rsidP="00A43C03">
            <w:pPr>
              <w:jc w:val="right"/>
              <w:rPr>
                <w:rFonts w:cs="Arial"/>
                <w:b/>
                <w:color w:val="FFFFFF"/>
                <w:lang w:eastAsia="en-GB"/>
              </w:rPr>
            </w:pPr>
            <w:r w:rsidRPr="00F20617">
              <w:rPr>
                <w:rFonts w:cs="Arial"/>
                <w:b/>
                <w:color w:val="FFFFFF"/>
                <w:lang w:eastAsia="en-GB"/>
              </w:rPr>
              <w:t>2021</w:t>
            </w:r>
          </w:p>
        </w:tc>
        <w:tc>
          <w:tcPr>
            <w:tcW w:w="946" w:type="dxa"/>
            <w:tcBorders>
              <w:top w:val="nil"/>
              <w:left w:val="nil"/>
              <w:bottom w:val="nil"/>
              <w:right w:val="nil"/>
            </w:tcBorders>
            <w:shd w:val="clear" w:color="auto" w:fill="000000"/>
            <w:noWrap/>
            <w:vAlign w:val="bottom"/>
          </w:tcPr>
          <w:p w:rsidR="00A43C03" w:rsidRPr="00F20617" w:rsidRDefault="00A43C03" w:rsidP="00A43C03">
            <w:pPr>
              <w:jc w:val="right"/>
              <w:rPr>
                <w:rFonts w:cs="Arial"/>
                <w:b/>
                <w:color w:val="FFFFFF"/>
                <w:lang w:eastAsia="en-GB"/>
              </w:rPr>
            </w:pPr>
            <w:r w:rsidRPr="00F20617">
              <w:rPr>
                <w:rFonts w:cs="Arial"/>
                <w:b/>
                <w:color w:val="FFFFFF"/>
                <w:lang w:eastAsia="en-GB"/>
              </w:rPr>
              <w:t>2022</w:t>
            </w:r>
          </w:p>
        </w:tc>
        <w:tc>
          <w:tcPr>
            <w:tcW w:w="750" w:type="dxa"/>
            <w:tcBorders>
              <w:top w:val="nil"/>
              <w:left w:val="nil"/>
              <w:bottom w:val="nil"/>
              <w:right w:val="nil"/>
            </w:tcBorders>
            <w:shd w:val="clear" w:color="auto" w:fill="000000"/>
            <w:noWrap/>
            <w:vAlign w:val="bottom"/>
          </w:tcPr>
          <w:p w:rsidR="00A43C03" w:rsidRPr="00F20617" w:rsidRDefault="00A43C03" w:rsidP="00A43C03">
            <w:pPr>
              <w:jc w:val="right"/>
              <w:rPr>
                <w:rFonts w:cs="Arial"/>
                <w:b/>
                <w:color w:val="FFFFFF"/>
                <w:lang w:eastAsia="en-GB"/>
              </w:rPr>
            </w:pPr>
            <w:r w:rsidRPr="00F20617">
              <w:rPr>
                <w:rFonts w:cs="Arial"/>
                <w:b/>
                <w:color w:val="FFFFFF"/>
                <w:lang w:eastAsia="en-GB"/>
              </w:rPr>
              <w:t>2023</w:t>
            </w:r>
          </w:p>
        </w:tc>
        <w:tc>
          <w:tcPr>
            <w:tcW w:w="671" w:type="dxa"/>
            <w:tcBorders>
              <w:top w:val="nil"/>
              <w:left w:val="nil"/>
              <w:bottom w:val="nil"/>
              <w:right w:val="nil"/>
            </w:tcBorders>
            <w:shd w:val="clear" w:color="auto" w:fill="000000"/>
            <w:noWrap/>
            <w:vAlign w:val="bottom"/>
          </w:tcPr>
          <w:p w:rsidR="00A43C03" w:rsidRPr="00F20617" w:rsidRDefault="00A43C03" w:rsidP="00A43C03">
            <w:pPr>
              <w:jc w:val="right"/>
              <w:rPr>
                <w:rFonts w:cs="Arial"/>
                <w:b/>
                <w:color w:val="FFFFFF"/>
                <w:lang w:eastAsia="en-GB"/>
              </w:rPr>
            </w:pPr>
            <w:r w:rsidRPr="00F20617">
              <w:rPr>
                <w:rFonts w:cs="Arial"/>
                <w:b/>
                <w:color w:val="FFFFFF"/>
                <w:lang w:eastAsia="en-GB"/>
              </w:rPr>
              <w:t>2024</w:t>
            </w:r>
          </w:p>
        </w:tc>
      </w:tr>
      <w:tr w:rsidR="00A43C03" w:rsidRPr="00F20617" w:rsidTr="00A43C03">
        <w:trPr>
          <w:trHeight w:val="300"/>
        </w:trPr>
        <w:tc>
          <w:tcPr>
            <w:tcW w:w="717" w:type="dxa"/>
            <w:tcBorders>
              <w:top w:val="nil"/>
              <w:left w:val="nil"/>
              <w:bottom w:val="nil"/>
              <w:right w:val="nil"/>
            </w:tcBorders>
            <w:shd w:val="clear" w:color="auto" w:fill="auto"/>
            <w:noWrap/>
            <w:vAlign w:val="bottom"/>
          </w:tcPr>
          <w:p w:rsidR="00A43C03" w:rsidRPr="00F20617" w:rsidRDefault="00A43C03" w:rsidP="00A43C03">
            <w:pPr>
              <w:rPr>
                <w:rFonts w:cs="Arial"/>
                <w:lang w:eastAsia="en-GB"/>
              </w:rPr>
            </w:pPr>
            <w:r w:rsidRPr="00F20617">
              <w:rPr>
                <w:rFonts w:cs="Arial"/>
                <w:lang w:eastAsia="en-GB"/>
              </w:rPr>
              <w:t>Low</w:t>
            </w:r>
          </w:p>
        </w:tc>
        <w:tc>
          <w:tcPr>
            <w:tcW w:w="750" w:type="dxa"/>
            <w:tcBorders>
              <w:top w:val="nil"/>
              <w:left w:val="nil"/>
              <w:bottom w:val="nil"/>
              <w:right w:val="nil"/>
            </w:tcBorders>
            <w:shd w:val="clear" w:color="auto" w:fill="auto"/>
            <w:noWrap/>
            <w:vAlign w:val="bottom"/>
          </w:tcPr>
          <w:p w:rsidR="00A43C03" w:rsidRPr="00F20617" w:rsidRDefault="00A43C03" w:rsidP="00A43C03">
            <w:pPr>
              <w:rPr>
                <w:rFonts w:cs="Arial"/>
                <w:lang w:eastAsia="en-GB"/>
              </w:rPr>
            </w:pPr>
          </w:p>
        </w:tc>
        <w:tc>
          <w:tcPr>
            <w:tcW w:w="864" w:type="dxa"/>
            <w:tcBorders>
              <w:top w:val="nil"/>
              <w:left w:val="nil"/>
              <w:bottom w:val="nil"/>
              <w:right w:val="nil"/>
            </w:tcBorders>
            <w:shd w:val="clear" w:color="auto" w:fill="auto"/>
            <w:noWrap/>
            <w:vAlign w:val="bottom"/>
          </w:tcPr>
          <w:p w:rsidR="00A43C03" w:rsidRPr="00F20617" w:rsidRDefault="00A43C03" w:rsidP="00A43C03">
            <w:pPr>
              <w:jc w:val="right"/>
              <w:rPr>
                <w:rFonts w:cs="Arial"/>
                <w:lang w:eastAsia="en-GB"/>
              </w:rPr>
            </w:pPr>
            <w:r w:rsidRPr="00F20617">
              <w:rPr>
                <w:rFonts w:cs="Arial"/>
                <w:lang w:eastAsia="en-GB"/>
              </w:rPr>
              <w:t>19</w:t>
            </w:r>
          </w:p>
        </w:tc>
        <w:tc>
          <w:tcPr>
            <w:tcW w:w="750" w:type="dxa"/>
            <w:tcBorders>
              <w:top w:val="nil"/>
              <w:left w:val="nil"/>
              <w:bottom w:val="nil"/>
              <w:right w:val="nil"/>
            </w:tcBorders>
            <w:shd w:val="clear" w:color="auto" w:fill="auto"/>
            <w:noWrap/>
            <w:vAlign w:val="bottom"/>
          </w:tcPr>
          <w:p w:rsidR="00A43C03" w:rsidRPr="00F20617" w:rsidRDefault="00A43C03" w:rsidP="00A43C03">
            <w:pPr>
              <w:jc w:val="right"/>
              <w:rPr>
                <w:rFonts w:cs="Arial"/>
                <w:lang w:eastAsia="en-GB"/>
              </w:rPr>
            </w:pPr>
            <w:r w:rsidRPr="00F20617">
              <w:rPr>
                <w:rFonts w:cs="Arial"/>
                <w:lang w:eastAsia="en-GB"/>
              </w:rPr>
              <w:t>19</w:t>
            </w:r>
          </w:p>
        </w:tc>
        <w:tc>
          <w:tcPr>
            <w:tcW w:w="864" w:type="dxa"/>
            <w:tcBorders>
              <w:top w:val="nil"/>
              <w:left w:val="nil"/>
              <w:bottom w:val="nil"/>
              <w:right w:val="nil"/>
            </w:tcBorders>
            <w:shd w:val="clear" w:color="auto" w:fill="auto"/>
            <w:noWrap/>
            <w:vAlign w:val="bottom"/>
          </w:tcPr>
          <w:p w:rsidR="00A43C03" w:rsidRPr="00F20617" w:rsidRDefault="00A43C03" w:rsidP="00A43C03">
            <w:pPr>
              <w:jc w:val="right"/>
              <w:rPr>
                <w:rFonts w:cs="Arial"/>
                <w:lang w:eastAsia="en-GB"/>
              </w:rPr>
            </w:pPr>
            <w:r w:rsidRPr="00F20617">
              <w:rPr>
                <w:rFonts w:cs="Arial"/>
                <w:lang w:eastAsia="en-GB"/>
              </w:rPr>
              <w:t>19</w:t>
            </w:r>
          </w:p>
        </w:tc>
        <w:tc>
          <w:tcPr>
            <w:tcW w:w="894" w:type="dxa"/>
            <w:tcBorders>
              <w:top w:val="nil"/>
              <w:left w:val="nil"/>
              <w:bottom w:val="nil"/>
              <w:right w:val="nil"/>
            </w:tcBorders>
            <w:shd w:val="clear" w:color="auto" w:fill="auto"/>
            <w:noWrap/>
            <w:vAlign w:val="bottom"/>
          </w:tcPr>
          <w:p w:rsidR="00A43C03" w:rsidRPr="00F20617" w:rsidRDefault="00A43C03" w:rsidP="00A43C03">
            <w:pPr>
              <w:jc w:val="right"/>
              <w:rPr>
                <w:rFonts w:cs="Arial"/>
                <w:lang w:eastAsia="en-GB"/>
              </w:rPr>
            </w:pPr>
            <w:r w:rsidRPr="00F20617">
              <w:rPr>
                <w:rFonts w:cs="Arial"/>
                <w:lang w:eastAsia="en-GB"/>
              </w:rPr>
              <w:t>19</w:t>
            </w:r>
          </w:p>
        </w:tc>
        <w:tc>
          <w:tcPr>
            <w:tcW w:w="750" w:type="dxa"/>
            <w:tcBorders>
              <w:top w:val="nil"/>
              <w:left w:val="nil"/>
              <w:bottom w:val="nil"/>
              <w:right w:val="nil"/>
            </w:tcBorders>
            <w:shd w:val="clear" w:color="auto" w:fill="auto"/>
            <w:noWrap/>
            <w:vAlign w:val="bottom"/>
          </w:tcPr>
          <w:p w:rsidR="00A43C03" w:rsidRPr="00F20617" w:rsidRDefault="00A43C03" w:rsidP="00A43C03">
            <w:pPr>
              <w:jc w:val="right"/>
              <w:rPr>
                <w:rFonts w:cs="Arial"/>
                <w:lang w:eastAsia="en-GB"/>
              </w:rPr>
            </w:pPr>
            <w:r w:rsidRPr="00F20617">
              <w:rPr>
                <w:rFonts w:cs="Arial"/>
                <w:lang w:eastAsia="en-GB"/>
              </w:rPr>
              <w:t>19</w:t>
            </w:r>
          </w:p>
        </w:tc>
        <w:tc>
          <w:tcPr>
            <w:tcW w:w="750" w:type="dxa"/>
            <w:tcBorders>
              <w:top w:val="nil"/>
              <w:left w:val="nil"/>
              <w:bottom w:val="nil"/>
              <w:right w:val="nil"/>
            </w:tcBorders>
            <w:shd w:val="clear" w:color="auto" w:fill="auto"/>
            <w:noWrap/>
            <w:vAlign w:val="bottom"/>
          </w:tcPr>
          <w:p w:rsidR="00A43C03" w:rsidRPr="00F20617" w:rsidRDefault="00A43C03" w:rsidP="00A43C03">
            <w:pPr>
              <w:jc w:val="right"/>
              <w:rPr>
                <w:rFonts w:cs="Arial"/>
                <w:lang w:eastAsia="en-GB"/>
              </w:rPr>
            </w:pPr>
            <w:r w:rsidRPr="00F20617">
              <w:rPr>
                <w:rFonts w:cs="Arial"/>
                <w:lang w:eastAsia="en-GB"/>
              </w:rPr>
              <w:t>19</w:t>
            </w:r>
          </w:p>
        </w:tc>
        <w:tc>
          <w:tcPr>
            <w:tcW w:w="834" w:type="dxa"/>
            <w:tcBorders>
              <w:top w:val="nil"/>
              <w:left w:val="nil"/>
              <w:bottom w:val="nil"/>
              <w:right w:val="nil"/>
            </w:tcBorders>
            <w:shd w:val="clear" w:color="auto" w:fill="auto"/>
            <w:noWrap/>
            <w:vAlign w:val="bottom"/>
          </w:tcPr>
          <w:p w:rsidR="00A43C03" w:rsidRPr="00F20617" w:rsidRDefault="00A43C03" w:rsidP="00A43C03">
            <w:pPr>
              <w:jc w:val="right"/>
              <w:rPr>
                <w:rFonts w:cs="Arial"/>
                <w:lang w:eastAsia="en-GB"/>
              </w:rPr>
            </w:pPr>
            <w:r w:rsidRPr="00F20617">
              <w:rPr>
                <w:rFonts w:cs="Arial"/>
                <w:lang w:eastAsia="en-GB"/>
              </w:rPr>
              <w:t>19</w:t>
            </w:r>
          </w:p>
        </w:tc>
        <w:tc>
          <w:tcPr>
            <w:tcW w:w="946" w:type="dxa"/>
            <w:tcBorders>
              <w:top w:val="nil"/>
              <w:left w:val="nil"/>
              <w:bottom w:val="nil"/>
              <w:right w:val="nil"/>
            </w:tcBorders>
            <w:shd w:val="clear" w:color="auto" w:fill="auto"/>
            <w:noWrap/>
            <w:vAlign w:val="bottom"/>
          </w:tcPr>
          <w:p w:rsidR="00A43C03" w:rsidRPr="00F20617" w:rsidRDefault="00A43C03" w:rsidP="00A43C03">
            <w:pPr>
              <w:jc w:val="right"/>
              <w:rPr>
                <w:rFonts w:cs="Arial"/>
                <w:lang w:eastAsia="en-GB"/>
              </w:rPr>
            </w:pPr>
            <w:r w:rsidRPr="00F20617">
              <w:rPr>
                <w:rFonts w:cs="Arial"/>
                <w:lang w:eastAsia="en-GB"/>
              </w:rPr>
              <w:t>19</w:t>
            </w:r>
          </w:p>
        </w:tc>
        <w:tc>
          <w:tcPr>
            <w:tcW w:w="750" w:type="dxa"/>
            <w:tcBorders>
              <w:top w:val="nil"/>
              <w:left w:val="nil"/>
              <w:bottom w:val="nil"/>
              <w:right w:val="nil"/>
            </w:tcBorders>
            <w:shd w:val="clear" w:color="auto" w:fill="auto"/>
            <w:noWrap/>
            <w:vAlign w:val="bottom"/>
          </w:tcPr>
          <w:p w:rsidR="00A43C03" w:rsidRPr="00F20617" w:rsidRDefault="00A43C03" w:rsidP="00A43C03">
            <w:pPr>
              <w:jc w:val="right"/>
              <w:rPr>
                <w:rFonts w:cs="Arial"/>
                <w:lang w:eastAsia="en-GB"/>
              </w:rPr>
            </w:pPr>
            <w:r w:rsidRPr="00F20617">
              <w:rPr>
                <w:rFonts w:cs="Arial"/>
                <w:lang w:eastAsia="en-GB"/>
              </w:rPr>
              <w:t>19</w:t>
            </w:r>
          </w:p>
        </w:tc>
        <w:tc>
          <w:tcPr>
            <w:tcW w:w="671" w:type="dxa"/>
            <w:tcBorders>
              <w:top w:val="nil"/>
              <w:left w:val="nil"/>
              <w:bottom w:val="nil"/>
              <w:right w:val="nil"/>
            </w:tcBorders>
            <w:shd w:val="clear" w:color="auto" w:fill="auto"/>
            <w:noWrap/>
            <w:vAlign w:val="bottom"/>
          </w:tcPr>
          <w:p w:rsidR="00A43C03" w:rsidRPr="00F20617" w:rsidRDefault="00A43C03" w:rsidP="00A43C03">
            <w:pPr>
              <w:jc w:val="right"/>
              <w:rPr>
                <w:rFonts w:cs="Arial"/>
                <w:lang w:eastAsia="en-GB"/>
              </w:rPr>
            </w:pPr>
            <w:r w:rsidRPr="00F20617">
              <w:rPr>
                <w:rFonts w:cs="Arial"/>
                <w:lang w:eastAsia="en-GB"/>
              </w:rPr>
              <w:t>19</w:t>
            </w:r>
          </w:p>
        </w:tc>
      </w:tr>
      <w:tr w:rsidR="00A43C03" w:rsidRPr="00F20617" w:rsidTr="00A43C03">
        <w:trPr>
          <w:trHeight w:val="300"/>
        </w:trPr>
        <w:tc>
          <w:tcPr>
            <w:tcW w:w="717" w:type="dxa"/>
            <w:tcBorders>
              <w:top w:val="nil"/>
              <w:left w:val="nil"/>
              <w:bottom w:val="nil"/>
              <w:right w:val="nil"/>
            </w:tcBorders>
            <w:shd w:val="clear" w:color="auto" w:fill="auto"/>
            <w:noWrap/>
            <w:vAlign w:val="bottom"/>
          </w:tcPr>
          <w:p w:rsidR="00A43C03" w:rsidRPr="00F20617" w:rsidRDefault="00A43C03" w:rsidP="00A43C03">
            <w:pPr>
              <w:rPr>
                <w:rFonts w:cs="Arial"/>
                <w:lang w:eastAsia="en-GB"/>
              </w:rPr>
            </w:pPr>
            <w:r w:rsidRPr="00F20617">
              <w:rPr>
                <w:rFonts w:cs="Arial"/>
                <w:lang w:eastAsia="en-GB"/>
              </w:rPr>
              <w:t>High</w:t>
            </w:r>
          </w:p>
        </w:tc>
        <w:tc>
          <w:tcPr>
            <w:tcW w:w="750" w:type="dxa"/>
            <w:tcBorders>
              <w:top w:val="nil"/>
              <w:left w:val="nil"/>
              <w:bottom w:val="nil"/>
              <w:right w:val="nil"/>
            </w:tcBorders>
            <w:shd w:val="clear" w:color="auto" w:fill="auto"/>
            <w:noWrap/>
            <w:vAlign w:val="bottom"/>
          </w:tcPr>
          <w:p w:rsidR="00A43C03" w:rsidRPr="00F20617" w:rsidRDefault="00A43C03" w:rsidP="00A43C03">
            <w:pPr>
              <w:rPr>
                <w:rFonts w:cs="Arial"/>
                <w:lang w:eastAsia="en-GB"/>
              </w:rPr>
            </w:pPr>
          </w:p>
        </w:tc>
        <w:tc>
          <w:tcPr>
            <w:tcW w:w="864" w:type="dxa"/>
            <w:tcBorders>
              <w:top w:val="nil"/>
              <w:left w:val="nil"/>
              <w:bottom w:val="nil"/>
              <w:right w:val="nil"/>
            </w:tcBorders>
            <w:shd w:val="clear" w:color="auto" w:fill="auto"/>
            <w:noWrap/>
            <w:vAlign w:val="bottom"/>
          </w:tcPr>
          <w:p w:rsidR="00A43C03" w:rsidRPr="00F20617" w:rsidRDefault="00A43C03" w:rsidP="00A43C03">
            <w:pPr>
              <w:jc w:val="right"/>
              <w:rPr>
                <w:rFonts w:cs="Arial"/>
                <w:lang w:eastAsia="en-GB"/>
              </w:rPr>
            </w:pPr>
            <w:r w:rsidRPr="00F20617">
              <w:rPr>
                <w:rFonts w:cs="Arial"/>
                <w:lang w:eastAsia="en-GB"/>
              </w:rPr>
              <w:t>55</w:t>
            </w:r>
          </w:p>
        </w:tc>
        <w:tc>
          <w:tcPr>
            <w:tcW w:w="750" w:type="dxa"/>
            <w:tcBorders>
              <w:top w:val="nil"/>
              <w:left w:val="nil"/>
              <w:bottom w:val="nil"/>
              <w:right w:val="nil"/>
            </w:tcBorders>
            <w:shd w:val="clear" w:color="auto" w:fill="auto"/>
            <w:noWrap/>
            <w:vAlign w:val="bottom"/>
          </w:tcPr>
          <w:p w:rsidR="00A43C03" w:rsidRPr="00F20617" w:rsidRDefault="00A43C03" w:rsidP="00A43C03">
            <w:pPr>
              <w:jc w:val="right"/>
              <w:rPr>
                <w:rFonts w:cs="Arial"/>
                <w:lang w:eastAsia="en-GB"/>
              </w:rPr>
            </w:pPr>
            <w:r w:rsidRPr="00F20617">
              <w:rPr>
                <w:rFonts w:cs="Arial"/>
                <w:lang w:eastAsia="en-GB"/>
              </w:rPr>
              <w:t>55</w:t>
            </w:r>
          </w:p>
        </w:tc>
        <w:tc>
          <w:tcPr>
            <w:tcW w:w="864" w:type="dxa"/>
            <w:tcBorders>
              <w:top w:val="nil"/>
              <w:left w:val="nil"/>
              <w:bottom w:val="nil"/>
              <w:right w:val="nil"/>
            </w:tcBorders>
            <w:shd w:val="clear" w:color="auto" w:fill="auto"/>
            <w:noWrap/>
            <w:vAlign w:val="bottom"/>
          </w:tcPr>
          <w:p w:rsidR="00A43C03" w:rsidRPr="00F20617" w:rsidRDefault="00A43C03" w:rsidP="00A43C03">
            <w:pPr>
              <w:jc w:val="right"/>
              <w:rPr>
                <w:rFonts w:cs="Arial"/>
                <w:lang w:eastAsia="en-GB"/>
              </w:rPr>
            </w:pPr>
            <w:r w:rsidRPr="00F20617">
              <w:rPr>
                <w:rFonts w:cs="Arial"/>
                <w:lang w:eastAsia="en-GB"/>
              </w:rPr>
              <w:t>55</w:t>
            </w:r>
          </w:p>
        </w:tc>
        <w:tc>
          <w:tcPr>
            <w:tcW w:w="894" w:type="dxa"/>
            <w:tcBorders>
              <w:top w:val="nil"/>
              <w:left w:val="nil"/>
              <w:bottom w:val="nil"/>
              <w:right w:val="nil"/>
            </w:tcBorders>
            <w:shd w:val="clear" w:color="auto" w:fill="auto"/>
            <w:noWrap/>
            <w:vAlign w:val="bottom"/>
          </w:tcPr>
          <w:p w:rsidR="00A43C03" w:rsidRPr="00F20617" w:rsidRDefault="00A43C03" w:rsidP="00A43C03">
            <w:pPr>
              <w:jc w:val="right"/>
              <w:rPr>
                <w:rFonts w:cs="Arial"/>
                <w:lang w:eastAsia="en-GB"/>
              </w:rPr>
            </w:pPr>
            <w:r w:rsidRPr="00F20617">
              <w:rPr>
                <w:rFonts w:cs="Arial"/>
                <w:lang w:eastAsia="en-GB"/>
              </w:rPr>
              <w:t>55</w:t>
            </w:r>
          </w:p>
        </w:tc>
        <w:tc>
          <w:tcPr>
            <w:tcW w:w="750" w:type="dxa"/>
            <w:tcBorders>
              <w:top w:val="nil"/>
              <w:left w:val="nil"/>
              <w:bottom w:val="nil"/>
              <w:right w:val="nil"/>
            </w:tcBorders>
            <w:shd w:val="clear" w:color="auto" w:fill="auto"/>
            <w:noWrap/>
            <w:vAlign w:val="bottom"/>
          </w:tcPr>
          <w:p w:rsidR="00A43C03" w:rsidRPr="00F20617" w:rsidRDefault="00A43C03" w:rsidP="00A43C03">
            <w:pPr>
              <w:jc w:val="right"/>
              <w:rPr>
                <w:rFonts w:cs="Arial"/>
                <w:lang w:eastAsia="en-GB"/>
              </w:rPr>
            </w:pPr>
            <w:r w:rsidRPr="00F20617">
              <w:rPr>
                <w:rFonts w:cs="Arial"/>
                <w:lang w:eastAsia="en-GB"/>
              </w:rPr>
              <w:t>55</w:t>
            </w:r>
          </w:p>
        </w:tc>
        <w:tc>
          <w:tcPr>
            <w:tcW w:w="750" w:type="dxa"/>
            <w:tcBorders>
              <w:top w:val="nil"/>
              <w:left w:val="nil"/>
              <w:bottom w:val="nil"/>
              <w:right w:val="nil"/>
            </w:tcBorders>
            <w:shd w:val="clear" w:color="auto" w:fill="auto"/>
            <w:noWrap/>
            <w:vAlign w:val="bottom"/>
          </w:tcPr>
          <w:p w:rsidR="00A43C03" w:rsidRPr="00F20617" w:rsidRDefault="00A43C03" w:rsidP="00A43C03">
            <w:pPr>
              <w:jc w:val="right"/>
              <w:rPr>
                <w:rFonts w:cs="Arial"/>
                <w:lang w:eastAsia="en-GB"/>
              </w:rPr>
            </w:pPr>
            <w:r w:rsidRPr="00F20617">
              <w:rPr>
                <w:rFonts w:cs="Arial"/>
                <w:lang w:eastAsia="en-GB"/>
              </w:rPr>
              <w:t>55</w:t>
            </w:r>
          </w:p>
        </w:tc>
        <w:tc>
          <w:tcPr>
            <w:tcW w:w="834" w:type="dxa"/>
            <w:tcBorders>
              <w:top w:val="nil"/>
              <w:left w:val="nil"/>
              <w:bottom w:val="nil"/>
              <w:right w:val="nil"/>
            </w:tcBorders>
            <w:shd w:val="clear" w:color="auto" w:fill="auto"/>
            <w:noWrap/>
            <w:vAlign w:val="bottom"/>
          </w:tcPr>
          <w:p w:rsidR="00A43C03" w:rsidRPr="00F20617" w:rsidRDefault="00A43C03" w:rsidP="00A43C03">
            <w:pPr>
              <w:jc w:val="right"/>
              <w:rPr>
                <w:rFonts w:cs="Arial"/>
                <w:lang w:eastAsia="en-GB"/>
              </w:rPr>
            </w:pPr>
            <w:r w:rsidRPr="00F20617">
              <w:rPr>
                <w:rFonts w:cs="Arial"/>
                <w:lang w:eastAsia="en-GB"/>
              </w:rPr>
              <w:t>55</w:t>
            </w:r>
          </w:p>
        </w:tc>
        <w:tc>
          <w:tcPr>
            <w:tcW w:w="946" w:type="dxa"/>
            <w:tcBorders>
              <w:top w:val="nil"/>
              <w:left w:val="nil"/>
              <w:bottom w:val="nil"/>
              <w:right w:val="nil"/>
            </w:tcBorders>
            <w:shd w:val="clear" w:color="auto" w:fill="auto"/>
            <w:noWrap/>
            <w:vAlign w:val="bottom"/>
          </w:tcPr>
          <w:p w:rsidR="00A43C03" w:rsidRPr="00F20617" w:rsidRDefault="00A43C03" w:rsidP="00A43C03">
            <w:pPr>
              <w:jc w:val="right"/>
              <w:rPr>
                <w:rFonts w:cs="Arial"/>
                <w:lang w:eastAsia="en-GB"/>
              </w:rPr>
            </w:pPr>
            <w:r w:rsidRPr="00F20617">
              <w:rPr>
                <w:rFonts w:cs="Arial"/>
                <w:lang w:eastAsia="en-GB"/>
              </w:rPr>
              <w:t>55</w:t>
            </w:r>
          </w:p>
        </w:tc>
        <w:tc>
          <w:tcPr>
            <w:tcW w:w="750" w:type="dxa"/>
            <w:tcBorders>
              <w:top w:val="nil"/>
              <w:left w:val="nil"/>
              <w:bottom w:val="nil"/>
              <w:right w:val="nil"/>
            </w:tcBorders>
            <w:shd w:val="clear" w:color="auto" w:fill="auto"/>
            <w:noWrap/>
            <w:vAlign w:val="bottom"/>
          </w:tcPr>
          <w:p w:rsidR="00A43C03" w:rsidRPr="00F20617" w:rsidRDefault="00A43C03" w:rsidP="00A43C03">
            <w:pPr>
              <w:jc w:val="right"/>
              <w:rPr>
                <w:rFonts w:cs="Arial"/>
                <w:lang w:eastAsia="en-GB"/>
              </w:rPr>
            </w:pPr>
            <w:r w:rsidRPr="00F20617">
              <w:rPr>
                <w:rFonts w:cs="Arial"/>
                <w:lang w:eastAsia="en-GB"/>
              </w:rPr>
              <w:t>55</w:t>
            </w:r>
          </w:p>
        </w:tc>
        <w:tc>
          <w:tcPr>
            <w:tcW w:w="671" w:type="dxa"/>
            <w:tcBorders>
              <w:top w:val="nil"/>
              <w:left w:val="nil"/>
              <w:bottom w:val="nil"/>
              <w:right w:val="nil"/>
            </w:tcBorders>
            <w:shd w:val="clear" w:color="auto" w:fill="auto"/>
            <w:noWrap/>
            <w:vAlign w:val="bottom"/>
          </w:tcPr>
          <w:p w:rsidR="00A43C03" w:rsidRPr="00F20617" w:rsidRDefault="00A43C03" w:rsidP="00A43C03">
            <w:pPr>
              <w:jc w:val="right"/>
              <w:rPr>
                <w:rFonts w:cs="Arial"/>
                <w:lang w:eastAsia="en-GB"/>
              </w:rPr>
            </w:pPr>
            <w:r w:rsidRPr="00F20617">
              <w:rPr>
                <w:rFonts w:cs="Arial"/>
                <w:lang w:eastAsia="en-GB"/>
              </w:rPr>
              <w:t>55</w:t>
            </w:r>
          </w:p>
        </w:tc>
      </w:tr>
    </w:tbl>
    <w:p w:rsidR="00A43C03" w:rsidRDefault="00A43C03" w:rsidP="00A43C03">
      <w:pPr>
        <w:pStyle w:val="EBBullet"/>
        <w:keepNext/>
        <w:numPr>
          <w:ilvl w:val="0"/>
          <w:numId w:val="0"/>
        </w:numPr>
        <w:tabs>
          <w:tab w:val="left" w:pos="720"/>
        </w:tabs>
        <w:ind w:left="720"/>
        <w:rPr>
          <w:sz w:val="24"/>
        </w:rPr>
      </w:pPr>
    </w:p>
    <w:p w:rsidR="00A43C03" w:rsidRPr="00F20617" w:rsidRDefault="00A43C03" w:rsidP="00A43C03">
      <w:pPr>
        <w:pStyle w:val="EBBullet"/>
        <w:keepNext/>
        <w:numPr>
          <w:ilvl w:val="0"/>
          <w:numId w:val="0"/>
        </w:numPr>
        <w:tabs>
          <w:tab w:val="left" w:pos="720"/>
        </w:tabs>
        <w:ind w:left="720" w:hanging="720"/>
        <w:rPr>
          <w:sz w:val="24"/>
          <w:u w:val="single"/>
        </w:rPr>
      </w:pPr>
      <w:r>
        <w:rPr>
          <w:sz w:val="24"/>
          <w:u w:val="single"/>
        </w:rPr>
        <w:t xml:space="preserve">Table 10. </w:t>
      </w:r>
      <w:r w:rsidRPr="00F20617">
        <w:rPr>
          <w:sz w:val="24"/>
          <w:u w:val="single"/>
        </w:rPr>
        <w:t xml:space="preserve">Cost savings for option </w:t>
      </w:r>
      <w:r>
        <w:rPr>
          <w:sz w:val="24"/>
          <w:u w:val="single"/>
        </w:rPr>
        <w:t>3</w:t>
      </w:r>
    </w:p>
    <w:p w:rsidR="00A43C03" w:rsidRDefault="00A43C03" w:rsidP="00A43C03">
      <w:pPr>
        <w:pStyle w:val="EBBullet"/>
        <w:keepNext/>
        <w:numPr>
          <w:ilvl w:val="0"/>
          <w:numId w:val="0"/>
        </w:numPr>
        <w:tabs>
          <w:tab w:val="left" w:pos="720"/>
        </w:tabs>
        <w:ind w:left="720"/>
        <w:rPr>
          <w:sz w:val="24"/>
        </w:rPr>
      </w:pPr>
    </w:p>
    <w:tbl>
      <w:tblPr>
        <w:tblW w:w="9540" w:type="dxa"/>
        <w:tblInd w:w="108" w:type="dxa"/>
        <w:tblLook w:val="0000" w:firstRow="0" w:lastRow="0" w:firstColumn="0" w:lastColumn="0" w:noHBand="0" w:noVBand="0"/>
      </w:tblPr>
      <w:tblGrid>
        <w:gridCol w:w="824"/>
        <w:gridCol w:w="862"/>
        <w:gridCol w:w="863"/>
        <w:gridCol w:w="863"/>
        <w:gridCol w:w="863"/>
        <w:gridCol w:w="865"/>
        <w:gridCol w:w="863"/>
        <w:gridCol w:w="863"/>
        <w:gridCol w:w="863"/>
        <w:gridCol w:w="915"/>
        <w:gridCol w:w="863"/>
        <w:gridCol w:w="863"/>
      </w:tblGrid>
      <w:tr w:rsidR="00A43C03" w:rsidRPr="00F20617" w:rsidTr="00A43C03">
        <w:trPr>
          <w:trHeight w:val="300"/>
        </w:trPr>
        <w:tc>
          <w:tcPr>
            <w:tcW w:w="717" w:type="dxa"/>
            <w:tcBorders>
              <w:top w:val="nil"/>
              <w:left w:val="nil"/>
              <w:bottom w:val="nil"/>
              <w:right w:val="nil"/>
            </w:tcBorders>
            <w:shd w:val="clear" w:color="auto" w:fill="000000"/>
            <w:noWrap/>
            <w:vAlign w:val="bottom"/>
          </w:tcPr>
          <w:p w:rsidR="00A43C03" w:rsidRPr="00F20617" w:rsidRDefault="00A43C03" w:rsidP="00A43C03">
            <w:pPr>
              <w:rPr>
                <w:rFonts w:cs="Arial"/>
                <w:b/>
                <w:color w:val="FFFFFF"/>
                <w:lang w:eastAsia="en-GB"/>
              </w:rPr>
            </w:pPr>
            <w:r w:rsidRPr="00F20617">
              <w:rPr>
                <w:rFonts w:cs="Arial"/>
                <w:b/>
                <w:color w:val="FFFFFF"/>
                <w:lang w:eastAsia="en-GB"/>
              </w:rPr>
              <w:t>£m</w:t>
            </w:r>
          </w:p>
        </w:tc>
        <w:tc>
          <w:tcPr>
            <w:tcW w:w="750" w:type="dxa"/>
            <w:tcBorders>
              <w:top w:val="nil"/>
              <w:left w:val="nil"/>
              <w:bottom w:val="nil"/>
              <w:right w:val="nil"/>
            </w:tcBorders>
            <w:shd w:val="clear" w:color="auto" w:fill="000000"/>
            <w:noWrap/>
            <w:vAlign w:val="bottom"/>
          </w:tcPr>
          <w:p w:rsidR="00A43C03" w:rsidRPr="00F20617" w:rsidRDefault="00A43C03" w:rsidP="00A43C03">
            <w:pPr>
              <w:jc w:val="right"/>
              <w:rPr>
                <w:rFonts w:cs="Arial"/>
                <w:b/>
                <w:color w:val="FFFFFF"/>
                <w:lang w:eastAsia="en-GB"/>
              </w:rPr>
            </w:pPr>
            <w:r w:rsidRPr="00F20617">
              <w:rPr>
                <w:rFonts w:cs="Arial"/>
                <w:b/>
                <w:color w:val="FFFFFF"/>
                <w:lang w:eastAsia="en-GB"/>
              </w:rPr>
              <w:t>2014</w:t>
            </w:r>
          </w:p>
        </w:tc>
        <w:tc>
          <w:tcPr>
            <w:tcW w:w="864" w:type="dxa"/>
            <w:tcBorders>
              <w:top w:val="nil"/>
              <w:left w:val="nil"/>
              <w:bottom w:val="nil"/>
              <w:right w:val="nil"/>
            </w:tcBorders>
            <w:shd w:val="clear" w:color="auto" w:fill="000000"/>
            <w:noWrap/>
            <w:vAlign w:val="bottom"/>
          </w:tcPr>
          <w:p w:rsidR="00A43C03" w:rsidRPr="00F20617" w:rsidRDefault="00A43C03" w:rsidP="00A43C03">
            <w:pPr>
              <w:jc w:val="right"/>
              <w:rPr>
                <w:rFonts w:cs="Arial"/>
                <w:b/>
                <w:color w:val="FFFFFF"/>
                <w:lang w:eastAsia="en-GB"/>
              </w:rPr>
            </w:pPr>
            <w:r w:rsidRPr="00F20617">
              <w:rPr>
                <w:rFonts w:cs="Arial"/>
                <w:b/>
                <w:color w:val="FFFFFF"/>
                <w:lang w:eastAsia="en-GB"/>
              </w:rPr>
              <w:t>2015</w:t>
            </w:r>
          </w:p>
        </w:tc>
        <w:tc>
          <w:tcPr>
            <w:tcW w:w="750" w:type="dxa"/>
            <w:tcBorders>
              <w:top w:val="nil"/>
              <w:left w:val="nil"/>
              <w:bottom w:val="nil"/>
              <w:right w:val="nil"/>
            </w:tcBorders>
            <w:shd w:val="clear" w:color="auto" w:fill="000000"/>
            <w:noWrap/>
            <w:vAlign w:val="bottom"/>
          </w:tcPr>
          <w:p w:rsidR="00A43C03" w:rsidRPr="00F20617" w:rsidRDefault="00A43C03" w:rsidP="00A43C03">
            <w:pPr>
              <w:jc w:val="right"/>
              <w:rPr>
                <w:rFonts w:cs="Arial"/>
                <w:b/>
                <w:color w:val="FFFFFF"/>
                <w:lang w:eastAsia="en-GB"/>
              </w:rPr>
            </w:pPr>
            <w:r w:rsidRPr="00F20617">
              <w:rPr>
                <w:rFonts w:cs="Arial"/>
                <w:b/>
                <w:color w:val="FFFFFF"/>
                <w:lang w:eastAsia="en-GB"/>
              </w:rPr>
              <w:t>2016</w:t>
            </w:r>
          </w:p>
        </w:tc>
        <w:tc>
          <w:tcPr>
            <w:tcW w:w="864" w:type="dxa"/>
            <w:tcBorders>
              <w:top w:val="nil"/>
              <w:left w:val="nil"/>
              <w:bottom w:val="nil"/>
              <w:right w:val="nil"/>
            </w:tcBorders>
            <w:shd w:val="clear" w:color="auto" w:fill="000000"/>
            <w:noWrap/>
            <w:vAlign w:val="bottom"/>
          </w:tcPr>
          <w:p w:rsidR="00A43C03" w:rsidRPr="00F20617" w:rsidRDefault="00A43C03" w:rsidP="00A43C03">
            <w:pPr>
              <w:jc w:val="right"/>
              <w:rPr>
                <w:rFonts w:cs="Arial"/>
                <w:b/>
                <w:color w:val="FFFFFF"/>
                <w:lang w:eastAsia="en-GB"/>
              </w:rPr>
            </w:pPr>
            <w:r w:rsidRPr="00F20617">
              <w:rPr>
                <w:rFonts w:cs="Arial"/>
                <w:b/>
                <w:color w:val="FFFFFF"/>
                <w:lang w:eastAsia="en-GB"/>
              </w:rPr>
              <w:t>2017</w:t>
            </w:r>
          </w:p>
        </w:tc>
        <w:tc>
          <w:tcPr>
            <w:tcW w:w="894" w:type="dxa"/>
            <w:tcBorders>
              <w:top w:val="nil"/>
              <w:left w:val="nil"/>
              <w:bottom w:val="nil"/>
              <w:right w:val="nil"/>
            </w:tcBorders>
            <w:shd w:val="clear" w:color="auto" w:fill="000000"/>
            <w:noWrap/>
            <w:vAlign w:val="bottom"/>
          </w:tcPr>
          <w:p w:rsidR="00A43C03" w:rsidRPr="00F20617" w:rsidRDefault="00A43C03" w:rsidP="00A43C03">
            <w:pPr>
              <w:jc w:val="right"/>
              <w:rPr>
                <w:rFonts w:cs="Arial"/>
                <w:b/>
                <w:color w:val="FFFFFF"/>
                <w:lang w:eastAsia="en-GB"/>
              </w:rPr>
            </w:pPr>
            <w:r w:rsidRPr="00F20617">
              <w:rPr>
                <w:rFonts w:cs="Arial"/>
                <w:b/>
                <w:color w:val="FFFFFF"/>
                <w:lang w:eastAsia="en-GB"/>
              </w:rPr>
              <w:t>2018</w:t>
            </w:r>
          </w:p>
        </w:tc>
        <w:tc>
          <w:tcPr>
            <w:tcW w:w="750" w:type="dxa"/>
            <w:tcBorders>
              <w:top w:val="nil"/>
              <w:left w:val="nil"/>
              <w:bottom w:val="nil"/>
              <w:right w:val="nil"/>
            </w:tcBorders>
            <w:shd w:val="clear" w:color="auto" w:fill="000000"/>
            <w:noWrap/>
            <w:vAlign w:val="bottom"/>
          </w:tcPr>
          <w:p w:rsidR="00A43C03" w:rsidRPr="00F20617" w:rsidRDefault="00A43C03" w:rsidP="00A43C03">
            <w:pPr>
              <w:jc w:val="right"/>
              <w:rPr>
                <w:rFonts w:cs="Arial"/>
                <w:b/>
                <w:color w:val="FFFFFF"/>
                <w:lang w:eastAsia="en-GB"/>
              </w:rPr>
            </w:pPr>
            <w:r w:rsidRPr="00F20617">
              <w:rPr>
                <w:rFonts w:cs="Arial"/>
                <w:b/>
                <w:color w:val="FFFFFF"/>
                <w:lang w:eastAsia="en-GB"/>
              </w:rPr>
              <w:t>2019</w:t>
            </w:r>
          </w:p>
        </w:tc>
        <w:tc>
          <w:tcPr>
            <w:tcW w:w="750" w:type="dxa"/>
            <w:tcBorders>
              <w:top w:val="nil"/>
              <w:left w:val="nil"/>
              <w:bottom w:val="nil"/>
              <w:right w:val="nil"/>
            </w:tcBorders>
            <w:shd w:val="clear" w:color="auto" w:fill="000000"/>
            <w:noWrap/>
            <w:vAlign w:val="bottom"/>
          </w:tcPr>
          <w:p w:rsidR="00A43C03" w:rsidRPr="00F20617" w:rsidRDefault="00A43C03" w:rsidP="00A43C03">
            <w:pPr>
              <w:jc w:val="right"/>
              <w:rPr>
                <w:rFonts w:cs="Arial"/>
                <w:b/>
                <w:color w:val="FFFFFF"/>
                <w:lang w:eastAsia="en-GB"/>
              </w:rPr>
            </w:pPr>
            <w:r w:rsidRPr="00F20617">
              <w:rPr>
                <w:rFonts w:cs="Arial"/>
                <w:b/>
                <w:color w:val="FFFFFF"/>
                <w:lang w:eastAsia="en-GB"/>
              </w:rPr>
              <w:t>2020</w:t>
            </w:r>
          </w:p>
        </w:tc>
        <w:tc>
          <w:tcPr>
            <w:tcW w:w="834" w:type="dxa"/>
            <w:tcBorders>
              <w:top w:val="nil"/>
              <w:left w:val="nil"/>
              <w:bottom w:val="nil"/>
              <w:right w:val="nil"/>
            </w:tcBorders>
            <w:shd w:val="clear" w:color="auto" w:fill="000000"/>
            <w:noWrap/>
            <w:vAlign w:val="bottom"/>
          </w:tcPr>
          <w:p w:rsidR="00A43C03" w:rsidRPr="00F20617" w:rsidRDefault="00A43C03" w:rsidP="00A43C03">
            <w:pPr>
              <w:jc w:val="right"/>
              <w:rPr>
                <w:rFonts w:cs="Arial"/>
                <w:b/>
                <w:color w:val="FFFFFF"/>
                <w:lang w:eastAsia="en-GB"/>
              </w:rPr>
            </w:pPr>
            <w:r w:rsidRPr="00F20617">
              <w:rPr>
                <w:rFonts w:cs="Arial"/>
                <w:b/>
                <w:color w:val="FFFFFF"/>
                <w:lang w:eastAsia="en-GB"/>
              </w:rPr>
              <w:t>2021</w:t>
            </w:r>
          </w:p>
        </w:tc>
        <w:tc>
          <w:tcPr>
            <w:tcW w:w="946" w:type="dxa"/>
            <w:tcBorders>
              <w:top w:val="nil"/>
              <w:left w:val="nil"/>
              <w:bottom w:val="nil"/>
              <w:right w:val="nil"/>
            </w:tcBorders>
            <w:shd w:val="clear" w:color="auto" w:fill="000000"/>
            <w:noWrap/>
            <w:vAlign w:val="bottom"/>
          </w:tcPr>
          <w:p w:rsidR="00A43C03" w:rsidRPr="00F20617" w:rsidRDefault="00A43C03" w:rsidP="00A43C03">
            <w:pPr>
              <w:jc w:val="right"/>
              <w:rPr>
                <w:rFonts w:cs="Arial"/>
                <w:b/>
                <w:color w:val="FFFFFF"/>
                <w:lang w:eastAsia="en-GB"/>
              </w:rPr>
            </w:pPr>
            <w:r w:rsidRPr="00F20617">
              <w:rPr>
                <w:rFonts w:cs="Arial"/>
                <w:b/>
                <w:color w:val="FFFFFF"/>
                <w:lang w:eastAsia="en-GB"/>
              </w:rPr>
              <w:t>2022</w:t>
            </w:r>
          </w:p>
        </w:tc>
        <w:tc>
          <w:tcPr>
            <w:tcW w:w="750" w:type="dxa"/>
            <w:tcBorders>
              <w:top w:val="nil"/>
              <w:left w:val="nil"/>
              <w:bottom w:val="nil"/>
              <w:right w:val="nil"/>
            </w:tcBorders>
            <w:shd w:val="clear" w:color="auto" w:fill="000000"/>
            <w:noWrap/>
            <w:vAlign w:val="bottom"/>
          </w:tcPr>
          <w:p w:rsidR="00A43C03" w:rsidRPr="00F20617" w:rsidRDefault="00A43C03" w:rsidP="00A43C03">
            <w:pPr>
              <w:jc w:val="right"/>
              <w:rPr>
                <w:rFonts w:cs="Arial"/>
                <w:b/>
                <w:color w:val="FFFFFF"/>
                <w:lang w:eastAsia="en-GB"/>
              </w:rPr>
            </w:pPr>
            <w:r w:rsidRPr="00F20617">
              <w:rPr>
                <w:rFonts w:cs="Arial"/>
                <w:b/>
                <w:color w:val="FFFFFF"/>
                <w:lang w:eastAsia="en-GB"/>
              </w:rPr>
              <w:t>2023</w:t>
            </w:r>
          </w:p>
        </w:tc>
        <w:tc>
          <w:tcPr>
            <w:tcW w:w="671" w:type="dxa"/>
            <w:tcBorders>
              <w:top w:val="nil"/>
              <w:left w:val="nil"/>
              <w:bottom w:val="nil"/>
              <w:right w:val="nil"/>
            </w:tcBorders>
            <w:shd w:val="clear" w:color="auto" w:fill="000000"/>
            <w:noWrap/>
            <w:vAlign w:val="bottom"/>
          </w:tcPr>
          <w:p w:rsidR="00A43C03" w:rsidRPr="00F20617" w:rsidRDefault="00A43C03" w:rsidP="00A43C03">
            <w:pPr>
              <w:jc w:val="right"/>
              <w:rPr>
                <w:rFonts w:cs="Arial"/>
                <w:b/>
                <w:color w:val="FFFFFF"/>
                <w:lang w:eastAsia="en-GB"/>
              </w:rPr>
            </w:pPr>
            <w:r w:rsidRPr="00F20617">
              <w:rPr>
                <w:rFonts w:cs="Arial"/>
                <w:b/>
                <w:color w:val="FFFFFF"/>
                <w:lang w:eastAsia="en-GB"/>
              </w:rPr>
              <w:t>2024</w:t>
            </w:r>
          </w:p>
        </w:tc>
      </w:tr>
      <w:tr w:rsidR="00A43C03" w:rsidRPr="00F20617" w:rsidTr="00A43C03">
        <w:trPr>
          <w:trHeight w:val="300"/>
        </w:trPr>
        <w:tc>
          <w:tcPr>
            <w:tcW w:w="717" w:type="dxa"/>
            <w:tcBorders>
              <w:top w:val="nil"/>
              <w:left w:val="nil"/>
              <w:bottom w:val="nil"/>
              <w:right w:val="nil"/>
            </w:tcBorders>
            <w:shd w:val="clear" w:color="auto" w:fill="auto"/>
            <w:noWrap/>
            <w:vAlign w:val="bottom"/>
          </w:tcPr>
          <w:p w:rsidR="00A43C03" w:rsidRPr="00F20617" w:rsidRDefault="00A43C03" w:rsidP="00A43C03">
            <w:pPr>
              <w:rPr>
                <w:rFonts w:cs="Arial"/>
                <w:lang w:eastAsia="en-GB"/>
              </w:rPr>
            </w:pPr>
            <w:r w:rsidRPr="00F20617">
              <w:rPr>
                <w:rFonts w:cs="Arial"/>
                <w:lang w:eastAsia="en-GB"/>
              </w:rPr>
              <w:lastRenderedPageBreak/>
              <w:t>Low</w:t>
            </w:r>
          </w:p>
        </w:tc>
        <w:tc>
          <w:tcPr>
            <w:tcW w:w="750" w:type="dxa"/>
            <w:tcBorders>
              <w:top w:val="nil"/>
              <w:left w:val="nil"/>
              <w:bottom w:val="nil"/>
              <w:right w:val="nil"/>
            </w:tcBorders>
            <w:shd w:val="clear" w:color="auto" w:fill="auto"/>
            <w:noWrap/>
            <w:vAlign w:val="bottom"/>
          </w:tcPr>
          <w:p w:rsidR="00A43C03" w:rsidRPr="00F20617" w:rsidRDefault="00A43C03" w:rsidP="00A43C03">
            <w:pPr>
              <w:rPr>
                <w:rFonts w:cs="Arial"/>
                <w:lang w:eastAsia="en-GB"/>
              </w:rPr>
            </w:pPr>
          </w:p>
        </w:tc>
        <w:tc>
          <w:tcPr>
            <w:tcW w:w="864" w:type="dxa"/>
            <w:tcBorders>
              <w:top w:val="nil"/>
              <w:left w:val="nil"/>
              <w:bottom w:val="nil"/>
              <w:right w:val="nil"/>
            </w:tcBorders>
            <w:shd w:val="clear" w:color="auto" w:fill="auto"/>
            <w:noWrap/>
            <w:vAlign w:val="bottom"/>
          </w:tcPr>
          <w:p w:rsidR="00A43C03" w:rsidRPr="00F20617" w:rsidRDefault="00A43C03" w:rsidP="00A43C03">
            <w:pPr>
              <w:jc w:val="right"/>
              <w:rPr>
                <w:rFonts w:cs="Arial"/>
                <w:lang w:eastAsia="en-GB"/>
              </w:rPr>
            </w:pPr>
          </w:p>
        </w:tc>
        <w:tc>
          <w:tcPr>
            <w:tcW w:w="750" w:type="dxa"/>
            <w:tcBorders>
              <w:top w:val="nil"/>
              <w:left w:val="nil"/>
              <w:bottom w:val="nil"/>
              <w:right w:val="nil"/>
            </w:tcBorders>
            <w:shd w:val="clear" w:color="auto" w:fill="auto"/>
            <w:noWrap/>
            <w:vAlign w:val="bottom"/>
          </w:tcPr>
          <w:p w:rsidR="00A43C03" w:rsidRPr="00F20617" w:rsidRDefault="00A43C03" w:rsidP="00A43C03">
            <w:pPr>
              <w:jc w:val="right"/>
              <w:rPr>
                <w:rFonts w:cs="Arial"/>
                <w:lang w:eastAsia="en-GB"/>
              </w:rPr>
            </w:pPr>
            <w:r w:rsidRPr="00F20617">
              <w:rPr>
                <w:rFonts w:cs="Arial"/>
                <w:lang w:eastAsia="en-GB"/>
              </w:rPr>
              <w:t>19</w:t>
            </w:r>
          </w:p>
        </w:tc>
        <w:tc>
          <w:tcPr>
            <w:tcW w:w="864" w:type="dxa"/>
            <w:tcBorders>
              <w:top w:val="nil"/>
              <w:left w:val="nil"/>
              <w:bottom w:val="nil"/>
              <w:right w:val="nil"/>
            </w:tcBorders>
            <w:shd w:val="clear" w:color="auto" w:fill="auto"/>
            <w:noWrap/>
            <w:vAlign w:val="bottom"/>
          </w:tcPr>
          <w:p w:rsidR="00A43C03" w:rsidRPr="00F20617" w:rsidRDefault="00A43C03" w:rsidP="00A43C03">
            <w:pPr>
              <w:jc w:val="right"/>
              <w:rPr>
                <w:rFonts w:cs="Arial"/>
                <w:lang w:eastAsia="en-GB"/>
              </w:rPr>
            </w:pPr>
            <w:r w:rsidRPr="00F20617">
              <w:rPr>
                <w:rFonts w:cs="Arial"/>
                <w:lang w:eastAsia="en-GB"/>
              </w:rPr>
              <w:t>19</w:t>
            </w:r>
          </w:p>
        </w:tc>
        <w:tc>
          <w:tcPr>
            <w:tcW w:w="894" w:type="dxa"/>
            <w:tcBorders>
              <w:top w:val="nil"/>
              <w:left w:val="nil"/>
              <w:bottom w:val="nil"/>
              <w:right w:val="nil"/>
            </w:tcBorders>
            <w:shd w:val="clear" w:color="auto" w:fill="auto"/>
            <w:noWrap/>
            <w:vAlign w:val="bottom"/>
          </w:tcPr>
          <w:p w:rsidR="00A43C03" w:rsidRPr="00F20617" w:rsidRDefault="00A43C03" w:rsidP="00A43C03">
            <w:pPr>
              <w:jc w:val="right"/>
              <w:rPr>
                <w:rFonts w:cs="Arial"/>
                <w:lang w:eastAsia="en-GB"/>
              </w:rPr>
            </w:pPr>
            <w:r w:rsidRPr="00F20617">
              <w:rPr>
                <w:rFonts w:cs="Arial"/>
                <w:lang w:eastAsia="en-GB"/>
              </w:rPr>
              <w:t>19</w:t>
            </w:r>
          </w:p>
        </w:tc>
        <w:tc>
          <w:tcPr>
            <w:tcW w:w="750" w:type="dxa"/>
            <w:tcBorders>
              <w:top w:val="nil"/>
              <w:left w:val="nil"/>
              <w:bottom w:val="nil"/>
              <w:right w:val="nil"/>
            </w:tcBorders>
            <w:shd w:val="clear" w:color="auto" w:fill="auto"/>
            <w:noWrap/>
            <w:vAlign w:val="bottom"/>
          </w:tcPr>
          <w:p w:rsidR="00A43C03" w:rsidRPr="00F20617" w:rsidRDefault="00A43C03" w:rsidP="00A43C03">
            <w:pPr>
              <w:jc w:val="right"/>
              <w:rPr>
                <w:rFonts w:cs="Arial"/>
                <w:lang w:eastAsia="en-GB"/>
              </w:rPr>
            </w:pPr>
            <w:r w:rsidRPr="00F20617">
              <w:rPr>
                <w:rFonts w:cs="Arial"/>
                <w:lang w:eastAsia="en-GB"/>
              </w:rPr>
              <w:t>19</w:t>
            </w:r>
          </w:p>
        </w:tc>
        <w:tc>
          <w:tcPr>
            <w:tcW w:w="750" w:type="dxa"/>
            <w:tcBorders>
              <w:top w:val="nil"/>
              <w:left w:val="nil"/>
              <w:bottom w:val="nil"/>
              <w:right w:val="nil"/>
            </w:tcBorders>
            <w:shd w:val="clear" w:color="auto" w:fill="auto"/>
            <w:noWrap/>
            <w:vAlign w:val="bottom"/>
          </w:tcPr>
          <w:p w:rsidR="00A43C03" w:rsidRPr="00F20617" w:rsidRDefault="00A43C03" w:rsidP="00A43C03">
            <w:pPr>
              <w:jc w:val="right"/>
              <w:rPr>
                <w:rFonts w:cs="Arial"/>
                <w:lang w:eastAsia="en-GB"/>
              </w:rPr>
            </w:pPr>
            <w:r w:rsidRPr="00F20617">
              <w:rPr>
                <w:rFonts w:cs="Arial"/>
                <w:lang w:eastAsia="en-GB"/>
              </w:rPr>
              <w:t>19</w:t>
            </w:r>
          </w:p>
        </w:tc>
        <w:tc>
          <w:tcPr>
            <w:tcW w:w="834" w:type="dxa"/>
            <w:tcBorders>
              <w:top w:val="nil"/>
              <w:left w:val="nil"/>
              <w:bottom w:val="nil"/>
              <w:right w:val="nil"/>
            </w:tcBorders>
            <w:shd w:val="clear" w:color="auto" w:fill="auto"/>
            <w:noWrap/>
            <w:vAlign w:val="bottom"/>
          </w:tcPr>
          <w:p w:rsidR="00A43C03" w:rsidRPr="00F20617" w:rsidRDefault="00A43C03" w:rsidP="00A43C03">
            <w:pPr>
              <w:jc w:val="right"/>
              <w:rPr>
                <w:rFonts w:cs="Arial"/>
                <w:lang w:eastAsia="en-GB"/>
              </w:rPr>
            </w:pPr>
            <w:r w:rsidRPr="00F20617">
              <w:rPr>
                <w:rFonts w:cs="Arial"/>
                <w:lang w:eastAsia="en-GB"/>
              </w:rPr>
              <w:t>19</w:t>
            </w:r>
          </w:p>
        </w:tc>
        <w:tc>
          <w:tcPr>
            <w:tcW w:w="946" w:type="dxa"/>
            <w:tcBorders>
              <w:top w:val="nil"/>
              <w:left w:val="nil"/>
              <w:bottom w:val="nil"/>
              <w:right w:val="nil"/>
            </w:tcBorders>
            <w:shd w:val="clear" w:color="auto" w:fill="auto"/>
            <w:noWrap/>
            <w:vAlign w:val="bottom"/>
          </w:tcPr>
          <w:p w:rsidR="00A43C03" w:rsidRPr="00F20617" w:rsidRDefault="00A43C03" w:rsidP="00A43C03">
            <w:pPr>
              <w:jc w:val="right"/>
              <w:rPr>
                <w:rFonts w:cs="Arial"/>
                <w:lang w:eastAsia="en-GB"/>
              </w:rPr>
            </w:pPr>
            <w:r w:rsidRPr="00F20617">
              <w:rPr>
                <w:rFonts w:cs="Arial"/>
                <w:lang w:eastAsia="en-GB"/>
              </w:rPr>
              <w:t>19</w:t>
            </w:r>
          </w:p>
        </w:tc>
        <w:tc>
          <w:tcPr>
            <w:tcW w:w="750" w:type="dxa"/>
            <w:tcBorders>
              <w:top w:val="nil"/>
              <w:left w:val="nil"/>
              <w:bottom w:val="nil"/>
              <w:right w:val="nil"/>
            </w:tcBorders>
            <w:shd w:val="clear" w:color="auto" w:fill="auto"/>
            <w:noWrap/>
            <w:vAlign w:val="bottom"/>
          </w:tcPr>
          <w:p w:rsidR="00A43C03" w:rsidRPr="00F20617" w:rsidRDefault="00A43C03" w:rsidP="00A43C03">
            <w:pPr>
              <w:jc w:val="right"/>
              <w:rPr>
                <w:rFonts w:cs="Arial"/>
                <w:lang w:eastAsia="en-GB"/>
              </w:rPr>
            </w:pPr>
            <w:r w:rsidRPr="00F20617">
              <w:rPr>
                <w:rFonts w:cs="Arial"/>
                <w:lang w:eastAsia="en-GB"/>
              </w:rPr>
              <w:t>19</w:t>
            </w:r>
          </w:p>
        </w:tc>
        <w:tc>
          <w:tcPr>
            <w:tcW w:w="671" w:type="dxa"/>
            <w:tcBorders>
              <w:top w:val="nil"/>
              <w:left w:val="nil"/>
              <w:bottom w:val="nil"/>
              <w:right w:val="nil"/>
            </w:tcBorders>
            <w:shd w:val="clear" w:color="auto" w:fill="auto"/>
            <w:noWrap/>
            <w:vAlign w:val="bottom"/>
          </w:tcPr>
          <w:p w:rsidR="00A43C03" w:rsidRPr="00F20617" w:rsidRDefault="00A43C03" w:rsidP="00A43C03">
            <w:pPr>
              <w:jc w:val="right"/>
              <w:rPr>
                <w:rFonts w:cs="Arial"/>
                <w:lang w:eastAsia="en-GB"/>
              </w:rPr>
            </w:pPr>
            <w:r w:rsidRPr="00F20617">
              <w:rPr>
                <w:rFonts w:cs="Arial"/>
                <w:lang w:eastAsia="en-GB"/>
              </w:rPr>
              <w:t>19</w:t>
            </w:r>
          </w:p>
        </w:tc>
      </w:tr>
      <w:tr w:rsidR="00A43C03" w:rsidRPr="00F20617" w:rsidTr="00A43C03">
        <w:trPr>
          <w:trHeight w:val="300"/>
        </w:trPr>
        <w:tc>
          <w:tcPr>
            <w:tcW w:w="717" w:type="dxa"/>
            <w:tcBorders>
              <w:top w:val="nil"/>
              <w:left w:val="nil"/>
              <w:bottom w:val="nil"/>
              <w:right w:val="nil"/>
            </w:tcBorders>
            <w:shd w:val="clear" w:color="auto" w:fill="auto"/>
            <w:noWrap/>
            <w:vAlign w:val="bottom"/>
          </w:tcPr>
          <w:p w:rsidR="00A43C03" w:rsidRPr="00F20617" w:rsidRDefault="00A43C03" w:rsidP="00A43C03">
            <w:pPr>
              <w:rPr>
                <w:rFonts w:cs="Arial"/>
                <w:lang w:eastAsia="en-GB"/>
              </w:rPr>
            </w:pPr>
            <w:r w:rsidRPr="00F20617">
              <w:rPr>
                <w:rFonts w:cs="Arial"/>
                <w:lang w:eastAsia="en-GB"/>
              </w:rPr>
              <w:t>High</w:t>
            </w:r>
          </w:p>
        </w:tc>
        <w:tc>
          <w:tcPr>
            <w:tcW w:w="750" w:type="dxa"/>
            <w:tcBorders>
              <w:top w:val="nil"/>
              <w:left w:val="nil"/>
              <w:bottom w:val="nil"/>
              <w:right w:val="nil"/>
            </w:tcBorders>
            <w:shd w:val="clear" w:color="auto" w:fill="auto"/>
            <w:noWrap/>
            <w:vAlign w:val="bottom"/>
          </w:tcPr>
          <w:p w:rsidR="00A43C03" w:rsidRPr="00F20617" w:rsidRDefault="00A43C03" w:rsidP="00A43C03">
            <w:pPr>
              <w:rPr>
                <w:rFonts w:cs="Arial"/>
                <w:lang w:eastAsia="en-GB"/>
              </w:rPr>
            </w:pPr>
          </w:p>
        </w:tc>
        <w:tc>
          <w:tcPr>
            <w:tcW w:w="864" w:type="dxa"/>
            <w:tcBorders>
              <w:top w:val="nil"/>
              <w:left w:val="nil"/>
              <w:bottom w:val="nil"/>
              <w:right w:val="nil"/>
            </w:tcBorders>
            <w:shd w:val="clear" w:color="auto" w:fill="auto"/>
            <w:noWrap/>
            <w:vAlign w:val="bottom"/>
          </w:tcPr>
          <w:p w:rsidR="00A43C03" w:rsidRPr="00F20617" w:rsidRDefault="00A43C03" w:rsidP="00A43C03">
            <w:pPr>
              <w:jc w:val="right"/>
              <w:rPr>
                <w:rFonts w:cs="Arial"/>
                <w:lang w:eastAsia="en-GB"/>
              </w:rPr>
            </w:pPr>
          </w:p>
        </w:tc>
        <w:tc>
          <w:tcPr>
            <w:tcW w:w="750" w:type="dxa"/>
            <w:tcBorders>
              <w:top w:val="nil"/>
              <w:left w:val="nil"/>
              <w:bottom w:val="nil"/>
              <w:right w:val="nil"/>
            </w:tcBorders>
            <w:shd w:val="clear" w:color="auto" w:fill="auto"/>
            <w:noWrap/>
            <w:vAlign w:val="bottom"/>
          </w:tcPr>
          <w:p w:rsidR="00A43C03" w:rsidRPr="00F20617" w:rsidRDefault="00A43C03" w:rsidP="00A43C03">
            <w:pPr>
              <w:jc w:val="right"/>
              <w:rPr>
                <w:rFonts w:cs="Arial"/>
                <w:lang w:eastAsia="en-GB"/>
              </w:rPr>
            </w:pPr>
            <w:r w:rsidRPr="00F20617">
              <w:rPr>
                <w:rFonts w:cs="Arial"/>
                <w:lang w:eastAsia="en-GB"/>
              </w:rPr>
              <w:t>55</w:t>
            </w:r>
          </w:p>
        </w:tc>
        <w:tc>
          <w:tcPr>
            <w:tcW w:w="864" w:type="dxa"/>
            <w:tcBorders>
              <w:top w:val="nil"/>
              <w:left w:val="nil"/>
              <w:bottom w:val="nil"/>
              <w:right w:val="nil"/>
            </w:tcBorders>
            <w:shd w:val="clear" w:color="auto" w:fill="auto"/>
            <w:noWrap/>
            <w:vAlign w:val="bottom"/>
          </w:tcPr>
          <w:p w:rsidR="00A43C03" w:rsidRPr="00F20617" w:rsidRDefault="00A43C03" w:rsidP="00A43C03">
            <w:pPr>
              <w:jc w:val="right"/>
              <w:rPr>
                <w:rFonts w:cs="Arial"/>
                <w:lang w:eastAsia="en-GB"/>
              </w:rPr>
            </w:pPr>
            <w:r w:rsidRPr="00F20617">
              <w:rPr>
                <w:rFonts w:cs="Arial"/>
                <w:lang w:eastAsia="en-GB"/>
              </w:rPr>
              <w:t>55</w:t>
            </w:r>
          </w:p>
        </w:tc>
        <w:tc>
          <w:tcPr>
            <w:tcW w:w="894" w:type="dxa"/>
            <w:tcBorders>
              <w:top w:val="nil"/>
              <w:left w:val="nil"/>
              <w:bottom w:val="nil"/>
              <w:right w:val="nil"/>
            </w:tcBorders>
            <w:shd w:val="clear" w:color="auto" w:fill="auto"/>
            <w:noWrap/>
            <w:vAlign w:val="bottom"/>
          </w:tcPr>
          <w:p w:rsidR="00A43C03" w:rsidRPr="00F20617" w:rsidRDefault="00A43C03" w:rsidP="00A43C03">
            <w:pPr>
              <w:jc w:val="right"/>
              <w:rPr>
                <w:rFonts w:cs="Arial"/>
                <w:lang w:eastAsia="en-GB"/>
              </w:rPr>
            </w:pPr>
            <w:r w:rsidRPr="00F20617">
              <w:rPr>
                <w:rFonts w:cs="Arial"/>
                <w:lang w:eastAsia="en-GB"/>
              </w:rPr>
              <w:t>55</w:t>
            </w:r>
          </w:p>
        </w:tc>
        <w:tc>
          <w:tcPr>
            <w:tcW w:w="750" w:type="dxa"/>
            <w:tcBorders>
              <w:top w:val="nil"/>
              <w:left w:val="nil"/>
              <w:bottom w:val="nil"/>
              <w:right w:val="nil"/>
            </w:tcBorders>
            <w:shd w:val="clear" w:color="auto" w:fill="auto"/>
            <w:noWrap/>
            <w:vAlign w:val="bottom"/>
          </w:tcPr>
          <w:p w:rsidR="00A43C03" w:rsidRPr="00F20617" w:rsidRDefault="00A43C03" w:rsidP="00A43C03">
            <w:pPr>
              <w:jc w:val="right"/>
              <w:rPr>
                <w:rFonts w:cs="Arial"/>
                <w:lang w:eastAsia="en-GB"/>
              </w:rPr>
            </w:pPr>
            <w:r w:rsidRPr="00F20617">
              <w:rPr>
                <w:rFonts w:cs="Arial"/>
                <w:lang w:eastAsia="en-GB"/>
              </w:rPr>
              <w:t>55</w:t>
            </w:r>
          </w:p>
        </w:tc>
        <w:tc>
          <w:tcPr>
            <w:tcW w:w="750" w:type="dxa"/>
            <w:tcBorders>
              <w:top w:val="nil"/>
              <w:left w:val="nil"/>
              <w:bottom w:val="nil"/>
              <w:right w:val="nil"/>
            </w:tcBorders>
            <w:shd w:val="clear" w:color="auto" w:fill="auto"/>
            <w:noWrap/>
            <w:vAlign w:val="bottom"/>
          </w:tcPr>
          <w:p w:rsidR="00A43C03" w:rsidRPr="00F20617" w:rsidRDefault="00A43C03" w:rsidP="00A43C03">
            <w:pPr>
              <w:jc w:val="right"/>
              <w:rPr>
                <w:rFonts w:cs="Arial"/>
                <w:lang w:eastAsia="en-GB"/>
              </w:rPr>
            </w:pPr>
            <w:r w:rsidRPr="00F20617">
              <w:rPr>
                <w:rFonts w:cs="Arial"/>
                <w:lang w:eastAsia="en-GB"/>
              </w:rPr>
              <w:t>55</w:t>
            </w:r>
          </w:p>
        </w:tc>
        <w:tc>
          <w:tcPr>
            <w:tcW w:w="834" w:type="dxa"/>
            <w:tcBorders>
              <w:top w:val="nil"/>
              <w:left w:val="nil"/>
              <w:bottom w:val="nil"/>
              <w:right w:val="nil"/>
            </w:tcBorders>
            <w:shd w:val="clear" w:color="auto" w:fill="auto"/>
            <w:noWrap/>
            <w:vAlign w:val="bottom"/>
          </w:tcPr>
          <w:p w:rsidR="00A43C03" w:rsidRPr="00F20617" w:rsidRDefault="00A43C03" w:rsidP="00A43C03">
            <w:pPr>
              <w:jc w:val="right"/>
              <w:rPr>
                <w:rFonts w:cs="Arial"/>
                <w:lang w:eastAsia="en-GB"/>
              </w:rPr>
            </w:pPr>
            <w:r w:rsidRPr="00F20617">
              <w:rPr>
                <w:rFonts w:cs="Arial"/>
                <w:lang w:eastAsia="en-GB"/>
              </w:rPr>
              <w:t>55</w:t>
            </w:r>
          </w:p>
        </w:tc>
        <w:tc>
          <w:tcPr>
            <w:tcW w:w="946" w:type="dxa"/>
            <w:tcBorders>
              <w:top w:val="nil"/>
              <w:left w:val="nil"/>
              <w:bottom w:val="nil"/>
              <w:right w:val="nil"/>
            </w:tcBorders>
            <w:shd w:val="clear" w:color="auto" w:fill="auto"/>
            <w:noWrap/>
            <w:vAlign w:val="bottom"/>
          </w:tcPr>
          <w:p w:rsidR="00A43C03" w:rsidRPr="00F20617" w:rsidRDefault="00A43C03" w:rsidP="00A43C03">
            <w:pPr>
              <w:jc w:val="right"/>
              <w:rPr>
                <w:rFonts w:cs="Arial"/>
                <w:lang w:eastAsia="en-GB"/>
              </w:rPr>
            </w:pPr>
            <w:r w:rsidRPr="00F20617">
              <w:rPr>
                <w:rFonts w:cs="Arial"/>
                <w:lang w:eastAsia="en-GB"/>
              </w:rPr>
              <w:t>55</w:t>
            </w:r>
          </w:p>
        </w:tc>
        <w:tc>
          <w:tcPr>
            <w:tcW w:w="750" w:type="dxa"/>
            <w:tcBorders>
              <w:top w:val="nil"/>
              <w:left w:val="nil"/>
              <w:bottom w:val="nil"/>
              <w:right w:val="nil"/>
            </w:tcBorders>
            <w:shd w:val="clear" w:color="auto" w:fill="auto"/>
            <w:noWrap/>
            <w:vAlign w:val="bottom"/>
          </w:tcPr>
          <w:p w:rsidR="00A43C03" w:rsidRPr="00F20617" w:rsidRDefault="00A43C03" w:rsidP="00A43C03">
            <w:pPr>
              <w:jc w:val="right"/>
              <w:rPr>
                <w:rFonts w:cs="Arial"/>
                <w:lang w:eastAsia="en-GB"/>
              </w:rPr>
            </w:pPr>
            <w:r w:rsidRPr="00F20617">
              <w:rPr>
                <w:rFonts w:cs="Arial"/>
                <w:lang w:eastAsia="en-GB"/>
              </w:rPr>
              <w:t>55</w:t>
            </w:r>
          </w:p>
        </w:tc>
        <w:tc>
          <w:tcPr>
            <w:tcW w:w="671" w:type="dxa"/>
            <w:tcBorders>
              <w:top w:val="nil"/>
              <w:left w:val="nil"/>
              <w:bottom w:val="nil"/>
              <w:right w:val="nil"/>
            </w:tcBorders>
            <w:shd w:val="clear" w:color="auto" w:fill="auto"/>
            <w:noWrap/>
            <w:vAlign w:val="bottom"/>
          </w:tcPr>
          <w:p w:rsidR="00A43C03" w:rsidRPr="00F20617" w:rsidRDefault="00A43C03" w:rsidP="00A43C03">
            <w:pPr>
              <w:jc w:val="right"/>
              <w:rPr>
                <w:rFonts w:cs="Arial"/>
                <w:lang w:eastAsia="en-GB"/>
              </w:rPr>
            </w:pPr>
            <w:r w:rsidRPr="00F20617">
              <w:rPr>
                <w:rFonts w:cs="Arial"/>
                <w:lang w:eastAsia="en-GB"/>
              </w:rPr>
              <w:t>55</w:t>
            </w:r>
          </w:p>
        </w:tc>
      </w:tr>
    </w:tbl>
    <w:p w:rsidR="00A43C03" w:rsidRDefault="00A43C03" w:rsidP="00A43C03">
      <w:pPr>
        <w:pStyle w:val="EBBullet"/>
        <w:keepNext/>
        <w:numPr>
          <w:ilvl w:val="0"/>
          <w:numId w:val="0"/>
        </w:numPr>
        <w:tabs>
          <w:tab w:val="left" w:pos="720"/>
        </w:tabs>
        <w:ind w:left="720"/>
        <w:rPr>
          <w:sz w:val="24"/>
        </w:rPr>
      </w:pPr>
    </w:p>
    <w:p w:rsidR="00A43C03" w:rsidRDefault="00A43C03" w:rsidP="00A43C03">
      <w:pPr>
        <w:pStyle w:val="EBBullet"/>
        <w:keepNext/>
        <w:numPr>
          <w:ilvl w:val="0"/>
          <w:numId w:val="0"/>
        </w:numPr>
        <w:tabs>
          <w:tab w:val="left" w:pos="720"/>
        </w:tabs>
        <w:ind w:left="720"/>
        <w:rPr>
          <w:sz w:val="24"/>
        </w:rPr>
      </w:pPr>
    </w:p>
    <w:p w:rsidR="00A43C03" w:rsidRDefault="00A43C03" w:rsidP="00A43C03">
      <w:pPr>
        <w:spacing w:line="276" w:lineRule="auto"/>
        <w:ind w:left="720"/>
        <w:rPr>
          <w:rFonts w:cs="Arial"/>
          <w:sz w:val="22"/>
          <w:szCs w:val="22"/>
        </w:rPr>
      </w:pPr>
    </w:p>
    <w:p w:rsidR="00A43C03" w:rsidRDefault="00A43C03" w:rsidP="00A43C03">
      <w:pPr>
        <w:pStyle w:val="EBBullet"/>
        <w:keepNext/>
        <w:numPr>
          <w:ilvl w:val="0"/>
          <w:numId w:val="0"/>
        </w:numPr>
        <w:pBdr>
          <w:top w:val="single" w:sz="4" w:space="1" w:color="auto"/>
          <w:left w:val="single" w:sz="4" w:space="4" w:color="auto"/>
          <w:bottom w:val="single" w:sz="4" w:space="1" w:color="auto"/>
          <w:right w:val="single" w:sz="4" w:space="4" w:color="auto"/>
        </w:pBdr>
        <w:tabs>
          <w:tab w:val="left" w:pos="0"/>
        </w:tabs>
        <w:rPr>
          <w:sz w:val="24"/>
        </w:rPr>
      </w:pPr>
      <w:r w:rsidRPr="00675A4A">
        <w:rPr>
          <w:b/>
          <w:sz w:val="24"/>
        </w:rPr>
        <w:t>Q</w:t>
      </w:r>
      <w:r>
        <w:rPr>
          <w:b/>
          <w:sz w:val="24"/>
        </w:rPr>
        <w:t>12</w:t>
      </w:r>
      <w:r w:rsidRPr="00675A4A">
        <w:rPr>
          <w:b/>
          <w:sz w:val="24"/>
        </w:rPr>
        <w:t>:</w:t>
      </w:r>
      <w:r>
        <w:rPr>
          <w:sz w:val="24"/>
        </w:rPr>
        <w:t xml:space="preserve"> Are the familiarisation cost savings, in time, between options 2 and 4 an accurate reflection of the difference? Please provide evidence supporting your arguments.</w:t>
      </w:r>
    </w:p>
    <w:p w:rsidR="00A43C03" w:rsidRPr="00F20617" w:rsidRDefault="00A43C03" w:rsidP="00A43C03">
      <w:pPr>
        <w:pStyle w:val="EBBullet"/>
        <w:keepNext/>
        <w:numPr>
          <w:ilvl w:val="0"/>
          <w:numId w:val="0"/>
        </w:numPr>
        <w:pBdr>
          <w:top w:val="single" w:sz="4" w:space="1" w:color="auto"/>
          <w:left w:val="single" w:sz="4" w:space="4" w:color="auto"/>
          <w:bottom w:val="single" w:sz="4" w:space="1" w:color="auto"/>
          <w:right w:val="single" w:sz="4" w:space="4" w:color="auto"/>
        </w:pBdr>
        <w:tabs>
          <w:tab w:val="left" w:pos="0"/>
        </w:tabs>
        <w:rPr>
          <w:sz w:val="24"/>
        </w:rPr>
      </w:pPr>
      <w:r>
        <w:rPr>
          <w:b/>
          <w:sz w:val="24"/>
        </w:rPr>
        <w:t xml:space="preserve">Q13: </w:t>
      </w:r>
      <w:r>
        <w:rPr>
          <w:sz w:val="24"/>
        </w:rPr>
        <w:t>Do the cost saving time profiles accurately reflect the timings of cost savings your business expect to see?</w:t>
      </w:r>
    </w:p>
    <w:p w:rsidR="00A43C03" w:rsidRDefault="00A43C03" w:rsidP="00A43C03">
      <w:pPr>
        <w:spacing w:line="276" w:lineRule="auto"/>
        <w:ind w:left="720"/>
        <w:rPr>
          <w:rFonts w:cs="Arial"/>
          <w:sz w:val="22"/>
          <w:szCs w:val="22"/>
        </w:rPr>
      </w:pPr>
    </w:p>
    <w:p w:rsidR="00A43C03" w:rsidRDefault="00A43C03" w:rsidP="0039415E">
      <w:pPr>
        <w:pStyle w:val="EBBullet"/>
        <w:keepNext/>
        <w:numPr>
          <w:ilvl w:val="1"/>
          <w:numId w:val="19"/>
        </w:numPr>
        <w:tabs>
          <w:tab w:val="clear" w:pos="360"/>
          <w:tab w:val="num" w:pos="720"/>
        </w:tabs>
        <w:ind w:left="720" w:hanging="720"/>
        <w:rPr>
          <w:sz w:val="24"/>
        </w:rPr>
      </w:pPr>
      <w:r>
        <w:rPr>
          <w:sz w:val="24"/>
        </w:rPr>
        <w:t>The net cost savings to business, as shown above, for option 3 are counted as an “out” in this appraisal. The Equivalent Annual Net Cost to Business of this “out”, in 2009 prices, over the 10 year appraisal period is between £13m and £38m. The range reflects the uncertainty from the current evidence base. The cost savings are less than option 2 because cost savings have been delayed a year as shown in the tables above.</w:t>
      </w:r>
    </w:p>
    <w:p w:rsidR="00D722BA" w:rsidRDefault="00A43C03" w:rsidP="00D722BA">
      <w:pPr>
        <w:spacing w:line="276" w:lineRule="auto"/>
        <w:ind w:left="720"/>
      </w:pPr>
      <w:r>
        <w:rPr>
          <w:rFonts w:cs="Arial"/>
          <w:sz w:val="22"/>
          <w:szCs w:val="22"/>
        </w:rPr>
        <w:br w:type="column"/>
      </w:r>
      <w:bookmarkStart w:id="98" w:name="_Toc337743654"/>
    </w:p>
    <w:p w:rsidR="00321C47" w:rsidRDefault="00321C47" w:rsidP="00321C47">
      <w:pPr>
        <w:pStyle w:val="Heading2"/>
        <w:ind w:left="0"/>
      </w:pPr>
      <w:bookmarkStart w:id="99" w:name="_Toc394509391"/>
      <w:r>
        <w:t xml:space="preserve">Annex </w:t>
      </w:r>
      <w:r w:rsidR="00C20B87">
        <w:t>8</w:t>
      </w:r>
      <w:r>
        <w:t>: P</w:t>
      </w:r>
      <w:r>
        <w:rPr>
          <w:rFonts w:cs="Arial"/>
        </w:rPr>
        <w:t>roposed amendments to schedule 5 - the match test - part 1 and schedule 4 - the cigarette test - of the furniture and furnishings (fire) (safety) regulations 1988</w:t>
      </w:r>
      <w:r>
        <w:t xml:space="preserve"> - response form</w:t>
      </w:r>
      <w:bookmarkEnd w:id="99"/>
      <w:r>
        <w:t xml:space="preserve"> </w:t>
      </w:r>
    </w:p>
    <w:p w:rsidR="00321C47" w:rsidRDefault="00321C47" w:rsidP="00321C47">
      <w:pPr>
        <w:spacing w:after="0"/>
        <w:ind w:left="0"/>
        <w:rPr>
          <w:b/>
          <w:bCs/>
          <w:iCs/>
          <w:color w:val="003478"/>
          <w:kern w:val="32"/>
          <w:sz w:val="32"/>
          <w:szCs w:val="28"/>
        </w:rPr>
        <w:sectPr w:rsidR="00321C47" w:rsidSect="00321C47">
          <w:type w:val="continuous"/>
          <w:pgSz w:w="11906" w:h="16838"/>
          <w:pgMar w:top="1701" w:right="680" w:bottom="680" w:left="964" w:header="437" w:footer="265" w:gutter="0"/>
          <w:cols w:space="720"/>
        </w:sectPr>
      </w:pPr>
    </w:p>
    <w:p w:rsidR="00321C47" w:rsidRDefault="00321C47" w:rsidP="00321C47">
      <w:pPr>
        <w:ind w:left="0"/>
      </w:pPr>
      <w:r>
        <w:lastRenderedPageBreak/>
        <w:t>The Department may, in accordance with the Code of Practice on Access to Government Information, make available, on public request, individual responses.</w:t>
      </w:r>
    </w:p>
    <w:p w:rsidR="00321C47" w:rsidRDefault="00321C47" w:rsidP="00321C47">
      <w:pPr>
        <w:ind w:left="0"/>
      </w:pPr>
      <w:r>
        <w:t xml:space="preserve">The closing date for this consultation is </w:t>
      </w:r>
      <w:r w:rsidR="00580E33">
        <w:t>7</w:t>
      </w:r>
      <w:r w:rsidR="00580E33" w:rsidRPr="00580E33">
        <w:rPr>
          <w:vertAlign w:val="superscript"/>
        </w:rPr>
        <w:t>th</w:t>
      </w:r>
      <w:r w:rsidR="00580E33">
        <w:t xml:space="preserve"> October</w:t>
      </w:r>
      <w:r w:rsidR="00F325DD">
        <w:t xml:space="preserve"> 2014</w:t>
      </w:r>
      <w:r w:rsidR="00081757">
        <w:t>.</w:t>
      </w:r>
    </w:p>
    <w:p w:rsidR="00321C47" w:rsidRDefault="00321C47" w:rsidP="00321C47">
      <w:pPr>
        <w:ind w:left="0"/>
      </w:pPr>
      <w:r>
        <w:t>Please provide answers to any of the questions below, and provide any additional response you believe is appropriate</w:t>
      </w:r>
      <w:r w:rsidR="00F325DD">
        <w:t>, headed</w:t>
      </w:r>
      <w:r>
        <w:t>:</w:t>
      </w:r>
    </w:p>
    <w:p w:rsidR="00321C47" w:rsidRDefault="00321C47" w:rsidP="00321C47">
      <w:pPr>
        <w:spacing w:after="0"/>
        <w:ind w:left="0"/>
      </w:pPr>
      <w:r>
        <w:t>Your name:</w:t>
      </w:r>
    </w:p>
    <w:p w:rsidR="00321C47" w:rsidRDefault="00321C47" w:rsidP="00321C47">
      <w:pPr>
        <w:spacing w:after="0"/>
        <w:ind w:left="0"/>
      </w:pPr>
      <w:r>
        <w:t>Organisation (if applicable):</w:t>
      </w:r>
    </w:p>
    <w:p w:rsidR="00321C47" w:rsidRDefault="00321C47" w:rsidP="00321C47">
      <w:pPr>
        <w:spacing w:after="0"/>
        <w:ind w:left="0"/>
      </w:pPr>
      <w:r>
        <w:t>Address:</w:t>
      </w:r>
    </w:p>
    <w:p w:rsidR="00321C47" w:rsidRDefault="00321C47" w:rsidP="00321C47">
      <w:pPr>
        <w:spacing w:after="0"/>
        <w:ind w:left="0"/>
      </w:pPr>
    </w:p>
    <w:p w:rsidR="00321C47" w:rsidRDefault="00321C47" w:rsidP="00321C47">
      <w:pPr>
        <w:spacing w:after="0"/>
        <w:ind w:left="0"/>
      </w:pPr>
      <w:r>
        <w:t>Please return completed forms to:</w:t>
      </w:r>
    </w:p>
    <w:p w:rsidR="00321C47" w:rsidRDefault="00321C47" w:rsidP="00321C47">
      <w:pPr>
        <w:spacing w:after="0"/>
        <w:ind w:left="0"/>
      </w:pPr>
      <w:r>
        <w:t>Terry Edge</w:t>
      </w:r>
    </w:p>
    <w:p w:rsidR="00321C47" w:rsidRDefault="00321C47" w:rsidP="00321C47">
      <w:pPr>
        <w:spacing w:after="0"/>
        <w:ind w:left="0"/>
      </w:pPr>
      <w:r>
        <w:t>4</w:t>
      </w:r>
      <w:r w:rsidRPr="00321C47">
        <w:rPr>
          <w:vertAlign w:val="superscript"/>
        </w:rPr>
        <w:t>th</w:t>
      </w:r>
      <w:r>
        <w:t xml:space="preserve"> Floor, Orchard 1</w:t>
      </w:r>
    </w:p>
    <w:p w:rsidR="00321C47" w:rsidRDefault="00321C47" w:rsidP="00321C47">
      <w:pPr>
        <w:spacing w:after="0"/>
        <w:ind w:left="0"/>
      </w:pPr>
      <w:r>
        <w:t>BIS</w:t>
      </w:r>
    </w:p>
    <w:p w:rsidR="00321C47" w:rsidRDefault="00321C47" w:rsidP="00321C47">
      <w:pPr>
        <w:spacing w:after="0"/>
        <w:ind w:left="0"/>
      </w:pPr>
      <w:r>
        <w:t>1 Victoria Street</w:t>
      </w:r>
    </w:p>
    <w:p w:rsidR="00321C47" w:rsidRDefault="00321C47" w:rsidP="00321C47">
      <w:pPr>
        <w:spacing w:after="0"/>
        <w:ind w:left="0"/>
      </w:pPr>
      <w:r>
        <w:t>London SW1 0ET</w:t>
      </w:r>
    </w:p>
    <w:p w:rsidR="00321C47" w:rsidRDefault="00321C47" w:rsidP="00321C47">
      <w:pPr>
        <w:spacing w:after="0"/>
        <w:ind w:left="0"/>
      </w:pPr>
    </w:p>
    <w:p w:rsidR="00321C47" w:rsidRDefault="00321C47" w:rsidP="00321C47">
      <w:pPr>
        <w:spacing w:after="0"/>
        <w:ind w:left="0"/>
      </w:pPr>
      <w:r>
        <w:t>Telephone:</w:t>
      </w:r>
      <w:r>
        <w:tab/>
        <w:t>020 7215 5576</w:t>
      </w:r>
    </w:p>
    <w:p w:rsidR="00321C47" w:rsidRDefault="00321C47" w:rsidP="00321C47">
      <w:pPr>
        <w:spacing w:after="0"/>
        <w:ind w:left="0"/>
      </w:pPr>
      <w:r>
        <w:t>email:</w:t>
      </w:r>
      <w:r>
        <w:tab/>
        <w:t>terry.edge@bis.gsi.gov.uk</w:t>
      </w:r>
    </w:p>
    <w:p w:rsidR="00321C47" w:rsidRDefault="00321C47" w:rsidP="00321C47">
      <w:pPr>
        <w:spacing w:after="0"/>
        <w:ind w:left="0"/>
      </w:pPr>
    </w:p>
    <w:p w:rsidR="00321C47" w:rsidRDefault="00321C47" w:rsidP="00321C47">
      <w:pPr>
        <w:ind w:left="0"/>
      </w:pPr>
      <w:r>
        <w:t>Please tick boxes below which best describe you or your organisation.</w:t>
      </w:r>
    </w:p>
    <w:tbl>
      <w:tblPr>
        <w:tblW w:w="3750" w:type="pct"/>
        <w:tblInd w:w="294" w:type="dxa"/>
        <w:tblBorders>
          <w:top w:val="single" w:sz="8" w:space="0" w:color="00CCFF"/>
          <w:left w:val="single" w:sz="8" w:space="0" w:color="00CCFF"/>
          <w:bottom w:val="single" w:sz="8" w:space="0" w:color="00CCFF"/>
          <w:right w:val="single" w:sz="8" w:space="0" w:color="00CCFF"/>
          <w:insideH w:val="single" w:sz="8" w:space="0" w:color="00CCFF"/>
          <w:insideV w:val="single" w:sz="8" w:space="0" w:color="00CCFF"/>
        </w:tblBorders>
        <w:tblCellMar>
          <w:left w:w="0" w:type="dxa"/>
          <w:right w:w="0" w:type="dxa"/>
        </w:tblCellMar>
        <w:tblLook w:val="01E0" w:firstRow="1" w:lastRow="1" w:firstColumn="1" w:lastColumn="1" w:noHBand="0" w:noVBand="0"/>
      </w:tblPr>
      <w:tblGrid>
        <w:gridCol w:w="981"/>
        <w:gridCol w:w="6731"/>
      </w:tblGrid>
      <w:tr w:rsidR="00F874C7" w:rsidTr="00F874C7">
        <w:trPr>
          <w:trHeight w:val="227"/>
          <w:tblHeader/>
        </w:trPr>
        <w:tc>
          <w:tcPr>
            <w:tcW w:w="636" w:type="pct"/>
            <w:tcBorders>
              <w:top w:val="single" w:sz="8" w:space="0" w:color="00CCFF"/>
              <w:left w:val="single" w:sz="8" w:space="0" w:color="00CCFF"/>
              <w:bottom w:val="single" w:sz="8" w:space="0" w:color="00CCFF"/>
              <w:right w:val="single" w:sz="8" w:space="0" w:color="00CCFF"/>
            </w:tcBorders>
            <w:shd w:val="clear" w:color="auto" w:fill="BFBFBF" w:themeFill="background1" w:themeFillShade="BF"/>
            <w:tcMar>
              <w:top w:w="113" w:type="dxa"/>
              <w:left w:w="0" w:type="dxa"/>
              <w:bottom w:w="113" w:type="dxa"/>
              <w:right w:w="0" w:type="dxa"/>
            </w:tcMar>
          </w:tcPr>
          <w:p w:rsidR="00F874C7" w:rsidRPr="00F874C7" w:rsidRDefault="00F874C7" w:rsidP="00321C47">
            <w:pPr>
              <w:pStyle w:val="TableText"/>
              <w:tabs>
                <w:tab w:val="left" w:pos="825"/>
              </w:tabs>
              <w:spacing w:after="0"/>
              <w:ind w:left="0"/>
            </w:pPr>
            <w:permStart w:id="629605079" w:edGrp="everyone" w:colFirst="0" w:colLast="0"/>
            <w:permStart w:id="2126667254" w:edGrp="everyone" w:colFirst="1" w:colLast="1"/>
            <w:permStart w:id="736238948" w:edGrp="everyone" w:colFirst="2" w:colLast="2"/>
          </w:p>
        </w:tc>
        <w:tc>
          <w:tcPr>
            <w:tcW w:w="4364" w:type="pct"/>
            <w:tcBorders>
              <w:top w:val="single" w:sz="8" w:space="0" w:color="00CCFF"/>
              <w:left w:val="single" w:sz="8" w:space="0" w:color="00CCFF"/>
              <w:bottom w:val="single" w:sz="8" w:space="0" w:color="00CCFF"/>
              <w:right w:val="single" w:sz="8" w:space="0" w:color="00CCFF"/>
            </w:tcBorders>
            <w:shd w:val="clear" w:color="auto" w:fill="BFBFBF" w:themeFill="background1" w:themeFillShade="BF"/>
            <w:tcMar>
              <w:top w:w="113" w:type="dxa"/>
              <w:left w:w="0" w:type="dxa"/>
              <w:bottom w:w="113" w:type="dxa"/>
              <w:right w:w="0" w:type="dxa"/>
            </w:tcMar>
          </w:tcPr>
          <w:p w:rsidR="00F874C7" w:rsidRPr="00F874C7" w:rsidRDefault="00F874C7" w:rsidP="00321C47">
            <w:pPr>
              <w:pStyle w:val="Tabletextnon-bold"/>
              <w:spacing w:after="0"/>
              <w:ind w:left="0"/>
              <w:rPr>
                <w:b/>
              </w:rPr>
            </w:pPr>
            <w:r w:rsidRPr="00F874C7">
              <w:rPr>
                <w:b/>
              </w:rPr>
              <w:t>Organisation type</w:t>
            </w:r>
          </w:p>
        </w:tc>
      </w:tr>
      <w:tr w:rsidR="00321C47" w:rsidTr="00321C47">
        <w:trPr>
          <w:trHeight w:val="227"/>
        </w:trPr>
        <w:tc>
          <w:tcPr>
            <w:tcW w:w="636" w:type="pct"/>
            <w:tcBorders>
              <w:top w:val="single" w:sz="8" w:space="0" w:color="00CCFF"/>
              <w:left w:val="single" w:sz="8" w:space="0" w:color="00CCFF"/>
              <w:bottom w:val="single" w:sz="8" w:space="0" w:color="00CCFF"/>
              <w:right w:val="single" w:sz="8" w:space="0" w:color="00CCFF"/>
            </w:tcBorders>
            <w:tcMar>
              <w:top w:w="113" w:type="dxa"/>
              <w:left w:w="0" w:type="dxa"/>
              <w:bottom w:w="113" w:type="dxa"/>
              <w:right w:w="0" w:type="dxa"/>
            </w:tcMar>
            <w:hideMark/>
          </w:tcPr>
          <w:p w:rsidR="00321C47" w:rsidRDefault="00321C47" w:rsidP="00321C47">
            <w:pPr>
              <w:pStyle w:val="TableText"/>
              <w:tabs>
                <w:tab w:val="left" w:pos="825"/>
              </w:tabs>
              <w:spacing w:after="0"/>
              <w:ind w:left="0"/>
            </w:pPr>
            <w:permStart w:id="732704591" w:edGrp="everyone" w:colFirst="0" w:colLast="0"/>
            <w:permStart w:id="1064514017" w:edGrp="everyone" w:colFirst="1" w:colLast="1"/>
            <w:permStart w:id="1046113108" w:edGrp="everyone" w:colFirst="2" w:colLast="2"/>
            <w:permEnd w:id="629605079"/>
            <w:permEnd w:id="2126667254"/>
            <w:permEnd w:id="736238948"/>
            <w:r>
              <w:tab/>
            </w:r>
          </w:p>
        </w:tc>
        <w:tc>
          <w:tcPr>
            <w:tcW w:w="4364" w:type="pct"/>
            <w:tcBorders>
              <w:top w:val="single" w:sz="8" w:space="0" w:color="00CCFF"/>
              <w:left w:val="single" w:sz="8" w:space="0" w:color="00CCFF"/>
              <w:bottom w:val="single" w:sz="8" w:space="0" w:color="00CCFF"/>
              <w:right w:val="single" w:sz="8" w:space="0" w:color="00CCFF"/>
            </w:tcBorders>
            <w:tcMar>
              <w:top w:w="113" w:type="dxa"/>
              <w:left w:w="0" w:type="dxa"/>
              <w:bottom w:w="113" w:type="dxa"/>
              <w:right w:w="0" w:type="dxa"/>
            </w:tcMar>
            <w:hideMark/>
          </w:tcPr>
          <w:p w:rsidR="00321C47" w:rsidRDefault="00321C47" w:rsidP="00321C47">
            <w:pPr>
              <w:pStyle w:val="Tabletextnon-bold"/>
              <w:spacing w:after="0"/>
              <w:ind w:left="0"/>
            </w:pPr>
            <w:r>
              <w:t>Business representative organisation/trade body</w:t>
            </w:r>
          </w:p>
        </w:tc>
      </w:tr>
      <w:tr w:rsidR="00321C47" w:rsidTr="00321C47">
        <w:trPr>
          <w:trHeight w:val="227"/>
        </w:trPr>
        <w:tc>
          <w:tcPr>
            <w:tcW w:w="636" w:type="pct"/>
            <w:tcBorders>
              <w:top w:val="single" w:sz="8" w:space="0" w:color="00CCFF"/>
              <w:left w:val="single" w:sz="8" w:space="0" w:color="00CCFF"/>
              <w:bottom w:val="single" w:sz="8" w:space="0" w:color="00CCFF"/>
              <w:right w:val="single" w:sz="8" w:space="0" w:color="00CCFF"/>
            </w:tcBorders>
            <w:tcMar>
              <w:top w:w="113" w:type="dxa"/>
              <w:left w:w="0" w:type="dxa"/>
              <w:bottom w:w="113" w:type="dxa"/>
              <w:right w:w="0" w:type="dxa"/>
            </w:tcMar>
          </w:tcPr>
          <w:p w:rsidR="00321C47" w:rsidRDefault="00321C47" w:rsidP="00321C47">
            <w:pPr>
              <w:pStyle w:val="TableText"/>
              <w:spacing w:after="0"/>
              <w:ind w:left="0"/>
            </w:pPr>
            <w:permStart w:id="1429623324" w:edGrp="everyone" w:colFirst="0" w:colLast="0"/>
            <w:permStart w:id="1024015902" w:edGrp="everyone" w:colFirst="1" w:colLast="1"/>
            <w:permStart w:id="764690520" w:edGrp="everyone" w:colFirst="2" w:colLast="2"/>
            <w:permEnd w:id="732704591"/>
            <w:permEnd w:id="1064514017"/>
            <w:permEnd w:id="1046113108"/>
          </w:p>
        </w:tc>
        <w:tc>
          <w:tcPr>
            <w:tcW w:w="4364" w:type="pct"/>
            <w:tcBorders>
              <w:top w:val="single" w:sz="8" w:space="0" w:color="00CCFF"/>
              <w:left w:val="single" w:sz="8" w:space="0" w:color="00CCFF"/>
              <w:bottom w:val="single" w:sz="8" w:space="0" w:color="00CCFF"/>
              <w:right w:val="single" w:sz="8" w:space="0" w:color="00CCFF"/>
            </w:tcBorders>
            <w:tcMar>
              <w:top w:w="113" w:type="dxa"/>
              <w:left w:w="0" w:type="dxa"/>
              <w:bottom w:w="113" w:type="dxa"/>
              <w:right w:w="0" w:type="dxa"/>
            </w:tcMar>
            <w:hideMark/>
          </w:tcPr>
          <w:p w:rsidR="00321C47" w:rsidRDefault="00321C47" w:rsidP="00321C47">
            <w:pPr>
              <w:pStyle w:val="Tabletextnon-bold"/>
              <w:spacing w:after="0"/>
              <w:ind w:left="0"/>
            </w:pPr>
            <w:r>
              <w:t>Central government</w:t>
            </w:r>
          </w:p>
        </w:tc>
      </w:tr>
      <w:tr w:rsidR="00321C47" w:rsidTr="00321C47">
        <w:trPr>
          <w:trHeight w:val="227"/>
        </w:trPr>
        <w:tc>
          <w:tcPr>
            <w:tcW w:w="636" w:type="pct"/>
            <w:tcBorders>
              <w:top w:val="single" w:sz="8" w:space="0" w:color="00CCFF"/>
              <w:left w:val="single" w:sz="8" w:space="0" w:color="00CCFF"/>
              <w:bottom w:val="single" w:sz="8" w:space="0" w:color="00CCFF"/>
              <w:right w:val="single" w:sz="8" w:space="0" w:color="00CCFF"/>
            </w:tcBorders>
            <w:tcMar>
              <w:top w:w="113" w:type="dxa"/>
              <w:left w:w="0" w:type="dxa"/>
              <w:bottom w:w="113" w:type="dxa"/>
              <w:right w:w="0" w:type="dxa"/>
            </w:tcMar>
          </w:tcPr>
          <w:p w:rsidR="00321C47" w:rsidRDefault="00321C47" w:rsidP="00321C47">
            <w:pPr>
              <w:pStyle w:val="TableText"/>
              <w:spacing w:after="0"/>
              <w:ind w:left="0"/>
            </w:pPr>
            <w:permStart w:id="1243952716" w:edGrp="everyone" w:colFirst="0" w:colLast="0"/>
            <w:permStart w:id="1326719566" w:edGrp="everyone" w:colFirst="1" w:colLast="1"/>
            <w:permStart w:id="2032339731" w:edGrp="everyone" w:colFirst="2" w:colLast="2"/>
            <w:permEnd w:id="1429623324"/>
            <w:permEnd w:id="1024015902"/>
            <w:permEnd w:id="764690520"/>
          </w:p>
        </w:tc>
        <w:tc>
          <w:tcPr>
            <w:tcW w:w="4364" w:type="pct"/>
            <w:tcBorders>
              <w:top w:val="single" w:sz="8" w:space="0" w:color="00CCFF"/>
              <w:left w:val="single" w:sz="8" w:space="0" w:color="00CCFF"/>
              <w:bottom w:val="single" w:sz="8" w:space="0" w:color="00CCFF"/>
              <w:right w:val="single" w:sz="8" w:space="0" w:color="00CCFF"/>
            </w:tcBorders>
            <w:tcMar>
              <w:top w:w="113" w:type="dxa"/>
              <w:left w:w="0" w:type="dxa"/>
              <w:bottom w:w="113" w:type="dxa"/>
              <w:right w:w="0" w:type="dxa"/>
            </w:tcMar>
            <w:hideMark/>
          </w:tcPr>
          <w:p w:rsidR="00321C47" w:rsidRDefault="00321C47" w:rsidP="00321C47">
            <w:pPr>
              <w:pStyle w:val="Tabletextnon-bold"/>
              <w:spacing w:after="0"/>
              <w:ind w:left="0"/>
            </w:pPr>
            <w:r>
              <w:t>Charity or social enterprise</w:t>
            </w:r>
          </w:p>
        </w:tc>
      </w:tr>
      <w:tr w:rsidR="00321C47" w:rsidTr="00321C47">
        <w:trPr>
          <w:trHeight w:val="227"/>
        </w:trPr>
        <w:tc>
          <w:tcPr>
            <w:tcW w:w="636" w:type="pct"/>
            <w:tcBorders>
              <w:top w:val="single" w:sz="8" w:space="0" w:color="00CCFF"/>
              <w:left w:val="single" w:sz="8" w:space="0" w:color="00CCFF"/>
              <w:bottom w:val="single" w:sz="8" w:space="0" w:color="00CCFF"/>
              <w:right w:val="single" w:sz="8" w:space="0" w:color="00CCFF"/>
            </w:tcBorders>
            <w:tcMar>
              <w:top w:w="113" w:type="dxa"/>
              <w:left w:w="0" w:type="dxa"/>
              <w:bottom w:w="113" w:type="dxa"/>
              <w:right w:w="0" w:type="dxa"/>
            </w:tcMar>
          </w:tcPr>
          <w:p w:rsidR="00321C47" w:rsidRDefault="00321C47" w:rsidP="00321C47">
            <w:pPr>
              <w:pStyle w:val="TableText"/>
              <w:spacing w:after="0"/>
              <w:ind w:left="0"/>
            </w:pPr>
            <w:permStart w:id="1987969663" w:edGrp="everyone" w:colFirst="0" w:colLast="0"/>
            <w:permStart w:id="1008542336" w:edGrp="everyone" w:colFirst="1" w:colLast="1"/>
            <w:permStart w:id="229600520" w:edGrp="everyone" w:colFirst="2" w:colLast="2"/>
            <w:permEnd w:id="1243952716"/>
            <w:permEnd w:id="1326719566"/>
            <w:permEnd w:id="2032339731"/>
          </w:p>
        </w:tc>
        <w:tc>
          <w:tcPr>
            <w:tcW w:w="4364" w:type="pct"/>
            <w:tcBorders>
              <w:top w:val="single" w:sz="8" w:space="0" w:color="00CCFF"/>
              <w:left w:val="single" w:sz="8" w:space="0" w:color="00CCFF"/>
              <w:bottom w:val="single" w:sz="8" w:space="0" w:color="00CCFF"/>
              <w:right w:val="single" w:sz="8" w:space="0" w:color="00CCFF"/>
            </w:tcBorders>
            <w:tcMar>
              <w:top w:w="113" w:type="dxa"/>
              <w:left w:w="0" w:type="dxa"/>
              <w:bottom w:w="113" w:type="dxa"/>
              <w:right w:w="0" w:type="dxa"/>
            </w:tcMar>
            <w:hideMark/>
          </w:tcPr>
          <w:p w:rsidR="00321C47" w:rsidRDefault="00321C47" w:rsidP="00321C47">
            <w:pPr>
              <w:pStyle w:val="Tabletextnon-bold"/>
              <w:spacing w:after="0"/>
              <w:ind w:left="0"/>
            </w:pPr>
            <w:r>
              <w:t>Individual</w:t>
            </w:r>
          </w:p>
        </w:tc>
      </w:tr>
      <w:tr w:rsidR="00321C47" w:rsidTr="00321C47">
        <w:trPr>
          <w:trHeight w:val="227"/>
        </w:trPr>
        <w:tc>
          <w:tcPr>
            <w:tcW w:w="636" w:type="pct"/>
            <w:tcBorders>
              <w:top w:val="single" w:sz="8" w:space="0" w:color="00CCFF"/>
              <w:left w:val="single" w:sz="8" w:space="0" w:color="00CCFF"/>
              <w:bottom w:val="single" w:sz="8" w:space="0" w:color="00CCFF"/>
              <w:right w:val="single" w:sz="8" w:space="0" w:color="00CCFF"/>
            </w:tcBorders>
            <w:tcMar>
              <w:top w:w="113" w:type="dxa"/>
              <w:left w:w="0" w:type="dxa"/>
              <w:bottom w:w="113" w:type="dxa"/>
              <w:right w:w="0" w:type="dxa"/>
            </w:tcMar>
          </w:tcPr>
          <w:p w:rsidR="00321C47" w:rsidRDefault="00321C47" w:rsidP="00321C47">
            <w:pPr>
              <w:pStyle w:val="TableText"/>
              <w:spacing w:after="0"/>
              <w:ind w:left="0"/>
            </w:pPr>
            <w:permStart w:id="128920321" w:edGrp="everyone" w:colFirst="0" w:colLast="0"/>
            <w:permStart w:id="581922407" w:edGrp="everyone" w:colFirst="1" w:colLast="1"/>
            <w:permStart w:id="1572100631" w:edGrp="everyone" w:colFirst="2" w:colLast="2"/>
            <w:permEnd w:id="1987969663"/>
            <w:permEnd w:id="1008542336"/>
            <w:permEnd w:id="229600520"/>
          </w:p>
        </w:tc>
        <w:tc>
          <w:tcPr>
            <w:tcW w:w="4364" w:type="pct"/>
            <w:tcBorders>
              <w:top w:val="single" w:sz="8" w:space="0" w:color="00CCFF"/>
              <w:left w:val="single" w:sz="8" w:space="0" w:color="00CCFF"/>
              <w:bottom w:val="single" w:sz="8" w:space="0" w:color="00CCFF"/>
              <w:right w:val="single" w:sz="8" w:space="0" w:color="00CCFF"/>
            </w:tcBorders>
            <w:tcMar>
              <w:top w:w="113" w:type="dxa"/>
              <w:left w:w="0" w:type="dxa"/>
              <w:bottom w:w="113" w:type="dxa"/>
              <w:right w:w="0" w:type="dxa"/>
            </w:tcMar>
            <w:hideMark/>
          </w:tcPr>
          <w:p w:rsidR="00321C47" w:rsidRDefault="00321C47" w:rsidP="00321C47">
            <w:pPr>
              <w:pStyle w:val="Tabletextnon-bold"/>
              <w:spacing w:after="0"/>
              <w:ind w:left="0"/>
            </w:pPr>
            <w:r>
              <w:t>Large business (over 250 staff)</w:t>
            </w:r>
          </w:p>
        </w:tc>
      </w:tr>
      <w:tr w:rsidR="00321C47" w:rsidTr="00321C47">
        <w:trPr>
          <w:trHeight w:val="227"/>
        </w:trPr>
        <w:tc>
          <w:tcPr>
            <w:tcW w:w="636" w:type="pct"/>
            <w:tcBorders>
              <w:top w:val="single" w:sz="8" w:space="0" w:color="00CCFF"/>
              <w:left w:val="single" w:sz="8" w:space="0" w:color="00CCFF"/>
              <w:bottom w:val="single" w:sz="8" w:space="0" w:color="00CCFF"/>
              <w:right w:val="single" w:sz="8" w:space="0" w:color="00CCFF"/>
            </w:tcBorders>
            <w:tcMar>
              <w:top w:w="113" w:type="dxa"/>
              <w:left w:w="0" w:type="dxa"/>
              <w:bottom w:w="113" w:type="dxa"/>
              <w:right w:w="0" w:type="dxa"/>
            </w:tcMar>
          </w:tcPr>
          <w:p w:rsidR="00321C47" w:rsidRDefault="00321C47" w:rsidP="00321C47">
            <w:pPr>
              <w:pStyle w:val="TableText"/>
              <w:spacing w:after="0"/>
              <w:ind w:left="0"/>
            </w:pPr>
            <w:permStart w:id="1518143393" w:edGrp="everyone" w:colFirst="0" w:colLast="0"/>
            <w:permStart w:id="862331883" w:edGrp="everyone" w:colFirst="1" w:colLast="1"/>
            <w:permStart w:id="410458433" w:edGrp="everyone" w:colFirst="2" w:colLast="2"/>
            <w:permEnd w:id="128920321"/>
            <w:permEnd w:id="581922407"/>
            <w:permEnd w:id="1572100631"/>
          </w:p>
        </w:tc>
        <w:tc>
          <w:tcPr>
            <w:tcW w:w="4364" w:type="pct"/>
            <w:tcBorders>
              <w:top w:val="single" w:sz="8" w:space="0" w:color="00CCFF"/>
              <w:left w:val="single" w:sz="8" w:space="0" w:color="00CCFF"/>
              <w:bottom w:val="single" w:sz="8" w:space="0" w:color="00CCFF"/>
              <w:right w:val="single" w:sz="8" w:space="0" w:color="00CCFF"/>
            </w:tcBorders>
            <w:tcMar>
              <w:top w:w="113" w:type="dxa"/>
              <w:left w:w="0" w:type="dxa"/>
              <w:bottom w:w="113" w:type="dxa"/>
              <w:right w:w="0" w:type="dxa"/>
            </w:tcMar>
            <w:hideMark/>
          </w:tcPr>
          <w:p w:rsidR="00321C47" w:rsidRDefault="00321C47" w:rsidP="00321C47">
            <w:pPr>
              <w:pStyle w:val="Tabletextnon-bold"/>
              <w:spacing w:after="0"/>
              <w:ind w:left="0"/>
            </w:pPr>
            <w:r>
              <w:t>Legal representative</w:t>
            </w:r>
          </w:p>
        </w:tc>
      </w:tr>
      <w:tr w:rsidR="00321C47" w:rsidTr="00321C47">
        <w:trPr>
          <w:trHeight w:val="227"/>
        </w:trPr>
        <w:tc>
          <w:tcPr>
            <w:tcW w:w="636" w:type="pct"/>
            <w:tcBorders>
              <w:top w:val="single" w:sz="8" w:space="0" w:color="00CCFF"/>
              <w:left w:val="single" w:sz="8" w:space="0" w:color="00CCFF"/>
              <w:bottom w:val="single" w:sz="8" w:space="0" w:color="00CCFF"/>
              <w:right w:val="single" w:sz="8" w:space="0" w:color="00CCFF"/>
            </w:tcBorders>
            <w:tcMar>
              <w:top w:w="113" w:type="dxa"/>
              <w:left w:w="0" w:type="dxa"/>
              <w:bottom w:w="113" w:type="dxa"/>
              <w:right w:w="0" w:type="dxa"/>
            </w:tcMar>
          </w:tcPr>
          <w:p w:rsidR="00321C47" w:rsidRDefault="00321C47" w:rsidP="00321C47">
            <w:pPr>
              <w:pStyle w:val="TableText"/>
              <w:spacing w:after="0"/>
              <w:ind w:left="0"/>
            </w:pPr>
            <w:permStart w:id="2041139131" w:edGrp="everyone" w:colFirst="0" w:colLast="0"/>
            <w:permStart w:id="1017515340" w:edGrp="everyone" w:colFirst="1" w:colLast="1"/>
            <w:permStart w:id="1826252542" w:edGrp="everyone" w:colFirst="2" w:colLast="2"/>
            <w:permEnd w:id="1518143393"/>
            <w:permEnd w:id="862331883"/>
            <w:permEnd w:id="410458433"/>
          </w:p>
        </w:tc>
        <w:tc>
          <w:tcPr>
            <w:tcW w:w="4364" w:type="pct"/>
            <w:tcBorders>
              <w:top w:val="single" w:sz="8" w:space="0" w:color="00CCFF"/>
              <w:left w:val="single" w:sz="8" w:space="0" w:color="00CCFF"/>
              <w:bottom w:val="single" w:sz="8" w:space="0" w:color="00CCFF"/>
              <w:right w:val="single" w:sz="8" w:space="0" w:color="00CCFF"/>
            </w:tcBorders>
            <w:tcMar>
              <w:top w:w="113" w:type="dxa"/>
              <w:left w:w="0" w:type="dxa"/>
              <w:bottom w:w="113" w:type="dxa"/>
              <w:right w:w="0" w:type="dxa"/>
            </w:tcMar>
            <w:hideMark/>
          </w:tcPr>
          <w:p w:rsidR="00321C47" w:rsidRDefault="00321C47" w:rsidP="00321C47">
            <w:pPr>
              <w:pStyle w:val="Tabletextnon-bold"/>
              <w:spacing w:after="0"/>
              <w:ind w:left="0"/>
            </w:pPr>
            <w:r>
              <w:t>Local Government</w:t>
            </w:r>
          </w:p>
        </w:tc>
      </w:tr>
      <w:tr w:rsidR="00321C47" w:rsidTr="00321C47">
        <w:trPr>
          <w:trHeight w:val="227"/>
        </w:trPr>
        <w:tc>
          <w:tcPr>
            <w:tcW w:w="636" w:type="pct"/>
            <w:tcBorders>
              <w:top w:val="single" w:sz="8" w:space="0" w:color="00CCFF"/>
              <w:left w:val="single" w:sz="8" w:space="0" w:color="00CCFF"/>
              <w:bottom w:val="single" w:sz="8" w:space="0" w:color="00CCFF"/>
              <w:right w:val="single" w:sz="8" w:space="0" w:color="00CCFF"/>
            </w:tcBorders>
            <w:tcMar>
              <w:top w:w="113" w:type="dxa"/>
              <w:left w:w="0" w:type="dxa"/>
              <w:bottom w:w="113" w:type="dxa"/>
              <w:right w:w="0" w:type="dxa"/>
            </w:tcMar>
          </w:tcPr>
          <w:p w:rsidR="00321C47" w:rsidRDefault="00321C47" w:rsidP="00321C47">
            <w:pPr>
              <w:pStyle w:val="TableText"/>
              <w:spacing w:after="0"/>
              <w:ind w:left="0"/>
            </w:pPr>
            <w:permStart w:id="434124133" w:edGrp="everyone" w:colFirst="0" w:colLast="0"/>
            <w:permStart w:id="1560895860" w:edGrp="everyone" w:colFirst="1" w:colLast="1"/>
            <w:permStart w:id="330324351" w:edGrp="everyone" w:colFirst="2" w:colLast="2"/>
            <w:permEnd w:id="2041139131"/>
            <w:permEnd w:id="1017515340"/>
            <w:permEnd w:id="1826252542"/>
          </w:p>
        </w:tc>
        <w:tc>
          <w:tcPr>
            <w:tcW w:w="4364" w:type="pct"/>
            <w:tcBorders>
              <w:top w:val="single" w:sz="8" w:space="0" w:color="00CCFF"/>
              <w:left w:val="single" w:sz="8" w:space="0" w:color="00CCFF"/>
              <w:bottom w:val="single" w:sz="8" w:space="0" w:color="00CCFF"/>
              <w:right w:val="single" w:sz="8" w:space="0" w:color="00CCFF"/>
            </w:tcBorders>
            <w:tcMar>
              <w:top w:w="113" w:type="dxa"/>
              <w:left w:w="0" w:type="dxa"/>
              <w:bottom w:w="113" w:type="dxa"/>
              <w:right w:w="0" w:type="dxa"/>
            </w:tcMar>
            <w:hideMark/>
          </w:tcPr>
          <w:p w:rsidR="00321C47" w:rsidRDefault="00321C47" w:rsidP="00321C47">
            <w:pPr>
              <w:pStyle w:val="Tabletextnon-bold"/>
              <w:spacing w:after="0"/>
              <w:ind w:left="0"/>
            </w:pPr>
            <w:r>
              <w:t>Medium business (50 to 250 staff)</w:t>
            </w:r>
          </w:p>
        </w:tc>
      </w:tr>
      <w:tr w:rsidR="00321C47" w:rsidTr="00321C47">
        <w:trPr>
          <w:trHeight w:val="227"/>
        </w:trPr>
        <w:tc>
          <w:tcPr>
            <w:tcW w:w="636" w:type="pct"/>
            <w:tcBorders>
              <w:top w:val="single" w:sz="8" w:space="0" w:color="00CCFF"/>
              <w:left w:val="single" w:sz="8" w:space="0" w:color="00CCFF"/>
              <w:bottom w:val="single" w:sz="8" w:space="0" w:color="00CCFF"/>
              <w:right w:val="single" w:sz="8" w:space="0" w:color="00CCFF"/>
            </w:tcBorders>
            <w:tcMar>
              <w:top w:w="113" w:type="dxa"/>
              <w:left w:w="0" w:type="dxa"/>
              <w:bottom w:w="113" w:type="dxa"/>
              <w:right w:w="0" w:type="dxa"/>
            </w:tcMar>
          </w:tcPr>
          <w:p w:rsidR="00321C47" w:rsidRDefault="00321C47" w:rsidP="00321C47">
            <w:pPr>
              <w:pStyle w:val="TableText"/>
              <w:spacing w:after="0"/>
              <w:ind w:left="0"/>
            </w:pPr>
            <w:permStart w:id="2021882567" w:edGrp="everyone" w:colFirst="0" w:colLast="0"/>
            <w:permStart w:id="1334971944" w:edGrp="everyone" w:colFirst="1" w:colLast="1"/>
            <w:permStart w:id="1313624171" w:edGrp="everyone" w:colFirst="2" w:colLast="2"/>
            <w:permEnd w:id="434124133"/>
            <w:permEnd w:id="1560895860"/>
            <w:permEnd w:id="330324351"/>
          </w:p>
        </w:tc>
        <w:tc>
          <w:tcPr>
            <w:tcW w:w="4364" w:type="pct"/>
            <w:tcBorders>
              <w:top w:val="single" w:sz="8" w:space="0" w:color="00CCFF"/>
              <w:left w:val="single" w:sz="8" w:space="0" w:color="00CCFF"/>
              <w:bottom w:val="single" w:sz="8" w:space="0" w:color="00CCFF"/>
              <w:right w:val="single" w:sz="8" w:space="0" w:color="00CCFF"/>
            </w:tcBorders>
            <w:tcMar>
              <w:top w:w="113" w:type="dxa"/>
              <w:left w:w="0" w:type="dxa"/>
              <w:bottom w:w="113" w:type="dxa"/>
              <w:right w:w="0" w:type="dxa"/>
            </w:tcMar>
            <w:hideMark/>
          </w:tcPr>
          <w:p w:rsidR="00321C47" w:rsidRDefault="00321C47" w:rsidP="00321C47">
            <w:pPr>
              <w:pStyle w:val="Tabletextnon-bold"/>
              <w:spacing w:after="0"/>
              <w:ind w:left="0"/>
            </w:pPr>
            <w:r>
              <w:t>Micro business (up to 9 staff)</w:t>
            </w:r>
          </w:p>
        </w:tc>
      </w:tr>
      <w:tr w:rsidR="00321C47" w:rsidTr="00321C47">
        <w:trPr>
          <w:trHeight w:val="227"/>
        </w:trPr>
        <w:tc>
          <w:tcPr>
            <w:tcW w:w="636" w:type="pct"/>
            <w:tcBorders>
              <w:top w:val="single" w:sz="8" w:space="0" w:color="00CCFF"/>
              <w:left w:val="single" w:sz="8" w:space="0" w:color="00CCFF"/>
              <w:bottom w:val="single" w:sz="8" w:space="0" w:color="00CCFF"/>
              <w:right w:val="single" w:sz="8" w:space="0" w:color="00CCFF"/>
            </w:tcBorders>
            <w:tcMar>
              <w:top w:w="113" w:type="dxa"/>
              <w:left w:w="0" w:type="dxa"/>
              <w:bottom w:w="113" w:type="dxa"/>
              <w:right w:w="0" w:type="dxa"/>
            </w:tcMar>
          </w:tcPr>
          <w:p w:rsidR="00321C47" w:rsidRDefault="00321C47" w:rsidP="00321C47">
            <w:pPr>
              <w:pStyle w:val="TableText"/>
              <w:spacing w:after="0"/>
              <w:ind w:left="0"/>
            </w:pPr>
            <w:permStart w:id="1687556706" w:edGrp="everyone" w:colFirst="0" w:colLast="0"/>
            <w:permStart w:id="1689855417" w:edGrp="everyone" w:colFirst="1" w:colLast="1"/>
            <w:permStart w:id="303586690" w:edGrp="everyone" w:colFirst="2" w:colLast="2"/>
            <w:permEnd w:id="2021882567"/>
            <w:permEnd w:id="1334971944"/>
            <w:permEnd w:id="1313624171"/>
          </w:p>
        </w:tc>
        <w:tc>
          <w:tcPr>
            <w:tcW w:w="4364" w:type="pct"/>
            <w:tcBorders>
              <w:top w:val="single" w:sz="8" w:space="0" w:color="00CCFF"/>
              <w:left w:val="single" w:sz="8" w:space="0" w:color="00CCFF"/>
              <w:bottom w:val="single" w:sz="8" w:space="0" w:color="00CCFF"/>
              <w:right w:val="single" w:sz="8" w:space="0" w:color="00CCFF"/>
            </w:tcBorders>
            <w:tcMar>
              <w:top w:w="113" w:type="dxa"/>
              <w:left w:w="0" w:type="dxa"/>
              <w:bottom w:w="113" w:type="dxa"/>
              <w:right w:w="0" w:type="dxa"/>
            </w:tcMar>
            <w:hideMark/>
          </w:tcPr>
          <w:p w:rsidR="00321C47" w:rsidRDefault="00321C47" w:rsidP="00321C47">
            <w:pPr>
              <w:pStyle w:val="Tabletextnon-bold"/>
              <w:spacing w:after="0"/>
              <w:ind w:left="0"/>
            </w:pPr>
            <w:r>
              <w:t>Small business (10 to 49 staff)</w:t>
            </w:r>
          </w:p>
        </w:tc>
      </w:tr>
      <w:tr w:rsidR="00321C47" w:rsidTr="00321C47">
        <w:trPr>
          <w:trHeight w:val="227"/>
        </w:trPr>
        <w:tc>
          <w:tcPr>
            <w:tcW w:w="636" w:type="pct"/>
            <w:tcBorders>
              <w:top w:val="single" w:sz="8" w:space="0" w:color="00CCFF"/>
              <w:left w:val="single" w:sz="8" w:space="0" w:color="00CCFF"/>
              <w:bottom w:val="single" w:sz="8" w:space="0" w:color="00CCFF"/>
              <w:right w:val="single" w:sz="8" w:space="0" w:color="00CCFF"/>
            </w:tcBorders>
            <w:tcMar>
              <w:top w:w="113" w:type="dxa"/>
              <w:left w:w="0" w:type="dxa"/>
              <w:bottom w:w="113" w:type="dxa"/>
              <w:right w:w="0" w:type="dxa"/>
            </w:tcMar>
          </w:tcPr>
          <w:p w:rsidR="00321C47" w:rsidRDefault="00321C47" w:rsidP="00321C47">
            <w:pPr>
              <w:pStyle w:val="TableText"/>
              <w:spacing w:after="0"/>
              <w:ind w:left="0"/>
            </w:pPr>
            <w:permStart w:id="1138705614" w:edGrp="everyone" w:colFirst="0" w:colLast="0"/>
            <w:permStart w:id="1720522208" w:edGrp="everyone" w:colFirst="1" w:colLast="1"/>
            <w:permStart w:id="131075249" w:edGrp="everyone" w:colFirst="2" w:colLast="2"/>
            <w:permEnd w:id="1687556706"/>
            <w:permEnd w:id="1689855417"/>
            <w:permEnd w:id="303586690"/>
          </w:p>
        </w:tc>
        <w:tc>
          <w:tcPr>
            <w:tcW w:w="4364" w:type="pct"/>
            <w:tcBorders>
              <w:top w:val="single" w:sz="8" w:space="0" w:color="00CCFF"/>
              <w:left w:val="single" w:sz="8" w:space="0" w:color="00CCFF"/>
              <w:bottom w:val="single" w:sz="8" w:space="0" w:color="00CCFF"/>
              <w:right w:val="single" w:sz="8" w:space="0" w:color="00CCFF"/>
            </w:tcBorders>
            <w:tcMar>
              <w:top w:w="113" w:type="dxa"/>
              <w:left w:w="0" w:type="dxa"/>
              <w:bottom w:w="113" w:type="dxa"/>
              <w:right w:w="0" w:type="dxa"/>
            </w:tcMar>
            <w:hideMark/>
          </w:tcPr>
          <w:p w:rsidR="00321C47" w:rsidRDefault="00321C47" w:rsidP="00321C47">
            <w:pPr>
              <w:pStyle w:val="Tabletextnon-bold"/>
              <w:spacing w:after="0"/>
              <w:ind w:left="0"/>
            </w:pPr>
            <w:r>
              <w:t>Trade union or staff association</w:t>
            </w:r>
          </w:p>
        </w:tc>
      </w:tr>
      <w:tr w:rsidR="00321C47" w:rsidTr="00321C47">
        <w:trPr>
          <w:trHeight w:val="227"/>
        </w:trPr>
        <w:tc>
          <w:tcPr>
            <w:tcW w:w="636" w:type="pct"/>
            <w:tcBorders>
              <w:top w:val="single" w:sz="8" w:space="0" w:color="00CCFF"/>
              <w:left w:val="single" w:sz="8" w:space="0" w:color="00CCFF"/>
              <w:bottom w:val="single" w:sz="8" w:space="0" w:color="00CCFF"/>
              <w:right w:val="single" w:sz="8" w:space="0" w:color="00CCFF"/>
            </w:tcBorders>
            <w:tcMar>
              <w:top w:w="113" w:type="dxa"/>
              <w:left w:w="0" w:type="dxa"/>
              <w:bottom w:w="113" w:type="dxa"/>
              <w:right w:w="0" w:type="dxa"/>
            </w:tcMar>
          </w:tcPr>
          <w:p w:rsidR="00321C47" w:rsidRDefault="00321C47" w:rsidP="00321C47">
            <w:pPr>
              <w:pStyle w:val="TableText"/>
              <w:spacing w:after="0"/>
              <w:ind w:left="0"/>
            </w:pPr>
            <w:permStart w:id="801076442" w:edGrp="everyone" w:colFirst="0" w:colLast="0"/>
            <w:permStart w:id="1794207804" w:edGrp="everyone" w:colFirst="1" w:colLast="1"/>
            <w:permStart w:id="710633266" w:edGrp="everyone" w:colFirst="2" w:colLast="2"/>
            <w:permEnd w:id="1138705614"/>
            <w:permEnd w:id="1720522208"/>
            <w:permEnd w:id="131075249"/>
          </w:p>
        </w:tc>
        <w:tc>
          <w:tcPr>
            <w:tcW w:w="4364" w:type="pct"/>
            <w:tcBorders>
              <w:top w:val="single" w:sz="8" w:space="0" w:color="00CCFF"/>
              <w:left w:val="single" w:sz="8" w:space="0" w:color="00CCFF"/>
              <w:bottom w:val="single" w:sz="8" w:space="0" w:color="00CCFF"/>
              <w:right w:val="single" w:sz="8" w:space="0" w:color="00CCFF"/>
            </w:tcBorders>
            <w:tcMar>
              <w:top w:w="113" w:type="dxa"/>
              <w:left w:w="0" w:type="dxa"/>
              <w:bottom w:w="113" w:type="dxa"/>
              <w:right w:w="0" w:type="dxa"/>
            </w:tcMar>
            <w:hideMark/>
          </w:tcPr>
          <w:p w:rsidR="00321C47" w:rsidRDefault="00321C47" w:rsidP="00321C47">
            <w:pPr>
              <w:pStyle w:val="Tabletextnon-bold"/>
              <w:spacing w:after="0"/>
              <w:ind w:left="0"/>
            </w:pPr>
            <w:r>
              <w:t>Other (please describe)</w:t>
            </w:r>
            <w:r w:rsidR="00C85DBA">
              <w:t>:</w:t>
            </w:r>
          </w:p>
        </w:tc>
      </w:tr>
      <w:permEnd w:id="801076442"/>
      <w:permEnd w:id="1794207804"/>
      <w:permEnd w:id="710633266"/>
    </w:tbl>
    <w:p w:rsidR="00321C47" w:rsidRDefault="00321C47" w:rsidP="00321C47">
      <w:pPr>
        <w:ind w:left="0"/>
      </w:pPr>
    </w:p>
    <w:p w:rsidR="00321C47" w:rsidRDefault="00321C47" w:rsidP="00321C47">
      <w:pPr>
        <w:ind w:left="0"/>
      </w:pPr>
      <w:r>
        <w:t>Please note: in addition to the consultation questions below, we would be very grateful if you could also answer the questions from the Impact Assessment which follow them.</w:t>
      </w:r>
    </w:p>
    <w:p w:rsidR="00321C47" w:rsidRDefault="00C85DBA" w:rsidP="00321C47">
      <w:pPr>
        <w:ind w:left="0"/>
      </w:pPr>
      <w:r w:rsidRPr="00C85DBA">
        <w:rPr>
          <w:u w:val="single"/>
        </w:rPr>
        <w:t>C</w:t>
      </w:r>
      <w:r w:rsidR="00321C47" w:rsidRPr="00C85DBA">
        <w:rPr>
          <w:u w:val="single"/>
        </w:rPr>
        <w:t>onsultation questions</w:t>
      </w:r>
      <w:r w:rsidR="00321C47">
        <w:t>:</w:t>
      </w:r>
    </w:p>
    <w:p w:rsidR="00321C47" w:rsidRDefault="00321C47" w:rsidP="00321C47">
      <w:pPr>
        <w:pStyle w:val="Heading3"/>
        <w:ind w:left="0"/>
        <w:jc w:val="both"/>
      </w:pPr>
      <w:bookmarkStart w:id="100" w:name="_Toc337743655"/>
      <w:r>
        <w:t>Question 1</w:t>
      </w:r>
      <w:bookmarkEnd w:id="100"/>
      <w:r>
        <w:t>: Do you think this proposal will achieve its aims of: help</w:t>
      </w:r>
      <w:r w:rsidR="002811B6">
        <w:t>ing to</w:t>
      </w:r>
      <w:r>
        <w:t xml:space="preserve"> make UK furniture greener, save money to industry and mak</w:t>
      </w:r>
      <w:r w:rsidR="002811B6">
        <w:t>ing</w:t>
      </w:r>
      <w:r>
        <w:t xml:space="preserve"> UK furniture more fire safe?</w:t>
      </w:r>
    </w:p>
    <w:p w:rsidR="00321C47" w:rsidRDefault="00321C47" w:rsidP="00321C47">
      <w:pPr>
        <w:ind w:left="0"/>
      </w:pPr>
      <w:permStart w:id="719332341" w:edGrp="everyone"/>
      <w:r>
        <w:t xml:space="preserve">Comments: </w:t>
      </w:r>
    </w:p>
    <w:p w:rsidR="00321C47" w:rsidRDefault="00321C47" w:rsidP="00321C47">
      <w:pPr>
        <w:ind w:left="0"/>
      </w:pPr>
    </w:p>
    <w:p w:rsidR="00321C47" w:rsidRDefault="00321C47" w:rsidP="00321C47">
      <w:pPr>
        <w:ind w:left="0"/>
      </w:pPr>
    </w:p>
    <w:p w:rsidR="00321C47" w:rsidRDefault="00321C47" w:rsidP="00321C47">
      <w:pPr>
        <w:pStyle w:val="Heading3"/>
        <w:ind w:left="0"/>
      </w:pPr>
      <w:bookmarkStart w:id="101" w:name="_Toc337743656"/>
      <w:permEnd w:id="719332341"/>
      <w:r>
        <w:t>Questions 2: Do you think that paragraphs 19-2</w:t>
      </w:r>
      <w:r w:rsidR="00C85DBA">
        <w:t>2</w:t>
      </w:r>
      <w:r>
        <w:t xml:space="preserve"> </w:t>
      </w:r>
      <w:bookmarkEnd w:id="101"/>
      <w:r>
        <w:t>accurately set out the need for a change to the current match test?</w:t>
      </w:r>
    </w:p>
    <w:p w:rsidR="00321C47" w:rsidRDefault="00321C47" w:rsidP="00321C47">
      <w:pPr>
        <w:ind w:left="0"/>
      </w:pPr>
      <w:permStart w:id="935005048" w:edGrp="everyone"/>
      <w:r>
        <w:t>A</w:t>
      </w:r>
      <w:r>
        <w:tab/>
      </w:r>
      <w:r>
        <w:tab/>
      </w:r>
      <w:r>
        <w:fldChar w:fldCharType="begin">
          <w:ffData>
            <w:name w:val="Check5"/>
            <w:enabled/>
            <w:calcOnExit w:val="0"/>
            <w:checkBox>
              <w:sizeAuto/>
              <w:default w:val="0"/>
            </w:checkBox>
          </w:ffData>
        </w:fldChar>
      </w:r>
      <w:r>
        <w:instrText xml:space="preserve"> FORMCHECKBOX </w:instrText>
      </w:r>
      <w:r w:rsidR="00E27371">
        <w:fldChar w:fldCharType="separate"/>
      </w:r>
      <w:r>
        <w:fldChar w:fldCharType="end"/>
      </w:r>
      <w:r>
        <w:t xml:space="preserve"> Yes</w:t>
      </w:r>
      <w:r>
        <w:tab/>
      </w:r>
      <w:r>
        <w:tab/>
      </w:r>
      <w:r>
        <w:fldChar w:fldCharType="begin">
          <w:ffData>
            <w:name w:val="Check6"/>
            <w:enabled/>
            <w:calcOnExit w:val="0"/>
            <w:checkBox>
              <w:sizeAuto/>
              <w:default w:val="0"/>
            </w:checkBox>
          </w:ffData>
        </w:fldChar>
      </w:r>
      <w:r>
        <w:instrText xml:space="preserve"> FORMCHECKBOX </w:instrText>
      </w:r>
      <w:r w:rsidR="00E27371">
        <w:fldChar w:fldCharType="separate"/>
      </w:r>
      <w:r>
        <w:fldChar w:fldCharType="end"/>
      </w:r>
      <w:r>
        <w:t xml:space="preserve"> No</w:t>
      </w:r>
      <w:r>
        <w:tab/>
      </w:r>
      <w:r>
        <w:tab/>
      </w:r>
      <w:r>
        <w:tab/>
      </w:r>
      <w:r>
        <w:fldChar w:fldCharType="begin">
          <w:ffData>
            <w:name w:val="Check7"/>
            <w:enabled/>
            <w:calcOnExit w:val="0"/>
            <w:checkBox>
              <w:sizeAuto/>
              <w:default w:val="0"/>
            </w:checkBox>
          </w:ffData>
        </w:fldChar>
      </w:r>
      <w:r>
        <w:instrText xml:space="preserve"> FORMCHECKBOX </w:instrText>
      </w:r>
      <w:r w:rsidR="00E27371">
        <w:fldChar w:fldCharType="separate"/>
      </w:r>
      <w:r>
        <w:fldChar w:fldCharType="end"/>
      </w:r>
      <w:r>
        <w:t xml:space="preserve"> Not sure</w:t>
      </w:r>
    </w:p>
    <w:p w:rsidR="00321C47" w:rsidRDefault="00321C47" w:rsidP="00321C47">
      <w:pPr>
        <w:ind w:left="0"/>
      </w:pPr>
      <w:r>
        <w:t xml:space="preserve">Comments: </w:t>
      </w:r>
    </w:p>
    <w:p w:rsidR="00321C47" w:rsidRDefault="00321C47" w:rsidP="00321C47">
      <w:pPr>
        <w:ind w:left="0"/>
      </w:pPr>
    </w:p>
    <w:p w:rsidR="00321C47" w:rsidRDefault="00321C47" w:rsidP="00321C47">
      <w:pPr>
        <w:ind w:left="0"/>
      </w:pPr>
    </w:p>
    <w:p w:rsidR="00321C47" w:rsidRDefault="00321C47" w:rsidP="00321C47">
      <w:pPr>
        <w:ind w:left="0"/>
      </w:pPr>
    </w:p>
    <w:p w:rsidR="00321C47" w:rsidRPr="00321C47" w:rsidRDefault="00321C47" w:rsidP="00321C47">
      <w:pPr>
        <w:pStyle w:val="Heading3"/>
        <w:ind w:left="0"/>
      </w:pPr>
      <w:bookmarkStart w:id="102" w:name="_Toc337743657"/>
      <w:permEnd w:id="935005048"/>
      <w:r>
        <w:t>Question 3:</w:t>
      </w:r>
      <w:bookmarkEnd w:id="102"/>
      <w:r>
        <w:t xml:space="preserve"> Do you think the proposed changes are viable (paragraphs 23-29)?</w:t>
      </w:r>
    </w:p>
    <w:p w:rsidR="00321C47" w:rsidRDefault="00321C47" w:rsidP="00321C47">
      <w:pPr>
        <w:ind w:left="0"/>
      </w:pPr>
      <w:permStart w:id="1283344693" w:edGrp="everyone"/>
      <w:r>
        <w:t>A</w:t>
      </w:r>
      <w:r>
        <w:tab/>
      </w:r>
      <w:r>
        <w:tab/>
      </w:r>
      <w:r>
        <w:fldChar w:fldCharType="begin">
          <w:ffData>
            <w:name w:val="Check5"/>
            <w:enabled/>
            <w:calcOnExit w:val="0"/>
            <w:checkBox>
              <w:sizeAuto/>
              <w:default w:val="0"/>
            </w:checkBox>
          </w:ffData>
        </w:fldChar>
      </w:r>
      <w:r>
        <w:instrText xml:space="preserve"> FORMCHECKBOX </w:instrText>
      </w:r>
      <w:r w:rsidR="00E27371">
        <w:fldChar w:fldCharType="separate"/>
      </w:r>
      <w:r>
        <w:fldChar w:fldCharType="end"/>
      </w:r>
      <w:r>
        <w:t xml:space="preserve"> Yes</w:t>
      </w:r>
      <w:r>
        <w:tab/>
      </w:r>
      <w:r>
        <w:tab/>
      </w:r>
      <w:r>
        <w:fldChar w:fldCharType="begin">
          <w:ffData>
            <w:name w:val="Check6"/>
            <w:enabled/>
            <w:calcOnExit w:val="0"/>
            <w:checkBox>
              <w:sizeAuto/>
              <w:default w:val="0"/>
            </w:checkBox>
          </w:ffData>
        </w:fldChar>
      </w:r>
      <w:r>
        <w:instrText xml:space="preserve"> FORMCHECKBOX </w:instrText>
      </w:r>
      <w:r w:rsidR="00E27371">
        <w:fldChar w:fldCharType="separate"/>
      </w:r>
      <w:r>
        <w:fldChar w:fldCharType="end"/>
      </w:r>
      <w:r>
        <w:t xml:space="preserve"> No</w:t>
      </w:r>
      <w:r>
        <w:tab/>
      </w:r>
      <w:r>
        <w:tab/>
      </w:r>
      <w:r>
        <w:tab/>
      </w:r>
      <w:r>
        <w:fldChar w:fldCharType="begin">
          <w:ffData>
            <w:name w:val="Check7"/>
            <w:enabled/>
            <w:calcOnExit w:val="0"/>
            <w:checkBox>
              <w:sizeAuto/>
              <w:default w:val="0"/>
            </w:checkBox>
          </w:ffData>
        </w:fldChar>
      </w:r>
      <w:r>
        <w:instrText xml:space="preserve"> FORMCHECKBOX </w:instrText>
      </w:r>
      <w:r w:rsidR="00E27371">
        <w:fldChar w:fldCharType="separate"/>
      </w:r>
      <w:r>
        <w:fldChar w:fldCharType="end"/>
      </w:r>
      <w:r>
        <w:t xml:space="preserve"> Not sure</w:t>
      </w:r>
    </w:p>
    <w:p w:rsidR="00321C47" w:rsidRDefault="00321C47" w:rsidP="00321C47">
      <w:pPr>
        <w:ind w:left="0"/>
      </w:pPr>
      <w:r>
        <w:t xml:space="preserve">Comments: </w:t>
      </w:r>
    </w:p>
    <w:p w:rsidR="00321C47" w:rsidRDefault="00321C47" w:rsidP="00321C47">
      <w:pPr>
        <w:ind w:left="0"/>
      </w:pPr>
    </w:p>
    <w:p w:rsidR="00321C47" w:rsidRDefault="00321C47" w:rsidP="00321C47">
      <w:pPr>
        <w:ind w:left="0"/>
      </w:pPr>
    </w:p>
    <w:p w:rsidR="00321C47" w:rsidRDefault="00321C47" w:rsidP="00321C47">
      <w:pPr>
        <w:ind w:left="0"/>
      </w:pPr>
    </w:p>
    <w:p w:rsidR="00F874C7" w:rsidRDefault="00F874C7">
      <w:pPr>
        <w:spacing w:after="0"/>
        <w:ind w:left="0"/>
        <w:rPr>
          <w:b/>
          <w:bCs/>
          <w:color w:val="009BBB"/>
          <w:sz w:val="26"/>
          <w:szCs w:val="26"/>
        </w:rPr>
      </w:pPr>
      <w:bookmarkStart w:id="103" w:name="_Toc337743658"/>
      <w:r>
        <w:br w:type="page"/>
      </w:r>
    </w:p>
    <w:permEnd w:id="1283344693"/>
    <w:p w:rsidR="00321C47" w:rsidRDefault="00321C47" w:rsidP="00321C47">
      <w:pPr>
        <w:pStyle w:val="Heading3"/>
        <w:ind w:left="0"/>
      </w:pPr>
      <w:r>
        <w:lastRenderedPageBreak/>
        <w:t xml:space="preserve">Question 4: </w:t>
      </w:r>
      <w:bookmarkEnd w:id="103"/>
      <w:r>
        <w:t>What are your views on the inclusion of currently unregulated materials (</w:t>
      </w:r>
      <w:r w:rsidR="007B73A7">
        <w:t>paragraphs</w:t>
      </w:r>
      <w:r>
        <w:t xml:space="preserve"> 27-29)?</w:t>
      </w:r>
    </w:p>
    <w:p w:rsidR="00321C47" w:rsidRDefault="00321C47" w:rsidP="00321C47">
      <w:pPr>
        <w:ind w:left="0"/>
      </w:pPr>
      <w:permStart w:id="188757175" w:edGrp="everyone"/>
      <w:r>
        <w:t xml:space="preserve">Comments: </w:t>
      </w:r>
    </w:p>
    <w:p w:rsidR="00321C47" w:rsidRDefault="00321C47" w:rsidP="00321C47">
      <w:pPr>
        <w:ind w:left="0"/>
      </w:pPr>
    </w:p>
    <w:p w:rsidR="00321C47" w:rsidRDefault="00321C47" w:rsidP="00321C47">
      <w:pPr>
        <w:ind w:left="0"/>
      </w:pPr>
    </w:p>
    <w:p w:rsidR="00321C47" w:rsidRDefault="00321C47" w:rsidP="00321C47">
      <w:pPr>
        <w:ind w:left="0"/>
      </w:pPr>
    </w:p>
    <w:p w:rsidR="00321C47" w:rsidRDefault="00321C47" w:rsidP="00321C47">
      <w:pPr>
        <w:pStyle w:val="Heading3"/>
        <w:ind w:left="0"/>
      </w:pPr>
      <w:bookmarkStart w:id="104" w:name="_Toc337743659"/>
      <w:permEnd w:id="188757175"/>
      <w:r>
        <w:t xml:space="preserve">Question 5: </w:t>
      </w:r>
      <w:bookmarkEnd w:id="104"/>
      <w:r>
        <w:t>Do you agree with the benefits BIS believes the changes will bring?</w:t>
      </w:r>
    </w:p>
    <w:p w:rsidR="00321C47" w:rsidRDefault="00321C47" w:rsidP="00321C47">
      <w:pPr>
        <w:ind w:left="0"/>
      </w:pPr>
      <w:permStart w:id="682907110" w:edGrp="everyone"/>
      <w:r>
        <w:t>A</w:t>
      </w:r>
      <w:r>
        <w:tab/>
      </w:r>
      <w:r>
        <w:tab/>
      </w:r>
      <w:r>
        <w:fldChar w:fldCharType="begin">
          <w:ffData>
            <w:name w:val="Check5"/>
            <w:enabled/>
            <w:calcOnExit w:val="0"/>
            <w:checkBox>
              <w:sizeAuto/>
              <w:default w:val="0"/>
            </w:checkBox>
          </w:ffData>
        </w:fldChar>
      </w:r>
      <w:r>
        <w:instrText xml:space="preserve"> FORMCHECKBOX </w:instrText>
      </w:r>
      <w:r w:rsidR="00E27371">
        <w:fldChar w:fldCharType="separate"/>
      </w:r>
      <w:r>
        <w:fldChar w:fldCharType="end"/>
      </w:r>
      <w:r>
        <w:t xml:space="preserve"> Yes</w:t>
      </w:r>
      <w:r>
        <w:tab/>
      </w:r>
      <w:r>
        <w:tab/>
      </w:r>
      <w:r>
        <w:fldChar w:fldCharType="begin">
          <w:ffData>
            <w:name w:val="Check6"/>
            <w:enabled/>
            <w:calcOnExit w:val="0"/>
            <w:checkBox>
              <w:sizeAuto/>
              <w:default w:val="0"/>
            </w:checkBox>
          </w:ffData>
        </w:fldChar>
      </w:r>
      <w:r>
        <w:instrText xml:space="preserve"> FORMCHECKBOX </w:instrText>
      </w:r>
      <w:r w:rsidR="00E27371">
        <w:fldChar w:fldCharType="separate"/>
      </w:r>
      <w:r>
        <w:fldChar w:fldCharType="end"/>
      </w:r>
      <w:r>
        <w:t xml:space="preserve"> No</w:t>
      </w:r>
      <w:r>
        <w:tab/>
      </w:r>
      <w:r>
        <w:tab/>
      </w:r>
      <w:r>
        <w:tab/>
      </w:r>
      <w:r>
        <w:fldChar w:fldCharType="begin">
          <w:ffData>
            <w:name w:val="Check7"/>
            <w:enabled/>
            <w:calcOnExit w:val="0"/>
            <w:checkBox>
              <w:sizeAuto/>
              <w:default w:val="0"/>
            </w:checkBox>
          </w:ffData>
        </w:fldChar>
      </w:r>
      <w:r>
        <w:instrText xml:space="preserve"> FORMCHECKBOX </w:instrText>
      </w:r>
      <w:r w:rsidR="00E27371">
        <w:fldChar w:fldCharType="separate"/>
      </w:r>
      <w:r>
        <w:fldChar w:fldCharType="end"/>
      </w:r>
      <w:r>
        <w:t xml:space="preserve"> Not sure</w:t>
      </w:r>
    </w:p>
    <w:p w:rsidR="00321C47" w:rsidRDefault="00321C47" w:rsidP="00321C47">
      <w:pPr>
        <w:ind w:left="0"/>
      </w:pPr>
      <w:r>
        <w:t xml:space="preserve">Comments: </w:t>
      </w:r>
    </w:p>
    <w:p w:rsidR="00321C47" w:rsidRDefault="00321C47" w:rsidP="00321C47">
      <w:pPr>
        <w:ind w:left="0"/>
      </w:pPr>
    </w:p>
    <w:p w:rsidR="00321C47" w:rsidRDefault="00321C47" w:rsidP="00321C47">
      <w:pPr>
        <w:ind w:left="0"/>
      </w:pPr>
    </w:p>
    <w:permEnd w:id="682907110"/>
    <w:p w:rsidR="00321C47" w:rsidRDefault="00321C47" w:rsidP="00321C47"/>
    <w:p w:rsidR="00321C47" w:rsidRDefault="00321C47" w:rsidP="00321C47">
      <w:pPr>
        <w:pStyle w:val="Heading3"/>
        <w:ind w:left="0"/>
      </w:pPr>
      <w:r>
        <w:t>Question 6: What is your view on BIS’s reasons for bringing forward the changes (paragraphs 41-42)?</w:t>
      </w:r>
    </w:p>
    <w:p w:rsidR="00321C47" w:rsidRDefault="00321C47" w:rsidP="00321C47">
      <w:pPr>
        <w:ind w:left="0"/>
      </w:pPr>
      <w:permStart w:id="1249259411" w:edGrp="everyone"/>
      <w:r>
        <w:t xml:space="preserve">Comments: </w:t>
      </w:r>
    </w:p>
    <w:p w:rsidR="00321C47" w:rsidRDefault="00321C47" w:rsidP="00321C47">
      <w:pPr>
        <w:ind w:left="0"/>
      </w:pPr>
    </w:p>
    <w:p w:rsidR="00321C47" w:rsidRDefault="00321C47" w:rsidP="00321C47"/>
    <w:p w:rsidR="00321C47" w:rsidRPr="00321C47" w:rsidRDefault="00321C47" w:rsidP="00321C47"/>
    <w:permEnd w:id="1249259411"/>
    <w:p w:rsidR="00321C47" w:rsidRDefault="00321C47" w:rsidP="00321C47">
      <w:pPr>
        <w:pStyle w:val="Heading3"/>
        <w:ind w:left="0"/>
      </w:pPr>
      <w:r>
        <w:t>Question 7: General rating of the proposals.</w:t>
      </w:r>
    </w:p>
    <w:p w:rsidR="00321C47" w:rsidRDefault="00321C47" w:rsidP="00321C47">
      <w:pPr>
        <w:ind w:left="0"/>
      </w:pPr>
      <w:permStart w:id="1480606619" w:edGrp="everyone"/>
      <w:r>
        <w:t>On a scale of 1 to 5, 5 being the highest, grade your overall approval of the proposals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80"/>
        <w:gridCol w:w="900"/>
        <w:gridCol w:w="900"/>
        <w:gridCol w:w="900"/>
        <w:gridCol w:w="900"/>
        <w:gridCol w:w="900"/>
      </w:tblGrid>
      <w:tr w:rsidR="00321C47" w:rsidTr="00F874C7">
        <w:trPr>
          <w:trHeight w:val="555"/>
          <w:tblHeader/>
        </w:trPr>
        <w:tc>
          <w:tcPr>
            <w:tcW w:w="3780" w:type="dxa"/>
            <w:tcBorders>
              <w:top w:val="single" w:sz="4" w:space="0" w:color="auto"/>
              <w:left w:val="single" w:sz="4" w:space="0" w:color="auto"/>
              <w:bottom w:val="single" w:sz="4" w:space="0" w:color="auto"/>
              <w:right w:val="single" w:sz="4" w:space="0" w:color="auto"/>
            </w:tcBorders>
          </w:tcPr>
          <w:p w:rsidR="00321C47" w:rsidRDefault="00321C47" w:rsidP="00321C47">
            <w:pPr>
              <w:ind w:left="0"/>
            </w:pPr>
          </w:p>
        </w:tc>
        <w:tc>
          <w:tcPr>
            <w:tcW w:w="900" w:type="dxa"/>
            <w:tcBorders>
              <w:top w:val="single" w:sz="4" w:space="0" w:color="auto"/>
              <w:left w:val="single" w:sz="4" w:space="0" w:color="auto"/>
              <w:bottom w:val="single" w:sz="4" w:space="0" w:color="auto"/>
              <w:right w:val="single" w:sz="4" w:space="0" w:color="auto"/>
            </w:tcBorders>
            <w:vAlign w:val="center"/>
            <w:hideMark/>
          </w:tcPr>
          <w:p w:rsidR="00321C47" w:rsidRDefault="00321C47" w:rsidP="00321C47">
            <w:pPr>
              <w:ind w:left="0"/>
            </w:pPr>
            <w:r>
              <w:t>5</w:t>
            </w:r>
          </w:p>
        </w:tc>
        <w:tc>
          <w:tcPr>
            <w:tcW w:w="900" w:type="dxa"/>
            <w:tcBorders>
              <w:top w:val="single" w:sz="4" w:space="0" w:color="auto"/>
              <w:left w:val="single" w:sz="4" w:space="0" w:color="auto"/>
              <w:bottom w:val="single" w:sz="4" w:space="0" w:color="auto"/>
              <w:right w:val="single" w:sz="4" w:space="0" w:color="auto"/>
            </w:tcBorders>
            <w:vAlign w:val="center"/>
            <w:hideMark/>
          </w:tcPr>
          <w:p w:rsidR="00321C47" w:rsidRDefault="00321C47" w:rsidP="00321C47">
            <w:pPr>
              <w:ind w:left="0"/>
            </w:pPr>
            <w:r>
              <w:t>4</w:t>
            </w:r>
          </w:p>
        </w:tc>
        <w:tc>
          <w:tcPr>
            <w:tcW w:w="900" w:type="dxa"/>
            <w:tcBorders>
              <w:top w:val="single" w:sz="4" w:space="0" w:color="auto"/>
              <w:left w:val="single" w:sz="4" w:space="0" w:color="auto"/>
              <w:bottom w:val="single" w:sz="4" w:space="0" w:color="auto"/>
              <w:right w:val="single" w:sz="4" w:space="0" w:color="auto"/>
            </w:tcBorders>
            <w:vAlign w:val="center"/>
            <w:hideMark/>
          </w:tcPr>
          <w:p w:rsidR="00321C47" w:rsidRDefault="00321C47" w:rsidP="00321C47">
            <w:pPr>
              <w:ind w:left="0"/>
            </w:pPr>
            <w:r>
              <w:t>3</w:t>
            </w:r>
          </w:p>
        </w:tc>
        <w:tc>
          <w:tcPr>
            <w:tcW w:w="900" w:type="dxa"/>
            <w:tcBorders>
              <w:top w:val="single" w:sz="4" w:space="0" w:color="auto"/>
              <w:left w:val="single" w:sz="4" w:space="0" w:color="auto"/>
              <w:bottom w:val="single" w:sz="4" w:space="0" w:color="auto"/>
              <w:right w:val="single" w:sz="4" w:space="0" w:color="auto"/>
            </w:tcBorders>
            <w:vAlign w:val="center"/>
            <w:hideMark/>
          </w:tcPr>
          <w:p w:rsidR="00321C47" w:rsidRDefault="00321C47" w:rsidP="00321C47">
            <w:pPr>
              <w:ind w:left="0"/>
            </w:pPr>
            <w:r>
              <w:t>2</w:t>
            </w:r>
          </w:p>
        </w:tc>
        <w:tc>
          <w:tcPr>
            <w:tcW w:w="900" w:type="dxa"/>
            <w:tcBorders>
              <w:top w:val="single" w:sz="4" w:space="0" w:color="auto"/>
              <w:left w:val="single" w:sz="4" w:space="0" w:color="auto"/>
              <w:bottom w:val="single" w:sz="4" w:space="0" w:color="auto"/>
              <w:right w:val="single" w:sz="4" w:space="0" w:color="auto"/>
            </w:tcBorders>
            <w:vAlign w:val="center"/>
            <w:hideMark/>
          </w:tcPr>
          <w:p w:rsidR="00321C47" w:rsidRDefault="00321C47" w:rsidP="00321C47">
            <w:pPr>
              <w:ind w:left="0"/>
            </w:pPr>
            <w:r>
              <w:t>1</w:t>
            </w:r>
          </w:p>
        </w:tc>
      </w:tr>
      <w:tr w:rsidR="00321C47" w:rsidTr="00321C47">
        <w:trPr>
          <w:trHeight w:val="555"/>
        </w:trPr>
        <w:tc>
          <w:tcPr>
            <w:tcW w:w="3780" w:type="dxa"/>
            <w:tcBorders>
              <w:top w:val="single" w:sz="4" w:space="0" w:color="auto"/>
              <w:left w:val="single" w:sz="4" w:space="0" w:color="auto"/>
              <w:bottom w:val="single" w:sz="4" w:space="0" w:color="auto"/>
              <w:right w:val="single" w:sz="4" w:space="0" w:color="auto"/>
            </w:tcBorders>
            <w:vAlign w:val="center"/>
            <w:hideMark/>
          </w:tcPr>
          <w:p w:rsidR="00321C47" w:rsidRDefault="00321C47" w:rsidP="00321C47">
            <w:pPr>
              <w:ind w:left="0"/>
            </w:pPr>
            <w:r>
              <w:t>Right problems identified</w:t>
            </w:r>
          </w:p>
        </w:tc>
        <w:tc>
          <w:tcPr>
            <w:tcW w:w="900" w:type="dxa"/>
            <w:tcBorders>
              <w:top w:val="single" w:sz="4" w:space="0" w:color="auto"/>
              <w:left w:val="single" w:sz="4" w:space="0" w:color="auto"/>
              <w:bottom w:val="single" w:sz="4" w:space="0" w:color="auto"/>
              <w:right w:val="single" w:sz="4" w:space="0" w:color="auto"/>
            </w:tcBorders>
            <w:vAlign w:val="center"/>
          </w:tcPr>
          <w:p w:rsidR="00321C47" w:rsidRDefault="00321C47" w:rsidP="00321C47">
            <w:pPr>
              <w:ind w:left="0"/>
            </w:pPr>
          </w:p>
        </w:tc>
        <w:tc>
          <w:tcPr>
            <w:tcW w:w="900" w:type="dxa"/>
            <w:tcBorders>
              <w:top w:val="single" w:sz="4" w:space="0" w:color="auto"/>
              <w:left w:val="single" w:sz="4" w:space="0" w:color="auto"/>
              <w:bottom w:val="single" w:sz="4" w:space="0" w:color="auto"/>
              <w:right w:val="single" w:sz="4" w:space="0" w:color="auto"/>
            </w:tcBorders>
            <w:vAlign w:val="center"/>
          </w:tcPr>
          <w:p w:rsidR="00321C47" w:rsidRDefault="00321C47" w:rsidP="00321C47">
            <w:pPr>
              <w:ind w:left="0"/>
            </w:pPr>
          </w:p>
        </w:tc>
        <w:tc>
          <w:tcPr>
            <w:tcW w:w="900" w:type="dxa"/>
            <w:tcBorders>
              <w:top w:val="single" w:sz="4" w:space="0" w:color="auto"/>
              <w:left w:val="single" w:sz="4" w:space="0" w:color="auto"/>
              <w:bottom w:val="single" w:sz="4" w:space="0" w:color="auto"/>
              <w:right w:val="single" w:sz="4" w:space="0" w:color="auto"/>
            </w:tcBorders>
            <w:vAlign w:val="center"/>
          </w:tcPr>
          <w:p w:rsidR="00321C47" w:rsidRDefault="00321C47" w:rsidP="00321C47">
            <w:pPr>
              <w:ind w:left="0"/>
            </w:pPr>
          </w:p>
        </w:tc>
        <w:tc>
          <w:tcPr>
            <w:tcW w:w="900" w:type="dxa"/>
            <w:tcBorders>
              <w:top w:val="single" w:sz="4" w:space="0" w:color="auto"/>
              <w:left w:val="single" w:sz="4" w:space="0" w:color="auto"/>
              <w:bottom w:val="single" w:sz="4" w:space="0" w:color="auto"/>
              <w:right w:val="single" w:sz="4" w:space="0" w:color="auto"/>
            </w:tcBorders>
            <w:vAlign w:val="center"/>
          </w:tcPr>
          <w:p w:rsidR="00321C47" w:rsidRDefault="00321C47" w:rsidP="00321C47">
            <w:pPr>
              <w:ind w:left="0"/>
            </w:pPr>
          </w:p>
        </w:tc>
        <w:tc>
          <w:tcPr>
            <w:tcW w:w="900" w:type="dxa"/>
            <w:tcBorders>
              <w:top w:val="single" w:sz="4" w:space="0" w:color="auto"/>
              <w:left w:val="single" w:sz="4" w:space="0" w:color="auto"/>
              <w:bottom w:val="single" w:sz="4" w:space="0" w:color="auto"/>
              <w:right w:val="single" w:sz="4" w:space="0" w:color="auto"/>
            </w:tcBorders>
            <w:vAlign w:val="center"/>
          </w:tcPr>
          <w:p w:rsidR="00321C47" w:rsidRDefault="00321C47" w:rsidP="00321C47">
            <w:pPr>
              <w:ind w:left="0"/>
            </w:pPr>
          </w:p>
        </w:tc>
      </w:tr>
      <w:tr w:rsidR="00321C47" w:rsidTr="00321C47">
        <w:trPr>
          <w:trHeight w:val="555"/>
        </w:trPr>
        <w:tc>
          <w:tcPr>
            <w:tcW w:w="3780" w:type="dxa"/>
            <w:tcBorders>
              <w:top w:val="single" w:sz="4" w:space="0" w:color="auto"/>
              <w:left w:val="single" w:sz="4" w:space="0" w:color="auto"/>
              <w:bottom w:val="single" w:sz="4" w:space="0" w:color="auto"/>
              <w:right w:val="single" w:sz="4" w:space="0" w:color="auto"/>
            </w:tcBorders>
            <w:vAlign w:val="center"/>
            <w:hideMark/>
          </w:tcPr>
          <w:p w:rsidR="00321C47" w:rsidRDefault="00321C47" w:rsidP="00321C47">
            <w:pPr>
              <w:ind w:left="0"/>
            </w:pPr>
            <w:r>
              <w:t>Range of options wide enough</w:t>
            </w:r>
          </w:p>
        </w:tc>
        <w:tc>
          <w:tcPr>
            <w:tcW w:w="900" w:type="dxa"/>
            <w:tcBorders>
              <w:top w:val="single" w:sz="4" w:space="0" w:color="auto"/>
              <w:left w:val="single" w:sz="4" w:space="0" w:color="auto"/>
              <w:bottom w:val="single" w:sz="4" w:space="0" w:color="auto"/>
              <w:right w:val="single" w:sz="4" w:space="0" w:color="auto"/>
            </w:tcBorders>
            <w:vAlign w:val="center"/>
          </w:tcPr>
          <w:p w:rsidR="00321C47" w:rsidRDefault="00321C47" w:rsidP="00321C47">
            <w:pPr>
              <w:ind w:left="0"/>
            </w:pPr>
          </w:p>
        </w:tc>
        <w:tc>
          <w:tcPr>
            <w:tcW w:w="900" w:type="dxa"/>
            <w:tcBorders>
              <w:top w:val="single" w:sz="4" w:space="0" w:color="auto"/>
              <w:left w:val="single" w:sz="4" w:space="0" w:color="auto"/>
              <w:bottom w:val="single" w:sz="4" w:space="0" w:color="auto"/>
              <w:right w:val="single" w:sz="4" w:space="0" w:color="auto"/>
            </w:tcBorders>
            <w:vAlign w:val="center"/>
          </w:tcPr>
          <w:p w:rsidR="00321C47" w:rsidRDefault="00321C47" w:rsidP="00321C47">
            <w:pPr>
              <w:ind w:left="0"/>
            </w:pPr>
          </w:p>
        </w:tc>
        <w:tc>
          <w:tcPr>
            <w:tcW w:w="900" w:type="dxa"/>
            <w:tcBorders>
              <w:top w:val="single" w:sz="4" w:space="0" w:color="auto"/>
              <w:left w:val="single" w:sz="4" w:space="0" w:color="auto"/>
              <w:bottom w:val="single" w:sz="4" w:space="0" w:color="auto"/>
              <w:right w:val="single" w:sz="4" w:space="0" w:color="auto"/>
            </w:tcBorders>
            <w:vAlign w:val="center"/>
          </w:tcPr>
          <w:p w:rsidR="00321C47" w:rsidRDefault="00321C47" w:rsidP="00321C47">
            <w:pPr>
              <w:ind w:left="0"/>
            </w:pPr>
          </w:p>
        </w:tc>
        <w:tc>
          <w:tcPr>
            <w:tcW w:w="900" w:type="dxa"/>
            <w:tcBorders>
              <w:top w:val="single" w:sz="4" w:space="0" w:color="auto"/>
              <w:left w:val="single" w:sz="4" w:space="0" w:color="auto"/>
              <w:bottom w:val="single" w:sz="4" w:space="0" w:color="auto"/>
              <w:right w:val="single" w:sz="4" w:space="0" w:color="auto"/>
            </w:tcBorders>
            <w:vAlign w:val="center"/>
          </w:tcPr>
          <w:p w:rsidR="00321C47" w:rsidRDefault="00321C47" w:rsidP="00321C47">
            <w:pPr>
              <w:ind w:left="0"/>
            </w:pPr>
          </w:p>
        </w:tc>
        <w:tc>
          <w:tcPr>
            <w:tcW w:w="900" w:type="dxa"/>
            <w:tcBorders>
              <w:top w:val="single" w:sz="4" w:space="0" w:color="auto"/>
              <w:left w:val="single" w:sz="4" w:space="0" w:color="auto"/>
              <w:bottom w:val="single" w:sz="4" w:space="0" w:color="auto"/>
              <w:right w:val="single" w:sz="4" w:space="0" w:color="auto"/>
            </w:tcBorders>
            <w:vAlign w:val="center"/>
          </w:tcPr>
          <w:p w:rsidR="00321C47" w:rsidRDefault="00321C47" w:rsidP="00321C47">
            <w:pPr>
              <w:ind w:left="0"/>
            </w:pPr>
          </w:p>
        </w:tc>
      </w:tr>
      <w:tr w:rsidR="00321C47" w:rsidTr="00321C47">
        <w:trPr>
          <w:trHeight w:val="555"/>
        </w:trPr>
        <w:tc>
          <w:tcPr>
            <w:tcW w:w="3780" w:type="dxa"/>
            <w:tcBorders>
              <w:top w:val="single" w:sz="4" w:space="0" w:color="auto"/>
              <w:left w:val="single" w:sz="4" w:space="0" w:color="auto"/>
              <w:bottom w:val="single" w:sz="4" w:space="0" w:color="auto"/>
              <w:right w:val="single" w:sz="4" w:space="0" w:color="auto"/>
            </w:tcBorders>
            <w:vAlign w:val="center"/>
            <w:hideMark/>
          </w:tcPr>
          <w:p w:rsidR="00321C47" w:rsidRDefault="00321C47" w:rsidP="00321C47">
            <w:pPr>
              <w:ind w:left="0"/>
            </w:pPr>
            <w:r>
              <w:t>Preferred options well chosen</w:t>
            </w:r>
          </w:p>
        </w:tc>
        <w:tc>
          <w:tcPr>
            <w:tcW w:w="900" w:type="dxa"/>
            <w:tcBorders>
              <w:top w:val="single" w:sz="4" w:space="0" w:color="auto"/>
              <w:left w:val="single" w:sz="4" w:space="0" w:color="auto"/>
              <w:bottom w:val="single" w:sz="4" w:space="0" w:color="auto"/>
              <w:right w:val="single" w:sz="4" w:space="0" w:color="auto"/>
            </w:tcBorders>
            <w:vAlign w:val="center"/>
          </w:tcPr>
          <w:p w:rsidR="00321C47" w:rsidRDefault="00321C47" w:rsidP="00321C47">
            <w:pPr>
              <w:ind w:left="0"/>
            </w:pPr>
          </w:p>
        </w:tc>
        <w:tc>
          <w:tcPr>
            <w:tcW w:w="900" w:type="dxa"/>
            <w:tcBorders>
              <w:top w:val="single" w:sz="4" w:space="0" w:color="auto"/>
              <w:left w:val="single" w:sz="4" w:space="0" w:color="auto"/>
              <w:bottom w:val="single" w:sz="4" w:space="0" w:color="auto"/>
              <w:right w:val="single" w:sz="4" w:space="0" w:color="auto"/>
            </w:tcBorders>
            <w:vAlign w:val="center"/>
          </w:tcPr>
          <w:p w:rsidR="00321C47" w:rsidRDefault="00321C47" w:rsidP="00321C47">
            <w:pPr>
              <w:ind w:left="0"/>
            </w:pPr>
          </w:p>
        </w:tc>
        <w:tc>
          <w:tcPr>
            <w:tcW w:w="900" w:type="dxa"/>
            <w:tcBorders>
              <w:top w:val="single" w:sz="4" w:space="0" w:color="auto"/>
              <w:left w:val="single" w:sz="4" w:space="0" w:color="auto"/>
              <w:bottom w:val="single" w:sz="4" w:space="0" w:color="auto"/>
              <w:right w:val="single" w:sz="4" w:space="0" w:color="auto"/>
            </w:tcBorders>
            <w:vAlign w:val="center"/>
          </w:tcPr>
          <w:p w:rsidR="00321C47" w:rsidRDefault="00321C47" w:rsidP="00321C47">
            <w:pPr>
              <w:ind w:left="0"/>
            </w:pPr>
          </w:p>
        </w:tc>
        <w:tc>
          <w:tcPr>
            <w:tcW w:w="900" w:type="dxa"/>
            <w:tcBorders>
              <w:top w:val="single" w:sz="4" w:space="0" w:color="auto"/>
              <w:left w:val="single" w:sz="4" w:space="0" w:color="auto"/>
              <w:bottom w:val="single" w:sz="4" w:space="0" w:color="auto"/>
              <w:right w:val="single" w:sz="4" w:space="0" w:color="auto"/>
            </w:tcBorders>
            <w:vAlign w:val="center"/>
          </w:tcPr>
          <w:p w:rsidR="00321C47" w:rsidRDefault="00321C47" w:rsidP="00321C47">
            <w:pPr>
              <w:ind w:left="0"/>
            </w:pPr>
          </w:p>
        </w:tc>
        <w:tc>
          <w:tcPr>
            <w:tcW w:w="900" w:type="dxa"/>
            <w:tcBorders>
              <w:top w:val="single" w:sz="4" w:space="0" w:color="auto"/>
              <w:left w:val="single" w:sz="4" w:space="0" w:color="auto"/>
              <w:bottom w:val="single" w:sz="4" w:space="0" w:color="auto"/>
              <w:right w:val="single" w:sz="4" w:space="0" w:color="auto"/>
            </w:tcBorders>
            <w:vAlign w:val="center"/>
          </w:tcPr>
          <w:p w:rsidR="00321C47" w:rsidRDefault="00321C47" w:rsidP="00321C47">
            <w:pPr>
              <w:ind w:left="0"/>
            </w:pPr>
          </w:p>
        </w:tc>
      </w:tr>
    </w:tbl>
    <w:p w:rsidR="00321C47" w:rsidRDefault="00321C47" w:rsidP="00321C47">
      <w:pPr>
        <w:ind w:left="0"/>
      </w:pPr>
    </w:p>
    <w:p w:rsidR="00F874C7" w:rsidRDefault="00F874C7">
      <w:pPr>
        <w:spacing w:after="0"/>
        <w:ind w:left="0"/>
        <w:rPr>
          <w:b/>
          <w:bCs/>
          <w:color w:val="009BBB"/>
          <w:sz w:val="26"/>
          <w:szCs w:val="26"/>
        </w:rPr>
      </w:pPr>
      <w:bookmarkStart w:id="105" w:name="_Toc337743660"/>
      <w:r>
        <w:br w:type="page"/>
      </w:r>
    </w:p>
    <w:permEnd w:id="1480606619"/>
    <w:p w:rsidR="00321C47" w:rsidRDefault="00321C47" w:rsidP="00321C47">
      <w:pPr>
        <w:pStyle w:val="Heading3"/>
        <w:ind w:left="0"/>
      </w:pPr>
      <w:r>
        <w:lastRenderedPageBreak/>
        <w:t>Question 8: Do you have any other comments that might aid the consultation process as a whole?</w:t>
      </w:r>
      <w:bookmarkEnd w:id="105"/>
    </w:p>
    <w:p w:rsidR="00321C47" w:rsidRDefault="00321C47" w:rsidP="00321C47">
      <w:pPr>
        <w:ind w:left="0"/>
      </w:pPr>
      <w:permStart w:id="1007110667" w:edGrp="everyone"/>
      <w:r>
        <w:t>Comments:</w:t>
      </w:r>
    </w:p>
    <w:p w:rsidR="00321C47" w:rsidRDefault="00321C47" w:rsidP="00321C47">
      <w:pPr>
        <w:ind w:left="0"/>
      </w:pPr>
    </w:p>
    <w:permEnd w:id="1007110667"/>
    <w:p w:rsidR="00321C47" w:rsidRDefault="00321C47" w:rsidP="00321C47">
      <w:pPr>
        <w:ind w:left="0"/>
      </w:pPr>
      <w:r>
        <w:t xml:space="preserve">Below are the additional questions from the Impact Assessment. Please respond to them on this </w:t>
      </w:r>
      <w:permStart w:id="384445002" w:edGrp="everyone"/>
      <w:r>
        <w:t>part of the form.</w:t>
      </w:r>
    </w:p>
    <w:p w:rsidR="00321C47" w:rsidRDefault="00321C47" w:rsidP="00321C47">
      <w:pPr>
        <w:ind w:left="0"/>
      </w:pPr>
    </w:p>
    <w:p w:rsidR="00321C47" w:rsidRDefault="00321C47" w:rsidP="00321C47">
      <w:pPr>
        <w:pStyle w:val="EBBullet"/>
        <w:keepNext/>
        <w:numPr>
          <w:ilvl w:val="0"/>
          <w:numId w:val="0"/>
        </w:numPr>
        <w:tabs>
          <w:tab w:val="left" w:pos="720"/>
        </w:tabs>
        <w:ind w:left="720" w:hanging="720"/>
        <w:rPr>
          <w:sz w:val="24"/>
        </w:rPr>
      </w:pPr>
    </w:p>
    <w:p w:rsidR="00321C47" w:rsidRPr="00556AB7" w:rsidRDefault="00321C47" w:rsidP="00321C47">
      <w:pPr>
        <w:pStyle w:val="EBBullet"/>
        <w:keepNext/>
        <w:numPr>
          <w:ilvl w:val="0"/>
          <w:numId w:val="0"/>
        </w:numPr>
        <w:pBdr>
          <w:top w:val="single" w:sz="4" w:space="1" w:color="auto"/>
          <w:left w:val="single" w:sz="4" w:space="4" w:color="auto"/>
          <w:bottom w:val="single" w:sz="4" w:space="1" w:color="auto"/>
          <w:right w:val="single" w:sz="4" w:space="4" w:color="auto"/>
        </w:pBdr>
        <w:tabs>
          <w:tab w:val="left" w:pos="720"/>
        </w:tabs>
        <w:ind w:left="720" w:hanging="720"/>
        <w:rPr>
          <w:i/>
          <w:sz w:val="24"/>
        </w:rPr>
      </w:pPr>
      <w:r w:rsidRPr="00675A4A">
        <w:rPr>
          <w:b/>
          <w:sz w:val="24"/>
        </w:rPr>
        <w:t>Q</w:t>
      </w:r>
      <w:r>
        <w:rPr>
          <w:b/>
          <w:sz w:val="24"/>
        </w:rPr>
        <w:t>1</w:t>
      </w:r>
      <w:r w:rsidRPr="00675A4A">
        <w:rPr>
          <w:b/>
          <w:sz w:val="24"/>
        </w:rPr>
        <w:t>:</w:t>
      </w:r>
      <w:r>
        <w:rPr>
          <w:sz w:val="24"/>
        </w:rPr>
        <w:t xml:space="preserve"> Is the assumption on the cost of testing above right in your view? Could you provide evidence supporting your arguments? </w:t>
      </w:r>
    </w:p>
    <w:p w:rsidR="00321C47" w:rsidRDefault="00321C47" w:rsidP="009E4AE2">
      <w:pPr>
        <w:pStyle w:val="BISnumberingBold"/>
      </w:pPr>
    </w:p>
    <w:p w:rsidR="00321C47" w:rsidRDefault="00321C47" w:rsidP="00321C47">
      <w:pPr>
        <w:pStyle w:val="EBBullet"/>
        <w:keepNext/>
        <w:numPr>
          <w:ilvl w:val="0"/>
          <w:numId w:val="0"/>
        </w:numPr>
        <w:tabs>
          <w:tab w:val="left" w:pos="720"/>
        </w:tabs>
        <w:ind w:left="720" w:hanging="720"/>
        <w:rPr>
          <w:sz w:val="24"/>
        </w:rPr>
      </w:pPr>
    </w:p>
    <w:p w:rsidR="00321C47" w:rsidRPr="00556AB7" w:rsidRDefault="00321C47" w:rsidP="00321C47">
      <w:pPr>
        <w:pStyle w:val="EBBullet"/>
        <w:keepNext/>
        <w:numPr>
          <w:ilvl w:val="0"/>
          <w:numId w:val="0"/>
        </w:numPr>
        <w:pBdr>
          <w:top w:val="single" w:sz="4" w:space="1" w:color="auto"/>
          <w:left w:val="single" w:sz="4" w:space="4" w:color="auto"/>
          <w:bottom w:val="single" w:sz="4" w:space="1" w:color="auto"/>
          <w:right w:val="single" w:sz="4" w:space="4" w:color="auto"/>
        </w:pBdr>
        <w:tabs>
          <w:tab w:val="left" w:pos="720"/>
        </w:tabs>
        <w:ind w:left="720" w:hanging="720"/>
        <w:rPr>
          <w:i/>
          <w:sz w:val="24"/>
        </w:rPr>
      </w:pPr>
      <w:r w:rsidRPr="00675A4A">
        <w:rPr>
          <w:b/>
          <w:sz w:val="24"/>
        </w:rPr>
        <w:t>Q</w:t>
      </w:r>
      <w:r>
        <w:rPr>
          <w:b/>
          <w:sz w:val="24"/>
        </w:rPr>
        <w:t>2</w:t>
      </w:r>
      <w:r w:rsidRPr="00675A4A">
        <w:rPr>
          <w:b/>
          <w:sz w:val="24"/>
        </w:rPr>
        <w:t>:</w:t>
      </w:r>
      <w:r>
        <w:rPr>
          <w:b/>
          <w:sz w:val="24"/>
        </w:rPr>
        <w:t xml:space="preserve"> </w:t>
      </w:r>
      <w:r>
        <w:rPr>
          <w:sz w:val="24"/>
        </w:rPr>
        <w:t xml:space="preserve"> </w:t>
      </w:r>
      <w:r w:rsidRPr="006C2653">
        <w:t xml:space="preserve">Do you have any evidence that could help to refine this cost estimates?  </w:t>
      </w:r>
    </w:p>
    <w:p w:rsidR="00321C47" w:rsidRDefault="00321C47" w:rsidP="009E4AE2">
      <w:pPr>
        <w:pStyle w:val="BISnumberingBold"/>
      </w:pPr>
    </w:p>
    <w:p w:rsidR="00321C47" w:rsidRDefault="00321C47" w:rsidP="00321C47">
      <w:pPr>
        <w:pStyle w:val="EBBullet"/>
        <w:keepNext/>
        <w:numPr>
          <w:ilvl w:val="0"/>
          <w:numId w:val="0"/>
        </w:numPr>
        <w:tabs>
          <w:tab w:val="left" w:pos="720"/>
        </w:tabs>
        <w:ind w:left="720"/>
        <w:rPr>
          <w:sz w:val="24"/>
        </w:rPr>
      </w:pPr>
    </w:p>
    <w:p w:rsidR="00321C47" w:rsidRPr="00556AB7" w:rsidRDefault="00321C47" w:rsidP="00321C47">
      <w:pPr>
        <w:pStyle w:val="Default"/>
        <w:pBdr>
          <w:top w:val="single" w:sz="4" w:space="1" w:color="auto"/>
          <w:left w:val="single" w:sz="4" w:space="4" w:color="auto"/>
          <w:bottom w:val="single" w:sz="4" w:space="1" w:color="auto"/>
          <w:right w:val="single" w:sz="4" w:space="4" w:color="auto"/>
        </w:pBdr>
        <w:rPr>
          <w:i/>
        </w:rPr>
      </w:pPr>
      <w:r w:rsidRPr="00772A95">
        <w:rPr>
          <w:b/>
          <w:szCs w:val="22"/>
        </w:rPr>
        <w:t>Q</w:t>
      </w:r>
      <w:r>
        <w:rPr>
          <w:b/>
          <w:szCs w:val="22"/>
        </w:rPr>
        <w:t>3</w:t>
      </w:r>
      <w:r>
        <w:rPr>
          <w:szCs w:val="22"/>
        </w:rPr>
        <w:t xml:space="preserve">: </w:t>
      </w:r>
      <w:r>
        <w:t xml:space="preserve">Are there any other costs not included here that should be included? Please provide evidence supporting your arguments. </w:t>
      </w:r>
    </w:p>
    <w:p w:rsidR="00321C47" w:rsidRDefault="00321C47" w:rsidP="00321C47">
      <w:pPr>
        <w:pStyle w:val="EBBullet"/>
        <w:keepNext/>
        <w:numPr>
          <w:ilvl w:val="0"/>
          <w:numId w:val="0"/>
        </w:numPr>
        <w:tabs>
          <w:tab w:val="left" w:pos="720"/>
        </w:tabs>
        <w:ind w:left="720"/>
        <w:rPr>
          <w:sz w:val="24"/>
        </w:rPr>
      </w:pPr>
    </w:p>
    <w:p w:rsidR="00321C47" w:rsidRDefault="00321C47" w:rsidP="00321C47">
      <w:pPr>
        <w:pStyle w:val="EBBullet"/>
        <w:keepNext/>
        <w:numPr>
          <w:ilvl w:val="0"/>
          <w:numId w:val="0"/>
        </w:numPr>
        <w:tabs>
          <w:tab w:val="left" w:pos="720"/>
          <w:tab w:val="left" w:pos="1628"/>
        </w:tabs>
        <w:ind w:left="720" w:hanging="720"/>
        <w:rPr>
          <w:sz w:val="24"/>
        </w:rPr>
      </w:pPr>
      <w:r>
        <w:rPr>
          <w:i/>
          <w:sz w:val="24"/>
        </w:rPr>
        <w:tab/>
      </w:r>
    </w:p>
    <w:p w:rsidR="00321C47" w:rsidRPr="00556AB7" w:rsidRDefault="00321C47" w:rsidP="00321C47">
      <w:pPr>
        <w:pStyle w:val="Default"/>
        <w:pBdr>
          <w:top w:val="single" w:sz="4" w:space="1" w:color="auto"/>
          <w:left w:val="single" w:sz="4" w:space="4" w:color="auto"/>
          <w:bottom w:val="single" w:sz="4" w:space="1" w:color="auto"/>
          <w:right w:val="single" w:sz="4" w:space="4" w:color="auto"/>
        </w:pBdr>
        <w:rPr>
          <w:i/>
        </w:rPr>
      </w:pPr>
      <w:r w:rsidRPr="00675A4A">
        <w:rPr>
          <w:b/>
        </w:rPr>
        <w:t>Q</w:t>
      </w:r>
      <w:r>
        <w:rPr>
          <w:b/>
        </w:rPr>
        <w:t>4</w:t>
      </w:r>
      <w:r w:rsidRPr="00675A4A">
        <w:rPr>
          <w:b/>
        </w:rPr>
        <w:t>:</w:t>
      </w:r>
      <w:r>
        <w:t xml:space="preserve"> </w:t>
      </w:r>
      <w:r w:rsidRPr="006C2653">
        <w:rPr>
          <w:szCs w:val="22"/>
        </w:rPr>
        <w:t xml:space="preserve">Do you </w:t>
      </w:r>
      <w:r>
        <w:rPr>
          <w:szCs w:val="22"/>
        </w:rPr>
        <w:t>agree with the assumption that there will be minimal losses of stock given the transition period? What is your normal turnover of stock?</w:t>
      </w:r>
    </w:p>
    <w:p w:rsidR="00321C47" w:rsidRPr="008B306C" w:rsidRDefault="00321C47" w:rsidP="00321C47">
      <w:pPr>
        <w:pStyle w:val="EBBullet"/>
        <w:keepNext/>
        <w:numPr>
          <w:ilvl w:val="0"/>
          <w:numId w:val="0"/>
        </w:numPr>
        <w:tabs>
          <w:tab w:val="left" w:pos="720"/>
          <w:tab w:val="left" w:pos="1628"/>
        </w:tabs>
        <w:ind w:left="720" w:hanging="720"/>
        <w:rPr>
          <w:sz w:val="24"/>
        </w:rPr>
      </w:pPr>
    </w:p>
    <w:p w:rsidR="00321C47" w:rsidRDefault="00321C47" w:rsidP="00321C47">
      <w:pPr>
        <w:pStyle w:val="EBBullet"/>
        <w:keepNext/>
        <w:numPr>
          <w:ilvl w:val="0"/>
          <w:numId w:val="0"/>
        </w:numPr>
        <w:tabs>
          <w:tab w:val="left" w:pos="720"/>
        </w:tabs>
        <w:ind w:left="720" w:hanging="720"/>
        <w:rPr>
          <w:rFonts w:ascii="Arial Bold" w:hAnsi="Arial Bold"/>
          <w:sz w:val="24"/>
        </w:rPr>
      </w:pPr>
    </w:p>
    <w:p w:rsidR="00321C47" w:rsidRPr="00556AB7" w:rsidRDefault="00321C47" w:rsidP="00321C47">
      <w:pPr>
        <w:pStyle w:val="Default"/>
        <w:pBdr>
          <w:top w:val="single" w:sz="4" w:space="1" w:color="auto"/>
          <w:left w:val="single" w:sz="4" w:space="4" w:color="auto"/>
          <w:bottom w:val="single" w:sz="4" w:space="1" w:color="auto"/>
          <w:right w:val="single" w:sz="4" w:space="4" w:color="auto"/>
        </w:pBdr>
        <w:rPr>
          <w:i/>
        </w:rPr>
      </w:pPr>
      <w:r w:rsidRPr="00675A4A">
        <w:rPr>
          <w:b/>
        </w:rPr>
        <w:t>Q</w:t>
      </w:r>
      <w:r>
        <w:rPr>
          <w:b/>
        </w:rPr>
        <w:t>5</w:t>
      </w:r>
      <w:r w:rsidRPr="00675A4A">
        <w:rPr>
          <w:b/>
        </w:rPr>
        <w:t>:</w:t>
      </w:r>
      <w:r>
        <w:t xml:space="preserve"> </w:t>
      </w:r>
      <w:r w:rsidRPr="006C2653">
        <w:rPr>
          <w:szCs w:val="22"/>
        </w:rPr>
        <w:t xml:space="preserve">Do you </w:t>
      </w:r>
      <w:r>
        <w:rPr>
          <w:szCs w:val="22"/>
        </w:rPr>
        <w:t>agree with the assumption on annual cost savings to UK based companies testing of fabrics for the cigarette test? Could you provide information on the cost of the cigarette testing for your company?</w:t>
      </w:r>
    </w:p>
    <w:p w:rsidR="00321C47" w:rsidRDefault="00321C47" w:rsidP="009E4AE2">
      <w:pPr>
        <w:pStyle w:val="BISnumberingBold"/>
      </w:pPr>
    </w:p>
    <w:p w:rsidR="00321C47" w:rsidRPr="00F174A4" w:rsidRDefault="00321C47" w:rsidP="00321C47">
      <w:pPr>
        <w:pStyle w:val="EBBullet"/>
        <w:keepNext/>
        <w:numPr>
          <w:ilvl w:val="0"/>
          <w:numId w:val="0"/>
        </w:numPr>
        <w:tabs>
          <w:tab w:val="left" w:pos="720"/>
        </w:tabs>
        <w:ind w:left="284" w:hanging="284"/>
        <w:rPr>
          <w:sz w:val="24"/>
        </w:rPr>
      </w:pPr>
    </w:p>
    <w:p w:rsidR="00321C47" w:rsidRPr="00556AB7" w:rsidRDefault="00321C47" w:rsidP="00321C47">
      <w:pPr>
        <w:pStyle w:val="Default"/>
        <w:pBdr>
          <w:top w:val="single" w:sz="4" w:space="1" w:color="auto"/>
          <w:left w:val="single" w:sz="4" w:space="4" w:color="auto"/>
          <w:bottom w:val="single" w:sz="4" w:space="1" w:color="auto"/>
          <w:right w:val="single" w:sz="4" w:space="4" w:color="auto"/>
        </w:pBdr>
        <w:rPr>
          <w:i/>
        </w:rPr>
      </w:pPr>
      <w:r w:rsidRPr="00675A4A">
        <w:rPr>
          <w:b/>
        </w:rPr>
        <w:t>Q</w:t>
      </w:r>
      <w:r>
        <w:rPr>
          <w:b/>
        </w:rPr>
        <w:t>6</w:t>
      </w:r>
      <w:r w:rsidRPr="00675A4A">
        <w:rPr>
          <w:b/>
        </w:rPr>
        <w:t>:</w:t>
      </w:r>
      <w:r>
        <w:t xml:space="preserve"> </w:t>
      </w:r>
      <w:r>
        <w:rPr>
          <w:szCs w:val="22"/>
        </w:rPr>
        <w:t>Do you agree with the range of cost savings above? What are the cost savings most likely to be for your company?</w:t>
      </w:r>
    </w:p>
    <w:p w:rsidR="00321C47" w:rsidRDefault="00321C47" w:rsidP="009E4AE2">
      <w:pPr>
        <w:pStyle w:val="BISnumberingBold"/>
      </w:pPr>
    </w:p>
    <w:p w:rsidR="00321C47" w:rsidRDefault="00321C47" w:rsidP="00321C47">
      <w:pPr>
        <w:pStyle w:val="EBBullet"/>
        <w:keepNext/>
        <w:numPr>
          <w:ilvl w:val="0"/>
          <w:numId w:val="0"/>
        </w:numPr>
        <w:tabs>
          <w:tab w:val="left" w:pos="720"/>
        </w:tabs>
        <w:ind w:left="284" w:hanging="284"/>
        <w:rPr>
          <w:sz w:val="24"/>
        </w:rPr>
      </w:pPr>
    </w:p>
    <w:p w:rsidR="00321C47" w:rsidRPr="00556AB7" w:rsidRDefault="00321C47" w:rsidP="00321C47">
      <w:pPr>
        <w:pStyle w:val="EBBullet"/>
        <w:keepNext/>
        <w:numPr>
          <w:ilvl w:val="0"/>
          <w:numId w:val="0"/>
        </w:numPr>
        <w:pBdr>
          <w:top w:val="single" w:sz="4" w:space="1" w:color="auto"/>
          <w:left w:val="single" w:sz="4" w:space="4" w:color="auto"/>
          <w:bottom w:val="single" w:sz="4" w:space="1" w:color="auto"/>
          <w:right w:val="single" w:sz="4" w:space="4" w:color="auto"/>
        </w:pBdr>
        <w:tabs>
          <w:tab w:val="left" w:pos="720"/>
        </w:tabs>
        <w:ind w:left="720" w:hanging="720"/>
        <w:rPr>
          <w:i/>
          <w:sz w:val="24"/>
        </w:rPr>
      </w:pPr>
      <w:r w:rsidRPr="00675A4A">
        <w:rPr>
          <w:b/>
          <w:sz w:val="24"/>
        </w:rPr>
        <w:t>Q</w:t>
      </w:r>
      <w:r>
        <w:rPr>
          <w:b/>
          <w:sz w:val="24"/>
        </w:rPr>
        <w:t>7</w:t>
      </w:r>
      <w:r w:rsidRPr="00675A4A">
        <w:rPr>
          <w:b/>
          <w:sz w:val="24"/>
        </w:rPr>
        <w:t>:</w:t>
      </w:r>
      <w:r>
        <w:rPr>
          <w:sz w:val="24"/>
        </w:rPr>
        <w:t xml:space="preserve"> Are there any other methodologies you think would be more appropriate? </w:t>
      </w:r>
    </w:p>
    <w:p w:rsidR="00321C47" w:rsidRDefault="00321C47" w:rsidP="00321C47">
      <w:pPr>
        <w:pStyle w:val="EBBullet"/>
        <w:keepNext/>
        <w:numPr>
          <w:ilvl w:val="0"/>
          <w:numId w:val="0"/>
        </w:numPr>
        <w:tabs>
          <w:tab w:val="left" w:pos="720"/>
        </w:tabs>
        <w:ind w:left="284" w:hanging="284"/>
        <w:rPr>
          <w:sz w:val="24"/>
        </w:rPr>
      </w:pPr>
    </w:p>
    <w:p w:rsidR="00321C47" w:rsidRDefault="00321C47" w:rsidP="00321C47">
      <w:pPr>
        <w:pStyle w:val="EBBullet"/>
        <w:keepNext/>
        <w:numPr>
          <w:ilvl w:val="0"/>
          <w:numId w:val="0"/>
        </w:numPr>
        <w:tabs>
          <w:tab w:val="left" w:pos="720"/>
        </w:tabs>
        <w:ind w:left="284" w:hanging="284"/>
        <w:rPr>
          <w:sz w:val="24"/>
        </w:rPr>
      </w:pPr>
    </w:p>
    <w:p w:rsidR="00321C47" w:rsidRPr="00556AB7" w:rsidRDefault="00321C47" w:rsidP="00321C47">
      <w:pPr>
        <w:pStyle w:val="EBBullet"/>
        <w:keepNext/>
        <w:numPr>
          <w:ilvl w:val="0"/>
          <w:numId w:val="0"/>
        </w:numPr>
        <w:pBdr>
          <w:top w:val="single" w:sz="4" w:space="1" w:color="auto"/>
          <w:left w:val="single" w:sz="4" w:space="4" w:color="auto"/>
          <w:bottom w:val="single" w:sz="4" w:space="1" w:color="auto"/>
          <w:right w:val="single" w:sz="4" w:space="4" w:color="auto"/>
        </w:pBdr>
        <w:tabs>
          <w:tab w:val="left" w:pos="720"/>
        </w:tabs>
        <w:ind w:left="720" w:hanging="720"/>
        <w:rPr>
          <w:i/>
          <w:sz w:val="24"/>
        </w:rPr>
      </w:pPr>
      <w:r w:rsidRPr="00675A4A">
        <w:rPr>
          <w:b/>
          <w:sz w:val="24"/>
        </w:rPr>
        <w:t>Q</w:t>
      </w:r>
      <w:r>
        <w:rPr>
          <w:b/>
          <w:sz w:val="24"/>
        </w:rPr>
        <w:t>8</w:t>
      </w:r>
      <w:r w:rsidRPr="00675A4A">
        <w:rPr>
          <w:b/>
          <w:sz w:val="24"/>
        </w:rPr>
        <w:t>:</w:t>
      </w:r>
      <w:r>
        <w:rPr>
          <w:sz w:val="24"/>
        </w:rPr>
        <w:t xml:space="preserve"> Do you agree with the cost estimates above? Could you provide alternative estimates? Could you provide estimates of cost savings for upholstered garden furniture and/or caravan upholstered furniture?</w:t>
      </w:r>
    </w:p>
    <w:p w:rsidR="00321C47" w:rsidRDefault="00321C47" w:rsidP="00321C47">
      <w:pPr>
        <w:pStyle w:val="EBBullet"/>
        <w:keepNext/>
        <w:numPr>
          <w:ilvl w:val="0"/>
          <w:numId w:val="0"/>
        </w:numPr>
        <w:tabs>
          <w:tab w:val="left" w:pos="720"/>
        </w:tabs>
        <w:ind w:left="284" w:hanging="284"/>
        <w:rPr>
          <w:sz w:val="24"/>
        </w:rPr>
      </w:pPr>
    </w:p>
    <w:p w:rsidR="00321C47" w:rsidRDefault="00321C47" w:rsidP="00321C47">
      <w:pPr>
        <w:pStyle w:val="EBBullet"/>
        <w:keepNext/>
        <w:numPr>
          <w:ilvl w:val="0"/>
          <w:numId w:val="0"/>
        </w:numPr>
        <w:tabs>
          <w:tab w:val="left" w:pos="720"/>
        </w:tabs>
        <w:ind w:left="720" w:hanging="720"/>
        <w:rPr>
          <w:sz w:val="24"/>
        </w:rPr>
      </w:pPr>
    </w:p>
    <w:p w:rsidR="00321C47" w:rsidRPr="005C5BDA" w:rsidRDefault="00321C47" w:rsidP="00321C47">
      <w:pPr>
        <w:pStyle w:val="EBBullet"/>
        <w:keepNext/>
        <w:numPr>
          <w:ilvl w:val="0"/>
          <w:numId w:val="0"/>
        </w:numPr>
        <w:pBdr>
          <w:top w:val="single" w:sz="4" w:space="1" w:color="auto"/>
          <w:left w:val="single" w:sz="4" w:space="4" w:color="auto"/>
          <w:bottom w:val="single" w:sz="4" w:space="1" w:color="auto"/>
          <w:right w:val="single" w:sz="4" w:space="4" w:color="auto"/>
        </w:pBdr>
        <w:tabs>
          <w:tab w:val="left" w:pos="0"/>
        </w:tabs>
        <w:rPr>
          <w:sz w:val="24"/>
        </w:rPr>
      </w:pPr>
      <w:r w:rsidRPr="00675A4A">
        <w:rPr>
          <w:b/>
          <w:sz w:val="24"/>
        </w:rPr>
        <w:t>Q</w:t>
      </w:r>
      <w:r>
        <w:rPr>
          <w:b/>
          <w:sz w:val="24"/>
        </w:rPr>
        <w:t>9</w:t>
      </w:r>
      <w:r w:rsidRPr="00675A4A">
        <w:rPr>
          <w:b/>
          <w:sz w:val="24"/>
        </w:rPr>
        <w:t>:</w:t>
      </w:r>
      <w:r>
        <w:rPr>
          <w:sz w:val="24"/>
        </w:rPr>
        <w:t xml:space="preserve"> Do you agree with the assumptions above towards calculating the total annual amount of treated fabric? Please provide evidence supporting your arguments.</w:t>
      </w:r>
    </w:p>
    <w:p w:rsidR="00321C47" w:rsidRDefault="00321C47" w:rsidP="009E4AE2">
      <w:pPr>
        <w:pStyle w:val="BISnumberingBold"/>
      </w:pPr>
    </w:p>
    <w:p w:rsidR="00321C47" w:rsidRDefault="00321C47" w:rsidP="00321C47">
      <w:pPr>
        <w:pStyle w:val="EBBullet"/>
        <w:keepNext/>
        <w:numPr>
          <w:ilvl w:val="0"/>
          <w:numId w:val="0"/>
        </w:numPr>
        <w:tabs>
          <w:tab w:val="left" w:pos="720"/>
        </w:tabs>
        <w:ind w:left="720" w:hanging="720"/>
        <w:rPr>
          <w:sz w:val="24"/>
        </w:rPr>
      </w:pPr>
      <w:r>
        <w:rPr>
          <w:sz w:val="24"/>
        </w:rPr>
        <w:tab/>
      </w:r>
    </w:p>
    <w:p w:rsidR="00321C47" w:rsidRPr="00340B88" w:rsidRDefault="00321C47" w:rsidP="00321C47">
      <w:pPr>
        <w:pStyle w:val="EBBullet"/>
        <w:keepNext/>
        <w:numPr>
          <w:ilvl w:val="0"/>
          <w:numId w:val="0"/>
        </w:numPr>
        <w:pBdr>
          <w:top w:val="single" w:sz="4" w:space="1" w:color="auto"/>
          <w:left w:val="single" w:sz="4" w:space="4" w:color="auto"/>
          <w:bottom w:val="single" w:sz="4" w:space="1" w:color="auto"/>
          <w:right w:val="single" w:sz="4" w:space="4" w:color="auto"/>
        </w:pBdr>
        <w:tabs>
          <w:tab w:val="left" w:pos="0"/>
        </w:tabs>
        <w:rPr>
          <w:i/>
          <w:sz w:val="24"/>
        </w:rPr>
      </w:pPr>
      <w:r w:rsidRPr="00675A4A">
        <w:rPr>
          <w:b/>
          <w:sz w:val="24"/>
        </w:rPr>
        <w:t>Q</w:t>
      </w:r>
      <w:r>
        <w:rPr>
          <w:b/>
          <w:sz w:val="24"/>
        </w:rPr>
        <w:t>10</w:t>
      </w:r>
      <w:r w:rsidRPr="00675A4A">
        <w:rPr>
          <w:b/>
          <w:sz w:val="24"/>
        </w:rPr>
        <w:t>:</w:t>
      </w:r>
      <w:r>
        <w:rPr>
          <w:sz w:val="24"/>
        </w:rPr>
        <w:t xml:space="preserve"> Are there any other unquantified costs or benefits? If possible, please  provide evidence supporting your arguments. </w:t>
      </w:r>
    </w:p>
    <w:p w:rsidR="00321C47" w:rsidRDefault="00321C47" w:rsidP="00321C47">
      <w:pPr>
        <w:spacing w:line="276" w:lineRule="auto"/>
        <w:ind w:left="720"/>
      </w:pPr>
    </w:p>
    <w:p w:rsidR="00321C47" w:rsidRPr="00556AB7" w:rsidRDefault="00321C47" w:rsidP="00321C47">
      <w:pPr>
        <w:pStyle w:val="EBBullet"/>
        <w:keepNext/>
        <w:numPr>
          <w:ilvl w:val="0"/>
          <w:numId w:val="0"/>
        </w:numPr>
        <w:pBdr>
          <w:top w:val="single" w:sz="4" w:space="1" w:color="auto"/>
          <w:left w:val="single" w:sz="4" w:space="4" w:color="auto"/>
          <w:bottom w:val="single" w:sz="4" w:space="1" w:color="auto"/>
          <w:right w:val="single" w:sz="4" w:space="4" w:color="auto"/>
        </w:pBdr>
        <w:tabs>
          <w:tab w:val="left" w:pos="0"/>
        </w:tabs>
        <w:rPr>
          <w:i/>
          <w:sz w:val="24"/>
        </w:rPr>
      </w:pPr>
      <w:r w:rsidRPr="00675A4A">
        <w:rPr>
          <w:b/>
          <w:sz w:val="24"/>
        </w:rPr>
        <w:t>Q</w:t>
      </w:r>
      <w:r>
        <w:rPr>
          <w:b/>
          <w:sz w:val="24"/>
        </w:rPr>
        <w:t>11</w:t>
      </w:r>
      <w:r w:rsidRPr="00675A4A">
        <w:rPr>
          <w:b/>
          <w:sz w:val="24"/>
        </w:rPr>
        <w:t>:</w:t>
      </w:r>
      <w:r>
        <w:rPr>
          <w:sz w:val="24"/>
        </w:rPr>
        <w:t xml:space="preserve"> Is this a fair reflection of how smaller businesses will be affected? Please provide evidence supporting your arguments. </w:t>
      </w:r>
    </w:p>
    <w:p w:rsidR="00321C47" w:rsidRDefault="00321C47" w:rsidP="00321C47">
      <w:pPr>
        <w:spacing w:line="276" w:lineRule="auto"/>
        <w:ind w:left="720"/>
      </w:pPr>
    </w:p>
    <w:p w:rsidR="00321C47" w:rsidRPr="00556AB7" w:rsidRDefault="00321C47" w:rsidP="00321C47">
      <w:pPr>
        <w:pStyle w:val="EBBullet"/>
        <w:keepNext/>
        <w:numPr>
          <w:ilvl w:val="0"/>
          <w:numId w:val="0"/>
        </w:numPr>
        <w:pBdr>
          <w:top w:val="single" w:sz="4" w:space="1" w:color="auto"/>
          <w:left w:val="single" w:sz="4" w:space="4" w:color="auto"/>
          <w:bottom w:val="single" w:sz="4" w:space="1" w:color="auto"/>
          <w:right w:val="single" w:sz="4" w:space="4" w:color="auto"/>
        </w:pBdr>
        <w:tabs>
          <w:tab w:val="left" w:pos="0"/>
        </w:tabs>
        <w:rPr>
          <w:i/>
          <w:sz w:val="24"/>
        </w:rPr>
      </w:pPr>
      <w:r w:rsidRPr="00675A4A">
        <w:rPr>
          <w:b/>
          <w:sz w:val="24"/>
        </w:rPr>
        <w:t>Q</w:t>
      </w:r>
      <w:r>
        <w:rPr>
          <w:b/>
          <w:sz w:val="24"/>
        </w:rPr>
        <w:t>12</w:t>
      </w:r>
      <w:r w:rsidRPr="00675A4A">
        <w:rPr>
          <w:b/>
          <w:sz w:val="24"/>
        </w:rPr>
        <w:t>:</w:t>
      </w:r>
      <w:r>
        <w:rPr>
          <w:sz w:val="24"/>
        </w:rPr>
        <w:t xml:space="preserve">  Are the familiarisation cost savings, in time, between options 2 and 4 an accurate reflection of the difference? Please provide evidence supporting your arguments.</w:t>
      </w:r>
    </w:p>
    <w:p w:rsidR="00321C47" w:rsidRDefault="00321C47" w:rsidP="00321C47">
      <w:pPr>
        <w:spacing w:line="276" w:lineRule="auto"/>
        <w:ind w:left="720"/>
      </w:pPr>
    </w:p>
    <w:p w:rsidR="00321C47" w:rsidRPr="00556AB7" w:rsidRDefault="00321C47" w:rsidP="00321C47">
      <w:pPr>
        <w:pStyle w:val="EBBullet"/>
        <w:keepNext/>
        <w:numPr>
          <w:ilvl w:val="0"/>
          <w:numId w:val="0"/>
        </w:numPr>
        <w:pBdr>
          <w:top w:val="single" w:sz="4" w:space="1" w:color="auto"/>
          <w:left w:val="single" w:sz="4" w:space="4" w:color="auto"/>
          <w:bottom w:val="single" w:sz="4" w:space="1" w:color="auto"/>
          <w:right w:val="single" w:sz="4" w:space="4" w:color="auto"/>
        </w:pBdr>
        <w:tabs>
          <w:tab w:val="left" w:pos="0"/>
        </w:tabs>
        <w:rPr>
          <w:i/>
          <w:sz w:val="24"/>
        </w:rPr>
      </w:pPr>
      <w:r w:rsidRPr="00675A4A">
        <w:rPr>
          <w:b/>
          <w:sz w:val="24"/>
        </w:rPr>
        <w:t>Q</w:t>
      </w:r>
      <w:r>
        <w:rPr>
          <w:b/>
          <w:sz w:val="24"/>
        </w:rPr>
        <w:t>13</w:t>
      </w:r>
      <w:r w:rsidRPr="00675A4A">
        <w:rPr>
          <w:b/>
          <w:sz w:val="24"/>
        </w:rPr>
        <w:t>:</w:t>
      </w:r>
      <w:r>
        <w:rPr>
          <w:b/>
          <w:sz w:val="24"/>
        </w:rPr>
        <w:t xml:space="preserve"> </w:t>
      </w:r>
      <w:r>
        <w:rPr>
          <w:sz w:val="24"/>
        </w:rPr>
        <w:t xml:space="preserve"> </w:t>
      </w:r>
      <w:r>
        <w:rPr>
          <w:b/>
          <w:sz w:val="24"/>
        </w:rPr>
        <w:t xml:space="preserve">Q13: </w:t>
      </w:r>
      <w:r>
        <w:rPr>
          <w:sz w:val="24"/>
        </w:rPr>
        <w:t>Do the cost saving time profiles accurately reflect the timings of cost savings your business expect to see?</w:t>
      </w:r>
    </w:p>
    <w:p w:rsidR="00321C47" w:rsidRDefault="00321C47" w:rsidP="00321C47">
      <w:pPr>
        <w:ind w:left="0"/>
      </w:pPr>
    </w:p>
    <w:p w:rsidR="00321C47" w:rsidRDefault="00321C47" w:rsidP="00321C47">
      <w:pPr>
        <w:ind w:left="0"/>
      </w:pPr>
      <w:r>
        <w:t xml:space="preserve">Thank you for your views on this consultation. Thank you for taking the time to let us have your views. We do not intend to acknowledge receipt of individual responses unless you tick the box below. </w:t>
      </w:r>
    </w:p>
    <w:p w:rsidR="00321C47" w:rsidRDefault="00321C47" w:rsidP="00321C47">
      <w:pPr>
        <w:ind w:left="0"/>
      </w:pPr>
      <w:r>
        <w:t xml:space="preserve">Please acknowledge this reply </w:t>
      </w:r>
      <w:r>
        <w:fldChar w:fldCharType="begin">
          <w:ffData>
            <w:name w:val="Check11"/>
            <w:enabled/>
            <w:calcOnExit w:val="0"/>
            <w:checkBox>
              <w:sizeAuto/>
              <w:default w:val="0"/>
            </w:checkBox>
          </w:ffData>
        </w:fldChar>
      </w:r>
      <w:r>
        <w:instrText xml:space="preserve"> FORMCHECKBOX </w:instrText>
      </w:r>
      <w:r w:rsidR="00E27371">
        <w:fldChar w:fldCharType="separate"/>
      </w:r>
      <w:r>
        <w:fldChar w:fldCharType="end"/>
      </w:r>
    </w:p>
    <w:p w:rsidR="00321C47" w:rsidRDefault="00321C47" w:rsidP="00321C47">
      <w:pPr>
        <w:ind w:left="0"/>
      </w:pPr>
      <w:r>
        <w:t xml:space="preserve">At BIS we carry out our research on many different topics and consultations. As your views are valuable to us, would it be okay if we were to contact you again from time to time either for research or to send through consultation documents? </w:t>
      </w:r>
    </w:p>
    <w:p w:rsidR="00321C47" w:rsidRDefault="00321C47" w:rsidP="00321C47">
      <w:pPr>
        <w:ind w:left="0"/>
      </w:pPr>
      <w:r>
        <w:fldChar w:fldCharType="begin">
          <w:ffData>
            <w:name w:val="Check12"/>
            <w:enabled/>
            <w:calcOnExit w:val="0"/>
            <w:checkBox>
              <w:sizeAuto/>
              <w:default w:val="0"/>
            </w:checkBox>
          </w:ffData>
        </w:fldChar>
      </w:r>
      <w:r>
        <w:instrText xml:space="preserve"> FORMCHECKBOX </w:instrText>
      </w:r>
      <w:r w:rsidR="00E27371">
        <w:fldChar w:fldCharType="separate"/>
      </w:r>
      <w:r>
        <w:fldChar w:fldCharType="end"/>
      </w:r>
      <w:r>
        <w:t xml:space="preserve"> Yes    </w:t>
      </w:r>
      <w:r>
        <w:tab/>
      </w:r>
      <w:r>
        <w:tab/>
      </w:r>
      <w:r>
        <w:fldChar w:fldCharType="begin">
          <w:ffData>
            <w:name w:val="Check13"/>
            <w:enabled/>
            <w:calcOnExit w:val="0"/>
            <w:checkBox>
              <w:sizeAuto/>
              <w:default w:val="0"/>
            </w:checkBox>
          </w:ffData>
        </w:fldChar>
      </w:r>
      <w:r>
        <w:instrText xml:space="preserve"> FORMCHECKBOX </w:instrText>
      </w:r>
      <w:r w:rsidR="00E27371">
        <w:fldChar w:fldCharType="separate"/>
      </w:r>
      <w:r>
        <w:fldChar w:fldCharType="end"/>
      </w:r>
      <w:r>
        <w:t xml:space="preserve"> No</w:t>
      </w:r>
    </w:p>
    <w:permEnd w:id="384445002"/>
    <w:p w:rsidR="00F874C7" w:rsidRDefault="00F874C7">
      <w:pPr>
        <w:spacing w:after="0"/>
        <w:ind w:left="0"/>
      </w:pPr>
      <w:r>
        <w:br w:type="page"/>
      </w:r>
    </w:p>
    <w:p w:rsidR="00321C47" w:rsidRDefault="00321C47" w:rsidP="00F874C7">
      <w:pPr>
        <w:spacing w:before="8000"/>
        <w:ind w:left="0"/>
      </w:pPr>
    </w:p>
    <w:p w:rsidR="00321C47" w:rsidRDefault="00321C47" w:rsidP="00321C47">
      <w:pPr>
        <w:spacing w:after="0"/>
        <w:ind w:left="0"/>
        <w:sectPr w:rsidR="00321C47">
          <w:type w:val="continuous"/>
          <w:pgSz w:w="11906" w:h="16838"/>
          <w:pgMar w:top="1701" w:right="680" w:bottom="680" w:left="964" w:header="437" w:footer="267" w:gutter="0"/>
          <w:cols w:space="720"/>
        </w:sectPr>
      </w:pPr>
    </w:p>
    <w:p w:rsidR="00321C47" w:rsidRDefault="00321C47" w:rsidP="00F874C7">
      <w:pPr>
        <w:pStyle w:val="EndpageText"/>
        <w:spacing w:before="9000" w:line="360" w:lineRule="auto"/>
        <w:ind w:left="0"/>
      </w:pPr>
      <w:r>
        <w:lastRenderedPageBreak/>
        <w:t>© Crown copyright 201</w:t>
      </w:r>
      <w:r w:rsidR="00C85DBA">
        <w:t>4</w:t>
      </w:r>
    </w:p>
    <w:p w:rsidR="00321C47" w:rsidRDefault="00321C47" w:rsidP="00321C47">
      <w:pPr>
        <w:ind w:left="0"/>
        <w:rPr>
          <w:sz w:val="20"/>
          <w:szCs w:val="20"/>
        </w:rPr>
      </w:pPr>
      <w:r>
        <w:rPr>
          <w:sz w:val="20"/>
          <w:szCs w:val="20"/>
        </w:rPr>
        <w:t xml:space="preserve">You may re-use this information (not including logos) free of charge in any format or medium, under the terms of the Open Government Licence. Visit </w:t>
      </w:r>
      <w:hyperlink r:id="rId49" w:history="1">
        <w:r>
          <w:rPr>
            <w:rStyle w:val="Hyperlink"/>
            <w:sz w:val="20"/>
            <w:szCs w:val="20"/>
          </w:rPr>
          <w:t>www.nationalarchives.gov.uk/doc/open-government-licence</w:t>
        </w:r>
      </w:hyperlink>
      <w:r>
        <w:rPr>
          <w:sz w:val="20"/>
          <w:szCs w:val="20"/>
        </w:rPr>
        <w:t xml:space="preserve">, write to the Information Policy Team, The National Archives, Kew, London TW9 4DU, or email </w:t>
      </w:r>
      <w:hyperlink r:id="rId50" w:history="1">
        <w:r>
          <w:rPr>
            <w:rStyle w:val="Hyperlink"/>
            <w:sz w:val="20"/>
            <w:szCs w:val="20"/>
          </w:rPr>
          <w:t>psi@nationalarchives.gsi.gov.uk</w:t>
        </w:r>
      </w:hyperlink>
      <w:r>
        <w:rPr>
          <w:sz w:val="20"/>
          <w:szCs w:val="20"/>
        </w:rPr>
        <w:t>.</w:t>
      </w:r>
    </w:p>
    <w:p w:rsidR="00321C47" w:rsidRDefault="00321C47" w:rsidP="00321C47">
      <w:pPr>
        <w:ind w:left="0"/>
        <w:rPr>
          <w:sz w:val="20"/>
          <w:szCs w:val="20"/>
        </w:rPr>
      </w:pPr>
      <w:r>
        <w:rPr>
          <w:sz w:val="20"/>
          <w:szCs w:val="20"/>
        </w:rPr>
        <w:t xml:space="preserve">This publication is available from </w:t>
      </w:r>
      <w:hyperlink r:id="rId51" w:history="1">
        <w:r>
          <w:rPr>
            <w:rStyle w:val="Hyperlink"/>
            <w:sz w:val="20"/>
            <w:szCs w:val="20"/>
          </w:rPr>
          <w:t>www.gov.uk/bis</w:t>
        </w:r>
      </w:hyperlink>
      <w:r>
        <w:rPr>
          <w:sz w:val="20"/>
          <w:szCs w:val="20"/>
        </w:rPr>
        <w:t xml:space="preserve"> </w:t>
      </w:r>
    </w:p>
    <w:p w:rsidR="00321C47" w:rsidRDefault="00321C47" w:rsidP="00321C47">
      <w:pPr>
        <w:spacing w:after="0" w:line="360" w:lineRule="auto"/>
        <w:ind w:left="0"/>
      </w:pPr>
      <w:r>
        <w:rPr>
          <w:sz w:val="20"/>
          <w:szCs w:val="20"/>
        </w:rPr>
        <w:t>Any enquiries regarding this publication should be sent to:</w:t>
      </w:r>
    </w:p>
    <w:p w:rsidR="00321C47" w:rsidRDefault="00321C47" w:rsidP="00321C47">
      <w:pPr>
        <w:pStyle w:val="EndpageText"/>
        <w:spacing w:line="240" w:lineRule="auto"/>
        <w:ind w:left="0"/>
      </w:pPr>
      <w:r>
        <w:t>Department for Business, Innovation and Skills</w:t>
      </w:r>
    </w:p>
    <w:p w:rsidR="00321C47" w:rsidRDefault="00321C47" w:rsidP="00321C47">
      <w:pPr>
        <w:pStyle w:val="EndpageText"/>
        <w:spacing w:line="240" w:lineRule="auto"/>
        <w:ind w:left="0"/>
      </w:pPr>
      <w:r>
        <w:t>1 Victoria Street</w:t>
      </w:r>
    </w:p>
    <w:p w:rsidR="00321C47" w:rsidRDefault="00321C47" w:rsidP="00321C47">
      <w:pPr>
        <w:pStyle w:val="EndpageText"/>
        <w:ind w:left="0"/>
      </w:pPr>
      <w:r>
        <w:t>London SW1H 0ET</w:t>
      </w:r>
    </w:p>
    <w:p w:rsidR="00321C47" w:rsidRDefault="00321C47" w:rsidP="00321C47">
      <w:pPr>
        <w:pStyle w:val="EndpageText"/>
        <w:ind w:left="0"/>
      </w:pPr>
      <w:r>
        <w:t>Tel: 020 7215 5000</w:t>
      </w:r>
    </w:p>
    <w:p w:rsidR="00321C47" w:rsidRDefault="00321C47" w:rsidP="00321C47">
      <w:pPr>
        <w:pStyle w:val="EndpageText"/>
        <w:ind w:left="0"/>
      </w:pPr>
    </w:p>
    <w:p w:rsidR="00321C47" w:rsidRDefault="00321C47" w:rsidP="00321C47">
      <w:pPr>
        <w:pStyle w:val="EndpageText"/>
        <w:ind w:left="0"/>
      </w:pPr>
      <w:r>
        <w:t xml:space="preserve">If you require this publication in an alternative format, </w:t>
      </w:r>
      <w:r>
        <w:rPr>
          <w:szCs w:val="20"/>
        </w:rPr>
        <w:t xml:space="preserve">email </w:t>
      </w:r>
      <w:hyperlink r:id="rId52" w:history="1">
        <w:r w:rsidRPr="003021B0">
          <w:rPr>
            <w:rStyle w:val="Hyperlink"/>
            <w:sz w:val="20"/>
            <w:szCs w:val="20"/>
          </w:rPr>
          <w:t>enquiries@bis.gsi.gov.uk</w:t>
        </w:r>
      </w:hyperlink>
      <w:r>
        <w:rPr>
          <w:szCs w:val="20"/>
        </w:rPr>
        <w:t>, or</w:t>
      </w:r>
      <w:r>
        <w:t xml:space="preserve"> call 020 7215 5000.</w:t>
      </w:r>
    </w:p>
    <w:p w:rsidR="00321C47" w:rsidRDefault="00321C47" w:rsidP="00321C47">
      <w:pPr>
        <w:pStyle w:val="EndpageText"/>
        <w:ind w:left="0"/>
        <w:rPr>
          <w:b/>
          <w:bCs/>
        </w:rPr>
      </w:pPr>
    </w:p>
    <w:p w:rsidR="00FB1EB0" w:rsidRPr="00E30C7E" w:rsidRDefault="00321C47" w:rsidP="00321C47">
      <w:pPr>
        <w:pStyle w:val="EndpageText"/>
        <w:ind w:left="0"/>
        <w:rPr>
          <w:b/>
          <w:bCs/>
        </w:rPr>
      </w:pPr>
      <w:r>
        <w:rPr>
          <w:b/>
        </w:rPr>
        <w:t>BIS/1</w:t>
      </w:r>
      <w:r w:rsidR="006F1A4E">
        <w:rPr>
          <w:b/>
        </w:rPr>
        <w:t>4</w:t>
      </w:r>
      <w:r>
        <w:rPr>
          <w:b/>
        </w:rPr>
        <w:t>/</w:t>
      </w:r>
      <w:bookmarkEnd w:id="98"/>
      <w:r w:rsidR="006C7B0E">
        <w:rPr>
          <w:b/>
        </w:rPr>
        <w:t>980</w:t>
      </w:r>
    </w:p>
    <w:sectPr w:rsidR="00FB1EB0" w:rsidRPr="00E30C7E" w:rsidSect="00321C47">
      <w:headerReference w:type="first" r:id="rId53"/>
      <w:footerReference w:type="first" r:id="rId54"/>
      <w:type w:val="continuous"/>
      <w:pgSz w:w="11906" w:h="16838" w:code="9"/>
      <w:pgMar w:top="1701" w:right="680" w:bottom="680" w:left="964" w:header="437" w:footer="26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48D" w:rsidRDefault="0083348D">
      <w:r>
        <w:separator/>
      </w:r>
    </w:p>
  </w:endnote>
  <w:endnote w:type="continuationSeparator" w:id="0">
    <w:p w:rsidR="0083348D" w:rsidRDefault="00833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ZurichBT-BoldExtraCondensed-AC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48D" w:rsidRDefault="0083348D" w:rsidP="004D6DE1">
    <w:pPr>
      <w:pStyle w:val="EvenPageNumber"/>
    </w:pPr>
    <w:r w:rsidRPr="003966DE">
      <w:rPr>
        <w:rFonts w:cs="Arial"/>
      </w:rPr>
      <w:fldChar w:fldCharType="begin"/>
    </w:r>
    <w:r w:rsidRPr="003966DE">
      <w:rPr>
        <w:rFonts w:cs="Arial"/>
      </w:rPr>
      <w:instrText xml:space="preserve">PAGE  </w:instrText>
    </w:r>
    <w:r w:rsidRPr="003966DE">
      <w:rPr>
        <w:rFonts w:cs="Arial"/>
      </w:rPr>
      <w:fldChar w:fldCharType="separate"/>
    </w:r>
    <w:r>
      <w:rPr>
        <w:rFonts w:cs="Arial"/>
        <w:noProof/>
      </w:rPr>
      <w:t>2</w:t>
    </w:r>
    <w:r w:rsidRPr="003966DE">
      <w:rPr>
        <w:rFonts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48D" w:rsidRPr="001E6A1F" w:rsidRDefault="0083348D" w:rsidP="001E6A1F">
    <w:pPr>
      <w:pStyle w:val="Footer"/>
    </w:pPr>
    <w:r>
      <w:tab/>
    </w:r>
    <w:r>
      <w:tab/>
    </w:r>
    <w:r>
      <w:rPr>
        <w:rStyle w:val="PageNumber"/>
      </w:rPr>
      <w:fldChar w:fldCharType="begin"/>
    </w:r>
    <w:r>
      <w:rPr>
        <w:rStyle w:val="PageNumber"/>
      </w:rPr>
      <w:instrText xml:space="preserve"> PAGE </w:instrText>
    </w:r>
    <w:r>
      <w:rPr>
        <w:rStyle w:val="PageNumber"/>
      </w:rPr>
      <w:fldChar w:fldCharType="separate"/>
    </w:r>
    <w:r w:rsidR="00E27371">
      <w:rPr>
        <w:rStyle w:val="PageNumber"/>
        <w:noProof/>
      </w:rPr>
      <w:t>4</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48D" w:rsidRPr="00EB43FD" w:rsidRDefault="0083348D" w:rsidP="00A43C03">
    <w:pPr>
      <w:pStyle w:val="Footer"/>
    </w:pPr>
    <w:r w:rsidRPr="00EB43FD">
      <w:rPr>
        <w:rStyle w:val="PageNumber"/>
        <w:rFonts w:eastAsia="SimSun"/>
        <w:b/>
        <w:szCs w:val="18"/>
      </w:rPr>
      <w:fldChar w:fldCharType="begin"/>
    </w:r>
    <w:r w:rsidRPr="00EB43FD">
      <w:rPr>
        <w:rStyle w:val="PageNumber"/>
        <w:rFonts w:eastAsia="SimSun"/>
        <w:b/>
        <w:szCs w:val="18"/>
      </w:rPr>
      <w:instrText xml:space="preserve"> PAGE </w:instrText>
    </w:r>
    <w:r w:rsidRPr="00EB43FD">
      <w:rPr>
        <w:rStyle w:val="PageNumber"/>
        <w:rFonts w:eastAsia="SimSun"/>
        <w:b/>
        <w:szCs w:val="18"/>
      </w:rPr>
      <w:fldChar w:fldCharType="separate"/>
    </w:r>
    <w:r w:rsidR="00E27371">
      <w:rPr>
        <w:rStyle w:val="PageNumber"/>
        <w:rFonts w:eastAsia="SimSun"/>
        <w:b/>
        <w:noProof/>
        <w:szCs w:val="18"/>
      </w:rPr>
      <w:t>14</w:t>
    </w:r>
    <w:r w:rsidRPr="00EB43FD">
      <w:rPr>
        <w:rStyle w:val="PageNumber"/>
        <w:rFonts w:eastAsia="SimSun"/>
        <w:b/>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48D" w:rsidRPr="00FC3779" w:rsidRDefault="0083348D" w:rsidP="00FC3779">
    <w:pPr>
      <w:rPr>
        <w:rStyle w:val="Page1White"/>
        <w:rFonts w:ascii="Times New Roman" w:hAnsi="Times New Roman"/>
        <w:color w:val="auto"/>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48D" w:rsidRDefault="0083348D">
      <w:r>
        <w:separator/>
      </w:r>
    </w:p>
  </w:footnote>
  <w:footnote w:type="continuationSeparator" w:id="0">
    <w:p w:rsidR="0083348D" w:rsidRDefault="0083348D">
      <w:r>
        <w:continuationSeparator/>
      </w:r>
    </w:p>
  </w:footnote>
  <w:footnote w:id="1">
    <w:p w:rsidR="0083348D" w:rsidRPr="00AE47BD" w:rsidRDefault="0083348D" w:rsidP="00AE47BD">
      <w:pPr>
        <w:autoSpaceDE w:val="0"/>
        <w:autoSpaceDN w:val="0"/>
        <w:adjustRightInd w:val="0"/>
        <w:spacing w:after="0"/>
        <w:ind w:left="0"/>
        <w:rPr>
          <w:sz w:val="16"/>
          <w:szCs w:val="16"/>
        </w:rPr>
      </w:pPr>
      <w:r>
        <w:rPr>
          <w:rStyle w:val="FootnoteReference"/>
        </w:rPr>
        <w:footnoteRef/>
      </w:r>
      <w:r>
        <w:t xml:space="preserve"> </w:t>
      </w:r>
      <w:r w:rsidRPr="00AE47BD">
        <w:rPr>
          <w:sz w:val="16"/>
          <w:szCs w:val="16"/>
        </w:rPr>
        <w:t>“</w:t>
      </w:r>
      <w:r w:rsidRPr="00AE47BD">
        <w:rPr>
          <w:rFonts w:cs="Arial"/>
          <w:bCs/>
          <w:sz w:val="16"/>
          <w:szCs w:val="16"/>
          <w:lang w:eastAsia="en-GB"/>
        </w:rPr>
        <w:t>A statistical report to investigate the effectiveness of</w:t>
      </w:r>
      <w:r>
        <w:rPr>
          <w:rFonts w:cs="Arial"/>
          <w:bCs/>
          <w:sz w:val="16"/>
          <w:szCs w:val="16"/>
          <w:lang w:eastAsia="en-GB"/>
        </w:rPr>
        <w:t xml:space="preserve"> </w:t>
      </w:r>
      <w:r w:rsidRPr="00AE47BD">
        <w:rPr>
          <w:rFonts w:cs="Arial"/>
          <w:bCs/>
          <w:sz w:val="16"/>
          <w:szCs w:val="16"/>
          <w:lang w:eastAsia="en-GB"/>
        </w:rPr>
        <w:t>the Furniture and Furnishings (Fire) (Safety)</w:t>
      </w:r>
      <w:r>
        <w:rPr>
          <w:rFonts w:cs="Arial"/>
          <w:bCs/>
          <w:sz w:val="16"/>
          <w:szCs w:val="16"/>
          <w:lang w:eastAsia="en-GB"/>
        </w:rPr>
        <w:t xml:space="preserve"> </w:t>
      </w:r>
      <w:r w:rsidRPr="00AE47BD">
        <w:rPr>
          <w:rFonts w:cs="Arial"/>
          <w:bCs/>
          <w:sz w:val="16"/>
          <w:szCs w:val="16"/>
          <w:lang w:eastAsia="en-GB"/>
        </w:rPr>
        <w:t>Regulations 1988</w:t>
      </w:r>
      <w:r>
        <w:rPr>
          <w:rFonts w:cs="Arial"/>
          <w:bCs/>
          <w:sz w:val="16"/>
          <w:szCs w:val="16"/>
          <w:lang w:eastAsia="en-GB"/>
        </w:rPr>
        <w:t xml:space="preserve">” – Greenstreet Berman, December 2009: </w:t>
      </w:r>
      <w:r w:rsidRPr="00AE47BD">
        <w:rPr>
          <w:rFonts w:cs="Arial"/>
          <w:bCs/>
          <w:sz w:val="16"/>
          <w:szCs w:val="16"/>
          <w:lang w:eastAsia="en-GB"/>
        </w:rPr>
        <w:t>http://www.berr.gov.uk/files/file54041.pdf</w:t>
      </w:r>
    </w:p>
  </w:footnote>
  <w:footnote w:id="2">
    <w:p w:rsidR="0083348D" w:rsidRDefault="0083348D" w:rsidP="00A43C03">
      <w:pPr>
        <w:pStyle w:val="FootnoteText"/>
      </w:pPr>
      <w:r>
        <w:rPr>
          <w:rStyle w:val="FootnoteReference"/>
        </w:rPr>
        <w:footnoteRef/>
      </w:r>
      <w:r>
        <w:t xml:space="preserve"> "A statistical report to investigate the effectiveness of the Furniture and Furnishings (Fire) (Safety) Regulations 1988" by Greenstreet Berman Ltd 2009, commissioned by BIS.</w:t>
      </w:r>
    </w:p>
  </w:footnote>
  <w:footnote w:id="3">
    <w:p w:rsidR="0083348D" w:rsidRDefault="0083348D" w:rsidP="00A43C03">
      <w:pPr>
        <w:pStyle w:val="FootnoteText"/>
      </w:pPr>
      <w:r>
        <w:rPr>
          <w:rStyle w:val="FootnoteReference"/>
        </w:rPr>
        <w:footnoteRef/>
      </w:r>
      <w:r>
        <w:t xml:space="preserve"> Estimate provided by both Intertek, one of the UK's largest test houses, and Clarkson Textiles, the largest chemical treatment company in the EU, verified by further testing undertaken by the Furniture Industry Research Association (see Annex 3 above).</w:t>
      </w:r>
    </w:p>
  </w:footnote>
  <w:footnote w:id="4">
    <w:p w:rsidR="0083348D" w:rsidRDefault="0083348D" w:rsidP="00A43C03">
      <w:pPr>
        <w:pStyle w:val="FootnoteText"/>
      </w:pPr>
      <w:r>
        <w:rPr>
          <w:rStyle w:val="FootnoteReference"/>
        </w:rPr>
        <w:footnoteRef/>
      </w:r>
      <w:r>
        <w:t xml:space="preserve"> EU furniture flammability falls under the General Product Safety Directive. This requires suppliers to ensure their products are safe. Safety is demonstrated by recommended standards. The recommended standard in this case is EN 1021 Parts 1&amp;2, which provides a match and cigarette test based originally on the FFRs (with slight differences). There is no fillings test. BIS understands, from test houses and standards-makers from other Member States, that most EU furniture at best complies with the cigarette test, which is the weakest of the two. </w:t>
      </w:r>
    </w:p>
  </w:footnote>
  <w:footnote w:id="5">
    <w:p w:rsidR="0083348D" w:rsidRDefault="0083348D" w:rsidP="00A43C03">
      <w:pPr>
        <w:pStyle w:val="FootnoteText"/>
      </w:pPr>
      <w:r>
        <w:rPr>
          <w:rStyle w:val="FootnoteReference"/>
        </w:rPr>
        <w:footnoteRef/>
      </w:r>
      <w:r>
        <w:t xml:space="preserve"> See Annex 1 above for links to sample papers.</w:t>
      </w:r>
    </w:p>
  </w:footnote>
  <w:footnote w:id="6">
    <w:p w:rsidR="0083348D" w:rsidRDefault="0083348D" w:rsidP="00A43C03">
      <w:pPr>
        <w:pStyle w:val="FootnoteText"/>
      </w:pPr>
      <w:r>
        <w:rPr>
          <w:rStyle w:val="FootnoteReference"/>
        </w:rPr>
        <w:footnoteRef/>
      </w:r>
      <w:r>
        <w:t xml:space="preserve"> ONS Annual Business Survey, November 2013 release. Manufacturers of mattresses and manufacturers of other furniture were assumed to comprise the upholstered furniture sector, SIC codes 31.03 and 31.09.</w:t>
      </w:r>
    </w:p>
  </w:footnote>
  <w:footnote w:id="7">
    <w:p w:rsidR="0083348D" w:rsidRDefault="0083348D" w:rsidP="00A43C03">
      <w:pPr>
        <w:pStyle w:val="FootnoteText"/>
      </w:pPr>
      <w:r>
        <w:rPr>
          <w:rStyle w:val="FootnoteReference"/>
        </w:rPr>
        <w:footnoteRef/>
      </w:r>
      <w:r>
        <w:t xml:space="preserve"> BIS analysis of Prodcom data.</w:t>
      </w:r>
    </w:p>
  </w:footnote>
  <w:footnote w:id="8">
    <w:p w:rsidR="0083348D" w:rsidRDefault="0083348D" w:rsidP="00A43C03">
      <w:pPr>
        <w:pStyle w:val="FootnoteText"/>
      </w:pPr>
      <w:r>
        <w:rPr>
          <w:rStyle w:val="FootnoteReference"/>
        </w:rPr>
        <w:footnoteRef/>
      </w:r>
      <w:r>
        <w:t xml:space="preserve"> Cost savings provided by UK test houses.</w:t>
      </w:r>
    </w:p>
  </w:footnote>
  <w:footnote w:id="9">
    <w:p w:rsidR="0083348D" w:rsidRPr="00977683" w:rsidRDefault="0083348D" w:rsidP="00A43C03">
      <w:pPr>
        <w:pStyle w:val="EBBullet"/>
        <w:keepNext/>
        <w:numPr>
          <w:ilvl w:val="0"/>
          <w:numId w:val="0"/>
        </w:numPr>
        <w:tabs>
          <w:tab w:val="left" w:pos="720"/>
        </w:tabs>
        <w:ind w:left="284" w:hanging="284"/>
      </w:pPr>
      <w:r w:rsidRPr="0008764C">
        <w:rPr>
          <w:rFonts w:eastAsia="SimSun" w:cs="Times New Roman"/>
          <w:bCs w:val="0"/>
          <w:color w:val="auto"/>
          <w:sz w:val="16"/>
          <w:szCs w:val="20"/>
          <w:lang w:eastAsia="zh-CN"/>
        </w:rPr>
        <w:footnoteRef/>
      </w:r>
      <w:r w:rsidRPr="0008764C">
        <w:rPr>
          <w:rFonts w:eastAsia="SimSun" w:cs="Times New Roman"/>
          <w:bCs w:val="0"/>
          <w:color w:val="auto"/>
          <w:sz w:val="16"/>
          <w:szCs w:val="20"/>
          <w:lang w:eastAsia="zh-CN"/>
        </w:rPr>
        <w:t xml:space="preserve"> Hourly salary assumed to be £13. 2012 ASHE data - Managers and directors in retail and wholesale, this was up-rated by 17.8% to account for non-wage costs.</w:t>
      </w:r>
      <w:r>
        <w:t xml:space="preserve"> </w:t>
      </w:r>
    </w:p>
  </w:footnote>
  <w:footnote w:id="10">
    <w:p w:rsidR="0083348D" w:rsidRDefault="0083348D" w:rsidP="00A43C03">
      <w:pPr>
        <w:pStyle w:val="FootnoteText"/>
      </w:pPr>
      <w:r>
        <w:rPr>
          <w:rStyle w:val="FootnoteReference"/>
        </w:rPr>
        <w:footnoteRef/>
      </w:r>
      <w:r>
        <w:t xml:space="preserve"> Taken from FIRA (2012) ‘Statistics Digest for the UK furniture Industry’ table at page 20</w:t>
      </w:r>
    </w:p>
  </w:footnote>
  <w:footnote w:id="11">
    <w:p w:rsidR="0083348D" w:rsidRDefault="0083348D" w:rsidP="00A43C03">
      <w:pPr>
        <w:pStyle w:val="FootnoteText"/>
      </w:pPr>
      <w:r>
        <w:rPr>
          <w:rStyle w:val="FootnoteReference"/>
        </w:rPr>
        <w:footnoteRef/>
      </w:r>
      <w:r>
        <w:t xml:space="preserve"> The requirements for non-domestic furniture - The Regulatory Reform (Fire Safety) Order 2005 - proposes similar flammability requirements for upholstered furniture to the FFRs (sometimes the same as). We have not quantified it for the purposes of this report but there may well be savings for non-domestic suppliers to be made from the new match test. </w:t>
      </w:r>
    </w:p>
  </w:footnote>
  <w:footnote w:id="12">
    <w:p w:rsidR="0083348D" w:rsidRDefault="0083348D" w:rsidP="00A43C03">
      <w:pPr>
        <w:pStyle w:val="FootnoteText"/>
      </w:pPr>
      <w:r>
        <w:rPr>
          <w:rStyle w:val="FootnoteReference"/>
        </w:rPr>
        <w:footnoteRef/>
      </w:r>
      <w:r>
        <w:t xml:space="preserve"> Cost savings provided by UK test houses</w:t>
      </w:r>
    </w:p>
  </w:footnote>
  <w:footnote w:id="13">
    <w:p w:rsidR="0083348D" w:rsidRDefault="0083348D" w:rsidP="00A43C03">
      <w:pPr>
        <w:pStyle w:val="FootnoteText"/>
      </w:pPr>
      <w:r>
        <w:rPr>
          <w:rStyle w:val="FootnoteReference"/>
        </w:rPr>
        <w:footnoteRef/>
      </w:r>
      <w:r>
        <w:t xml:space="preserve"> Ibid.</w:t>
      </w:r>
    </w:p>
  </w:footnote>
  <w:footnote w:id="14">
    <w:p w:rsidR="0083348D" w:rsidRDefault="0083348D" w:rsidP="00A43C03">
      <w:pPr>
        <w:pStyle w:val="FootnoteText"/>
      </w:pPr>
      <w:r>
        <w:rPr>
          <w:rStyle w:val="FootnoteReference"/>
        </w:rPr>
        <w:footnoteRef/>
      </w:r>
      <w:r>
        <w:t xml:space="preserve"> Clarkson Textiles Ltd</w:t>
      </w:r>
    </w:p>
  </w:footnote>
  <w:footnote w:id="15">
    <w:p w:rsidR="0083348D" w:rsidRDefault="0083348D" w:rsidP="00A43C03">
      <w:pPr>
        <w:pStyle w:val="FootnoteText"/>
      </w:pPr>
      <w:r>
        <w:rPr>
          <w:rStyle w:val="FootnoteReference"/>
        </w:rPr>
        <w:footnoteRef/>
      </w:r>
      <w:r>
        <w:t xml:space="preserve">ONS Annual Business Survey, November 2013 release. Manufacturers of mattresses and manufacturers of other furniture were assumed to comprise the upholstered furniture sector, SIC codes 31.03 and 31.09 </w:t>
      </w:r>
    </w:p>
  </w:footnote>
  <w:footnote w:id="16">
    <w:p w:rsidR="0083348D" w:rsidRPr="00EA1BB3" w:rsidRDefault="0083348D" w:rsidP="00A43C03">
      <w:pPr>
        <w:pStyle w:val="FootnoteText"/>
      </w:pPr>
      <w:r>
        <w:rPr>
          <w:rStyle w:val="FootnoteReference"/>
        </w:rPr>
        <w:footnoteRef/>
      </w:r>
      <w:r>
        <w:t xml:space="preserve"> </w:t>
      </w:r>
      <w:r w:rsidRPr="00EA1BB3">
        <w:t>http://epp.eurostat.ec.europa.eu/portal/page/portal/prodcom/introduction</w:t>
      </w:r>
    </w:p>
  </w:footnote>
  <w:footnote w:id="17">
    <w:p w:rsidR="0083348D" w:rsidRPr="00EA1BB3" w:rsidRDefault="0083348D" w:rsidP="00A43C03">
      <w:pPr>
        <w:pStyle w:val="FootnoteText"/>
      </w:pPr>
      <w:r>
        <w:rPr>
          <w:rStyle w:val="FootnoteReference"/>
        </w:rPr>
        <w:footnoteRef/>
      </w:r>
      <w:r>
        <w:t xml:space="preserve"> Ibid</w:t>
      </w:r>
    </w:p>
  </w:footnote>
  <w:footnote w:id="18">
    <w:p w:rsidR="0083348D" w:rsidRDefault="0083348D" w:rsidP="00A43C03">
      <w:pPr>
        <w:pStyle w:val="FootnoteText"/>
      </w:pPr>
      <w:r>
        <w:rPr>
          <w:rStyle w:val="FootnoteReference"/>
        </w:rPr>
        <w:footnoteRef/>
      </w:r>
      <w:r>
        <w:t xml:space="preserve"> £6m annual cost savings estimated by the Baby Products Association (BPA) based on a survey of their members.</w:t>
      </w:r>
    </w:p>
  </w:footnote>
  <w:footnote w:id="19">
    <w:p w:rsidR="0083348D" w:rsidRDefault="0083348D" w:rsidP="00A43C03">
      <w:pPr>
        <w:pStyle w:val="FootnoteText"/>
      </w:pPr>
      <w:r>
        <w:rPr>
          <w:rStyle w:val="FootnoteReference"/>
        </w:rPr>
        <w:footnoteRef/>
      </w:r>
      <w:r>
        <w:t xml:space="preserve"> One sofa and two chairs was estimated to use 40m2 of treated fabric following discussions with manufacturers</w:t>
      </w:r>
    </w:p>
  </w:footnote>
  <w:footnote w:id="20">
    <w:p w:rsidR="0083348D" w:rsidRDefault="0083348D" w:rsidP="00A43C03">
      <w:pPr>
        <w:pStyle w:val="FootnoteText"/>
      </w:pPr>
      <w:r>
        <w:rPr>
          <w:rStyle w:val="FootnoteReference"/>
        </w:rPr>
        <w:footnoteRef/>
      </w:r>
      <w:r>
        <w:t xml:space="preserve"> A</w:t>
      </w:r>
      <w:r w:rsidRPr="00D96DB7">
        <w:rPr>
          <w:rFonts w:cs="Arial"/>
          <w:lang w:eastAsia="en-GB"/>
        </w:rPr>
        <w:t xml:space="preserve">vailable at: http://www.ons.gov.uk/ons/rel/family-demography/families-and-households/2012/stb-families-households.html  </w:t>
      </w:r>
    </w:p>
  </w:footnote>
  <w:footnote w:id="21">
    <w:p w:rsidR="0083348D" w:rsidRDefault="0083348D" w:rsidP="00A43C03">
      <w:pPr>
        <w:pStyle w:val="FootnoteText"/>
      </w:pPr>
      <w:r>
        <w:rPr>
          <w:rStyle w:val="FootnoteReference"/>
        </w:rPr>
        <w:footnoteRef/>
      </w:r>
      <w:r>
        <w:t xml:space="preserve"> £6m annual cost savings estimated by the Baby Products Association based on a survey of their members</w:t>
      </w:r>
    </w:p>
  </w:footnote>
  <w:footnote w:id="22">
    <w:p w:rsidR="0083348D" w:rsidRDefault="0083348D" w:rsidP="00A43C03">
      <w:pPr>
        <w:pStyle w:val="FootnoteText"/>
      </w:pPr>
      <w:r>
        <w:rPr>
          <w:rStyle w:val="FootnoteReference"/>
        </w:rPr>
        <w:footnoteRef/>
      </w:r>
      <w:r>
        <w:t xml:space="preserve"> Registration, Evaluation, Authorisation and restriction of Chemicals - European regulation that came into force in 2007.</w:t>
      </w:r>
    </w:p>
  </w:footnote>
  <w:footnote w:id="23">
    <w:p w:rsidR="0083348D" w:rsidRDefault="0083348D" w:rsidP="00A43C03">
      <w:pPr>
        <w:pStyle w:val="FootnoteText"/>
      </w:pPr>
      <w:r>
        <w:rPr>
          <w:rStyle w:val="FootnoteReference"/>
        </w:rPr>
        <w:footnoteRef/>
      </w:r>
      <w:r>
        <w:t xml:space="preserve"> FIRA (2012): ‘Statistics Digest for the UK furniture Industry’ table at page 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48D" w:rsidRPr="00D90412" w:rsidRDefault="0083348D" w:rsidP="00D90412">
    <w:r>
      <w:rPr>
        <w:noProof/>
        <w:lang w:eastAsia="en-GB"/>
      </w:rPr>
      <mc:AlternateContent>
        <mc:Choice Requires="wps">
          <w:drawing>
            <wp:anchor distT="0" distB="0" distL="114300" distR="114300" simplePos="0" relativeHeight="251662336" behindDoc="0" locked="0" layoutInCell="1" allowOverlap="1" wp14:anchorId="091F29EE" wp14:editId="0B984BA2">
              <wp:simplePos x="0" y="0"/>
              <wp:positionH relativeFrom="column">
                <wp:posOffset>-33655</wp:posOffset>
              </wp:positionH>
              <wp:positionV relativeFrom="paragraph">
                <wp:posOffset>167640</wp:posOffset>
              </wp:positionV>
              <wp:extent cx="6559550" cy="0"/>
              <wp:effectExtent l="0" t="0" r="0" b="0"/>
              <wp:wrapTight wrapText="bothSides">
                <wp:wrapPolygon edited="0">
                  <wp:start x="0" y="-2147483648"/>
                  <wp:lineTo x="690" y="-2147483648"/>
                  <wp:lineTo x="690" y="-2147483648"/>
                  <wp:lineTo x="0" y="-2147483648"/>
                  <wp:lineTo x="0" y="-2147483648"/>
                </wp:wrapPolygon>
              </wp:wrapTight>
              <wp:docPr id="1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9550" cy="0"/>
                      </a:xfrm>
                      <a:prstGeom prst="line">
                        <a:avLst/>
                      </a:prstGeom>
                      <a:noFill/>
                      <a:ln w="12700">
                        <a:solidFill>
                          <a:srgbClr val="0066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13.2pt" to="513.8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JK/FgIAACsEAAAOAAAAZHJzL2Uyb0RvYy54bWysU8GO2jAQvVfqP1i5QxIashARVlUCvdAW&#10;abcfYGyHWHVsyzYEVPXfOzYJYttLVfXijDMzb97MG6+eL51AZ2YsV7KM0mkSISaJolwey+jb63ay&#10;iJB1WFIslGRldGU2el6/f7fqdcFmqlWCMoMARNqi12XUOqeLOLakZR22U6WZBGejTIcdXM0xpgb3&#10;gN6JeJYkedwrQ7VRhFkLf+ubM1oH/KZhxH1tGsscEmUE3Fw4TTgP/ozXK1wcDdYtJwMN/A8sOswl&#10;FL1D1dhhdDL8D6iOE6OsatyUqC5WTcMJCz1AN2nyWzcvLdYs9ALDsfo+Jvv/YMmX894gTkG7NEIS&#10;d6DRjkuGZpmfTa9tASGV3BvfHbnIF71T5LtFUlUtlkcWOL5eNeSlPiN+k+IvVkOFQ/9ZUYjBJ6fC&#10;oC6N6TwkjABdgh7Xux7s4hCBn/l8vpzPQTYy+mJcjInaWPeJqQ55o4wEkA7A+LyzzhPBxRji60i1&#10;5UIEuYVEPbCdPSVJyLBKcOq9Ps6a46ESBp2x35gkz6sqtAWexzCjTpIGtJZhuhlsh7m42VBdSI8H&#10;vQCfwbqtxI9lstwsNotsks3yzSRL6nrycVtlk3ybPs3rD3VV1elPTy3NipZTyqRnN65nmv2d/MND&#10;uS3WfUHvc4jfooeBAdnxG0gHMb1+t004KHrdm1Fk2MgQPLwev/KPd7Af3/j6FwAAAP//AwBQSwME&#10;FAAGAAgAAAAhAJTetkzfAAAACQEAAA8AAABkcnMvZG93bnJldi54bWxMj0FPwkAQhe8m/ofNmHiD&#10;XYuC1m6JUTHEiwHR89Ad20p3tukuUPn1LvEgxzfv5b1vsmlvG7GjzteONVwNFQjiwpmaSw2r99ng&#10;FoQPyAYbx6ThhzxM8/OzDFPj9ryg3TKUIpawT1FDFUKbSumLiiz6oWuJo/flOoshyq6UpsN9LLeN&#10;TJQaS4s1x4UKW3qsqNgst1bDB789fd+tRpvDC6viE2fz59eD0/ryon+4BxGoD/9hOOJHdMgj09pt&#10;2XjRaBjcjGJSQzK+BnH0VTKZgFj/XWSeydMP8l8AAAD//wMAUEsBAi0AFAAGAAgAAAAhALaDOJL+&#10;AAAA4QEAABMAAAAAAAAAAAAAAAAAAAAAAFtDb250ZW50X1R5cGVzXS54bWxQSwECLQAUAAYACAAA&#10;ACEAOP0h/9YAAACUAQAACwAAAAAAAAAAAAAAAAAvAQAAX3JlbHMvLnJlbHNQSwECLQAUAAYACAAA&#10;ACEA31SSvxYCAAArBAAADgAAAAAAAAAAAAAAAAAuAgAAZHJzL2Uyb0RvYy54bWxQSwECLQAUAAYA&#10;CAAAACEAlN62TN8AAAAJAQAADwAAAAAAAAAAAAAAAABwBAAAZHJzL2Rvd25yZXYueG1sUEsFBgAA&#10;AAAEAAQA8wAAAHwFAAAAAA==&#10;" strokecolor="#06c" strokeweight="1pt">
              <w10:wrap type="tight"/>
            </v:line>
          </w:pict>
        </mc:Fallback>
      </mc:AlternateContent>
    </w:r>
    <w:r w:rsidRPr="00D90412">
      <w:t>DECC running header</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48D" w:rsidRPr="004367F6" w:rsidRDefault="0083348D" w:rsidP="004367F6">
    <w:pPr>
      <w:pStyle w:val="BISEvenHeader"/>
    </w:pPr>
    <w:r>
      <w:rPr>
        <w:noProof/>
        <w:lang w:eastAsia="en-GB"/>
      </w:rPr>
      <mc:AlternateContent>
        <mc:Choice Requires="wps">
          <w:drawing>
            <wp:anchor distT="0" distB="0" distL="114300" distR="114300" simplePos="0" relativeHeight="251657216" behindDoc="0" locked="0" layoutInCell="1" allowOverlap="1" wp14:anchorId="67D2BA45" wp14:editId="1A40E53A">
              <wp:simplePos x="0" y="0"/>
              <wp:positionH relativeFrom="page">
                <wp:posOffset>0</wp:posOffset>
              </wp:positionH>
              <wp:positionV relativeFrom="page">
                <wp:posOffset>431800</wp:posOffset>
              </wp:positionV>
              <wp:extent cx="7560310" cy="0"/>
              <wp:effectExtent l="0" t="0" r="0" b="0"/>
              <wp:wrapTight wrapText="bothSides">
                <wp:wrapPolygon edited="0">
                  <wp:start x="2" y="-2147483648"/>
                  <wp:lineTo x="689" y="-2147483648"/>
                  <wp:lineTo x="689" y="-2147483648"/>
                  <wp:lineTo x="2" y="-2147483648"/>
                  <wp:lineTo x="2" y="-2147483648"/>
                </wp:wrapPolygon>
              </wp:wrapTight>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12700">
                        <a:solidFill>
                          <a:srgbClr val="00347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34pt" to="595.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VSjFQIAACkEAAAOAAAAZHJzL2Uyb0RvYy54bWysU02P2jAQvVfqf7B8hySQ5SMirCoCvdAu&#10;0m5/gLEdYtWxLdsQUNX/3rEhiG0vVdWLPfbMPL+ZN148n1uJTtw6oVWJs2GKEVdUM6EOJf72thnM&#10;MHKeKEakVrzEF+7w8/Ljh0VnCj7SjZaMWwQgyhWdKXHjvSmSxNGGt8QNteEKnLW2LfFwtIeEWdIB&#10;eiuTUZpOkk5bZqym3Dm4ra5OvIz4dc2pf6lrxz2SJQZuPq42rvuwJssFKQ6WmEbQGw3yDyxaIhQ8&#10;eoeqiCfoaMUfUK2gVjtd+yHVbaLrWlAea4BqsvS3al4bYnisBZrjzL1N7v/B0q+nnUWClXiMkSIt&#10;SLQViqN56ExnXAEBK7WzoTZ6Vq9mq+l3h5ReNUQdeGT4djGQloWM5F1KODgD+Pvui2YQQ45exzad&#10;a9sGSGgAOkc1Lnc1+NkjCpfTp0k6zkA02vsSUvSJxjr/mesWBaPEEjhHYHLaOh+IkKIPCe8ovRFS&#10;RrGlQh2wHU3TNGY4LQUL3hDn7GG/khadSJiXdJxPZ7Es8DyGWX1ULKI1nLD1zfZEyKsNr0sV8KAW&#10;4HOzrgPxY57O17P1LB/ko8l6kKdVNfi0WeWDySabPlXjarWqsp+BWpYXjWCMq8CuH84s/zvxb9/k&#10;Olb38bz3IXmPHhsGZPs9ko5iBv2uk7DX7LKzvcgwjzH49nfCwD+ewX784ctfAAAA//8DAFBLAwQU&#10;AAYACAAAACEAlK9P7NsAAAAHAQAADwAAAGRycy9kb3ducmV2LnhtbEyPwU7DQAxE70j8w8pI3Oim&#10;RQolZFMBggPigEj7AU7WJIGsN8o6afh7tuIAJ2s81sxzvltcr2YaQ+fZwHqVgCKuve24MXDYP19t&#10;QQVBtth7JgPfFGBXnJ/lmFl/5HeaS2lUDOGQoYFWZMi0DnVLDsPKD8TR+/CjQ4lybLQd8RjDXa83&#10;SZJqhx3HhhYHemyp/ionZ8Aeyql289PN/kVraa7fXjcPn5UxlxfL/R0ooUX+juGEH9GhiEyVn9gG&#10;1RuIj4iBdBvnyV3fJimo6neji1z/5y9+AAAA//8DAFBLAQItABQABgAIAAAAIQC2gziS/gAAAOEB&#10;AAATAAAAAAAAAAAAAAAAAAAAAABbQ29udGVudF9UeXBlc10ueG1sUEsBAi0AFAAGAAgAAAAhADj9&#10;If/WAAAAlAEAAAsAAAAAAAAAAAAAAAAALwEAAF9yZWxzLy5yZWxzUEsBAi0AFAAGAAgAAAAhANB1&#10;VKMVAgAAKQQAAA4AAAAAAAAAAAAAAAAALgIAAGRycy9lMm9Eb2MueG1sUEsBAi0AFAAGAAgAAAAh&#10;AJSvT+zbAAAABwEAAA8AAAAAAAAAAAAAAAAAbwQAAGRycy9kb3ducmV2LnhtbFBLBQYAAAAABAAE&#10;APMAAAB3BQAAAAA=&#10;" strokecolor="#003478" strokeweight="1pt">
              <w10:wrap type="tight" anchorx="page" anchory="page"/>
            </v:line>
          </w:pict>
        </mc:Fallback>
      </mc:AlternateContent>
    </w:r>
    <w:r>
      <w:t>BIS running header</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48D" w:rsidRPr="00D90412" w:rsidRDefault="0083348D" w:rsidP="00A95640">
    <w:pPr>
      <w:pStyle w:val="BISOddHeader"/>
    </w:pPr>
    <w:r>
      <w:rPr>
        <w:noProof/>
        <w:lang w:eastAsia="en-GB"/>
      </w:rPr>
      <mc:AlternateContent>
        <mc:Choice Requires="wps">
          <w:drawing>
            <wp:anchor distT="0" distB="0" distL="114300" distR="114300" simplePos="0" relativeHeight="251656192" behindDoc="0" locked="0" layoutInCell="1" allowOverlap="1" wp14:anchorId="46A694B9" wp14:editId="7FA44EF3">
              <wp:simplePos x="0" y="0"/>
              <wp:positionH relativeFrom="page">
                <wp:posOffset>0</wp:posOffset>
              </wp:positionH>
              <wp:positionV relativeFrom="page">
                <wp:posOffset>431800</wp:posOffset>
              </wp:positionV>
              <wp:extent cx="7560310" cy="0"/>
              <wp:effectExtent l="0" t="0" r="0" b="0"/>
              <wp:wrapTight wrapText="bothSides">
                <wp:wrapPolygon edited="0">
                  <wp:start x="2" y="-2147483648"/>
                  <wp:lineTo x="689" y="-2147483648"/>
                  <wp:lineTo x="689" y="-2147483648"/>
                  <wp:lineTo x="2" y="-2147483648"/>
                  <wp:lineTo x="2" y="-2147483648"/>
                </wp:wrapPolygon>
              </wp:wrapTight>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12700">
                        <a:solidFill>
                          <a:srgbClr val="00AEE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34pt" to="595.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dTzFQIAACkEAAAOAAAAZHJzL2Uyb0RvYy54bWysU8GO2yAQvVfqPyDuie2sN8lacVYrO+kl&#10;bSPt9gMI4BgVAwISJ6r67x1IHGXbS1X1AgMz83gzb1g8nzqJjtw6oVWJs3GKEVdUM6H2Jf72th7N&#10;MXKeKEakVrzEZ+7w8/Ljh0VvCj7RrZaMWwQgyhW9KXHrvSmSxNGWd8SNteEKnI22HfFwtPuEWdID&#10;eieTSZpOk15bZqym3Dm4rS9OvIz4TcOp/9o0jnskSwzcfFxtXHdhTZYLUuwtMa2gVxrkH1h0RCh4&#10;9AZVE0/QwYo/oDpBrXa68WOqu0Q3jaA81gDVZOlv1by2xPBYCzTHmVub3P+DpV+OW4sEK/EEI0U6&#10;kGgjFEfz0JneuAICKrW1oTZ6Uq9mo+l3h5SuWqL2PDJ8OxtIy0JG8i4lHJwB/F3/WTOIIQevY5tO&#10;je0CJDQAnaIa55sa/OQRhcvZ4zR9yEA0OvgSUgyJxjr/iesOBaPEEjhHYHLcOB+IkGIICe8ovRZS&#10;RrGlQj2wnczSNGY4LQUL3hDn7H5XSYuOJMxL+rJarWNZ4LkPs/qgWERrOWGrq+2JkBcbXpcq4EEt&#10;wOdqXQbix1P6tJqv5vkon0xXozyt69HLuspH03U2e6wf6qqqs5+BWpYXrWCMq8BuGM4s/zvxr9/k&#10;Mla38bz1IXmPHhsGZIc9ko5iBv0uk7DT7Ly1g8gwjzH4+nfCwN+fwb7/4ctfAAAA//8DAFBLAwQU&#10;AAYACAAAACEA7Ul9w9wAAAAHAQAADwAAAGRycy9kb3ducmV2LnhtbEyP0UrDQBBF3wv+wzJC39pN&#10;rYYaMylSEBQFaeMHbLPTJJidDbvbJP17t/igT8OdO9x7Jt9OphMDOd9aRlgtExDEldUt1whf5cti&#10;A8IHxVp1lgnhQh62xc0sV5m2I+9pOIRaxBD2mUJoQugzKX3VkFF+aXvi6J2sMypE6WqpnRpjuOnk&#10;XZKk0qiWY0Ojeto1VH0fzgZh2L9bd7p/pY80vF3W5We5Gx9KxPnt9PwEItAU/o7hih/RoYhMR3tm&#10;7UWHEB8JCOkmzqu7ekxSEMffjSxy+Z+/+AEAAP//AwBQSwECLQAUAAYACAAAACEAtoM4kv4AAADh&#10;AQAAEwAAAAAAAAAAAAAAAAAAAAAAW0NvbnRlbnRfVHlwZXNdLnhtbFBLAQItABQABgAIAAAAIQA4&#10;/SH/1gAAAJQBAAALAAAAAAAAAAAAAAAAAC8BAABfcmVscy8ucmVsc1BLAQItABQABgAIAAAAIQCp&#10;QdTzFQIAACkEAAAOAAAAAAAAAAAAAAAAAC4CAABkcnMvZTJvRG9jLnhtbFBLAQItABQABgAIAAAA&#10;IQDtSX3D3AAAAAcBAAAPAAAAAAAAAAAAAAAAAG8EAABkcnMvZG93bnJldi54bWxQSwUGAAAAAAQA&#10;BADzAAAAeAUAAAAA&#10;" strokecolor="#00aeef" strokeweight="1pt">
              <w10:wrap type="tight" anchorx="page" anchory="page"/>
            </v:line>
          </w:pict>
        </mc:Fallback>
      </mc:AlternateContent>
    </w:r>
    <w:r w:rsidRPr="00324960">
      <w:t xml:space="preserve"> </w:t>
    </w:r>
    <w:r>
      <w:t>Consultation on changes to the Furniture Regulations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48D" w:rsidRDefault="0083348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48D" w:rsidRPr="00015C4E" w:rsidRDefault="0083348D" w:rsidP="00015C4E">
    <w:r>
      <w:rPr>
        <w:noProof/>
        <w:lang w:eastAsia="en-GB"/>
      </w:rPr>
      <mc:AlternateContent>
        <mc:Choice Requires="wps">
          <w:drawing>
            <wp:anchor distT="0" distB="0" distL="114300" distR="114300" simplePos="0" relativeHeight="251661312" behindDoc="1" locked="0" layoutInCell="1" allowOverlap="1">
              <wp:simplePos x="0" y="0"/>
              <wp:positionH relativeFrom="page">
                <wp:posOffset>0</wp:posOffset>
              </wp:positionH>
              <wp:positionV relativeFrom="page">
                <wp:posOffset>0</wp:posOffset>
              </wp:positionV>
              <wp:extent cx="7560310" cy="10692130"/>
              <wp:effectExtent l="0" t="0" r="0" b="0"/>
              <wp:wrapNone/>
              <wp:docPr id="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noFill/>
                      <a:ln w="9525">
                        <a:solidFill>
                          <a:srgbClr val="003478"/>
                        </a:solidFill>
                        <a:miter lim="800000"/>
                        <a:headEnd/>
                        <a:tailEnd/>
                      </a:ln>
                      <a:extLst>
                        <a:ext uri="{909E8E84-426E-40DD-AFC4-6F175D3DCCD1}">
                          <a14:hiddenFill xmlns:a14="http://schemas.microsoft.com/office/drawing/2010/main">
                            <a:solidFill>
                              <a:srgbClr val="003478"/>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0;margin-top:0;width:595.3pt;height:841.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SpLegIAAP4EAAAOAAAAZHJzL2Uyb0RvYy54bWysVNuO2yAQfa/Uf0C8Z32Jc7PWWa3ipKrU&#10;y6rbfgABHKNioEDibKv+ewecpNn2ZVU1D4TxDMM5M2e4vTt2Eh24dUKrCmc3KUZcUc2E2lX4y+fN&#10;aI6R80QxIrXiFX7iDt8tX7+67U3Jc91qybhFkES5sjcVbr03ZZI42vKOuBttuAJno21HPJh2lzBL&#10;esjeySRP02nSa8uM1ZQ7B1/rwYmXMX/TcOo/No3jHskKAzYfVxvXbViT5S0pd5aYVtATDPIPKDoi&#10;FFx6SVUTT9Deir9SdYJa7XTjb6juEt00gvLIAdhk6R9sHltieOQCxXHmUib3/9LSD4cHiwSD3mGk&#10;SAct+gRFI2onOcrHoT69cSWEPZoHGxg6807Trw4pvWohjN9bq/uWEwaoshCfPDsQDAdH0bZ/rxmk&#10;J3uvY6mOje1CQigCOsaOPF06wo8eUfg4m0zTcQaNo+DL0ukiz8axaQkpz+eNdf4N1x0KmwpbgB/z&#10;k8M75wMeUp5DwnVKb4SUse9Sob7Ci0k+iQecloIFZ6Rpd9uVtOhAgnLScTGbR3JQgOuwTnjQrxRd&#10;hedp+A2KCvVYKxZv8UTIYQ9IpArJgR5gO+0GnfxYpIv1fD0vRkU+XY+KtK5H95tVMZpustmkHter&#10;VZ39DDizomwFY1wFqGfNZsXLNHGankFtF9U+o+Rewjx5DiNWGVid/yO7KITQ+0FDW82eQAdWD0MI&#10;jwZsWm2/Y9TDAFbYfdsTyzGSbxVoaZEVRZjYaBSTWQ6GvfZsrz1EUUhVYY/RsF35Ycr3xopdCzdl&#10;scdK34P+GhGFEbQ5oDqpFoYsMjg9CGGKr+0Y9fvZWv4CAAD//wMAUEsDBBQABgAIAAAAIQDUK8Rg&#10;3QAAAAcBAAAPAAAAZHJzL2Rvd25yZXYueG1sTI/BTsMwDIbvSLxD5ElcEEu7SVXpmk4MCU5cNibO&#10;aeO11Rqna7K18PR4XNjFsvVbnz/n68l24oKDbx0piOcRCKTKmZZqBfvPt6cUhA+ajO4coYJv9LAu&#10;7u9ynRk30hYvu1ALhpDPtIImhD6T0lcNWu3nrkfi7OAGqwOPQy3NoEeG204uoiiRVrfEFxrd42uD&#10;1XF3tkzZHk/lYxw2OC4Xm/hw+tp//Lwr9TCbXlYgAk7hfxmu+qwOBTuV7kzGi04BPxL+6jWLn6ME&#10;RMldki5TkEUub/2LXwAAAP//AwBQSwECLQAUAAYACAAAACEAtoM4kv4AAADhAQAAEwAAAAAAAAAA&#10;AAAAAAAAAAAAW0NvbnRlbnRfVHlwZXNdLnhtbFBLAQItABQABgAIAAAAIQA4/SH/1gAAAJQBAAAL&#10;AAAAAAAAAAAAAAAAAC8BAABfcmVscy8ucmVsc1BLAQItABQABgAIAAAAIQAvvSpLegIAAP4EAAAO&#10;AAAAAAAAAAAAAAAAAC4CAABkcnMvZTJvRG9jLnhtbFBLAQItABQABgAIAAAAIQDUK8Rg3QAAAAcB&#10;AAAPAAAAAAAAAAAAAAAAANQEAABkcnMvZG93bnJldi54bWxQSwUGAAAAAAQABADzAAAA3gUAAAAA&#10;" filled="f" fillcolor="#003478" strokecolor="#003478">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48D" w:rsidRDefault="0083348D">
    <w:pPr>
      <w:pStyle w:val="Header"/>
    </w:pPr>
    <w:r>
      <w:rPr>
        <w:noProof/>
        <w:lang w:eastAsia="en-GB"/>
      </w:rPr>
      <w:drawing>
        <wp:anchor distT="0" distB="0" distL="114300" distR="114300" simplePos="0" relativeHeight="251663360" behindDoc="1" locked="0" layoutInCell="1" allowOverlap="1" wp14:anchorId="6C9A33DB" wp14:editId="72C446A0">
          <wp:simplePos x="0" y="0"/>
          <wp:positionH relativeFrom="column">
            <wp:posOffset>-781050</wp:posOffset>
          </wp:positionH>
          <wp:positionV relativeFrom="paragraph">
            <wp:posOffset>-454660</wp:posOffset>
          </wp:positionV>
          <wp:extent cx="7604125" cy="10744200"/>
          <wp:effectExtent l="0" t="0" r="0" b="0"/>
          <wp:wrapNone/>
          <wp:docPr id="14" name="Picture 14" descr="Department for Business, Innovation and Ski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partment for Business, Innovation and Skill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4125" cy="10744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48D" w:rsidRPr="004367F6" w:rsidRDefault="0083348D" w:rsidP="004367F6">
    <w:pPr>
      <w:pStyle w:val="BISEvenHeader"/>
    </w:pPr>
    <w:r>
      <w:rPr>
        <w:noProof/>
        <w:lang w:eastAsia="en-GB"/>
      </w:rPr>
      <mc:AlternateContent>
        <mc:Choice Requires="wps">
          <w:drawing>
            <wp:anchor distT="0" distB="0" distL="114300" distR="114300" simplePos="0" relativeHeight="251653120" behindDoc="0" locked="0" layoutInCell="1" allowOverlap="1" wp14:anchorId="6ED661E2" wp14:editId="3175FB63">
              <wp:simplePos x="0" y="0"/>
              <wp:positionH relativeFrom="page">
                <wp:posOffset>0</wp:posOffset>
              </wp:positionH>
              <wp:positionV relativeFrom="page">
                <wp:posOffset>431800</wp:posOffset>
              </wp:positionV>
              <wp:extent cx="7560310" cy="0"/>
              <wp:effectExtent l="0" t="0" r="0" b="0"/>
              <wp:wrapTight wrapText="bothSides">
                <wp:wrapPolygon edited="0">
                  <wp:start x="2" y="-2147483648"/>
                  <wp:lineTo x="689" y="-2147483648"/>
                  <wp:lineTo x="689" y="-2147483648"/>
                  <wp:lineTo x="2" y="-2147483648"/>
                  <wp:lineTo x="2" y="-2147483648"/>
                </wp:wrapPolygon>
              </wp:wrapTight>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12700">
                        <a:solidFill>
                          <a:srgbClr val="00347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34pt" to="595.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1N9FAIAACoEAAAOAAAAZHJzL2Uyb0RvYy54bWysU8GO2jAQvVfqP1i5QxLIAhsRVlUCvdAu&#10;0m4/wNgOserYlm0IqOq/d2wSxLaXarUXZ5yZefNm3nj5dG4FOjFjuZJFlI6TCDFJFOXyUEQ/Xjej&#10;RYSsw5JioSQroguz0dPq86dlp3M2UY0SlBkEINLmnS6ixjmdx7ElDWuxHSvNJDhrZVrs4GoOMTW4&#10;A/RWxJMkmcWdMlQbRZi18Le6OqNVwK9rRtxzXVvmkCgi4ObCacK592e8WuL8YLBuOOlp4HewaDGX&#10;UPQGVWGH0dHwf6BaToyyqnZjotpY1TUnLPQA3aTJX928NFiz0AsMx+rbmOzHwZLvp51BnIJ2MB6J&#10;W9BoyyVDUz+aTtscIkq5M745cpYveqvIT4ukKhssDyxQfL1oSEt9RvwmxV+shgL77puiEIOPToU5&#10;nWvTekiYADoHOS43OdjZIQI/5w+zZOppkcEX43xI1Ma6r0y1yBtFJIBzAManrXWeCM6HEF9Hqg0X&#10;IqgtJOqA7WSeJCHDKsGp9/o4aw77Uhh0wn5hkmk2X4S2wHMfZtRR0oDWMEzXve0wF1cbqgvp8aAX&#10;4NNb14349Zg8rhfrRTbKJrP1KEuqavRlU2aj2SadP1TTqiyr9LenlmZ5wyll0rMbtjPN/k/9/p1c&#10;9+q2n7c5xG/Rw8CA7PANpIOYXr/rJuwVvezMIDIsZAjuH4/f+Ps72PdPfPUHAAD//wMAUEsDBBQA&#10;BgAIAAAAIQCUr0/s2wAAAAcBAAAPAAAAZHJzL2Rvd25yZXYueG1sTI/BTsNADETvSPzDykjc6KZF&#10;CiVkUwGCA+KASPsBTtYkgaw3yjpp+Hu24gAnazzWzHO+W1yvZhpD59nAepWAIq697bgxcNg/X21B&#10;BUG22HsmA98UYFecn+WYWX/kd5pLaVQM4ZChgVZkyLQOdUsOw8oPxNH78KNDiXJstB3xGMNdrzdJ&#10;kmqHHceGFgd6bKn+KidnwB7KqXbz083+RWtprt9eNw+flTGXF8v9HSihRf6O4YQf0aGITJWf2AbV&#10;G4iPiIF0G+fJXd8mKajqd6OLXP/nL34AAAD//wMAUEsBAi0AFAAGAAgAAAAhALaDOJL+AAAA4QEA&#10;ABMAAAAAAAAAAAAAAAAAAAAAAFtDb250ZW50X1R5cGVzXS54bWxQSwECLQAUAAYACAAAACEAOP0h&#10;/9YAAACUAQAACwAAAAAAAAAAAAAAAAAvAQAAX3JlbHMvLnJlbHNQSwECLQAUAAYACAAAACEAa4NT&#10;fRQCAAAqBAAADgAAAAAAAAAAAAAAAAAuAgAAZHJzL2Uyb0RvYy54bWxQSwECLQAUAAYACAAAACEA&#10;lK9P7NsAAAAHAQAADwAAAAAAAAAAAAAAAABuBAAAZHJzL2Rvd25yZXYueG1sUEsFBgAAAAAEAAQA&#10;8wAAAHYFAAAAAA==&#10;" strokecolor="#003478" strokeweight="1pt">
              <w10:wrap type="tight" anchorx="page" anchory="page"/>
            </v:line>
          </w:pict>
        </mc:Fallback>
      </mc:AlternateContent>
    </w:r>
    <w:r>
      <w:t>BIS running header</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48D" w:rsidRPr="00D90412" w:rsidRDefault="0083348D" w:rsidP="00A95640">
    <w:pPr>
      <w:pStyle w:val="BISOddHeader"/>
    </w:pPr>
    <w:r>
      <w:rPr>
        <w:noProof/>
        <w:lang w:eastAsia="en-GB"/>
      </w:rPr>
      <mc:AlternateContent>
        <mc:Choice Requires="wps">
          <w:drawing>
            <wp:anchor distT="0" distB="0" distL="114300" distR="114300" simplePos="0" relativeHeight="251652096" behindDoc="0" locked="0" layoutInCell="1" allowOverlap="1" wp14:anchorId="1639C82E" wp14:editId="41C13D90">
              <wp:simplePos x="0" y="0"/>
              <wp:positionH relativeFrom="page">
                <wp:posOffset>0</wp:posOffset>
              </wp:positionH>
              <wp:positionV relativeFrom="page">
                <wp:posOffset>431800</wp:posOffset>
              </wp:positionV>
              <wp:extent cx="7560310" cy="0"/>
              <wp:effectExtent l="0" t="0" r="0" b="0"/>
              <wp:wrapTight wrapText="bothSides">
                <wp:wrapPolygon edited="0">
                  <wp:start x="2" y="-2147483648"/>
                  <wp:lineTo x="689" y="-2147483648"/>
                  <wp:lineTo x="689" y="-2147483648"/>
                  <wp:lineTo x="2" y="-2147483648"/>
                  <wp:lineTo x="2" y="-2147483648"/>
                </wp:wrapPolygon>
              </wp:wrapTight>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12700">
                        <a:solidFill>
                          <a:srgbClr val="00AEE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34pt" to="595.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3CHFQIAACkEAAAOAAAAZHJzL2Uyb0RvYy54bWysU8GO2yAQvVfqPyDuie2sN5tYcVYrO+kl&#10;bSPt9gMI4BgVAwISJ6r67x1IHGXbS1X1AgMz83gzb1g8nzqJjtw6oVWJs3GKEVdUM6H2Jf72th7N&#10;MHKeKEakVrzEZ+7w8/Ljh0VvCj7RrZaMWwQgyhW9KXHrvSmSxNGWd8SNteEKnI22HfFwtPuEWdID&#10;eieTSZpOk15bZqym3Dm4rS9OvIz4TcOp/9o0jnskSwzcfFxtXHdhTZYLUuwtMa2gVxrkH1h0RCh4&#10;9AZVE0/QwYo/oDpBrXa68WOqu0Q3jaA81gDVZOlv1by2xPBYCzTHmVub3P+DpV+OW4sEK/EcI0U6&#10;kGgjFEeT0JneuAICKrW1oTZ6Uq9mo+l3h5SuWqL2PDJ8OxtIy0JG8i4lHJwB/F3/WTOIIQevY5tO&#10;je0CJDQAnaIa55sa/OQRhcunx2n6kIFodPAlpBgSjXX+E9cdCkaJJXCOwOS4cT4QIcUQEt5Rei2k&#10;jGJLhXpgO3lK05jhtBQseEOcs/tdJS06kjAv6ctqtY5lgec+zOqDYhGt5YStrrYnQl5seF2qgAe1&#10;AJ+rdRmIH/N0vpqtZvkon0xXozyt69HLuspH03X29Fg/1FVVZz8DtSwvWsEYV4HdMJxZ/nfiX7/J&#10;Zaxu43nrQ/IePTYMyA57JB3FDPpdJmGn2XlrB5FhHmPw9e+Egb8/g33/w5e/AAAA//8DAFBLAwQU&#10;AAYACAAAACEA7Ul9w9wAAAAHAQAADwAAAGRycy9kb3ducmV2LnhtbEyP0UrDQBBF3wv+wzJC39pN&#10;rYYaMylSEBQFaeMHbLPTJJidDbvbJP17t/igT8OdO9x7Jt9OphMDOd9aRlgtExDEldUt1whf5cti&#10;A8IHxVp1lgnhQh62xc0sV5m2I+9pOIRaxBD2mUJoQugzKX3VkFF+aXvi6J2sMypE6WqpnRpjuOnk&#10;XZKk0qiWY0Ojeto1VH0fzgZh2L9bd7p/pY80vF3W5We5Gx9KxPnt9PwEItAU/o7hih/RoYhMR3tm&#10;7UWHEB8JCOkmzqu7ekxSEMffjSxy+Z+/+AEAAP//AwBQSwECLQAUAAYACAAAACEAtoM4kv4AAADh&#10;AQAAEwAAAAAAAAAAAAAAAAAAAAAAW0NvbnRlbnRfVHlwZXNdLnhtbFBLAQItABQABgAIAAAAIQA4&#10;/SH/1gAAAJQBAAALAAAAAAAAAAAAAAAAAC8BAABfcmVscy8ucmVsc1BLAQItABQABgAIAAAAIQAQ&#10;S3CHFQIAACkEAAAOAAAAAAAAAAAAAAAAAC4CAABkcnMvZTJvRG9jLnhtbFBLAQItABQABgAIAAAA&#10;IQDtSX3D3AAAAAcBAAAPAAAAAAAAAAAAAAAAAG8EAABkcnMvZG93bnJldi54bWxQSwUGAAAAAAQA&#10;BADzAAAAeAUAAAAA&#10;" strokecolor="#00aeef" strokeweight="1pt">
              <w10:wrap type="tight" anchorx="page" anchory="page"/>
            </v:line>
          </w:pict>
        </mc:Fallback>
      </mc:AlternateContent>
    </w:r>
    <w:r>
      <w:t>Consultation on changes to the Furniture Regulations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48D" w:rsidRPr="004367F6" w:rsidRDefault="0083348D" w:rsidP="004367F6">
    <w:pPr>
      <w:pStyle w:val="BISEvenHeader"/>
    </w:pPr>
    <w:r>
      <w:rPr>
        <w:noProof/>
        <w:lang w:eastAsia="en-GB"/>
      </w:rPr>
      <mc:AlternateContent>
        <mc:Choice Requires="wps">
          <w:drawing>
            <wp:anchor distT="0" distB="0" distL="114300" distR="114300" simplePos="0" relativeHeight="251658240" behindDoc="0" locked="0" layoutInCell="1" allowOverlap="1" wp14:anchorId="2D63A7A3" wp14:editId="6322E863">
              <wp:simplePos x="0" y="0"/>
              <wp:positionH relativeFrom="page">
                <wp:posOffset>0</wp:posOffset>
              </wp:positionH>
              <wp:positionV relativeFrom="page">
                <wp:posOffset>431800</wp:posOffset>
              </wp:positionV>
              <wp:extent cx="7560310" cy="0"/>
              <wp:effectExtent l="0" t="0" r="0" b="0"/>
              <wp:wrapTight wrapText="bothSides">
                <wp:wrapPolygon edited="0">
                  <wp:start x="2" y="-2147483648"/>
                  <wp:lineTo x="689" y="-2147483648"/>
                  <wp:lineTo x="689" y="-2147483648"/>
                  <wp:lineTo x="2" y="-2147483648"/>
                  <wp:lineTo x="2" y="-2147483648"/>
                </wp:wrapPolygon>
              </wp:wrapTight>
              <wp:docPr id="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12700">
                        <a:solidFill>
                          <a:srgbClr val="00347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34pt" to="595.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crhFAIAACoEAAAOAAAAZHJzL2Uyb0RvYy54bWysU8GO2jAQvVfqP1i+QxLIAhsRVlUCvWy7&#10;SLv9AGM7xKpjW7YhoKr/3rEhaGkvVdWLM45nnt/Me14+nTqJjtw6oVWJs3GKEVdUM6H2Jf72thkt&#10;MHKeKEakVrzEZ+7w0+rjh2VvCj7RrZaMWwQgyhW9KXHrvSmSxNGWd8SNteEKDhttO+Jha/cJs6QH&#10;9E4mkzSdJb22zFhNuXPwt74c4lXEbxpO/UvTOO6RLDFw83G1cd2FNVktSbG3xLSCXmmQf2DREaHg&#10;0htUTTxBByv+gOoEtdrpxo+p7hLdNILy2AN0k6W/dfPaEsNjLzAcZ25jcv8Pln49bi0SrMQglCId&#10;SPQsFEfZIoymN66AjEptbWiOntSredb0u0NKVy1Rex4pvp0N1GWhIrkrCRtn4IJd/0UzyCEHr+Oc&#10;To3tAiRMAJ2iHOebHPzkEYWf84dZOs1ANTqcJaQYCo11/jPXHQpBiSWQjsDk+Ox8IEKKISXco/RG&#10;SBnVlgr1wHYyT9NY4bQULJyGPGf3u0padCTBMOk0n8dBANpdmtUHxSJaywlbX2NPhLzEkC9VwINe&#10;gM81ujjix2P6uF6sF/kon8zWozyt69GnTZWPZpts/lBP66qqs5+BWpYXrWCMq8BucGeW/53613dy&#10;8dXNn7c5JPfocWBAdvhG0lHMoN/FCTvNzls7iAyGjMnXxxMc/34P8fsnvvoFAAD//wMAUEsDBBQA&#10;BgAIAAAAIQCUr0/s2wAAAAcBAAAPAAAAZHJzL2Rvd25yZXYueG1sTI/BTsNADETvSPzDykjc6KZF&#10;CiVkUwGCA+KASPsBTtYkgaw3yjpp+Hu24gAnazzWzHO+W1yvZhpD59nAepWAIq697bgxcNg/X21B&#10;BUG22HsmA98UYFecn+WYWX/kd5pLaVQM4ZChgVZkyLQOdUsOw8oPxNH78KNDiXJstB3xGMNdrzdJ&#10;kmqHHceGFgd6bKn+KidnwB7KqXbz083+RWtprt9eNw+flTGXF8v9HSihRf6O4YQf0aGITJWf2AbV&#10;G4iPiIF0G+fJXd8mKajqd6OLXP/nL34AAAD//wMAUEsBAi0AFAAGAAgAAAAhALaDOJL+AAAA4QEA&#10;ABMAAAAAAAAAAAAAAAAAAAAAAFtDb250ZW50X1R5cGVzXS54bWxQSwECLQAUAAYACAAAACEAOP0h&#10;/9YAAACUAQAACwAAAAAAAAAAAAAAAAAvAQAAX3JlbHMvLnJlbHNQSwECLQAUAAYACAAAACEA213K&#10;4RQCAAAqBAAADgAAAAAAAAAAAAAAAAAuAgAAZHJzL2Uyb0RvYy54bWxQSwECLQAUAAYACAAAACEA&#10;lK9P7NsAAAAHAQAADwAAAAAAAAAAAAAAAABuBAAAZHJzL2Rvd25yZXYueG1sUEsFBgAAAAAEAAQA&#10;8wAAAHYFAAAAAA==&#10;" strokecolor="#003478" strokeweight="1pt">
              <w10:wrap type="tight" anchorx="page" anchory="page"/>
            </v:line>
          </w:pict>
        </mc:Fallback>
      </mc:AlternateContent>
    </w:r>
    <w:r>
      <w:t>BIS running header</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48D" w:rsidRPr="004367F6" w:rsidRDefault="0083348D" w:rsidP="004367F6">
    <w:pPr>
      <w:pStyle w:val="BISEvenHeader"/>
    </w:pPr>
    <w:r>
      <w:rPr>
        <w:noProof/>
        <w:lang w:eastAsia="en-GB"/>
      </w:rPr>
      <mc:AlternateContent>
        <mc:Choice Requires="wps">
          <w:drawing>
            <wp:anchor distT="0" distB="0" distL="114300" distR="114300" simplePos="0" relativeHeight="251660288" behindDoc="0" locked="0" layoutInCell="1" allowOverlap="1" wp14:anchorId="4D3A0571" wp14:editId="45EF93F8">
              <wp:simplePos x="0" y="0"/>
              <wp:positionH relativeFrom="page">
                <wp:posOffset>0</wp:posOffset>
              </wp:positionH>
              <wp:positionV relativeFrom="page">
                <wp:posOffset>431800</wp:posOffset>
              </wp:positionV>
              <wp:extent cx="7560310" cy="0"/>
              <wp:effectExtent l="0" t="0" r="0" b="0"/>
              <wp:wrapTight wrapText="bothSides">
                <wp:wrapPolygon edited="0">
                  <wp:start x="2" y="-2147483648"/>
                  <wp:lineTo x="689" y="-2147483648"/>
                  <wp:lineTo x="689" y="-2147483648"/>
                  <wp:lineTo x="2" y="-2147483648"/>
                  <wp:lineTo x="2" y="-2147483648"/>
                </wp:wrapPolygon>
              </wp:wrapTight>
              <wp:docPr id="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12700">
                        <a:solidFill>
                          <a:srgbClr val="00347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34pt" to="595.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jK8FwIAACoEAAAOAAAAZHJzL2Uyb0RvYy54bWysU8GO2jAQvVfqP1i+QxLIAhsRVlUCvWy7&#10;SLv9AGM7xKpjW7YhoKr/3rEhiG0vVdWLM87MvHkzb7x8OnUSHbl1QqsSZ+MUI66oZkLtS/ztbTNa&#10;YOQ8UYxIrXiJz9zhp9XHD8veFHyiWy0ZtwhAlCt6U+LWe1MkiaMt74gba8MVOBttO+LhavcJs6QH&#10;9E4mkzSdJb22zFhNuXPwt7448SriNw2n/qVpHPdIlhi4+XjaeO7CmayWpNhbYlpBrzTIP7DoiFBQ&#10;9AZVE0/QwYo/oDpBrXa68WOqu0Q3jaA89gDdZOlv3by2xPDYCwzHmduY3P+DpV+PW4sEK/EcI0U6&#10;kOhZKI4mcTS9cQVEVGprQ3P0pF7Ns6bfHVK6aona80jx7WwgLwvDTN6lhIszUGDXf9EMYsjB6zin&#10;U2O7AAkTQKcox/kmBz95ROHn/GGWTjNQjQ6+hBRDorHOf+a6Q8EosQTSEZgcn50PREgxhIQ6Sm+E&#10;lFFtqVAPbCfzNI0ZTkvBgjfEObvfVdKiIwkLk07z+SK2BZ77MKsPikW0lhO2vtqeCHmxobpUAQ96&#10;AT5X67IRPx7Tx/VivchH+WS2HuVpXY8+bap8NNtk84d6WldVnf0M1LK8aAVjXAV2w3Zm+d+pf30n&#10;l7267edtDsl79DgwIDt8I+koZtAvPCdX7DQ7b+0gMixkDL4+nrDx93ew75/46hcAAAD//wMAUEsD&#10;BBQABgAIAAAAIQCUr0/s2wAAAAcBAAAPAAAAZHJzL2Rvd25yZXYueG1sTI/BTsNADETvSPzDykjc&#10;6KZFCiVkUwGCA+KASPsBTtYkgaw3yjpp+Hu24gAnazzWzHO+W1yvZhpD59nAepWAIq697bgxcNg/&#10;X21BBUG22HsmA98UYFecn+WYWX/kd5pLaVQM4ZChgVZkyLQOdUsOw8oPxNH78KNDiXJstB3xGMNd&#10;rzdJkmqHHceGFgd6bKn+KidnwB7KqXbz083+RWtprt9eNw+flTGXF8v9HSihRf6O4YQf0aGITJWf&#10;2AbVG4iPiIF0G+fJXd8mKajqd6OLXP/nL34AAAD//wMAUEsBAi0AFAAGAAgAAAAhALaDOJL+AAAA&#10;4QEAABMAAAAAAAAAAAAAAAAAAAAAAFtDb250ZW50X1R5cGVzXS54bWxQSwECLQAUAAYACAAAACEA&#10;OP0h/9YAAACUAQAACwAAAAAAAAAAAAAAAAAvAQAAX3JlbHMvLnJlbHNQSwECLQAUAAYACAAAACEA&#10;Z5YyvBcCAAAqBAAADgAAAAAAAAAAAAAAAAAuAgAAZHJzL2Uyb0RvYy54bWxQSwECLQAUAAYACAAA&#10;ACEAlK9P7NsAAAAHAQAADwAAAAAAAAAAAAAAAABxBAAAZHJzL2Rvd25yZXYueG1sUEsFBgAAAAAE&#10;AAQA8wAAAHkFAAAAAA==&#10;" strokecolor="#003478" strokeweight="1pt">
              <w10:wrap type="tight" anchorx="page" anchory="page"/>
            </v:line>
          </w:pict>
        </mc:Fallback>
      </mc:AlternateContent>
    </w:r>
    <w:r>
      <w:t>BIS running header</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48D" w:rsidRPr="00D90412" w:rsidRDefault="0083348D" w:rsidP="00A95640">
    <w:pPr>
      <w:pStyle w:val="BISOddHeader"/>
    </w:pPr>
    <w:r>
      <w:rPr>
        <w:noProof/>
        <w:lang w:eastAsia="en-GB"/>
      </w:rPr>
      <mc:AlternateContent>
        <mc:Choice Requires="wps">
          <w:drawing>
            <wp:anchor distT="0" distB="0" distL="114300" distR="114300" simplePos="0" relativeHeight="251659264" behindDoc="0" locked="0" layoutInCell="1" allowOverlap="1" wp14:anchorId="130C7BB8" wp14:editId="60F30786">
              <wp:simplePos x="0" y="0"/>
              <wp:positionH relativeFrom="page">
                <wp:posOffset>0</wp:posOffset>
              </wp:positionH>
              <wp:positionV relativeFrom="page">
                <wp:posOffset>431800</wp:posOffset>
              </wp:positionV>
              <wp:extent cx="7560310" cy="0"/>
              <wp:effectExtent l="0" t="0" r="0" b="0"/>
              <wp:wrapTight wrapText="bothSides">
                <wp:wrapPolygon edited="0">
                  <wp:start x="2" y="-2147483648"/>
                  <wp:lineTo x="689" y="-2147483648"/>
                  <wp:lineTo x="689" y="-2147483648"/>
                  <wp:lineTo x="2" y="-2147483648"/>
                  <wp:lineTo x="2" y="-2147483648"/>
                </wp:wrapPolygon>
              </wp:wrapTight>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12700">
                        <a:solidFill>
                          <a:srgbClr val="00AEE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34pt" to="595.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iaTFgIAACoEAAAOAAAAZHJzL2Uyb0RvYy54bWysU8GO2jAQvVfqP1i+QxI2y0JEWK0S6IW2&#10;SLv9AGM7xKpjW7YhoKr/3rEhiG0vVdWLM87MvHkzb7x4PnUSHbl1QqsSZ+MUI66oZkLtS/ztbT2a&#10;YeQ8UYxIrXiJz9zh5+XHD4veFHyiWy0ZtwhAlCt6U+LWe1MkiaMt74gba8MVOBttO+LhavcJs6QH&#10;9E4mkzSdJr22zFhNuXPwt7448TLiNw2n/mvTOO6RLDFw8/G08dyFM1kuSLG3xLSCXmmQf2DREaGg&#10;6A2qJp6ggxV/QHWCWu1048dUd4luGkF57AG6ydLfunltieGxFxiOM7cxuf8HS78ctxYJVuIpRop0&#10;INFGKI6yeRhNb1wBEZXa2tAcPalXs9H0u0NKVy1Rex4pvp0N5GUhI3mXEi7OQIFd/1kziCEHr+Oc&#10;To3tAiRMAJ2iHOebHPzkEYWfT4/T9CED1ejgS0gxJBrr/CeuOxSMEksgHYHJceN8IEKKISTUUXot&#10;pIxqS4V6YDt5StOY4bQULHhDnLP7XSUtOpKwMOnLarWObYHnPszqg2IRreWEra62J0JebKguVcCD&#10;XoDP1bpsxI95Ol/NVrN8lE+mq1Ge1vXoZV3lo+k6e3qsH+qqqrOfgVqWF61gjKvAbtjOLP879a/v&#10;5LJXt/28zSF5jx4HBmSHbyQdxQz6XTZhp9l5aweRYSFj8PXxhI2/v4N9/8SXvwAAAP//AwBQSwME&#10;FAAGAAgAAAAhAO1JfcPcAAAABwEAAA8AAABkcnMvZG93bnJldi54bWxMj9FKw0AQRd8L/sMyQt/a&#10;Ta2GGjMpUhAUBWnjB2yz0ySYnQ272yT9e7f4oE/DnTvceybfTqYTAznfWkZYLRMQxJXVLdcIX+XL&#10;YgPCB8VadZYJ4UIetsXNLFeZtiPvaTiEWsQQ9plCaELoMyl91ZBRfml74uidrDMqROlqqZ0aY7jp&#10;5F2SpNKolmNDo3raNVR9H84GYdi/W3e6f6WPNLxd1uVnuRsfSsT57fT8BCLQFP6O4Yof0aGITEd7&#10;Zu1FhxAfCQjpJs6ru3pMUhDH340scvmfv/gBAAD//wMAUEsBAi0AFAAGAAgAAAAhALaDOJL+AAAA&#10;4QEAABMAAAAAAAAAAAAAAAAAAAAAAFtDb250ZW50X1R5cGVzXS54bWxQSwECLQAUAAYACAAAACEA&#10;OP0h/9YAAACUAQAACwAAAAAAAAAAAAAAAAAvAQAAX3JlbHMvLnJlbHNQSwECLQAUAAYACAAAACEA&#10;mKImkxYCAAAqBAAADgAAAAAAAAAAAAAAAAAuAgAAZHJzL2Uyb0RvYy54bWxQSwECLQAUAAYACAAA&#10;ACEA7Ul9w9wAAAAHAQAADwAAAAAAAAAAAAAAAABwBAAAZHJzL2Rvd25yZXYueG1sUEsFBgAAAAAE&#10;AAQA8wAAAHkFAAAAAA==&#10;" strokecolor="#00aeef" strokeweight="1pt">
              <w10:wrap type="tight" anchorx="page" anchory="page"/>
            </v:line>
          </w:pict>
        </mc:Fallback>
      </mc:AlternateContent>
    </w:r>
    <w:r>
      <w:t>Consultation on changes to the Furniture Regulations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48D" w:rsidRPr="004367F6" w:rsidRDefault="0083348D" w:rsidP="004367F6">
    <w:pPr>
      <w:pStyle w:val="BISEvenHeader"/>
    </w:pPr>
    <w:r>
      <w:rPr>
        <w:noProof/>
        <w:lang w:eastAsia="en-GB"/>
      </w:rPr>
      <mc:AlternateContent>
        <mc:Choice Requires="wps">
          <w:drawing>
            <wp:anchor distT="0" distB="0" distL="114300" distR="114300" simplePos="0" relativeHeight="251655168" behindDoc="0" locked="0" layoutInCell="1" allowOverlap="1" wp14:anchorId="38A52227" wp14:editId="321C10E1">
              <wp:simplePos x="0" y="0"/>
              <wp:positionH relativeFrom="page">
                <wp:posOffset>0</wp:posOffset>
              </wp:positionH>
              <wp:positionV relativeFrom="page">
                <wp:posOffset>431800</wp:posOffset>
              </wp:positionV>
              <wp:extent cx="7560310" cy="0"/>
              <wp:effectExtent l="0" t="0" r="0" b="0"/>
              <wp:wrapTight wrapText="bothSides">
                <wp:wrapPolygon edited="0">
                  <wp:start x="2" y="-2147483648"/>
                  <wp:lineTo x="689" y="-2147483648"/>
                  <wp:lineTo x="689" y="-2147483648"/>
                  <wp:lineTo x="2" y="-2147483648"/>
                  <wp:lineTo x="2" y="-2147483648"/>
                </wp:wrapPolygon>
              </wp:wrapTight>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12700">
                        <a:solidFill>
                          <a:srgbClr val="00347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34pt" to="595.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ZauFQIAACkEAAAOAAAAZHJzL2Uyb0RvYy54bWysU02P2jAQvVfqf7B8hyQQPjYirCoCvdAu&#10;0m5/gLEdYtWxLdsQUNX/3rEhiG0vVdWLPfbMPL+ZN148n1uJTtw6oVWJs2GKEVdUM6EOJf72thnM&#10;MXKeKEakVrzEF+7w8/Ljh0VnCj7SjZaMWwQgyhWdKXHjvSmSxNGGt8QNteEKnLW2LfFwtIeEWdIB&#10;eiuTUZpOk05bZqym3Dm4ra5OvIz4dc2pf6lrxz2SJQZuPq42rvuwJssFKQ6WmEbQGw3yDyxaIhQ8&#10;eoeqiCfoaMUfUK2gVjtd+yHVbaLrWlAea4BqsvS3al4bYnisBZrjzL1N7v/B0q+nnUWClXiCkSIt&#10;SLQViqNJ6ExnXAEBK7WzoTZ6Vq9mq+l3h5ReNUQdeGT4djGQloWM5F1KODgD+Pvui2YQQ45exzad&#10;a9sGSGgAOkc1Lnc1+NkjCpezyTQdZyAa7X0JKfpEY53/zHWLglFiCZwjMDltnQ9ESNGHhHeU3ggp&#10;o9hSoQ7YjmZpGjOcloIFb4hz9rBfSYtOJMxLOs5n81gWeB7DrD4qFtEaTtj6Znsi5NWG16UKeFAL&#10;8LlZ14H48ZQ+refreT7IR9P1IE+ravBps8oH0002m1TjarWqsp+BWpYXjWCMq8CuH84s/zvxb9/k&#10;Olb38bz3IXmPHhsGZPs9ko5iBv2uk7DX7LKzvcgwjzH49nfCwD+ewX784ctfAAAA//8DAFBLAwQU&#10;AAYACAAAACEAlK9P7NsAAAAHAQAADwAAAGRycy9kb3ducmV2LnhtbEyPwU7DQAxE70j8w8pI3Oim&#10;RQolZFMBggPigEj7AU7WJIGsN8o6afh7tuIAJ2s81sxzvltcr2YaQ+fZwHqVgCKuve24MXDYP19t&#10;QQVBtth7JgPfFGBXnJ/lmFl/5HeaS2lUDOGQoYFWZMi0DnVLDsPKD8TR+/CjQ4lybLQd8RjDXa83&#10;SZJqhx3HhhYHemyp/ionZ8Aeyql289PN/kVraa7fXjcPn5UxlxfL/R0ooUX+juGEH9GhiEyVn9gG&#10;1RuIj4iBdBvnyV3fJimo6neji1z/5y9+AAAA//8DAFBLAQItABQABgAIAAAAIQC2gziS/gAAAOEB&#10;AAATAAAAAAAAAAAAAAAAAAAAAABbQ29udGVudF9UeXBlc10ueG1sUEsBAi0AFAAGAAgAAAAhADj9&#10;If/WAAAAlAEAAAsAAAAAAAAAAAAAAAAALwEAAF9yZWxzLy5yZWxzUEsBAi0AFAAGAAgAAAAhAPZ9&#10;lq4VAgAAKQQAAA4AAAAAAAAAAAAAAAAALgIAAGRycy9lMm9Eb2MueG1sUEsBAi0AFAAGAAgAAAAh&#10;AJSvT+zbAAAABwEAAA8AAAAAAAAAAAAAAAAAbwQAAGRycy9kb3ducmV2LnhtbFBLBQYAAAAABAAE&#10;APMAAAB3BQAAAAA=&#10;" strokecolor="#003478" strokeweight="1pt">
              <w10:wrap type="tight" anchorx="page" anchory="page"/>
            </v:line>
          </w:pict>
        </mc:Fallback>
      </mc:AlternateContent>
    </w:r>
    <w:r>
      <w:t>BIS running header</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48D" w:rsidRPr="00D90412" w:rsidRDefault="0083348D" w:rsidP="00A95640">
    <w:pPr>
      <w:pStyle w:val="BISOddHeader"/>
    </w:pPr>
    <w:r>
      <w:rPr>
        <w:noProof/>
        <w:lang w:eastAsia="en-GB"/>
      </w:rPr>
      <mc:AlternateContent>
        <mc:Choice Requires="wps">
          <w:drawing>
            <wp:anchor distT="0" distB="0" distL="114300" distR="114300" simplePos="0" relativeHeight="251654144" behindDoc="0" locked="0" layoutInCell="1" allowOverlap="1" wp14:anchorId="79C051FD" wp14:editId="62165756">
              <wp:simplePos x="0" y="0"/>
              <wp:positionH relativeFrom="page">
                <wp:posOffset>0</wp:posOffset>
              </wp:positionH>
              <wp:positionV relativeFrom="page">
                <wp:posOffset>431800</wp:posOffset>
              </wp:positionV>
              <wp:extent cx="7560310" cy="0"/>
              <wp:effectExtent l="0" t="0" r="0" b="0"/>
              <wp:wrapTight wrapText="bothSides">
                <wp:wrapPolygon edited="0">
                  <wp:start x="2" y="-2147483648"/>
                  <wp:lineTo x="689" y="-2147483648"/>
                  <wp:lineTo x="689" y="-2147483648"/>
                  <wp:lineTo x="2" y="-2147483648"/>
                  <wp:lineTo x="2" y="-2147483648"/>
                </wp:wrapPolygon>
              </wp:wrapTight>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12700">
                        <a:solidFill>
                          <a:srgbClr val="00AEE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34pt" to="595.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Rb+FQIAACkEAAAOAAAAZHJzL2Uyb0RvYy54bWysU8GO2yAQvVfqPyDuie2sN8lacVYrO+kl&#10;bSPt9gMI4BgVAwISJ6r67x1IHGXbS1X1AgMz83gzb1g8nzqJjtw6oVWJs3GKEVdUM6H2Jf72th7N&#10;MXKeKEakVrzEZ+7w8/Ljh0VvCj7RrZaMWwQgyhW9KXHrvSmSxNGWd8SNteEKnI22HfFwtPuEWdID&#10;eieTSZpOk15bZqym3Dm4rS9OvIz4TcOp/9o0jnskSwzcfFxtXHdhTZYLUuwtMa2gVxrkH1h0RCh4&#10;9AZVE0/QwYo/oDpBrXa68WOqu0Q3jaA81gDVZOlv1by2xPBYCzTHmVub3P+DpV+OW4sEK3GOkSId&#10;SLQRiqM8dKY3roCASm1tqI2e1KvZaPrdIaWrlqg9jwzfzgbSspCRvEsJB2cAf9d/1gxiyMHr2KZT&#10;Y7sACQ1Ap6jG+aYGP3lE4XL2OE0fMhCNDr6EFEOisc5/4rpDwSixBM4RmBw3zgcipBhCwjtKr4WU&#10;UWypUA9sJ7M0jRlOS8GCN8Q5u99V0qIjCfOSvqxW61gWeO7DrD4oFtFaTtjqansi5MWG16UKeFAL&#10;8Llal4H48ZQ+reareT7KJ9PVKE/revSyrvLRdJ3NHuuHuqrq7GegluVFKxjjKrAbhjPL/0786ze5&#10;jNVtPG99SN6jx4YB2WGPpKOYQb/LJOw0O2/tIDLMYwy+/p0w8PdnsO9/+PIXAAAA//8DAFBLAwQU&#10;AAYACAAAACEA7Ul9w9wAAAAHAQAADwAAAGRycy9kb3ducmV2LnhtbEyP0UrDQBBF3wv+wzJC39pN&#10;rYYaMylSEBQFaeMHbLPTJJidDbvbJP17t/igT8OdO9x7Jt9OphMDOd9aRlgtExDEldUt1whf5cti&#10;A8IHxVp1lgnhQh62xc0sV5m2I+9pOIRaxBD2mUJoQugzKX3VkFF+aXvi6J2sMypE6WqpnRpjuOnk&#10;XZKk0qiWY0Ojeto1VH0fzgZh2L9bd7p/pY80vF3W5We5Gx9KxPnt9PwEItAU/o7hih/RoYhMR3tm&#10;7UWHEB8JCOkmzqu7ekxSEMffjSxy+Z+/+AEAAP//AwBQSwECLQAUAAYACAAAACEAtoM4kv4AAADh&#10;AQAAEwAAAAAAAAAAAAAAAAAAAAAAW0NvbnRlbnRfVHlwZXNdLnhtbFBLAQItABQABgAIAAAAIQA4&#10;/SH/1gAAAJQBAAALAAAAAAAAAAAAAAAAAC8BAABfcmVscy8ucmVsc1BLAQItABQABgAIAAAAIQCP&#10;SRb+FQIAACkEAAAOAAAAAAAAAAAAAAAAAC4CAABkcnMvZTJvRG9jLnhtbFBLAQItABQABgAIAAAA&#10;IQDtSX3D3AAAAAcBAAAPAAAAAAAAAAAAAAAAAG8EAABkcnMvZG93bnJldi54bWxQSwUGAAAAAAQA&#10;BADzAAAAeAUAAAAA&#10;" strokecolor="#00aeef" strokeweight="1pt">
              <w10:wrap type="tight" anchorx="page" anchory="page"/>
            </v:line>
          </w:pict>
        </mc:Fallback>
      </mc:AlternateContent>
    </w:r>
    <w:r>
      <w:t>BIS</w:t>
    </w:r>
    <w:r w:rsidRPr="00D90412">
      <w:t xml:space="preserve"> running header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C7C12"/>
    <w:multiLevelType w:val="hybridMultilevel"/>
    <w:tmpl w:val="09C4F82A"/>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1">
    <w:nsid w:val="0AB15824"/>
    <w:multiLevelType w:val="multilevel"/>
    <w:tmpl w:val="FE105B6C"/>
    <w:styleLink w:val="StyleOutlinenumberedLeft089cmHanging063cm"/>
    <w:lvl w:ilvl="0">
      <w:start w:val="1"/>
      <w:numFmt w:val="decimal"/>
      <w:lvlText w:val="%1."/>
      <w:lvlJc w:val="left"/>
      <w:pPr>
        <w:ind w:left="567" w:firstLine="0"/>
      </w:pPr>
      <w:rPr>
        <w:rFonts w:ascii="Arial" w:hAnsi="Arial" w:hint="default"/>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CD57597"/>
    <w:multiLevelType w:val="hybridMultilevel"/>
    <w:tmpl w:val="E1B2EABC"/>
    <w:lvl w:ilvl="0" w:tplc="A0346D06">
      <w:numFmt w:val="bullet"/>
      <w:lvlText w:val="-"/>
      <w:lvlJc w:val="left"/>
      <w:pPr>
        <w:ind w:left="502" w:hanging="360"/>
      </w:pPr>
      <w:rPr>
        <w:rFonts w:ascii="Arial" w:eastAsia="Times New Roman" w:hAnsi="Aria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nsid w:val="118D0CC8"/>
    <w:multiLevelType w:val="hybridMultilevel"/>
    <w:tmpl w:val="35A0A5B2"/>
    <w:lvl w:ilvl="0" w:tplc="7608976A">
      <w:start w:val="1"/>
      <w:numFmt w:val="bullet"/>
      <w:pStyle w:val="ListBullet"/>
      <w:lvlText w:val=""/>
      <w:lvlJc w:val="left"/>
      <w:pPr>
        <w:tabs>
          <w:tab w:val="num" w:pos="710"/>
        </w:tabs>
        <w:ind w:left="710" w:hanging="284"/>
      </w:pPr>
      <w:rPr>
        <w:rFonts w:ascii="Symbol" w:hAnsi="Symbol" w:hint="default"/>
        <w:color w:val="000000"/>
        <w:sz w:val="24"/>
      </w:rPr>
    </w:lvl>
    <w:lvl w:ilvl="1" w:tplc="08090003">
      <w:start w:val="1"/>
      <w:numFmt w:val="bullet"/>
      <w:lvlText w:val="o"/>
      <w:lvlJc w:val="left"/>
      <w:pPr>
        <w:tabs>
          <w:tab w:val="num" w:pos="1753"/>
        </w:tabs>
        <w:ind w:left="1753" w:hanging="360"/>
      </w:pPr>
      <w:rPr>
        <w:rFonts w:ascii="Courier New" w:hAnsi="Courier New" w:hint="default"/>
      </w:rPr>
    </w:lvl>
    <w:lvl w:ilvl="2" w:tplc="08090005" w:tentative="1">
      <w:start w:val="1"/>
      <w:numFmt w:val="bullet"/>
      <w:lvlText w:val=""/>
      <w:lvlJc w:val="left"/>
      <w:pPr>
        <w:tabs>
          <w:tab w:val="num" w:pos="2473"/>
        </w:tabs>
        <w:ind w:left="2473" w:hanging="360"/>
      </w:pPr>
      <w:rPr>
        <w:rFonts w:ascii="Wingdings" w:hAnsi="Wingdings" w:hint="default"/>
      </w:rPr>
    </w:lvl>
    <w:lvl w:ilvl="3" w:tplc="08090001" w:tentative="1">
      <w:start w:val="1"/>
      <w:numFmt w:val="bullet"/>
      <w:lvlText w:val=""/>
      <w:lvlJc w:val="left"/>
      <w:pPr>
        <w:tabs>
          <w:tab w:val="num" w:pos="3193"/>
        </w:tabs>
        <w:ind w:left="3193" w:hanging="360"/>
      </w:pPr>
      <w:rPr>
        <w:rFonts w:ascii="Symbol" w:hAnsi="Symbol" w:hint="default"/>
      </w:rPr>
    </w:lvl>
    <w:lvl w:ilvl="4" w:tplc="08090003" w:tentative="1">
      <w:start w:val="1"/>
      <w:numFmt w:val="bullet"/>
      <w:lvlText w:val="o"/>
      <w:lvlJc w:val="left"/>
      <w:pPr>
        <w:tabs>
          <w:tab w:val="num" w:pos="3913"/>
        </w:tabs>
        <w:ind w:left="3913" w:hanging="360"/>
      </w:pPr>
      <w:rPr>
        <w:rFonts w:ascii="Courier New" w:hAnsi="Courier New" w:hint="default"/>
      </w:rPr>
    </w:lvl>
    <w:lvl w:ilvl="5" w:tplc="08090005" w:tentative="1">
      <w:start w:val="1"/>
      <w:numFmt w:val="bullet"/>
      <w:lvlText w:val=""/>
      <w:lvlJc w:val="left"/>
      <w:pPr>
        <w:tabs>
          <w:tab w:val="num" w:pos="4633"/>
        </w:tabs>
        <w:ind w:left="4633" w:hanging="360"/>
      </w:pPr>
      <w:rPr>
        <w:rFonts w:ascii="Wingdings" w:hAnsi="Wingdings" w:hint="default"/>
      </w:rPr>
    </w:lvl>
    <w:lvl w:ilvl="6" w:tplc="08090001" w:tentative="1">
      <w:start w:val="1"/>
      <w:numFmt w:val="bullet"/>
      <w:lvlText w:val=""/>
      <w:lvlJc w:val="left"/>
      <w:pPr>
        <w:tabs>
          <w:tab w:val="num" w:pos="5353"/>
        </w:tabs>
        <w:ind w:left="5353" w:hanging="360"/>
      </w:pPr>
      <w:rPr>
        <w:rFonts w:ascii="Symbol" w:hAnsi="Symbol" w:hint="default"/>
      </w:rPr>
    </w:lvl>
    <w:lvl w:ilvl="7" w:tplc="08090003" w:tentative="1">
      <w:start w:val="1"/>
      <w:numFmt w:val="bullet"/>
      <w:lvlText w:val="o"/>
      <w:lvlJc w:val="left"/>
      <w:pPr>
        <w:tabs>
          <w:tab w:val="num" w:pos="6073"/>
        </w:tabs>
        <w:ind w:left="6073" w:hanging="360"/>
      </w:pPr>
      <w:rPr>
        <w:rFonts w:ascii="Courier New" w:hAnsi="Courier New" w:hint="default"/>
      </w:rPr>
    </w:lvl>
    <w:lvl w:ilvl="8" w:tplc="08090005" w:tentative="1">
      <w:start w:val="1"/>
      <w:numFmt w:val="bullet"/>
      <w:lvlText w:val=""/>
      <w:lvlJc w:val="left"/>
      <w:pPr>
        <w:tabs>
          <w:tab w:val="num" w:pos="6793"/>
        </w:tabs>
        <w:ind w:left="6793" w:hanging="360"/>
      </w:pPr>
      <w:rPr>
        <w:rFonts w:ascii="Wingdings" w:hAnsi="Wingdings" w:hint="default"/>
      </w:rPr>
    </w:lvl>
  </w:abstractNum>
  <w:abstractNum w:abstractNumId="4">
    <w:nsid w:val="1B05561B"/>
    <w:multiLevelType w:val="hybridMultilevel"/>
    <w:tmpl w:val="1C60D6B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nsid w:val="1B262D59"/>
    <w:multiLevelType w:val="hybridMultilevel"/>
    <w:tmpl w:val="49BCFEB4"/>
    <w:lvl w:ilvl="0" w:tplc="82CAF800">
      <w:start w:val="1"/>
      <w:numFmt w:val="bullet"/>
      <w:lvlText w:val=""/>
      <w:lvlJc w:val="left"/>
      <w:pPr>
        <w:tabs>
          <w:tab w:val="num" w:pos="900"/>
        </w:tabs>
        <w:ind w:left="900" w:hanging="360"/>
      </w:pPr>
      <w:rPr>
        <w:rFonts w:ascii="Symbol" w:hAnsi="Symbol" w:hint="default"/>
        <w:color w:val="000000"/>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6">
    <w:nsid w:val="1CB4593D"/>
    <w:multiLevelType w:val="hybridMultilevel"/>
    <w:tmpl w:val="5FE2F5E4"/>
    <w:lvl w:ilvl="0" w:tplc="11F8BAC4">
      <w:start w:val="6"/>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nsid w:val="203134D1"/>
    <w:multiLevelType w:val="hybridMultilevel"/>
    <w:tmpl w:val="B7C0F5A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260B2529"/>
    <w:multiLevelType w:val="multilevel"/>
    <w:tmpl w:val="75B083E4"/>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Symbol" w:hAnsi="Symbol" w:hint="default"/>
        <w:color w:val="auto"/>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9">
    <w:nsid w:val="29887258"/>
    <w:multiLevelType w:val="multilevel"/>
    <w:tmpl w:val="8F74D43C"/>
    <w:styleLink w:val="TableBullets"/>
    <w:lvl w:ilvl="0">
      <w:start w:val="1"/>
      <w:numFmt w:val="bullet"/>
      <w:lvlText w:val=""/>
      <w:lvlJc w:val="left"/>
      <w:pPr>
        <w:tabs>
          <w:tab w:val="num" w:pos="171"/>
        </w:tabs>
        <w:ind w:left="171" w:hanging="171"/>
      </w:pPr>
      <w:rPr>
        <w:rFonts w:ascii="Symbol" w:hAnsi="Symbol" w:hint="default"/>
        <w:color w:val="000000"/>
        <w:sz w:val="24"/>
      </w:rPr>
    </w:lvl>
    <w:lvl w:ilvl="1">
      <w:start w:val="1"/>
      <w:numFmt w:val="bullet"/>
      <w:lvlText w:val=""/>
      <w:lvlJc w:val="left"/>
      <w:pPr>
        <w:tabs>
          <w:tab w:val="num" w:pos="113"/>
        </w:tabs>
        <w:ind w:left="227" w:hanging="114"/>
      </w:pPr>
      <w:rPr>
        <w:rFonts w:ascii="Symbol" w:hAnsi="Symbol"/>
        <w:color w:val="000000"/>
        <w:sz w:val="24"/>
        <w:szCs w:val="24"/>
      </w:rPr>
    </w:lvl>
    <w:lvl w:ilvl="2">
      <w:start w:val="1"/>
      <w:numFmt w:val="bullet"/>
      <w:lvlText w:val=""/>
      <w:lvlJc w:val="left"/>
      <w:pPr>
        <w:tabs>
          <w:tab w:val="num" w:pos="2047"/>
        </w:tabs>
        <w:ind w:left="2047" w:hanging="360"/>
      </w:pPr>
      <w:rPr>
        <w:rFonts w:ascii="Wingdings" w:hAnsi="Wingdings" w:hint="default"/>
      </w:rPr>
    </w:lvl>
    <w:lvl w:ilvl="3">
      <w:start w:val="1"/>
      <w:numFmt w:val="bullet"/>
      <w:lvlText w:val=""/>
      <w:lvlJc w:val="left"/>
      <w:pPr>
        <w:tabs>
          <w:tab w:val="num" w:pos="2767"/>
        </w:tabs>
        <w:ind w:left="2767" w:hanging="360"/>
      </w:pPr>
      <w:rPr>
        <w:rFonts w:ascii="Symbol" w:hAnsi="Symbol" w:hint="default"/>
      </w:rPr>
    </w:lvl>
    <w:lvl w:ilvl="4">
      <w:start w:val="1"/>
      <w:numFmt w:val="bullet"/>
      <w:lvlText w:val="o"/>
      <w:lvlJc w:val="left"/>
      <w:pPr>
        <w:tabs>
          <w:tab w:val="num" w:pos="3487"/>
        </w:tabs>
        <w:ind w:left="3487" w:hanging="360"/>
      </w:pPr>
      <w:rPr>
        <w:rFonts w:ascii="Courier New" w:hAnsi="Courier New" w:hint="default"/>
      </w:rPr>
    </w:lvl>
    <w:lvl w:ilvl="5">
      <w:start w:val="1"/>
      <w:numFmt w:val="bullet"/>
      <w:lvlText w:val=""/>
      <w:lvlJc w:val="left"/>
      <w:pPr>
        <w:tabs>
          <w:tab w:val="num" w:pos="4207"/>
        </w:tabs>
        <w:ind w:left="4207" w:hanging="360"/>
      </w:pPr>
      <w:rPr>
        <w:rFonts w:ascii="Wingdings" w:hAnsi="Wingdings" w:hint="default"/>
      </w:rPr>
    </w:lvl>
    <w:lvl w:ilvl="6">
      <w:start w:val="1"/>
      <w:numFmt w:val="bullet"/>
      <w:lvlText w:val=""/>
      <w:lvlJc w:val="left"/>
      <w:pPr>
        <w:tabs>
          <w:tab w:val="num" w:pos="4927"/>
        </w:tabs>
        <w:ind w:left="4927" w:hanging="360"/>
      </w:pPr>
      <w:rPr>
        <w:rFonts w:ascii="Symbol" w:hAnsi="Symbol" w:hint="default"/>
      </w:rPr>
    </w:lvl>
    <w:lvl w:ilvl="7">
      <w:start w:val="1"/>
      <w:numFmt w:val="bullet"/>
      <w:lvlText w:val="o"/>
      <w:lvlJc w:val="left"/>
      <w:pPr>
        <w:tabs>
          <w:tab w:val="num" w:pos="5647"/>
        </w:tabs>
        <w:ind w:left="5647" w:hanging="360"/>
      </w:pPr>
      <w:rPr>
        <w:rFonts w:ascii="Courier New" w:hAnsi="Courier New" w:hint="default"/>
      </w:rPr>
    </w:lvl>
    <w:lvl w:ilvl="8">
      <w:start w:val="1"/>
      <w:numFmt w:val="bullet"/>
      <w:lvlText w:val=""/>
      <w:lvlJc w:val="left"/>
      <w:pPr>
        <w:tabs>
          <w:tab w:val="num" w:pos="6367"/>
        </w:tabs>
        <w:ind w:left="6367" w:hanging="360"/>
      </w:pPr>
      <w:rPr>
        <w:rFonts w:ascii="Wingdings" w:hAnsi="Wingdings" w:hint="default"/>
      </w:rPr>
    </w:lvl>
  </w:abstractNum>
  <w:abstractNum w:abstractNumId="10">
    <w:nsid w:val="2B3F39F8"/>
    <w:multiLevelType w:val="multilevel"/>
    <w:tmpl w:val="130ADDBA"/>
    <w:lvl w:ilvl="0">
      <w:start w:val="1"/>
      <w:numFmt w:val="bullet"/>
      <w:pStyle w:val="EB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2FBF7513"/>
    <w:multiLevelType w:val="hybridMultilevel"/>
    <w:tmpl w:val="4854464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0FA10C5"/>
    <w:multiLevelType w:val="multilevel"/>
    <w:tmpl w:val="0DA01C7A"/>
    <w:lvl w:ilvl="0">
      <w:start w:val="6"/>
      <w:numFmt w:val="decimal"/>
      <w:lvlText w:val="%1"/>
      <w:lvlJc w:val="left"/>
      <w:pPr>
        <w:tabs>
          <w:tab w:val="num" w:pos="360"/>
        </w:tabs>
        <w:ind w:left="360" w:hanging="360"/>
      </w:pPr>
      <w:rPr>
        <w:rFonts w:hint="default"/>
      </w:rPr>
    </w:lvl>
    <w:lvl w:ilvl="1">
      <w:start w:val="1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9302801"/>
    <w:multiLevelType w:val="hybridMultilevel"/>
    <w:tmpl w:val="B16E7A9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4">
    <w:nsid w:val="430B3B82"/>
    <w:multiLevelType w:val="hybridMultilevel"/>
    <w:tmpl w:val="37088C6C"/>
    <w:lvl w:ilvl="0" w:tplc="0409000F">
      <w:start w:val="1"/>
      <w:numFmt w:val="decimal"/>
      <w:lvlText w:val="%1."/>
      <w:lvlJc w:val="left"/>
      <w:pPr>
        <w:tabs>
          <w:tab w:val="num" w:pos="1440"/>
        </w:tabs>
        <w:ind w:left="1440" w:hanging="360"/>
      </w:pPr>
      <w:rPr>
        <w:rFont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nsid w:val="44DB3F54"/>
    <w:multiLevelType w:val="multilevel"/>
    <w:tmpl w:val="0DA01C7A"/>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998196F"/>
    <w:multiLevelType w:val="hybridMultilevel"/>
    <w:tmpl w:val="332A574C"/>
    <w:lvl w:ilvl="0" w:tplc="0409000F">
      <w:start w:val="1"/>
      <w:numFmt w:val="decimal"/>
      <w:lvlText w:val="%1."/>
      <w:lvlJc w:val="left"/>
      <w:pPr>
        <w:tabs>
          <w:tab w:val="num" w:pos="833"/>
        </w:tabs>
        <w:ind w:left="833" w:hanging="360"/>
      </w:pPr>
    </w:lvl>
    <w:lvl w:ilvl="1" w:tplc="08090019" w:tentative="1">
      <w:start w:val="1"/>
      <w:numFmt w:val="lowerLetter"/>
      <w:lvlText w:val="%2."/>
      <w:lvlJc w:val="left"/>
      <w:pPr>
        <w:tabs>
          <w:tab w:val="num" w:pos="1553"/>
        </w:tabs>
        <w:ind w:left="1553" w:hanging="360"/>
      </w:pPr>
    </w:lvl>
    <w:lvl w:ilvl="2" w:tplc="0809001B" w:tentative="1">
      <w:start w:val="1"/>
      <w:numFmt w:val="lowerRoman"/>
      <w:lvlText w:val="%3."/>
      <w:lvlJc w:val="right"/>
      <w:pPr>
        <w:tabs>
          <w:tab w:val="num" w:pos="2273"/>
        </w:tabs>
        <w:ind w:left="2273" w:hanging="180"/>
      </w:pPr>
    </w:lvl>
    <w:lvl w:ilvl="3" w:tplc="0809000F" w:tentative="1">
      <w:start w:val="1"/>
      <w:numFmt w:val="decimal"/>
      <w:lvlText w:val="%4."/>
      <w:lvlJc w:val="left"/>
      <w:pPr>
        <w:tabs>
          <w:tab w:val="num" w:pos="2993"/>
        </w:tabs>
        <w:ind w:left="2993" w:hanging="360"/>
      </w:pPr>
    </w:lvl>
    <w:lvl w:ilvl="4" w:tplc="08090019" w:tentative="1">
      <w:start w:val="1"/>
      <w:numFmt w:val="lowerLetter"/>
      <w:lvlText w:val="%5."/>
      <w:lvlJc w:val="left"/>
      <w:pPr>
        <w:tabs>
          <w:tab w:val="num" w:pos="3713"/>
        </w:tabs>
        <w:ind w:left="3713" w:hanging="360"/>
      </w:pPr>
    </w:lvl>
    <w:lvl w:ilvl="5" w:tplc="0809001B" w:tentative="1">
      <w:start w:val="1"/>
      <w:numFmt w:val="lowerRoman"/>
      <w:lvlText w:val="%6."/>
      <w:lvlJc w:val="right"/>
      <w:pPr>
        <w:tabs>
          <w:tab w:val="num" w:pos="4433"/>
        </w:tabs>
        <w:ind w:left="4433" w:hanging="180"/>
      </w:pPr>
    </w:lvl>
    <w:lvl w:ilvl="6" w:tplc="0809000F" w:tentative="1">
      <w:start w:val="1"/>
      <w:numFmt w:val="decimal"/>
      <w:lvlText w:val="%7."/>
      <w:lvlJc w:val="left"/>
      <w:pPr>
        <w:tabs>
          <w:tab w:val="num" w:pos="5153"/>
        </w:tabs>
        <w:ind w:left="5153" w:hanging="360"/>
      </w:pPr>
    </w:lvl>
    <w:lvl w:ilvl="7" w:tplc="08090019" w:tentative="1">
      <w:start w:val="1"/>
      <w:numFmt w:val="lowerLetter"/>
      <w:lvlText w:val="%8."/>
      <w:lvlJc w:val="left"/>
      <w:pPr>
        <w:tabs>
          <w:tab w:val="num" w:pos="5873"/>
        </w:tabs>
        <w:ind w:left="5873" w:hanging="360"/>
      </w:pPr>
    </w:lvl>
    <w:lvl w:ilvl="8" w:tplc="0809001B" w:tentative="1">
      <w:start w:val="1"/>
      <w:numFmt w:val="lowerRoman"/>
      <w:lvlText w:val="%9."/>
      <w:lvlJc w:val="right"/>
      <w:pPr>
        <w:tabs>
          <w:tab w:val="num" w:pos="6593"/>
        </w:tabs>
        <w:ind w:left="6593" w:hanging="180"/>
      </w:pPr>
    </w:lvl>
  </w:abstractNum>
  <w:abstractNum w:abstractNumId="17">
    <w:nsid w:val="4B170815"/>
    <w:multiLevelType w:val="multilevel"/>
    <w:tmpl w:val="0DA01C7A"/>
    <w:lvl w:ilvl="0">
      <w:start w:val="6"/>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BFD7F17"/>
    <w:multiLevelType w:val="hybridMultilevel"/>
    <w:tmpl w:val="C6CE7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FE71AA0"/>
    <w:multiLevelType w:val="hybridMultilevel"/>
    <w:tmpl w:val="69D0DE4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3924961"/>
    <w:multiLevelType w:val="hybridMultilevel"/>
    <w:tmpl w:val="B19AF9E4"/>
    <w:lvl w:ilvl="0" w:tplc="5122FF6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1">
    <w:nsid w:val="6443266A"/>
    <w:multiLevelType w:val="hybridMultilevel"/>
    <w:tmpl w:val="C5420B3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DB17606"/>
    <w:multiLevelType w:val="hybridMultilevel"/>
    <w:tmpl w:val="51F8015C"/>
    <w:lvl w:ilvl="0" w:tplc="08090001">
      <w:start w:val="1"/>
      <w:numFmt w:val="bullet"/>
      <w:lvlText w:val=""/>
      <w:lvlJc w:val="left"/>
      <w:pPr>
        <w:tabs>
          <w:tab w:val="num" w:pos="960"/>
        </w:tabs>
        <w:ind w:left="960" w:hanging="360"/>
      </w:pPr>
      <w:rPr>
        <w:rFonts w:ascii="Symbol" w:hAnsi="Symbol" w:hint="default"/>
        <w:color w:val="000000"/>
      </w:rPr>
    </w:lvl>
    <w:lvl w:ilvl="1" w:tplc="04090003">
      <w:start w:val="1"/>
      <w:numFmt w:val="bullet"/>
      <w:lvlText w:val="o"/>
      <w:lvlJc w:val="left"/>
      <w:pPr>
        <w:tabs>
          <w:tab w:val="num" w:pos="1680"/>
        </w:tabs>
        <w:ind w:left="1680" w:hanging="360"/>
      </w:pPr>
      <w:rPr>
        <w:rFonts w:ascii="Courier New" w:hAnsi="Courier New" w:hint="default"/>
        <w:color w:val="000000"/>
      </w:rPr>
    </w:lvl>
    <w:lvl w:ilvl="2" w:tplc="08090005" w:tentative="1">
      <w:start w:val="1"/>
      <w:numFmt w:val="bullet"/>
      <w:lvlText w:val=""/>
      <w:lvlJc w:val="left"/>
      <w:pPr>
        <w:tabs>
          <w:tab w:val="num" w:pos="2400"/>
        </w:tabs>
        <w:ind w:left="2400" w:hanging="360"/>
      </w:pPr>
      <w:rPr>
        <w:rFonts w:ascii="Wingdings" w:hAnsi="Wingdings" w:hint="default"/>
      </w:rPr>
    </w:lvl>
    <w:lvl w:ilvl="3" w:tplc="08090001" w:tentative="1">
      <w:start w:val="1"/>
      <w:numFmt w:val="bullet"/>
      <w:lvlText w:val=""/>
      <w:lvlJc w:val="left"/>
      <w:pPr>
        <w:tabs>
          <w:tab w:val="num" w:pos="3120"/>
        </w:tabs>
        <w:ind w:left="3120" w:hanging="360"/>
      </w:pPr>
      <w:rPr>
        <w:rFonts w:ascii="Symbol" w:hAnsi="Symbol" w:hint="default"/>
      </w:rPr>
    </w:lvl>
    <w:lvl w:ilvl="4" w:tplc="08090003" w:tentative="1">
      <w:start w:val="1"/>
      <w:numFmt w:val="bullet"/>
      <w:lvlText w:val="o"/>
      <w:lvlJc w:val="left"/>
      <w:pPr>
        <w:tabs>
          <w:tab w:val="num" w:pos="3840"/>
        </w:tabs>
        <w:ind w:left="3840" w:hanging="360"/>
      </w:pPr>
      <w:rPr>
        <w:rFonts w:ascii="Courier New" w:hAnsi="Courier New" w:cs="Courier New" w:hint="default"/>
      </w:rPr>
    </w:lvl>
    <w:lvl w:ilvl="5" w:tplc="08090005" w:tentative="1">
      <w:start w:val="1"/>
      <w:numFmt w:val="bullet"/>
      <w:lvlText w:val=""/>
      <w:lvlJc w:val="left"/>
      <w:pPr>
        <w:tabs>
          <w:tab w:val="num" w:pos="4560"/>
        </w:tabs>
        <w:ind w:left="4560" w:hanging="360"/>
      </w:pPr>
      <w:rPr>
        <w:rFonts w:ascii="Wingdings" w:hAnsi="Wingdings" w:hint="default"/>
      </w:rPr>
    </w:lvl>
    <w:lvl w:ilvl="6" w:tplc="08090001" w:tentative="1">
      <w:start w:val="1"/>
      <w:numFmt w:val="bullet"/>
      <w:lvlText w:val=""/>
      <w:lvlJc w:val="left"/>
      <w:pPr>
        <w:tabs>
          <w:tab w:val="num" w:pos="5280"/>
        </w:tabs>
        <w:ind w:left="5280" w:hanging="360"/>
      </w:pPr>
      <w:rPr>
        <w:rFonts w:ascii="Symbol" w:hAnsi="Symbol" w:hint="default"/>
      </w:rPr>
    </w:lvl>
    <w:lvl w:ilvl="7" w:tplc="08090003" w:tentative="1">
      <w:start w:val="1"/>
      <w:numFmt w:val="bullet"/>
      <w:lvlText w:val="o"/>
      <w:lvlJc w:val="left"/>
      <w:pPr>
        <w:tabs>
          <w:tab w:val="num" w:pos="6000"/>
        </w:tabs>
        <w:ind w:left="6000" w:hanging="360"/>
      </w:pPr>
      <w:rPr>
        <w:rFonts w:ascii="Courier New" w:hAnsi="Courier New" w:cs="Courier New" w:hint="default"/>
      </w:rPr>
    </w:lvl>
    <w:lvl w:ilvl="8" w:tplc="08090005" w:tentative="1">
      <w:start w:val="1"/>
      <w:numFmt w:val="bullet"/>
      <w:lvlText w:val=""/>
      <w:lvlJc w:val="left"/>
      <w:pPr>
        <w:tabs>
          <w:tab w:val="num" w:pos="6720"/>
        </w:tabs>
        <w:ind w:left="6720" w:hanging="360"/>
      </w:pPr>
      <w:rPr>
        <w:rFonts w:ascii="Wingdings" w:hAnsi="Wingdings" w:hint="default"/>
      </w:rPr>
    </w:lvl>
  </w:abstractNum>
  <w:abstractNum w:abstractNumId="23">
    <w:nsid w:val="6E0912D0"/>
    <w:multiLevelType w:val="hybridMultilevel"/>
    <w:tmpl w:val="BC5A8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E1E3B21"/>
    <w:multiLevelType w:val="multilevel"/>
    <w:tmpl w:val="CD386BF2"/>
    <w:styleLink w:val="Numberlist"/>
    <w:lvl w:ilvl="0">
      <w:start w:val="1"/>
      <w:numFmt w:val="decimal"/>
      <w:lvlText w:val="%1."/>
      <w:lvlJc w:val="left"/>
      <w:pPr>
        <w:ind w:left="862" w:hanging="357"/>
      </w:pPr>
      <w:rPr>
        <w:rFonts w:ascii="Arial" w:hAnsi="Arial" w:hint="default"/>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70BA4D9C"/>
    <w:multiLevelType w:val="hybridMultilevel"/>
    <w:tmpl w:val="5BC641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718851C2"/>
    <w:multiLevelType w:val="multilevel"/>
    <w:tmpl w:val="3626DD9A"/>
    <w:lvl w:ilvl="0">
      <w:start w:val="1"/>
      <w:numFmt w:val="decimal"/>
      <w:pStyle w:val="IARefNumber"/>
      <w:suff w:val="nothing"/>
      <w:lvlText w:val="%1"/>
      <w:lvlJc w:val="left"/>
      <w:pPr>
        <w:ind w:firstLine="113"/>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27">
    <w:nsid w:val="73943769"/>
    <w:multiLevelType w:val="hybridMultilevel"/>
    <w:tmpl w:val="037CEE6E"/>
    <w:lvl w:ilvl="0" w:tplc="04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8">
    <w:nsid w:val="75CA136F"/>
    <w:multiLevelType w:val="hybridMultilevel"/>
    <w:tmpl w:val="BD8AD63C"/>
    <w:lvl w:ilvl="0" w:tplc="37541278">
      <w:start w:val="1"/>
      <w:numFmt w:val="bullet"/>
      <w:pStyle w:val="BISInsidebullets"/>
      <w:lvlText w:val=""/>
      <w:lvlJc w:val="left"/>
      <w:pPr>
        <w:tabs>
          <w:tab w:val="num" w:pos="360"/>
        </w:tabs>
        <w:ind w:left="360" w:hanging="360"/>
      </w:pPr>
      <w:rPr>
        <w:rFonts w:ascii="Wingdings 2" w:hAnsi="Wingdings 2" w:hint="default"/>
        <w:color w:val="FFFFFF"/>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nsid w:val="761A07CB"/>
    <w:multiLevelType w:val="hybridMultilevel"/>
    <w:tmpl w:val="71D21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FB75C1D"/>
    <w:multiLevelType w:val="multilevel"/>
    <w:tmpl w:val="E2CC615A"/>
    <w:lvl w:ilvl="0">
      <w:start w:val="1"/>
      <w:numFmt w:val="none"/>
      <w:pStyle w:val="EBNumberRestart"/>
      <w:suff w:val="nothing"/>
      <w:lvlText w:val="%1"/>
      <w:lvlJc w:val="left"/>
      <w:rPr>
        <w:rFonts w:cs="Times New Roman" w:hint="default"/>
      </w:rPr>
    </w:lvl>
    <w:lvl w:ilvl="1">
      <w:start w:val="1"/>
      <w:numFmt w:val="decimal"/>
      <w:pStyle w:val="EBNumber"/>
      <w:lvlText w:val="%1%2."/>
      <w:lvlJc w:val="left"/>
      <w:pPr>
        <w:tabs>
          <w:tab w:val="num" w:pos="425"/>
        </w:tabs>
        <w:ind w:left="425" w:hanging="425"/>
      </w:pPr>
      <w:rPr>
        <w:rFonts w:cs="Times New Roman" w:hint="default"/>
      </w:rPr>
    </w:lvl>
    <w:lvl w:ilvl="2">
      <w:start w:val="1"/>
      <w:numFmt w:val="lowerLetter"/>
      <w:lvlText w:val="%1%3."/>
      <w:lvlJc w:val="left"/>
      <w:pPr>
        <w:tabs>
          <w:tab w:val="num" w:pos="851"/>
        </w:tabs>
        <w:ind w:left="851" w:hanging="426"/>
      </w:pPr>
      <w:rPr>
        <w:rFonts w:cs="Times New Roman" w:hint="default"/>
      </w:rPr>
    </w:lvl>
    <w:lvl w:ilvl="3">
      <w:start w:val="1"/>
      <w:numFmt w:val="none"/>
      <w:lvlText w:val="%1"/>
      <w:lvlJc w:val="left"/>
      <w:pPr>
        <w:tabs>
          <w:tab w:val="num" w:pos="2880"/>
        </w:tabs>
        <w:ind w:left="1728" w:hanging="648"/>
      </w:pPr>
      <w:rPr>
        <w:rFonts w:cs="Times New Roman" w:hint="default"/>
      </w:rPr>
    </w:lvl>
    <w:lvl w:ilvl="4">
      <w:start w:val="1"/>
      <w:numFmt w:val="none"/>
      <w:lvlText w:val="%1"/>
      <w:lvlJc w:val="left"/>
      <w:pPr>
        <w:tabs>
          <w:tab w:val="num" w:pos="3600"/>
        </w:tabs>
        <w:ind w:left="2232" w:hanging="792"/>
      </w:pPr>
      <w:rPr>
        <w:rFonts w:cs="Times New Roman" w:hint="default"/>
      </w:rPr>
    </w:lvl>
    <w:lvl w:ilvl="5">
      <w:start w:val="1"/>
      <w:numFmt w:val="none"/>
      <w:lvlText w:val="%1"/>
      <w:lvlJc w:val="left"/>
      <w:pPr>
        <w:tabs>
          <w:tab w:val="num" w:pos="4320"/>
        </w:tabs>
        <w:ind w:left="2736" w:hanging="936"/>
      </w:pPr>
      <w:rPr>
        <w:rFonts w:cs="Times New Roman" w:hint="default"/>
      </w:rPr>
    </w:lvl>
    <w:lvl w:ilvl="6">
      <w:start w:val="1"/>
      <w:numFmt w:val="none"/>
      <w:lvlText w:val="%1"/>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num w:numId="1">
    <w:abstractNumId w:val="28"/>
  </w:num>
  <w:num w:numId="2">
    <w:abstractNumId w:val="3"/>
  </w:num>
  <w:num w:numId="3">
    <w:abstractNumId w:val="9"/>
  </w:num>
  <w:num w:numId="4">
    <w:abstractNumId w:val="24"/>
  </w:num>
  <w:num w:numId="5">
    <w:abstractNumId w:val="1"/>
  </w:num>
  <w:num w:numId="6">
    <w:abstractNumId w:val="8"/>
  </w:num>
  <w:num w:numId="7">
    <w:abstractNumId w:val="10"/>
  </w:num>
  <w:num w:numId="8">
    <w:abstractNumId w:val="21"/>
  </w:num>
  <w:num w:numId="9">
    <w:abstractNumId w:val="5"/>
  </w:num>
  <w:num w:numId="10">
    <w:abstractNumId w:val="26"/>
  </w:num>
  <w:num w:numId="11">
    <w:abstractNumId w:val="30"/>
  </w:num>
  <w:num w:numId="12">
    <w:abstractNumId w:val="14"/>
  </w:num>
  <w:num w:numId="13">
    <w:abstractNumId w:val="19"/>
  </w:num>
  <w:num w:numId="14">
    <w:abstractNumId w:val="11"/>
  </w:num>
  <w:num w:numId="15">
    <w:abstractNumId w:val="7"/>
  </w:num>
  <w:num w:numId="16">
    <w:abstractNumId w:val="16"/>
  </w:num>
  <w:num w:numId="17">
    <w:abstractNumId w:val="12"/>
  </w:num>
  <w:num w:numId="18">
    <w:abstractNumId w:val="17"/>
  </w:num>
  <w:num w:numId="19">
    <w:abstractNumId w:val="15"/>
  </w:num>
  <w:num w:numId="20">
    <w:abstractNumId w:val="22"/>
  </w:num>
  <w:num w:numId="21">
    <w:abstractNumId w:val="4"/>
  </w:num>
  <w:num w:numId="22">
    <w:abstractNumId w:val="13"/>
  </w:num>
  <w:num w:numId="23">
    <w:abstractNumId w:val="2"/>
  </w:num>
  <w:num w:numId="24">
    <w:abstractNumId w:val="0"/>
  </w:num>
  <w:num w:numId="25">
    <w:abstractNumId w:val="20"/>
  </w:num>
  <w:num w:numId="26">
    <w:abstractNumId w:val="6"/>
  </w:num>
  <w:num w:numId="2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23"/>
  </w:num>
  <w:num w:numId="30">
    <w:abstractNumId w:val="25"/>
  </w:num>
  <w:num w:numId="31">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readOnly" w:enforcement="1" w:cryptProviderType="rsaFull" w:cryptAlgorithmClass="hash" w:cryptAlgorithmType="typeAny" w:cryptAlgorithmSid="4" w:cryptSpinCount="100000" w:hash="SIYrk+NBjv81NUC0aTi2SgqVJFc=" w:salt="O+lPyFtVpR67QEcQKAnDXw=="/>
  <w:defaultTabStop w:val="720"/>
  <w:displayHorizontalDrawingGridEvery w:val="0"/>
  <w:displayVerticalDrawingGridEvery w:val="0"/>
  <w:doNotUseMarginsForDrawingGridOrigin/>
  <w:noPunctuationKerning/>
  <w:characterSpacingControl w:val="doNotCompress"/>
  <w:hdrShapeDefaults>
    <o:shapedefaults v:ext="edit" spidmax="17409" style="mso-position-horizontal-relative:page;mso-position-vertical-relative:page" fillcolor="#003478" strokecolor="#003478">
      <v:fill color="#003478"/>
      <v:stroke color="#003478"/>
      <o:colormru v:ext="edit" colors="#009ee3,#aa0721,#06c,#00aeef,#9a9b00,#009ee0,#f08015,#742f8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42F"/>
    <w:rsid w:val="00005338"/>
    <w:rsid w:val="00006159"/>
    <w:rsid w:val="00015C4E"/>
    <w:rsid w:val="00016CA4"/>
    <w:rsid w:val="000207C3"/>
    <w:rsid w:val="00023284"/>
    <w:rsid w:val="000232EA"/>
    <w:rsid w:val="00023B3E"/>
    <w:rsid w:val="00024D1B"/>
    <w:rsid w:val="00026949"/>
    <w:rsid w:val="00030E14"/>
    <w:rsid w:val="00050088"/>
    <w:rsid w:val="00050CAC"/>
    <w:rsid w:val="00054042"/>
    <w:rsid w:val="000604AF"/>
    <w:rsid w:val="000622F8"/>
    <w:rsid w:val="00064F53"/>
    <w:rsid w:val="00066022"/>
    <w:rsid w:val="00066A27"/>
    <w:rsid w:val="00066C69"/>
    <w:rsid w:val="00071B50"/>
    <w:rsid w:val="00072C00"/>
    <w:rsid w:val="00081757"/>
    <w:rsid w:val="00082FA5"/>
    <w:rsid w:val="00086934"/>
    <w:rsid w:val="0009098A"/>
    <w:rsid w:val="00091DE9"/>
    <w:rsid w:val="00096FAD"/>
    <w:rsid w:val="0009780C"/>
    <w:rsid w:val="000A0889"/>
    <w:rsid w:val="000A204A"/>
    <w:rsid w:val="000A2B5F"/>
    <w:rsid w:val="000B6352"/>
    <w:rsid w:val="000B7B04"/>
    <w:rsid w:val="000B7E26"/>
    <w:rsid w:val="000C505D"/>
    <w:rsid w:val="000C6845"/>
    <w:rsid w:val="000D4237"/>
    <w:rsid w:val="000D42C5"/>
    <w:rsid w:val="000D6E5F"/>
    <w:rsid w:val="000E1F17"/>
    <w:rsid w:val="000E2C1D"/>
    <w:rsid w:val="000E50CC"/>
    <w:rsid w:val="000E61F5"/>
    <w:rsid w:val="000E6F59"/>
    <w:rsid w:val="000F08EB"/>
    <w:rsid w:val="0010466E"/>
    <w:rsid w:val="00105660"/>
    <w:rsid w:val="00106564"/>
    <w:rsid w:val="00107988"/>
    <w:rsid w:val="001100D6"/>
    <w:rsid w:val="001105E9"/>
    <w:rsid w:val="00111C53"/>
    <w:rsid w:val="0012175B"/>
    <w:rsid w:val="00122B01"/>
    <w:rsid w:val="001273CF"/>
    <w:rsid w:val="00136D86"/>
    <w:rsid w:val="00146306"/>
    <w:rsid w:val="00146AEF"/>
    <w:rsid w:val="00147215"/>
    <w:rsid w:val="0014731E"/>
    <w:rsid w:val="00155A9C"/>
    <w:rsid w:val="00157519"/>
    <w:rsid w:val="00160CA8"/>
    <w:rsid w:val="001611E6"/>
    <w:rsid w:val="00161441"/>
    <w:rsid w:val="001634C8"/>
    <w:rsid w:val="00167D4B"/>
    <w:rsid w:val="001703EB"/>
    <w:rsid w:val="001726DF"/>
    <w:rsid w:val="001737DA"/>
    <w:rsid w:val="00174521"/>
    <w:rsid w:val="001764A2"/>
    <w:rsid w:val="001773BD"/>
    <w:rsid w:val="001800A6"/>
    <w:rsid w:val="0018036E"/>
    <w:rsid w:val="0018767B"/>
    <w:rsid w:val="00191B54"/>
    <w:rsid w:val="001920DA"/>
    <w:rsid w:val="00193033"/>
    <w:rsid w:val="001A00E7"/>
    <w:rsid w:val="001A05C1"/>
    <w:rsid w:val="001A3FE6"/>
    <w:rsid w:val="001A6E8B"/>
    <w:rsid w:val="001C1FE5"/>
    <w:rsid w:val="001C78F8"/>
    <w:rsid w:val="001D6D05"/>
    <w:rsid w:val="001D6F57"/>
    <w:rsid w:val="001E3A8F"/>
    <w:rsid w:val="001E554A"/>
    <w:rsid w:val="001E6A1F"/>
    <w:rsid w:val="001E7CAF"/>
    <w:rsid w:val="001F013A"/>
    <w:rsid w:val="001F19C6"/>
    <w:rsid w:val="001F2C2F"/>
    <w:rsid w:val="00201B9C"/>
    <w:rsid w:val="002158E8"/>
    <w:rsid w:val="00216C85"/>
    <w:rsid w:val="00221D9D"/>
    <w:rsid w:val="00222BC6"/>
    <w:rsid w:val="002245A2"/>
    <w:rsid w:val="00224C7F"/>
    <w:rsid w:val="00226F71"/>
    <w:rsid w:val="00230A5B"/>
    <w:rsid w:val="00232B67"/>
    <w:rsid w:val="0023304D"/>
    <w:rsid w:val="002335D6"/>
    <w:rsid w:val="00234064"/>
    <w:rsid w:val="00235E92"/>
    <w:rsid w:val="00243C7D"/>
    <w:rsid w:val="00244FC1"/>
    <w:rsid w:val="002451F0"/>
    <w:rsid w:val="002461FE"/>
    <w:rsid w:val="00246F54"/>
    <w:rsid w:val="0025060A"/>
    <w:rsid w:val="002626C2"/>
    <w:rsid w:val="00272091"/>
    <w:rsid w:val="002720F3"/>
    <w:rsid w:val="00272572"/>
    <w:rsid w:val="002731DB"/>
    <w:rsid w:val="00273593"/>
    <w:rsid w:val="002772A0"/>
    <w:rsid w:val="00277648"/>
    <w:rsid w:val="002811B6"/>
    <w:rsid w:val="0028755F"/>
    <w:rsid w:val="00294A94"/>
    <w:rsid w:val="002A5D47"/>
    <w:rsid w:val="002B08ED"/>
    <w:rsid w:val="002B386C"/>
    <w:rsid w:val="002B656D"/>
    <w:rsid w:val="002B7264"/>
    <w:rsid w:val="002C19CD"/>
    <w:rsid w:val="002C23EC"/>
    <w:rsid w:val="002C2ADB"/>
    <w:rsid w:val="002C43D8"/>
    <w:rsid w:val="002D011A"/>
    <w:rsid w:val="002D12B5"/>
    <w:rsid w:val="002D688C"/>
    <w:rsid w:val="002E5CB4"/>
    <w:rsid w:val="002E70DB"/>
    <w:rsid w:val="002F1CC6"/>
    <w:rsid w:val="002F1FF4"/>
    <w:rsid w:val="002F6834"/>
    <w:rsid w:val="00300710"/>
    <w:rsid w:val="00301A26"/>
    <w:rsid w:val="003021B0"/>
    <w:rsid w:val="00305F93"/>
    <w:rsid w:val="0031000D"/>
    <w:rsid w:val="0031572F"/>
    <w:rsid w:val="00317874"/>
    <w:rsid w:val="00320FD1"/>
    <w:rsid w:val="003213B0"/>
    <w:rsid w:val="00321C47"/>
    <w:rsid w:val="00323132"/>
    <w:rsid w:val="00324762"/>
    <w:rsid w:val="00324960"/>
    <w:rsid w:val="00324D1E"/>
    <w:rsid w:val="0033027C"/>
    <w:rsid w:val="003318CE"/>
    <w:rsid w:val="003337D4"/>
    <w:rsid w:val="00336FC1"/>
    <w:rsid w:val="003433AE"/>
    <w:rsid w:val="00345BCB"/>
    <w:rsid w:val="00362D69"/>
    <w:rsid w:val="003654E6"/>
    <w:rsid w:val="00367F64"/>
    <w:rsid w:val="00371895"/>
    <w:rsid w:val="00373222"/>
    <w:rsid w:val="003777DD"/>
    <w:rsid w:val="00383CB1"/>
    <w:rsid w:val="00385E2B"/>
    <w:rsid w:val="00386FC0"/>
    <w:rsid w:val="0039415E"/>
    <w:rsid w:val="0039527C"/>
    <w:rsid w:val="003966DE"/>
    <w:rsid w:val="0039680B"/>
    <w:rsid w:val="00397B7B"/>
    <w:rsid w:val="003A0C02"/>
    <w:rsid w:val="003A4D8E"/>
    <w:rsid w:val="003B321A"/>
    <w:rsid w:val="003C2743"/>
    <w:rsid w:val="003C2AEB"/>
    <w:rsid w:val="003D4E4C"/>
    <w:rsid w:val="003D57B6"/>
    <w:rsid w:val="003E26A0"/>
    <w:rsid w:val="003E6E7C"/>
    <w:rsid w:val="003F00F5"/>
    <w:rsid w:val="003F0A1C"/>
    <w:rsid w:val="003F35D6"/>
    <w:rsid w:val="003F5C26"/>
    <w:rsid w:val="00404759"/>
    <w:rsid w:val="004128A6"/>
    <w:rsid w:val="0042441A"/>
    <w:rsid w:val="004244A6"/>
    <w:rsid w:val="004265CE"/>
    <w:rsid w:val="00432680"/>
    <w:rsid w:val="0043287E"/>
    <w:rsid w:val="004367F6"/>
    <w:rsid w:val="00442169"/>
    <w:rsid w:val="004425EF"/>
    <w:rsid w:val="00452858"/>
    <w:rsid w:val="004713E2"/>
    <w:rsid w:val="004727AD"/>
    <w:rsid w:val="004752F3"/>
    <w:rsid w:val="00475FD4"/>
    <w:rsid w:val="00480C25"/>
    <w:rsid w:val="004820AA"/>
    <w:rsid w:val="00484140"/>
    <w:rsid w:val="00484B18"/>
    <w:rsid w:val="0049749C"/>
    <w:rsid w:val="004A0D30"/>
    <w:rsid w:val="004A1B01"/>
    <w:rsid w:val="004A3E18"/>
    <w:rsid w:val="004A49A4"/>
    <w:rsid w:val="004A6B0D"/>
    <w:rsid w:val="004A7500"/>
    <w:rsid w:val="004B0C3E"/>
    <w:rsid w:val="004B15B1"/>
    <w:rsid w:val="004B26FF"/>
    <w:rsid w:val="004B38AB"/>
    <w:rsid w:val="004B68DA"/>
    <w:rsid w:val="004C5B2B"/>
    <w:rsid w:val="004C60C0"/>
    <w:rsid w:val="004D1BEF"/>
    <w:rsid w:val="004D1E73"/>
    <w:rsid w:val="004D6DE1"/>
    <w:rsid w:val="004D6F89"/>
    <w:rsid w:val="004E12DA"/>
    <w:rsid w:val="004E16EA"/>
    <w:rsid w:val="004E3F65"/>
    <w:rsid w:val="004E6E64"/>
    <w:rsid w:val="004F3240"/>
    <w:rsid w:val="004F410E"/>
    <w:rsid w:val="004F4F6E"/>
    <w:rsid w:val="004F56F9"/>
    <w:rsid w:val="004F5C6B"/>
    <w:rsid w:val="005072BB"/>
    <w:rsid w:val="00510E65"/>
    <w:rsid w:val="00512EA7"/>
    <w:rsid w:val="00513EF3"/>
    <w:rsid w:val="00530776"/>
    <w:rsid w:val="0053108F"/>
    <w:rsid w:val="00532EA0"/>
    <w:rsid w:val="00533C58"/>
    <w:rsid w:val="005346CD"/>
    <w:rsid w:val="005359F0"/>
    <w:rsid w:val="00545FB2"/>
    <w:rsid w:val="00546612"/>
    <w:rsid w:val="00560E92"/>
    <w:rsid w:val="0056154B"/>
    <w:rsid w:val="00562344"/>
    <w:rsid w:val="00564C6E"/>
    <w:rsid w:val="0056597A"/>
    <w:rsid w:val="005667C0"/>
    <w:rsid w:val="005729C4"/>
    <w:rsid w:val="005740A7"/>
    <w:rsid w:val="005740CE"/>
    <w:rsid w:val="00576565"/>
    <w:rsid w:val="00580E33"/>
    <w:rsid w:val="005917D7"/>
    <w:rsid w:val="005937E6"/>
    <w:rsid w:val="0059399B"/>
    <w:rsid w:val="0059422F"/>
    <w:rsid w:val="005946D1"/>
    <w:rsid w:val="00594F77"/>
    <w:rsid w:val="0059654F"/>
    <w:rsid w:val="005A084A"/>
    <w:rsid w:val="005A169D"/>
    <w:rsid w:val="005A50A9"/>
    <w:rsid w:val="005A6936"/>
    <w:rsid w:val="005A7ADC"/>
    <w:rsid w:val="005B402C"/>
    <w:rsid w:val="005B7CEF"/>
    <w:rsid w:val="005C11C2"/>
    <w:rsid w:val="005C4CED"/>
    <w:rsid w:val="005C5E7A"/>
    <w:rsid w:val="005C658D"/>
    <w:rsid w:val="005C7995"/>
    <w:rsid w:val="005D58CC"/>
    <w:rsid w:val="005D7CA8"/>
    <w:rsid w:val="005E044E"/>
    <w:rsid w:val="005E104A"/>
    <w:rsid w:val="005E3265"/>
    <w:rsid w:val="005E4E19"/>
    <w:rsid w:val="005E6E5D"/>
    <w:rsid w:val="005E70B6"/>
    <w:rsid w:val="005F064A"/>
    <w:rsid w:val="005F5928"/>
    <w:rsid w:val="006009B3"/>
    <w:rsid w:val="006022E4"/>
    <w:rsid w:val="00604044"/>
    <w:rsid w:val="00610E4A"/>
    <w:rsid w:val="00620174"/>
    <w:rsid w:val="00624791"/>
    <w:rsid w:val="00626F81"/>
    <w:rsid w:val="006309C9"/>
    <w:rsid w:val="00632B1E"/>
    <w:rsid w:val="0065014A"/>
    <w:rsid w:val="00660C9A"/>
    <w:rsid w:val="00661A05"/>
    <w:rsid w:val="00663B72"/>
    <w:rsid w:val="00672AEC"/>
    <w:rsid w:val="00677790"/>
    <w:rsid w:val="00681A7D"/>
    <w:rsid w:val="00687DE2"/>
    <w:rsid w:val="00690F30"/>
    <w:rsid w:val="006935A5"/>
    <w:rsid w:val="006A1178"/>
    <w:rsid w:val="006A4551"/>
    <w:rsid w:val="006A4AB8"/>
    <w:rsid w:val="006A640A"/>
    <w:rsid w:val="006A64A7"/>
    <w:rsid w:val="006A6A03"/>
    <w:rsid w:val="006B0855"/>
    <w:rsid w:val="006B4DAA"/>
    <w:rsid w:val="006B58A5"/>
    <w:rsid w:val="006C1E05"/>
    <w:rsid w:val="006C7B0E"/>
    <w:rsid w:val="006D1C50"/>
    <w:rsid w:val="006D5937"/>
    <w:rsid w:val="006D7AAD"/>
    <w:rsid w:val="006E67BC"/>
    <w:rsid w:val="006F1406"/>
    <w:rsid w:val="006F1A4E"/>
    <w:rsid w:val="007073C4"/>
    <w:rsid w:val="007073CE"/>
    <w:rsid w:val="007164C2"/>
    <w:rsid w:val="00716B26"/>
    <w:rsid w:val="00716FC2"/>
    <w:rsid w:val="00721198"/>
    <w:rsid w:val="00724FA0"/>
    <w:rsid w:val="007263F1"/>
    <w:rsid w:val="0072740D"/>
    <w:rsid w:val="007274D3"/>
    <w:rsid w:val="00735BCF"/>
    <w:rsid w:val="007434BA"/>
    <w:rsid w:val="007464B0"/>
    <w:rsid w:val="00751196"/>
    <w:rsid w:val="007514E3"/>
    <w:rsid w:val="00751BF9"/>
    <w:rsid w:val="007527B6"/>
    <w:rsid w:val="00753FB6"/>
    <w:rsid w:val="007559C1"/>
    <w:rsid w:val="0075613E"/>
    <w:rsid w:val="00757AF5"/>
    <w:rsid w:val="00760DFE"/>
    <w:rsid w:val="00761A85"/>
    <w:rsid w:val="007650FE"/>
    <w:rsid w:val="00772C3C"/>
    <w:rsid w:val="00772F1C"/>
    <w:rsid w:val="00782445"/>
    <w:rsid w:val="007847D4"/>
    <w:rsid w:val="007852C7"/>
    <w:rsid w:val="00785C26"/>
    <w:rsid w:val="0078693B"/>
    <w:rsid w:val="00787A2C"/>
    <w:rsid w:val="0079002E"/>
    <w:rsid w:val="00790D47"/>
    <w:rsid w:val="00793136"/>
    <w:rsid w:val="0079433A"/>
    <w:rsid w:val="00795ACD"/>
    <w:rsid w:val="007A696C"/>
    <w:rsid w:val="007B73A7"/>
    <w:rsid w:val="007D0048"/>
    <w:rsid w:val="007D5778"/>
    <w:rsid w:val="007E1641"/>
    <w:rsid w:val="007E723C"/>
    <w:rsid w:val="007F231B"/>
    <w:rsid w:val="007F3797"/>
    <w:rsid w:val="00802D5E"/>
    <w:rsid w:val="00803C6D"/>
    <w:rsid w:val="008126BB"/>
    <w:rsid w:val="0081651E"/>
    <w:rsid w:val="0083348D"/>
    <w:rsid w:val="00834D3E"/>
    <w:rsid w:val="00840A49"/>
    <w:rsid w:val="008559EF"/>
    <w:rsid w:val="008571A1"/>
    <w:rsid w:val="00861495"/>
    <w:rsid w:val="00862E2B"/>
    <w:rsid w:val="008637EB"/>
    <w:rsid w:val="00864872"/>
    <w:rsid w:val="00865526"/>
    <w:rsid w:val="008710E6"/>
    <w:rsid w:val="0087154A"/>
    <w:rsid w:val="00883A79"/>
    <w:rsid w:val="00885FD3"/>
    <w:rsid w:val="008941ED"/>
    <w:rsid w:val="008A4600"/>
    <w:rsid w:val="008A708D"/>
    <w:rsid w:val="008B3503"/>
    <w:rsid w:val="008B723C"/>
    <w:rsid w:val="008C4157"/>
    <w:rsid w:val="008C6170"/>
    <w:rsid w:val="008C69AB"/>
    <w:rsid w:val="008D3C2A"/>
    <w:rsid w:val="008E21C6"/>
    <w:rsid w:val="008E38E7"/>
    <w:rsid w:val="008E4D0D"/>
    <w:rsid w:val="008F1CD3"/>
    <w:rsid w:val="008F5ED4"/>
    <w:rsid w:val="008F5F95"/>
    <w:rsid w:val="009002D1"/>
    <w:rsid w:val="00900791"/>
    <w:rsid w:val="00901D59"/>
    <w:rsid w:val="009025C3"/>
    <w:rsid w:val="00905236"/>
    <w:rsid w:val="0091120E"/>
    <w:rsid w:val="00911589"/>
    <w:rsid w:val="00913E4F"/>
    <w:rsid w:val="0092185A"/>
    <w:rsid w:val="00921D7C"/>
    <w:rsid w:val="00923859"/>
    <w:rsid w:val="00944B31"/>
    <w:rsid w:val="0095568B"/>
    <w:rsid w:val="009637E7"/>
    <w:rsid w:val="00965A03"/>
    <w:rsid w:val="00972CE4"/>
    <w:rsid w:val="00973E65"/>
    <w:rsid w:val="00980F68"/>
    <w:rsid w:val="00993ABD"/>
    <w:rsid w:val="009946FA"/>
    <w:rsid w:val="00997604"/>
    <w:rsid w:val="00997F6C"/>
    <w:rsid w:val="009A1E5A"/>
    <w:rsid w:val="009A327F"/>
    <w:rsid w:val="009C1373"/>
    <w:rsid w:val="009C32D9"/>
    <w:rsid w:val="009C4D8F"/>
    <w:rsid w:val="009C7346"/>
    <w:rsid w:val="009D4371"/>
    <w:rsid w:val="009E06E1"/>
    <w:rsid w:val="009E1C8E"/>
    <w:rsid w:val="009E46D2"/>
    <w:rsid w:val="009E4AE2"/>
    <w:rsid w:val="009E5BA3"/>
    <w:rsid w:val="009E7D3C"/>
    <w:rsid w:val="009F34E9"/>
    <w:rsid w:val="009F6471"/>
    <w:rsid w:val="009F6B02"/>
    <w:rsid w:val="009F738A"/>
    <w:rsid w:val="00A00C03"/>
    <w:rsid w:val="00A10B2D"/>
    <w:rsid w:val="00A1311B"/>
    <w:rsid w:val="00A14146"/>
    <w:rsid w:val="00A168DB"/>
    <w:rsid w:val="00A3621B"/>
    <w:rsid w:val="00A368BC"/>
    <w:rsid w:val="00A43C03"/>
    <w:rsid w:val="00A44650"/>
    <w:rsid w:val="00A47AB9"/>
    <w:rsid w:val="00A558AF"/>
    <w:rsid w:val="00A55BFD"/>
    <w:rsid w:val="00A56F07"/>
    <w:rsid w:val="00A60F98"/>
    <w:rsid w:val="00A715E7"/>
    <w:rsid w:val="00A71857"/>
    <w:rsid w:val="00A71F1B"/>
    <w:rsid w:val="00A72760"/>
    <w:rsid w:val="00A73702"/>
    <w:rsid w:val="00A74691"/>
    <w:rsid w:val="00A7638C"/>
    <w:rsid w:val="00A77434"/>
    <w:rsid w:val="00A7757C"/>
    <w:rsid w:val="00A826EA"/>
    <w:rsid w:val="00A91CB7"/>
    <w:rsid w:val="00A91D35"/>
    <w:rsid w:val="00A92B64"/>
    <w:rsid w:val="00A95640"/>
    <w:rsid w:val="00AA07A7"/>
    <w:rsid w:val="00AA4BE3"/>
    <w:rsid w:val="00AA4C61"/>
    <w:rsid w:val="00AA6F24"/>
    <w:rsid w:val="00AA7173"/>
    <w:rsid w:val="00AB245F"/>
    <w:rsid w:val="00AC561B"/>
    <w:rsid w:val="00AC5D78"/>
    <w:rsid w:val="00AD3A15"/>
    <w:rsid w:val="00AD6940"/>
    <w:rsid w:val="00AD72AF"/>
    <w:rsid w:val="00AD7A09"/>
    <w:rsid w:val="00AE47BD"/>
    <w:rsid w:val="00AF015F"/>
    <w:rsid w:val="00AF4F6E"/>
    <w:rsid w:val="00AF64BE"/>
    <w:rsid w:val="00B053D7"/>
    <w:rsid w:val="00B10999"/>
    <w:rsid w:val="00B10A42"/>
    <w:rsid w:val="00B161E4"/>
    <w:rsid w:val="00B328AD"/>
    <w:rsid w:val="00B351FC"/>
    <w:rsid w:val="00B4069E"/>
    <w:rsid w:val="00B4399E"/>
    <w:rsid w:val="00B4442F"/>
    <w:rsid w:val="00B468B7"/>
    <w:rsid w:val="00B46BED"/>
    <w:rsid w:val="00B60C67"/>
    <w:rsid w:val="00B64D6B"/>
    <w:rsid w:val="00B741E7"/>
    <w:rsid w:val="00B74649"/>
    <w:rsid w:val="00B7595E"/>
    <w:rsid w:val="00B7799D"/>
    <w:rsid w:val="00B80BC9"/>
    <w:rsid w:val="00B82D2B"/>
    <w:rsid w:val="00B838F5"/>
    <w:rsid w:val="00B932AD"/>
    <w:rsid w:val="00B96362"/>
    <w:rsid w:val="00BA520D"/>
    <w:rsid w:val="00BA54CC"/>
    <w:rsid w:val="00BA758C"/>
    <w:rsid w:val="00BB18FE"/>
    <w:rsid w:val="00BB41AC"/>
    <w:rsid w:val="00BC1F9D"/>
    <w:rsid w:val="00BD63EE"/>
    <w:rsid w:val="00BE4DA9"/>
    <w:rsid w:val="00BE5BE2"/>
    <w:rsid w:val="00BE7DB0"/>
    <w:rsid w:val="00BF106C"/>
    <w:rsid w:val="00BF7695"/>
    <w:rsid w:val="00BF7CC3"/>
    <w:rsid w:val="00C00415"/>
    <w:rsid w:val="00C0068C"/>
    <w:rsid w:val="00C01189"/>
    <w:rsid w:val="00C016BD"/>
    <w:rsid w:val="00C041B2"/>
    <w:rsid w:val="00C120C1"/>
    <w:rsid w:val="00C15F2F"/>
    <w:rsid w:val="00C20565"/>
    <w:rsid w:val="00C208AC"/>
    <w:rsid w:val="00C20B87"/>
    <w:rsid w:val="00C20F5A"/>
    <w:rsid w:val="00C36976"/>
    <w:rsid w:val="00C378B1"/>
    <w:rsid w:val="00C40724"/>
    <w:rsid w:val="00C44397"/>
    <w:rsid w:val="00C4488E"/>
    <w:rsid w:val="00C5375F"/>
    <w:rsid w:val="00C6060B"/>
    <w:rsid w:val="00C61978"/>
    <w:rsid w:val="00C64014"/>
    <w:rsid w:val="00C70F4B"/>
    <w:rsid w:val="00C75BD4"/>
    <w:rsid w:val="00C83424"/>
    <w:rsid w:val="00C85DBA"/>
    <w:rsid w:val="00C87F1D"/>
    <w:rsid w:val="00C90788"/>
    <w:rsid w:val="00C913EC"/>
    <w:rsid w:val="00C97DD6"/>
    <w:rsid w:val="00CA3AAE"/>
    <w:rsid w:val="00CB18D2"/>
    <w:rsid w:val="00CB319D"/>
    <w:rsid w:val="00CB3765"/>
    <w:rsid w:val="00CB4DCB"/>
    <w:rsid w:val="00CC08BD"/>
    <w:rsid w:val="00CC2842"/>
    <w:rsid w:val="00CC5D68"/>
    <w:rsid w:val="00CD5818"/>
    <w:rsid w:val="00CE2B0C"/>
    <w:rsid w:val="00CE4DDB"/>
    <w:rsid w:val="00CF24D9"/>
    <w:rsid w:val="00CF588D"/>
    <w:rsid w:val="00CF6874"/>
    <w:rsid w:val="00CF692C"/>
    <w:rsid w:val="00CF6A23"/>
    <w:rsid w:val="00D01677"/>
    <w:rsid w:val="00D01A0B"/>
    <w:rsid w:val="00D03AF0"/>
    <w:rsid w:val="00D05304"/>
    <w:rsid w:val="00D16544"/>
    <w:rsid w:val="00D23089"/>
    <w:rsid w:val="00D25934"/>
    <w:rsid w:val="00D27A5B"/>
    <w:rsid w:val="00D35420"/>
    <w:rsid w:val="00D35443"/>
    <w:rsid w:val="00D4153C"/>
    <w:rsid w:val="00D41D00"/>
    <w:rsid w:val="00D43390"/>
    <w:rsid w:val="00D44A1B"/>
    <w:rsid w:val="00D501BE"/>
    <w:rsid w:val="00D52114"/>
    <w:rsid w:val="00D5710C"/>
    <w:rsid w:val="00D61DE2"/>
    <w:rsid w:val="00D62329"/>
    <w:rsid w:val="00D659CE"/>
    <w:rsid w:val="00D6678A"/>
    <w:rsid w:val="00D722BA"/>
    <w:rsid w:val="00D72A9C"/>
    <w:rsid w:val="00D76E9A"/>
    <w:rsid w:val="00D84906"/>
    <w:rsid w:val="00D87B43"/>
    <w:rsid w:val="00D900DB"/>
    <w:rsid w:val="00D90412"/>
    <w:rsid w:val="00D93DD4"/>
    <w:rsid w:val="00D971BD"/>
    <w:rsid w:val="00DA7C2C"/>
    <w:rsid w:val="00DB52ED"/>
    <w:rsid w:val="00DB5BD0"/>
    <w:rsid w:val="00DC3710"/>
    <w:rsid w:val="00DD2CEF"/>
    <w:rsid w:val="00DE1E27"/>
    <w:rsid w:val="00DE21BB"/>
    <w:rsid w:val="00DE72B1"/>
    <w:rsid w:val="00DF04C9"/>
    <w:rsid w:val="00E03129"/>
    <w:rsid w:val="00E03BCE"/>
    <w:rsid w:val="00E05591"/>
    <w:rsid w:val="00E06F19"/>
    <w:rsid w:val="00E07842"/>
    <w:rsid w:val="00E0793D"/>
    <w:rsid w:val="00E07A94"/>
    <w:rsid w:val="00E124F0"/>
    <w:rsid w:val="00E127B3"/>
    <w:rsid w:val="00E20484"/>
    <w:rsid w:val="00E24617"/>
    <w:rsid w:val="00E27371"/>
    <w:rsid w:val="00E30C7E"/>
    <w:rsid w:val="00E315FE"/>
    <w:rsid w:val="00E32ED5"/>
    <w:rsid w:val="00E338B9"/>
    <w:rsid w:val="00E37D60"/>
    <w:rsid w:val="00E41E50"/>
    <w:rsid w:val="00E44A10"/>
    <w:rsid w:val="00E46BF7"/>
    <w:rsid w:val="00E61863"/>
    <w:rsid w:val="00E6552D"/>
    <w:rsid w:val="00E65ED5"/>
    <w:rsid w:val="00E66320"/>
    <w:rsid w:val="00E67A4E"/>
    <w:rsid w:val="00E723D9"/>
    <w:rsid w:val="00E72713"/>
    <w:rsid w:val="00E75318"/>
    <w:rsid w:val="00E826E2"/>
    <w:rsid w:val="00E83270"/>
    <w:rsid w:val="00E84D50"/>
    <w:rsid w:val="00E854AA"/>
    <w:rsid w:val="00E86B6E"/>
    <w:rsid w:val="00EA0391"/>
    <w:rsid w:val="00EA3126"/>
    <w:rsid w:val="00EA3B5E"/>
    <w:rsid w:val="00EA7FED"/>
    <w:rsid w:val="00EB0AA8"/>
    <w:rsid w:val="00EC6F7B"/>
    <w:rsid w:val="00ED47D3"/>
    <w:rsid w:val="00ED661A"/>
    <w:rsid w:val="00EE2C68"/>
    <w:rsid w:val="00EE2F56"/>
    <w:rsid w:val="00EE3A6B"/>
    <w:rsid w:val="00EE4CEF"/>
    <w:rsid w:val="00F01E68"/>
    <w:rsid w:val="00F05341"/>
    <w:rsid w:val="00F05DDD"/>
    <w:rsid w:val="00F11257"/>
    <w:rsid w:val="00F13F01"/>
    <w:rsid w:val="00F21D34"/>
    <w:rsid w:val="00F23570"/>
    <w:rsid w:val="00F25CDF"/>
    <w:rsid w:val="00F25ED1"/>
    <w:rsid w:val="00F325DD"/>
    <w:rsid w:val="00F332F9"/>
    <w:rsid w:val="00F33FD1"/>
    <w:rsid w:val="00F35C76"/>
    <w:rsid w:val="00F411CD"/>
    <w:rsid w:val="00F441F1"/>
    <w:rsid w:val="00F47950"/>
    <w:rsid w:val="00F51A8E"/>
    <w:rsid w:val="00F62038"/>
    <w:rsid w:val="00F6605F"/>
    <w:rsid w:val="00F702B6"/>
    <w:rsid w:val="00F7484D"/>
    <w:rsid w:val="00F76FC2"/>
    <w:rsid w:val="00F7768A"/>
    <w:rsid w:val="00F8281D"/>
    <w:rsid w:val="00F848E7"/>
    <w:rsid w:val="00F85401"/>
    <w:rsid w:val="00F85B30"/>
    <w:rsid w:val="00F874C7"/>
    <w:rsid w:val="00F90D09"/>
    <w:rsid w:val="00F9250E"/>
    <w:rsid w:val="00F93625"/>
    <w:rsid w:val="00F947B1"/>
    <w:rsid w:val="00F9543B"/>
    <w:rsid w:val="00FA1293"/>
    <w:rsid w:val="00FA15FC"/>
    <w:rsid w:val="00FA2FE3"/>
    <w:rsid w:val="00FA4471"/>
    <w:rsid w:val="00FA5DB3"/>
    <w:rsid w:val="00FA7BBA"/>
    <w:rsid w:val="00FA7DBA"/>
    <w:rsid w:val="00FB1EB0"/>
    <w:rsid w:val="00FB2ED2"/>
    <w:rsid w:val="00FB3AFE"/>
    <w:rsid w:val="00FB3C22"/>
    <w:rsid w:val="00FB4904"/>
    <w:rsid w:val="00FB71C3"/>
    <w:rsid w:val="00FB79EE"/>
    <w:rsid w:val="00FC0316"/>
    <w:rsid w:val="00FC3779"/>
    <w:rsid w:val="00FC508A"/>
    <w:rsid w:val="00FD19FD"/>
    <w:rsid w:val="00FD367C"/>
    <w:rsid w:val="00FE1FC9"/>
    <w:rsid w:val="00FE3B3A"/>
    <w:rsid w:val="00FE488B"/>
    <w:rsid w:val="00FE6E5F"/>
    <w:rsid w:val="00FF09CE"/>
    <w:rsid w:val="00FF25F4"/>
    <w:rsid w:val="00FF2B12"/>
    <w:rsid w:val="00FF51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style="mso-position-horizontal-relative:page;mso-position-vertical-relative:page" fillcolor="#003478" strokecolor="#003478">
      <v:fill color="#003478"/>
      <v:stroke color="#003478"/>
      <o:colormru v:ext="edit" colors="#009ee3,#aa0721,#06c,#00aeef,#9a9b00,#009ee0,#f08015,#742f8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064A"/>
    <w:pPr>
      <w:spacing w:after="288"/>
      <w:ind w:left="142"/>
    </w:pPr>
    <w:rPr>
      <w:rFonts w:ascii="Arial" w:hAnsi="Arial"/>
      <w:sz w:val="24"/>
      <w:szCs w:val="24"/>
      <w:lang w:eastAsia="en-US"/>
    </w:rPr>
  </w:style>
  <w:style w:type="paragraph" w:styleId="Heading1">
    <w:name w:val="heading 1"/>
    <w:basedOn w:val="Normal"/>
    <w:next w:val="Normal"/>
    <w:link w:val="Heading1Char"/>
    <w:qFormat/>
    <w:rsid w:val="00CC08BD"/>
    <w:pPr>
      <w:keepNext/>
      <w:spacing w:after="324"/>
      <w:outlineLvl w:val="0"/>
    </w:pPr>
    <w:rPr>
      <w:b/>
      <w:bCs/>
      <w:color w:val="003478"/>
      <w:kern w:val="32"/>
      <w:sz w:val="56"/>
      <w:szCs w:val="32"/>
    </w:rPr>
  </w:style>
  <w:style w:type="paragraph" w:styleId="Heading2">
    <w:name w:val="heading 2"/>
    <w:aliases w:val="EBHeading1"/>
    <w:basedOn w:val="Normal"/>
    <w:next w:val="Normal"/>
    <w:link w:val="Heading2Char1"/>
    <w:qFormat/>
    <w:rsid w:val="001634C8"/>
    <w:pPr>
      <w:keepNext/>
      <w:spacing w:before="120" w:after="240"/>
      <w:outlineLvl w:val="1"/>
    </w:pPr>
    <w:rPr>
      <w:b/>
      <w:bCs/>
      <w:iCs/>
      <w:color w:val="003478"/>
      <w:kern w:val="32"/>
      <w:sz w:val="32"/>
      <w:szCs w:val="28"/>
    </w:rPr>
  </w:style>
  <w:style w:type="paragraph" w:styleId="Heading3">
    <w:name w:val="heading 3"/>
    <w:aliases w:val="EBHeading2"/>
    <w:basedOn w:val="Normal"/>
    <w:next w:val="Normal"/>
    <w:link w:val="Heading3Char1"/>
    <w:qFormat/>
    <w:rsid w:val="001E6A1F"/>
    <w:pPr>
      <w:keepNext/>
      <w:spacing w:after="120"/>
      <w:outlineLvl w:val="2"/>
    </w:pPr>
    <w:rPr>
      <w:b/>
      <w:bCs/>
      <w:color w:val="009BBB"/>
      <w:sz w:val="26"/>
      <w:szCs w:val="26"/>
    </w:rPr>
  </w:style>
  <w:style w:type="paragraph" w:styleId="Heading4">
    <w:name w:val="heading 4"/>
    <w:aliases w:val="EBHeading3"/>
    <w:basedOn w:val="Normal"/>
    <w:next w:val="Normal"/>
    <w:link w:val="Heading4Char1"/>
    <w:qFormat/>
    <w:rsid w:val="005C658D"/>
    <w:pPr>
      <w:spacing w:after="60"/>
      <w:outlineLvl w:val="3"/>
    </w:pPr>
    <w:rPr>
      <w:b/>
    </w:rPr>
  </w:style>
  <w:style w:type="paragraph" w:styleId="Heading5">
    <w:name w:val="heading 5"/>
    <w:aliases w:val="EBHeading4"/>
    <w:basedOn w:val="Normal"/>
    <w:next w:val="Normal"/>
    <w:link w:val="Heading5Char"/>
    <w:qFormat/>
    <w:rsid w:val="00A43C03"/>
    <w:pPr>
      <w:spacing w:before="240" w:after="120"/>
      <w:ind w:left="0"/>
      <w:outlineLvl w:val="4"/>
    </w:pPr>
    <w:rPr>
      <w:bCs/>
      <w:i/>
      <w:i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STitle">
    <w:name w:val="BIS Title"/>
    <w:basedOn w:val="Heading1"/>
    <w:autoRedefine/>
    <w:rsid w:val="001D6D05"/>
    <w:rPr>
      <w:color w:val="FFFFFF"/>
      <w:szCs w:val="56"/>
    </w:rPr>
  </w:style>
  <w:style w:type="paragraph" w:customStyle="1" w:styleId="BISCovertext">
    <w:name w:val="BIS Cover text"/>
    <w:basedOn w:val="BISTitle"/>
    <w:autoRedefine/>
    <w:rsid w:val="00D90412"/>
    <w:rPr>
      <w:b w:val="0"/>
      <w:sz w:val="28"/>
      <w:szCs w:val="28"/>
    </w:rPr>
  </w:style>
  <w:style w:type="paragraph" w:styleId="TOC1">
    <w:name w:val="toc 1"/>
    <w:basedOn w:val="Normal"/>
    <w:next w:val="Normal"/>
    <w:autoRedefine/>
    <w:uiPriority w:val="39"/>
    <w:pPr>
      <w:spacing w:line="280" w:lineRule="exact"/>
    </w:pPr>
    <w:rPr>
      <w:b/>
      <w:sz w:val="22"/>
    </w:rPr>
  </w:style>
  <w:style w:type="paragraph" w:styleId="TOC2">
    <w:name w:val="toc 2"/>
    <w:basedOn w:val="Normal"/>
    <w:next w:val="Normal"/>
    <w:autoRedefine/>
    <w:uiPriority w:val="39"/>
    <w:pPr>
      <w:spacing w:line="280" w:lineRule="exact"/>
      <w:ind w:left="238"/>
    </w:pPr>
    <w:rPr>
      <w:sz w:val="22"/>
    </w:rPr>
  </w:style>
  <w:style w:type="paragraph" w:styleId="TOC3">
    <w:name w:val="toc 3"/>
    <w:basedOn w:val="Normal"/>
    <w:next w:val="Normal"/>
    <w:autoRedefine/>
    <w:uiPriority w:val="39"/>
    <w:pPr>
      <w:spacing w:line="280" w:lineRule="exact"/>
      <w:ind w:left="482"/>
    </w:pPr>
    <w:rPr>
      <w:sz w:val="22"/>
    </w:rPr>
  </w:style>
  <w:style w:type="numbering" w:customStyle="1" w:styleId="Numberlist">
    <w:name w:val="Number list"/>
    <w:basedOn w:val="NoList"/>
    <w:rsid w:val="007464B0"/>
    <w:pPr>
      <w:numPr>
        <w:numId w:val="4"/>
      </w:numPr>
    </w:pPr>
  </w:style>
  <w:style w:type="paragraph" w:styleId="Header">
    <w:name w:val="header"/>
    <w:basedOn w:val="Normal"/>
    <w:link w:val="HeaderChar1"/>
    <w:rsid w:val="00D5710C"/>
    <w:pPr>
      <w:tabs>
        <w:tab w:val="center" w:pos="4513"/>
        <w:tab w:val="right" w:pos="9026"/>
      </w:tabs>
    </w:pPr>
  </w:style>
  <w:style w:type="paragraph" w:customStyle="1" w:styleId="BISInsidebullets">
    <w:name w:val="BIS Inside bullets"/>
    <w:basedOn w:val="Normal"/>
    <w:autoRedefine/>
    <w:rsid w:val="00FC508A"/>
    <w:pPr>
      <w:numPr>
        <w:numId w:val="1"/>
      </w:numPr>
      <w:tabs>
        <w:tab w:val="clear" w:pos="360"/>
        <w:tab w:val="left" w:pos="284"/>
      </w:tabs>
      <w:spacing w:before="120"/>
      <w:ind w:left="284" w:hanging="284"/>
      <w:outlineLvl w:val="0"/>
    </w:pPr>
    <w:rPr>
      <w:rFonts w:cs="Arial"/>
      <w:bCs/>
      <w:color w:val="FFFFFF"/>
      <w:kern w:val="32"/>
      <w:szCs w:val="56"/>
    </w:rPr>
  </w:style>
  <w:style w:type="character" w:customStyle="1" w:styleId="HeaderChar1">
    <w:name w:val="Header Char1"/>
    <w:link w:val="Header"/>
    <w:rsid w:val="00D5710C"/>
    <w:rPr>
      <w:rFonts w:ascii="Arial" w:hAnsi="Arial"/>
      <w:sz w:val="24"/>
      <w:szCs w:val="24"/>
      <w:lang w:eastAsia="en-US"/>
    </w:rPr>
  </w:style>
  <w:style w:type="paragraph" w:customStyle="1" w:styleId="TableTitleRomanWhite">
    <w:name w:val="Table Title Roman White"/>
    <w:basedOn w:val="TableTitle"/>
    <w:rsid w:val="00C913EC"/>
    <w:rPr>
      <w:b/>
      <w:color w:val="FFFFFF"/>
    </w:rPr>
  </w:style>
  <w:style w:type="paragraph" w:customStyle="1" w:styleId="BISOddHeader">
    <w:name w:val="BIS Odd Header"/>
    <w:basedOn w:val="Normal"/>
    <w:autoRedefine/>
    <w:rsid w:val="009946FA"/>
    <w:pPr>
      <w:tabs>
        <w:tab w:val="center" w:pos="4153"/>
        <w:tab w:val="right" w:pos="8306"/>
      </w:tabs>
      <w:jc w:val="right"/>
    </w:pPr>
    <w:rPr>
      <w:color w:val="003478"/>
      <w:sz w:val="18"/>
    </w:rPr>
  </w:style>
  <w:style w:type="paragraph" w:customStyle="1" w:styleId="Introparagraph">
    <w:name w:val="Intro paragraph"/>
    <w:basedOn w:val="Normal"/>
    <w:autoRedefine/>
    <w:rsid w:val="00B468B7"/>
    <w:pPr>
      <w:keepNext/>
      <w:spacing w:before="120" w:after="816"/>
      <w:outlineLvl w:val="0"/>
    </w:pPr>
    <w:rPr>
      <w:b/>
      <w:bCs/>
      <w:noProof/>
      <w:kern w:val="32"/>
      <w:sz w:val="28"/>
      <w:szCs w:val="56"/>
    </w:rPr>
  </w:style>
  <w:style w:type="paragraph" w:customStyle="1" w:styleId="TintBox">
    <w:name w:val="Tint Box"/>
    <w:basedOn w:val="Normal"/>
    <w:next w:val="Normal"/>
    <w:pPr>
      <w:pBdr>
        <w:top w:val="single" w:sz="2" w:space="6" w:color="FFFFFF"/>
        <w:left w:val="single" w:sz="2" w:space="8" w:color="FFFFFF"/>
        <w:bottom w:val="single" w:sz="2" w:space="8" w:color="FFFFFF"/>
        <w:right w:val="single" w:sz="2" w:space="8" w:color="FFFFFF"/>
      </w:pBdr>
      <w:shd w:val="pct10" w:color="auto" w:fill="auto"/>
      <w:spacing w:line="280" w:lineRule="exact"/>
    </w:pPr>
    <w:rPr>
      <w:b/>
      <w:sz w:val="22"/>
    </w:rPr>
  </w:style>
  <w:style w:type="paragraph" w:styleId="Footer">
    <w:name w:val="footer"/>
    <w:basedOn w:val="Normal"/>
    <w:link w:val="FooterChar1"/>
    <w:uiPriority w:val="99"/>
    <w:rsid w:val="00D5710C"/>
    <w:pPr>
      <w:tabs>
        <w:tab w:val="center" w:pos="4513"/>
        <w:tab w:val="right" w:pos="9026"/>
      </w:tabs>
    </w:pPr>
  </w:style>
  <w:style w:type="character" w:customStyle="1" w:styleId="FooterChar1">
    <w:name w:val="Footer Char1"/>
    <w:link w:val="Footer"/>
    <w:rsid w:val="00D5710C"/>
    <w:rPr>
      <w:rFonts w:ascii="Arial" w:hAnsi="Arial"/>
      <w:sz w:val="24"/>
      <w:szCs w:val="24"/>
      <w:lang w:eastAsia="en-US"/>
    </w:rPr>
  </w:style>
  <w:style w:type="character" w:styleId="FollowedHyperlink">
    <w:name w:val="FollowedHyperlink"/>
    <w:rsid w:val="007073CE"/>
    <w:rPr>
      <w:rFonts w:ascii="Arial" w:hAnsi="Arial"/>
      <w:color w:val="800080"/>
      <w:sz w:val="24"/>
      <w:u w:val="single"/>
    </w:rPr>
  </w:style>
  <w:style w:type="character" w:styleId="Hyperlink">
    <w:name w:val="Hyperlink"/>
    <w:uiPriority w:val="99"/>
    <w:rsid w:val="007073CE"/>
    <w:rPr>
      <w:rFonts w:ascii="Arial" w:hAnsi="Arial"/>
      <w:color w:val="0000FF"/>
      <w:sz w:val="24"/>
      <w:u w:val="single"/>
    </w:rPr>
  </w:style>
  <w:style w:type="paragraph" w:customStyle="1" w:styleId="BISnumberingBold">
    <w:name w:val="BIS numbering Bold"/>
    <w:basedOn w:val="Normal"/>
    <w:autoRedefine/>
    <w:rsid w:val="009E4AE2"/>
    <w:pPr>
      <w:ind w:left="1440" w:right="11" w:hanging="720"/>
    </w:pPr>
    <w:rPr>
      <w:color w:val="000000"/>
    </w:rPr>
  </w:style>
  <w:style w:type="numbering" w:customStyle="1" w:styleId="TableBullets">
    <w:name w:val="Table Bullets"/>
    <w:basedOn w:val="NoList"/>
    <w:rsid w:val="00F332F9"/>
    <w:pPr>
      <w:numPr>
        <w:numId w:val="3"/>
      </w:numPr>
    </w:pPr>
  </w:style>
  <w:style w:type="character" w:customStyle="1" w:styleId="StylePantoneCyanBold">
    <w:name w:val="Style Pantone Cyan + Bold"/>
    <w:rsid w:val="000D42C5"/>
    <w:rPr>
      <w:b/>
      <w:bCs/>
      <w:color w:val="003478"/>
    </w:rPr>
  </w:style>
  <w:style w:type="character" w:customStyle="1" w:styleId="Page1White">
    <w:name w:val="Page 1 White"/>
    <w:rsid w:val="00FC508A"/>
    <w:rPr>
      <w:rFonts w:ascii="Arial" w:hAnsi="Arial"/>
      <w:color w:val="FFFFFF"/>
      <w:sz w:val="24"/>
    </w:rPr>
  </w:style>
  <w:style w:type="paragraph" w:customStyle="1" w:styleId="EvenPageNumber">
    <w:name w:val="Even Page Number"/>
    <w:basedOn w:val="Normal"/>
    <w:rsid w:val="009946FA"/>
    <w:rPr>
      <w:color w:val="003478"/>
    </w:rPr>
  </w:style>
  <w:style w:type="paragraph" w:customStyle="1" w:styleId="BISEvenHeader">
    <w:name w:val="BIS Even Header"/>
    <w:basedOn w:val="BISOddHeader"/>
    <w:rsid w:val="00A95640"/>
    <w:pPr>
      <w:jc w:val="left"/>
    </w:pPr>
  </w:style>
  <w:style w:type="character" w:customStyle="1" w:styleId="StylePantone144Bold">
    <w:name w:val="Style Pantone 144 + Bold"/>
    <w:rsid w:val="001E554A"/>
    <w:rPr>
      <w:b/>
      <w:bCs/>
      <w:color w:val="FFCC11"/>
    </w:rPr>
  </w:style>
  <w:style w:type="paragraph" w:customStyle="1" w:styleId="BoxText">
    <w:name w:val="Box Text"/>
    <w:basedOn w:val="Normal"/>
    <w:rsid w:val="00442169"/>
    <w:pPr>
      <w:spacing w:line="288" w:lineRule="exact"/>
      <w:jc w:val="center"/>
    </w:pPr>
    <w:rPr>
      <w:rFonts w:ascii="Arial Bold" w:hAnsi="Arial Bold"/>
      <w:b/>
      <w:color w:val="FFFFFF"/>
    </w:rPr>
  </w:style>
  <w:style w:type="table" w:styleId="TableGrid">
    <w:name w:val="Table Grid"/>
    <w:basedOn w:val="TableNormal"/>
    <w:rsid w:val="00015C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rsid w:val="00FC508A"/>
    <w:pPr>
      <w:spacing w:after="80"/>
      <w:ind w:left="113" w:right="113"/>
    </w:pPr>
    <w:rPr>
      <w:b/>
    </w:rPr>
  </w:style>
  <w:style w:type="paragraph" w:customStyle="1" w:styleId="TableTitle">
    <w:name w:val="Table Title"/>
    <w:basedOn w:val="TableText"/>
    <w:rsid w:val="00533C58"/>
    <w:pPr>
      <w:spacing w:after="0"/>
    </w:pPr>
    <w:rPr>
      <w:b w:val="0"/>
    </w:rPr>
  </w:style>
  <w:style w:type="character" w:customStyle="1" w:styleId="PantoneCyan">
    <w:name w:val="Pantone Cyan"/>
    <w:rsid w:val="00533C58"/>
    <w:rPr>
      <w:color w:val="009EE3"/>
    </w:rPr>
  </w:style>
  <w:style w:type="character" w:customStyle="1" w:styleId="Pantone144">
    <w:name w:val="Pantone 144"/>
    <w:rsid w:val="001E554A"/>
    <w:rPr>
      <w:color w:val="FFCC11"/>
    </w:rPr>
  </w:style>
  <w:style w:type="character" w:customStyle="1" w:styleId="Pantone187">
    <w:name w:val="Pantone 187"/>
    <w:rsid w:val="001E554A"/>
    <w:rPr>
      <w:color w:val="CC0033"/>
    </w:rPr>
  </w:style>
  <w:style w:type="character" w:customStyle="1" w:styleId="Pantone2593">
    <w:name w:val="Pantone 2593"/>
    <w:rsid w:val="00533C58"/>
    <w:rPr>
      <w:color w:val="742F89"/>
    </w:rPr>
  </w:style>
  <w:style w:type="character" w:customStyle="1" w:styleId="PantoneWhite">
    <w:name w:val="Pantone White"/>
    <w:rsid w:val="003F35D6"/>
    <w:rPr>
      <w:color w:val="FFFFFF"/>
    </w:rPr>
  </w:style>
  <w:style w:type="paragraph" w:styleId="ListBullet">
    <w:name w:val="List Bullet"/>
    <w:basedOn w:val="Normal"/>
    <w:rsid w:val="00F90D09"/>
    <w:pPr>
      <w:numPr>
        <w:numId w:val="2"/>
      </w:numPr>
      <w:spacing w:line="288" w:lineRule="exact"/>
    </w:pPr>
  </w:style>
  <w:style w:type="paragraph" w:customStyle="1" w:styleId="Dateonfirstpage">
    <w:name w:val="Date on first page"/>
    <w:basedOn w:val="Normal"/>
    <w:rsid w:val="00CF24D9"/>
    <w:pPr>
      <w:spacing w:line="360" w:lineRule="exact"/>
      <w:ind w:right="28"/>
      <w:jc w:val="right"/>
    </w:pPr>
    <w:rPr>
      <w:color w:val="FFFFFF"/>
      <w:sz w:val="30"/>
    </w:rPr>
  </w:style>
  <w:style w:type="paragraph" w:customStyle="1" w:styleId="ZeroLead">
    <w:name w:val="Zero Lead"/>
    <w:basedOn w:val="BISCovertext"/>
    <w:rsid w:val="00624791"/>
    <w:pPr>
      <w:spacing w:after="0" w:line="20" w:lineRule="exact"/>
    </w:pPr>
  </w:style>
  <w:style w:type="paragraph" w:customStyle="1" w:styleId="EndpageText">
    <w:name w:val="End page Text"/>
    <w:basedOn w:val="Normal"/>
    <w:rsid w:val="001E554A"/>
    <w:pPr>
      <w:spacing w:after="0" w:line="260" w:lineRule="exact"/>
    </w:pPr>
    <w:rPr>
      <w:sz w:val="20"/>
    </w:rPr>
  </w:style>
  <w:style w:type="numbering" w:customStyle="1" w:styleId="StyleOutlinenumberedLeft089cmHanging063cm">
    <w:name w:val="Style Outline numbered Left:  0.89 cm Hanging:  0.63 cm"/>
    <w:basedOn w:val="NoList"/>
    <w:rsid w:val="005F064A"/>
    <w:pPr>
      <w:numPr>
        <w:numId w:val="5"/>
      </w:numPr>
    </w:pPr>
  </w:style>
  <w:style w:type="paragraph" w:customStyle="1" w:styleId="Tabletitle-ConsulatationQuestionWhite">
    <w:name w:val="Table title - Consulatation Question White"/>
    <w:basedOn w:val="TableTitle"/>
    <w:rsid w:val="008571A1"/>
    <w:rPr>
      <w:rFonts w:ascii="Arial Bold" w:hAnsi="Arial Bold"/>
      <w:b/>
      <w:color w:val="FFFFFF"/>
    </w:rPr>
  </w:style>
  <w:style w:type="paragraph" w:styleId="DocumentMap">
    <w:name w:val="Document Map"/>
    <w:basedOn w:val="Normal"/>
    <w:semiHidden/>
    <w:rsid w:val="008B723C"/>
    <w:pPr>
      <w:shd w:val="clear" w:color="auto" w:fill="000080"/>
    </w:pPr>
    <w:rPr>
      <w:rFonts w:ascii="Tahoma" w:hAnsi="Tahoma" w:cs="Tahoma"/>
      <w:sz w:val="20"/>
      <w:szCs w:val="20"/>
    </w:rPr>
  </w:style>
  <w:style w:type="paragraph" w:customStyle="1" w:styleId="Documenttitle">
    <w:name w:val="Document title"/>
    <w:basedOn w:val="Normal"/>
    <w:rsid w:val="00ED47D3"/>
    <w:pPr>
      <w:spacing w:after="0" w:line="240" w:lineRule="atLeast"/>
      <w:ind w:left="0"/>
    </w:pPr>
    <w:rPr>
      <w:b/>
      <w:caps/>
    </w:rPr>
  </w:style>
  <w:style w:type="paragraph" w:customStyle="1" w:styleId="Secondarytitle">
    <w:name w:val="Secondary title"/>
    <w:basedOn w:val="Normal"/>
    <w:rsid w:val="00030E14"/>
    <w:pPr>
      <w:spacing w:after="0" w:line="240" w:lineRule="atLeast"/>
      <w:ind w:left="0"/>
    </w:pPr>
    <w:rPr>
      <w:sz w:val="28"/>
    </w:rPr>
  </w:style>
  <w:style w:type="character" w:customStyle="1" w:styleId="Heading2Char1">
    <w:name w:val="Heading 2 Char1"/>
    <w:aliases w:val="EBHeading1 Char1"/>
    <w:link w:val="Heading2"/>
    <w:rsid w:val="001634C8"/>
    <w:rPr>
      <w:rFonts w:ascii="Arial" w:hAnsi="Arial"/>
      <w:b/>
      <w:bCs/>
      <w:iCs/>
      <w:color w:val="003478"/>
      <w:kern w:val="32"/>
      <w:sz w:val="32"/>
      <w:szCs w:val="28"/>
      <w:lang w:val="en-GB" w:eastAsia="en-US" w:bidi="ar-SA"/>
    </w:rPr>
  </w:style>
  <w:style w:type="character" w:customStyle="1" w:styleId="Heading3Char1">
    <w:name w:val="Heading 3 Char1"/>
    <w:aliases w:val="EBHeading2 Char1"/>
    <w:link w:val="Heading3"/>
    <w:rsid w:val="001E6A1F"/>
    <w:rPr>
      <w:rFonts w:ascii="Arial" w:hAnsi="Arial"/>
      <w:b/>
      <w:bCs/>
      <w:color w:val="009BBB"/>
      <w:sz w:val="26"/>
      <w:szCs w:val="26"/>
      <w:lang w:val="en-GB" w:eastAsia="en-US" w:bidi="ar-SA"/>
    </w:rPr>
  </w:style>
  <w:style w:type="character" w:customStyle="1" w:styleId="Heading4Char1">
    <w:name w:val="Heading 4 Char1"/>
    <w:aliases w:val="EBHeading3 Char1"/>
    <w:link w:val="Heading4"/>
    <w:rsid w:val="005C658D"/>
    <w:rPr>
      <w:rFonts w:ascii="Arial" w:hAnsi="Arial"/>
      <w:b/>
      <w:sz w:val="24"/>
      <w:szCs w:val="24"/>
      <w:lang w:val="en-GB" w:eastAsia="en-US" w:bidi="ar-SA"/>
    </w:rPr>
  </w:style>
  <w:style w:type="paragraph" w:customStyle="1" w:styleId="Tabletextnon-bold">
    <w:name w:val="Table text non-bold"/>
    <w:basedOn w:val="TableText"/>
    <w:qFormat/>
    <w:rsid w:val="00484B18"/>
    <w:rPr>
      <w:b w:val="0"/>
    </w:rPr>
  </w:style>
  <w:style w:type="paragraph" w:styleId="Caption">
    <w:name w:val="caption"/>
    <w:basedOn w:val="Normal"/>
    <w:next w:val="Normal"/>
    <w:qFormat/>
    <w:rsid w:val="00FC508A"/>
    <w:rPr>
      <w:b/>
    </w:rPr>
  </w:style>
  <w:style w:type="paragraph" w:customStyle="1" w:styleId="Supplementarytitle">
    <w:name w:val="Supplementary title"/>
    <w:basedOn w:val="Normal"/>
    <w:rsid w:val="00ED47D3"/>
    <w:pPr>
      <w:spacing w:after="0" w:line="240" w:lineRule="atLeast"/>
      <w:ind w:left="0"/>
    </w:pPr>
    <w:rPr>
      <w:caps/>
      <w:sz w:val="20"/>
    </w:rPr>
  </w:style>
  <w:style w:type="character" w:customStyle="1" w:styleId="StylePantone187Bold">
    <w:name w:val="Style Pantone 187 + Bold"/>
    <w:rsid w:val="001E554A"/>
    <w:rPr>
      <w:b/>
      <w:bCs/>
      <w:color w:val="CC0033"/>
    </w:rPr>
  </w:style>
  <w:style w:type="paragraph" w:styleId="BalloonText">
    <w:name w:val="Balloon Text"/>
    <w:basedOn w:val="Normal"/>
    <w:link w:val="BalloonTextChar"/>
    <w:semiHidden/>
    <w:rsid w:val="001C78F8"/>
    <w:rPr>
      <w:rFonts w:ascii="Tahoma" w:hAnsi="Tahoma" w:cs="Tahoma"/>
      <w:sz w:val="16"/>
      <w:szCs w:val="16"/>
    </w:rPr>
  </w:style>
  <w:style w:type="character" w:styleId="PageNumber">
    <w:name w:val="page number"/>
    <w:basedOn w:val="DefaultParagraphFont"/>
    <w:rsid w:val="001E6A1F"/>
  </w:style>
  <w:style w:type="paragraph" w:customStyle="1" w:styleId="DfESOutNumbered">
    <w:name w:val="DfESOutNumbered"/>
    <w:basedOn w:val="Normal"/>
    <w:rsid w:val="00F702B6"/>
    <w:pPr>
      <w:widowControl w:val="0"/>
      <w:numPr>
        <w:numId w:val="6"/>
      </w:numPr>
      <w:overflowPunct w:val="0"/>
      <w:autoSpaceDE w:val="0"/>
      <w:autoSpaceDN w:val="0"/>
      <w:adjustRightInd w:val="0"/>
      <w:spacing w:after="240"/>
      <w:textAlignment w:val="baseline"/>
    </w:pPr>
    <w:rPr>
      <w:sz w:val="22"/>
      <w:szCs w:val="20"/>
    </w:rPr>
  </w:style>
  <w:style w:type="paragraph" w:customStyle="1" w:styleId="EBBullet">
    <w:name w:val="EBBullet"/>
    <w:basedOn w:val="BodyText"/>
    <w:rsid w:val="001A00E7"/>
    <w:pPr>
      <w:numPr>
        <w:numId w:val="7"/>
      </w:numPr>
    </w:pPr>
    <w:rPr>
      <w:rFonts w:cs="Arial"/>
      <w:bCs/>
      <w:color w:val="000000"/>
      <w:sz w:val="22"/>
      <w:szCs w:val="22"/>
      <w:lang w:eastAsia="en-GB"/>
    </w:rPr>
  </w:style>
  <w:style w:type="paragraph" w:styleId="BodyText">
    <w:name w:val="Body Text"/>
    <w:basedOn w:val="Normal"/>
    <w:link w:val="BodyTextChar"/>
    <w:rsid w:val="001A00E7"/>
    <w:pPr>
      <w:spacing w:after="120"/>
    </w:pPr>
  </w:style>
  <w:style w:type="paragraph" w:styleId="FootnoteText">
    <w:name w:val="footnote text"/>
    <w:basedOn w:val="Normal"/>
    <w:link w:val="FootnoteTextChar"/>
    <w:semiHidden/>
    <w:rsid w:val="00397B7B"/>
    <w:rPr>
      <w:sz w:val="20"/>
      <w:szCs w:val="20"/>
    </w:rPr>
  </w:style>
  <w:style w:type="character" w:styleId="FootnoteReference">
    <w:name w:val="footnote reference"/>
    <w:semiHidden/>
    <w:rsid w:val="00397B7B"/>
    <w:rPr>
      <w:vertAlign w:val="superscript"/>
    </w:rPr>
  </w:style>
  <w:style w:type="character" w:customStyle="1" w:styleId="FootnoteTextChar">
    <w:name w:val="Footnote Text Char"/>
    <w:link w:val="FootnoteText"/>
    <w:semiHidden/>
    <w:locked/>
    <w:rsid w:val="00397B7B"/>
    <w:rPr>
      <w:rFonts w:ascii="Arial" w:hAnsi="Arial"/>
      <w:lang w:val="en-GB" w:eastAsia="en-US" w:bidi="ar-SA"/>
    </w:rPr>
  </w:style>
  <w:style w:type="paragraph" w:customStyle="1" w:styleId="Default">
    <w:name w:val="Default"/>
    <w:rsid w:val="000F08EB"/>
    <w:pPr>
      <w:autoSpaceDE w:val="0"/>
      <w:autoSpaceDN w:val="0"/>
      <w:adjustRightInd w:val="0"/>
    </w:pPr>
    <w:rPr>
      <w:rFonts w:ascii="Arial" w:hAnsi="Arial" w:cs="Arial"/>
      <w:color w:val="000000"/>
      <w:sz w:val="24"/>
      <w:szCs w:val="24"/>
    </w:rPr>
  </w:style>
  <w:style w:type="character" w:styleId="CommentReference">
    <w:name w:val="annotation reference"/>
    <w:semiHidden/>
    <w:rsid w:val="00724FA0"/>
    <w:rPr>
      <w:sz w:val="16"/>
      <w:szCs w:val="16"/>
    </w:rPr>
  </w:style>
  <w:style w:type="paragraph" w:styleId="CommentText">
    <w:name w:val="annotation text"/>
    <w:basedOn w:val="Normal"/>
    <w:link w:val="CommentTextChar"/>
    <w:semiHidden/>
    <w:rsid w:val="00724FA0"/>
    <w:rPr>
      <w:sz w:val="20"/>
      <w:szCs w:val="20"/>
    </w:rPr>
  </w:style>
  <w:style w:type="paragraph" w:styleId="CommentSubject">
    <w:name w:val="annotation subject"/>
    <w:basedOn w:val="CommentText"/>
    <w:next w:val="CommentText"/>
    <w:link w:val="CommentSubjectChar"/>
    <w:semiHidden/>
    <w:rsid w:val="00724FA0"/>
    <w:rPr>
      <w:b/>
      <w:bCs/>
    </w:rPr>
  </w:style>
  <w:style w:type="character" w:customStyle="1" w:styleId="Heading1Char">
    <w:name w:val="Heading 1 Char"/>
    <w:link w:val="Heading1"/>
    <w:locked/>
    <w:rsid w:val="00A43C03"/>
    <w:rPr>
      <w:rFonts w:ascii="Arial" w:hAnsi="Arial"/>
      <w:b/>
      <w:bCs/>
      <w:color w:val="003478"/>
      <w:kern w:val="32"/>
      <w:sz w:val="56"/>
      <w:szCs w:val="32"/>
      <w:lang w:val="en-GB" w:eastAsia="en-US" w:bidi="ar-SA"/>
    </w:rPr>
  </w:style>
  <w:style w:type="character" w:customStyle="1" w:styleId="Heading2Char">
    <w:name w:val="Heading 2 Char"/>
    <w:aliases w:val="EBHeading1 Char"/>
    <w:semiHidden/>
    <w:locked/>
    <w:rsid w:val="00A43C03"/>
    <w:rPr>
      <w:rFonts w:ascii="Cambria" w:hAnsi="Cambria" w:cs="Times New Roman"/>
      <w:b/>
      <w:bCs/>
      <w:i/>
      <w:iCs/>
      <w:sz w:val="28"/>
      <w:szCs w:val="28"/>
      <w:lang w:val="x-none" w:eastAsia="en-US"/>
    </w:rPr>
  </w:style>
  <w:style w:type="character" w:customStyle="1" w:styleId="Heading3Char">
    <w:name w:val="Heading 3 Char"/>
    <w:aliases w:val="EBHeading2 Char"/>
    <w:semiHidden/>
    <w:locked/>
    <w:rsid w:val="00A43C03"/>
    <w:rPr>
      <w:rFonts w:ascii="Cambria" w:hAnsi="Cambria" w:cs="Times New Roman"/>
      <w:b/>
      <w:bCs/>
      <w:sz w:val="26"/>
      <w:szCs w:val="26"/>
      <w:lang w:val="x-none" w:eastAsia="en-US"/>
    </w:rPr>
  </w:style>
  <w:style w:type="character" w:customStyle="1" w:styleId="Heading4Char">
    <w:name w:val="Heading 4 Char"/>
    <w:aliases w:val="EBHeading3 Char"/>
    <w:semiHidden/>
    <w:locked/>
    <w:rsid w:val="00A43C03"/>
    <w:rPr>
      <w:rFonts w:ascii="Calibri" w:hAnsi="Calibri" w:cs="Times New Roman"/>
      <w:b/>
      <w:bCs/>
      <w:sz w:val="28"/>
      <w:szCs w:val="28"/>
      <w:lang w:val="x-none" w:eastAsia="en-US"/>
    </w:rPr>
  </w:style>
  <w:style w:type="character" w:customStyle="1" w:styleId="Heading5Char">
    <w:name w:val="Heading 5 Char"/>
    <w:aliases w:val="EBHeading4 Char"/>
    <w:link w:val="Heading5"/>
    <w:semiHidden/>
    <w:locked/>
    <w:rsid w:val="00A43C03"/>
    <w:rPr>
      <w:rFonts w:ascii="Arial" w:hAnsi="Arial"/>
      <w:bCs/>
      <w:i/>
      <w:iCs/>
      <w:sz w:val="22"/>
      <w:szCs w:val="26"/>
      <w:lang w:val="en-GB" w:eastAsia="en-US" w:bidi="ar-SA"/>
    </w:rPr>
  </w:style>
  <w:style w:type="paragraph" w:customStyle="1" w:styleId="IATableLabel">
    <w:name w:val="IATableLabel"/>
    <w:basedOn w:val="Normal"/>
    <w:link w:val="IATableLabelCharChar"/>
    <w:rsid w:val="00A43C03"/>
    <w:pPr>
      <w:spacing w:before="50" w:after="50"/>
      <w:ind w:left="113" w:right="113"/>
    </w:pPr>
    <w:rPr>
      <w:rFonts w:eastAsia="SimSun"/>
      <w:b/>
      <w:color w:val="000000"/>
      <w:spacing w:val="-5"/>
      <w:sz w:val="20"/>
      <w:szCs w:val="20"/>
      <w:lang w:eastAsia="zh-CN"/>
    </w:rPr>
  </w:style>
  <w:style w:type="character" w:customStyle="1" w:styleId="IATableLabelCharChar">
    <w:name w:val="IATableLabel Char Char"/>
    <w:link w:val="IATableLabel"/>
    <w:locked/>
    <w:rsid w:val="00A43C03"/>
    <w:rPr>
      <w:rFonts w:ascii="Arial" w:eastAsia="SimSun" w:hAnsi="Arial"/>
      <w:b/>
      <w:color w:val="000000"/>
      <w:spacing w:val="-5"/>
      <w:lang w:val="en-GB" w:eastAsia="zh-CN" w:bidi="ar-SA"/>
    </w:rPr>
  </w:style>
  <w:style w:type="paragraph" w:customStyle="1" w:styleId="IASpacer">
    <w:name w:val="IASpacer"/>
    <w:basedOn w:val="Normal"/>
    <w:rsid w:val="00A43C03"/>
    <w:pPr>
      <w:spacing w:after="0" w:line="80" w:lineRule="exact"/>
      <w:ind w:left="0"/>
    </w:pPr>
    <w:rPr>
      <w:rFonts w:eastAsia="SimSun"/>
      <w:sz w:val="22"/>
      <w:lang w:eastAsia="zh-CN"/>
    </w:rPr>
  </w:style>
  <w:style w:type="paragraph" w:customStyle="1" w:styleId="IATableText">
    <w:name w:val="IATableText"/>
    <w:basedOn w:val="IATableLabel"/>
    <w:link w:val="IATableTextChar"/>
    <w:rsid w:val="00A43C03"/>
    <w:rPr>
      <w:b w:val="0"/>
      <w:color w:val="auto"/>
      <w:sz w:val="22"/>
    </w:rPr>
  </w:style>
  <w:style w:type="character" w:customStyle="1" w:styleId="IATableTextChar">
    <w:name w:val="IATableText Char"/>
    <w:link w:val="IATableText"/>
    <w:locked/>
    <w:rsid w:val="00A43C03"/>
    <w:rPr>
      <w:rFonts w:ascii="Arial" w:eastAsia="SimSun" w:hAnsi="Arial"/>
      <w:b/>
      <w:color w:val="000000"/>
      <w:spacing w:val="-5"/>
      <w:sz w:val="22"/>
      <w:lang w:val="en-GB" w:eastAsia="zh-CN" w:bidi="ar-SA"/>
    </w:rPr>
  </w:style>
  <w:style w:type="character" w:customStyle="1" w:styleId="BodyTextChar">
    <w:name w:val="Body Text Char"/>
    <w:link w:val="BodyText"/>
    <w:locked/>
    <w:rsid w:val="00A43C03"/>
    <w:rPr>
      <w:rFonts w:ascii="Arial" w:hAnsi="Arial"/>
      <w:sz w:val="24"/>
      <w:szCs w:val="24"/>
      <w:lang w:val="en-GB" w:eastAsia="en-US" w:bidi="ar-SA"/>
    </w:rPr>
  </w:style>
  <w:style w:type="paragraph" w:styleId="Title">
    <w:name w:val="Title"/>
    <w:basedOn w:val="Normal"/>
    <w:link w:val="TitleChar"/>
    <w:qFormat/>
    <w:rsid w:val="00A43C03"/>
    <w:pPr>
      <w:spacing w:after="0"/>
      <w:ind w:left="113"/>
      <w:outlineLvl w:val="0"/>
    </w:pPr>
    <w:rPr>
      <w:rFonts w:cs="Arial"/>
      <w:bCs/>
      <w:color w:val="FFFFFF"/>
      <w:kern w:val="28"/>
      <w:sz w:val="32"/>
      <w:szCs w:val="32"/>
    </w:rPr>
  </w:style>
  <w:style w:type="character" w:customStyle="1" w:styleId="TitleChar">
    <w:name w:val="Title Char"/>
    <w:link w:val="Title"/>
    <w:locked/>
    <w:rsid w:val="00A43C03"/>
    <w:rPr>
      <w:rFonts w:ascii="Arial" w:hAnsi="Arial" w:cs="Arial"/>
      <w:bCs/>
      <w:color w:val="FFFFFF"/>
      <w:kern w:val="28"/>
      <w:sz w:val="32"/>
      <w:szCs w:val="32"/>
      <w:lang w:val="en-GB" w:eastAsia="en-US" w:bidi="ar-SA"/>
    </w:rPr>
  </w:style>
  <w:style w:type="paragraph" w:customStyle="1" w:styleId="IAHeadDept">
    <w:name w:val="IAHeadDept"/>
    <w:basedOn w:val="IATableText"/>
    <w:link w:val="IAHeadDeptChar"/>
    <w:rsid w:val="00A43C03"/>
    <w:pPr>
      <w:spacing w:after="120"/>
      <w:ind w:left="0" w:right="57"/>
    </w:pPr>
    <w:rPr>
      <w:spacing w:val="-6"/>
      <w:szCs w:val="22"/>
    </w:rPr>
  </w:style>
  <w:style w:type="paragraph" w:customStyle="1" w:styleId="IAHeadLabel">
    <w:name w:val="IAHeadLabel"/>
    <w:basedOn w:val="IATableLabel"/>
    <w:link w:val="IAHeadLabelChar"/>
    <w:rsid w:val="00A43C03"/>
    <w:pPr>
      <w:spacing w:before="110"/>
      <w:ind w:left="0" w:right="0"/>
    </w:pPr>
  </w:style>
  <w:style w:type="character" w:customStyle="1" w:styleId="IAHeadLabelChar">
    <w:name w:val="IAHeadLabel Char"/>
    <w:basedOn w:val="IATableLabelCharChar"/>
    <w:link w:val="IAHeadLabel"/>
    <w:locked/>
    <w:rsid w:val="00A43C03"/>
    <w:rPr>
      <w:rFonts w:ascii="Arial" w:eastAsia="SimSun" w:hAnsi="Arial"/>
      <w:b/>
      <w:color w:val="000000"/>
      <w:spacing w:val="-5"/>
      <w:lang w:val="en-GB" w:eastAsia="zh-CN" w:bidi="ar-SA"/>
    </w:rPr>
  </w:style>
  <w:style w:type="table" w:customStyle="1" w:styleId="TableIAHeading">
    <w:name w:val="Table_IAHeading"/>
    <w:semiHidden/>
    <w:rsid w:val="00A43C03"/>
    <w:rPr>
      <w:rFonts w:eastAsia="SimSun"/>
      <w:color w:val="FFFFFF"/>
    </w:rPr>
    <w:tblPr>
      <w:tblInd w:w="0" w:type="dxa"/>
      <w:tblBorders>
        <w:top w:val="single" w:sz="12" w:space="0" w:color="008080"/>
        <w:left w:val="single" w:sz="12" w:space="0" w:color="008080"/>
        <w:bottom w:val="single" w:sz="12" w:space="0" w:color="008080"/>
        <w:right w:val="single" w:sz="12" w:space="0" w:color="008080"/>
        <w:insideH w:val="single" w:sz="12" w:space="0" w:color="008080"/>
      </w:tblBorders>
      <w:tblCellMar>
        <w:top w:w="0" w:type="dxa"/>
        <w:left w:w="0" w:type="dxa"/>
        <w:bottom w:w="0" w:type="dxa"/>
        <w:right w:w="0" w:type="dxa"/>
      </w:tblCellMar>
    </w:tblPr>
    <w:tcPr>
      <w:shd w:val="clear" w:color="auto" w:fill="008080"/>
    </w:tcPr>
  </w:style>
  <w:style w:type="paragraph" w:customStyle="1" w:styleId="IATableNotes">
    <w:name w:val="IATableNotes"/>
    <w:basedOn w:val="Normal"/>
    <w:link w:val="IATableNotesChar"/>
    <w:rsid w:val="00A43C03"/>
    <w:pPr>
      <w:spacing w:before="60" w:after="60"/>
      <w:ind w:left="113" w:right="113"/>
    </w:pPr>
    <w:rPr>
      <w:rFonts w:eastAsia="SimSun"/>
      <w:sz w:val="18"/>
      <w:szCs w:val="20"/>
      <w:lang w:eastAsia="zh-CN"/>
    </w:rPr>
  </w:style>
  <w:style w:type="character" w:customStyle="1" w:styleId="IATableNotesChar">
    <w:name w:val="IATableNotes Char"/>
    <w:link w:val="IATableNotes"/>
    <w:locked/>
    <w:rsid w:val="00A43C03"/>
    <w:rPr>
      <w:rFonts w:ascii="Arial" w:eastAsia="SimSun" w:hAnsi="Arial"/>
      <w:sz w:val="18"/>
      <w:lang w:val="en-GB" w:eastAsia="zh-CN" w:bidi="ar-SA"/>
    </w:rPr>
  </w:style>
  <w:style w:type="paragraph" w:customStyle="1" w:styleId="IASignOff">
    <w:name w:val="IASignOff"/>
    <w:basedOn w:val="IATableNotes"/>
    <w:next w:val="IATableNotes"/>
    <w:link w:val="IASignOffChar"/>
    <w:semiHidden/>
    <w:rsid w:val="00A43C03"/>
    <w:pPr>
      <w:spacing w:before="120" w:after="120"/>
      <w:ind w:left="567" w:right="567"/>
    </w:pPr>
    <w:rPr>
      <w:b/>
      <w:bCs/>
      <w:i/>
      <w:iCs/>
    </w:rPr>
  </w:style>
  <w:style w:type="character" w:customStyle="1" w:styleId="IASignOffChar">
    <w:name w:val="IASignOff Char"/>
    <w:link w:val="IASignOff"/>
    <w:locked/>
    <w:rsid w:val="00A43C03"/>
    <w:rPr>
      <w:rFonts w:ascii="Arial" w:eastAsia="SimSun" w:hAnsi="Arial"/>
      <w:b/>
      <w:bCs/>
      <w:i/>
      <w:iCs/>
      <w:sz w:val="18"/>
      <w:lang w:val="en-GB" w:eastAsia="zh-CN" w:bidi="ar-SA"/>
    </w:rPr>
  </w:style>
  <w:style w:type="paragraph" w:customStyle="1" w:styleId="IAHeadTitle">
    <w:name w:val="IAHeadTitle"/>
    <w:basedOn w:val="IAHeadDept"/>
    <w:link w:val="IAHeadTitleChar"/>
    <w:rsid w:val="00A43C03"/>
    <w:pPr>
      <w:spacing w:before="0" w:after="0"/>
    </w:pPr>
    <w:rPr>
      <w:b/>
      <w:sz w:val="28"/>
      <w:szCs w:val="28"/>
    </w:rPr>
  </w:style>
  <w:style w:type="paragraph" w:customStyle="1" w:styleId="IASignature">
    <w:name w:val="IA Signature"/>
    <w:basedOn w:val="IATableText"/>
    <w:rsid w:val="00A43C03"/>
    <w:pPr>
      <w:tabs>
        <w:tab w:val="left" w:leader="dot" w:pos="6804"/>
        <w:tab w:val="right" w:leader="dot" w:pos="10206"/>
      </w:tabs>
      <w:spacing w:before="0" w:after="0"/>
      <w:ind w:left="0"/>
    </w:pPr>
  </w:style>
  <w:style w:type="paragraph" w:customStyle="1" w:styleId="IASign-offlabel">
    <w:name w:val="IA Sign-off label"/>
    <w:basedOn w:val="IAHeadLabel"/>
    <w:link w:val="IASign-offlabelChar"/>
    <w:rsid w:val="00A43C03"/>
    <w:pPr>
      <w:spacing w:after="120"/>
    </w:pPr>
    <w:rPr>
      <w:szCs w:val="22"/>
      <w:u w:val="single"/>
    </w:rPr>
  </w:style>
  <w:style w:type="character" w:customStyle="1" w:styleId="IASign-offlabelChar">
    <w:name w:val="IA Sign-off label Char"/>
    <w:link w:val="IASign-offlabel"/>
    <w:locked/>
    <w:rsid w:val="00A43C03"/>
    <w:rPr>
      <w:rFonts w:ascii="Arial" w:eastAsia="SimSun" w:hAnsi="Arial"/>
      <w:b/>
      <w:color w:val="000000"/>
      <w:spacing w:val="-5"/>
      <w:szCs w:val="22"/>
      <w:u w:val="single"/>
      <w:lang w:val="en-GB" w:eastAsia="zh-CN" w:bidi="ar-SA"/>
    </w:rPr>
  </w:style>
  <w:style w:type="paragraph" w:customStyle="1" w:styleId="IASign-off">
    <w:name w:val="IA Sign-off"/>
    <w:basedOn w:val="IATableText"/>
    <w:rsid w:val="00A43C03"/>
    <w:pPr>
      <w:spacing w:before="0" w:after="0"/>
      <w:ind w:left="0" w:right="284"/>
    </w:pPr>
    <w:rPr>
      <w:b/>
      <w:i/>
    </w:rPr>
  </w:style>
  <w:style w:type="paragraph" w:customStyle="1" w:styleId="IAHeading2">
    <w:name w:val="IAHeading2"/>
    <w:basedOn w:val="Normal"/>
    <w:semiHidden/>
    <w:rsid w:val="00A43C03"/>
    <w:pPr>
      <w:keepNext/>
      <w:keepLines/>
      <w:spacing w:before="60" w:after="60"/>
      <w:ind w:left="113" w:right="113"/>
    </w:pPr>
    <w:rPr>
      <w:rFonts w:eastAsia="SimSun"/>
      <w:b/>
      <w:sz w:val="20"/>
      <w:lang w:eastAsia="zh-CN"/>
    </w:rPr>
  </w:style>
  <w:style w:type="table" w:customStyle="1" w:styleId="TableIABox">
    <w:name w:val="Table_IABox"/>
    <w:rsid w:val="00A43C03"/>
    <w:rPr>
      <w:rFonts w:eastAsia="SimSun"/>
    </w:rPr>
    <w:tblPr>
      <w:tblInd w:w="0" w:type="dxa"/>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Pr>
  </w:style>
  <w:style w:type="character" w:customStyle="1" w:styleId="HeaderChar">
    <w:name w:val="Header Char"/>
    <w:locked/>
    <w:rsid w:val="00A43C03"/>
    <w:rPr>
      <w:rFonts w:ascii="Arial" w:hAnsi="Arial" w:cs="Times New Roman"/>
      <w:sz w:val="24"/>
      <w:szCs w:val="24"/>
      <w:lang w:val="x-none" w:eastAsia="en-US"/>
    </w:rPr>
  </w:style>
  <w:style w:type="character" w:customStyle="1" w:styleId="FooterChar">
    <w:name w:val="Footer Char"/>
    <w:uiPriority w:val="99"/>
    <w:locked/>
    <w:rsid w:val="00A43C03"/>
    <w:rPr>
      <w:rFonts w:ascii="Arial" w:hAnsi="Arial" w:cs="Times New Roman"/>
      <w:sz w:val="24"/>
      <w:szCs w:val="24"/>
      <w:lang w:val="x-none" w:eastAsia="en-US"/>
    </w:rPr>
  </w:style>
  <w:style w:type="paragraph" w:customStyle="1" w:styleId="IANotes">
    <w:name w:val="IANotes"/>
    <w:basedOn w:val="Normal"/>
    <w:semiHidden/>
    <w:rsid w:val="00A43C03"/>
    <w:pPr>
      <w:spacing w:after="0"/>
      <w:ind w:left="0"/>
    </w:pPr>
    <w:rPr>
      <w:rFonts w:eastAsia="SimSun"/>
      <w:color w:val="008080"/>
      <w:sz w:val="22"/>
      <w:lang w:eastAsia="zh-CN"/>
    </w:rPr>
  </w:style>
  <w:style w:type="paragraph" w:customStyle="1" w:styleId="IATableHeading">
    <w:name w:val="IATableHeading"/>
    <w:basedOn w:val="IATableLabel"/>
    <w:rsid w:val="00A43C03"/>
    <w:rPr>
      <w:sz w:val="22"/>
      <w:szCs w:val="24"/>
    </w:rPr>
  </w:style>
  <w:style w:type="paragraph" w:customStyle="1" w:styleId="EBBodyPara">
    <w:name w:val="EBBodyPara"/>
    <w:basedOn w:val="BodyText"/>
    <w:rsid w:val="00A43C03"/>
    <w:pPr>
      <w:ind w:left="0"/>
    </w:pPr>
    <w:rPr>
      <w:rFonts w:cs="Arial"/>
      <w:bCs/>
      <w:color w:val="000000"/>
      <w:sz w:val="22"/>
      <w:szCs w:val="22"/>
      <w:lang w:eastAsia="en-GB"/>
    </w:rPr>
  </w:style>
  <w:style w:type="character" w:customStyle="1" w:styleId="BalloonTextChar">
    <w:name w:val="Balloon Text Char"/>
    <w:link w:val="BalloonText"/>
    <w:semiHidden/>
    <w:locked/>
    <w:rsid w:val="00A43C03"/>
    <w:rPr>
      <w:rFonts w:ascii="Tahoma" w:hAnsi="Tahoma" w:cs="Tahoma"/>
      <w:sz w:val="16"/>
      <w:szCs w:val="16"/>
      <w:lang w:val="en-GB" w:eastAsia="en-US" w:bidi="ar-SA"/>
    </w:rPr>
  </w:style>
  <w:style w:type="paragraph" w:customStyle="1" w:styleId="EBNumber">
    <w:name w:val="EBNumber"/>
    <w:basedOn w:val="BodyText"/>
    <w:rsid w:val="00A43C03"/>
    <w:pPr>
      <w:numPr>
        <w:ilvl w:val="1"/>
        <w:numId w:val="11"/>
      </w:numPr>
    </w:pPr>
    <w:rPr>
      <w:rFonts w:cs="Arial"/>
      <w:bCs/>
      <w:color w:val="000000"/>
      <w:sz w:val="22"/>
      <w:szCs w:val="22"/>
      <w:lang w:eastAsia="en-GB"/>
    </w:rPr>
  </w:style>
  <w:style w:type="paragraph" w:customStyle="1" w:styleId="EBNumberRestart">
    <w:name w:val="EBNumberRestart"/>
    <w:basedOn w:val="BodyText"/>
    <w:next w:val="EBNumber"/>
    <w:rsid w:val="00A43C03"/>
    <w:pPr>
      <w:numPr>
        <w:numId w:val="11"/>
      </w:numPr>
      <w:ind w:left="0"/>
    </w:pPr>
    <w:rPr>
      <w:rFonts w:cs="Arial"/>
      <w:bCs/>
      <w:color w:val="000000"/>
      <w:sz w:val="22"/>
      <w:szCs w:val="22"/>
      <w:lang w:eastAsia="en-GB"/>
    </w:rPr>
  </w:style>
  <w:style w:type="paragraph" w:customStyle="1" w:styleId="StyleIATableText10ptRight">
    <w:name w:val="Style IATableText + 10 pt Right"/>
    <w:basedOn w:val="IATableText"/>
    <w:rsid w:val="00A43C03"/>
    <w:pPr>
      <w:ind w:left="0" w:right="57"/>
      <w:jc w:val="right"/>
    </w:pPr>
    <w:rPr>
      <w:rFonts w:eastAsia="Times New Roman"/>
      <w:sz w:val="20"/>
    </w:rPr>
  </w:style>
  <w:style w:type="paragraph" w:customStyle="1" w:styleId="SecurityClass">
    <w:name w:val="SecurityClass"/>
    <w:basedOn w:val="Header"/>
    <w:rsid w:val="00A43C03"/>
    <w:pPr>
      <w:tabs>
        <w:tab w:val="clear" w:pos="4513"/>
        <w:tab w:val="clear" w:pos="9026"/>
      </w:tabs>
      <w:spacing w:after="0"/>
      <w:ind w:left="0"/>
      <w:jc w:val="center"/>
    </w:pPr>
    <w:rPr>
      <w:caps/>
    </w:rPr>
  </w:style>
  <w:style w:type="paragraph" w:customStyle="1" w:styleId="IARefNumber">
    <w:name w:val="IARefNumber"/>
    <w:basedOn w:val="IATableText"/>
    <w:rsid w:val="00A43C03"/>
    <w:pPr>
      <w:numPr>
        <w:numId w:val="10"/>
      </w:numPr>
      <w:tabs>
        <w:tab w:val="num" w:pos="360"/>
      </w:tabs>
      <w:ind w:left="0" w:hanging="360"/>
    </w:pPr>
  </w:style>
  <w:style w:type="paragraph" w:customStyle="1" w:styleId="POPBY">
    <w:name w:val="POPBY"/>
    <w:basedOn w:val="IATableLabel"/>
    <w:rsid w:val="00A43C03"/>
  </w:style>
  <w:style w:type="paragraph" w:customStyle="1" w:styleId="IAHeadText">
    <w:name w:val="IAHeadText"/>
    <w:basedOn w:val="IATableText"/>
    <w:rsid w:val="00A43C03"/>
    <w:pPr>
      <w:spacing w:before="0" w:after="0"/>
      <w:ind w:left="0" w:right="57"/>
    </w:pPr>
    <w:rPr>
      <w:spacing w:val="-6"/>
    </w:rPr>
  </w:style>
  <w:style w:type="paragraph" w:customStyle="1" w:styleId="IAHeadLabel0">
    <w:name w:val="IAHeadLabel0"/>
    <w:basedOn w:val="IAHeadLabel"/>
    <w:next w:val="IAHeadTitle"/>
    <w:rsid w:val="00A43C03"/>
    <w:pPr>
      <w:spacing w:before="0"/>
    </w:pPr>
  </w:style>
  <w:style w:type="paragraph" w:customStyle="1" w:styleId="IATableLines">
    <w:name w:val="IATableLines"/>
    <w:basedOn w:val="IATableText"/>
    <w:link w:val="IATableLinesChar"/>
    <w:rsid w:val="00A43C03"/>
    <w:pPr>
      <w:spacing w:before="0" w:after="0"/>
    </w:pPr>
  </w:style>
  <w:style w:type="paragraph" w:customStyle="1" w:styleId="EvidenceHeadPIR">
    <w:name w:val="EvidenceHeadPIR"/>
    <w:rsid w:val="00A43C03"/>
    <w:pPr>
      <w:spacing w:after="120"/>
    </w:pPr>
    <w:rPr>
      <w:rFonts w:ascii="Arial" w:hAnsi="Arial" w:cs="Arial"/>
      <w:bCs/>
      <w:color w:val="000000"/>
      <w:sz w:val="22"/>
      <w:szCs w:val="22"/>
    </w:rPr>
  </w:style>
  <w:style w:type="paragraph" w:customStyle="1" w:styleId="IASpacer2">
    <w:name w:val="IASpacer2"/>
    <w:basedOn w:val="IASpacer"/>
    <w:rsid w:val="00A43C03"/>
    <w:pPr>
      <w:spacing w:line="40" w:lineRule="exact"/>
    </w:pPr>
  </w:style>
  <w:style w:type="paragraph" w:customStyle="1" w:styleId="POPVBY">
    <w:name w:val="POPVBY"/>
    <w:basedOn w:val="IATableLabel"/>
    <w:rsid w:val="00A43C03"/>
  </w:style>
  <w:style w:type="paragraph" w:customStyle="1" w:styleId="POTPY">
    <w:name w:val="POTPY"/>
    <w:basedOn w:val="IATableLabel"/>
    <w:rsid w:val="00A43C03"/>
  </w:style>
  <w:style w:type="paragraph" w:customStyle="1" w:styleId="PONBLow">
    <w:name w:val="PONBLow"/>
    <w:basedOn w:val="IATableLabel"/>
    <w:link w:val="PONBLowCharChar"/>
    <w:rsid w:val="00A43C03"/>
    <w:rPr>
      <w:b w:val="0"/>
      <w:szCs w:val="22"/>
    </w:rPr>
  </w:style>
  <w:style w:type="character" w:customStyle="1" w:styleId="PONBLowCharChar">
    <w:name w:val="PONBLow Char Char"/>
    <w:link w:val="PONBLow"/>
    <w:locked/>
    <w:rsid w:val="00A43C03"/>
    <w:rPr>
      <w:rFonts w:ascii="Arial" w:eastAsia="SimSun" w:hAnsi="Arial"/>
      <w:b/>
      <w:color w:val="000000"/>
      <w:spacing w:val="-5"/>
      <w:szCs w:val="22"/>
      <w:lang w:val="en-GB" w:eastAsia="zh-CN" w:bidi="ar-SA"/>
    </w:rPr>
  </w:style>
  <w:style w:type="paragraph" w:customStyle="1" w:styleId="PONBHigh">
    <w:name w:val="PONBHigh"/>
    <w:basedOn w:val="IATableLabel"/>
    <w:link w:val="PONBHighChar"/>
    <w:rsid w:val="00A43C03"/>
    <w:rPr>
      <w:b w:val="0"/>
      <w:szCs w:val="22"/>
    </w:rPr>
  </w:style>
  <w:style w:type="character" w:customStyle="1" w:styleId="PONBHighChar">
    <w:name w:val="PONBHigh Char"/>
    <w:link w:val="PONBHigh"/>
    <w:locked/>
    <w:rsid w:val="00A43C03"/>
    <w:rPr>
      <w:rFonts w:ascii="Arial" w:eastAsia="SimSun" w:hAnsi="Arial"/>
      <w:b/>
      <w:color w:val="000000"/>
      <w:spacing w:val="-5"/>
      <w:szCs w:val="22"/>
      <w:lang w:val="en-GB" w:eastAsia="zh-CN" w:bidi="ar-SA"/>
    </w:rPr>
  </w:style>
  <w:style w:type="paragraph" w:customStyle="1" w:styleId="PONBBestEst">
    <w:name w:val="PONBBestEst"/>
    <w:basedOn w:val="IATableLabel"/>
    <w:link w:val="PONBBestEstChar"/>
    <w:rsid w:val="00A43C03"/>
    <w:rPr>
      <w:b w:val="0"/>
      <w:szCs w:val="22"/>
    </w:rPr>
  </w:style>
  <w:style w:type="character" w:customStyle="1" w:styleId="PONBBestEstChar">
    <w:name w:val="PONBBestEst Char"/>
    <w:link w:val="PONBBestEst"/>
    <w:locked/>
    <w:rsid w:val="00A43C03"/>
    <w:rPr>
      <w:rFonts w:ascii="Arial" w:eastAsia="SimSun" w:hAnsi="Arial"/>
      <w:b/>
      <w:color w:val="000000"/>
      <w:spacing w:val="-5"/>
      <w:szCs w:val="22"/>
      <w:lang w:val="en-GB" w:eastAsia="zh-CN" w:bidi="ar-SA"/>
    </w:rPr>
  </w:style>
  <w:style w:type="paragraph" w:customStyle="1" w:styleId="POTTCostsHigh">
    <w:name w:val="POTTCostsHigh"/>
    <w:basedOn w:val="IATableText"/>
    <w:rsid w:val="00A43C03"/>
    <w:pPr>
      <w:jc w:val="right"/>
    </w:pPr>
  </w:style>
  <w:style w:type="paragraph" w:customStyle="1" w:styleId="POTTCostsLow">
    <w:name w:val="POTTCostsLow"/>
    <w:basedOn w:val="POTTCostsHigh"/>
    <w:rsid w:val="00A43C03"/>
  </w:style>
  <w:style w:type="paragraph" w:customStyle="1" w:styleId="POTTCostsBest">
    <w:name w:val="POTTCostsBest"/>
    <w:basedOn w:val="IATableText"/>
    <w:rsid w:val="00A43C03"/>
    <w:pPr>
      <w:jc w:val="right"/>
    </w:pPr>
  </w:style>
  <w:style w:type="paragraph" w:customStyle="1" w:styleId="POTTCostsYear">
    <w:name w:val="POTTCostsYear"/>
    <w:basedOn w:val="IATableText"/>
    <w:rsid w:val="00A43C03"/>
    <w:pPr>
      <w:jc w:val="center"/>
    </w:pPr>
    <w:rPr>
      <w:szCs w:val="18"/>
    </w:rPr>
  </w:style>
  <w:style w:type="paragraph" w:customStyle="1" w:styleId="POAACostsLow">
    <w:name w:val="POAACostsLow"/>
    <w:basedOn w:val="IATableText"/>
    <w:rsid w:val="00A43C03"/>
    <w:pPr>
      <w:jc w:val="right"/>
    </w:pPr>
  </w:style>
  <w:style w:type="paragraph" w:customStyle="1" w:styleId="POAACostsHigh">
    <w:name w:val="POAACostsHigh"/>
    <w:basedOn w:val="POAACostsLow"/>
    <w:rsid w:val="00A43C03"/>
  </w:style>
  <w:style w:type="paragraph" w:customStyle="1" w:styleId="POAACostsBest">
    <w:name w:val="POAACostsBest"/>
    <w:basedOn w:val="IATableText"/>
    <w:rsid w:val="00A43C03"/>
    <w:pPr>
      <w:jc w:val="right"/>
    </w:pPr>
  </w:style>
  <w:style w:type="paragraph" w:customStyle="1" w:styleId="POTCCostsLow">
    <w:name w:val="POTCCostsLow"/>
    <w:basedOn w:val="IATableText"/>
    <w:rsid w:val="00A43C03"/>
    <w:pPr>
      <w:jc w:val="right"/>
    </w:pPr>
    <w:rPr>
      <w:b/>
    </w:rPr>
  </w:style>
  <w:style w:type="paragraph" w:customStyle="1" w:styleId="POTCCostsHigh">
    <w:name w:val="POTCCostsHigh"/>
    <w:basedOn w:val="IATableText"/>
    <w:rsid w:val="00A43C03"/>
    <w:pPr>
      <w:jc w:val="right"/>
    </w:pPr>
    <w:rPr>
      <w:b/>
    </w:rPr>
  </w:style>
  <w:style w:type="paragraph" w:customStyle="1" w:styleId="POTCCostsBest">
    <w:name w:val="POTCCostsBest"/>
    <w:basedOn w:val="IATableText"/>
    <w:rsid w:val="00A43C03"/>
    <w:pPr>
      <w:jc w:val="right"/>
    </w:pPr>
    <w:rPr>
      <w:b/>
    </w:rPr>
  </w:style>
  <w:style w:type="paragraph" w:customStyle="1" w:styleId="IAPOQ1">
    <w:name w:val="IAPOQ1"/>
    <w:basedOn w:val="IATableLabel"/>
    <w:rsid w:val="00A43C03"/>
  </w:style>
  <w:style w:type="paragraph" w:customStyle="1" w:styleId="IAPOA1">
    <w:name w:val="IAPOA1"/>
    <w:basedOn w:val="IATableLines"/>
    <w:rsid w:val="00A43C03"/>
  </w:style>
  <w:style w:type="paragraph" w:customStyle="1" w:styleId="IAPOQ2">
    <w:name w:val="IAPOQ2"/>
    <w:basedOn w:val="IATableLabel"/>
    <w:link w:val="IAPOQ2Char"/>
    <w:rsid w:val="00A43C03"/>
  </w:style>
  <w:style w:type="paragraph" w:customStyle="1" w:styleId="IAPOA2">
    <w:name w:val="IAPOA2"/>
    <w:basedOn w:val="IATableLines"/>
    <w:rsid w:val="00A43C03"/>
  </w:style>
  <w:style w:type="paragraph" w:customStyle="1" w:styleId="POTTBenLow">
    <w:name w:val="POTTBenLow"/>
    <w:basedOn w:val="POTTCostsLow"/>
    <w:rsid w:val="00A43C03"/>
  </w:style>
  <w:style w:type="paragraph" w:customStyle="1" w:styleId="POTTBenHigh">
    <w:name w:val="POTTBenHigh"/>
    <w:basedOn w:val="POTTCostsHigh"/>
    <w:rsid w:val="00A43C03"/>
  </w:style>
  <w:style w:type="paragraph" w:customStyle="1" w:styleId="POTTBenBest">
    <w:name w:val="POTTBenBest"/>
    <w:basedOn w:val="POTTCostsBest"/>
    <w:rsid w:val="00A43C03"/>
  </w:style>
  <w:style w:type="paragraph" w:customStyle="1" w:styleId="POAABenLow">
    <w:name w:val="POAABenLow"/>
    <w:basedOn w:val="POAACostsLow"/>
    <w:rsid w:val="00A43C03"/>
  </w:style>
  <w:style w:type="paragraph" w:customStyle="1" w:styleId="POAABenHigh">
    <w:name w:val="POAABenHigh"/>
    <w:basedOn w:val="POAABenLow"/>
    <w:rsid w:val="00A43C03"/>
  </w:style>
  <w:style w:type="paragraph" w:customStyle="1" w:styleId="POAABenBest">
    <w:name w:val="POAABenBest"/>
    <w:basedOn w:val="POAABenHigh"/>
    <w:rsid w:val="00A43C03"/>
  </w:style>
  <w:style w:type="paragraph" w:customStyle="1" w:styleId="POTBBenLow">
    <w:name w:val="POTBBenLow"/>
    <w:basedOn w:val="POTCCostsLow"/>
    <w:rsid w:val="00A43C03"/>
  </w:style>
  <w:style w:type="paragraph" w:customStyle="1" w:styleId="POTBBenHigh">
    <w:name w:val="POTBBenHigh"/>
    <w:basedOn w:val="POTBBenLow"/>
    <w:rsid w:val="00A43C03"/>
  </w:style>
  <w:style w:type="paragraph" w:customStyle="1" w:styleId="POTBBenBest">
    <w:name w:val="POTBBenBest"/>
    <w:basedOn w:val="POTBBenHigh"/>
    <w:rsid w:val="00A43C03"/>
  </w:style>
  <w:style w:type="paragraph" w:customStyle="1" w:styleId="IPPOQ3">
    <w:name w:val="IPPOQ3"/>
    <w:basedOn w:val="IAPOQ2"/>
    <w:link w:val="IPPOQ3Char"/>
    <w:rsid w:val="00A43C03"/>
  </w:style>
  <w:style w:type="paragraph" w:customStyle="1" w:styleId="IAPOQ4">
    <w:name w:val="IAPOQ4"/>
    <w:basedOn w:val="IPPOQ3"/>
    <w:link w:val="IAPOQ4Char"/>
    <w:rsid w:val="00A43C03"/>
  </w:style>
  <w:style w:type="paragraph" w:customStyle="1" w:styleId="IAPOA3">
    <w:name w:val="IAPOA3"/>
    <w:basedOn w:val="IAPOA2"/>
    <w:rsid w:val="00A43C03"/>
  </w:style>
  <w:style w:type="paragraph" w:customStyle="1" w:styleId="IAPOA4">
    <w:name w:val="IAPOA4"/>
    <w:basedOn w:val="IAPOA3"/>
    <w:rsid w:val="00A43C03"/>
  </w:style>
  <w:style w:type="paragraph" w:customStyle="1" w:styleId="IAPOA5">
    <w:name w:val="IAPOA5"/>
    <w:basedOn w:val="IAPOA4"/>
    <w:rsid w:val="00A43C03"/>
  </w:style>
  <w:style w:type="paragraph" w:customStyle="1" w:styleId="IAPOQ5">
    <w:name w:val="IAPOQ5"/>
    <w:basedOn w:val="IAPOQ4"/>
    <w:link w:val="IAPOQ5Char"/>
    <w:rsid w:val="00A43C03"/>
  </w:style>
  <w:style w:type="character" w:customStyle="1" w:styleId="IAPOQ2Char">
    <w:name w:val="IAPOQ2 Char"/>
    <w:basedOn w:val="IATableLabelCharChar"/>
    <w:link w:val="IAPOQ2"/>
    <w:locked/>
    <w:rsid w:val="00A43C03"/>
    <w:rPr>
      <w:rFonts w:ascii="Arial" w:eastAsia="SimSun" w:hAnsi="Arial"/>
      <w:b/>
      <w:color w:val="000000"/>
      <w:spacing w:val="-5"/>
      <w:lang w:val="en-GB" w:eastAsia="zh-CN" w:bidi="ar-SA"/>
    </w:rPr>
  </w:style>
  <w:style w:type="character" w:customStyle="1" w:styleId="IPPOQ3Char">
    <w:name w:val="IPPOQ3 Char"/>
    <w:basedOn w:val="IAPOQ2Char"/>
    <w:link w:val="IPPOQ3"/>
    <w:locked/>
    <w:rsid w:val="00A43C03"/>
    <w:rPr>
      <w:rFonts w:ascii="Arial" w:eastAsia="SimSun" w:hAnsi="Arial"/>
      <w:b/>
      <w:color w:val="000000"/>
      <w:spacing w:val="-5"/>
      <w:lang w:val="en-GB" w:eastAsia="zh-CN" w:bidi="ar-SA"/>
    </w:rPr>
  </w:style>
  <w:style w:type="character" w:customStyle="1" w:styleId="IAPOQ4Char">
    <w:name w:val="IAPOQ4 Char"/>
    <w:basedOn w:val="IPPOQ3Char"/>
    <w:link w:val="IAPOQ4"/>
    <w:locked/>
    <w:rsid w:val="00A43C03"/>
    <w:rPr>
      <w:rFonts w:ascii="Arial" w:eastAsia="SimSun" w:hAnsi="Arial"/>
      <w:b/>
      <w:color w:val="000000"/>
      <w:spacing w:val="-5"/>
      <w:lang w:val="en-GB" w:eastAsia="zh-CN" w:bidi="ar-SA"/>
    </w:rPr>
  </w:style>
  <w:style w:type="character" w:customStyle="1" w:styleId="IAPOQ5Char">
    <w:name w:val="IAPOQ5 Char"/>
    <w:basedOn w:val="IAPOQ4Char"/>
    <w:link w:val="IAPOQ5"/>
    <w:locked/>
    <w:rsid w:val="00A43C03"/>
    <w:rPr>
      <w:rFonts w:ascii="Arial" w:eastAsia="SimSun" w:hAnsi="Arial"/>
      <w:b/>
      <w:color w:val="000000"/>
      <w:spacing w:val="-5"/>
      <w:lang w:val="en-GB" w:eastAsia="zh-CN" w:bidi="ar-SA"/>
    </w:rPr>
  </w:style>
  <w:style w:type="paragraph" w:customStyle="1" w:styleId="IAPODisRate">
    <w:name w:val="IAPODisRate"/>
    <w:basedOn w:val="IATableLabel"/>
    <w:rsid w:val="00A43C03"/>
    <w:pPr>
      <w:ind w:left="0"/>
      <w:jc w:val="center"/>
    </w:pPr>
    <w:rPr>
      <w:b w:val="0"/>
    </w:rPr>
  </w:style>
  <w:style w:type="paragraph" w:customStyle="1" w:styleId="IAPODICost">
    <w:name w:val="IAPODICost"/>
    <w:basedOn w:val="IATableLabel"/>
    <w:link w:val="IAPODICostChar"/>
    <w:rsid w:val="00A43C03"/>
    <w:rPr>
      <w:b w:val="0"/>
      <w:sz w:val="22"/>
      <w:szCs w:val="22"/>
    </w:rPr>
  </w:style>
  <w:style w:type="character" w:customStyle="1" w:styleId="IAPODICostChar">
    <w:name w:val="IAPODICost Char"/>
    <w:link w:val="IAPODICost"/>
    <w:locked/>
    <w:rsid w:val="00A43C03"/>
    <w:rPr>
      <w:rFonts w:ascii="Arial" w:eastAsia="SimSun" w:hAnsi="Arial"/>
      <w:b/>
      <w:color w:val="000000"/>
      <w:spacing w:val="-5"/>
      <w:sz w:val="22"/>
      <w:szCs w:val="22"/>
      <w:lang w:val="en-GB" w:eastAsia="zh-CN" w:bidi="ar-SA"/>
    </w:rPr>
  </w:style>
  <w:style w:type="paragraph" w:customStyle="1" w:styleId="IAPODIBen">
    <w:name w:val="IAPODIBen"/>
    <w:basedOn w:val="IATableLabel"/>
    <w:link w:val="IAPODIBenChar"/>
    <w:rsid w:val="00A43C03"/>
    <w:rPr>
      <w:b w:val="0"/>
      <w:sz w:val="22"/>
      <w:szCs w:val="22"/>
    </w:rPr>
  </w:style>
  <w:style w:type="paragraph" w:customStyle="1" w:styleId="IAPODINet">
    <w:name w:val="IAPODINet"/>
    <w:basedOn w:val="IATableLabel"/>
    <w:link w:val="IAPODINetChar"/>
    <w:rsid w:val="00A43C03"/>
    <w:rPr>
      <w:b w:val="0"/>
      <w:sz w:val="22"/>
      <w:szCs w:val="22"/>
    </w:rPr>
  </w:style>
  <w:style w:type="paragraph" w:customStyle="1" w:styleId="IAPODIOIOO">
    <w:name w:val="IAPODIOIOO"/>
    <w:basedOn w:val="IATableLabel"/>
    <w:rsid w:val="00A43C03"/>
    <w:rPr>
      <w:b w:val="0"/>
      <w:sz w:val="22"/>
      <w:szCs w:val="22"/>
    </w:rPr>
  </w:style>
  <w:style w:type="character" w:customStyle="1" w:styleId="IAPODINetChar">
    <w:name w:val="IAPODINet Char"/>
    <w:link w:val="IAPODINet"/>
    <w:locked/>
    <w:rsid w:val="00A43C03"/>
    <w:rPr>
      <w:rFonts w:ascii="Arial" w:eastAsia="SimSun" w:hAnsi="Arial"/>
      <w:b/>
      <w:color w:val="000000"/>
      <w:spacing w:val="-5"/>
      <w:sz w:val="22"/>
      <w:szCs w:val="22"/>
      <w:lang w:val="en-GB" w:eastAsia="zh-CN" w:bidi="ar-SA"/>
    </w:rPr>
  </w:style>
  <w:style w:type="character" w:customStyle="1" w:styleId="IAPODIBenChar">
    <w:name w:val="IAPODIBen Char"/>
    <w:link w:val="IAPODIBen"/>
    <w:locked/>
    <w:rsid w:val="00A43C03"/>
    <w:rPr>
      <w:rFonts w:ascii="Arial" w:eastAsia="SimSun" w:hAnsi="Arial"/>
      <w:b/>
      <w:color w:val="000000"/>
      <w:spacing w:val="-5"/>
      <w:sz w:val="22"/>
      <w:szCs w:val="22"/>
      <w:lang w:val="en-GB" w:eastAsia="zh-CN" w:bidi="ar-SA"/>
    </w:rPr>
  </w:style>
  <w:style w:type="paragraph" w:customStyle="1" w:styleId="IAPODIMQ">
    <w:name w:val="IAPODIMQ"/>
    <w:basedOn w:val="IATableText"/>
    <w:rsid w:val="00A43C03"/>
    <w:rPr>
      <w:color w:val="000000"/>
      <w:sz w:val="20"/>
    </w:rPr>
  </w:style>
  <w:style w:type="paragraph" w:customStyle="1" w:styleId="ebbullet0">
    <w:name w:val="ebbullet"/>
    <w:basedOn w:val="Normal"/>
    <w:rsid w:val="00A43C03"/>
    <w:pPr>
      <w:spacing w:before="100" w:beforeAutospacing="1" w:after="100" w:afterAutospacing="1"/>
      <w:ind w:left="0"/>
    </w:pPr>
    <w:rPr>
      <w:rFonts w:ascii="Times New Roman" w:hAnsi="Times New Roman"/>
      <w:lang w:eastAsia="en-GB"/>
    </w:rPr>
  </w:style>
  <w:style w:type="paragraph" w:customStyle="1" w:styleId="IATitle">
    <w:name w:val="IATitle"/>
    <w:basedOn w:val="Normal"/>
    <w:rsid w:val="00A43C03"/>
    <w:pPr>
      <w:spacing w:after="0"/>
      <w:ind w:left="113"/>
    </w:pPr>
    <w:rPr>
      <w:rFonts w:eastAsia="SimSun" w:cs="Arial"/>
      <w:sz w:val="20"/>
    </w:rPr>
  </w:style>
  <w:style w:type="paragraph" w:customStyle="1" w:styleId="IANo">
    <w:name w:val="IANo"/>
    <w:basedOn w:val="Normal"/>
    <w:link w:val="IANoChar"/>
    <w:rsid w:val="00A43C03"/>
    <w:pPr>
      <w:spacing w:after="0"/>
      <w:ind w:left="113"/>
    </w:pPr>
    <w:rPr>
      <w:sz w:val="20"/>
      <w:szCs w:val="22"/>
    </w:rPr>
  </w:style>
  <w:style w:type="character" w:customStyle="1" w:styleId="IAHeadDeptChar">
    <w:name w:val="IAHeadDept Char"/>
    <w:link w:val="IAHeadDept"/>
    <w:locked/>
    <w:rsid w:val="00A43C03"/>
    <w:rPr>
      <w:rFonts w:ascii="Arial" w:eastAsia="SimSun" w:hAnsi="Arial"/>
      <w:b/>
      <w:color w:val="000000"/>
      <w:spacing w:val="-6"/>
      <w:sz w:val="22"/>
      <w:szCs w:val="22"/>
      <w:lang w:val="en-GB" w:eastAsia="zh-CN" w:bidi="ar-SA"/>
    </w:rPr>
  </w:style>
  <w:style w:type="character" w:customStyle="1" w:styleId="IAHeadTitleChar">
    <w:name w:val="IAHeadTitle Char"/>
    <w:link w:val="IAHeadTitle"/>
    <w:locked/>
    <w:rsid w:val="00A43C03"/>
    <w:rPr>
      <w:rFonts w:ascii="Arial" w:eastAsia="SimSun" w:hAnsi="Arial"/>
      <w:b/>
      <w:color w:val="000000"/>
      <w:spacing w:val="-6"/>
      <w:sz w:val="28"/>
      <w:szCs w:val="28"/>
      <w:lang w:val="en-GB" w:eastAsia="zh-CN" w:bidi="ar-SA"/>
    </w:rPr>
  </w:style>
  <w:style w:type="character" w:customStyle="1" w:styleId="IANoChar">
    <w:name w:val="IANo Char"/>
    <w:link w:val="IANo"/>
    <w:locked/>
    <w:rsid w:val="00A43C03"/>
    <w:rPr>
      <w:rFonts w:ascii="Arial" w:eastAsia="SimSun" w:hAnsi="Arial"/>
      <w:b/>
      <w:color w:val="000000"/>
      <w:spacing w:val="-6"/>
      <w:sz w:val="28"/>
      <w:szCs w:val="22"/>
      <w:lang w:val="en-GB" w:eastAsia="en-US" w:bidi="ar-SA"/>
    </w:rPr>
  </w:style>
  <w:style w:type="paragraph" w:customStyle="1" w:styleId="IALeadDept">
    <w:name w:val="IALeadDept"/>
    <w:basedOn w:val="Normal"/>
    <w:rsid w:val="00A43C03"/>
    <w:pPr>
      <w:spacing w:after="0"/>
      <w:ind w:left="113"/>
    </w:pPr>
    <w:rPr>
      <w:rFonts w:eastAsia="Arial Unicode MS" w:cs="Arial"/>
      <w:noProof/>
      <w:sz w:val="20"/>
    </w:rPr>
  </w:style>
  <w:style w:type="paragraph" w:customStyle="1" w:styleId="IAOtherDepts">
    <w:name w:val="IAOtherDepts"/>
    <w:basedOn w:val="IATableLabel"/>
    <w:rsid w:val="00A43C03"/>
    <w:pPr>
      <w:spacing w:after="0"/>
    </w:pPr>
    <w:rPr>
      <w:b w:val="0"/>
    </w:rPr>
  </w:style>
  <w:style w:type="paragraph" w:customStyle="1" w:styleId="IADate">
    <w:name w:val="IADate"/>
    <w:basedOn w:val="IATableLabel"/>
    <w:link w:val="IADateChar"/>
    <w:rsid w:val="00A43C03"/>
    <w:rPr>
      <w:b w:val="0"/>
      <w:sz w:val="22"/>
      <w:szCs w:val="22"/>
    </w:rPr>
  </w:style>
  <w:style w:type="paragraph" w:customStyle="1" w:styleId="IAStage">
    <w:name w:val="IAStage"/>
    <w:basedOn w:val="IATableLabel"/>
    <w:link w:val="IAStageChar"/>
    <w:rsid w:val="00A43C03"/>
    <w:rPr>
      <w:b w:val="0"/>
      <w:sz w:val="22"/>
    </w:rPr>
  </w:style>
  <w:style w:type="paragraph" w:customStyle="1" w:styleId="IASOI">
    <w:name w:val="IASOI"/>
    <w:basedOn w:val="IATableLabel"/>
    <w:link w:val="IASOIChar"/>
    <w:rsid w:val="00A43C03"/>
    <w:rPr>
      <w:b w:val="0"/>
      <w:sz w:val="22"/>
    </w:rPr>
  </w:style>
  <w:style w:type="paragraph" w:customStyle="1" w:styleId="IATOM">
    <w:name w:val="IATOM"/>
    <w:basedOn w:val="IATableLabel"/>
    <w:link w:val="IATOMChar"/>
    <w:rsid w:val="00A43C03"/>
    <w:rPr>
      <w:b w:val="0"/>
      <w:sz w:val="22"/>
    </w:rPr>
  </w:style>
  <w:style w:type="paragraph" w:customStyle="1" w:styleId="IACOE">
    <w:name w:val="IACOE"/>
    <w:basedOn w:val="Normal"/>
    <w:link w:val="IACOEChar"/>
    <w:autoRedefine/>
    <w:rsid w:val="00A43C03"/>
    <w:pPr>
      <w:spacing w:after="0"/>
      <w:ind w:left="0"/>
    </w:pPr>
    <w:rPr>
      <w:rFonts w:eastAsia="SimSun"/>
      <w:spacing w:val="-5"/>
      <w:sz w:val="20"/>
      <w:lang w:eastAsia="zh-CN"/>
    </w:rPr>
  </w:style>
  <w:style w:type="paragraph" w:customStyle="1" w:styleId="IARPC">
    <w:name w:val="IARPC"/>
    <w:basedOn w:val="Title"/>
    <w:link w:val="IARPCChar"/>
    <w:rsid w:val="00A43C03"/>
    <w:rPr>
      <w:rFonts w:eastAsia="SimSun"/>
      <w:color w:val="000000"/>
      <w:sz w:val="24"/>
      <w:szCs w:val="24"/>
    </w:rPr>
  </w:style>
  <w:style w:type="paragraph" w:customStyle="1" w:styleId="IAIIOTNPV">
    <w:name w:val="IAIIOTNPV"/>
    <w:basedOn w:val="IATableLabel"/>
    <w:rsid w:val="00A43C03"/>
    <w:pPr>
      <w:spacing w:before="0" w:after="0"/>
      <w:jc w:val="both"/>
    </w:pPr>
    <w:rPr>
      <w:b w:val="0"/>
      <w:sz w:val="22"/>
      <w:szCs w:val="22"/>
    </w:rPr>
  </w:style>
  <w:style w:type="paragraph" w:customStyle="1" w:styleId="IAIOBNPV">
    <w:name w:val="IAIOBNPV"/>
    <w:basedOn w:val="IATableLabel"/>
    <w:rsid w:val="00A43C03"/>
    <w:pPr>
      <w:spacing w:before="0" w:after="0"/>
    </w:pPr>
    <w:rPr>
      <w:b w:val="0"/>
      <w:sz w:val="22"/>
      <w:szCs w:val="22"/>
    </w:rPr>
  </w:style>
  <w:style w:type="paragraph" w:customStyle="1" w:styleId="IAIONCTBPY">
    <w:name w:val="IAIONCTBPY"/>
    <w:basedOn w:val="IATableLabel"/>
    <w:rsid w:val="00A43C03"/>
    <w:pPr>
      <w:spacing w:before="0" w:after="0"/>
    </w:pPr>
    <w:rPr>
      <w:b w:val="0"/>
      <w:sz w:val="22"/>
      <w:szCs w:val="22"/>
    </w:rPr>
  </w:style>
  <w:style w:type="paragraph" w:customStyle="1" w:styleId="IAIOInScopeInOut">
    <w:name w:val="IAIOInScopeInOut"/>
    <w:basedOn w:val="IATableLabel"/>
    <w:rsid w:val="00A43C03"/>
    <w:pPr>
      <w:spacing w:before="0" w:after="0"/>
    </w:pPr>
    <w:rPr>
      <w:b w:val="0"/>
      <w:sz w:val="22"/>
      <w:szCs w:val="22"/>
    </w:rPr>
  </w:style>
  <w:style w:type="paragraph" w:customStyle="1" w:styleId="IAIOPrefMQ">
    <w:name w:val="IAIOPrefMQ"/>
    <w:basedOn w:val="IATableText"/>
    <w:rsid w:val="00A43C03"/>
    <w:pPr>
      <w:spacing w:before="0" w:after="0"/>
    </w:pPr>
    <w:rPr>
      <w:color w:val="000000"/>
      <w:szCs w:val="22"/>
    </w:rPr>
  </w:style>
  <w:style w:type="paragraph" w:customStyle="1" w:styleId="IAIOQ1">
    <w:name w:val="IAIOQ1"/>
    <w:basedOn w:val="IATableLabel"/>
    <w:rsid w:val="00A43C03"/>
  </w:style>
  <w:style w:type="paragraph" w:customStyle="1" w:styleId="IAIOA1">
    <w:name w:val="IAIOA1"/>
    <w:basedOn w:val="IATableLines"/>
    <w:rsid w:val="00A43C03"/>
  </w:style>
  <w:style w:type="paragraph" w:customStyle="1" w:styleId="IAIOQ2">
    <w:name w:val="IAIOQ2"/>
    <w:basedOn w:val="IATableLabel"/>
    <w:rsid w:val="00A43C03"/>
  </w:style>
  <w:style w:type="paragraph" w:customStyle="1" w:styleId="IAIOA2">
    <w:name w:val="IAIOA2"/>
    <w:basedOn w:val="IATableLines"/>
    <w:rsid w:val="00A43C03"/>
  </w:style>
  <w:style w:type="paragraph" w:customStyle="1" w:styleId="IAIOQ3">
    <w:name w:val="IAIOQ3"/>
    <w:basedOn w:val="IATableLabel"/>
    <w:rsid w:val="00A43C03"/>
  </w:style>
  <w:style w:type="paragraph" w:customStyle="1" w:styleId="IAIOA3">
    <w:name w:val="IAIOA3"/>
    <w:basedOn w:val="IATableLines"/>
    <w:rsid w:val="00A43C03"/>
  </w:style>
  <w:style w:type="paragraph" w:customStyle="1" w:styleId="IAIOPolicyReview">
    <w:name w:val="IAIOPolicyReview"/>
    <w:basedOn w:val="IATableLabel"/>
    <w:link w:val="IAIOPolicyReviewChar"/>
    <w:rsid w:val="00A43C03"/>
    <w:rPr>
      <w:b w:val="0"/>
      <w:sz w:val="22"/>
      <w:szCs w:val="22"/>
    </w:rPr>
  </w:style>
  <w:style w:type="character" w:customStyle="1" w:styleId="IAIOPolicyReviewChar">
    <w:name w:val="IAIOPolicyReview Char"/>
    <w:link w:val="IAIOPolicyReview"/>
    <w:locked/>
    <w:rsid w:val="00A43C03"/>
    <w:rPr>
      <w:rFonts w:ascii="Arial" w:eastAsia="SimSun" w:hAnsi="Arial"/>
      <w:b/>
      <w:color w:val="000000"/>
      <w:spacing w:val="-5"/>
      <w:sz w:val="22"/>
      <w:szCs w:val="22"/>
      <w:lang w:val="en-GB" w:eastAsia="zh-CN" w:bidi="ar-SA"/>
    </w:rPr>
  </w:style>
  <w:style w:type="paragraph" w:customStyle="1" w:styleId="IAIOReviewMonth">
    <w:name w:val="IAIOReviewMonth"/>
    <w:basedOn w:val="IATableLabel"/>
    <w:link w:val="IAIOReviewMonthChar"/>
    <w:rsid w:val="00A43C03"/>
    <w:rPr>
      <w:b w:val="0"/>
      <w:sz w:val="22"/>
      <w:szCs w:val="22"/>
    </w:rPr>
  </w:style>
  <w:style w:type="paragraph" w:customStyle="1" w:styleId="IAIOReviewYear">
    <w:name w:val="IAIOReviewYear"/>
    <w:basedOn w:val="IATableLabel"/>
    <w:link w:val="IAIOReviewYearChar"/>
    <w:rsid w:val="00A43C03"/>
    <w:rPr>
      <w:b w:val="0"/>
      <w:sz w:val="22"/>
      <w:szCs w:val="22"/>
    </w:rPr>
  </w:style>
  <w:style w:type="paragraph" w:customStyle="1" w:styleId="IAIOCheckEU">
    <w:name w:val="IAIOCheckEU"/>
    <w:basedOn w:val="IATableText"/>
    <w:rsid w:val="00A43C03"/>
    <w:pPr>
      <w:spacing w:before="0" w:after="0"/>
    </w:pPr>
    <w:rPr>
      <w:sz w:val="20"/>
    </w:rPr>
  </w:style>
  <w:style w:type="character" w:customStyle="1" w:styleId="IAIOReviewYearChar">
    <w:name w:val="IAIOReviewYear Char"/>
    <w:link w:val="IAIOReviewYear"/>
    <w:locked/>
    <w:rsid w:val="00A43C03"/>
    <w:rPr>
      <w:rFonts w:ascii="Arial" w:eastAsia="SimSun" w:hAnsi="Arial"/>
      <w:b/>
      <w:color w:val="000000"/>
      <w:spacing w:val="-5"/>
      <w:sz w:val="22"/>
      <w:szCs w:val="22"/>
      <w:lang w:val="en-GB" w:eastAsia="zh-CN" w:bidi="ar-SA"/>
    </w:rPr>
  </w:style>
  <w:style w:type="character" w:customStyle="1" w:styleId="IAIOReviewMonthChar">
    <w:name w:val="IAIOReviewMonth Char"/>
    <w:link w:val="IAIOReviewMonth"/>
    <w:locked/>
    <w:rsid w:val="00A43C03"/>
    <w:rPr>
      <w:rFonts w:ascii="Arial" w:eastAsia="SimSun" w:hAnsi="Arial"/>
      <w:b/>
      <w:color w:val="000000"/>
      <w:spacing w:val="-5"/>
      <w:sz w:val="22"/>
      <w:szCs w:val="22"/>
      <w:lang w:val="en-GB" w:eastAsia="zh-CN" w:bidi="ar-SA"/>
    </w:rPr>
  </w:style>
  <w:style w:type="paragraph" w:customStyle="1" w:styleId="IAIOCheckMicro">
    <w:name w:val="IAIOCheckMicro"/>
    <w:basedOn w:val="IATableLines"/>
    <w:link w:val="IAIOCheckMicroChar"/>
    <w:rsid w:val="00A43C03"/>
    <w:rPr>
      <w:sz w:val="20"/>
    </w:rPr>
  </w:style>
  <w:style w:type="paragraph" w:customStyle="1" w:styleId="IAIOCheck20">
    <w:name w:val="IAIOCheck20"/>
    <w:basedOn w:val="IATableLines"/>
    <w:rsid w:val="00A43C03"/>
    <w:rPr>
      <w:sz w:val="20"/>
    </w:rPr>
  </w:style>
  <w:style w:type="paragraph" w:customStyle="1" w:styleId="IAIOCheckSmall">
    <w:name w:val="IAIOCheckSmall"/>
    <w:basedOn w:val="IATableLines"/>
    <w:link w:val="IAIOCheckSmallChar"/>
    <w:rsid w:val="00A43C03"/>
    <w:rPr>
      <w:sz w:val="20"/>
    </w:rPr>
  </w:style>
  <w:style w:type="paragraph" w:customStyle="1" w:styleId="IAIOCheckMedium">
    <w:name w:val="IAIOCheckMedium"/>
    <w:basedOn w:val="IATableLines"/>
    <w:link w:val="IAIOCheckMediumChar"/>
    <w:rsid w:val="00A43C03"/>
    <w:rPr>
      <w:sz w:val="20"/>
    </w:rPr>
  </w:style>
  <w:style w:type="paragraph" w:customStyle="1" w:styleId="IAIOCheckLarge">
    <w:name w:val="IAIOCheckLarge"/>
    <w:basedOn w:val="IATableLines"/>
    <w:link w:val="IAIOCheckLargeChar"/>
    <w:rsid w:val="00A43C03"/>
    <w:rPr>
      <w:sz w:val="20"/>
    </w:rPr>
  </w:style>
  <w:style w:type="paragraph" w:customStyle="1" w:styleId="IAIOCO2Traded">
    <w:name w:val="IAIOCO2Traded"/>
    <w:basedOn w:val="IATableLabel"/>
    <w:link w:val="IAIOCO2TradedChar"/>
    <w:rsid w:val="00A43C03"/>
    <w:rPr>
      <w:b w:val="0"/>
      <w:sz w:val="22"/>
    </w:rPr>
  </w:style>
  <w:style w:type="paragraph" w:customStyle="1" w:styleId="IAIOCO2NonTraded">
    <w:name w:val="IAIOCO2NonTraded"/>
    <w:basedOn w:val="IAIOCO2Traded"/>
    <w:rsid w:val="00A43C03"/>
    <w:rPr>
      <w:sz w:val="20"/>
    </w:rPr>
  </w:style>
  <w:style w:type="paragraph" w:customStyle="1" w:styleId="IAIOtextSign">
    <w:name w:val="IAIOtextSign"/>
    <w:basedOn w:val="Normal"/>
    <w:rsid w:val="00A43C03"/>
    <w:pPr>
      <w:spacing w:after="0"/>
      <w:ind w:left="0"/>
      <w:jc w:val="center"/>
    </w:pPr>
  </w:style>
  <w:style w:type="paragraph" w:customStyle="1" w:styleId="IAIOSigDate">
    <w:name w:val="IAIOSigDate"/>
    <w:basedOn w:val="Normal"/>
    <w:rsid w:val="00A43C03"/>
    <w:pPr>
      <w:spacing w:after="0"/>
      <w:ind w:left="0"/>
      <w:jc w:val="center"/>
    </w:pPr>
    <w:rPr>
      <w:sz w:val="22"/>
      <w:szCs w:val="22"/>
    </w:rPr>
  </w:style>
  <w:style w:type="paragraph" w:customStyle="1" w:styleId="IAPODescription">
    <w:name w:val="IAPODescription"/>
    <w:basedOn w:val="IAHeadLabel"/>
    <w:link w:val="IAPODescriptionCharChar"/>
    <w:rsid w:val="00A43C03"/>
    <w:pPr>
      <w:spacing w:before="50"/>
    </w:pPr>
    <w:rPr>
      <w:b w:val="0"/>
    </w:rPr>
  </w:style>
  <w:style w:type="character" w:customStyle="1" w:styleId="IAPODescriptionCharChar">
    <w:name w:val="IAPODescription Char Char"/>
    <w:basedOn w:val="IAHeadLabelChar"/>
    <w:link w:val="IAPODescription"/>
    <w:locked/>
    <w:rsid w:val="00A43C03"/>
    <w:rPr>
      <w:rFonts w:ascii="Arial" w:eastAsia="SimSun" w:hAnsi="Arial"/>
      <w:b/>
      <w:color w:val="000000"/>
      <w:spacing w:val="-5"/>
      <w:lang w:val="en-GB" w:eastAsia="zh-CN" w:bidi="ar-SA"/>
    </w:rPr>
  </w:style>
  <w:style w:type="character" w:customStyle="1" w:styleId="IADateChar">
    <w:name w:val="IADate Char"/>
    <w:link w:val="IADate"/>
    <w:locked/>
    <w:rsid w:val="00A43C03"/>
    <w:rPr>
      <w:rFonts w:ascii="Arial" w:eastAsia="SimSun" w:hAnsi="Arial"/>
      <w:b/>
      <w:color w:val="000000"/>
      <w:spacing w:val="-5"/>
      <w:sz w:val="22"/>
      <w:szCs w:val="22"/>
      <w:lang w:val="en-GB" w:eastAsia="zh-CN" w:bidi="ar-SA"/>
    </w:rPr>
  </w:style>
  <w:style w:type="character" w:customStyle="1" w:styleId="IATableLinesChar">
    <w:name w:val="IATableLines Char"/>
    <w:basedOn w:val="IATableTextChar"/>
    <w:link w:val="IATableLines"/>
    <w:locked/>
    <w:rsid w:val="00A43C03"/>
    <w:rPr>
      <w:rFonts w:ascii="Arial" w:eastAsia="SimSun" w:hAnsi="Arial"/>
      <w:b/>
      <w:color w:val="000000"/>
      <w:spacing w:val="-5"/>
      <w:sz w:val="22"/>
      <w:lang w:val="en-GB" w:eastAsia="zh-CN" w:bidi="ar-SA"/>
    </w:rPr>
  </w:style>
  <w:style w:type="character" w:customStyle="1" w:styleId="IACOEChar">
    <w:name w:val="IACOE Char"/>
    <w:link w:val="IACOE"/>
    <w:locked/>
    <w:rsid w:val="00A43C03"/>
    <w:rPr>
      <w:rFonts w:ascii="Arial" w:eastAsia="SimSun" w:hAnsi="Arial"/>
      <w:b/>
      <w:color w:val="000000"/>
      <w:spacing w:val="-5"/>
      <w:sz w:val="22"/>
      <w:szCs w:val="24"/>
      <w:lang w:val="en-GB" w:eastAsia="zh-CN" w:bidi="ar-SA"/>
    </w:rPr>
  </w:style>
  <w:style w:type="character" w:customStyle="1" w:styleId="IAStageChar">
    <w:name w:val="IAStage Char"/>
    <w:link w:val="IAStage"/>
    <w:locked/>
    <w:rsid w:val="00A43C03"/>
    <w:rPr>
      <w:rFonts w:ascii="Arial" w:eastAsia="SimSun" w:hAnsi="Arial"/>
      <w:b/>
      <w:color w:val="000000"/>
      <w:spacing w:val="-5"/>
      <w:sz w:val="22"/>
      <w:lang w:val="en-GB" w:eastAsia="zh-CN" w:bidi="ar-SA"/>
    </w:rPr>
  </w:style>
  <w:style w:type="character" w:customStyle="1" w:styleId="IASOIChar">
    <w:name w:val="IASOI Char"/>
    <w:link w:val="IASOI"/>
    <w:locked/>
    <w:rsid w:val="00A43C03"/>
    <w:rPr>
      <w:rFonts w:ascii="Arial" w:eastAsia="SimSun" w:hAnsi="Arial"/>
      <w:b/>
      <w:color w:val="000000"/>
      <w:spacing w:val="-5"/>
      <w:sz w:val="22"/>
      <w:lang w:val="en-GB" w:eastAsia="zh-CN" w:bidi="ar-SA"/>
    </w:rPr>
  </w:style>
  <w:style w:type="character" w:customStyle="1" w:styleId="IATOMChar">
    <w:name w:val="IATOM Char"/>
    <w:link w:val="IATOM"/>
    <w:locked/>
    <w:rsid w:val="00A43C03"/>
    <w:rPr>
      <w:rFonts w:ascii="Arial" w:eastAsia="SimSun" w:hAnsi="Arial"/>
      <w:b/>
      <w:color w:val="000000"/>
      <w:spacing w:val="-5"/>
      <w:sz w:val="22"/>
      <w:lang w:val="en-GB" w:eastAsia="zh-CN" w:bidi="ar-SA"/>
    </w:rPr>
  </w:style>
  <w:style w:type="character" w:customStyle="1" w:styleId="IARPCChar">
    <w:name w:val="IARPC Char"/>
    <w:link w:val="IARPC"/>
    <w:locked/>
    <w:rsid w:val="00A43C03"/>
    <w:rPr>
      <w:rFonts w:ascii="Arial" w:eastAsia="SimSun" w:hAnsi="Arial" w:cs="Arial"/>
      <w:bCs/>
      <w:color w:val="000000"/>
      <w:kern w:val="28"/>
      <w:sz w:val="24"/>
      <w:szCs w:val="24"/>
      <w:lang w:val="en-GB" w:eastAsia="en-US" w:bidi="ar-SA"/>
    </w:rPr>
  </w:style>
  <w:style w:type="character" w:customStyle="1" w:styleId="IAIOCheckMicroChar">
    <w:name w:val="IAIOCheckMicro Char"/>
    <w:basedOn w:val="IATableLinesChar"/>
    <w:link w:val="IAIOCheckMicro"/>
    <w:locked/>
    <w:rsid w:val="00A43C03"/>
    <w:rPr>
      <w:rFonts w:ascii="Arial" w:eastAsia="SimSun" w:hAnsi="Arial"/>
      <w:b/>
      <w:color w:val="000000"/>
      <w:spacing w:val="-5"/>
      <w:sz w:val="22"/>
      <w:lang w:val="en-GB" w:eastAsia="zh-CN" w:bidi="ar-SA"/>
    </w:rPr>
  </w:style>
  <w:style w:type="character" w:customStyle="1" w:styleId="IAIOCheckSmallChar">
    <w:name w:val="IAIOCheckSmall Char"/>
    <w:basedOn w:val="IATableLinesChar"/>
    <w:link w:val="IAIOCheckSmall"/>
    <w:locked/>
    <w:rsid w:val="00A43C03"/>
    <w:rPr>
      <w:rFonts w:ascii="Arial" w:eastAsia="SimSun" w:hAnsi="Arial"/>
      <w:b/>
      <w:color w:val="000000"/>
      <w:spacing w:val="-5"/>
      <w:sz w:val="22"/>
      <w:lang w:val="en-GB" w:eastAsia="zh-CN" w:bidi="ar-SA"/>
    </w:rPr>
  </w:style>
  <w:style w:type="character" w:customStyle="1" w:styleId="IAIOCheckMediumChar">
    <w:name w:val="IAIOCheckMedium Char"/>
    <w:basedOn w:val="IATableLinesChar"/>
    <w:link w:val="IAIOCheckMedium"/>
    <w:locked/>
    <w:rsid w:val="00A43C03"/>
    <w:rPr>
      <w:rFonts w:ascii="Arial" w:eastAsia="SimSun" w:hAnsi="Arial"/>
      <w:b/>
      <w:color w:val="000000"/>
      <w:spacing w:val="-5"/>
      <w:sz w:val="22"/>
      <w:lang w:val="en-GB" w:eastAsia="zh-CN" w:bidi="ar-SA"/>
    </w:rPr>
  </w:style>
  <w:style w:type="character" w:customStyle="1" w:styleId="IAIOCheckLargeChar">
    <w:name w:val="IAIOCheckLarge Char"/>
    <w:basedOn w:val="IATableLinesChar"/>
    <w:link w:val="IAIOCheckLarge"/>
    <w:locked/>
    <w:rsid w:val="00A43C03"/>
    <w:rPr>
      <w:rFonts w:ascii="Arial" w:eastAsia="SimSun" w:hAnsi="Arial"/>
      <w:b/>
      <w:color w:val="000000"/>
      <w:spacing w:val="-5"/>
      <w:sz w:val="22"/>
      <w:lang w:val="en-GB" w:eastAsia="zh-CN" w:bidi="ar-SA"/>
    </w:rPr>
  </w:style>
  <w:style w:type="character" w:customStyle="1" w:styleId="IAIOCO2TradedChar">
    <w:name w:val="IAIOCO2Traded Char"/>
    <w:link w:val="IAIOCO2Traded"/>
    <w:locked/>
    <w:rsid w:val="00A43C03"/>
    <w:rPr>
      <w:rFonts w:ascii="Arial" w:eastAsia="SimSun" w:hAnsi="Arial"/>
      <w:b/>
      <w:color w:val="000000"/>
      <w:spacing w:val="-5"/>
      <w:sz w:val="22"/>
      <w:lang w:val="en-GB" w:eastAsia="zh-CN" w:bidi="ar-SA"/>
    </w:rPr>
  </w:style>
  <w:style w:type="character" w:customStyle="1" w:styleId="IALabel">
    <w:name w:val="IALabel"/>
    <w:rsid w:val="00A43C03"/>
    <w:rPr>
      <w:rFonts w:cs="Times New Roman"/>
      <w:color w:val="000000"/>
      <w:sz w:val="20"/>
    </w:rPr>
  </w:style>
  <w:style w:type="paragraph" w:styleId="ListParagraph">
    <w:name w:val="List Paragraph"/>
    <w:basedOn w:val="Normal"/>
    <w:qFormat/>
    <w:rsid w:val="00A43C03"/>
    <w:pPr>
      <w:spacing w:after="0"/>
      <w:ind w:left="720"/>
      <w:contextualSpacing/>
    </w:pPr>
  </w:style>
  <w:style w:type="paragraph" w:styleId="NormalWeb">
    <w:name w:val="Normal (Web)"/>
    <w:basedOn w:val="Normal"/>
    <w:rsid w:val="00A43C03"/>
    <w:pPr>
      <w:spacing w:before="100" w:beforeAutospacing="1" w:after="100" w:afterAutospacing="1"/>
      <w:ind w:left="0"/>
    </w:pPr>
    <w:rPr>
      <w:rFonts w:ascii="Verdana" w:hAnsi="Verdana" w:cs="Arial"/>
      <w:lang w:eastAsia="en-GB"/>
    </w:rPr>
  </w:style>
  <w:style w:type="character" w:customStyle="1" w:styleId="CommentTextChar">
    <w:name w:val="Comment Text Char"/>
    <w:link w:val="CommentText"/>
    <w:locked/>
    <w:rsid w:val="00A43C03"/>
    <w:rPr>
      <w:rFonts w:ascii="Arial" w:hAnsi="Arial"/>
      <w:lang w:val="en-GB" w:eastAsia="en-US" w:bidi="ar-SA"/>
    </w:rPr>
  </w:style>
  <w:style w:type="character" w:customStyle="1" w:styleId="CommentSubjectChar">
    <w:name w:val="Comment Subject Char"/>
    <w:link w:val="CommentSubject"/>
    <w:locked/>
    <w:rsid w:val="00A43C03"/>
    <w:rPr>
      <w:rFonts w:ascii="Arial" w:hAnsi="Arial"/>
      <w:b/>
      <w:bCs/>
      <w:lang w:val="en-GB" w:eastAsia="en-US" w:bidi="ar-SA"/>
    </w:rPr>
  </w:style>
  <w:style w:type="character" w:styleId="Emphasis">
    <w:name w:val="Emphasis"/>
    <w:qFormat/>
    <w:rsid w:val="00A43C03"/>
    <w:rPr>
      <w:i/>
      <w:iCs/>
    </w:rPr>
  </w:style>
  <w:style w:type="paragraph" w:styleId="TOCHeading">
    <w:name w:val="TOC Heading"/>
    <w:basedOn w:val="Heading1"/>
    <w:next w:val="Normal"/>
    <w:uiPriority w:val="39"/>
    <w:semiHidden/>
    <w:unhideWhenUsed/>
    <w:qFormat/>
    <w:rsid w:val="00174521"/>
    <w:pPr>
      <w:keepLines/>
      <w:spacing w:before="480" w:after="0" w:line="276" w:lineRule="auto"/>
      <w:ind w:left="0"/>
      <w:outlineLvl w:val="9"/>
    </w:pPr>
    <w:rPr>
      <w:rFonts w:asciiTheme="majorHAnsi" w:eastAsiaTheme="majorEastAsia" w:hAnsiTheme="majorHAnsi" w:cstheme="majorBidi"/>
      <w:color w:val="365F91" w:themeColor="accent1" w:themeShade="BF"/>
      <w:kern w:val="0"/>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064A"/>
    <w:pPr>
      <w:spacing w:after="288"/>
      <w:ind w:left="142"/>
    </w:pPr>
    <w:rPr>
      <w:rFonts w:ascii="Arial" w:hAnsi="Arial"/>
      <w:sz w:val="24"/>
      <w:szCs w:val="24"/>
      <w:lang w:eastAsia="en-US"/>
    </w:rPr>
  </w:style>
  <w:style w:type="paragraph" w:styleId="Heading1">
    <w:name w:val="heading 1"/>
    <w:basedOn w:val="Normal"/>
    <w:next w:val="Normal"/>
    <w:link w:val="Heading1Char"/>
    <w:qFormat/>
    <w:rsid w:val="00CC08BD"/>
    <w:pPr>
      <w:keepNext/>
      <w:spacing w:after="324"/>
      <w:outlineLvl w:val="0"/>
    </w:pPr>
    <w:rPr>
      <w:b/>
      <w:bCs/>
      <w:color w:val="003478"/>
      <w:kern w:val="32"/>
      <w:sz w:val="56"/>
      <w:szCs w:val="32"/>
    </w:rPr>
  </w:style>
  <w:style w:type="paragraph" w:styleId="Heading2">
    <w:name w:val="heading 2"/>
    <w:aliases w:val="EBHeading1"/>
    <w:basedOn w:val="Normal"/>
    <w:next w:val="Normal"/>
    <w:link w:val="Heading2Char1"/>
    <w:qFormat/>
    <w:rsid w:val="001634C8"/>
    <w:pPr>
      <w:keepNext/>
      <w:spacing w:before="120" w:after="240"/>
      <w:outlineLvl w:val="1"/>
    </w:pPr>
    <w:rPr>
      <w:b/>
      <w:bCs/>
      <w:iCs/>
      <w:color w:val="003478"/>
      <w:kern w:val="32"/>
      <w:sz w:val="32"/>
      <w:szCs w:val="28"/>
    </w:rPr>
  </w:style>
  <w:style w:type="paragraph" w:styleId="Heading3">
    <w:name w:val="heading 3"/>
    <w:aliases w:val="EBHeading2"/>
    <w:basedOn w:val="Normal"/>
    <w:next w:val="Normal"/>
    <w:link w:val="Heading3Char1"/>
    <w:qFormat/>
    <w:rsid w:val="001E6A1F"/>
    <w:pPr>
      <w:keepNext/>
      <w:spacing w:after="120"/>
      <w:outlineLvl w:val="2"/>
    </w:pPr>
    <w:rPr>
      <w:b/>
      <w:bCs/>
      <w:color w:val="009BBB"/>
      <w:sz w:val="26"/>
      <w:szCs w:val="26"/>
    </w:rPr>
  </w:style>
  <w:style w:type="paragraph" w:styleId="Heading4">
    <w:name w:val="heading 4"/>
    <w:aliases w:val="EBHeading3"/>
    <w:basedOn w:val="Normal"/>
    <w:next w:val="Normal"/>
    <w:link w:val="Heading4Char1"/>
    <w:qFormat/>
    <w:rsid w:val="005C658D"/>
    <w:pPr>
      <w:spacing w:after="60"/>
      <w:outlineLvl w:val="3"/>
    </w:pPr>
    <w:rPr>
      <w:b/>
    </w:rPr>
  </w:style>
  <w:style w:type="paragraph" w:styleId="Heading5">
    <w:name w:val="heading 5"/>
    <w:aliases w:val="EBHeading4"/>
    <w:basedOn w:val="Normal"/>
    <w:next w:val="Normal"/>
    <w:link w:val="Heading5Char"/>
    <w:qFormat/>
    <w:rsid w:val="00A43C03"/>
    <w:pPr>
      <w:spacing w:before="240" w:after="120"/>
      <w:ind w:left="0"/>
      <w:outlineLvl w:val="4"/>
    </w:pPr>
    <w:rPr>
      <w:bCs/>
      <w:i/>
      <w:i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STitle">
    <w:name w:val="BIS Title"/>
    <w:basedOn w:val="Heading1"/>
    <w:autoRedefine/>
    <w:rsid w:val="001D6D05"/>
    <w:rPr>
      <w:color w:val="FFFFFF"/>
      <w:szCs w:val="56"/>
    </w:rPr>
  </w:style>
  <w:style w:type="paragraph" w:customStyle="1" w:styleId="BISCovertext">
    <w:name w:val="BIS Cover text"/>
    <w:basedOn w:val="BISTitle"/>
    <w:autoRedefine/>
    <w:rsid w:val="00D90412"/>
    <w:rPr>
      <w:b w:val="0"/>
      <w:sz w:val="28"/>
      <w:szCs w:val="28"/>
    </w:rPr>
  </w:style>
  <w:style w:type="paragraph" w:styleId="TOC1">
    <w:name w:val="toc 1"/>
    <w:basedOn w:val="Normal"/>
    <w:next w:val="Normal"/>
    <w:autoRedefine/>
    <w:uiPriority w:val="39"/>
    <w:pPr>
      <w:spacing w:line="280" w:lineRule="exact"/>
    </w:pPr>
    <w:rPr>
      <w:b/>
      <w:sz w:val="22"/>
    </w:rPr>
  </w:style>
  <w:style w:type="paragraph" w:styleId="TOC2">
    <w:name w:val="toc 2"/>
    <w:basedOn w:val="Normal"/>
    <w:next w:val="Normal"/>
    <w:autoRedefine/>
    <w:uiPriority w:val="39"/>
    <w:pPr>
      <w:spacing w:line="280" w:lineRule="exact"/>
      <w:ind w:left="238"/>
    </w:pPr>
    <w:rPr>
      <w:sz w:val="22"/>
    </w:rPr>
  </w:style>
  <w:style w:type="paragraph" w:styleId="TOC3">
    <w:name w:val="toc 3"/>
    <w:basedOn w:val="Normal"/>
    <w:next w:val="Normal"/>
    <w:autoRedefine/>
    <w:uiPriority w:val="39"/>
    <w:pPr>
      <w:spacing w:line="280" w:lineRule="exact"/>
      <w:ind w:left="482"/>
    </w:pPr>
    <w:rPr>
      <w:sz w:val="22"/>
    </w:rPr>
  </w:style>
  <w:style w:type="numbering" w:customStyle="1" w:styleId="Numberlist">
    <w:name w:val="Number list"/>
    <w:basedOn w:val="NoList"/>
    <w:rsid w:val="007464B0"/>
    <w:pPr>
      <w:numPr>
        <w:numId w:val="4"/>
      </w:numPr>
    </w:pPr>
  </w:style>
  <w:style w:type="paragraph" w:styleId="Header">
    <w:name w:val="header"/>
    <w:basedOn w:val="Normal"/>
    <w:link w:val="HeaderChar1"/>
    <w:rsid w:val="00D5710C"/>
    <w:pPr>
      <w:tabs>
        <w:tab w:val="center" w:pos="4513"/>
        <w:tab w:val="right" w:pos="9026"/>
      </w:tabs>
    </w:pPr>
  </w:style>
  <w:style w:type="paragraph" w:customStyle="1" w:styleId="BISInsidebullets">
    <w:name w:val="BIS Inside bullets"/>
    <w:basedOn w:val="Normal"/>
    <w:autoRedefine/>
    <w:rsid w:val="00FC508A"/>
    <w:pPr>
      <w:numPr>
        <w:numId w:val="1"/>
      </w:numPr>
      <w:tabs>
        <w:tab w:val="clear" w:pos="360"/>
        <w:tab w:val="left" w:pos="284"/>
      </w:tabs>
      <w:spacing w:before="120"/>
      <w:ind w:left="284" w:hanging="284"/>
      <w:outlineLvl w:val="0"/>
    </w:pPr>
    <w:rPr>
      <w:rFonts w:cs="Arial"/>
      <w:bCs/>
      <w:color w:val="FFFFFF"/>
      <w:kern w:val="32"/>
      <w:szCs w:val="56"/>
    </w:rPr>
  </w:style>
  <w:style w:type="character" w:customStyle="1" w:styleId="HeaderChar1">
    <w:name w:val="Header Char1"/>
    <w:link w:val="Header"/>
    <w:rsid w:val="00D5710C"/>
    <w:rPr>
      <w:rFonts w:ascii="Arial" w:hAnsi="Arial"/>
      <w:sz w:val="24"/>
      <w:szCs w:val="24"/>
      <w:lang w:eastAsia="en-US"/>
    </w:rPr>
  </w:style>
  <w:style w:type="paragraph" w:customStyle="1" w:styleId="TableTitleRomanWhite">
    <w:name w:val="Table Title Roman White"/>
    <w:basedOn w:val="TableTitle"/>
    <w:rsid w:val="00C913EC"/>
    <w:rPr>
      <w:b/>
      <w:color w:val="FFFFFF"/>
    </w:rPr>
  </w:style>
  <w:style w:type="paragraph" w:customStyle="1" w:styleId="BISOddHeader">
    <w:name w:val="BIS Odd Header"/>
    <w:basedOn w:val="Normal"/>
    <w:autoRedefine/>
    <w:rsid w:val="009946FA"/>
    <w:pPr>
      <w:tabs>
        <w:tab w:val="center" w:pos="4153"/>
        <w:tab w:val="right" w:pos="8306"/>
      </w:tabs>
      <w:jc w:val="right"/>
    </w:pPr>
    <w:rPr>
      <w:color w:val="003478"/>
      <w:sz w:val="18"/>
    </w:rPr>
  </w:style>
  <w:style w:type="paragraph" w:customStyle="1" w:styleId="Introparagraph">
    <w:name w:val="Intro paragraph"/>
    <w:basedOn w:val="Normal"/>
    <w:autoRedefine/>
    <w:rsid w:val="00B468B7"/>
    <w:pPr>
      <w:keepNext/>
      <w:spacing w:before="120" w:after="816"/>
      <w:outlineLvl w:val="0"/>
    </w:pPr>
    <w:rPr>
      <w:b/>
      <w:bCs/>
      <w:noProof/>
      <w:kern w:val="32"/>
      <w:sz w:val="28"/>
      <w:szCs w:val="56"/>
    </w:rPr>
  </w:style>
  <w:style w:type="paragraph" w:customStyle="1" w:styleId="TintBox">
    <w:name w:val="Tint Box"/>
    <w:basedOn w:val="Normal"/>
    <w:next w:val="Normal"/>
    <w:pPr>
      <w:pBdr>
        <w:top w:val="single" w:sz="2" w:space="6" w:color="FFFFFF"/>
        <w:left w:val="single" w:sz="2" w:space="8" w:color="FFFFFF"/>
        <w:bottom w:val="single" w:sz="2" w:space="8" w:color="FFFFFF"/>
        <w:right w:val="single" w:sz="2" w:space="8" w:color="FFFFFF"/>
      </w:pBdr>
      <w:shd w:val="pct10" w:color="auto" w:fill="auto"/>
      <w:spacing w:line="280" w:lineRule="exact"/>
    </w:pPr>
    <w:rPr>
      <w:b/>
      <w:sz w:val="22"/>
    </w:rPr>
  </w:style>
  <w:style w:type="paragraph" w:styleId="Footer">
    <w:name w:val="footer"/>
    <w:basedOn w:val="Normal"/>
    <w:link w:val="FooterChar1"/>
    <w:uiPriority w:val="99"/>
    <w:rsid w:val="00D5710C"/>
    <w:pPr>
      <w:tabs>
        <w:tab w:val="center" w:pos="4513"/>
        <w:tab w:val="right" w:pos="9026"/>
      </w:tabs>
    </w:pPr>
  </w:style>
  <w:style w:type="character" w:customStyle="1" w:styleId="FooterChar1">
    <w:name w:val="Footer Char1"/>
    <w:link w:val="Footer"/>
    <w:rsid w:val="00D5710C"/>
    <w:rPr>
      <w:rFonts w:ascii="Arial" w:hAnsi="Arial"/>
      <w:sz w:val="24"/>
      <w:szCs w:val="24"/>
      <w:lang w:eastAsia="en-US"/>
    </w:rPr>
  </w:style>
  <w:style w:type="character" w:styleId="FollowedHyperlink">
    <w:name w:val="FollowedHyperlink"/>
    <w:rsid w:val="007073CE"/>
    <w:rPr>
      <w:rFonts w:ascii="Arial" w:hAnsi="Arial"/>
      <w:color w:val="800080"/>
      <w:sz w:val="24"/>
      <w:u w:val="single"/>
    </w:rPr>
  </w:style>
  <w:style w:type="character" w:styleId="Hyperlink">
    <w:name w:val="Hyperlink"/>
    <w:uiPriority w:val="99"/>
    <w:rsid w:val="007073CE"/>
    <w:rPr>
      <w:rFonts w:ascii="Arial" w:hAnsi="Arial"/>
      <w:color w:val="0000FF"/>
      <w:sz w:val="24"/>
      <w:u w:val="single"/>
    </w:rPr>
  </w:style>
  <w:style w:type="paragraph" w:customStyle="1" w:styleId="BISnumberingBold">
    <w:name w:val="BIS numbering Bold"/>
    <w:basedOn w:val="Normal"/>
    <w:autoRedefine/>
    <w:rsid w:val="009E4AE2"/>
    <w:pPr>
      <w:ind w:left="1440" w:right="11" w:hanging="720"/>
    </w:pPr>
    <w:rPr>
      <w:color w:val="000000"/>
    </w:rPr>
  </w:style>
  <w:style w:type="numbering" w:customStyle="1" w:styleId="TableBullets">
    <w:name w:val="Table Bullets"/>
    <w:basedOn w:val="NoList"/>
    <w:rsid w:val="00F332F9"/>
    <w:pPr>
      <w:numPr>
        <w:numId w:val="3"/>
      </w:numPr>
    </w:pPr>
  </w:style>
  <w:style w:type="character" w:customStyle="1" w:styleId="StylePantoneCyanBold">
    <w:name w:val="Style Pantone Cyan + Bold"/>
    <w:rsid w:val="000D42C5"/>
    <w:rPr>
      <w:b/>
      <w:bCs/>
      <w:color w:val="003478"/>
    </w:rPr>
  </w:style>
  <w:style w:type="character" w:customStyle="1" w:styleId="Page1White">
    <w:name w:val="Page 1 White"/>
    <w:rsid w:val="00FC508A"/>
    <w:rPr>
      <w:rFonts w:ascii="Arial" w:hAnsi="Arial"/>
      <w:color w:val="FFFFFF"/>
      <w:sz w:val="24"/>
    </w:rPr>
  </w:style>
  <w:style w:type="paragraph" w:customStyle="1" w:styleId="EvenPageNumber">
    <w:name w:val="Even Page Number"/>
    <w:basedOn w:val="Normal"/>
    <w:rsid w:val="009946FA"/>
    <w:rPr>
      <w:color w:val="003478"/>
    </w:rPr>
  </w:style>
  <w:style w:type="paragraph" w:customStyle="1" w:styleId="BISEvenHeader">
    <w:name w:val="BIS Even Header"/>
    <w:basedOn w:val="BISOddHeader"/>
    <w:rsid w:val="00A95640"/>
    <w:pPr>
      <w:jc w:val="left"/>
    </w:pPr>
  </w:style>
  <w:style w:type="character" w:customStyle="1" w:styleId="StylePantone144Bold">
    <w:name w:val="Style Pantone 144 + Bold"/>
    <w:rsid w:val="001E554A"/>
    <w:rPr>
      <w:b/>
      <w:bCs/>
      <w:color w:val="FFCC11"/>
    </w:rPr>
  </w:style>
  <w:style w:type="paragraph" w:customStyle="1" w:styleId="BoxText">
    <w:name w:val="Box Text"/>
    <w:basedOn w:val="Normal"/>
    <w:rsid w:val="00442169"/>
    <w:pPr>
      <w:spacing w:line="288" w:lineRule="exact"/>
      <w:jc w:val="center"/>
    </w:pPr>
    <w:rPr>
      <w:rFonts w:ascii="Arial Bold" w:hAnsi="Arial Bold"/>
      <w:b/>
      <w:color w:val="FFFFFF"/>
    </w:rPr>
  </w:style>
  <w:style w:type="table" w:styleId="TableGrid">
    <w:name w:val="Table Grid"/>
    <w:basedOn w:val="TableNormal"/>
    <w:rsid w:val="00015C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rsid w:val="00FC508A"/>
    <w:pPr>
      <w:spacing w:after="80"/>
      <w:ind w:left="113" w:right="113"/>
    </w:pPr>
    <w:rPr>
      <w:b/>
    </w:rPr>
  </w:style>
  <w:style w:type="paragraph" w:customStyle="1" w:styleId="TableTitle">
    <w:name w:val="Table Title"/>
    <w:basedOn w:val="TableText"/>
    <w:rsid w:val="00533C58"/>
    <w:pPr>
      <w:spacing w:after="0"/>
    </w:pPr>
    <w:rPr>
      <w:b w:val="0"/>
    </w:rPr>
  </w:style>
  <w:style w:type="character" w:customStyle="1" w:styleId="PantoneCyan">
    <w:name w:val="Pantone Cyan"/>
    <w:rsid w:val="00533C58"/>
    <w:rPr>
      <w:color w:val="009EE3"/>
    </w:rPr>
  </w:style>
  <w:style w:type="character" w:customStyle="1" w:styleId="Pantone144">
    <w:name w:val="Pantone 144"/>
    <w:rsid w:val="001E554A"/>
    <w:rPr>
      <w:color w:val="FFCC11"/>
    </w:rPr>
  </w:style>
  <w:style w:type="character" w:customStyle="1" w:styleId="Pantone187">
    <w:name w:val="Pantone 187"/>
    <w:rsid w:val="001E554A"/>
    <w:rPr>
      <w:color w:val="CC0033"/>
    </w:rPr>
  </w:style>
  <w:style w:type="character" w:customStyle="1" w:styleId="Pantone2593">
    <w:name w:val="Pantone 2593"/>
    <w:rsid w:val="00533C58"/>
    <w:rPr>
      <w:color w:val="742F89"/>
    </w:rPr>
  </w:style>
  <w:style w:type="character" w:customStyle="1" w:styleId="PantoneWhite">
    <w:name w:val="Pantone White"/>
    <w:rsid w:val="003F35D6"/>
    <w:rPr>
      <w:color w:val="FFFFFF"/>
    </w:rPr>
  </w:style>
  <w:style w:type="paragraph" w:styleId="ListBullet">
    <w:name w:val="List Bullet"/>
    <w:basedOn w:val="Normal"/>
    <w:rsid w:val="00F90D09"/>
    <w:pPr>
      <w:numPr>
        <w:numId w:val="2"/>
      </w:numPr>
      <w:spacing w:line="288" w:lineRule="exact"/>
    </w:pPr>
  </w:style>
  <w:style w:type="paragraph" w:customStyle="1" w:styleId="Dateonfirstpage">
    <w:name w:val="Date on first page"/>
    <w:basedOn w:val="Normal"/>
    <w:rsid w:val="00CF24D9"/>
    <w:pPr>
      <w:spacing w:line="360" w:lineRule="exact"/>
      <w:ind w:right="28"/>
      <w:jc w:val="right"/>
    </w:pPr>
    <w:rPr>
      <w:color w:val="FFFFFF"/>
      <w:sz w:val="30"/>
    </w:rPr>
  </w:style>
  <w:style w:type="paragraph" w:customStyle="1" w:styleId="ZeroLead">
    <w:name w:val="Zero Lead"/>
    <w:basedOn w:val="BISCovertext"/>
    <w:rsid w:val="00624791"/>
    <w:pPr>
      <w:spacing w:after="0" w:line="20" w:lineRule="exact"/>
    </w:pPr>
  </w:style>
  <w:style w:type="paragraph" w:customStyle="1" w:styleId="EndpageText">
    <w:name w:val="End page Text"/>
    <w:basedOn w:val="Normal"/>
    <w:rsid w:val="001E554A"/>
    <w:pPr>
      <w:spacing w:after="0" w:line="260" w:lineRule="exact"/>
    </w:pPr>
    <w:rPr>
      <w:sz w:val="20"/>
    </w:rPr>
  </w:style>
  <w:style w:type="numbering" w:customStyle="1" w:styleId="StyleOutlinenumberedLeft089cmHanging063cm">
    <w:name w:val="Style Outline numbered Left:  0.89 cm Hanging:  0.63 cm"/>
    <w:basedOn w:val="NoList"/>
    <w:rsid w:val="005F064A"/>
    <w:pPr>
      <w:numPr>
        <w:numId w:val="5"/>
      </w:numPr>
    </w:pPr>
  </w:style>
  <w:style w:type="paragraph" w:customStyle="1" w:styleId="Tabletitle-ConsulatationQuestionWhite">
    <w:name w:val="Table title - Consulatation Question White"/>
    <w:basedOn w:val="TableTitle"/>
    <w:rsid w:val="008571A1"/>
    <w:rPr>
      <w:rFonts w:ascii="Arial Bold" w:hAnsi="Arial Bold"/>
      <w:b/>
      <w:color w:val="FFFFFF"/>
    </w:rPr>
  </w:style>
  <w:style w:type="paragraph" w:styleId="DocumentMap">
    <w:name w:val="Document Map"/>
    <w:basedOn w:val="Normal"/>
    <w:semiHidden/>
    <w:rsid w:val="008B723C"/>
    <w:pPr>
      <w:shd w:val="clear" w:color="auto" w:fill="000080"/>
    </w:pPr>
    <w:rPr>
      <w:rFonts w:ascii="Tahoma" w:hAnsi="Tahoma" w:cs="Tahoma"/>
      <w:sz w:val="20"/>
      <w:szCs w:val="20"/>
    </w:rPr>
  </w:style>
  <w:style w:type="paragraph" w:customStyle="1" w:styleId="Documenttitle">
    <w:name w:val="Document title"/>
    <w:basedOn w:val="Normal"/>
    <w:rsid w:val="00ED47D3"/>
    <w:pPr>
      <w:spacing w:after="0" w:line="240" w:lineRule="atLeast"/>
      <w:ind w:left="0"/>
    </w:pPr>
    <w:rPr>
      <w:b/>
      <w:caps/>
    </w:rPr>
  </w:style>
  <w:style w:type="paragraph" w:customStyle="1" w:styleId="Secondarytitle">
    <w:name w:val="Secondary title"/>
    <w:basedOn w:val="Normal"/>
    <w:rsid w:val="00030E14"/>
    <w:pPr>
      <w:spacing w:after="0" w:line="240" w:lineRule="atLeast"/>
      <w:ind w:left="0"/>
    </w:pPr>
    <w:rPr>
      <w:sz w:val="28"/>
    </w:rPr>
  </w:style>
  <w:style w:type="character" w:customStyle="1" w:styleId="Heading2Char1">
    <w:name w:val="Heading 2 Char1"/>
    <w:aliases w:val="EBHeading1 Char1"/>
    <w:link w:val="Heading2"/>
    <w:rsid w:val="001634C8"/>
    <w:rPr>
      <w:rFonts w:ascii="Arial" w:hAnsi="Arial"/>
      <w:b/>
      <w:bCs/>
      <w:iCs/>
      <w:color w:val="003478"/>
      <w:kern w:val="32"/>
      <w:sz w:val="32"/>
      <w:szCs w:val="28"/>
      <w:lang w:val="en-GB" w:eastAsia="en-US" w:bidi="ar-SA"/>
    </w:rPr>
  </w:style>
  <w:style w:type="character" w:customStyle="1" w:styleId="Heading3Char1">
    <w:name w:val="Heading 3 Char1"/>
    <w:aliases w:val="EBHeading2 Char1"/>
    <w:link w:val="Heading3"/>
    <w:rsid w:val="001E6A1F"/>
    <w:rPr>
      <w:rFonts w:ascii="Arial" w:hAnsi="Arial"/>
      <w:b/>
      <w:bCs/>
      <w:color w:val="009BBB"/>
      <w:sz w:val="26"/>
      <w:szCs w:val="26"/>
      <w:lang w:val="en-GB" w:eastAsia="en-US" w:bidi="ar-SA"/>
    </w:rPr>
  </w:style>
  <w:style w:type="character" w:customStyle="1" w:styleId="Heading4Char1">
    <w:name w:val="Heading 4 Char1"/>
    <w:aliases w:val="EBHeading3 Char1"/>
    <w:link w:val="Heading4"/>
    <w:rsid w:val="005C658D"/>
    <w:rPr>
      <w:rFonts w:ascii="Arial" w:hAnsi="Arial"/>
      <w:b/>
      <w:sz w:val="24"/>
      <w:szCs w:val="24"/>
      <w:lang w:val="en-GB" w:eastAsia="en-US" w:bidi="ar-SA"/>
    </w:rPr>
  </w:style>
  <w:style w:type="paragraph" w:customStyle="1" w:styleId="Tabletextnon-bold">
    <w:name w:val="Table text non-bold"/>
    <w:basedOn w:val="TableText"/>
    <w:qFormat/>
    <w:rsid w:val="00484B18"/>
    <w:rPr>
      <w:b w:val="0"/>
    </w:rPr>
  </w:style>
  <w:style w:type="paragraph" w:styleId="Caption">
    <w:name w:val="caption"/>
    <w:basedOn w:val="Normal"/>
    <w:next w:val="Normal"/>
    <w:qFormat/>
    <w:rsid w:val="00FC508A"/>
    <w:rPr>
      <w:b/>
    </w:rPr>
  </w:style>
  <w:style w:type="paragraph" w:customStyle="1" w:styleId="Supplementarytitle">
    <w:name w:val="Supplementary title"/>
    <w:basedOn w:val="Normal"/>
    <w:rsid w:val="00ED47D3"/>
    <w:pPr>
      <w:spacing w:after="0" w:line="240" w:lineRule="atLeast"/>
      <w:ind w:left="0"/>
    </w:pPr>
    <w:rPr>
      <w:caps/>
      <w:sz w:val="20"/>
    </w:rPr>
  </w:style>
  <w:style w:type="character" w:customStyle="1" w:styleId="StylePantone187Bold">
    <w:name w:val="Style Pantone 187 + Bold"/>
    <w:rsid w:val="001E554A"/>
    <w:rPr>
      <w:b/>
      <w:bCs/>
      <w:color w:val="CC0033"/>
    </w:rPr>
  </w:style>
  <w:style w:type="paragraph" w:styleId="BalloonText">
    <w:name w:val="Balloon Text"/>
    <w:basedOn w:val="Normal"/>
    <w:link w:val="BalloonTextChar"/>
    <w:semiHidden/>
    <w:rsid w:val="001C78F8"/>
    <w:rPr>
      <w:rFonts w:ascii="Tahoma" w:hAnsi="Tahoma" w:cs="Tahoma"/>
      <w:sz w:val="16"/>
      <w:szCs w:val="16"/>
    </w:rPr>
  </w:style>
  <w:style w:type="character" w:styleId="PageNumber">
    <w:name w:val="page number"/>
    <w:basedOn w:val="DefaultParagraphFont"/>
    <w:rsid w:val="001E6A1F"/>
  </w:style>
  <w:style w:type="paragraph" w:customStyle="1" w:styleId="DfESOutNumbered">
    <w:name w:val="DfESOutNumbered"/>
    <w:basedOn w:val="Normal"/>
    <w:rsid w:val="00F702B6"/>
    <w:pPr>
      <w:widowControl w:val="0"/>
      <w:numPr>
        <w:numId w:val="6"/>
      </w:numPr>
      <w:overflowPunct w:val="0"/>
      <w:autoSpaceDE w:val="0"/>
      <w:autoSpaceDN w:val="0"/>
      <w:adjustRightInd w:val="0"/>
      <w:spacing w:after="240"/>
      <w:textAlignment w:val="baseline"/>
    </w:pPr>
    <w:rPr>
      <w:sz w:val="22"/>
      <w:szCs w:val="20"/>
    </w:rPr>
  </w:style>
  <w:style w:type="paragraph" w:customStyle="1" w:styleId="EBBullet">
    <w:name w:val="EBBullet"/>
    <w:basedOn w:val="BodyText"/>
    <w:rsid w:val="001A00E7"/>
    <w:pPr>
      <w:numPr>
        <w:numId w:val="7"/>
      </w:numPr>
    </w:pPr>
    <w:rPr>
      <w:rFonts w:cs="Arial"/>
      <w:bCs/>
      <w:color w:val="000000"/>
      <w:sz w:val="22"/>
      <w:szCs w:val="22"/>
      <w:lang w:eastAsia="en-GB"/>
    </w:rPr>
  </w:style>
  <w:style w:type="paragraph" w:styleId="BodyText">
    <w:name w:val="Body Text"/>
    <w:basedOn w:val="Normal"/>
    <w:link w:val="BodyTextChar"/>
    <w:rsid w:val="001A00E7"/>
    <w:pPr>
      <w:spacing w:after="120"/>
    </w:pPr>
  </w:style>
  <w:style w:type="paragraph" w:styleId="FootnoteText">
    <w:name w:val="footnote text"/>
    <w:basedOn w:val="Normal"/>
    <w:link w:val="FootnoteTextChar"/>
    <w:semiHidden/>
    <w:rsid w:val="00397B7B"/>
    <w:rPr>
      <w:sz w:val="20"/>
      <w:szCs w:val="20"/>
    </w:rPr>
  </w:style>
  <w:style w:type="character" w:styleId="FootnoteReference">
    <w:name w:val="footnote reference"/>
    <w:semiHidden/>
    <w:rsid w:val="00397B7B"/>
    <w:rPr>
      <w:vertAlign w:val="superscript"/>
    </w:rPr>
  </w:style>
  <w:style w:type="character" w:customStyle="1" w:styleId="FootnoteTextChar">
    <w:name w:val="Footnote Text Char"/>
    <w:link w:val="FootnoteText"/>
    <w:semiHidden/>
    <w:locked/>
    <w:rsid w:val="00397B7B"/>
    <w:rPr>
      <w:rFonts w:ascii="Arial" w:hAnsi="Arial"/>
      <w:lang w:val="en-GB" w:eastAsia="en-US" w:bidi="ar-SA"/>
    </w:rPr>
  </w:style>
  <w:style w:type="paragraph" w:customStyle="1" w:styleId="Default">
    <w:name w:val="Default"/>
    <w:rsid w:val="000F08EB"/>
    <w:pPr>
      <w:autoSpaceDE w:val="0"/>
      <w:autoSpaceDN w:val="0"/>
      <w:adjustRightInd w:val="0"/>
    </w:pPr>
    <w:rPr>
      <w:rFonts w:ascii="Arial" w:hAnsi="Arial" w:cs="Arial"/>
      <w:color w:val="000000"/>
      <w:sz w:val="24"/>
      <w:szCs w:val="24"/>
    </w:rPr>
  </w:style>
  <w:style w:type="character" w:styleId="CommentReference">
    <w:name w:val="annotation reference"/>
    <w:semiHidden/>
    <w:rsid w:val="00724FA0"/>
    <w:rPr>
      <w:sz w:val="16"/>
      <w:szCs w:val="16"/>
    </w:rPr>
  </w:style>
  <w:style w:type="paragraph" w:styleId="CommentText">
    <w:name w:val="annotation text"/>
    <w:basedOn w:val="Normal"/>
    <w:link w:val="CommentTextChar"/>
    <w:semiHidden/>
    <w:rsid w:val="00724FA0"/>
    <w:rPr>
      <w:sz w:val="20"/>
      <w:szCs w:val="20"/>
    </w:rPr>
  </w:style>
  <w:style w:type="paragraph" w:styleId="CommentSubject">
    <w:name w:val="annotation subject"/>
    <w:basedOn w:val="CommentText"/>
    <w:next w:val="CommentText"/>
    <w:link w:val="CommentSubjectChar"/>
    <w:semiHidden/>
    <w:rsid w:val="00724FA0"/>
    <w:rPr>
      <w:b/>
      <w:bCs/>
    </w:rPr>
  </w:style>
  <w:style w:type="character" w:customStyle="1" w:styleId="Heading1Char">
    <w:name w:val="Heading 1 Char"/>
    <w:link w:val="Heading1"/>
    <w:locked/>
    <w:rsid w:val="00A43C03"/>
    <w:rPr>
      <w:rFonts w:ascii="Arial" w:hAnsi="Arial"/>
      <w:b/>
      <w:bCs/>
      <w:color w:val="003478"/>
      <w:kern w:val="32"/>
      <w:sz w:val="56"/>
      <w:szCs w:val="32"/>
      <w:lang w:val="en-GB" w:eastAsia="en-US" w:bidi="ar-SA"/>
    </w:rPr>
  </w:style>
  <w:style w:type="character" w:customStyle="1" w:styleId="Heading2Char">
    <w:name w:val="Heading 2 Char"/>
    <w:aliases w:val="EBHeading1 Char"/>
    <w:semiHidden/>
    <w:locked/>
    <w:rsid w:val="00A43C03"/>
    <w:rPr>
      <w:rFonts w:ascii="Cambria" w:hAnsi="Cambria" w:cs="Times New Roman"/>
      <w:b/>
      <w:bCs/>
      <w:i/>
      <w:iCs/>
      <w:sz w:val="28"/>
      <w:szCs w:val="28"/>
      <w:lang w:val="x-none" w:eastAsia="en-US"/>
    </w:rPr>
  </w:style>
  <w:style w:type="character" w:customStyle="1" w:styleId="Heading3Char">
    <w:name w:val="Heading 3 Char"/>
    <w:aliases w:val="EBHeading2 Char"/>
    <w:semiHidden/>
    <w:locked/>
    <w:rsid w:val="00A43C03"/>
    <w:rPr>
      <w:rFonts w:ascii="Cambria" w:hAnsi="Cambria" w:cs="Times New Roman"/>
      <w:b/>
      <w:bCs/>
      <w:sz w:val="26"/>
      <w:szCs w:val="26"/>
      <w:lang w:val="x-none" w:eastAsia="en-US"/>
    </w:rPr>
  </w:style>
  <w:style w:type="character" w:customStyle="1" w:styleId="Heading4Char">
    <w:name w:val="Heading 4 Char"/>
    <w:aliases w:val="EBHeading3 Char"/>
    <w:semiHidden/>
    <w:locked/>
    <w:rsid w:val="00A43C03"/>
    <w:rPr>
      <w:rFonts w:ascii="Calibri" w:hAnsi="Calibri" w:cs="Times New Roman"/>
      <w:b/>
      <w:bCs/>
      <w:sz w:val="28"/>
      <w:szCs w:val="28"/>
      <w:lang w:val="x-none" w:eastAsia="en-US"/>
    </w:rPr>
  </w:style>
  <w:style w:type="character" w:customStyle="1" w:styleId="Heading5Char">
    <w:name w:val="Heading 5 Char"/>
    <w:aliases w:val="EBHeading4 Char"/>
    <w:link w:val="Heading5"/>
    <w:semiHidden/>
    <w:locked/>
    <w:rsid w:val="00A43C03"/>
    <w:rPr>
      <w:rFonts w:ascii="Arial" w:hAnsi="Arial"/>
      <w:bCs/>
      <w:i/>
      <w:iCs/>
      <w:sz w:val="22"/>
      <w:szCs w:val="26"/>
      <w:lang w:val="en-GB" w:eastAsia="en-US" w:bidi="ar-SA"/>
    </w:rPr>
  </w:style>
  <w:style w:type="paragraph" w:customStyle="1" w:styleId="IATableLabel">
    <w:name w:val="IATableLabel"/>
    <w:basedOn w:val="Normal"/>
    <w:link w:val="IATableLabelCharChar"/>
    <w:rsid w:val="00A43C03"/>
    <w:pPr>
      <w:spacing w:before="50" w:after="50"/>
      <w:ind w:left="113" w:right="113"/>
    </w:pPr>
    <w:rPr>
      <w:rFonts w:eastAsia="SimSun"/>
      <w:b/>
      <w:color w:val="000000"/>
      <w:spacing w:val="-5"/>
      <w:sz w:val="20"/>
      <w:szCs w:val="20"/>
      <w:lang w:eastAsia="zh-CN"/>
    </w:rPr>
  </w:style>
  <w:style w:type="character" w:customStyle="1" w:styleId="IATableLabelCharChar">
    <w:name w:val="IATableLabel Char Char"/>
    <w:link w:val="IATableLabel"/>
    <w:locked/>
    <w:rsid w:val="00A43C03"/>
    <w:rPr>
      <w:rFonts w:ascii="Arial" w:eastAsia="SimSun" w:hAnsi="Arial"/>
      <w:b/>
      <w:color w:val="000000"/>
      <w:spacing w:val="-5"/>
      <w:lang w:val="en-GB" w:eastAsia="zh-CN" w:bidi="ar-SA"/>
    </w:rPr>
  </w:style>
  <w:style w:type="paragraph" w:customStyle="1" w:styleId="IASpacer">
    <w:name w:val="IASpacer"/>
    <w:basedOn w:val="Normal"/>
    <w:rsid w:val="00A43C03"/>
    <w:pPr>
      <w:spacing w:after="0" w:line="80" w:lineRule="exact"/>
      <w:ind w:left="0"/>
    </w:pPr>
    <w:rPr>
      <w:rFonts w:eastAsia="SimSun"/>
      <w:sz w:val="22"/>
      <w:lang w:eastAsia="zh-CN"/>
    </w:rPr>
  </w:style>
  <w:style w:type="paragraph" w:customStyle="1" w:styleId="IATableText">
    <w:name w:val="IATableText"/>
    <w:basedOn w:val="IATableLabel"/>
    <w:link w:val="IATableTextChar"/>
    <w:rsid w:val="00A43C03"/>
    <w:rPr>
      <w:b w:val="0"/>
      <w:color w:val="auto"/>
      <w:sz w:val="22"/>
    </w:rPr>
  </w:style>
  <w:style w:type="character" w:customStyle="1" w:styleId="IATableTextChar">
    <w:name w:val="IATableText Char"/>
    <w:link w:val="IATableText"/>
    <w:locked/>
    <w:rsid w:val="00A43C03"/>
    <w:rPr>
      <w:rFonts w:ascii="Arial" w:eastAsia="SimSun" w:hAnsi="Arial"/>
      <w:b/>
      <w:color w:val="000000"/>
      <w:spacing w:val="-5"/>
      <w:sz w:val="22"/>
      <w:lang w:val="en-GB" w:eastAsia="zh-CN" w:bidi="ar-SA"/>
    </w:rPr>
  </w:style>
  <w:style w:type="character" w:customStyle="1" w:styleId="BodyTextChar">
    <w:name w:val="Body Text Char"/>
    <w:link w:val="BodyText"/>
    <w:locked/>
    <w:rsid w:val="00A43C03"/>
    <w:rPr>
      <w:rFonts w:ascii="Arial" w:hAnsi="Arial"/>
      <w:sz w:val="24"/>
      <w:szCs w:val="24"/>
      <w:lang w:val="en-GB" w:eastAsia="en-US" w:bidi="ar-SA"/>
    </w:rPr>
  </w:style>
  <w:style w:type="paragraph" w:styleId="Title">
    <w:name w:val="Title"/>
    <w:basedOn w:val="Normal"/>
    <w:link w:val="TitleChar"/>
    <w:qFormat/>
    <w:rsid w:val="00A43C03"/>
    <w:pPr>
      <w:spacing w:after="0"/>
      <w:ind w:left="113"/>
      <w:outlineLvl w:val="0"/>
    </w:pPr>
    <w:rPr>
      <w:rFonts w:cs="Arial"/>
      <w:bCs/>
      <w:color w:val="FFFFFF"/>
      <w:kern w:val="28"/>
      <w:sz w:val="32"/>
      <w:szCs w:val="32"/>
    </w:rPr>
  </w:style>
  <w:style w:type="character" w:customStyle="1" w:styleId="TitleChar">
    <w:name w:val="Title Char"/>
    <w:link w:val="Title"/>
    <w:locked/>
    <w:rsid w:val="00A43C03"/>
    <w:rPr>
      <w:rFonts w:ascii="Arial" w:hAnsi="Arial" w:cs="Arial"/>
      <w:bCs/>
      <w:color w:val="FFFFFF"/>
      <w:kern w:val="28"/>
      <w:sz w:val="32"/>
      <w:szCs w:val="32"/>
      <w:lang w:val="en-GB" w:eastAsia="en-US" w:bidi="ar-SA"/>
    </w:rPr>
  </w:style>
  <w:style w:type="paragraph" w:customStyle="1" w:styleId="IAHeadDept">
    <w:name w:val="IAHeadDept"/>
    <w:basedOn w:val="IATableText"/>
    <w:link w:val="IAHeadDeptChar"/>
    <w:rsid w:val="00A43C03"/>
    <w:pPr>
      <w:spacing w:after="120"/>
      <w:ind w:left="0" w:right="57"/>
    </w:pPr>
    <w:rPr>
      <w:spacing w:val="-6"/>
      <w:szCs w:val="22"/>
    </w:rPr>
  </w:style>
  <w:style w:type="paragraph" w:customStyle="1" w:styleId="IAHeadLabel">
    <w:name w:val="IAHeadLabel"/>
    <w:basedOn w:val="IATableLabel"/>
    <w:link w:val="IAHeadLabelChar"/>
    <w:rsid w:val="00A43C03"/>
    <w:pPr>
      <w:spacing w:before="110"/>
      <w:ind w:left="0" w:right="0"/>
    </w:pPr>
  </w:style>
  <w:style w:type="character" w:customStyle="1" w:styleId="IAHeadLabelChar">
    <w:name w:val="IAHeadLabel Char"/>
    <w:basedOn w:val="IATableLabelCharChar"/>
    <w:link w:val="IAHeadLabel"/>
    <w:locked/>
    <w:rsid w:val="00A43C03"/>
    <w:rPr>
      <w:rFonts w:ascii="Arial" w:eastAsia="SimSun" w:hAnsi="Arial"/>
      <w:b/>
      <w:color w:val="000000"/>
      <w:spacing w:val="-5"/>
      <w:lang w:val="en-GB" w:eastAsia="zh-CN" w:bidi="ar-SA"/>
    </w:rPr>
  </w:style>
  <w:style w:type="table" w:customStyle="1" w:styleId="TableIAHeading">
    <w:name w:val="Table_IAHeading"/>
    <w:semiHidden/>
    <w:rsid w:val="00A43C03"/>
    <w:rPr>
      <w:rFonts w:eastAsia="SimSun"/>
      <w:color w:val="FFFFFF"/>
    </w:rPr>
    <w:tblPr>
      <w:tblInd w:w="0" w:type="dxa"/>
      <w:tblBorders>
        <w:top w:val="single" w:sz="12" w:space="0" w:color="008080"/>
        <w:left w:val="single" w:sz="12" w:space="0" w:color="008080"/>
        <w:bottom w:val="single" w:sz="12" w:space="0" w:color="008080"/>
        <w:right w:val="single" w:sz="12" w:space="0" w:color="008080"/>
        <w:insideH w:val="single" w:sz="12" w:space="0" w:color="008080"/>
      </w:tblBorders>
      <w:tblCellMar>
        <w:top w:w="0" w:type="dxa"/>
        <w:left w:w="0" w:type="dxa"/>
        <w:bottom w:w="0" w:type="dxa"/>
        <w:right w:w="0" w:type="dxa"/>
      </w:tblCellMar>
    </w:tblPr>
    <w:tcPr>
      <w:shd w:val="clear" w:color="auto" w:fill="008080"/>
    </w:tcPr>
  </w:style>
  <w:style w:type="paragraph" w:customStyle="1" w:styleId="IATableNotes">
    <w:name w:val="IATableNotes"/>
    <w:basedOn w:val="Normal"/>
    <w:link w:val="IATableNotesChar"/>
    <w:rsid w:val="00A43C03"/>
    <w:pPr>
      <w:spacing w:before="60" w:after="60"/>
      <w:ind w:left="113" w:right="113"/>
    </w:pPr>
    <w:rPr>
      <w:rFonts w:eastAsia="SimSun"/>
      <w:sz w:val="18"/>
      <w:szCs w:val="20"/>
      <w:lang w:eastAsia="zh-CN"/>
    </w:rPr>
  </w:style>
  <w:style w:type="character" w:customStyle="1" w:styleId="IATableNotesChar">
    <w:name w:val="IATableNotes Char"/>
    <w:link w:val="IATableNotes"/>
    <w:locked/>
    <w:rsid w:val="00A43C03"/>
    <w:rPr>
      <w:rFonts w:ascii="Arial" w:eastAsia="SimSun" w:hAnsi="Arial"/>
      <w:sz w:val="18"/>
      <w:lang w:val="en-GB" w:eastAsia="zh-CN" w:bidi="ar-SA"/>
    </w:rPr>
  </w:style>
  <w:style w:type="paragraph" w:customStyle="1" w:styleId="IASignOff">
    <w:name w:val="IASignOff"/>
    <w:basedOn w:val="IATableNotes"/>
    <w:next w:val="IATableNotes"/>
    <w:link w:val="IASignOffChar"/>
    <w:semiHidden/>
    <w:rsid w:val="00A43C03"/>
    <w:pPr>
      <w:spacing w:before="120" w:after="120"/>
      <w:ind w:left="567" w:right="567"/>
    </w:pPr>
    <w:rPr>
      <w:b/>
      <w:bCs/>
      <w:i/>
      <w:iCs/>
    </w:rPr>
  </w:style>
  <w:style w:type="character" w:customStyle="1" w:styleId="IASignOffChar">
    <w:name w:val="IASignOff Char"/>
    <w:link w:val="IASignOff"/>
    <w:locked/>
    <w:rsid w:val="00A43C03"/>
    <w:rPr>
      <w:rFonts w:ascii="Arial" w:eastAsia="SimSun" w:hAnsi="Arial"/>
      <w:b/>
      <w:bCs/>
      <w:i/>
      <w:iCs/>
      <w:sz w:val="18"/>
      <w:lang w:val="en-GB" w:eastAsia="zh-CN" w:bidi="ar-SA"/>
    </w:rPr>
  </w:style>
  <w:style w:type="paragraph" w:customStyle="1" w:styleId="IAHeadTitle">
    <w:name w:val="IAHeadTitle"/>
    <w:basedOn w:val="IAHeadDept"/>
    <w:link w:val="IAHeadTitleChar"/>
    <w:rsid w:val="00A43C03"/>
    <w:pPr>
      <w:spacing w:before="0" w:after="0"/>
    </w:pPr>
    <w:rPr>
      <w:b/>
      <w:sz w:val="28"/>
      <w:szCs w:val="28"/>
    </w:rPr>
  </w:style>
  <w:style w:type="paragraph" w:customStyle="1" w:styleId="IASignature">
    <w:name w:val="IA Signature"/>
    <w:basedOn w:val="IATableText"/>
    <w:rsid w:val="00A43C03"/>
    <w:pPr>
      <w:tabs>
        <w:tab w:val="left" w:leader="dot" w:pos="6804"/>
        <w:tab w:val="right" w:leader="dot" w:pos="10206"/>
      </w:tabs>
      <w:spacing w:before="0" w:after="0"/>
      <w:ind w:left="0"/>
    </w:pPr>
  </w:style>
  <w:style w:type="paragraph" w:customStyle="1" w:styleId="IASign-offlabel">
    <w:name w:val="IA Sign-off label"/>
    <w:basedOn w:val="IAHeadLabel"/>
    <w:link w:val="IASign-offlabelChar"/>
    <w:rsid w:val="00A43C03"/>
    <w:pPr>
      <w:spacing w:after="120"/>
    </w:pPr>
    <w:rPr>
      <w:szCs w:val="22"/>
      <w:u w:val="single"/>
    </w:rPr>
  </w:style>
  <w:style w:type="character" w:customStyle="1" w:styleId="IASign-offlabelChar">
    <w:name w:val="IA Sign-off label Char"/>
    <w:link w:val="IASign-offlabel"/>
    <w:locked/>
    <w:rsid w:val="00A43C03"/>
    <w:rPr>
      <w:rFonts w:ascii="Arial" w:eastAsia="SimSun" w:hAnsi="Arial"/>
      <w:b/>
      <w:color w:val="000000"/>
      <w:spacing w:val="-5"/>
      <w:szCs w:val="22"/>
      <w:u w:val="single"/>
      <w:lang w:val="en-GB" w:eastAsia="zh-CN" w:bidi="ar-SA"/>
    </w:rPr>
  </w:style>
  <w:style w:type="paragraph" w:customStyle="1" w:styleId="IASign-off">
    <w:name w:val="IA Sign-off"/>
    <w:basedOn w:val="IATableText"/>
    <w:rsid w:val="00A43C03"/>
    <w:pPr>
      <w:spacing w:before="0" w:after="0"/>
      <w:ind w:left="0" w:right="284"/>
    </w:pPr>
    <w:rPr>
      <w:b/>
      <w:i/>
    </w:rPr>
  </w:style>
  <w:style w:type="paragraph" w:customStyle="1" w:styleId="IAHeading2">
    <w:name w:val="IAHeading2"/>
    <w:basedOn w:val="Normal"/>
    <w:semiHidden/>
    <w:rsid w:val="00A43C03"/>
    <w:pPr>
      <w:keepNext/>
      <w:keepLines/>
      <w:spacing w:before="60" w:after="60"/>
      <w:ind w:left="113" w:right="113"/>
    </w:pPr>
    <w:rPr>
      <w:rFonts w:eastAsia="SimSun"/>
      <w:b/>
      <w:sz w:val="20"/>
      <w:lang w:eastAsia="zh-CN"/>
    </w:rPr>
  </w:style>
  <w:style w:type="table" w:customStyle="1" w:styleId="TableIABox">
    <w:name w:val="Table_IABox"/>
    <w:rsid w:val="00A43C03"/>
    <w:rPr>
      <w:rFonts w:eastAsia="SimSun"/>
    </w:rPr>
    <w:tblPr>
      <w:tblInd w:w="0" w:type="dxa"/>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Pr>
  </w:style>
  <w:style w:type="character" w:customStyle="1" w:styleId="HeaderChar">
    <w:name w:val="Header Char"/>
    <w:locked/>
    <w:rsid w:val="00A43C03"/>
    <w:rPr>
      <w:rFonts w:ascii="Arial" w:hAnsi="Arial" w:cs="Times New Roman"/>
      <w:sz w:val="24"/>
      <w:szCs w:val="24"/>
      <w:lang w:val="x-none" w:eastAsia="en-US"/>
    </w:rPr>
  </w:style>
  <w:style w:type="character" w:customStyle="1" w:styleId="FooterChar">
    <w:name w:val="Footer Char"/>
    <w:uiPriority w:val="99"/>
    <w:locked/>
    <w:rsid w:val="00A43C03"/>
    <w:rPr>
      <w:rFonts w:ascii="Arial" w:hAnsi="Arial" w:cs="Times New Roman"/>
      <w:sz w:val="24"/>
      <w:szCs w:val="24"/>
      <w:lang w:val="x-none" w:eastAsia="en-US"/>
    </w:rPr>
  </w:style>
  <w:style w:type="paragraph" w:customStyle="1" w:styleId="IANotes">
    <w:name w:val="IANotes"/>
    <w:basedOn w:val="Normal"/>
    <w:semiHidden/>
    <w:rsid w:val="00A43C03"/>
    <w:pPr>
      <w:spacing w:after="0"/>
      <w:ind w:left="0"/>
    </w:pPr>
    <w:rPr>
      <w:rFonts w:eastAsia="SimSun"/>
      <w:color w:val="008080"/>
      <w:sz w:val="22"/>
      <w:lang w:eastAsia="zh-CN"/>
    </w:rPr>
  </w:style>
  <w:style w:type="paragraph" w:customStyle="1" w:styleId="IATableHeading">
    <w:name w:val="IATableHeading"/>
    <w:basedOn w:val="IATableLabel"/>
    <w:rsid w:val="00A43C03"/>
    <w:rPr>
      <w:sz w:val="22"/>
      <w:szCs w:val="24"/>
    </w:rPr>
  </w:style>
  <w:style w:type="paragraph" w:customStyle="1" w:styleId="EBBodyPara">
    <w:name w:val="EBBodyPara"/>
    <w:basedOn w:val="BodyText"/>
    <w:rsid w:val="00A43C03"/>
    <w:pPr>
      <w:ind w:left="0"/>
    </w:pPr>
    <w:rPr>
      <w:rFonts w:cs="Arial"/>
      <w:bCs/>
      <w:color w:val="000000"/>
      <w:sz w:val="22"/>
      <w:szCs w:val="22"/>
      <w:lang w:eastAsia="en-GB"/>
    </w:rPr>
  </w:style>
  <w:style w:type="character" w:customStyle="1" w:styleId="BalloonTextChar">
    <w:name w:val="Balloon Text Char"/>
    <w:link w:val="BalloonText"/>
    <w:semiHidden/>
    <w:locked/>
    <w:rsid w:val="00A43C03"/>
    <w:rPr>
      <w:rFonts w:ascii="Tahoma" w:hAnsi="Tahoma" w:cs="Tahoma"/>
      <w:sz w:val="16"/>
      <w:szCs w:val="16"/>
      <w:lang w:val="en-GB" w:eastAsia="en-US" w:bidi="ar-SA"/>
    </w:rPr>
  </w:style>
  <w:style w:type="paragraph" w:customStyle="1" w:styleId="EBNumber">
    <w:name w:val="EBNumber"/>
    <w:basedOn w:val="BodyText"/>
    <w:rsid w:val="00A43C03"/>
    <w:pPr>
      <w:numPr>
        <w:ilvl w:val="1"/>
        <w:numId w:val="11"/>
      </w:numPr>
    </w:pPr>
    <w:rPr>
      <w:rFonts w:cs="Arial"/>
      <w:bCs/>
      <w:color w:val="000000"/>
      <w:sz w:val="22"/>
      <w:szCs w:val="22"/>
      <w:lang w:eastAsia="en-GB"/>
    </w:rPr>
  </w:style>
  <w:style w:type="paragraph" w:customStyle="1" w:styleId="EBNumberRestart">
    <w:name w:val="EBNumberRestart"/>
    <w:basedOn w:val="BodyText"/>
    <w:next w:val="EBNumber"/>
    <w:rsid w:val="00A43C03"/>
    <w:pPr>
      <w:numPr>
        <w:numId w:val="11"/>
      </w:numPr>
      <w:ind w:left="0"/>
    </w:pPr>
    <w:rPr>
      <w:rFonts w:cs="Arial"/>
      <w:bCs/>
      <w:color w:val="000000"/>
      <w:sz w:val="22"/>
      <w:szCs w:val="22"/>
      <w:lang w:eastAsia="en-GB"/>
    </w:rPr>
  </w:style>
  <w:style w:type="paragraph" w:customStyle="1" w:styleId="StyleIATableText10ptRight">
    <w:name w:val="Style IATableText + 10 pt Right"/>
    <w:basedOn w:val="IATableText"/>
    <w:rsid w:val="00A43C03"/>
    <w:pPr>
      <w:ind w:left="0" w:right="57"/>
      <w:jc w:val="right"/>
    </w:pPr>
    <w:rPr>
      <w:rFonts w:eastAsia="Times New Roman"/>
      <w:sz w:val="20"/>
    </w:rPr>
  </w:style>
  <w:style w:type="paragraph" w:customStyle="1" w:styleId="SecurityClass">
    <w:name w:val="SecurityClass"/>
    <w:basedOn w:val="Header"/>
    <w:rsid w:val="00A43C03"/>
    <w:pPr>
      <w:tabs>
        <w:tab w:val="clear" w:pos="4513"/>
        <w:tab w:val="clear" w:pos="9026"/>
      </w:tabs>
      <w:spacing w:after="0"/>
      <w:ind w:left="0"/>
      <w:jc w:val="center"/>
    </w:pPr>
    <w:rPr>
      <w:caps/>
    </w:rPr>
  </w:style>
  <w:style w:type="paragraph" w:customStyle="1" w:styleId="IARefNumber">
    <w:name w:val="IARefNumber"/>
    <w:basedOn w:val="IATableText"/>
    <w:rsid w:val="00A43C03"/>
    <w:pPr>
      <w:numPr>
        <w:numId w:val="10"/>
      </w:numPr>
      <w:tabs>
        <w:tab w:val="num" w:pos="360"/>
      </w:tabs>
      <w:ind w:left="0" w:hanging="360"/>
    </w:pPr>
  </w:style>
  <w:style w:type="paragraph" w:customStyle="1" w:styleId="POPBY">
    <w:name w:val="POPBY"/>
    <w:basedOn w:val="IATableLabel"/>
    <w:rsid w:val="00A43C03"/>
  </w:style>
  <w:style w:type="paragraph" w:customStyle="1" w:styleId="IAHeadText">
    <w:name w:val="IAHeadText"/>
    <w:basedOn w:val="IATableText"/>
    <w:rsid w:val="00A43C03"/>
    <w:pPr>
      <w:spacing w:before="0" w:after="0"/>
      <w:ind w:left="0" w:right="57"/>
    </w:pPr>
    <w:rPr>
      <w:spacing w:val="-6"/>
    </w:rPr>
  </w:style>
  <w:style w:type="paragraph" w:customStyle="1" w:styleId="IAHeadLabel0">
    <w:name w:val="IAHeadLabel0"/>
    <w:basedOn w:val="IAHeadLabel"/>
    <w:next w:val="IAHeadTitle"/>
    <w:rsid w:val="00A43C03"/>
    <w:pPr>
      <w:spacing w:before="0"/>
    </w:pPr>
  </w:style>
  <w:style w:type="paragraph" w:customStyle="1" w:styleId="IATableLines">
    <w:name w:val="IATableLines"/>
    <w:basedOn w:val="IATableText"/>
    <w:link w:val="IATableLinesChar"/>
    <w:rsid w:val="00A43C03"/>
    <w:pPr>
      <w:spacing w:before="0" w:after="0"/>
    </w:pPr>
  </w:style>
  <w:style w:type="paragraph" w:customStyle="1" w:styleId="EvidenceHeadPIR">
    <w:name w:val="EvidenceHeadPIR"/>
    <w:rsid w:val="00A43C03"/>
    <w:pPr>
      <w:spacing w:after="120"/>
    </w:pPr>
    <w:rPr>
      <w:rFonts w:ascii="Arial" w:hAnsi="Arial" w:cs="Arial"/>
      <w:bCs/>
      <w:color w:val="000000"/>
      <w:sz w:val="22"/>
      <w:szCs w:val="22"/>
    </w:rPr>
  </w:style>
  <w:style w:type="paragraph" w:customStyle="1" w:styleId="IASpacer2">
    <w:name w:val="IASpacer2"/>
    <w:basedOn w:val="IASpacer"/>
    <w:rsid w:val="00A43C03"/>
    <w:pPr>
      <w:spacing w:line="40" w:lineRule="exact"/>
    </w:pPr>
  </w:style>
  <w:style w:type="paragraph" w:customStyle="1" w:styleId="POPVBY">
    <w:name w:val="POPVBY"/>
    <w:basedOn w:val="IATableLabel"/>
    <w:rsid w:val="00A43C03"/>
  </w:style>
  <w:style w:type="paragraph" w:customStyle="1" w:styleId="POTPY">
    <w:name w:val="POTPY"/>
    <w:basedOn w:val="IATableLabel"/>
    <w:rsid w:val="00A43C03"/>
  </w:style>
  <w:style w:type="paragraph" w:customStyle="1" w:styleId="PONBLow">
    <w:name w:val="PONBLow"/>
    <w:basedOn w:val="IATableLabel"/>
    <w:link w:val="PONBLowCharChar"/>
    <w:rsid w:val="00A43C03"/>
    <w:rPr>
      <w:b w:val="0"/>
      <w:szCs w:val="22"/>
    </w:rPr>
  </w:style>
  <w:style w:type="character" w:customStyle="1" w:styleId="PONBLowCharChar">
    <w:name w:val="PONBLow Char Char"/>
    <w:link w:val="PONBLow"/>
    <w:locked/>
    <w:rsid w:val="00A43C03"/>
    <w:rPr>
      <w:rFonts w:ascii="Arial" w:eastAsia="SimSun" w:hAnsi="Arial"/>
      <w:b/>
      <w:color w:val="000000"/>
      <w:spacing w:val="-5"/>
      <w:szCs w:val="22"/>
      <w:lang w:val="en-GB" w:eastAsia="zh-CN" w:bidi="ar-SA"/>
    </w:rPr>
  </w:style>
  <w:style w:type="paragraph" w:customStyle="1" w:styleId="PONBHigh">
    <w:name w:val="PONBHigh"/>
    <w:basedOn w:val="IATableLabel"/>
    <w:link w:val="PONBHighChar"/>
    <w:rsid w:val="00A43C03"/>
    <w:rPr>
      <w:b w:val="0"/>
      <w:szCs w:val="22"/>
    </w:rPr>
  </w:style>
  <w:style w:type="character" w:customStyle="1" w:styleId="PONBHighChar">
    <w:name w:val="PONBHigh Char"/>
    <w:link w:val="PONBHigh"/>
    <w:locked/>
    <w:rsid w:val="00A43C03"/>
    <w:rPr>
      <w:rFonts w:ascii="Arial" w:eastAsia="SimSun" w:hAnsi="Arial"/>
      <w:b/>
      <w:color w:val="000000"/>
      <w:spacing w:val="-5"/>
      <w:szCs w:val="22"/>
      <w:lang w:val="en-GB" w:eastAsia="zh-CN" w:bidi="ar-SA"/>
    </w:rPr>
  </w:style>
  <w:style w:type="paragraph" w:customStyle="1" w:styleId="PONBBestEst">
    <w:name w:val="PONBBestEst"/>
    <w:basedOn w:val="IATableLabel"/>
    <w:link w:val="PONBBestEstChar"/>
    <w:rsid w:val="00A43C03"/>
    <w:rPr>
      <w:b w:val="0"/>
      <w:szCs w:val="22"/>
    </w:rPr>
  </w:style>
  <w:style w:type="character" w:customStyle="1" w:styleId="PONBBestEstChar">
    <w:name w:val="PONBBestEst Char"/>
    <w:link w:val="PONBBestEst"/>
    <w:locked/>
    <w:rsid w:val="00A43C03"/>
    <w:rPr>
      <w:rFonts w:ascii="Arial" w:eastAsia="SimSun" w:hAnsi="Arial"/>
      <w:b/>
      <w:color w:val="000000"/>
      <w:spacing w:val="-5"/>
      <w:szCs w:val="22"/>
      <w:lang w:val="en-GB" w:eastAsia="zh-CN" w:bidi="ar-SA"/>
    </w:rPr>
  </w:style>
  <w:style w:type="paragraph" w:customStyle="1" w:styleId="POTTCostsHigh">
    <w:name w:val="POTTCostsHigh"/>
    <w:basedOn w:val="IATableText"/>
    <w:rsid w:val="00A43C03"/>
    <w:pPr>
      <w:jc w:val="right"/>
    </w:pPr>
  </w:style>
  <w:style w:type="paragraph" w:customStyle="1" w:styleId="POTTCostsLow">
    <w:name w:val="POTTCostsLow"/>
    <w:basedOn w:val="POTTCostsHigh"/>
    <w:rsid w:val="00A43C03"/>
  </w:style>
  <w:style w:type="paragraph" w:customStyle="1" w:styleId="POTTCostsBest">
    <w:name w:val="POTTCostsBest"/>
    <w:basedOn w:val="IATableText"/>
    <w:rsid w:val="00A43C03"/>
    <w:pPr>
      <w:jc w:val="right"/>
    </w:pPr>
  </w:style>
  <w:style w:type="paragraph" w:customStyle="1" w:styleId="POTTCostsYear">
    <w:name w:val="POTTCostsYear"/>
    <w:basedOn w:val="IATableText"/>
    <w:rsid w:val="00A43C03"/>
    <w:pPr>
      <w:jc w:val="center"/>
    </w:pPr>
    <w:rPr>
      <w:szCs w:val="18"/>
    </w:rPr>
  </w:style>
  <w:style w:type="paragraph" w:customStyle="1" w:styleId="POAACostsLow">
    <w:name w:val="POAACostsLow"/>
    <w:basedOn w:val="IATableText"/>
    <w:rsid w:val="00A43C03"/>
    <w:pPr>
      <w:jc w:val="right"/>
    </w:pPr>
  </w:style>
  <w:style w:type="paragraph" w:customStyle="1" w:styleId="POAACostsHigh">
    <w:name w:val="POAACostsHigh"/>
    <w:basedOn w:val="POAACostsLow"/>
    <w:rsid w:val="00A43C03"/>
  </w:style>
  <w:style w:type="paragraph" w:customStyle="1" w:styleId="POAACostsBest">
    <w:name w:val="POAACostsBest"/>
    <w:basedOn w:val="IATableText"/>
    <w:rsid w:val="00A43C03"/>
    <w:pPr>
      <w:jc w:val="right"/>
    </w:pPr>
  </w:style>
  <w:style w:type="paragraph" w:customStyle="1" w:styleId="POTCCostsLow">
    <w:name w:val="POTCCostsLow"/>
    <w:basedOn w:val="IATableText"/>
    <w:rsid w:val="00A43C03"/>
    <w:pPr>
      <w:jc w:val="right"/>
    </w:pPr>
    <w:rPr>
      <w:b/>
    </w:rPr>
  </w:style>
  <w:style w:type="paragraph" w:customStyle="1" w:styleId="POTCCostsHigh">
    <w:name w:val="POTCCostsHigh"/>
    <w:basedOn w:val="IATableText"/>
    <w:rsid w:val="00A43C03"/>
    <w:pPr>
      <w:jc w:val="right"/>
    </w:pPr>
    <w:rPr>
      <w:b/>
    </w:rPr>
  </w:style>
  <w:style w:type="paragraph" w:customStyle="1" w:styleId="POTCCostsBest">
    <w:name w:val="POTCCostsBest"/>
    <w:basedOn w:val="IATableText"/>
    <w:rsid w:val="00A43C03"/>
    <w:pPr>
      <w:jc w:val="right"/>
    </w:pPr>
    <w:rPr>
      <w:b/>
    </w:rPr>
  </w:style>
  <w:style w:type="paragraph" w:customStyle="1" w:styleId="IAPOQ1">
    <w:name w:val="IAPOQ1"/>
    <w:basedOn w:val="IATableLabel"/>
    <w:rsid w:val="00A43C03"/>
  </w:style>
  <w:style w:type="paragraph" w:customStyle="1" w:styleId="IAPOA1">
    <w:name w:val="IAPOA1"/>
    <w:basedOn w:val="IATableLines"/>
    <w:rsid w:val="00A43C03"/>
  </w:style>
  <w:style w:type="paragraph" w:customStyle="1" w:styleId="IAPOQ2">
    <w:name w:val="IAPOQ2"/>
    <w:basedOn w:val="IATableLabel"/>
    <w:link w:val="IAPOQ2Char"/>
    <w:rsid w:val="00A43C03"/>
  </w:style>
  <w:style w:type="paragraph" w:customStyle="1" w:styleId="IAPOA2">
    <w:name w:val="IAPOA2"/>
    <w:basedOn w:val="IATableLines"/>
    <w:rsid w:val="00A43C03"/>
  </w:style>
  <w:style w:type="paragraph" w:customStyle="1" w:styleId="POTTBenLow">
    <w:name w:val="POTTBenLow"/>
    <w:basedOn w:val="POTTCostsLow"/>
    <w:rsid w:val="00A43C03"/>
  </w:style>
  <w:style w:type="paragraph" w:customStyle="1" w:styleId="POTTBenHigh">
    <w:name w:val="POTTBenHigh"/>
    <w:basedOn w:val="POTTCostsHigh"/>
    <w:rsid w:val="00A43C03"/>
  </w:style>
  <w:style w:type="paragraph" w:customStyle="1" w:styleId="POTTBenBest">
    <w:name w:val="POTTBenBest"/>
    <w:basedOn w:val="POTTCostsBest"/>
    <w:rsid w:val="00A43C03"/>
  </w:style>
  <w:style w:type="paragraph" w:customStyle="1" w:styleId="POAABenLow">
    <w:name w:val="POAABenLow"/>
    <w:basedOn w:val="POAACostsLow"/>
    <w:rsid w:val="00A43C03"/>
  </w:style>
  <w:style w:type="paragraph" w:customStyle="1" w:styleId="POAABenHigh">
    <w:name w:val="POAABenHigh"/>
    <w:basedOn w:val="POAABenLow"/>
    <w:rsid w:val="00A43C03"/>
  </w:style>
  <w:style w:type="paragraph" w:customStyle="1" w:styleId="POAABenBest">
    <w:name w:val="POAABenBest"/>
    <w:basedOn w:val="POAABenHigh"/>
    <w:rsid w:val="00A43C03"/>
  </w:style>
  <w:style w:type="paragraph" w:customStyle="1" w:styleId="POTBBenLow">
    <w:name w:val="POTBBenLow"/>
    <w:basedOn w:val="POTCCostsLow"/>
    <w:rsid w:val="00A43C03"/>
  </w:style>
  <w:style w:type="paragraph" w:customStyle="1" w:styleId="POTBBenHigh">
    <w:name w:val="POTBBenHigh"/>
    <w:basedOn w:val="POTBBenLow"/>
    <w:rsid w:val="00A43C03"/>
  </w:style>
  <w:style w:type="paragraph" w:customStyle="1" w:styleId="POTBBenBest">
    <w:name w:val="POTBBenBest"/>
    <w:basedOn w:val="POTBBenHigh"/>
    <w:rsid w:val="00A43C03"/>
  </w:style>
  <w:style w:type="paragraph" w:customStyle="1" w:styleId="IPPOQ3">
    <w:name w:val="IPPOQ3"/>
    <w:basedOn w:val="IAPOQ2"/>
    <w:link w:val="IPPOQ3Char"/>
    <w:rsid w:val="00A43C03"/>
  </w:style>
  <w:style w:type="paragraph" w:customStyle="1" w:styleId="IAPOQ4">
    <w:name w:val="IAPOQ4"/>
    <w:basedOn w:val="IPPOQ3"/>
    <w:link w:val="IAPOQ4Char"/>
    <w:rsid w:val="00A43C03"/>
  </w:style>
  <w:style w:type="paragraph" w:customStyle="1" w:styleId="IAPOA3">
    <w:name w:val="IAPOA3"/>
    <w:basedOn w:val="IAPOA2"/>
    <w:rsid w:val="00A43C03"/>
  </w:style>
  <w:style w:type="paragraph" w:customStyle="1" w:styleId="IAPOA4">
    <w:name w:val="IAPOA4"/>
    <w:basedOn w:val="IAPOA3"/>
    <w:rsid w:val="00A43C03"/>
  </w:style>
  <w:style w:type="paragraph" w:customStyle="1" w:styleId="IAPOA5">
    <w:name w:val="IAPOA5"/>
    <w:basedOn w:val="IAPOA4"/>
    <w:rsid w:val="00A43C03"/>
  </w:style>
  <w:style w:type="paragraph" w:customStyle="1" w:styleId="IAPOQ5">
    <w:name w:val="IAPOQ5"/>
    <w:basedOn w:val="IAPOQ4"/>
    <w:link w:val="IAPOQ5Char"/>
    <w:rsid w:val="00A43C03"/>
  </w:style>
  <w:style w:type="character" w:customStyle="1" w:styleId="IAPOQ2Char">
    <w:name w:val="IAPOQ2 Char"/>
    <w:basedOn w:val="IATableLabelCharChar"/>
    <w:link w:val="IAPOQ2"/>
    <w:locked/>
    <w:rsid w:val="00A43C03"/>
    <w:rPr>
      <w:rFonts w:ascii="Arial" w:eastAsia="SimSun" w:hAnsi="Arial"/>
      <w:b/>
      <w:color w:val="000000"/>
      <w:spacing w:val="-5"/>
      <w:lang w:val="en-GB" w:eastAsia="zh-CN" w:bidi="ar-SA"/>
    </w:rPr>
  </w:style>
  <w:style w:type="character" w:customStyle="1" w:styleId="IPPOQ3Char">
    <w:name w:val="IPPOQ3 Char"/>
    <w:basedOn w:val="IAPOQ2Char"/>
    <w:link w:val="IPPOQ3"/>
    <w:locked/>
    <w:rsid w:val="00A43C03"/>
    <w:rPr>
      <w:rFonts w:ascii="Arial" w:eastAsia="SimSun" w:hAnsi="Arial"/>
      <w:b/>
      <w:color w:val="000000"/>
      <w:spacing w:val="-5"/>
      <w:lang w:val="en-GB" w:eastAsia="zh-CN" w:bidi="ar-SA"/>
    </w:rPr>
  </w:style>
  <w:style w:type="character" w:customStyle="1" w:styleId="IAPOQ4Char">
    <w:name w:val="IAPOQ4 Char"/>
    <w:basedOn w:val="IPPOQ3Char"/>
    <w:link w:val="IAPOQ4"/>
    <w:locked/>
    <w:rsid w:val="00A43C03"/>
    <w:rPr>
      <w:rFonts w:ascii="Arial" w:eastAsia="SimSun" w:hAnsi="Arial"/>
      <w:b/>
      <w:color w:val="000000"/>
      <w:spacing w:val="-5"/>
      <w:lang w:val="en-GB" w:eastAsia="zh-CN" w:bidi="ar-SA"/>
    </w:rPr>
  </w:style>
  <w:style w:type="character" w:customStyle="1" w:styleId="IAPOQ5Char">
    <w:name w:val="IAPOQ5 Char"/>
    <w:basedOn w:val="IAPOQ4Char"/>
    <w:link w:val="IAPOQ5"/>
    <w:locked/>
    <w:rsid w:val="00A43C03"/>
    <w:rPr>
      <w:rFonts w:ascii="Arial" w:eastAsia="SimSun" w:hAnsi="Arial"/>
      <w:b/>
      <w:color w:val="000000"/>
      <w:spacing w:val="-5"/>
      <w:lang w:val="en-GB" w:eastAsia="zh-CN" w:bidi="ar-SA"/>
    </w:rPr>
  </w:style>
  <w:style w:type="paragraph" w:customStyle="1" w:styleId="IAPODisRate">
    <w:name w:val="IAPODisRate"/>
    <w:basedOn w:val="IATableLabel"/>
    <w:rsid w:val="00A43C03"/>
    <w:pPr>
      <w:ind w:left="0"/>
      <w:jc w:val="center"/>
    </w:pPr>
    <w:rPr>
      <w:b w:val="0"/>
    </w:rPr>
  </w:style>
  <w:style w:type="paragraph" w:customStyle="1" w:styleId="IAPODICost">
    <w:name w:val="IAPODICost"/>
    <w:basedOn w:val="IATableLabel"/>
    <w:link w:val="IAPODICostChar"/>
    <w:rsid w:val="00A43C03"/>
    <w:rPr>
      <w:b w:val="0"/>
      <w:sz w:val="22"/>
      <w:szCs w:val="22"/>
    </w:rPr>
  </w:style>
  <w:style w:type="character" w:customStyle="1" w:styleId="IAPODICostChar">
    <w:name w:val="IAPODICost Char"/>
    <w:link w:val="IAPODICost"/>
    <w:locked/>
    <w:rsid w:val="00A43C03"/>
    <w:rPr>
      <w:rFonts w:ascii="Arial" w:eastAsia="SimSun" w:hAnsi="Arial"/>
      <w:b/>
      <w:color w:val="000000"/>
      <w:spacing w:val="-5"/>
      <w:sz w:val="22"/>
      <w:szCs w:val="22"/>
      <w:lang w:val="en-GB" w:eastAsia="zh-CN" w:bidi="ar-SA"/>
    </w:rPr>
  </w:style>
  <w:style w:type="paragraph" w:customStyle="1" w:styleId="IAPODIBen">
    <w:name w:val="IAPODIBen"/>
    <w:basedOn w:val="IATableLabel"/>
    <w:link w:val="IAPODIBenChar"/>
    <w:rsid w:val="00A43C03"/>
    <w:rPr>
      <w:b w:val="0"/>
      <w:sz w:val="22"/>
      <w:szCs w:val="22"/>
    </w:rPr>
  </w:style>
  <w:style w:type="paragraph" w:customStyle="1" w:styleId="IAPODINet">
    <w:name w:val="IAPODINet"/>
    <w:basedOn w:val="IATableLabel"/>
    <w:link w:val="IAPODINetChar"/>
    <w:rsid w:val="00A43C03"/>
    <w:rPr>
      <w:b w:val="0"/>
      <w:sz w:val="22"/>
      <w:szCs w:val="22"/>
    </w:rPr>
  </w:style>
  <w:style w:type="paragraph" w:customStyle="1" w:styleId="IAPODIOIOO">
    <w:name w:val="IAPODIOIOO"/>
    <w:basedOn w:val="IATableLabel"/>
    <w:rsid w:val="00A43C03"/>
    <w:rPr>
      <w:b w:val="0"/>
      <w:sz w:val="22"/>
      <w:szCs w:val="22"/>
    </w:rPr>
  </w:style>
  <w:style w:type="character" w:customStyle="1" w:styleId="IAPODINetChar">
    <w:name w:val="IAPODINet Char"/>
    <w:link w:val="IAPODINet"/>
    <w:locked/>
    <w:rsid w:val="00A43C03"/>
    <w:rPr>
      <w:rFonts w:ascii="Arial" w:eastAsia="SimSun" w:hAnsi="Arial"/>
      <w:b/>
      <w:color w:val="000000"/>
      <w:spacing w:val="-5"/>
      <w:sz w:val="22"/>
      <w:szCs w:val="22"/>
      <w:lang w:val="en-GB" w:eastAsia="zh-CN" w:bidi="ar-SA"/>
    </w:rPr>
  </w:style>
  <w:style w:type="character" w:customStyle="1" w:styleId="IAPODIBenChar">
    <w:name w:val="IAPODIBen Char"/>
    <w:link w:val="IAPODIBen"/>
    <w:locked/>
    <w:rsid w:val="00A43C03"/>
    <w:rPr>
      <w:rFonts w:ascii="Arial" w:eastAsia="SimSun" w:hAnsi="Arial"/>
      <w:b/>
      <w:color w:val="000000"/>
      <w:spacing w:val="-5"/>
      <w:sz w:val="22"/>
      <w:szCs w:val="22"/>
      <w:lang w:val="en-GB" w:eastAsia="zh-CN" w:bidi="ar-SA"/>
    </w:rPr>
  </w:style>
  <w:style w:type="paragraph" w:customStyle="1" w:styleId="IAPODIMQ">
    <w:name w:val="IAPODIMQ"/>
    <w:basedOn w:val="IATableText"/>
    <w:rsid w:val="00A43C03"/>
    <w:rPr>
      <w:color w:val="000000"/>
      <w:sz w:val="20"/>
    </w:rPr>
  </w:style>
  <w:style w:type="paragraph" w:customStyle="1" w:styleId="ebbullet0">
    <w:name w:val="ebbullet"/>
    <w:basedOn w:val="Normal"/>
    <w:rsid w:val="00A43C03"/>
    <w:pPr>
      <w:spacing w:before="100" w:beforeAutospacing="1" w:after="100" w:afterAutospacing="1"/>
      <w:ind w:left="0"/>
    </w:pPr>
    <w:rPr>
      <w:rFonts w:ascii="Times New Roman" w:hAnsi="Times New Roman"/>
      <w:lang w:eastAsia="en-GB"/>
    </w:rPr>
  </w:style>
  <w:style w:type="paragraph" w:customStyle="1" w:styleId="IATitle">
    <w:name w:val="IATitle"/>
    <w:basedOn w:val="Normal"/>
    <w:rsid w:val="00A43C03"/>
    <w:pPr>
      <w:spacing w:after="0"/>
      <w:ind w:left="113"/>
    </w:pPr>
    <w:rPr>
      <w:rFonts w:eastAsia="SimSun" w:cs="Arial"/>
      <w:sz w:val="20"/>
    </w:rPr>
  </w:style>
  <w:style w:type="paragraph" w:customStyle="1" w:styleId="IANo">
    <w:name w:val="IANo"/>
    <w:basedOn w:val="Normal"/>
    <w:link w:val="IANoChar"/>
    <w:rsid w:val="00A43C03"/>
    <w:pPr>
      <w:spacing w:after="0"/>
      <w:ind w:left="113"/>
    </w:pPr>
    <w:rPr>
      <w:sz w:val="20"/>
      <w:szCs w:val="22"/>
    </w:rPr>
  </w:style>
  <w:style w:type="character" w:customStyle="1" w:styleId="IAHeadDeptChar">
    <w:name w:val="IAHeadDept Char"/>
    <w:link w:val="IAHeadDept"/>
    <w:locked/>
    <w:rsid w:val="00A43C03"/>
    <w:rPr>
      <w:rFonts w:ascii="Arial" w:eastAsia="SimSun" w:hAnsi="Arial"/>
      <w:b/>
      <w:color w:val="000000"/>
      <w:spacing w:val="-6"/>
      <w:sz w:val="22"/>
      <w:szCs w:val="22"/>
      <w:lang w:val="en-GB" w:eastAsia="zh-CN" w:bidi="ar-SA"/>
    </w:rPr>
  </w:style>
  <w:style w:type="character" w:customStyle="1" w:styleId="IAHeadTitleChar">
    <w:name w:val="IAHeadTitle Char"/>
    <w:link w:val="IAHeadTitle"/>
    <w:locked/>
    <w:rsid w:val="00A43C03"/>
    <w:rPr>
      <w:rFonts w:ascii="Arial" w:eastAsia="SimSun" w:hAnsi="Arial"/>
      <w:b/>
      <w:color w:val="000000"/>
      <w:spacing w:val="-6"/>
      <w:sz w:val="28"/>
      <w:szCs w:val="28"/>
      <w:lang w:val="en-GB" w:eastAsia="zh-CN" w:bidi="ar-SA"/>
    </w:rPr>
  </w:style>
  <w:style w:type="character" w:customStyle="1" w:styleId="IANoChar">
    <w:name w:val="IANo Char"/>
    <w:link w:val="IANo"/>
    <w:locked/>
    <w:rsid w:val="00A43C03"/>
    <w:rPr>
      <w:rFonts w:ascii="Arial" w:eastAsia="SimSun" w:hAnsi="Arial"/>
      <w:b/>
      <w:color w:val="000000"/>
      <w:spacing w:val="-6"/>
      <w:sz w:val="28"/>
      <w:szCs w:val="22"/>
      <w:lang w:val="en-GB" w:eastAsia="en-US" w:bidi="ar-SA"/>
    </w:rPr>
  </w:style>
  <w:style w:type="paragraph" w:customStyle="1" w:styleId="IALeadDept">
    <w:name w:val="IALeadDept"/>
    <w:basedOn w:val="Normal"/>
    <w:rsid w:val="00A43C03"/>
    <w:pPr>
      <w:spacing w:after="0"/>
      <w:ind w:left="113"/>
    </w:pPr>
    <w:rPr>
      <w:rFonts w:eastAsia="Arial Unicode MS" w:cs="Arial"/>
      <w:noProof/>
      <w:sz w:val="20"/>
    </w:rPr>
  </w:style>
  <w:style w:type="paragraph" w:customStyle="1" w:styleId="IAOtherDepts">
    <w:name w:val="IAOtherDepts"/>
    <w:basedOn w:val="IATableLabel"/>
    <w:rsid w:val="00A43C03"/>
    <w:pPr>
      <w:spacing w:after="0"/>
    </w:pPr>
    <w:rPr>
      <w:b w:val="0"/>
    </w:rPr>
  </w:style>
  <w:style w:type="paragraph" w:customStyle="1" w:styleId="IADate">
    <w:name w:val="IADate"/>
    <w:basedOn w:val="IATableLabel"/>
    <w:link w:val="IADateChar"/>
    <w:rsid w:val="00A43C03"/>
    <w:rPr>
      <w:b w:val="0"/>
      <w:sz w:val="22"/>
      <w:szCs w:val="22"/>
    </w:rPr>
  </w:style>
  <w:style w:type="paragraph" w:customStyle="1" w:styleId="IAStage">
    <w:name w:val="IAStage"/>
    <w:basedOn w:val="IATableLabel"/>
    <w:link w:val="IAStageChar"/>
    <w:rsid w:val="00A43C03"/>
    <w:rPr>
      <w:b w:val="0"/>
      <w:sz w:val="22"/>
    </w:rPr>
  </w:style>
  <w:style w:type="paragraph" w:customStyle="1" w:styleId="IASOI">
    <w:name w:val="IASOI"/>
    <w:basedOn w:val="IATableLabel"/>
    <w:link w:val="IASOIChar"/>
    <w:rsid w:val="00A43C03"/>
    <w:rPr>
      <w:b w:val="0"/>
      <w:sz w:val="22"/>
    </w:rPr>
  </w:style>
  <w:style w:type="paragraph" w:customStyle="1" w:styleId="IATOM">
    <w:name w:val="IATOM"/>
    <w:basedOn w:val="IATableLabel"/>
    <w:link w:val="IATOMChar"/>
    <w:rsid w:val="00A43C03"/>
    <w:rPr>
      <w:b w:val="0"/>
      <w:sz w:val="22"/>
    </w:rPr>
  </w:style>
  <w:style w:type="paragraph" w:customStyle="1" w:styleId="IACOE">
    <w:name w:val="IACOE"/>
    <w:basedOn w:val="Normal"/>
    <w:link w:val="IACOEChar"/>
    <w:autoRedefine/>
    <w:rsid w:val="00A43C03"/>
    <w:pPr>
      <w:spacing w:after="0"/>
      <w:ind w:left="0"/>
    </w:pPr>
    <w:rPr>
      <w:rFonts w:eastAsia="SimSun"/>
      <w:spacing w:val="-5"/>
      <w:sz w:val="20"/>
      <w:lang w:eastAsia="zh-CN"/>
    </w:rPr>
  </w:style>
  <w:style w:type="paragraph" w:customStyle="1" w:styleId="IARPC">
    <w:name w:val="IARPC"/>
    <w:basedOn w:val="Title"/>
    <w:link w:val="IARPCChar"/>
    <w:rsid w:val="00A43C03"/>
    <w:rPr>
      <w:rFonts w:eastAsia="SimSun"/>
      <w:color w:val="000000"/>
      <w:sz w:val="24"/>
      <w:szCs w:val="24"/>
    </w:rPr>
  </w:style>
  <w:style w:type="paragraph" w:customStyle="1" w:styleId="IAIIOTNPV">
    <w:name w:val="IAIIOTNPV"/>
    <w:basedOn w:val="IATableLabel"/>
    <w:rsid w:val="00A43C03"/>
    <w:pPr>
      <w:spacing w:before="0" w:after="0"/>
      <w:jc w:val="both"/>
    </w:pPr>
    <w:rPr>
      <w:b w:val="0"/>
      <w:sz w:val="22"/>
      <w:szCs w:val="22"/>
    </w:rPr>
  </w:style>
  <w:style w:type="paragraph" w:customStyle="1" w:styleId="IAIOBNPV">
    <w:name w:val="IAIOBNPV"/>
    <w:basedOn w:val="IATableLabel"/>
    <w:rsid w:val="00A43C03"/>
    <w:pPr>
      <w:spacing w:before="0" w:after="0"/>
    </w:pPr>
    <w:rPr>
      <w:b w:val="0"/>
      <w:sz w:val="22"/>
      <w:szCs w:val="22"/>
    </w:rPr>
  </w:style>
  <w:style w:type="paragraph" w:customStyle="1" w:styleId="IAIONCTBPY">
    <w:name w:val="IAIONCTBPY"/>
    <w:basedOn w:val="IATableLabel"/>
    <w:rsid w:val="00A43C03"/>
    <w:pPr>
      <w:spacing w:before="0" w:after="0"/>
    </w:pPr>
    <w:rPr>
      <w:b w:val="0"/>
      <w:sz w:val="22"/>
      <w:szCs w:val="22"/>
    </w:rPr>
  </w:style>
  <w:style w:type="paragraph" w:customStyle="1" w:styleId="IAIOInScopeInOut">
    <w:name w:val="IAIOInScopeInOut"/>
    <w:basedOn w:val="IATableLabel"/>
    <w:rsid w:val="00A43C03"/>
    <w:pPr>
      <w:spacing w:before="0" w:after="0"/>
    </w:pPr>
    <w:rPr>
      <w:b w:val="0"/>
      <w:sz w:val="22"/>
      <w:szCs w:val="22"/>
    </w:rPr>
  </w:style>
  <w:style w:type="paragraph" w:customStyle="1" w:styleId="IAIOPrefMQ">
    <w:name w:val="IAIOPrefMQ"/>
    <w:basedOn w:val="IATableText"/>
    <w:rsid w:val="00A43C03"/>
    <w:pPr>
      <w:spacing w:before="0" w:after="0"/>
    </w:pPr>
    <w:rPr>
      <w:color w:val="000000"/>
      <w:szCs w:val="22"/>
    </w:rPr>
  </w:style>
  <w:style w:type="paragraph" w:customStyle="1" w:styleId="IAIOQ1">
    <w:name w:val="IAIOQ1"/>
    <w:basedOn w:val="IATableLabel"/>
    <w:rsid w:val="00A43C03"/>
  </w:style>
  <w:style w:type="paragraph" w:customStyle="1" w:styleId="IAIOA1">
    <w:name w:val="IAIOA1"/>
    <w:basedOn w:val="IATableLines"/>
    <w:rsid w:val="00A43C03"/>
  </w:style>
  <w:style w:type="paragraph" w:customStyle="1" w:styleId="IAIOQ2">
    <w:name w:val="IAIOQ2"/>
    <w:basedOn w:val="IATableLabel"/>
    <w:rsid w:val="00A43C03"/>
  </w:style>
  <w:style w:type="paragraph" w:customStyle="1" w:styleId="IAIOA2">
    <w:name w:val="IAIOA2"/>
    <w:basedOn w:val="IATableLines"/>
    <w:rsid w:val="00A43C03"/>
  </w:style>
  <w:style w:type="paragraph" w:customStyle="1" w:styleId="IAIOQ3">
    <w:name w:val="IAIOQ3"/>
    <w:basedOn w:val="IATableLabel"/>
    <w:rsid w:val="00A43C03"/>
  </w:style>
  <w:style w:type="paragraph" w:customStyle="1" w:styleId="IAIOA3">
    <w:name w:val="IAIOA3"/>
    <w:basedOn w:val="IATableLines"/>
    <w:rsid w:val="00A43C03"/>
  </w:style>
  <w:style w:type="paragraph" w:customStyle="1" w:styleId="IAIOPolicyReview">
    <w:name w:val="IAIOPolicyReview"/>
    <w:basedOn w:val="IATableLabel"/>
    <w:link w:val="IAIOPolicyReviewChar"/>
    <w:rsid w:val="00A43C03"/>
    <w:rPr>
      <w:b w:val="0"/>
      <w:sz w:val="22"/>
      <w:szCs w:val="22"/>
    </w:rPr>
  </w:style>
  <w:style w:type="character" w:customStyle="1" w:styleId="IAIOPolicyReviewChar">
    <w:name w:val="IAIOPolicyReview Char"/>
    <w:link w:val="IAIOPolicyReview"/>
    <w:locked/>
    <w:rsid w:val="00A43C03"/>
    <w:rPr>
      <w:rFonts w:ascii="Arial" w:eastAsia="SimSun" w:hAnsi="Arial"/>
      <w:b/>
      <w:color w:val="000000"/>
      <w:spacing w:val="-5"/>
      <w:sz w:val="22"/>
      <w:szCs w:val="22"/>
      <w:lang w:val="en-GB" w:eastAsia="zh-CN" w:bidi="ar-SA"/>
    </w:rPr>
  </w:style>
  <w:style w:type="paragraph" w:customStyle="1" w:styleId="IAIOReviewMonth">
    <w:name w:val="IAIOReviewMonth"/>
    <w:basedOn w:val="IATableLabel"/>
    <w:link w:val="IAIOReviewMonthChar"/>
    <w:rsid w:val="00A43C03"/>
    <w:rPr>
      <w:b w:val="0"/>
      <w:sz w:val="22"/>
      <w:szCs w:val="22"/>
    </w:rPr>
  </w:style>
  <w:style w:type="paragraph" w:customStyle="1" w:styleId="IAIOReviewYear">
    <w:name w:val="IAIOReviewYear"/>
    <w:basedOn w:val="IATableLabel"/>
    <w:link w:val="IAIOReviewYearChar"/>
    <w:rsid w:val="00A43C03"/>
    <w:rPr>
      <w:b w:val="0"/>
      <w:sz w:val="22"/>
      <w:szCs w:val="22"/>
    </w:rPr>
  </w:style>
  <w:style w:type="paragraph" w:customStyle="1" w:styleId="IAIOCheckEU">
    <w:name w:val="IAIOCheckEU"/>
    <w:basedOn w:val="IATableText"/>
    <w:rsid w:val="00A43C03"/>
    <w:pPr>
      <w:spacing w:before="0" w:after="0"/>
    </w:pPr>
    <w:rPr>
      <w:sz w:val="20"/>
    </w:rPr>
  </w:style>
  <w:style w:type="character" w:customStyle="1" w:styleId="IAIOReviewYearChar">
    <w:name w:val="IAIOReviewYear Char"/>
    <w:link w:val="IAIOReviewYear"/>
    <w:locked/>
    <w:rsid w:val="00A43C03"/>
    <w:rPr>
      <w:rFonts w:ascii="Arial" w:eastAsia="SimSun" w:hAnsi="Arial"/>
      <w:b/>
      <w:color w:val="000000"/>
      <w:spacing w:val="-5"/>
      <w:sz w:val="22"/>
      <w:szCs w:val="22"/>
      <w:lang w:val="en-GB" w:eastAsia="zh-CN" w:bidi="ar-SA"/>
    </w:rPr>
  </w:style>
  <w:style w:type="character" w:customStyle="1" w:styleId="IAIOReviewMonthChar">
    <w:name w:val="IAIOReviewMonth Char"/>
    <w:link w:val="IAIOReviewMonth"/>
    <w:locked/>
    <w:rsid w:val="00A43C03"/>
    <w:rPr>
      <w:rFonts w:ascii="Arial" w:eastAsia="SimSun" w:hAnsi="Arial"/>
      <w:b/>
      <w:color w:val="000000"/>
      <w:spacing w:val="-5"/>
      <w:sz w:val="22"/>
      <w:szCs w:val="22"/>
      <w:lang w:val="en-GB" w:eastAsia="zh-CN" w:bidi="ar-SA"/>
    </w:rPr>
  </w:style>
  <w:style w:type="paragraph" w:customStyle="1" w:styleId="IAIOCheckMicro">
    <w:name w:val="IAIOCheckMicro"/>
    <w:basedOn w:val="IATableLines"/>
    <w:link w:val="IAIOCheckMicroChar"/>
    <w:rsid w:val="00A43C03"/>
    <w:rPr>
      <w:sz w:val="20"/>
    </w:rPr>
  </w:style>
  <w:style w:type="paragraph" w:customStyle="1" w:styleId="IAIOCheck20">
    <w:name w:val="IAIOCheck20"/>
    <w:basedOn w:val="IATableLines"/>
    <w:rsid w:val="00A43C03"/>
    <w:rPr>
      <w:sz w:val="20"/>
    </w:rPr>
  </w:style>
  <w:style w:type="paragraph" w:customStyle="1" w:styleId="IAIOCheckSmall">
    <w:name w:val="IAIOCheckSmall"/>
    <w:basedOn w:val="IATableLines"/>
    <w:link w:val="IAIOCheckSmallChar"/>
    <w:rsid w:val="00A43C03"/>
    <w:rPr>
      <w:sz w:val="20"/>
    </w:rPr>
  </w:style>
  <w:style w:type="paragraph" w:customStyle="1" w:styleId="IAIOCheckMedium">
    <w:name w:val="IAIOCheckMedium"/>
    <w:basedOn w:val="IATableLines"/>
    <w:link w:val="IAIOCheckMediumChar"/>
    <w:rsid w:val="00A43C03"/>
    <w:rPr>
      <w:sz w:val="20"/>
    </w:rPr>
  </w:style>
  <w:style w:type="paragraph" w:customStyle="1" w:styleId="IAIOCheckLarge">
    <w:name w:val="IAIOCheckLarge"/>
    <w:basedOn w:val="IATableLines"/>
    <w:link w:val="IAIOCheckLargeChar"/>
    <w:rsid w:val="00A43C03"/>
    <w:rPr>
      <w:sz w:val="20"/>
    </w:rPr>
  </w:style>
  <w:style w:type="paragraph" w:customStyle="1" w:styleId="IAIOCO2Traded">
    <w:name w:val="IAIOCO2Traded"/>
    <w:basedOn w:val="IATableLabel"/>
    <w:link w:val="IAIOCO2TradedChar"/>
    <w:rsid w:val="00A43C03"/>
    <w:rPr>
      <w:b w:val="0"/>
      <w:sz w:val="22"/>
    </w:rPr>
  </w:style>
  <w:style w:type="paragraph" w:customStyle="1" w:styleId="IAIOCO2NonTraded">
    <w:name w:val="IAIOCO2NonTraded"/>
    <w:basedOn w:val="IAIOCO2Traded"/>
    <w:rsid w:val="00A43C03"/>
    <w:rPr>
      <w:sz w:val="20"/>
    </w:rPr>
  </w:style>
  <w:style w:type="paragraph" w:customStyle="1" w:styleId="IAIOtextSign">
    <w:name w:val="IAIOtextSign"/>
    <w:basedOn w:val="Normal"/>
    <w:rsid w:val="00A43C03"/>
    <w:pPr>
      <w:spacing w:after="0"/>
      <w:ind w:left="0"/>
      <w:jc w:val="center"/>
    </w:pPr>
  </w:style>
  <w:style w:type="paragraph" w:customStyle="1" w:styleId="IAIOSigDate">
    <w:name w:val="IAIOSigDate"/>
    <w:basedOn w:val="Normal"/>
    <w:rsid w:val="00A43C03"/>
    <w:pPr>
      <w:spacing w:after="0"/>
      <w:ind w:left="0"/>
      <w:jc w:val="center"/>
    </w:pPr>
    <w:rPr>
      <w:sz w:val="22"/>
      <w:szCs w:val="22"/>
    </w:rPr>
  </w:style>
  <w:style w:type="paragraph" w:customStyle="1" w:styleId="IAPODescription">
    <w:name w:val="IAPODescription"/>
    <w:basedOn w:val="IAHeadLabel"/>
    <w:link w:val="IAPODescriptionCharChar"/>
    <w:rsid w:val="00A43C03"/>
    <w:pPr>
      <w:spacing w:before="50"/>
    </w:pPr>
    <w:rPr>
      <w:b w:val="0"/>
    </w:rPr>
  </w:style>
  <w:style w:type="character" w:customStyle="1" w:styleId="IAPODescriptionCharChar">
    <w:name w:val="IAPODescription Char Char"/>
    <w:basedOn w:val="IAHeadLabelChar"/>
    <w:link w:val="IAPODescription"/>
    <w:locked/>
    <w:rsid w:val="00A43C03"/>
    <w:rPr>
      <w:rFonts w:ascii="Arial" w:eastAsia="SimSun" w:hAnsi="Arial"/>
      <w:b/>
      <w:color w:val="000000"/>
      <w:spacing w:val="-5"/>
      <w:lang w:val="en-GB" w:eastAsia="zh-CN" w:bidi="ar-SA"/>
    </w:rPr>
  </w:style>
  <w:style w:type="character" w:customStyle="1" w:styleId="IADateChar">
    <w:name w:val="IADate Char"/>
    <w:link w:val="IADate"/>
    <w:locked/>
    <w:rsid w:val="00A43C03"/>
    <w:rPr>
      <w:rFonts w:ascii="Arial" w:eastAsia="SimSun" w:hAnsi="Arial"/>
      <w:b/>
      <w:color w:val="000000"/>
      <w:spacing w:val="-5"/>
      <w:sz w:val="22"/>
      <w:szCs w:val="22"/>
      <w:lang w:val="en-GB" w:eastAsia="zh-CN" w:bidi="ar-SA"/>
    </w:rPr>
  </w:style>
  <w:style w:type="character" w:customStyle="1" w:styleId="IATableLinesChar">
    <w:name w:val="IATableLines Char"/>
    <w:basedOn w:val="IATableTextChar"/>
    <w:link w:val="IATableLines"/>
    <w:locked/>
    <w:rsid w:val="00A43C03"/>
    <w:rPr>
      <w:rFonts w:ascii="Arial" w:eastAsia="SimSun" w:hAnsi="Arial"/>
      <w:b/>
      <w:color w:val="000000"/>
      <w:spacing w:val="-5"/>
      <w:sz w:val="22"/>
      <w:lang w:val="en-GB" w:eastAsia="zh-CN" w:bidi="ar-SA"/>
    </w:rPr>
  </w:style>
  <w:style w:type="character" w:customStyle="1" w:styleId="IACOEChar">
    <w:name w:val="IACOE Char"/>
    <w:link w:val="IACOE"/>
    <w:locked/>
    <w:rsid w:val="00A43C03"/>
    <w:rPr>
      <w:rFonts w:ascii="Arial" w:eastAsia="SimSun" w:hAnsi="Arial"/>
      <w:b/>
      <w:color w:val="000000"/>
      <w:spacing w:val="-5"/>
      <w:sz w:val="22"/>
      <w:szCs w:val="24"/>
      <w:lang w:val="en-GB" w:eastAsia="zh-CN" w:bidi="ar-SA"/>
    </w:rPr>
  </w:style>
  <w:style w:type="character" w:customStyle="1" w:styleId="IAStageChar">
    <w:name w:val="IAStage Char"/>
    <w:link w:val="IAStage"/>
    <w:locked/>
    <w:rsid w:val="00A43C03"/>
    <w:rPr>
      <w:rFonts w:ascii="Arial" w:eastAsia="SimSun" w:hAnsi="Arial"/>
      <w:b/>
      <w:color w:val="000000"/>
      <w:spacing w:val="-5"/>
      <w:sz w:val="22"/>
      <w:lang w:val="en-GB" w:eastAsia="zh-CN" w:bidi="ar-SA"/>
    </w:rPr>
  </w:style>
  <w:style w:type="character" w:customStyle="1" w:styleId="IASOIChar">
    <w:name w:val="IASOI Char"/>
    <w:link w:val="IASOI"/>
    <w:locked/>
    <w:rsid w:val="00A43C03"/>
    <w:rPr>
      <w:rFonts w:ascii="Arial" w:eastAsia="SimSun" w:hAnsi="Arial"/>
      <w:b/>
      <w:color w:val="000000"/>
      <w:spacing w:val="-5"/>
      <w:sz w:val="22"/>
      <w:lang w:val="en-GB" w:eastAsia="zh-CN" w:bidi="ar-SA"/>
    </w:rPr>
  </w:style>
  <w:style w:type="character" w:customStyle="1" w:styleId="IATOMChar">
    <w:name w:val="IATOM Char"/>
    <w:link w:val="IATOM"/>
    <w:locked/>
    <w:rsid w:val="00A43C03"/>
    <w:rPr>
      <w:rFonts w:ascii="Arial" w:eastAsia="SimSun" w:hAnsi="Arial"/>
      <w:b/>
      <w:color w:val="000000"/>
      <w:spacing w:val="-5"/>
      <w:sz w:val="22"/>
      <w:lang w:val="en-GB" w:eastAsia="zh-CN" w:bidi="ar-SA"/>
    </w:rPr>
  </w:style>
  <w:style w:type="character" w:customStyle="1" w:styleId="IARPCChar">
    <w:name w:val="IARPC Char"/>
    <w:link w:val="IARPC"/>
    <w:locked/>
    <w:rsid w:val="00A43C03"/>
    <w:rPr>
      <w:rFonts w:ascii="Arial" w:eastAsia="SimSun" w:hAnsi="Arial" w:cs="Arial"/>
      <w:bCs/>
      <w:color w:val="000000"/>
      <w:kern w:val="28"/>
      <w:sz w:val="24"/>
      <w:szCs w:val="24"/>
      <w:lang w:val="en-GB" w:eastAsia="en-US" w:bidi="ar-SA"/>
    </w:rPr>
  </w:style>
  <w:style w:type="character" w:customStyle="1" w:styleId="IAIOCheckMicroChar">
    <w:name w:val="IAIOCheckMicro Char"/>
    <w:basedOn w:val="IATableLinesChar"/>
    <w:link w:val="IAIOCheckMicro"/>
    <w:locked/>
    <w:rsid w:val="00A43C03"/>
    <w:rPr>
      <w:rFonts w:ascii="Arial" w:eastAsia="SimSun" w:hAnsi="Arial"/>
      <w:b/>
      <w:color w:val="000000"/>
      <w:spacing w:val="-5"/>
      <w:sz w:val="22"/>
      <w:lang w:val="en-GB" w:eastAsia="zh-CN" w:bidi="ar-SA"/>
    </w:rPr>
  </w:style>
  <w:style w:type="character" w:customStyle="1" w:styleId="IAIOCheckSmallChar">
    <w:name w:val="IAIOCheckSmall Char"/>
    <w:basedOn w:val="IATableLinesChar"/>
    <w:link w:val="IAIOCheckSmall"/>
    <w:locked/>
    <w:rsid w:val="00A43C03"/>
    <w:rPr>
      <w:rFonts w:ascii="Arial" w:eastAsia="SimSun" w:hAnsi="Arial"/>
      <w:b/>
      <w:color w:val="000000"/>
      <w:spacing w:val="-5"/>
      <w:sz w:val="22"/>
      <w:lang w:val="en-GB" w:eastAsia="zh-CN" w:bidi="ar-SA"/>
    </w:rPr>
  </w:style>
  <w:style w:type="character" w:customStyle="1" w:styleId="IAIOCheckMediumChar">
    <w:name w:val="IAIOCheckMedium Char"/>
    <w:basedOn w:val="IATableLinesChar"/>
    <w:link w:val="IAIOCheckMedium"/>
    <w:locked/>
    <w:rsid w:val="00A43C03"/>
    <w:rPr>
      <w:rFonts w:ascii="Arial" w:eastAsia="SimSun" w:hAnsi="Arial"/>
      <w:b/>
      <w:color w:val="000000"/>
      <w:spacing w:val="-5"/>
      <w:sz w:val="22"/>
      <w:lang w:val="en-GB" w:eastAsia="zh-CN" w:bidi="ar-SA"/>
    </w:rPr>
  </w:style>
  <w:style w:type="character" w:customStyle="1" w:styleId="IAIOCheckLargeChar">
    <w:name w:val="IAIOCheckLarge Char"/>
    <w:basedOn w:val="IATableLinesChar"/>
    <w:link w:val="IAIOCheckLarge"/>
    <w:locked/>
    <w:rsid w:val="00A43C03"/>
    <w:rPr>
      <w:rFonts w:ascii="Arial" w:eastAsia="SimSun" w:hAnsi="Arial"/>
      <w:b/>
      <w:color w:val="000000"/>
      <w:spacing w:val="-5"/>
      <w:sz w:val="22"/>
      <w:lang w:val="en-GB" w:eastAsia="zh-CN" w:bidi="ar-SA"/>
    </w:rPr>
  </w:style>
  <w:style w:type="character" w:customStyle="1" w:styleId="IAIOCO2TradedChar">
    <w:name w:val="IAIOCO2Traded Char"/>
    <w:link w:val="IAIOCO2Traded"/>
    <w:locked/>
    <w:rsid w:val="00A43C03"/>
    <w:rPr>
      <w:rFonts w:ascii="Arial" w:eastAsia="SimSun" w:hAnsi="Arial"/>
      <w:b/>
      <w:color w:val="000000"/>
      <w:spacing w:val="-5"/>
      <w:sz w:val="22"/>
      <w:lang w:val="en-GB" w:eastAsia="zh-CN" w:bidi="ar-SA"/>
    </w:rPr>
  </w:style>
  <w:style w:type="character" w:customStyle="1" w:styleId="IALabel">
    <w:name w:val="IALabel"/>
    <w:rsid w:val="00A43C03"/>
    <w:rPr>
      <w:rFonts w:cs="Times New Roman"/>
      <w:color w:val="000000"/>
      <w:sz w:val="20"/>
    </w:rPr>
  </w:style>
  <w:style w:type="paragraph" w:styleId="ListParagraph">
    <w:name w:val="List Paragraph"/>
    <w:basedOn w:val="Normal"/>
    <w:qFormat/>
    <w:rsid w:val="00A43C03"/>
    <w:pPr>
      <w:spacing w:after="0"/>
      <w:ind w:left="720"/>
      <w:contextualSpacing/>
    </w:pPr>
  </w:style>
  <w:style w:type="paragraph" w:styleId="NormalWeb">
    <w:name w:val="Normal (Web)"/>
    <w:basedOn w:val="Normal"/>
    <w:rsid w:val="00A43C03"/>
    <w:pPr>
      <w:spacing w:before="100" w:beforeAutospacing="1" w:after="100" w:afterAutospacing="1"/>
      <w:ind w:left="0"/>
    </w:pPr>
    <w:rPr>
      <w:rFonts w:ascii="Verdana" w:hAnsi="Verdana" w:cs="Arial"/>
      <w:lang w:eastAsia="en-GB"/>
    </w:rPr>
  </w:style>
  <w:style w:type="character" w:customStyle="1" w:styleId="CommentTextChar">
    <w:name w:val="Comment Text Char"/>
    <w:link w:val="CommentText"/>
    <w:locked/>
    <w:rsid w:val="00A43C03"/>
    <w:rPr>
      <w:rFonts w:ascii="Arial" w:hAnsi="Arial"/>
      <w:lang w:val="en-GB" w:eastAsia="en-US" w:bidi="ar-SA"/>
    </w:rPr>
  </w:style>
  <w:style w:type="character" w:customStyle="1" w:styleId="CommentSubjectChar">
    <w:name w:val="Comment Subject Char"/>
    <w:link w:val="CommentSubject"/>
    <w:locked/>
    <w:rsid w:val="00A43C03"/>
    <w:rPr>
      <w:rFonts w:ascii="Arial" w:hAnsi="Arial"/>
      <w:b/>
      <w:bCs/>
      <w:lang w:val="en-GB" w:eastAsia="en-US" w:bidi="ar-SA"/>
    </w:rPr>
  </w:style>
  <w:style w:type="character" w:styleId="Emphasis">
    <w:name w:val="Emphasis"/>
    <w:qFormat/>
    <w:rsid w:val="00A43C03"/>
    <w:rPr>
      <w:i/>
      <w:iCs/>
    </w:rPr>
  </w:style>
  <w:style w:type="paragraph" w:styleId="TOCHeading">
    <w:name w:val="TOC Heading"/>
    <w:basedOn w:val="Heading1"/>
    <w:next w:val="Normal"/>
    <w:uiPriority w:val="39"/>
    <w:semiHidden/>
    <w:unhideWhenUsed/>
    <w:qFormat/>
    <w:rsid w:val="00174521"/>
    <w:pPr>
      <w:keepLines/>
      <w:spacing w:before="480" w:after="0" w:line="276" w:lineRule="auto"/>
      <w:ind w:left="0"/>
      <w:outlineLvl w:val="9"/>
    </w:pPr>
    <w:rPr>
      <w:rFonts w:asciiTheme="majorHAnsi" w:eastAsiaTheme="majorEastAsia" w:hAnsiTheme="majorHAnsi" w:cstheme="majorBidi"/>
      <w:color w:val="365F91" w:themeColor="accent1" w:themeShade="BF"/>
      <w:kern w:val="0"/>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96385">
      <w:bodyDiv w:val="1"/>
      <w:marLeft w:val="0"/>
      <w:marRight w:val="0"/>
      <w:marTop w:val="0"/>
      <w:marBottom w:val="0"/>
      <w:divBdr>
        <w:top w:val="none" w:sz="0" w:space="0" w:color="auto"/>
        <w:left w:val="none" w:sz="0" w:space="0" w:color="auto"/>
        <w:bottom w:val="none" w:sz="0" w:space="0" w:color="auto"/>
        <w:right w:val="none" w:sz="0" w:space="0" w:color="auto"/>
      </w:divBdr>
    </w:div>
    <w:div w:id="248199209">
      <w:bodyDiv w:val="1"/>
      <w:marLeft w:val="0"/>
      <w:marRight w:val="0"/>
      <w:marTop w:val="0"/>
      <w:marBottom w:val="0"/>
      <w:divBdr>
        <w:top w:val="none" w:sz="0" w:space="0" w:color="auto"/>
        <w:left w:val="none" w:sz="0" w:space="0" w:color="auto"/>
        <w:bottom w:val="none" w:sz="0" w:space="0" w:color="auto"/>
        <w:right w:val="none" w:sz="0" w:space="0" w:color="auto"/>
      </w:divBdr>
      <w:divsChild>
        <w:div w:id="271673001">
          <w:marLeft w:val="0"/>
          <w:marRight w:val="0"/>
          <w:marTop w:val="0"/>
          <w:marBottom w:val="0"/>
          <w:divBdr>
            <w:top w:val="none" w:sz="0" w:space="0" w:color="auto"/>
            <w:left w:val="none" w:sz="0" w:space="0" w:color="auto"/>
            <w:bottom w:val="none" w:sz="0" w:space="0" w:color="auto"/>
            <w:right w:val="none" w:sz="0" w:space="0" w:color="auto"/>
          </w:divBdr>
          <w:divsChild>
            <w:div w:id="973099965">
              <w:marLeft w:val="0"/>
              <w:marRight w:val="0"/>
              <w:marTop w:val="0"/>
              <w:marBottom w:val="0"/>
              <w:divBdr>
                <w:top w:val="single" w:sz="2" w:space="0" w:color="FFFFFF"/>
                <w:left w:val="single" w:sz="6" w:space="0" w:color="FFFFFF"/>
                <w:bottom w:val="single" w:sz="6" w:space="0" w:color="FFFFFF"/>
                <w:right w:val="single" w:sz="6" w:space="0" w:color="FFFFFF"/>
              </w:divBdr>
              <w:divsChild>
                <w:div w:id="1814449753">
                  <w:marLeft w:val="0"/>
                  <w:marRight w:val="0"/>
                  <w:marTop w:val="0"/>
                  <w:marBottom w:val="0"/>
                  <w:divBdr>
                    <w:top w:val="single" w:sz="6" w:space="1" w:color="D3D3D3"/>
                    <w:left w:val="none" w:sz="0" w:space="0" w:color="auto"/>
                    <w:bottom w:val="none" w:sz="0" w:space="0" w:color="auto"/>
                    <w:right w:val="none" w:sz="0" w:space="0" w:color="auto"/>
                  </w:divBdr>
                  <w:divsChild>
                    <w:div w:id="968709395">
                      <w:marLeft w:val="0"/>
                      <w:marRight w:val="0"/>
                      <w:marTop w:val="0"/>
                      <w:marBottom w:val="0"/>
                      <w:divBdr>
                        <w:top w:val="none" w:sz="0" w:space="0" w:color="auto"/>
                        <w:left w:val="none" w:sz="0" w:space="0" w:color="auto"/>
                        <w:bottom w:val="none" w:sz="0" w:space="0" w:color="auto"/>
                        <w:right w:val="none" w:sz="0" w:space="0" w:color="auto"/>
                      </w:divBdr>
                      <w:divsChild>
                        <w:div w:id="207804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454279">
      <w:bodyDiv w:val="1"/>
      <w:marLeft w:val="0"/>
      <w:marRight w:val="0"/>
      <w:marTop w:val="0"/>
      <w:marBottom w:val="0"/>
      <w:divBdr>
        <w:top w:val="none" w:sz="0" w:space="0" w:color="auto"/>
        <w:left w:val="none" w:sz="0" w:space="0" w:color="auto"/>
        <w:bottom w:val="none" w:sz="0" w:space="0" w:color="auto"/>
        <w:right w:val="none" w:sz="0" w:space="0" w:color="auto"/>
      </w:divBdr>
    </w:div>
    <w:div w:id="456341188">
      <w:bodyDiv w:val="1"/>
      <w:marLeft w:val="0"/>
      <w:marRight w:val="0"/>
      <w:marTop w:val="0"/>
      <w:marBottom w:val="0"/>
      <w:divBdr>
        <w:top w:val="none" w:sz="0" w:space="0" w:color="auto"/>
        <w:left w:val="none" w:sz="0" w:space="0" w:color="auto"/>
        <w:bottom w:val="none" w:sz="0" w:space="0" w:color="auto"/>
        <w:right w:val="none" w:sz="0" w:space="0" w:color="auto"/>
      </w:divBdr>
    </w:div>
    <w:div w:id="630208229">
      <w:bodyDiv w:val="1"/>
      <w:marLeft w:val="0"/>
      <w:marRight w:val="0"/>
      <w:marTop w:val="0"/>
      <w:marBottom w:val="0"/>
      <w:divBdr>
        <w:top w:val="none" w:sz="0" w:space="0" w:color="auto"/>
        <w:left w:val="none" w:sz="0" w:space="0" w:color="auto"/>
        <w:bottom w:val="none" w:sz="0" w:space="0" w:color="auto"/>
        <w:right w:val="none" w:sz="0" w:space="0" w:color="auto"/>
      </w:divBdr>
    </w:div>
    <w:div w:id="1039939277">
      <w:bodyDiv w:val="1"/>
      <w:marLeft w:val="0"/>
      <w:marRight w:val="0"/>
      <w:marTop w:val="0"/>
      <w:marBottom w:val="0"/>
      <w:divBdr>
        <w:top w:val="none" w:sz="0" w:space="0" w:color="auto"/>
        <w:left w:val="none" w:sz="0" w:space="0" w:color="auto"/>
        <w:bottom w:val="none" w:sz="0" w:space="0" w:color="auto"/>
        <w:right w:val="none" w:sz="0" w:space="0" w:color="auto"/>
      </w:divBdr>
    </w:div>
    <w:div w:id="1083836534">
      <w:bodyDiv w:val="1"/>
      <w:marLeft w:val="0"/>
      <w:marRight w:val="0"/>
      <w:marTop w:val="0"/>
      <w:marBottom w:val="0"/>
      <w:divBdr>
        <w:top w:val="none" w:sz="0" w:space="0" w:color="auto"/>
        <w:left w:val="none" w:sz="0" w:space="0" w:color="auto"/>
        <w:bottom w:val="none" w:sz="0" w:space="0" w:color="auto"/>
        <w:right w:val="none" w:sz="0" w:space="0" w:color="auto"/>
      </w:divBdr>
    </w:div>
    <w:div w:id="1430467707">
      <w:bodyDiv w:val="1"/>
      <w:marLeft w:val="0"/>
      <w:marRight w:val="0"/>
      <w:marTop w:val="0"/>
      <w:marBottom w:val="0"/>
      <w:divBdr>
        <w:top w:val="none" w:sz="0" w:space="0" w:color="auto"/>
        <w:left w:val="none" w:sz="0" w:space="0" w:color="auto"/>
        <w:bottom w:val="none" w:sz="0" w:space="0" w:color="auto"/>
        <w:right w:val="none" w:sz="0" w:space="0" w:color="auto"/>
      </w:divBdr>
    </w:div>
    <w:div w:id="1457336165">
      <w:bodyDiv w:val="1"/>
      <w:marLeft w:val="0"/>
      <w:marRight w:val="0"/>
      <w:marTop w:val="0"/>
      <w:marBottom w:val="0"/>
      <w:divBdr>
        <w:top w:val="none" w:sz="0" w:space="0" w:color="auto"/>
        <w:left w:val="none" w:sz="0" w:space="0" w:color="auto"/>
        <w:bottom w:val="none" w:sz="0" w:space="0" w:color="auto"/>
        <w:right w:val="none" w:sz="0" w:space="0" w:color="auto"/>
      </w:divBdr>
    </w:div>
    <w:div w:id="2030065145">
      <w:bodyDiv w:val="1"/>
      <w:marLeft w:val="0"/>
      <w:marRight w:val="0"/>
      <w:marTop w:val="0"/>
      <w:marBottom w:val="0"/>
      <w:divBdr>
        <w:top w:val="none" w:sz="0" w:space="0" w:color="auto"/>
        <w:left w:val="none" w:sz="0" w:space="0" w:color="auto"/>
        <w:bottom w:val="none" w:sz="0" w:space="0" w:color="auto"/>
        <w:right w:val="none" w:sz="0" w:space="0" w:color="auto"/>
      </w:divBdr>
      <w:divsChild>
        <w:div w:id="1468280014">
          <w:marLeft w:val="0"/>
          <w:marRight w:val="0"/>
          <w:marTop w:val="0"/>
          <w:marBottom w:val="0"/>
          <w:divBdr>
            <w:top w:val="none" w:sz="0" w:space="0" w:color="auto"/>
            <w:left w:val="none" w:sz="0" w:space="0" w:color="auto"/>
            <w:bottom w:val="none" w:sz="0" w:space="0" w:color="auto"/>
            <w:right w:val="none" w:sz="0" w:space="0" w:color="auto"/>
          </w:divBdr>
          <w:divsChild>
            <w:div w:id="1088305138">
              <w:marLeft w:val="0"/>
              <w:marRight w:val="0"/>
              <w:marTop w:val="0"/>
              <w:marBottom w:val="0"/>
              <w:divBdr>
                <w:top w:val="single" w:sz="2" w:space="0" w:color="FFFFFF"/>
                <w:left w:val="single" w:sz="6" w:space="0" w:color="FFFFFF"/>
                <w:bottom w:val="single" w:sz="6" w:space="0" w:color="FFFFFF"/>
                <w:right w:val="single" w:sz="6" w:space="0" w:color="FFFFFF"/>
              </w:divBdr>
              <w:divsChild>
                <w:div w:id="1313558098">
                  <w:marLeft w:val="0"/>
                  <w:marRight w:val="0"/>
                  <w:marTop w:val="0"/>
                  <w:marBottom w:val="0"/>
                  <w:divBdr>
                    <w:top w:val="single" w:sz="6" w:space="1" w:color="D3D3D3"/>
                    <w:left w:val="none" w:sz="0" w:space="0" w:color="auto"/>
                    <w:bottom w:val="none" w:sz="0" w:space="0" w:color="auto"/>
                    <w:right w:val="none" w:sz="0" w:space="0" w:color="auto"/>
                  </w:divBdr>
                  <w:divsChild>
                    <w:div w:id="521825686">
                      <w:marLeft w:val="0"/>
                      <w:marRight w:val="0"/>
                      <w:marTop w:val="0"/>
                      <w:marBottom w:val="0"/>
                      <w:divBdr>
                        <w:top w:val="none" w:sz="0" w:space="0" w:color="auto"/>
                        <w:left w:val="none" w:sz="0" w:space="0" w:color="auto"/>
                        <w:bottom w:val="none" w:sz="0" w:space="0" w:color="auto"/>
                        <w:right w:val="none" w:sz="0" w:space="0" w:color="auto"/>
                      </w:divBdr>
                      <w:divsChild>
                        <w:div w:id="12860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1.xml"/><Relationship Id="rId39" Type="http://schemas.openxmlformats.org/officeDocument/2006/relationships/hyperlink" Target="http://archive.defra.gov.uk/environment/quality/chemicals/achs/documents/achs-decaBDE-opinion-100923.pdf" TargetMode="External"/><Relationship Id="rId21" Type="http://schemas.openxmlformats.org/officeDocument/2006/relationships/hyperlink" Target="mailto:terry.edge@bis.gsi.gov.uk" TargetMode="External"/><Relationship Id="rId34" Type="http://schemas.openxmlformats.org/officeDocument/2006/relationships/image" Target="media/image3.emf"/><Relationship Id="rId42" Type="http://schemas.openxmlformats.org/officeDocument/2006/relationships/oleObject" Target="embeddings/Microsoft_Excel_97-2003_Worksheet1.xls"/><Relationship Id="rId47" Type="http://schemas.openxmlformats.org/officeDocument/2006/relationships/header" Target="header12.xml"/><Relationship Id="rId50" Type="http://schemas.openxmlformats.org/officeDocument/2006/relationships/hyperlink" Target="mailto:psi@nationalarchives.gsi.gov.uk"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2.jpeg"/><Relationship Id="rId25" Type="http://schemas.openxmlformats.org/officeDocument/2006/relationships/header" Target="header10.xml"/><Relationship Id="rId33" Type="http://schemas.openxmlformats.org/officeDocument/2006/relationships/hyperlink" Target="http://www.efsa.europa.eu/en/efsajournal/pub/2908.htm" TargetMode="External"/><Relationship Id="rId38" Type="http://schemas.openxmlformats.org/officeDocument/2006/relationships/hyperlink" Target="http://www.ncbi.nlm.nih.gov/pmc/articles/PMC2799472/" TargetMode="External"/><Relationship Id="rId46" Type="http://schemas.openxmlformats.org/officeDocument/2006/relationships/hyperlink" Target="mailto:angela.rabess@bis.gsi.gov.uk"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www.gov.uk/government/consultations/furniture-fire-safety-regulations-proposed-amendments" TargetMode="External"/><Relationship Id="rId29" Type="http://schemas.openxmlformats.org/officeDocument/2006/relationships/hyperlink" Target="http://www.efsa.europa.eu/en/efsajournal/pub/2156.htm" TargetMode="External"/><Relationship Id="rId41" Type="http://schemas.openxmlformats.org/officeDocument/2006/relationships/image" Target="media/image4.emf"/><Relationship Id="rId54"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gov.uk/government/consultations/furniture-fire-safety-regulations-proposed-amendments" TargetMode="External"/><Relationship Id="rId32" Type="http://schemas.openxmlformats.org/officeDocument/2006/relationships/hyperlink" Target="http://www.efsa.europa.eu/en/efsajournal/pub/2634.htm" TargetMode="External"/><Relationship Id="rId37" Type="http://schemas.openxmlformats.org/officeDocument/2006/relationships/hyperlink" Target="http://www.ncbi.nlm.nih.gov/pmc/articles/PMC2866690/" TargetMode="External"/><Relationship Id="rId40" Type="http://schemas.openxmlformats.org/officeDocument/2006/relationships/hyperlink" Target="http://chm.pops.int/TheConvention/POPsReviewCommittee/Meetings/POPRC9/POPRC9Followup/decaBDESubmission/tabid/3570/Default.aspx" TargetMode="External"/><Relationship Id="rId45" Type="http://schemas.openxmlformats.org/officeDocument/2006/relationships/hyperlink" Target="http://www.cabinetoffice.gov.uk/sites/default/files/resources/Consultation-Principles.pdf" TargetMode="External"/><Relationship Id="rId53" Type="http://schemas.openxmlformats.org/officeDocument/2006/relationships/header" Target="header13.xml"/><Relationship Id="rId5" Type="http://schemas.openxmlformats.org/officeDocument/2006/relationships/settings" Target="settings.xml"/><Relationship Id="rId15" Type="http://schemas.openxmlformats.org/officeDocument/2006/relationships/hyperlink" Target="mailto:terry.edge@bis.gsi.gov.uk" TargetMode="External"/><Relationship Id="rId23" Type="http://schemas.openxmlformats.org/officeDocument/2006/relationships/header" Target="header9.xml"/><Relationship Id="rId28" Type="http://schemas.openxmlformats.org/officeDocument/2006/relationships/hyperlink" Target="http://www.efsa.europa.eu/de/efsajournal/pub/1789.htm" TargetMode="External"/><Relationship Id="rId36" Type="http://schemas.openxmlformats.org/officeDocument/2006/relationships/hyperlink" Target="http://www.ncbi.nlm.nih.gov/pmc/articles/PMC3569691/" TargetMode="External"/><Relationship Id="rId49" Type="http://schemas.openxmlformats.org/officeDocument/2006/relationships/hyperlink" Target="http://www.nationalarchives.gov.uk/doc/open-government-licence/" TargetMode="Externa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hyperlink" Target="http://www.efsa.europa.eu/en/efsajournal/pub/2477.htm" TargetMode="External"/><Relationship Id="rId44" Type="http://schemas.openxmlformats.org/officeDocument/2006/relationships/package" Target="embeddings/Microsoft_Excel_Worksheet1.xlsx"/><Relationship Id="rId52" Type="http://schemas.openxmlformats.org/officeDocument/2006/relationships/hyperlink" Target="mailto:enquiries@bis.gsi.gov.uk"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yperlink" Target="mailto:terry.edge@bis.gsi.gov.uk" TargetMode="External"/><Relationship Id="rId30" Type="http://schemas.openxmlformats.org/officeDocument/2006/relationships/hyperlink" Target="http://www.efsa.europa.eu/fr/efsajournal/pub/2296.htm" TargetMode="External"/><Relationship Id="rId35" Type="http://schemas.openxmlformats.org/officeDocument/2006/relationships/oleObject" Target="embeddings/oleObject1.bin"/><Relationship Id="rId43" Type="http://schemas.openxmlformats.org/officeDocument/2006/relationships/image" Target="media/image5.emf"/><Relationship Id="rId48" Type="http://schemas.openxmlformats.org/officeDocument/2006/relationships/footer" Target="footer3.xm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www.gov.uk/government/organisations/department-for-business-innovation-skills"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BIS%20repo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37F65-110E-4143-A8BD-38F4A9D93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BIS report template</Template>
  <TotalTime>13</TotalTime>
  <Pages>62</Pages>
  <Words>16614</Words>
  <Characters>92784</Characters>
  <Application>Microsoft Office Word</Application>
  <DocSecurity>8</DocSecurity>
  <Lines>773</Lines>
  <Paragraphs>218</Paragraphs>
  <ScaleCrop>false</ScaleCrop>
  <HeadingPairs>
    <vt:vector size="2" baseType="variant">
      <vt:variant>
        <vt:lpstr>Title</vt:lpstr>
      </vt:variant>
      <vt:variant>
        <vt:i4>1</vt:i4>
      </vt:variant>
    </vt:vector>
  </HeadingPairs>
  <TitlesOfParts>
    <vt:vector size="1" baseType="lpstr">
      <vt:lpstr>Consultation on changes to the Furniture Regulations</vt:lpstr>
    </vt:vector>
  </TitlesOfParts>
  <Company>BIS</Company>
  <LinksUpToDate>false</LinksUpToDate>
  <CharactersWithSpaces>109180</CharactersWithSpaces>
  <SharedDoc>false</SharedDoc>
  <HLinks>
    <vt:vector size="96" baseType="variant">
      <vt:variant>
        <vt:i4>8257629</vt:i4>
      </vt:variant>
      <vt:variant>
        <vt:i4>101</vt:i4>
      </vt:variant>
      <vt:variant>
        <vt:i4>0</vt:i4>
      </vt:variant>
      <vt:variant>
        <vt:i4>5</vt:i4>
      </vt:variant>
      <vt:variant>
        <vt:lpwstr>mailto:enquiries@bis.gsi.gov.uk</vt:lpwstr>
      </vt:variant>
      <vt:variant>
        <vt:lpwstr/>
      </vt:variant>
      <vt:variant>
        <vt:i4>5963843</vt:i4>
      </vt:variant>
      <vt:variant>
        <vt:i4>98</vt:i4>
      </vt:variant>
      <vt:variant>
        <vt:i4>0</vt:i4>
      </vt:variant>
      <vt:variant>
        <vt:i4>5</vt:i4>
      </vt:variant>
      <vt:variant>
        <vt:lpwstr>https://www.gov.uk/government/organisations/department-for-business-innovation-skills</vt:lpwstr>
      </vt:variant>
      <vt:variant>
        <vt:lpwstr/>
      </vt:variant>
      <vt:variant>
        <vt:i4>3670022</vt:i4>
      </vt:variant>
      <vt:variant>
        <vt:i4>95</vt:i4>
      </vt:variant>
      <vt:variant>
        <vt:i4>0</vt:i4>
      </vt:variant>
      <vt:variant>
        <vt:i4>5</vt:i4>
      </vt:variant>
      <vt:variant>
        <vt:lpwstr>mailto:psi@nationalarchives.gsi.gov.uk</vt:lpwstr>
      </vt:variant>
      <vt:variant>
        <vt:lpwstr/>
      </vt:variant>
      <vt:variant>
        <vt:i4>6553714</vt:i4>
      </vt:variant>
      <vt:variant>
        <vt:i4>92</vt:i4>
      </vt:variant>
      <vt:variant>
        <vt:i4>0</vt:i4>
      </vt:variant>
      <vt:variant>
        <vt:i4>5</vt:i4>
      </vt:variant>
      <vt:variant>
        <vt:lpwstr>http://www.nationalarchives.gov.uk/doc/open-government-licence/</vt:lpwstr>
      </vt:variant>
      <vt:variant>
        <vt:lpwstr/>
      </vt:variant>
      <vt:variant>
        <vt:i4>2752600</vt:i4>
      </vt:variant>
      <vt:variant>
        <vt:i4>42</vt:i4>
      </vt:variant>
      <vt:variant>
        <vt:i4>0</vt:i4>
      </vt:variant>
      <vt:variant>
        <vt:i4>5</vt:i4>
      </vt:variant>
      <vt:variant>
        <vt:lpwstr>mailto:angela.rabess@bis.gsi.gov.uk</vt:lpwstr>
      </vt:variant>
      <vt:variant>
        <vt:lpwstr/>
      </vt:variant>
      <vt:variant>
        <vt:i4>5701657</vt:i4>
      </vt:variant>
      <vt:variant>
        <vt:i4>39</vt:i4>
      </vt:variant>
      <vt:variant>
        <vt:i4>0</vt:i4>
      </vt:variant>
      <vt:variant>
        <vt:i4>5</vt:i4>
      </vt:variant>
      <vt:variant>
        <vt:lpwstr>http://www.cabinetoffice.gov.uk/sites/default/files/resources/Consultation-Principles.pdf</vt:lpwstr>
      </vt:variant>
      <vt:variant>
        <vt:lpwstr/>
      </vt:variant>
      <vt:variant>
        <vt:i4>3997810</vt:i4>
      </vt:variant>
      <vt:variant>
        <vt:i4>30</vt:i4>
      </vt:variant>
      <vt:variant>
        <vt:i4>0</vt:i4>
      </vt:variant>
      <vt:variant>
        <vt:i4>5</vt:i4>
      </vt:variant>
      <vt:variant>
        <vt:lpwstr>http://chm.pops.int/TheConvention/POPsReviewCommittee/Meetings/POPRC9/POPRC9Followup/decaBDESubmission/tabid/3570/Default.aspx</vt:lpwstr>
      </vt:variant>
      <vt:variant>
        <vt:lpwstr/>
      </vt:variant>
      <vt:variant>
        <vt:i4>852038</vt:i4>
      </vt:variant>
      <vt:variant>
        <vt:i4>24</vt:i4>
      </vt:variant>
      <vt:variant>
        <vt:i4>0</vt:i4>
      </vt:variant>
      <vt:variant>
        <vt:i4>5</vt:i4>
      </vt:variant>
      <vt:variant>
        <vt:lpwstr>http://www.efsa.europa.eu/en/efsajournal/pub/2908.htm</vt:lpwstr>
      </vt:variant>
      <vt:variant>
        <vt:lpwstr/>
      </vt:variant>
      <vt:variant>
        <vt:i4>917573</vt:i4>
      </vt:variant>
      <vt:variant>
        <vt:i4>21</vt:i4>
      </vt:variant>
      <vt:variant>
        <vt:i4>0</vt:i4>
      </vt:variant>
      <vt:variant>
        <vt:i4>5</vt:i4>
      </vt:variant>
      <vt:variant>
        <vt:lpwstr>http://www.efsa.europa.eu/en/efsajournal/pub/2634.htm</vt:lpwstr>
      </vt:variant>
      <vt:variant>
        <vt:lpwstr/>
      </vt:variant>
      <vt:variant>
        <vt:i4>655428</vt:i4>
      </vt:variant>
      <vt:variant>
        <vt:i4>18</vt:i4>
      </vt:variant>
      <vt:variant>
        <vt:i4>0</vt:i4>
      </vt:variant>
      <vt:variant>
        <vt:i4>5</vt:i4>
      </vt:variant>
      <vt:variant>
        <vt:lpwstr>http://www.efsa.europa.eu/en/efsajournal/pub/2477.htm</vt:lpwstr>
      </vt:variant>
      <vt:variant>
        <vt:lpwstr/>
      </vt:variant>
      <vt:variant>
        <vt:i4>1572928</vt:i4>
      </vt:variant>
      <vt:variant>
        <vt:i4>15</vt:i4>
      </vt:variant>
      <vt:variant>
        <vt:i4>0</vt:i4>
      </vt:variant>
      <vt:variant>
        <vt:i4>5</vt:i4>
      </vt:variant>
      <vt:variant>
        <vt:lpwstr>http://www.efsa.europa.eu/fr/efsajournal/pub/2296.htm</vt:lpwstr>
      </vt:variant>
      <vt:variant>
        <vt:lpwstr/>
      </vt:variant>
      <vt:variant>
        <vt:i4>524352</vt:i4>
      </vt:variant>
      <vt:variant>
        <vt:i4>12</vt:i4>
      </vt:variant>
      <vt:variant>
        <vt:i4>0</vt:i4>
      </vt:variant>
      <vt:variant>
        <vt:i4>5</vt:i4>
      </vt:variant>
      <vt:variant>
        <vt:lpwstr>http://www.efsa.europa.eu/en/efsajournal/pub/2156.htm</vt:lpwstr>
      </vt:variant>
      <vt:variant>
        <vt:lpwstr/>
      </vt:variant>
      <vt:variant>
        <vt:i4>852040</vt:i4>
      </vt:variant>
      <vt:variant>
        <vt:i4>9</vt:i4>
      </vt:variant>
      <vt:variant>
        <vt:i4>0</vt:i4>
      </vt:variant>
      <vt:variant>
        <vt:i4>5</vt:i4>
      </vt:variant>
      <vt:variant>
        <vt:lpwstr>http://www.efsa.europa.eu/de/efsajournal/pub/1789.htm</vt:lpwstr>
      </vt:variant>
      <vt:variant>
        <vt:lpwstr/>
      </vt:variant>
      <vt:variant>
        <vt:i4>6488096</vt:i4>
      </vt:variant>
      <vt:variant>
        <vt:i4>6</vt:i4>
      </vt:variant>
      <vt:variant>
        <vt:i4>0</vt:i4>
      </vt:variant>
      <vt:variant>
        <vt:i4>5</vt:i4>
      </vt:variant>
      <vt:variant>
        <vt:lpwstr>http://www.bis.gov.uk/publications</vt:lpwstr>
      </vt:variant>
      <vt:variant>
        <vt:lpwstr/>
      </vt:variant>
      <vt:variant>
        <vt:i4>589893</vt:i4>
      </vt:variant>
      <vt:variant>
        <vt:i4>3</vt:i4>
      </vt:variant>
      <vt:variant>
        <vt:i4>0</vt:i4>
      </vt:variant>
      <vt:variant>
        <vt:i4>5</vt:i4>
      </vt:variant>
      <vt:variant>
        <vt:lpwstr>http://www.bis.gov.uk/XXX</vt:lpwstr>
      </vt:variant>
      <vt:variant>
        <vt:lpwstr/>
      </vt:variant>
      <vt:variant>
        <vt:i4>7274505</vt:i4>
      </vt:variant>
      <vt:variant>
        <vt:i4>0</vt:i4>
      </vt:variant>
      <vt:variant>
        <vt:i4>0</vt:i4>
      </vt:variant>
      <vt:variant>
        <vt:i4>5</vt:i4>
      </vt:variant>
      <vt:variant>
        <vt:lpwstr>mailto:terry.edge@bis.gsi.gov.uk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on changes to the Furniture Regulations</dc:title>
  <dc:creator>Department for Business, Innovation and Skills</dc:creator>
  <cp:keywords>BIS/14/980</cp:keywords>
  <cp:lastModifiedBy>Smith Timothy (Communications)</cp:lastModifiedBy>
  <cp:revision>6</cp:revision>
  <cp:lastPrinted>2014-05-29T08:42:00Z</cp:lastPrinted>
  <dcterms:created xsi:type="dcterms:W3CDTF">2014-08-11T10:13:00Z</dcterms:created>
  <dcterms:modified xsi:type="dcterms:W3CDTF">2014-08-11T11:53:00Z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ies>
</file>