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1" w:rsidRDefault="002E1301" w:rsidP="00C157DD">
      <w:pPr>
        <w:pStyle w:val="DECCNumberedChapterHead"/>
        <w:numPr>
          <w:ilvl w:val="0"/>
          <w:numId w:val="0"/>
        </w:numPr>
        <w:spacing w:before="480" w:after="0"/>
      </w:pPr>
      <w:bookmarkStart w:id="0" w:name="_Toc395100023"/>
      <w:bookmarkStart w:id="1" w:name="_GoBack"/>
      <w:bookmarkEnd w:id="1"/>
      <w:r>
        <w:t xml:space="preserve">Next Steps in CCS Policy Scoping Document </w:t>
      </w:r>
    </w:p>
    <w:p w:rsidR="00C157DD" w:rsidRPr="00064196" w:rsidRDefault="00C157DD" w:rsidP="002E1301">
      <w:pPr>
        <w:pStyle w:val="DECCNumberedChapterHead"/>
        <w:numPr>
          <w:ilvl w:val="0"/>
          <w:numId w:val="0"/>
        </w:numPr>
        <w:spacing w:before="120" w:after="0"/>
      </w:pPr>
      <w:r w:rsidRPr="00064196">
        <w:t>Catalogue of questions</w:t>
      </w:r>
      <w:bookmarkEnd w:id="0"/>
      <w:r>
        <w:t xml:space="preserve"> </w:t>
      </w:r>
    </w:p>
    <w:p w:rsidR="00C157DD" w:rsidRDefault="00936849" w:rsidP="00C157DD">
      <w:r>
        <w:t>[</w:t>
      </w:r>
      <w:r w:rsidR="00C157DD">
        <w:t>Word format</w:t>
      </w:r>
      <w:r>
        <w:t>]</w:t>
      </w:r>
    </w:p>
    <w:p w:rsidR="00936849" w:rsidRDefault="00936849" w:rsidP="00C157DD">
      <w:r>
        <w:t>P</w:t>
      </w:r>
      <w:r w:rsidRPr="00936849">
        <w:t xml:space="preserve">lease </w:t>
      </w:r>
      <w:r>
        <w:t xml:space="preserve">read this document in conjunction with the </w:t>
      </w:r>
      <w:hyperlink r:id="rId6" w:history="1">
        <w:r w:rsidR="00AF3EE2">
          <w:rPr>
            <w:rStyle w:val="Hyperlink"/>
          </w:rPr>
          <w:t>Next Steps in CCS Policy Scoping Document</w:t>
        </w:r>
      </w:hyperlink>
      <w:r>
        <w:t xml:space="preserve"> </w:t>
      </w:r>
      <w:r w:rsidR="00AF3EE2">
        <w:t xml:space="preserve"> A</w:t>
      </w:r>
      <w:r w:rsidRPr="00936849">
        <w:t xml:space="preserve">ny responses </w:t>
      </w:r>
      <w:r w:rsidR="00AF3EE2">
        <w:t xml:space="preserve">should be completed on the form </w:t>
      </w:r>
      <w:r>
        <w:t xml:space="preserve">below </w:t>
      </w:r>
      <w:r w:rsidR="00C157DD">
        <w:t xml:space="preserve">and </w:t>
      </w:r>
      <w:r w:rsidR="00AF3EE2">
        <w:t xml:space="preserve">sent by </w:t>
      </w:r>
      <w:r>
        <w:t xml:space="preserve">email to </w:t>
      </w:r>
      <w:hyperlink r:id="rId7" w:history="1">
        <w:r w:rsidRPr="0034183F">
          <w:rPr>
            <w:rStyle w:val="Hyperlink"/>
          </w:rPr>
          <w:t>occs@decc.gsi.gov.uk</w:t>
        </w:r>
      </w:hyperlink>
      <w:r>
        <w:t xml:space="preserve"> or </w:t>
      </w:r>
      <w:r w:rsidR="00AF3EE2">
        <w:t xml:space="preserve">by </w:t>
      </w:r>
      <w:r>
        <w:t>post to:</w:t>
      </w:r>
    </w:p>
    <w:p w:rsidR="00936849" w:rsidRDefault="00936849" w:rsidP="00936849">
      <w:pPr>
        <w:pStyle w:val="DECCReference"/>
        <w:ind w:left="720"/>
      </w:pPr>
      <w:r>
        <w:t>Office of Carbon Capture and Storage</w:t>
      </w:r>
      <w:r w:rsidR="00F40F4C">
        <w:t xml:space="preserve"> </w:t>
      </w:r>
    </w:p>
    <w:p w:rsidR="00936849" w:rsidRDefault="00936849" w:rsidP="00936849">
      <w:pPr>
        <w:pStyle w:val="DECCReference"/>
        <w:ind w:left="720"/>
      </w:pPr>
      <w:r>
        <w:t>Department of Energy &amp; Climate Change,</w:t>
      </w:r>
    </w:p>
    <w:p w:rsidR="00936849" w:rsidRDefault="00936849" w:rsidP="00936849">
      <w:pPr>
        <w:pStyle w:val="DECCReference"/>
        <w:ind w:left="720"/>
      </w:pPr>
      <w:r>
        <w:t>55 Whitehall,</w:t>
      </w:r>
    </w:p>
    <w:p w:rsidR="00936849" w:rsidRDefault="00936849" w:rsidP="00936849">
      <w:pPr>
        <w:pStyle w:val="DECCReference"/>
        <w:ind w:left="720"/>
      </w:pPr>
      <w:r>
        <w:t>London, SW1A 2EY</w:t>
      </w:r>
    </w:p>
    <w:p w:rsidR="00936849" w:rsidRDefault="00AF3EE2" w:rsidP="00AF3EE2">
      <w:pPr>
        <w:pStyle w:val="DECCReference"/>
      </w:pPr>
      <w:r>
        <w:t>If you have any queries please telephone</w:t>
      </w:r>
      <w:r w:rsidR="00936849">
        <w:t>: 0300 060 4000</w:t>
      </w:r>
    </w:p>
    <w:p w:rsidR="00AF3EE2" w:rsidRDefault="00AF3EE2" w:rsidP="00AF3EE2">
      <w:pPr>
        <w:pStyle w:val="DECCReference"/>
      </w:pPr>
    </w:p>
    <w:p w:rsidR="00936849" w:rsidRDefault="00AF3EE2" w:rsidP="00C157DD">
      <w:pPr>
        <w:rPr>
          <w:b/>
        </w:rPr>
      </w:pPr>
      <w:r w:rsidRPr="00AF3EE2">
        <w:rPr>
          <w:b/>
        </w:rPr>
        <w:t>The</w:t>
      </w:r>
      <w:r>
        <w:t xml:space="preserve"> </w:t>
      </w:r>
      <w:r w:rsidRPr="00AF3EE2">
        <w:rPr>
          <w:b/>
        </w:rPr>
        <w:t>closing date for responses is Thursday 23 October 2014</w:t>
      </w:r>
      <w:r>
        <w:rPr>
          <w:b/>
        </w:rPr>
        <w:t>.</w:t>
      </w:r>
    </w:p>
    <w:tbl>
      <w:tblPr>
        <w:tblStyle w:val="DECC5"/>
        <w:tblW w:w="5000" w:type="pct"/>
        <w:tblLook w:val="01E0" w:firstRow="1" w:lastRow="1" w:firstColumn="1" w:lastColumn="1" w:noHBand="0" w:noVBand="0"/>
      </w:tblPr>
      <w:tblGrid>
        <w:gridCol w:w="963"/>
        <w:gridCol w:w="8279"/>
      </w:tblGrid>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t>Ch</w:t>
            </w:r>
            <w:proofErr w:type="spellEnd"/>
            <w:r>
              <w:rPr>
                <w:rStyle w:val="DECCPBlue"/>
                <w:color w:val="F08015"/>
              </w:rPr>
              <w:t xml:space="preserve"> 4:  Financial Incentives and Electricity Market Reform</w:t>
            </w:r>
          </w:p>
        </w:tc>
      </w:tr>
      <w:tr w:rsidR="00F056FE" w:rsidRPr="002456B0"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2456B0" w:rsidRDefault="00F056FE" w:rsidP="00975DA0">
            <w:pPr>
              <w:spacing w:before="60" w:after="60"/>
              <w:ind w:left="113" w:right="113"/>
            </w:pPr>
            <w:r w:rsidRPr="002456B0">
              <w:t>Q1.</w:t>
            </w:r>
          </w:p>
        </w:tc>
        <w:tc>
          <w:tcPr>
            <w:tcW w:w="4479" w:type="pct"/>
          </w:tcPr>
          <w:p w:rsidR="00F056FE" w:rsidRPr="00175150" w:rsidRDefault="00F056FE" w:rsidP="00975DA0">
            <w:r w:rsidRPr="00175150">
              <w:t>To what extent would developers be prepared to invest in FEED costs ahead of allocation of a CfD, and if they are not able to do so what measures could be adopted so that the developers have sufficient certainty of their costs and a Strike Price to form the basis of an investment decision?</w:t>
            </w:r>
          </w:p>
        </w:tc>
      </w:tr>
      <w:tr w:rsidR="00F056FE" w:rsidRPr="002456B0"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2456B0" w:rsidRDefault="00F056FE" w:rsidP="00975DA0">
            <w:pPr>
              <w:spacing w:before="60" w:after="60"/>
              <w:ind w:left="113" w:right="113"/>
            </w:pPr>
          </w:p>
        </w:tc>
        <w:tc>
          <w:tcPr>
            <w:tcW w:w="4479" w:type="pct"/>
          </w:tcPr>
          <w:p w:rsidR="00F056FE" w:rsidRPr="00175150" w:rsidRDefault="00F056FE" w:rsidP="00975DA0"/>
        </w:tc>
      </w:tr>
      <w:tr w:rsidR="00F056FE" w:rsidRPr="002456B0"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2456B0" w:rsidRDefault="00F056FE" w:rsidP="00975DA0">
            <w:pPr>
              <w:spacing w:before="60" w:after="60"/>
              <w:ind w:left="113" w:right="113"/>
            </w:pPr>
            <w:r w:rsidRPr="002456B0">
              <w:t>Q2.</w:t>
            </w:r>
          </w:p>
        </w:tc>
        <w:tc>
          <w:tcPr>
            <w:tcW w:w="4479" w:type="pct"/>
          </w:tcPr>
          <w:p w:rsidR="00F056FE" w:rsidRPr="00175150" w:rsidRDefault="00F056FE" w:rsidP="00975DA0">
            <w:r w:rsidRPr="00990B66">
              <w:t>How best should the industry-led CCS Commercial Development Group work to support project developers in engaging with finance markets?</w:t>
            </w:r>
          </w:p>
        </w:tc>
      </w:tr>
      <w:tr w:rsidR="00F056FE" w:rsidRPr="002456B0"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2456B0" w:rsidRDefault="00F056FE" w:rsidP="00975DA0">
            <w:pPr>
              <w:spacing w:before="60" w:after="60"/>
              <w:ind w:left="113" w:right="113"/>
            </w:pPr>
          </w:p>
        </w:tc>
        <w:tc>
          <w:tcPr>
            <w:tcW w:w="4479" w:type="pct"/>
          </w:tcPr>
          <w:p w:rsidR="00F056FE" w:rsidRPr="00990B66" w:rsidRDefault="00F056FE" w:rsidP="00975DA0"/>
        </w:tc>
      </w:tr>
      <w:tr w:rsidR="00F056FE" w:rsidRPr="002456B0" w:rsidDel="00F02455"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2456B0" w:rsidDel="00F02455" w:rsidRDefault="00F056FE" w:rsidP="00975DA0">
            <w:pPr>
              <w:spacing w:before="60" w:after="60"/>
              <w:ind w:left="113" w:right="113"/>
            </w:pPr>
            <w:r w:rsidRPr="002456B0">
              <w:t xml:space="preserve">Q3. </w:t>
            </w:r>
          </w:p>
        </w:tc>
        <w:tc>
          <w:tcPr>
            <w:tcW w:w="4479" w:type="pct"/>
          </w:tcPr>
          <w:p w:rsidR="00F056FE" w:rsidRPr="00175150" w:rsidDel="00F02455" w:rsidRDefault="00F056FE" w:rsidP="00975DA0">
            <w:r w:rsidRPr="00B65FCC">
              <w:t>To what extent should Government reflect long-term risks of full chain CCS projects in the design of a CCS CfD? In particular, we will want to explore the extent to which similar risks also arise in other sectors and the changes that may be needed in CfD design to put CCS on an equivalent basis to other low carbon technologies.</w:t>
            </w:r>
          </w:p>
        </w:tc>
      </w:tr>
      <w:tr w:rsidR="00F056FE" w:rsidRPr="002456B0" w:rsidDel="00F02455"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2456B0" w:rsidRDefault="00F056FE" w:rsidP="00975DA0">
            <w:pPr>
              <w:spacing w:before="60" w:after="60"/>
              <w:ind w:left="113" w:right="113"/>
            </w:pPr>
          </w:p>
        </w:tc>
        <w:tc>
          <w:tcPr>
            <w:tcW w:w="4479" w:type="pct"/>
          </w:tcPr>
          <w:p w:rsidR="00F056FE" w:rsidRPr="00B65FCC" w:rsidRDefault="00F056FE" w:rsidP="00975DA0"/>
        </w:tc>
      </w:tr>
      <w:tr w:rsidR="00F056FE" w:rsidRPr="00F15543"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tcBorders>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lastRenderedPageBreak/>
              <w:t>Ch</w:t>
            </w:r>
            <w:proofErr w:type="spellEnd"/>
            <w:r>
              <w:rPr>
                <w:rStyle w:val="DECCPBlue"/>
                <w:color w:val="F08015"/>
              </w:rPr>
              <w:t xml:space="preserve"> 5:  Financing CCS projects</w:t>
            </w:r>
          </w:p>
        </w:tc>
      </w:tr>
      <w:tr w:rsidR="00F056FE"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015C4E" w:rsidRDefault="00F056FE" w:rsidP="00975DA0">
            <w:pPr>
              <w:pStyle w:val="TableText"/>
            </w:pPr>
            <w:r w:rsidRPr="00CF2EB9">
              <w:t>Q</w:t>
            </w:r>
            <w:r>
              <w:t>4</w:t>
            </w:r>
            <w:r w:rsidRPr="00CF2EB9">
              <w:t>.</w:t>
            </w:r>
          </w:p>
        </w:tc>
        <w:tc>
          <w:tcPr>
            <w:tcW w:w="4479" w:type="pct"/>
          </w:tcPr>
          <w:p w:rsidR="00F056FE" w:rsidRPr="00015C4E" w:rsidRDefault="00F056FE" w:rsidP="00975DA0">
            <w:pPr>
              <w:pStyle w:val="BodyText"/>
            </w:pPr>
            <w:r w:rsidRPr="00B65FCC">
              <w:t>Are the existing products offered by the Green Investment Bank (GIB), Infrastructure UK (IUK) and the European Investment Bank (EIB) sufficient to support CCS projects in raising necessary finance from non-public sources?  If not, please explain why, with supporting evidence, and what kind of additional financing or products would be needed?</w:t>
            </w:r>
          </w:p>
        </w:tc>
      </w:tr>
      <w:tr w:rsidR="005A54F1"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5A54F1" w:rsidRPr="00CF2EB9" w:rsidRDefault="005A54F1" w:rsidP="00975DA0">
            <w:pPr>
              <w:pStyle w:val="TableText"/>
            </w:pPr>
          </w:p>
        </w:tc>
        <w:tc>
          <w:tcPr>
            <w:tcW w:w="4479" w:type="pct"/>
          </w:tcPr>
          <w:p w:rsidR="005A54F1" w:rsidRPr="00B65FCC" w:rsidRDefault="005A54F1" w:rsidP="00975DA0">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t>Ch</w:t>
            </w:r>
            <w:proofErr w:type="spellEnd"/>
            <w:r>
              <w:rPr>
                <w:rStyle w:val="DECCPBlue"/>
                <w:color w:val="F08015"/>
              </w:rPr>
              <w:t xml:space="preserve"> 6:  Transport and Storage Infrastructure</w:t>
            </w: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015C4E" w:rsidRDefault="00F056FE" w:rsidP="00975DA0">
            <w:pPr>
              <w:pStyle w:val="TableText"/>
            </w:pPr>
            <w:r>
              <w:t>Q5.</w:t>
            </w:r>
          </w:p>
        </w:tc>
        <w:tc>
          <w:tcPr>
            <w:tcW w:w="4479" w:type="pct"/>
          </w:tcPr>
          <w:p w:rsidR="00F056FE" w:rsidRPr="00BD4F3B" w:rsidRDefault="00F056FE" w:rsidP="00975DA0">
            <w:pPr>
              <w:pStyle w:val="BodyText"/>
            </w:pPr>
            <w:r w:rsidRPr="00BD4F3B">
              <w:t xml:space="preserve">To what extent is it a priority from an industry perspective for regulation to </w:t>
            </w:r>
            <w:r>
              <w:t>cover</w:t>
            </w:r>
            <w:r w:rsidRPr="00BD4F3B">
              <w:t xml:space="preserve"> technical aspects of shared CCS infrastructure, such as operating parameters including pipeline pressures for wider networks, or specifications for the CO</w:t>
            </w:r>
            <w:r w:rsidRPr="008A6198">
              <w:rPr>
                <w:vertAlign w:val="subscript"/>
              </w:rPr>
              <w:t>2</w:t>
            </w:r>
            <w:r w:rsidRPr="00BD4F3B">
              <w:t xml:space="preserve"> to be transported?</w:t>
            </w:r>
            <w:r w:rsidRPr="00BD4F3B" w:rsidDel="00F02455">
              <w:t xml:space="preserve"> </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Default="005A54F1" w:rsidP="00975DA0">
            <w:pPr>
              <w:pStyle w:val="TableText"/>
            </w:pPr>
          </w:p>
        </w:tc>
        <w:tc>
          <w:tcPr>
            <w:tcW w:w="4479" w:type="pct"/>
          </w:tcPr>
          <w:p w:rsidR="005A54F1" w:rsidRPr="00BD4F3B" w:rsidRDefault="005A54F1" w:rsidP="00975DA0">
            <w:pPr>
              <w:pStyle w:val="BodyText"/>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Default="00F056FE" w:rsidP="00975DA0">
            <w:pPr>
              <w:pStyle w:val="TableText"/>
            </w:pPr>
            <w:r>
              <w:t>Q6.</w:t>
            </w:r>
          </w:p>
        </w:tc>
        <w:tc>
          <w:tcPr>
            <w:tcW w:w="4479" w:type="pct"/>
          </w:tcPr>
          <w:p w:rsidR="00F056FE" w:rsidRPr="00BD4F3B" w:rsidRDefault="00F056FE" w:rsidP="00975DA0">
            <w:pPr>
              <w:pStyle w:val="BodyText"/>
            </w:pPr>
            <w:r w:rsidRPr="00BD4F3B">
              <w:t>What further steps may be necessary to stimulate private investment in infrastructure deployment</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Default="005A54F1" w:rsidP="00975DA0">
            <w:pPr>
              <w:pStyle w:val="TableText"/>
            </w:pPr>
          </w:p>
        </w:tc>
        <w:tc>
          <w:tcPr>
            <w:tcW w:w="4479" w:type="pct"/>
          </w:tcPr>
          <w:p w:rsidR="005A54F1" w:rsidRPr="00BD4F3B" w:rsidRDefault="005A54F1" w:rsidP="00975DA0">
            <w:pPr>
              <w:pStyle w:val="BodyText"/>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Default="00F056FE" w:rsidP="00975DA0">
            <w:pPr>
              <w:pStyle w:val="TableText"/>
            </w:pPr>
            <w:r>
              <w:t>Q7.</w:t>
            </w:r>
          </w:p>
        </w:tc>
        <w:tc>
          <w:tcPr>
            <w:tcW w:w="4479" w:type="pct"/>
          </w:tcPr>
          <w:p w:rsidR="00F056FE" w:rsidRPr="00C03B2F" w:rsidRDefault="00F056FE" w:rsidP="00975DA0">
            <w:pPr>
              <w:pStyle w:val="BodyText"/>
            </w:pPr>
            <w:r w:rsidRPr="001A56E8">
              <w:t>What are your views on the current arrangements for permitting the operation of storage sites</w:t>
            </w:r>
            <w:r>
              <w:t>? A</w:t>
            </w:r>
            <w:r w:rsidRPr="001A56E8">
              <w:t xml:space="preserve">re </w:t>
            </w:r>
            <w:r>
              <w:t xml:space="preserve">these </w:t>
            </w:r>
            <w:r w:rsidRPr="001A56E8">
              <w:t xml:space="preserve">proving to be a barrier to investment, and if so how </w:t>
            </w:r>
            <w:r>
              <w:t xml:space="preserve">might </w:t>
            </w:r>
            <w:r w:rsidRPr="001A56E8">
              <w:t>these barriers be overcome?</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Default="005A54F1" w:rsidP="00975DA0">
            <w:pPr>
              <w:pStyle w:val="TableText"/>
            </w:pPr>
          </w:p>
        </w:tc>
        <w:tc>
          <w:tcPr>
            <w:tcW w:w="4479" w:type="pct"/>
          </w:tcPr>
          <w:p w:rsidR="005A54F1" w:rsidRPr="001A56E8" w:rsidRDefault="005A54F1" w:rsidP="00975DA0">
            <w:pPr>
              <w:pStyle w:val="BodyText"/>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Default="00F056FE" w:rsidP="00975DA0">
            <w:pPr>
              <w:pStyle w:val="TableText"/>
            </w:pPr>
            <w:r>
              <w:t>Q8.</w:t>
            </w:r>
          </w:p>
        </w:tc>
        <w:tc>
          <w:tcPr>
            <w:tcW w:w="4479" w:type="pct"/>
          </w:tcPr>
          <w:p w:rsidR="00F056FE" w:rsidRDefault="00F056FE" w:rsidP="005A54F1">
            <w:pPr>
              <w:pStyle w:val="BodyText"/>
              <w:rPr>
                <w:b/>
              </w:rPr>
            </w:pPr>
            <w:r w:rsidRPr="008A6198">
              <w:t xml:space="preserve">Are there elements </w:t>
            </w:r>
            <w:r w:rsidR="005A54F1">
              <w:t>in</w:t>
            </w:r>
            <w:r w:rsidRPr="008A6198">
              <w:t xml:space="preserve"> the way the </w:t>
            </w:r>
            <w:r>
              <w:t xml:space="preserve">CCS </w:t>
            </w:r>
            <w:r w:rsidRPr="008A6198">
              <w:t>Directive has been implemented in the UK that ought to be revisited?</w:t>
            </w:r>
            <w:r w:rsidRPr="001A56E8">
              <w:t xml:space="preserve">  </w:t>
            </w:r>
            <w:r w:rsidRPr="008A6198">
              <w:t>What should the UK be asking for during the Directive review process?</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Default="005A54F1" w:rsidP="00975DA0">
            <w:pPr>
              <w:pStyle w:val="TableText"/>
            </w:pPr>
          </w:p>
        </w:tc>
        <w:tc>
          <w:tcPr>
            <w:tcW w:w="4479" w:type="pct"/>
          </w:tcPr>
          <w:p w:rsidR="005A54F1" w:rsidRPr="008A6198" w:rsidRDefault="005A54F1" w:rsidP="005A54F1">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t>Ch</w:t>
            </w:r>
            <w:proofErr w:type="spellEnd"/>
            <w:r>
              <w:rPr>
                <w:rStyle w:val="DECCPBlue"/>
                <w:color w:val="F08015"/>
              </w:rPr>
              <w:t xml:space="preserve"> 7:  Part and Full Chain projects</w:t>
            </w: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Default="00F056FE" w:rsidP="00975DA0">
            <w:pPr>
              <w:pStyle w:val="TableText"/>
            </w:pPr>
            <w:r w:rsidRPr="00E95BD5">
              <w:t>Q</w:t>
            </w:r>
            <w:r>
              <w:t>9.</w:t>
            </w:r>
          </w:p>
        </w:tc>
        <w:tc>
          <w:tcPr>
            <w:tcW w:w="4479" w:type="pct"/>
          </w:tcPr>
          <w:p w:rsidR="00F056FE" w:rsidRDefault="00F056FE" w:rsidP="00975DA0">
            <w:pPr>
              <w:pStyle w:val="BodyText"/>
            </w:pPr>
            <w:r w:rsidRPr="00E95BD5">
              <w:t>The Government does not consider it currently has a role, beyond existing third party regulations, in establishing the terms and conditions of any agreements</w:t>
            </w:r>
            <w:r>
              <w:t xml:space="preserve"> between part-chain projects and full-</w:t>
            </w:r>
            <w:proofErr w:type="gramStart"/>
            <w:r>
              <w:t>chain  /</w:t>
            </w:r>
            <w:proofErr w:type="gramEnd"/>
            <w:r>
              <w:t xml:space="preserve"> CO</w:t>
            </w:r>
            <w:r w:rsidRPr="00D0036E">
              <w:rPr>
                <w:vertAlign w:val="subscript"/>
              </w:rPr>
              <w:t>2</w:t>
            </w:r>
            <w:r>
              <w:t xml:space="preserve"> infrastructure providers</w:t>
            </w:r>
            <w:r w:rsidRPr="00E95BD5">
              <w:t>.  What steps do you think industry should take to further develop the commercial models for any such agreements?</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Pr="00E95BD5" w:rsidRDefault="005A54F1" w:rsidP="00975DA0">
            <w:pPr>
              <w:pStyle w:val="TableText"/>
            </w:pPr>
          </w:p>
        </w:tc>
        <w:tc>
          <w:tcPr>
            <w:tcW w:w="4479" w:type="pct"/>
          </w:tcPr>
          <w:p w:rsidR="005A54F1" w:rsidRPr="00E95BD5" w:rsidRDefault="005A54F1" w:rsidP="00975DA0">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t>Ch</w:t>
            </w:r>
            <w:proofErr w:type="spellEnd"/>
            <w:r>
              <w:rPr>
                <w:rStyle w:val="DECCPBlue"/>
                <w:color w:val="F08015"/>
              </w:rPr>
              <w:t xml:space="preserve"> 8:  Enhanced Oil Recovery (EOR)</w:t>
            </w:r>
          </w:p>
        </w:tc>
      </w:tr>
      <w:tr w:rsidR="00F056FE" w:rsidRPr="00CF425F"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CF425F" w:rsidRDefault="00F056FE" w:rsidP="00975DA0">
            <w:pPr>
              <w:pStyle w:val="TableText"/>
            </w:pPr>
            <w:r w:rsidRPr="00CF425F">
              <w:t>Q</w:t>
            </w:r>
            <w:r>
              <w:t>10</w:t>
            </w:r>
            <w:r w:rsidRPr="00CF425F">
              <w:t>.</w:t>
            </w:r>
          </w:p>
        </w:tc>
        <w:tc>
          <w:tcPr>
            <w:tcW w:w="4479" w:type="pct"/>
          </w:tcPr>
          <w:p w:rsidR="00F056FE" w:rsidRPr="00CF425F" w:rsidRDefault="00F056FE" w:rsidP="00975DA0">
            <w:pPr>
              <w:pStyle w:val="BodyText"/>
            </w:pPr>
            <w:r w:rsidRPr="00CF425F">
              <w:t>On issues of incentives for CO</w:t>
            </w:r>
            <w:r w:rsidRPr="00CF425F">
              <w:rPr>
                <w:vertAlign w:val="subscript"/>
              </w:rPr>
              <w:t>2</w:t>
            </w:r>
            <w:r w:rsidRPr="00CF425F">
              <w:t>-EOR, respondents are encouraged to input to the HM Treasury call for evidence on the Review of the Oil and Gas Fiscal Regime, which closes on 3 October 2014</w:t>
            </w:r>
            <w:r w:rsidR="000E7DAB">
              <w:t>.</w:t>
            </w:r>
          </w:p>
        </w:tc>
      </w:tr>
      <w:tr w:rsidR="005A54F1" w:rsidRPr="00CF425F"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Pr="00CF425F" w:rsidRDefault="005A54F1" w:rsidP="00975DA0">
            <w:pPr>
              <w:pStyle w:val="TableText"/>
            </w:pPr>
          </w:p>
        </w:tc>
        <w:tc>
          <w:tcPr>
            <w:tcW w:w="4479" w:type="pct"/>
          </w:tcPr>
          <w:p w:rsidR="005A54F1" w:rsidRPr="00CF425F" w:rsidRDefault="005A54F1" w:rsidP="00975DA0">
            <w:pPr>
              <w:pStyle w:val="BodyText"/>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015C4E" w:rsidRDefault="00F056FE" w:rsidP="00975DA0">
            <w:pPr>
              <w:pStyle w:val="TableText"/>
            </w:pPr>
            <w:r>
              <w:t>Q11.</w:t>
            </w:r>
          </w:p>
        </w:tc>
        <w:tc>
          <w:tcPr>
            <w:tcW w:w="4479" w:type="pct"/>
          </w:tcPr>
          <w:p w:rsidR="00F056FE" w:rsidRPr="00BD4F3B" w:rsidRDefault="00F056FE" w:rsidP="00975DA0">
            <w:pPr>
              <w:pStyle w:val="BodyText"/>
            </w:pPr>
            <w:r w:rsidRPr="00BD4F3B">
              <w:t>How should industry collaborate to best match the needs of CO</w:t>
            </w:r>
            <w:r w:rsidRPr="008A6198">
              <w:rPr>
                <w:vertAlign w:val="subscript"/>
              </w:rPr>
              <w:t>2</w:t>
            </w:r>
            <w:r w:rsidRPr="00BD4F3B">
              <w:t xml:space="preserve"> supply and demand for any future CO</w:t>
            </w:r>
            <w:r w:rsidRPr="008A6198">
              <w:rPr>
                <w:vertAlign w:val="subscript"/>
              </w:rPr>
              <w:t>2</w:t>
            </w:r>
            <w:r w:rsidRPr="00BD4F3B">
              <w:t>-EOR industry and how should this be managed?</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Default="005A54F1" w:rsidP="00975DA0">
            <w:pPr>
              <w:pStyle w:val="TableText"/>
            </w:pPr>
          </w:p>
        </w:tc>
        <w:tc>
          <w:tcPr>
            <w:tcW w:w="4479" w:type="pct"/>
          </w:tcPr>
          <w:p w:rsidR="005A54F1" w:rsidRPr="00BD4F3B" w:rsidRDefault="005A54F1" w:rsidP="00975DA0">
            <w:pPr>
              <w:pStyle w:val="BodyText"/>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Default="00F056FE" w:rsidP="00975DA0">
            <w:pPr>
              <w:pStyle w:val="TableText"/>
            </w:pPr>
            <w:r w:rsidRPr="008F5EAD">
              <w:t>Q</w:t>
            </w:r>
            <w:r>
              <w:t>12.</w:t>
            </w:r>
          </w:p>
        </w:tc>
        <w:tc>
          <w:tcPr>
            <w:tcW w:w="4479" w:type="pct"/>
          </w:tcPr>
          <w:p w:rsidR="00F056FE" w:rsidRPr="00BD4F3B" w:rsidRDefault="00F056FE" w:rsidP="00975DA0">
            <w:pPr>
              <w:pStyle w:val="BodyText"/>
            </w:pPr>
            <w:r w:rsidRPr="00BD4F3B">
              <w:t>How should the industry collaborate to take forward any additional transportation infrastructure requirements of any future CO</w:t>
            </w:r>
            <w:r w:rsidRPr="008A6198">
              <w:rPr>
                <w:vertAlign w:val="subscript"/>
              </w:rPr>
              <w:t>2</w:t>
            </w:r>
            <w:r w:rsidRPr="00BD4F3B">
              <w:t>-EOR industry?</w:t>
            </w:r>
          </w:p>
        </w:tc>
      </w:tr>
      <w:tr w:rsidR="005A54F1"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5A54F1" w:rsidRPr="008F5EAD" w:rsidRDefault="005A54F1" w:rsidP="00975DA0">
            <w:pPr>
              <w:pStyle w:val="TableText"/>
            </w:pPr>
          </w:p>
        </w:tc>
        <w:tc>
          <w:tcPr>
            <w:tcW w:w="4479" w:type="pct"/>
          </w:tcPr>
          <w:p w:rsidR="005A54F1" w:rsidRPr="00BD4F3B" w:rsidRDefault="005A54F1" w:rsidP="00975DA0">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F056FE" w:rsidRPr="00CF425F" w:rsidRDefault="00F056FE" w:rsidP="00975DA0">
            <w:pPr>
              <w:pStyle w:val="BodyText"/>
              <w:ind w:left="142"/>
              <w:rPr>
                <w:b/>
              </w:rPr>
            </w:pPr>
            <w:proofErr w:type="spellStart"/>
            <w:r w:rsidRPr="00CF425F">
              <w:rPr>
                <w:rStyle w:val="DECCPBlue"/>
                <w:b/>
                <w:color w:val="F08015"/>
              </w:rPr>
              <w:t>Ch</w:t>
            </w:r>
            <w:proofErr w:type="spellEnd"/>
            <w:r w:rsidRPr="00CF425F">
              <w:rPr>
                <w:rStyle w:val="DECCPBlue"/>
                <w:b/>
                <w:color w:val="F08015"/>
              </w:rPr>
              <w:t xml:space="preserve"> </w:t>
            </w:r>
            <w:r>
              <w:rPr>
                <w:rStyle w:val="DECCPBlue"/>
                <w:b/>
                <w:color w:val="F08015"/>
              </w:rPr>
              <w:t>9</w:t>
            </w:r>
            <w:r w:rsidRPr="00CF425F">
              <w:rPr>
                <w:rStyle w:val="DECCPBlue"/>
                <w:b/>
                <w:color w:val="F08015"/>
              </w:rPr>
              <w:t xml:space="preserve">:  </w:t>
            </w:r>
            <w:r>
              <w:rPr>
                <w:rStyle w:val="DECCPBlue"/>
                <w:b/>
                <w:color w:val="F08015"/>
              </w:rPr>
              <w:t>Industrial CCS</w:t>
            </w: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BB084C" w:rsidRDefault="00F056FE" w:rsidP="00975DA0">
            <w:pPr>
              <w:ind w:left="142"/>
            </w:pPr>
            <w:r w:rsidRPr="00BB084C">
              <w:t>Q1</w:t>
            </w:r>
            <w:r>
              <w:t>3</w:t>
            </w:r>
            <w:r w:rsidRPr="00BB084C">
              <w:t>.</w:t>
            </w:r>
          </w:p>
        </w:tc>
        <w:tc>
          <w:tcPr>
            <w:tcW w:w="4479" w:type="pct"/>
          </w:tcPr>
          <w:p w:rsidR="00F056FE" w:rsidRPr="00BB084C" w:rsidRDefault="00F056FE" w:rsidP="00975DA0">
            <w:pPr>
              <w:ind w:left="-23"/>
            </w:pPr>
            <w:r w:rsidRPr="00D0036E">
              <w:t>What changes to the CfD design would developers need in order to bring forward projects involving industrial emitters installing CCS on their onsite power generation</w:t>
            </w:r>
            <w:r>
              <w:t>?</w:t>
            </w:r>
            <w:r w:rsidRPr="00D0036E">
              <w:t xml:space="preserve">  </w:t>
            </w:r>
            <w:r w:rsidRPr="00BB084C">
              <w:t xml:space="preserve">Respondents should note that the Government intends to publish further guidance on Private Network Generation in early Autumn 2014.  </w:t>
            </w:r>
          </w:p>
        </w:tc>
      </w:tr>
      <w:tr w:rsidR="000E7DAB"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0E7DAB" w:rsidRPr="00BB084C" w:rsidRDefault="000E7DAB" w:rsidP="00975DA0">
            <w:pPr>
              <w:ind w:left="142"/>
            </w:pPr>
          </w:p>
        </w:tc>
        <w:tc>
          <w:tcPr>
            <w:tcW w:w="4479" w:type="pct"/>
          </w:tcPr>
          <w:p w:rsidR="000E7DAB" w:rsidRPr="00D0036E" w:rsidRDefault="000E7DAB" w:rsidP="00975DA0">
            <w:pPr>
              <w:ind w:left="-23"/>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BB084C" w:rsidRDefault="00F056FE" w:rsidP="00975DA0">
            <w:pPr>
              <w:ind w:left="142"/>
            </w:pPr>
            <w:r w:rsidRPr="00BB084C">
              <w:t>Q14.</w:t>
            </w:r>
          </w:p>
        </w:tc>
        <w:tc>
          <w:tcPr>
            <w:tcW w:w="4479" w:type="pct"/>
          </w:tcPr>
          <w:p w:rsidR="00F056FE" w:rsidRPr="00BB084C" w:rsidRDefault="00F056FE" w:rsidP="00975DA0">
            <w:pPr>
              <w:ind w:left="-23"/>
            </w:pPr>
            <w:r w:rsidRPr="00BB084C">
              <w:t>Which of the barriers to industrial CCS are the most important and how should they be overcome?</w:t>
            </w:r>
          </w:p>
        </w:tc>
      </w:tr>
      <w:tr w:rsidR="00F40F4C"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40F4C" w:rsidRPr="00BB084C" w:rsidRDefault="00F40F4C" w:rsidP="00975DA0">
            <w:pPr>
              <w:ind w:left="142"/>
            </w:pPr>
          </w:p>
        </w:tc>
        <w:tc>
          <w:tcPr>
            <w:tcW w:w="4479" w:type="pct"/>
          </w:tcPr>
          <w:p w:rsidR="00F40F4C" w:rsidRPr="00BB084C" w:rsidRDefault="00F40F4C" w:rsidP="00975DA0">
            <w:pPr>
              <w:ind w:left="-23"/>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BB084C" w:rsidRDefault="00F056FE" w:rsidP="00975DA0">
            <w:pPr>
              <w:ind w:left="142"/>
            </w:pPr>
            <w:r w:rsidRPr="00BB084C">
              <w:t>Q15.</w:t>
            </w:r>
          </w:p>
        </w:tc>
        <w:tc>
          <w:tcPr>
            <w:tcW w:w="4479" w:type="pct"/>
          </w:tcPr>
          <w:p w:rsidR="00F056FE" w:rsidRPr="00BB084C" w:rsidRDefault="00F056FE" w:rsidP="00975DA0">
            <w:pPr>
              <w:ind w:left="-23"/>
            </w:pPr>
            <w:r w:rsidRPr="00BB084C">
              <w:t>What is the best next step for each sector?  For example, should first generation technologies be brought forward in all sectors, or would it be better to consider bespoke actions per sector?</w:t>
            </w:r>
          </w:p>
        </w:tc>
      </w:tr>
      <w:tr w:rsidR="00F40F4C"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40F4C" w:rsidRPr="00BB084C" w:rsidRDefault="00F40F4C" w:rsidP="00975DA0">
            <w:pPr>
              <w:ind w:left="142"/>
            </w:pPr>
          </w:p>
        </w:tc>
        <w:tc>
          <w:tcPr>
            <w:tcW w:w="4479" w:type="pct"/>
          </w:tcPr>
          <w:p w:rsidR="00F40F4C" w:rsidRPr="00BB084C" w:rsidRDefault="00F40F4C" w:rsidP="00975DA0">
            <w:pPr>
              <w:ind w:left="-23"/>
            </w:pPr>
          </w:p>
        </w:tc>
      </w:tr>
      <w:tr w:rsidR="00F056FE"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BB084C" w:rsidRDefault="00F056FE" w:rsidP="00975DA0">
            <w:pPr>
              <w:ind w:left="142"/>
            </w:pPr>
            <w:r w:rsidRPr="00BB084C">
              <w:lastRenderedPageBreak/>
              <w:t>Q16.</w:t>
            </w:r>
          </w:p>
        </w:tc>
        <w:tc>
          <w:tcPr>
            <w:tcW w:w="4479" w:type="pct"/>
          </w:tcPr>
          <w:p w:rsidR="00F056FE" w:rsidRDefault="00F056FE" w:rsidP="00975DA0">
            <w:pPr>
              <w:ind w:left="-23"/>
            </w:pPr>
            <w:r w:rsidRPr="00BB084C">
              <w:t>How should any Government activity best support R&amp;D and innovation for ICCS?</w:t>
            </w:r>
          </w:p>
        </w:tc>
      </w:tr>
      <w:tr w:rsidR="00F40F4C" w:rsidRPr="00015C4E"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40F4C" w:rsidRPr="00BB084C" w:rsidRDefault="00F40F4C" w:rsidP="00975DA0">
            <w:pPr>
              <w:ind w:left="142"/>
            </w:pPr>
          </w:p>
        </w:tc>
        <w:tc>
          <w:tcPr>
            <w:tcW w:w="4479" w:type="pct"/>
          </w:tcPr>
          <w:p w:rsidR="00F40F4C" w:rsidRPr="00BB084C" w:rsidRDefault="00F40F4C" w:rsidP="00975DA0">
            <w:pPr>
              <w:ind w:left="-23"/>
            </w:pPr>
          </w:p>
        </w:tc>
      </w:tr>
      <w:tr w:rsidR="00F056FE" w:rsidRPr="00A3121F"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tcBorders>
          </w:tcPr>
          <w:p w:rsidR="00F056FE" w:rsidRPr="00BD4CB5" w:rsidRDefault="00F056FE" w:rsidP="00975DA0">
            <w:pPr>
              <w:pStyle w:val="TableHeaders"/>
              <w:spacing w:after="120" w:line="240" w:lineRule="auto"/>
              <w:ind w:left="142"/>
              <w:rPr>
                <w:rStyle w:val="DECCPBlue"/>
                <w:color w:val="F08015"/>
              </w:rPr>
            </w:pPr>
            <w:proofErr w:type="spellStart"/>
            <w:r>
              <w:rPr>
                <w:rStyle w:val="DECCPBlue"/>
                <w:color w:val="F08015"/>
              </w:rPr>
              <w:t>Ch</w:t>
            </w:r>
            <w:proofErr w:type="spellEnd"/>
            <w:r>
              <w:rPr>
                <w:rStyle w:val="DECCPBlue"/>
                <w:color w:val="F08015"/>
              </w:rPr>
              <w:t xml:space="preserve"> 10:  </w:t>
            </w:r>
            <w:r w:rsidRPr="00A3121F">
              <w:rPr>
                <w:rStyle w:val="DECCPBlue"/>
                <w:color w:val="F08015"/>
              </w:rPr>
              <w:t>Bio-CCS / BECCS</w:t>
            </w:r>
          </w:p>
        </w:tc>
      </w:tr>
      <w:tr w:rsidR="00F056FE"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A3121F" w:rsidRDefault="00F056FE" w:rsidP="00975DA0">
            <w:pPr>
              <w:pStyle w:val="TableText"/>
            </w:pPr>
            <w:r w:rsidRPr="00BD4CB5">
              <w:t>Q1</w:t>
            </w:r>
            <w:r>
              <w:t>7</w:t>
            </w:r>
            <w:r w:rsidRPr="00BD4CB5">
              <w:t xml:space="preserve">. </w:t>
            </w:r>
          </w:p>
        </w:tc>
        <w:tc>
          <w:tcPr>
            <w:tcW w:w="4479" w:type="pct"/>
          </w:tcPr>
          <w:p w:rsidR="00F056FE" w:rsidRPr="00015C4E" w:rsidRDefault="00F056FE" w:rsidP="00975DA0">
            <w:pPr>
              <w:pStyle w:val="BodyText"/>
            </w:pPr>
            <w:r w:rsidRPr="00A3121F">
              <w:t>We would welcome views as to what issues the UK Government may want to urge the European Commission to consider regarding BECCS before they propose the detailed architecture of EU climate and energy policy for the period post-2020, including revisions to the EU ETS Directive for phase IV of the EU ETS (2021-2030).</w:t>
            </w:r>
          </w:p>
        </w:tc>
      </w:tr>
      <w:tr w:rsidR="000E7DAB"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0E7DAB" w:rsidRPr="00BD4CB5" w:rsidRDefault="000E7DAB" w:rsidP="00975DA0">
            <w:pPr>
              <w:pStyle w:val="TableText"/>
            </w:pPr>
          </w:p>
        </w:tc>
        <w:tc>
          <w:tcPr>
            <w:tcW w:w="4479" w:type="pct"/>
          </w:tcPr>
          <w:p w:rsidR="000E7DAB" w:rsidRPr="00A3121F" w:rsidRDefault="000E7DAB" w:rsidP="00975DA0">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tcBorders>
          </w:tcPr>
          <w:p w:rsidR="00F056FE" w:rsidRPr="00F15543" w:rsidRDefault="00F056FE" w:rsidP="00975DA0">
            <w:pPr>
              <w:pStyle w:val="TableHeaders"/>
              <w:spacing w:after="120" w:line="240" w:lineRule="auto"/>
              <w:ind w:left="0"/>
              <w:rPr>
                <w:rStyle w:val="DECCPBlue"/>
                <w:color w:val="F08015"/>
              </w:rPr>
            </w:pPr>
            <w:proofErr w:type="spellStart"/>
            <w:r>
              <w:rPr>
                <w:rStyle w:val="DECCPBlue"/>
                <w:color w:val="F08015"/>
              </w:rPr>
              <w:t>Ch</w:t>
            </w:r>
            <w:proofErr w:type="spellEnd"/>
            <w:r>
              <w:rPr>
                <w:rStyle w:val="DECCPBlue"/>
                <w:color w:val="F08015"/>
              </w:rPr>
              <w:t xml:space="preserve"> 11:  CCU</w:t>
            </w:r>
          </w:p>
        </w:tc>
      </w:tr>
      <w:tr w:rsidR="00F056FE"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015C4E" w:rsidRDefault="00F056FE" w:rsidP="00975DA0">
            <w:pPr>
              <w:pStyle w:val="TableText"/>
            </w:pPr>
            <w:r w:rsidRPr="00BD4CB5">
              <w:t>Q1</w:t>
            </w:r>
            <w:r>
              <w:t>8</w:t>
            </w:r>
            <w:r w:rsidRPr="00BD4CB5">
              <w:t>.</w:t>
            </w:r>
            <w:r>
              <w:t xml:space="preserve"> </w:t>
            </w:r>
          </w:p>
        </w:tc>
        <w:tc>
          <w:tcPr>
            <w:tcW w:w="4479" w:type="pct"/>
          </w:tcPr>
          <w:p w:rsidR="00F056FE" w:rsidRPr="00015C4E" w:rsidRDefault="00F056FE" w:rsidP="00975DA0">
            <w:pPr>
              <w:pStyle w:val="BodyText"/>
            </w:pPr>
            <w:r w:rsidRPr="00D34B28">
              <w:t>The Government and its R&amp;D partners will continue to monitor the progress of CCU technologies, as part of its wider efforts on CCS.  Do you wish to offer any evidence of such progress?</w:t>
            </w:r>
          </w:p>
        </w:tc>
      </w:tr>
      <w:tr w:rsidR="00F40F4C"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40F4C" w:rsidRPr="00BD4CB5" w:rsidRDefault="00F40F4C" w:rsidP="00975DA0">
            <w:pPr>
              <w:pStyle w:val="TableText"/>
            </w:pPr>
          </w:p>
        </w:tc>
        <w:tc>
          <w:tcPr>
            <w:tcW w:w="4479" w:type="pct"/>
          </w:tcPr>
          <w:p w:rsidR="00F40F4C" w:rsidRPr="00D34B28" w:rsidRDefault="00F40F4C" w:rsidP="00975DA0">
            <w:pPr>
              <w:pStyle w:val="BodyText"/>
            </w:pPr>
          </w:p>
        </w:tc>
      </w:tr>
      <w:tr w:rsidR="00F056FE" w:rsidRPr="00F15543"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F056FE" w:rsidRPr="00F15543" w:rsidRDefault="00F056FE" w:rsidP="00975DA0">
            <w:pPr>
              <w:pStyle w:val="TableHeaders"/>
              <w:spacing w:after="120" w:line="240" w:lineRule="auto"/>
              <w:ind w:left="0"/>
              <w:rPr>
                <w:rStyle w:val="DECCPBlue"/>
                <w:color w:val="F08015"/>
              </w:rPr>
            </w:pPr>
            <w:proofErr w:type="spellStart"/>
            <w:r>
              <w:rPr>
                <w:rStyle w:val="DECCPBlue"/>
                <w:color w:val="F08015"/>
              </w:rPr>
              <w:t>Ch</w:t>
            </w:r>
            <w:proofErr w:type="spellEnd"/>
            <w:r>
              <w:rPr>
                <w:rStyle w:val="DECCPBlue"/>
                <w:color w:val="F08015"/>
              </w:rPr>
              <w:t xml:space="preserve"> 12:  Supply Chain</w:t>
            </w:r>
          </w:p>
        </w:tc>
      </w:tr>
      <w:tr w:rsidR="00F056FE" w:rsidRPr="00BD4F3B"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BD4F3B" w:rsidRDefault="00F056FE" w:rsidP="00975DA0">
            <w:pPr>
              <w:pStyle w:val="TableText"/>
            </w:pPr>
            <w:r w:rsidRPr="00BD4CB5">
              <w:t>Q1</w:t>
            </w:r>
            <w:r>
              <w:t>9</w:t>
            </w:r>
            <w:r w:rsidRPr="00BD4CB5">
              <w:t>.</w:t>
            </w:r>
            <w:r w:rsidRPr="00BD4F3B">
              <w:t xml:space="preserve"> </w:t>
            </w:r>
          </w:p>
        </w:tc>
        <w:tc>
          <w:tcPr>
            <w:tcW w:w="4479" w:type="pct"/>
          </w:tcPr>
          <w:p w:rsidR="00F056FE" w:rsidRPr="00BD4F3B" w:rsidRDefault="00F056FE" w:rsidP="00975DA0">
            <w:pPr>
              <w:pStyle w:val="BodyText"/>
            </w:pPr>
            <w:r w:rsidRPr="00BD4F3B">
              <w:t>Is any further action needed to support supply chain companies wishing to supply good and services to CCS projects in the UK, or abroad?</w:t>
            </w:r>
          </w:p>
        </w:tc>
      </w:tr>
      <w:tr w:rsidR="00F40F4C" w:rsidRPr="00BD4F3B"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40F4C" w:rsidRPr="00BD4CB5" w:rsidRDefault="00F40F4C" w:rsidP="00975DA0">
            <w:pPr>
              <w:pStyle w:val="TableText"/>
            </w:pPr>
          </w:p>
        </w:tc>
        <w:tc>
          <w:tcPr>
            <w:tcW w:w="4479" w:type="pct"/>
          </w:tcPr>
          <w:p w:rsidR="00F40F4C" w:rsidRPr="00BD4F3B" w:rsidRDefault="00F40F4C" w:rsidP="00975DA0">
            <w:pPr>
              <w:pStyle w:val="BodyText"/>
            </w:pPr>
          </w:p>
        </w:tc>
      </w:tr>
      <w:tr w:rsidR="00F056FE" w:rsidRPr="00BD4F3B"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BD4F3B" w:rsidRDefault="00F056FE" w:rsidP="00975DA0">
            <w:pPr>
              <w:pStyle w:val="TableText"/>
              <w:rPr>
                <w:highlight w:val="yellow"/>
              </w:rPr>
            </w:pPr>
            <w:r w:rsidRPr="00BD4F3B">
              <w:t>Q</w:t>
            </w:r>
            <w:r>
              <w:t>20</w:t>
            </w:r>
            <w:r w:rsidRPr="00BD4F3B">
              <w:t xml:space="preserve">.  </w:t>
            </w:r>
          </w:p>
        </w:tc>
        <w:tc>
          <w:tcPr>
            <w:tcW w:w="4479" w:type="pct"/>
          </w:tcPr>
          <w:p w:rsidR="00F056FE" w:rsidRPr="00BD4F3B" w:rsidRDefault="00F056FE" w:rsidP="00975DA0">
            <w:pPr>
              <w:pStyle w:val="BodyText"/>
            </w:pPr>
            <w:r w:rsidRPr="00BD4F3B">
              <w:t>Do you agree that currently there does not appear to be significant supply chain barriers to the commercial deployment of CCS up to 2030</w:t>
            </w:r>
            <w:r>
              <w:t>?</w:t>
            </w:r>
            <w:r w:rsidRPr="00BD4F3B">
              <w:t xml:space="preserve">  If your answer is no, please set out why, with supporting evidence.</w:t>
            </w:r>
          </w:p>
        </w:tc>
      </w:tr>
      <w:tr w:rsidR="00F40F4C" w:rsidRPr="00BD4F3B" w:rsidTr="005A54F1">
        <w:trPr>
          <w:cnfStyle w:val="100000000000" w:firstRow="1" w:lastRow="0" w:firstColumn="0" w:lastColumn="0" w:oddVBand="0" w:evenVBand="0" w:oddHBand="0" w:evenHBand="0" w:firstRowFirstColumn="0" w:firstRowLastColumn="0" w:lastRowFirstColumn="0" w:lastRowLastColumn="0"/>
        </w:trPr>
        <w:tc>
          <w:tcPr>
            <w:tcW w:w="521" w:type="pct"/>
          </w:tcPr>
          <w:p w:rsidR="00F40F4C" w:rsidRPr="00BD4F3B" w:rsidRDefault="00F40F4C" w:rsidP="00975DA0">
            <w:pPr>
              <w:pStyle w:val="TableText"/>
            </w:pPr>
          </w:p>
        </w:tc>
        <w:tc>
          <w:tcPr>
            <w:tcW w:w="4479" w:type="pct"/>
          </w:tcPr>
          <w:p w:rsidR="00F40F4C" w:rsidRPr="00BD4F3B" w:rsidRDefault="00F40F4C" w:rsidP="00975DA0">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tcBorders>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t>Ch</w:t>
            </w:r>
            <w:proofErr w:type="spellEnd"/>
            <w:r>
              <w:rPr>
                <w:rStyle w:val="DECCPBlue"/>
                <w:color w:val="F08015"/>
              </w:rPr>
              <w:t xml:space="preserve"> 13:  Knowledge Transfer (KT)</w:t>
            </w:r>
          </w:p>
        </w:tc>
      </w:tr>
      <w:tr w:rsidR="00F056FE"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015C4E" w:rsidRDefault="00F056FE" w:rsidP="00975DA0">
            <w:pPr>
              <w:pStyle w:val="TableText"/>
            </w:pPr>
            <w:r>
              <w:t>Q21.</w:t>
            </w:r>
          </w:p>
        </w:tc>
        <w:tc>
          <w:tcPr>
            <w:tcW w:w="4479" w:type="pct"/>
          </w:tcPr>
          <w:p w:rsidR="00F056FE" w:rsidRPr="00BD4F3B" w:rsidRDefault="00F056FE" w:rsidP="00975DA0">
            <w:pPr>
              <w:pStyle w:val="BodyText"/>
            </w:pPr>
            <w:r w:rsidRPr="00BD4F3B">
              <w:t xml:space="preserve">Should similar arrangements </w:t>
            </w:r>
            <w:r>
              <w:t xml:space="preserve">as those under the Commercialisation Programme, </w:t>
            </w:r>
            <w:r w:rsidRPr="00BD4F3B">
              <w:t>be made for the provision of KT from any future CCS</w:t>
            </w:r>
            <w:r>
              <w:t xml:space="preserve"> projects</w:t>
            </w:r>
            <w:r w:rsidRPr="00BD4F3B">
              <w:t>?  If so, what kind of aspects of KT does industry find most useful?</w:t>
            </w:r>
          </w:p>
        </w:tc>
      </w:tr>
      <w:tr w:rsidR="00F40F4C"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40F4C" w:rsidRDefault="00F40F4C" w:rsidP="00975DA0">
            <w:pPr>
              <w:pStyle w:val="TableText"/>
            </w:pPr>
          </w:p>
        </w:tc>
        <w:tc>
          <w:tcPr>
            <w:tcW w:w="4479" w:type="pct"/>
          </w:tcPr>
          <w:p w:rsidR="00F40F4C" w:rsidRPr="00BD4F3B" w:rsidRDefault="00F40F4C" w:rsidP="00975DA0">
            <w:pPr>
              <w:pStyle w:val="BodyText"/>
            </w:pPr>
          </w:p>
        </w:tc>
      </w:tr>
      <w:tr w:rsidR="00F056FE"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056FE" w:rsidRDefault="00F056FE" w:rsidP="00975DA0">
            <w:pPr>
              <w:pStyle w:val="TableText"/>
            </w:pPr>
            <w:r>
              <w:lastRenderedPageBreak/>
              <w:t>Q22.</w:t>
            </w:r>
          </w:p>
        </w:tc>
        <w:tc>
          <w:tcPr>
            <w:tcW w:w="4479" w:type="pct"/>
          </w:tcPr>
          <w:p w:rsidR="00F056FE" w:rsidRDefault="00F056FE" w:rsidP="00975DA0">
            <w:pPr>
              <w:pStyle w:val="BodyText"/>
            </w:pPr>
            <w:r w:rsidRPr="00C73638">
              <w:t xml:space="preserve">How can KT from projects under the Commercialisation Programme and any future projects be most usefully disseminated, e.g. via report, workshops, seminars etc.?  </w:t>
            </w:r>
          </w:p>
        </w:tc>
      </w:tr>
      <w:tr w:rsidR="00F40F4C"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40F4C" w:rsidRDefault="00F40F4C" w:rsidP="00975DA0">
            <w:pPr>
              <w:pStyle w:val="TableText"/>
            </w:pPr>
          </w:p>
        </w:tc>
        <w:tc>
          <w:tcPr>
            <w:tcW w:w="4479" w:type="pct"/>
          </w:tcPr>
          <w:p w:rsidR="00F40F4C" w:rsidRPr="00C73638" w:rsidRDefault="00F40F4C" w:rsidP="00975DA0">
            <w:pPr>
              <w:pStyle w:val="BodyText"/>
            </w:pPr>
          </w:p>
        </w:tc>
      </w:tr>
      <w:tr w:rsidR="00F056FE" w:rsidRPr="00015C4E" w:rsidTr="00975DA0">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tcBorders>
          </w:tcPr>
          <w:p w:rsidR="00F056FE" w:rsidRPr="00F15543" w:rsidRDefault="00F056FE" w:rsidP="00975DA0">
            <w:pPr>
              <w:pStyle w:val="TableHeaders"/>
              <w:spacing w:after="120" w:line="240" w:lineRule="auto"/>
              <w:rPr>
                <w:rStyle w:val="DECCPBlue"/>
                <w:color w:val="F08015"/>
              </w:rPr>
            </w:pPr>
            <w:proofErr w:type="spellStart"/>
            <w:r>
              <w:rPr>
                <w:rStyle w:val="DECCPBlue"/>
                <w:color w:val="F08015"/>
              </w:rPr>
              <w:t>Ch</w:t>
            </w:r>
            <w:proofErr w:type="spellEnd"/>
            <w:r>
              <w:rPr>
                <w:rStyle w:val="DECCPBlue"/>
                <w:color w:val="F08015"/>
              </w:rPr>
              <w:t xml:space="preserve"> 14:  Research, Development</w:t>
            </w:r>
            <w:r w:rsidR="00F40F4C">
              <w:rPr>
                <w:rStyle w:val="DECCPBlue"/>
                <w:color w:val="F08015"/>
              </w:rPr>
              <w:t xml:space="preserve"> (R&amp;D)</w:t>
            </w:r>
            <w:r>
              <w:rPr>
                <w:rStyle w:val="DECCPBlue"/>
                <w:color w:val="F08015"/>
              </w:rPr>
              <w:t xml:space="preserve"> and Innovation</w:t>
            </w:r>
          </w:p>
        </w:tc>
      </w:tr>
      <w:tr w:rsidR="00F056FE"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056FE" w:rsidRPr="00015C4E" w:rsidRDefault="00F056FE" w:rsidP="00975DA0">
            <w:pPr>
              <w:pStyle w:val="TableText"/>
            </w:pPr>
            <w:r>
              <w:t>Q23</w:t>
            </w:r>
            <w:r w:rsidRPr="00765E78">
              <w:t>.</w:t>
            </w:r>
          </w:p>
        </w:tc>
        <w:tc>
          <w:tcPr>
            <w:tcW w:w="4479" w:type="pct"/>
          </w:tcPr>
          <w:p w:rsidR="00F056FE" w:rsidRPr="00015C4E" w:rsidRDefault="00F056FE" w:rsidP="00975DA0">
            <w:pPr>
              <w:pStyle w:val="BodyText"/>
            </w:pPr>
            <w:r w:rsidRPr="00765E78">
              <w:t>For any future funding calls, should R&amp;D funding be targeted at specific aspects of the CCS chain, or level of technology maturity?</w:t>
            </w:r>
            <w:r>
              <w:t xml:space="preserve"> </w:t>
            </w:r>
          </w:p>
        </w:tc>
      </w:tr>
      <w:tr w:rsidR="00F40F4C" w:rsidRPr="00015C4E" w:rsidTr="005A54F1">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Pr>
        <w:tc>
          <w:tcPr>
            <w:tcW w:w="521" w:type="pct"/>
          </w:tcPr>
          <w:p w:rsidR="00F40F4C" w:rsidRDefault="00F40F4C" w:rsidP="00975DA0">
            <w:pPr>
              <w:pStyle w:val="TableText"/>
            </w:pPr>
          </w:p>
        </w:tc>
        <w:tc>
          <w:tcPr>
            <w:tcW w:w="4479" w:type="pct"/>
          </w:tcPr>
          <w:p w:rsidR="00F40F4C" w:rsidRPr="00765E78" w:rsidRDefault="00F40F4C" w:rsidP="00975DA0">
            <w:pPr>
              <w:pStyle w:val="BodyText"/>
            </w:pPr>
          </w:p>
        </w:tc>
      </w:tr>
    </w:tbl>
    <w:p w:rsidR="00F056FE" w:rsidRDefault="00F056FE" w:rsidP="00C157DD"/>
    <w:sectPr w:rsidR="00F0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617"/>
    <w:multiLevelType w:val="multilevel"/>
    <w:tmpl w:val="86D04080"/>
    <w:lvl w:ilvl="0">
      <w:start w:val="1"/>
      <w:numFmt w:val="decimal"/>
      <w:pStyle w:val="DECCNumberedChapterHead"/>
      <w:lvlText w:val="%1."/>
      <w:lvlJc w:val="left"/>
      <w:pPr>
        <w:ind w:left="786" w:hanging="360"/>
      </w:pPr>
      <w:rPr>
        <w:rFonts w:hint="default"/>
      </w:rPr>
    </w:lvl>
    <w:lvl w:ilvl="1">
      <w:start w:val="1"/>
      <w:numFmt w:val="decimal"/>
      <w:pStyle w:val="BodyNumbering"/>
      <w:lvlText w:val="%1.%2."/>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355"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DD"/>
    <w:rsid w:val="0002450A"/>
    <w:rsid w:val="000E7DAB"/>
    <w:rsid w:val="00141EAB"/>
    <w:rsid w:val="002E1301"/>
    <w:rsid w:val="00371CF3"/>
    <w:rsid w:val="005A54F1"/>
    <w:rsid w:val="00936849"/>
    <w:rsid w:val="00AF3EE2"/>
    <w:rsid w:val="00B537C1"/>
    <w:rsid w:val="00C157DD"/>
    <w:rsid w:val="00F056FE"/>
    <w:rsid w:val="00F4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DD"/>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paragraph" w:styleId="Heading1">
    <w:name w:val="heading 1"/>
    <w:basedOn w:val="Normal"/>
    <w:next w:val="Normal"/>
    <w:link w:val="Heading1Char"/>
    <w:uiPriority w:val="9"/>
    <w:qFormat/>
    <w:rsid w:val="00C15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basedOn w:val="Normal"/>
    <w:next w:val="TableText"/>
    <w:qFormat/>
    <w:rsid w:val="00C157DD"/>
    <w:pPr>
      <w:spacing w:after="0"/>
      <w:ind w:left="113" w:right="113"/>
    </w:pPr>
    <w:rPr>
      <w:b/>
      <w:color w:val="FFFFFF"/>
    </w:rPr>
  </w:style>
  <w:style w:type="paragraph" w:customStyle="1" w:styleId="BodyNumbering">
    <w:name w:val="Body Numbering"/>
    <w:basedOn w:val="Normal"/>
    <w:qFormat/>
    <w:rsid w:val="00C157DD"/>
    <w:pPr>
      <w:numPr>
        <w:ilvl w:val="1"/>
        <w:numId w:val="1"/>
      </w:numPr>
      <w:tabs>
        <w:tab w:val="left" w:pos="851"/>
      </w:tabs>
    </w:pPr>
  </w:style>
  <w:style w:type="paragraph" w:customStyle="1" w:styleId="TableText">
    <w:name w:val="Table Text"/>
    <w:basedOn w:val="Normal"/>
    <w:rsid w:val="00C157DD"/>
    <w:pPr>
      <w:spacing w:before="60" w:after="60"/>
      <w:ind w:left="113" w:right="113"/>
    </w:pPr>
  </w:style>
  <w:style w:type="character" w:customStyle="1" w:styleId="DECCPBlue">
    <w:name w:val="DECC P Blue"/>
    <w:rsid w:val="00C157DD"/>
    <w:rPr>
      <w:color w:val="009EE3"/>
    </w:rPr>
  </w:style>
  <w:style w:type="paragraph" w:styleId="BodyText">
    <w:name w:val="Body Text"/>
    <w:basedOn w:val="Normal"/>
    <w:link w:val="BodyTextChar"/>
    <w:qFormat/>
    <w:rsid w:val="00C157DD"/>
  </w:style>
  <w:style w:type="character" w:customStyle="1" w:styleId="BodyTextChar">
    <w:name w:val="Body Text Char"/>
    <w:basedOn w:val="DefaultParagraphFont"/>
    <w:link w:val="BodyText"/>
    <w:rsid w:val="00C157DD"/>
    <w:rPr>
      <w:rFonts w:ascii="Arial" w:eastAsia="Times New Roman" w:hAnsi="Arial" w:cs="Arial"/>
      <w:color w:val="000000"/>
      <w:sz w:val="24"/>
      <w:szCs w:val="24"/>
      <w:lang w:eastAsia="en-GB"/>
    </w:rPr>
  </w:style>
  <w:style w:type="paragraph" w:customStyle="1" w:styleId="DECCNumberedChapterHead">
    <w:name w:val="DECC Numbered Chapter Head"/>
    <w:basedOn w:val="Heading1"/>
    <w:next w:val="BodyText"/>
    <w:qFormat/>
    <w:rsid w:val="00C157DD"/>
    <w:pPr>
      <w:keepLines w:val="0"/>
      <w:numPr>
        <w:numId w:val="1"/>
      </w:numPr>
      <w:tabs>
        <w:tab w:val="num" w:pos="360"/>
      </w:tabs>
      <w:autoSpaceDE/>
      <w:autoSpaceDN/>
      <w:adjustRightInd/>
      <w:spacing w:before="1000" w:after="1000" w:line="540" w:lineRule="exact"/>
      <w:ind w:left="0" w:firstLine="0"/>
    </w:pPr>
    <w:rPr>
      <w:rFonts w:ascii="Arial" w:eastAsia="Times New Roman" w:hAnsi="Arial" w:cs="Arial"/>
      <w:b w:val="0"/>
      <w:color w:val="00AEEF"/>
      <w:kern w:val="32"/>
      <w:sz w:val="50"/>
      <w:szCs w:val="32"/>
    </w:rPr>
  </w:style>
  <w:style w:type="table" w:customStyle="1" w:styleId="DECC5">
    <w:name w:val="DECC 5"/>
    <w:basedOn w:val="TableNormal"/>
    <w:uiPriority w:val="99"/>
    <w:rsid w:val="00C157DD"/>
    <w:pPr>
      <w:spacing w:before="120" w:after="120" w:line="240" w:lineRule="auto"/>
    </w:pPr>
    <w:rPr>
      <w:rFonts w:ascii="Arial" w:eastAsia="Times New Roman" w:hAnsi="Arial" w:cs="Times New Roman"/>
      <w:sz w:val="20"/>
      <w:szCs w:val="20"/>
    </w:rPr>
    <w:tblPr>
      <w:tblStyleRowBandSize w:val="1"/>
      <w:tblInd w:w="0"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left w:w="108" w:type="dxa"/>
        <w:bottom w:w="57" w:type="dxa"/>
        <w:right w:w="108"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character" w:customStyle="1" w:styleId="Heading1Char">
    <w:name w:val="Heading 1 Char"/>
    <w:basedOn w:val="DefaultParagraphFont"/>
    <w:link w:val="Heading1"/>
    <w:uiPriority w:val="9"/>
    <w:rsid w:val="00C157D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936849"/>
    <w:rPr>
      <w:color w:val="0000FF" w:themeColor="hyperlink"/>
      <w:u w:val="single"/>
    </w:rPr>
  </w:style>
  <w:style w:type="paragraph" w:customStyle="1" w:styleId="DECCReference">
    <w:name w:val="DECC Reference"/>
    <w:basedOn w:val="Normal"/>
    <w:autoRedefine/>
    <w:rsid w:val="00936849"/>
    <w:pPr>
      <w:spacing w:before="60" w:after="60" w:line="32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DD"/>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paragraph" w:styleId="Heading1">
    <w:name w:val="heading 1"/>
    <w:basedOn w:val="Normal"/>
    <w:next w:val="Normal"/>
    <w:link w:val="Heading1Char"/>
    <w:uiPriority w:val="9"/>
    <w:qFormat/>
    <w:rsid w:val="00C15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basedOn w:val="Normal"/>
    <w:next w:val="TableText"/>
    <w:qFormat/>
    <w:rsid w:val="00C157DD"/>
    <w:pPr>
      <w:spacing w:after="0"/>
      <w:ind w:left="113" w:right="113"/>
    </w:pPr>
    <w:rPr>
      <w:b/>
      <w:color w:val="FFFFFF"/>
    </w:rPr>
  </w:style>
  <w:style w:type="paragraph" w:customStyle="1" w:styleId="BodyNumbering">
    <w:name w:val="Body Numbering"/>
    <w:basedOn w:val="Normal"/>
    <w:qFormat/>
    <w:rsid w:val="00C157DD"/>
    <w:pPr>
      <w:numPr>
        <w:ilvl w:val="1"/>
        <w:numId w:val="1"/>
      </w:numPr>
      <w:tabs>
        <w:tab w:val="left" w:pos="851"/>
      </w:tabs>
    </w:pPr>
  </w:style>
  <w:style w:type="paragraph" w:customStyle="1" w:styleId="TableText">
    <w:name w:val="Table Text"/>
    <w:basedOn w:val="Normal"/>
    <w:rsid w:val="00C157DD"/>
    <w:pPr>
      <w:spacing w:before="60" w:after="60"/>
      <w:ind w:left="113" w:right="113"/>
    </w:pPr>
  </w:style>
  <w:style w:type="character" w:customStyle="1" w:styleId="DECCPBlue">
    <w:name w:val="DECC P Blue"/>
    <w:rsid w:val="00C157DD"/>
    <w:rPr>
      <w:color w:val="009EE3"/>
    </w:rPr>
  </w:style>
  <w:style w:type="paragraph" w:styleId="BodyText">
    <w:name w:val="Body Text"/>
    <w:basedOn w:val="Normal"/>
    <w:link w:val="BodyTextChar"/>
    <w:qFormat/>
    <w:rsid w:val="00C157DD"/>
  </w:style>
  <w:style w:type="character" w:customStyle="1" w:styleId="BodyTextChar">
    <w:name w:val="Body Text Char"/>
    <w:basedOn w:val="DefaultParagraphFont"/>
    <w:link w:val="BodyText"/>
    <w:rsid w:val="00C157DD"/>
    <w:rPr>
      <w:rFonts w:ascii="Arial" w:eastAsia="Times New Roman" w:hAnsi="Arial" w:cs="Arial"/>
      <w:color w:val="000000"/>
      <w:sz w:val="24"/>
      <w:szCs w:val="24"/>
      <w:lang w:eastAsia="en-GB"/>
    </w:rPr>
  </w:style>
  <w:style w:type="paragraph" w:customStyle="1" w:styleId="DECCNumberedChapterHead">
    <w:name w:val="DECC Numbered Chapter Head"/>
    <w:basedOn w:val="Heading1"/>
    <w:next w:val="BodyText"/>
    <w:qFormat/>
    <w:rsid w:val="00C157DD"/>
    <w:pPr>
      <w:keepLines w:val="0"/>
      <w:numPr>
        <w:numId w:val="1"/>
      </w:numPr>
      <w:tabs>
        <w:tab w:val="num" w:pos="360"/>
      </w:tabs>
      <w:autoSpaceDE/>
      <w:autoSpaceDN/>
      <w:adjustRightInd/>
      <w:spacing w:before="1000" w:after="1000" w:line="540" w:lineRule="exact"/>
      <w:ind w:left="0" w:firstLine="0"/>
    </w:pPr>
    <w:rPr>
      <w:rFonts w:ascii="Arial" w:eastAsia="Times New Roman" w:hAnsi="Arial" w:cs="Arial"/>
      <w:b w:val="0"/>
      <w:color w:val="00AEEF"/>
      <w:kern w:val="32"/>
      <w:sz w:val="50"/>
      <w:szCs w:val="32"/>
    </w:rPr>
  </w:style>
  <w:style w:type="table" w:customStyle="1" w:styleId="DECC5">
    <w:name w:val="DECC 5"/>
    <w:basedOn w:val="TableNormal"/>
    <w:uiPriority w:val="99"/>
    <w:rsid w:val="00C157DD"/>
    <w:pPr>
      <w:spacing w:before="120" w:after="120" w:line="240" w:lineRule="auto"/>
    </w:pPr>
    <w:rPr>
      <w:rFonts w:ascii="Arial" w:eastAsia="Times New Roman" w:hAnsi="Arial" w:cs="Times New Roman"/>
      <w:sz w:val="20"/>
      <w:szCs w:val="20"/>
    </w:rPr>
    <w:tblPr>
      <w:tblStyleRowBandSize w:val="1"/>
      <w:tblInd w:w="0"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left w:w="108" w:type="dxa"/>
        <w:bottom w:w="57" w:type="dxa"/>
        <w:right w:w="108"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character" w:customStyle="1" w:styleId="Heading1Char">
    <w:name w:val="Heading 1 Char"/>
    <w:basedOn w:val="DefaultParagraphFont"/>
    <w:link w:val="Heading1"/>
    <w:uiPriority w:val="9"/>
    <w:rsid w:val="00C157D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936849"/>
    <w:rPr>
      <w:color w:val="0000FF" w:themeColor="hyperlink"/>
      <w:u w:val="single"/>
    </w:rPr>
  </w:style>
  <w:style w:type="paragraph" w:customStyle="1" w:styleId="DECCReference">
    <w:name w:val="DECC Reference"/>
    <w:basedOn w:val="Normal"/>
    <w:autoRedefine/>
    <w:rsid w:val="00936849"/>
    <w:pPr>
      <w:spacing w:before="60" w:after="60" w:line="3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cs@decc.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cs-policy-scoping-docu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cchapman</dc:creator>
  <cp:lastModifiedBy>Armstrong David (Communications)</cp:lastModifiedBy>
  <cp:revision>2</cp:revision>
  <dcterms:created xsi:type="dcterms:W3CDTF">2014-08-07T09:55:00Z</dcterms:created>
  <dcterms:modified xsi:type="dcterms:W3CDTF">2014-08-07T09:55:00Z</dcterms:modified>
</cp:coreProperties>
</file>